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jc w:val="center"/>
        <w:rPr>
          <w:rFonts w:ascii="Times New Roman" w:cs="Times New Roman" w:hAnsi="Times New Roman" w:eastAsia="Times New Roman"/>
          <w:sz w:val="24"/>
          <w:szCs w:val="24"/>
        </w:rPr>
      </w:pPr>
      <w:r>
        <w:rPr>
          <w:rFonts w:ascii="Times New Roman" w:hAnsi="Times New Roman"/>
          <w:sz w:val="24"/>
          <w:szCs w:val="24"/>
          <w:rtl w:val="0"/>
          <w:lang w:val="fr-FR"/>
        </w:rPr>
        <w:t>Module: Community Engagement (LCBB4002)</w:t>
      </w:r>
    </w:p>
    <w:p>
      <w:pPr>
        <w:pStyle w:val="Body"/>
        <w:spacing w:line="360" w:lineRule="auto"/>
        <w:jc w:val="center"/>
        <w:rPr>
          <w:rFonts w:ascii="Times New Roman" w:cs="Times New Roman" w:hAnsi="Times New Roman" w:eastAsia="Times New Roman"/>
          <w:b w:val="1"/>
          <w:bCs w:val="1"/>
          <w:sz w:val="32"/>
          <w:szCs w:val="32"/>
        </w:rPr>
      </w:pPr>
      <w:r>
        <w:rPr>
          <w:rFonts w:ascii="Times New Roman" w:hAnsi="Times New Roman"/>
          <w:sz w:val="24"/>
          <w:szCs w:val="24"/>
          <w:rtl w:val="0"/>
        </w:rPr>
        <w:t>Lecture: Faizu Edu</w:t>
      </w:r>
    </w:p>
    <w:p>
      <w:pPr>
        <w:pStyle w:val="Body"/>
        <w:spacing w:line="36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Student name: Lucica Barbu</w:t>
      </w:r>
    </w:p>
    <w:p>
      <w:pPr>
        <w:pStyle w:val="Body"/>
        <w:spacing w:line="360" w:lineRule="auto"/>
        <w:jc w:val="center"/>
        <w:rPr>
          <w:rFonts w:ascii="Times New Roman" w:cs="Times New Roman" w:hAnsi="Times New Roman" w:eastAsia="Times New Roman"/>
          <w:sz w:val="24"/>
          <w:szCs w:val="24"/>
        </w:rPr>
      </w:pPr>
      <w:r>
        <w:rPr>
          <w:rFonts w:ascii="Times New Roman" w:hAnsi="Times New Roman"/>
          <w:sz w:val="24"/>
          <w:szCs w:val="24"/>
          <w:rtl w:val="0"/>
        </w:rPr>
        <w:t>Student ID: 2006789</w:t>
      </w:r>
    </w:p>
    <w:p>
      <w:pPr>
        <w:pStyle w:val="Body"/>
        <w:spacing w:line="36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Word Count: 2446</w:t>
      </w:r>
    </w:p>
    <w:p>
      <w:pPr>
        <w:pStyle w:val="Body"/>
        <w:spacing w:line="360" w:lineRule="auto"/>
        <w:jc w:val="both"/>
      </w:pPr>
      <w:r>
        <w:rPr>
          <w:rFonts w:ascii="Arial Unicode MS" w:cs="Arial Unicode MS" w:hAnsi="Arial Unicode MS" w:eastAsia="Arial Unicode MS"/>
          <w:b w:val="0"/>
          <w:bCs w:val="0"/>
          <w:i w:val="0"/>
          <w:iCs w:val="0"/>
          <w:sz w:val="24"/>
          <w:szCs w:val="24"/>
        </w:rPr>
        <w:br w:type="page"/>
      </w:r>
    </w:p>
    <w:p>
      <w:pPr>
        <w:pStyle w:val="TOC Heading"/>
        <w:jc w:val="center"/>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r>
        <w:rPr>
          <w:rFonts w:ascii="Times New Roman" w:hAnsi="Times New Roman"/>
          <w:b w:val="1"/>
          <w:bCs w:val="1"/>
          <w:outline w:val="0"/>
          <w:color w:val="000000"/>
          <w:sz w:val="28"/>
          <w:szCs w:val="28"/>
          <w:u w:color="000000"/>
          <w:rtl w:val="0"/>
          <w:lang w:val="en-US"/>
          <w14:textFill>
            <w14:solidFill>
              <w14:srgbClr w14:val="000000"/>
            </w14:solidFill>
          </w14:textFill>
        </w:rPr>
        <w:t>Table of Contents</w:t>
      </w:r>
    </w:p>
    <w:p>
      <w:pPr>
        <w:pStyle w:val="Body"/>
        <w:spacing w:line="360" w:lineRule="auto"/>
        <w:jc w:val="both"/>
      </w:pPr>
      <w:r>
        <w:rPr>
          <w:rFonts w:ascii="Times New Roman" w:cs="Times New Roman" w:hAnsi="Times New Roman" w:eastAsia="Times New Roman"/>
          <w:b w:val="1"/>
          <w:bCs w:val="1"/>
          <w:outline w:val="0"/>
          <w:color w:val="000000"/>
          <w:sz w:val="28"/>
          <w:szCs w:val="28"/>
          <w:u w:color="000000"/>
          <w14:textFill>
            <w14:solidFill>
              <w14:srgbClr w14:val="000000"/>
            </w14:solidFill>
          </w14:textFill>
        </w:rPr>
        <w:fldChar w:fldCharType="begin" w:fldLock="0"/>
      </w:r>
      <w:r>
        <w:rPr>
          <w:rFonts w:ascii="Times New Roman" w:cs="Times New Roman" w:hAnsi="Times New Roman" w:eastAsia="Times New Roman"/>
          <w:b w:val="1"/>
          <w:bCs w:val="1"/>
          <w:outline w:val="0"/>
          <w:color w:val="000000"/>
          <w:sz w:val="28"/>
          <w:szCs w:val="28"/>
          <w:u w:color="000000"/>
          <w14:textFill>
            <w14:solidFill>
              <w14:srgbClr w14:val="000000"/>
            </w14:solidFill>
          </w14:textFill>
        </w:rPr>
        <w:instrText xml:space="preserve"> TOC \o 1-2 </w:instrText>
      </w:r>
      <w:r>
        <w:rPr>
          <w:rFonts w:ascii="Times New Roman" w:cs="Times New Roman" w:hAnsi="Times New Roman" w:eastAsia="Times New Roman"/>
          <w:b w:val="1"/>
          <w:bCs w:val="1"/>
          <w:outline w:val="0"/>
          <w:color w:val="000000"/>
          <w:sz w:val="28"/>
          <w:szCs w:val="28"/>
          <w:u w:color="000000"/>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Discussion</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Differences between the projects</w:t>
        <w:tab/>
      </w:r>
      <w:r>
        <w:rPr/>
        <w:fldChar w:fldCharType="begin" w:fldLock="0"/>
      </w:r>
      <w:r>
        <w:instrText xml:space="preserve"> PAGEREF _Toc2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Dynamic conclusion</w:t>
        <w:tab/>
      </w:r>
      <w:r>
        <w:rPr/>
        <w:fldChar w:fldCharType="begin" w:fldLock="0"/>
      </w:r>
      <w:r>
        <w:instrText xml:space="preserve"> PAGEREF _Toc3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Impactful communication</w:t>
        <w:tab/>
      </w:r>
      <w:r>
        <w:rPr/>
        <w:fldChar w:fldCharType="begin" w:fldLock="0"/>
      </w:r>
      <w:r>
        <w:instrText xml:space="preserve"> PAGEREF _Toc4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Participation of stakeholders</w:t>
        <w:tab/>
      </w:r>
      <w:r>
        <w:rPr/>
        <w:fldChar w:fldCharType="begin" w:fldLock="0"/>
      </w:r>
      <w:r>
        <w:instrText xml:space="preserve"> PAGEREF _Toc5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Inclusion of future approaches</w:t>
        <w:tab/>
      </w:r>
      <w:r>
        <w:rPr/>
        <w:fldChar w:fldCharType="begin" w:fldLock="0"/>
      </w:r>
      <w:r>
        <w:instrText xml:space="preserve"> PAGEREF _Toc6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Analysis of project</w:t>
        <w:tab/>
      </w:r>
      <w:r>
        <w:rPr/>
        <w:fldChar w:fldCharType="begin" w:fldLock="0"/>
      </w:r>
      <w:r>
        <w:instrText xml:space="preserve"> PAGEREF _Toc7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Mapping of community</w:t>
        <w:tab/>
      </w:r>
      <w:r>
        <w:rPr/>
        <w:fldChar w:fldCharType="begin" w:fldLock="0"/>
      </w:r>
      <w:r>
        <w:instrText xml:space="preserve"> PAGEREF _Toc8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Societal engagement</w:t>
        <w:tab/>
      </w:r>
      <w:r>
        <w:rPr/>
        <w:fldChar w:fldCharType="begin" w:fldLock="0"/>
      </w:r>
      <w:r>
        <w:instrText xml:space="preserve"> PAGEREF _Toc9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Critical analysis of activities</w:t>
        <w:tab/>
      </w:r>
      <w:r>
        <w:rPr/>
        <w:fldChar w:fldCharType="begin" w:fldLock="0"/>
      </w:r>
      <w:r>
        <w:instrText xml:space="preserve"> PAGEREF _Toc10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Assessment</w:t>
        <w:tab/>
      </w:r>
      <w:r>
        <w:rPr/>
        <w:fldChar w:fldCharType="begin" w:fldLock="0"/>
      </w:r>
      <w:r>
        <w:instrText xml:space="preserve"> PAGEREF _Toc11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Good practices</w:t>
        <w:tab/>
      </w:r>
      <w:r>
        <w:rPr/>
        <w:fldChar w:fldCharType="begin" w:fldLock="0"/>
      </w:r>
      <w:r>
        <w:instrText xml:space="preserve"> PAGEREF _Toc12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Conclusion</w:t>
        <w:tab/>
      </w:r>
      <w:r>
        <w:rPr/>
        <w:fldChar w:fldCharType="begin" w:fldLock="0"/>
      </w:r>
      <w:r>
        <w:instrText xml:space="preserve"> PAGEREF _Toc13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References</w:t>
        <w:tab/>
      </w:r>
      <w:r>
        <w:rPr/>
        <w:fldChar w:fldCharType="begin" w:fldLock="0"/>
      </w:r>
      <w:r>
        <w:instrText xml:space="preserve"> PAGEREF _Toc14 \h </w:instrText>
      </w:r>
      <w:r>
        <w:rPr/>
        <w:fldChar w:fldCharType="separate" w:fldLock="0"/>
      </w:r>
      <w:r>
        <w:rPr>
          <w:rFonts w:cs="Arial Unicode MS" w:eastAsia="Arial Unicode MS"/>
          <w:rtl w:val="0"/>
        </w:rPr>
        <w:t>8</w:t>
      </w:r>
      <w:r>
        <w:rPr/>
        <w:fldChar w:fldCharType="end" w:fldLock="0"/>
      </w:r>
    </w:p>
    <w:p>
      <w:pPr>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b w:val="1"/>
          <w:bCs w:val="1"/>
          <w:outline w:val="0"/>
          <w:color w:val="000000"/>
          <w:sz w:val="28"/>
          <w:szCs w:val="28"/>
          <w:u w:color="000000"/>
          <w14:textFill>
            <w14:solidFill>
              <w14:srgbClr w14:val="000000"/>
            </w14:solidFill>
          </w14:textFill>
        </w:rPr>
        <w:fldChar w:fldCharType="end" w:fldLock="0"/>
      </w:r>
    </w:p>
    <w:p>
      <w:pPr>
        <w:pStyle w:val="Body"/>
        <w:spacing w:line="360" w:lineRule="auto"/>
        <w:jc w:val="both"/>
      </w:pPr>
      <w:r>
        <w:rPr>
          <w:rFonts w:ascii="Arial Unicode MS" w:cs="Arial Unicode MS" w:hAnsi="Arial Unicode MS" w:eastAsia="Arial Unicode MS"/>
          <w:b w:val="0"/>
          <w:bCs w:val="0"/>
          <w:i w:val="0"/>
          <w:iCs w:val="0"/>
        </w:rPr>
        <w:br w:type="page"/>
      </w:r>
    </w:p>
    <w:p>
      <w:pPr>
        <w:pStyle w:val="Heading"/>
        <w:spacing w:line="360" w:lineRule="auto"/>
        <w:jc w:val="both"/>
        <w:rPr>
          <w:b w:val="1"/>
          <w:bCs w:val="1"/>
          <w:sz w:val="22"/>
          <w:szCs w:val="22"/>
        </w:rPr>
      </w:pPr>
      <w:bookmarkStart w:name="_Toc" w:id="0"/>
      <w:r>
        <w:rPr>
          <w:b w:val="1"/>
          <w:bCs w:val="1"/>
          <w:sz w:val="22"/>
          <w:szCs w:val="22"/>
          <w:rtl w:val="0"/>
          <w:lang w:val="fr-FR"/>
        </w:rPr>
        <w:t xml:space="preserve">Introduction </w:t>
      </w:r>
      <w:bookmarkEnd w:id="0"/>
    </w:p>
    <w:p>
      <w:pPr>
        <w:pStyle w:val="Body"/>
        <w:spacing w:line="360" w:lineRule="auto"/>
        <w:jc w:val="both"/>
      </w:pPr>
      <w:r>
        <w:rPr>
          <w:rtl w:val="0"/>
          <w:lang w:val="en-US"/>
        </w:rPr>
        <w:t>Community management is defined as the involvement of people working in a group to fulfil a particular interest defined as the situation that affects the goodwill of the people. The term community is often used as defining a group of people while engagement deals with the application for inclusion of something that is required for the activities related to society (</w:t>
      </w:r>
      <w:r>
        <w:rPr>
          <w:outline w:val="0"/>
          <w:color w:val="222222"/>
          <w:u w:color="222222"/>
          <w:shd w:val="clear" w:color="auto" w:fill="ffffff"/>
          <w:rtl w:val="0"/>
          <w14:textFill>
            <w14:solidFill>
              <w14:srgbClr w14:val="222222"/>
            </w14:solidFill>
          </w14:textFill>
        </w:rPr>
        <w:t>Abimbola, 2020)</w:t>
      </w:r>
      <w:r>
        <w:rPr>
          <w:rtl w:val="0"/>
          <w:lang w:val="en-US"/>
        </w:rPr>
        <w:t>. It is often called a strategy and has an objective of working with a specific group of people who are interconnected with each other using location affiliation and goodwill. Engagement can be defined also as the art of a mixture of science and humanities. The science that deals with the science related to politics, organisational type of development, psychology, psychology related to society and so on. The part of the Humanities is related to community-related to psychology, participation of the community, development of community and so on. The steel and the technique used to come from the part of the Humanities or can be called arts, on the other hand, find this with the suitable part of the community (</w:t>
      </w:r>
      <w:r>
        <w:rPr>
          <w:outline w:val="0"/>
          <w:color w:val="222222"/>
          <w:u w:color="222222"/>
          <w:shd w:val="clear" w:color="auto" w:fill="ffffff"/>
          <w:rtl w:val="0"/>
          <w14:textFill>
            <w14:solidFill>
              <w14:srgbClr w14:val="222222"/>
            </w14:solidFill>
          </w14:textFill>
        </w:rPr>
        <w:t>Key et al., 2019)</w:t>
      </w:r>
      <w:r>
        <w:rPr>
          <w:rtl w:val="0"/>
          <w:lang w:val="en-US"/>
        </w:rPr>
        <w:t>. Community engagement helps in providing efficiency to make good decisions for the public and the working Collaboratory also get increased.</w:t>
      </w:r>
    </w:p>
    <w:p>
      <w:pPr>
        <w:pStyle w:val="Heading"/>
        <w:spacing w:line="360" w:lineRule="auto"/>
        <w:jc w:val="both"/>
        <w:rPr>
          <w:b w:val="1"/>
          <w:bCs w:val="1"/>
          <w:sz w:val="22"/>
          <w:szCs w:val="22"/>
        </w:rPr>
      </w:pPr>
      <w:bookmarkStart w:name="_Toc1" w:id="1"/>
      <w:r>
        <w:rPr>
          <w:b w:val="1"/>
          <w:bCs w:val="1"/>
          <w:sz w:val="22"/>
          <w:szCs w:val="22"/>
          <w:rtl w:val="0"/>
          <w:lang w:val="en-US"/>
        </w:rPr>
        <w:t xml:space="preserve">Discussion </w:t>
      </w:r>
      <w:bookmarkEnd w:id="1"/>
    </w:p>
    <w:p>
      <w:pPr>
        <w:pStyle w:val="Heading 2"/>
        <w:spacing w:line="360" w:lineRule="auto"/>
        <w:jc w:val="both"/>
        <w:rPr>
          <w:b w:val="1"/>
          <w:bCs w:val="1"/>
          <w:sz w:val="22"/>
          <w:szCs w:val="22"/>
        </w:rPr>
      </w:pPr>
      <w:bookmarkStart w:name="_Toc2" w:id="2"/>
      <w:r>
        <w:rPr>
          <w:b w:val="1"/>
          <w:bCs w:val="1"/>
          <w:sz w:val="22"/>
          <w:szCs w:val="22"/>
          <w:rtl w:val="0"/>
          <w:lang w:val="en-US"/>
        </w:rPr>
        <w:t xml:space="preserve">Differences between the projects </w:t>
      </w:r>
      <w:bookmarkEnd w:id="2"/>
    </w:p>
    <w:p>
      <w:pPr>
        <w:pStyle w:val="Body"/>
        <w:spacing w:line="360" w:lineRule="auto"/>
        <w:jc w:val="both"/>
      </w:pPr>
      <w:r>
        <w:rPr>
          <w:rtl w:val="0"/>
          <w:lang w:val="en-US"/>
        </w:rPr>
        <w:t>There is a basic difference between the two projects Although obesity is directly linked to diabetes but still, there are some differences between the two. In some cases, it has been found that diabetes is not always responsible for causing obesity but some other reasons for which obesity is caused why the intake of junk food, the fat contained food, sugar, oily food and so on. In assessment 1, an explanation of arranging a conference on diabetes professional care has been taken but it also has to keep in mind that people must be made you know the decision taken by the organisation. The charities or the organisations must have to share information about the organisations with the patient so that they can join in the above-mentioned events.  Obesity is therefore a part of diabetes that needs a systematic way of controlling the disease. The difference between the first assessment and the second assessment is that the first assessment has been made on the effect and spreading of diabetes.</w:t>
      </w:r>
    </w:p>
    <w:p>
      <w:pPr>
        <w:pStyle w:val="Heading 2"/>
        <w:spacing w:line="360" w:lineRule="auto"/>
        <w:jc w:val="both"/>
        <w:rPr>
          <w:b w:val="1"/>
          <w:bCs w:val="1"/>
          <w:sz w:val="22"/>
          <w:szCs w:val="22"/>
        </w:rPr>
      </w:pPr>
      <w:bookmarkStart w:name="_Toc3" w:id="3"/>
      <w:r>
        <w:rPr>
          <w:b w:val="1"/>
          <w:bCs w:val="1"/>
          <w:sz w:val="22"/>
          <w:szCs w:val="22"/>
          <w:rtl w:val="0"/>
          <w:lang w:val="fr-FR"/>
        </w:rPr>
        <w:t xml:space="preserve">Dynamic conclusion </w:t>
      </w:r>
      <w:bookmarkEnd w:id="3"/>
    </w:p>
    <w:p>
      <w:pPr>
        <w:pStyle w:val="Body"/>
        <w:spacing w:line="360" w:lineRule="auto"/>
        <w:jc w:val="both"/>
      </w:pPr>
      <w:r>
        <w:rPr>
          <w:rtl w:val="0"/>
          <w:lang w:val="en-US"/>
        </w:rPr>
        <w:t>Dynamic concentration is the system that deals with all the theories that are needed while analysing a project. The event that is mentioned in assessment 1 regarding diabetes must be made useful for different categories of people, the full care and protection must be given to physically disabled persons (</w:t>
      </w:r>
      <w:r>
        <w:rPr>
          <w:outline w:val="0"/>
          <w:color w:val="222222"/>
          <w:u w:color="222222"/>
          <w:shd w:val="clear" w:color="auto" w:fill="ffffff"/>
          <w:rtl w:val="0"/>
          <w:lang w:val="fr-FR"/>
          <w14:textFill>
            <w14:solidFill>
              <w14:srgbClr w14:val="222222"/>
            </w14:solidFill>
          </w14:textFill>
        </w:rPr>
        <w:t>Fae et al., 2021)</w:t>
      </w:r>
      <w:r>
        <w:rPr>
          <w:rtl w:val="0"/>
          <w:lang w:val="en-US"/>
        </w:rPr>
        <w:t>. The service of the event mentioned in the first for arranged in such a way that it can help and pay-services to the people the patients who are suffering from obesity kind of problems as well as diabetes. Meetings must be arranged with the communities the patients with a better level of services. The treatment must be done with the involvement of different kinds of age groups people (</w:t>
      </w:r>
      <w:r>
        <w:rPr>
          <w:outline w:val="0"/>
          <w:color w:val="222222"/>
          <w:u w:color="222222"/>
          <w:shd w:val="clear" w:color="auto" w:fill="ffffff"/>
          <w:rtl w:val="0"/>
          <w:lang w:val="fr-FR"/>
          <w14:textFill>
            <w14:solidFill>
              <w14:srgbClr w14:val="222222"/>
            </w14:solidFill>
          </w14:textFill>
        </w:rPr>
        <w:t>Xue et al., 2018)</w:t>
      </w:r>
      <w:r>
        <w:rPr>
          <w:rtl w:val="0"/>
          <w:lang w:val="en-US"/>
        </w:rPr>
        <w:t>. Obesity causes different types of diseases like heart attack, strokes and so on. The method of online consultation also includes the involvement of offline consultation so that the people who are not able to access the internet can also get information about the event.</w:t>
      </w:r>
    </w:p>
    <w:p>
      <w:pPr>
        <w:pStyle w:val="Heading 2"/>
        <w:spacing w:line="360" w:lineRule="auto"/>
        <w:jc w:val="both"/>
        <w:rPr>
          <w:b w:val="1"/>
          <w:bCs w:val="1"/>
          <w:sz w:val="22"/>
          <w:szCs w:val="22"/>
        </w:rPr>
      </w:pPr>
      <w:bookmarkStart w:name="_Toc4" w:id="4"/>
      <w:r>
        <w:rPr>
          <w:b w:val="1"/>
          <w:bCs w:val="1"/>
          <w:sz w:val="22"/>
          <w:szCs w:val="22"/>
          <w:rtl w:val="0"/>
          <w:lang w:val="en-US"/>
        </w:rPr>
        <w:t xml:space="preserve">Impactful communication </w:t>
      </w:r>
      <w:bookmarkEnd w:id="4"/>
    </w:p>
    <w:p>
      <w:pPr>
        <w:pStyle w:val="Body"/>
        <w:spacing w:line="360" w:lineRule="auto"/>
        <w:jc w:val="both"/>
      </w:pPr>
      <w:r>
        <w:rPr>
          <w:rtl w:val="0"/>
          <w:lang w:val="en-US"/>
        </w:rPr>
        <w:t>The impact-full communication amount people of the community and the event managing people must be maintained so that the event of diabetes professional care can be spread all over the world. Online forums models and training must be provided to them so that they can update themselves on the current condition of their health. The charity or the event has also played an important role in spreading awareness through social media. The diabetes professional care is the event which has been arranged among the people of old ages so that control their obesities and will look into the matter seriously. Advertisement must be given importance to spread awareness among people as obesity is one of the important as well as crucial diseases in today's modern world. The project must be given all the possible ways so that it can work involvement of a large number of people.</w:t>
      </w:r>
    </w:p>
    <w:p>
      <w:pPr>
        <w:pStyle w:val="Heading 2"/>
        <w:spacing w:line="360" w:lineRule="auto"/>
        <w:jc w:val="both"/>
        <w:rPr>
          <w:b w:val="1"/>
          <w:bCs w:val="1"/>
          <w:sz w:val="22"/>
          <w:szCs w:val="22"/>
        </w:rPr>
      </w:pPr>
      <w:bookmarkStart w:name="_Toc5" w:id="5"/>
      <w:r>
        <w:rPr>
          <w:b w:val="1"/>
          <w:bCs w:val="1"/>
          <w:sz w:val="22"/>
          <w:szCs w:val="22"/>
          <w:rtl w:val="0"/>
          <w:lang w:val="en-US"/>
        </w:rPr>
        <w:t xml:space="preserve">Participation of stakeholders </w:t>
      </w:r>
      <w:bookmarkEnd w:id="5"/>
    </w:p>
    <w:p>
      <w:pPr>
        <w:pStyle w:val="Body"/>
        <w:spacing w:line="360" w:lineRule="auto"/>
        <w:jc w:val="both"/>
      </w:pPr>
      <w:r>
        <w:rPr>
          <w:rtl w:val="0"/>
          <w:lang w:val="en-US"/>
        </w:rPr>
        <w:t>Stakeholders are an important part of an event or project. Therefore, it is important to maintain a relationship between the stakeholders and the people of the event. The event has also given priority to the engagement of the stakeholders moving up with the project to a great extent. But in some cases, it has been seen that the funds of the event sometimes are not fulfilled up to the mark (</w:t>
      </w:r>
      <w:r>
        <w:rPr>
          <w:outline w:val="0"/>
          <w:color w:val="222222"/>
          <w:u w:color="222222"/>
          <w:shd w:val="clear" w:color="auto" w:fill="ffffff"/>
          <w:rtl w:val="0"/>
          <w14:textFill>
            <w14:solidFill>
              <w14:srgbClr w14:val="222222"/>
            </w14:solidFill>
          </w14:textFill>
        </w:rPr>
        <w:t>Naja-Riese et al., 2019)</w:t>
      </w:r>
      <w:r>
        <w:rPr>
          <w:rtl w:val="0"/>
          <w:lang w:val="en-US"/>
        </w:rPr>
        <w:t>. This can be due to the reduction in the stakeholder's involvement in the project of the event. Therefore, diabetes professional care must have to take all possible measures to make the stakeholders participate as the local community and the fundraiser. So, the number of stakeholders in the event must be increased to make the event a popular one so that people can show their interest in participating in the event. The engagement of the stakeholders must be given importance so that the campaign can be done to stop obesity which is the cause of diabetes.</w:t>
      </w:r>
    </w:p>
    <w:p>
      <w:pPr>
        <w:pStyle w:val="Heading 2"/>
        <w:spacing w:line="360" w:lineRule="auto"/>
        <w:jc w:val="both"/>
        <w:rPr>
          <w:b w:val="1"/>
          <w:bCs w:val="1"/>
          <w:sz w:val="22"/>
          <w:szCs w:val="22"/>
        </w:rPr>
      </w:pPr>
      <w:bookmarkStart w:name="_Toc6" w:id="6"/>
      <w:r>
        <w:rPr>
          <w:b w:val="1"/>
          <w:bCs w:val="1"/>
          <w:sz w:val="22"/>
          <w:szCs w:val="22"/>
          <w:rtl w:val="0"/>
          <w:lang w:val="en-US"/>
        </w:rPr>
        <w:t xml:space="preserve">Inclusion of future approaches </w:t>
      </w:r>
      <w:bookmarkEnd w:id="6"/>
    </w:p>
    <w:p>
      <w:pPr>
        <w:pStyle w:val="Body"/>
        <w:spacing w:line="360" w:lineRule="auto"/>
        <w:jc w:val="both"/>
      </w:pPr>
      <w:r>
        <w:rPr>
          <w:rtl w:val="0"/>
          <w:lang w:val="en-US"/>
        </w:rPr>
        <w:t>The project or the event which has been mentioned in assessment one is diabetes professional care (</w:t>
      </w:r>
      <w:r>
        <w:rPr>
          <w:outline w:val="0"/>
          <w:color w:val="222222"/>
          <w:u w:color="222222"/>
          <w:shd w:val="clear" w:color="auto" w:fill="ffffff"/>
          <w:rtl w:val="0"/>
          <w:lang w:val="fr-FR"/>
          <w14:textFill>
            <w14:solidFill>
              <w14:srgbClr w14:val="222222"/>
            </w14:solidFill>
          </w14:textFill>
        </w:rPr>
        <w:t>Kwon et al., 2022)</w:t>
      </w:r>
      <w:r>
        <w:rPr>
          <w:rtl w:val="0"/>
          <w:lang w:val="en-US"/>
        </w:rPr>
        <w:t>. The event has a plan in spreading awareness of obesity among people. It has gone through different kinds of approaches such as multi-disciplinary, empowerment and so on. It has a plan of arranging scheduled appointments for the treatment of obesity. Also, the event has risen a plan to approach every people to make the organisation a zone of treatment for obesity. Better treatment and medication are the foremost part of the organisation to proceed (</w:t>
      </w:r>
      <w:r>
        <w:rPr>
          <w:outline w:val="0"/>
          <w:color w:val="222222"/>
          <w:u w:color="222222"/>
          <w:shd w:val="clear" w:color="auto" w:fill="ffffff"/>
          <w:rtl w:val="0"/>
          <w:lang w:val="en-US"/>
          <w14:textFill>
            <w14:solidFill>
              <w14:srgbClr w14:val="222222"/>
            </w14:solidFill>
          </w14:textFill>
        </w:rPr>
        <w:t>Gentry-Maharaj and Karpinskyj, 2020)</w:t>
      </w:r>
      <w:r>
        <w:rPr>
          <w:rtl w:val="0"/>
          <w:lang w:val="en-US"/>
        </w:rPr>
        <w:t>. They are trying to provide a lifestyle and diet chart for the people who come to their organisation for treatment. All the possible treatments such as walking, cycling, and body fitness are being decided to provide health benefits for the old people who are suffering from the problem of obesity. This can make the people encourage in controlling the disease with all positivities.</w:t>
      </w:r>
    </w:p>
    <w:p>
      <w:pPr>
        <w:pStyle w:val="Heading"/>
        <w:spacing w:line="360" w:lineRule="auto"/>
        <w:jc w:val="both"/>
        <w:rPr>
          <w:b w:val="1"/>
          <w:bCs w:val="1"/>
          <w:sz w:val="22"/>
          <w:szCs w:val="22"/>
        </w:rPr>
      </w:pPr>
      <w:bookmarkStart w:name="_Toc7" w:id="7"/>
      <w:r>
        <w:rPr>
          <w:b w:val="1"/>
          <w:bCs w:val="1"/>
          <w:sz w:val="22"/>
          <w:szCs w:val="22"/>
          <w:rtl w:val="0"/>
          <w:lang w:val="en-US"/>
        </w:rPr>
        <w:t xml:space="preserve">Analysis of project  </w:t>
      </w:r>
      <w:bookmarkEnd w:id="7"/>
    </w:p>
    <w:p>
      <w:pPr>
        <w:pStyle w:val="Heading 2"/>
        <w:spacing w:line="360" w:lineRule="auto"/>
        <w:jc w:val="both"/>
        <w:rPr>
          <w:b w:val="1"/>
          <w:bCs w:val="1"/>
          <w:sz w:val="22"/>
          <w:szCs w:val="22"/>
        </w:rPr>
      </w:pPr>
      <w:bookmarkStart w:name="_Toc8" w:id="8"/>
      <w:r>
        <w:rPr>
          <w:b w:val="1"/>
          <w:bCs w:val="1"/>
          <w:sz w:val="22"/>
          <w:szCs w:val="22"/>
          <w:rtl w:val="0"/>
          <w:lang w:val="en-US"/>
        </w:rPr>
        <w:t xml:space="preserve">Mapping of community </w:t>
      </w:r>
      <w:bookmarkEnd w:id="8"/>
    </w:p>
    <w:p>
      <w:pPr>
        <w:pStyle w:val="Body"/>
        <w:spacing w:line="360" w:lineRule="auto"/>
        <w:jc w:val="both"/>
      </w:pPr>
      <w:r>
        <w:rPr>
          <w:rtl w:val="0"/>
          <w:lang w:val="en-US"/>
        </w:rPr>
        <w:t>The mapping of the community is an important part of the event suggested in assessment 1. Community mapping of stakeholders for obesity is consumer groups, industries of food beverages, public regulators and makers of policy. Obesity is the silent killer of Public Health and has been taken as the most important spread among people all over the world. The organisation has a strong belief in reducing obesity by the correct inclusion of dieting, regular exercise and others. Mapping of the community has been observed first in a good manner by the stakeholders before preceding forward with the project. The transparency of the event was highly judgement by them (</w:t>
      </w:r>
      <w:r>
        <w:rPr>
          <w:outline w:val="0"/>
          <w:color w:val="222222"/>
          <w:u w:color="222222"/>
          <w:shd w:val="clear" w:color="auto" w:fill="ffffff"/>
          <w:rtl w:val="0"/>
          <w14:textFill>
            <w14:solidFill>
              <w14:srgbClr w14:val="222222"/>
            </w14:solidFill>
          </w14:textFill>
        </w:rPr>
        <w:t>Esdaile et al., 2019)</w:t>
      </w:r>
      <w:r>
        <w:rPr>
          <w:rtl w:val="0"/>
          <w:lang w:val="en-US"/>
        </w:rPr>
        <w:t>. It has often been seen that the people suffering from obesity are made fun of by the people of the community, thus the organisation made a strong motivation for the obesity suffering people so that they can never feel discriminated against and different from other normal people.</w:t>
      </w:r>
    </w:p>
    <w:p>
      <w:pPr>
        <w:pStyle w:val="Heading 2"/>
        <w:spacing w:line="360" w:lineRule="auto"/>
        <w:jc w:val="both"/>
        <w:rPr>
          <w:b w:val="1"/>
          <w:bCs w:val="1"/>
          <w:sz w:val="22"/>
          <w:szCs w:val="22"/>
        </w:rPr>
      </w:pPr>
      <w:bookmarkStart w:name="_Toc9" w:id="9"/>
      <w:r>
        <w:rPr>
          <w:b w:val="1"/>
          <w:bCs w:val="1"/>
          <w:sz w:val="22"/>
          <w:szCs w:val="22"/>
          <w:rtl w:val="0"/>
          <w:lang w:val="fr-FR"/>
        </w:rPr>
        <w:t xml:space="preserve">Societal engagement </w:t>
      </w:r>
      <w:bookmarkEnd w:id="9"/>
    </w:p>
    <w:p>
      <w:pPr>
        <w:pStyle w:val="Body"/>
        <w:spacing w:line="360" w:lineRule="auto"/>
        <w:jc w:val="both"/>
      </w:pPr>
      <w:r>
        <w:rPr>
          <w:rtl w:val="0"/>
          <w:lang w:val="en-US"/>
        </w:rPr>
        <w:t>The engagement of social media is much important in establishing the popularity of the event mentioned in assessment 1. The requirement of social media is important because it is the only zone through which people can get motivated and spread among people all over the world. It has been seen that vastly through social media engagement and many people have got enthusiastic about reducing their weight and curing obesity to lead a healthy life (</w:t>
      </w:r>
      <w:r>
        <w:rPr>
          <w:outline w:val="0"/>
          <w:color w:val="222222"/>
          <w:u w:color="222222"/>
          <w:shd w:val="clear" w:color="auto" w:fill="ffffff"/>
          <w:rtl w:val="0"/>
          <w:lang w:val="pt-PT"/>
          <w14:textFill>
            <w14:solidFill>
              <w14:srgbClr w14:val="222222"/>
            </w14:solidFill>
          </w14:textFill>
        </w:rPr>
        <w:t>Liao and dos Santos Lonsdale, 2018)</w:t>
      </w:r>
      <w:r>
        <w:rPr>
          <w:rtl w:val="0"/>
          <w:lang w:val="en-US"/>
        </w:rPr>
        <w:t>. The event has put forward in collecting the health details of an individual from one door to another to analyse the number of obesities affected people. The organisation has also arranged some campaigns for the benefit of the people. The event has attached social media to encourage people to attend their event with different kinds of promotional projects. Leaflets and banners have been arranged to make the event or the project an attraction for all the people.</w:t>
      </w:r>
    </w:p>
    <w:p>
      <w:pPr>
        <w:pStyle w:val="Heading 2"/>
        <w:spacing w:line="360" w:lineRule="auto"/>
        <w:jc w:val="both"/>
        <w:rPr>
          <w:b w:val="1"/>
          <w:bCs w:val="1"/>
          <w:sz w:val="22"/>
          <w:szCs w:val="22"/>
        </w:rPr>
      </w:pPr>
      <w:bookmarkStart w:name="_Toc10" w:id="10"/>
      <w:r>
        <w:rPr>
          <w:b w:val="1"/>
          <w:bCs w:val="1"/>
          <w:sz w:val="22"/>
          <w:szCs w:val="22"/>
          <w:rtl w:val="0"/>
          <w:lang w:val="en-US"/>
        </w:rPr>
        <w:t xml:space="preserve">Critical analysis of activities </w:t>
      </w:r>
      <w:bookmarkEnd w:id="10"/>
    </w:p>
    <w:p>
      <w:pPr>
        <w:pStyle w:val="Body"/>
        <w:spacing w:line="360" w:lineRule="auto"/>
        <w:jc w:val="both"/>
      </w:pPr>
      <w:r>
        <w:rPr>
          <w:rtl w:val="0"/>
          <w:lang w:val="en-US"/>
        </w:rPr>
        <w:t>Analysis can only be done with the response of the people depending upon the service of the organisation. The great contribution of the organisation to the community or the people has been largely accepted by the people suffering from obesity. People have found that obesity can be controlled easily with the help of this organisation. The major responsibilities of reducing the weight amount of people have been taken by the organisation. The event health also measured the causes of obesity and research on obesity. They have researched the exact reason for obesity which is caused due to diabetes and they have taken sugar to be the most vital cause of obesity. The critical analysis can only be done if all the above-mentioned points are fulfilled by the organisation of the event for controlling obesity which is a very common disease the modern society.</w:t>
      </w:r>
    </w:p>
    <w:p>
      <w:pPr>
        <w:pStyle w:val="Heading 2"/>
        <w:spacing w:line="360" w:lineRule="auto"/>
        <w:jc w:val="both"/>
        <w:rPr>
          <w:b w:val="1"/>
          <w:bCs w:val="1"/>
          <w:sz w:val="22"/>
          <w:szCs w:val="22"/>
        </w:rPr>
      </w:pPr>
      <w:bookmarkStart w:name="_Toc11" w:id="11"/>
      <w:r>
        <w:rPr>
          <w:b w:val="1"/>
          <w:bCs w:val="1"/>
          <w:sz w:val="22"/>
          <w:szCs w:val="22"/>
          <w:rtl w:val="0"/>
          <w:lang w:val="en-US"/>
        </w:rPr>
        <w:t xml:space="preserve">Assessment </w:t>
      </w:r>
      <w:bookmarkEnd w:id="11"/>
    </w:p>
    <w:p>
      <w:pPr>
        <w:pStyle w:val="Body"/>
        <w:spacing w:line="360" w:lineRule="auto"/>
        <w:jc w:val="both"/>
      </w:pPr>
      <w:r>
        <w:rPr>
          <w:rtl w:val="0"/>
          <w:lang w:val="en-US"/>
        </w:rPr>
        <w:t>Assessment making is the most vital part of running an organisation or an event. The involvement of the stakeholders has been considered to be the most essential property of the organisation (</w:t>
      </w:r>
      <w:r>
        <w:rPr>
          <w:outline w:val="0"/>
          <w:color w:val="222222"/>
          <w:u w:color="222222"/>
          <w:shd w:val="clear" w:color="auto" w:fill="ffffff"/>
          <w:rtl w:val="0"/>
          <w14:textFill>
            <w14:solidFill>
              <w14:srgbClr w14:val="222222"/>
            </w14:solidFill>
          </w14:textFill>
        </w:rPr>
        <w:t>Khan et al., 2018)</w:t>
      </w:r>
      <w:r>
        <w:rPr>
          <w:rtl w:val="0"/>
          <w:lang w:val="en-US"/>
        </w:rPr>
        <w:t>. The increase in the number of people involved in the organisation has helped it to increase its popularity. The engagement of the social media, engagement of different employees, management and leadership quality of the organisation has helped the organisation to proceed further with its motivation. The organisation is focused on the weight-reducing of an individual and has taken the steps of the treatment without harming the social structure. This has helped the people to establish faith and trust in the project and they also have got motivated with a positive zeal to lead a healthy life. Projects have been implemented on the cause and effect of obesity. People from different kinds of professions have engaged themselves for the sake of the organisation to take a step in reducing obesity.</w:t>
      </w:r>
    </w:p>
    <w:p>
      <w:pPr>
        <w:pStyle w:val="Heading 2"/>
        <w:spacing w:line="360" w:lineRule="auto"/>
        <w:jc w:val="both"/>
        <w:rPr>
          <w:b w:val="1"/>
          <w:bCs w:val="1"/>
          <w:sz w:val="22"/>
          <w:szCs w:val="22"/>
        </w:rPr>
      </w:pPr>
      <w:bookmarkStart w:name="_Toc12" w:id="12"/>
      <w:r>
        <w:rPr>
          <w:b w:val="1"/>
          <w:bCs w:val="1"/>
          <w:sz w:val="22"/>
          <w:szCs w:val="22"/>
          <w:rtl w:val="0"/>
          <w:lang w:val="en-US"/>
        </w:rPr>
        <w:t xml:space="preserve">Good practices </w:t>
      </w:r>
      <w:bookmarkEnd w:id="12"/>
    </w:p>
    <w:p>
      <w:pPr>
        <w:pStyle w:val="Body"/>
        <w:spacing w:line="360" w:lineRule="auto"/>
        <w:jc w:val="both"/>
      </w:pPr>
      <w:r>
        <w:rPr>
          <w:rtl w:val="0"/>
          <w:lang w:val="en-US"/>
        </w:rPr>
        <w:t>The project that is mentioned in assessment 1 has been successful in fulfilling the motivation of reducing obesity. To make the project a more successful one, some good practices needed to be maintained. Those good practices are communication, loyalty and faith, transparency level, and investments (</w:t>
      </w:r>
      <w:r>
        <w:rPr>
          <w:outline w:val="0"/>
          <w:color w:val="222222"/>
          <w:u w:color="222222"/>
          <w:shd w:val="clear" w:color="auto" w:fill="ffffff"/>
          <w:rtl w:val="0"/>
          <w14:textFill>
            <w14:solidFill>
              <w14:srgbClr w14:val="222222"/>
            </w14:solidFill>
          </w14:textFill>
        </w:rPr>
        <w:t>YUKSEL, 2019)</w:t>
      </w:r>
      <w:r>
        <w:rPr>
          <w:rtl w:val="0"/>
          <w:lang w:val="en-US"/>
        </w:rPr>
        <w:t>. Communication is one of the most important things that is made to maintain a strong relationship with the people of the community and the event organisers. A regular track must be maintained with the people of the community about their health conditions. Positive measures must be taken in case of any kind of weight increase. Loyalty and faith which are the most important part of running an event or an organisation must be maintained in an organisation so that people can trust them for their benefit. This will also help to increase the popularity level of the organisation. The transparency level must be maintained so that stakeholders can be interested in organisational growth to a great extent.</w:t>
      </w:r>
    </w:p>
    <w:p>
      <w:pPr>
        <w:pStyle w:val="Heading"/>
        <w:spacing w:line="360" w:lineRule="auto"/>
        <w:jc w:val="both"/>
        <w:rPr>
          <w:b w:val="1"/>
          <w:bCs w:val="1"/>
          <w:sz w:val="22"/>
          <w:szCs w:val="22"/>
        </w:rPr>
      </w:pPr>
      <w:bookmarkStart w:name="_Toc13" w:id="13"/>
      <w:r>
        <w:rPr>
          <w:b w:val="1"/>
          <w:bCs w:val="1"/>
          <w:sz w:val="22"/>
          <w:szCs w:val="22"/>
          <w:rtl w:val="0"/>
          <w:lang w:val="fr-FR"/>
        </w:rPr>
        <w:t xml:space="preserve">Conclusion </w:t>
      </w:r>
      <w:bookmarkEnd w:id="13"/>
    </w:p>
    <w:p>
      <w:pPr>
        <w:pStyle w:val="Body"/>
        <w:spacing w:line="360" w:lineRule="auto"/>
        <w:jc w:val="both"/>
      </w:pPr>
      <w:r>
        <w:rPr>
          <w:rtl w:val="0"/>
          <w:lang w:val="en-US"/>
        </w:rPr>
        <w:t>Therefore, it can be concluded that the report has explained community engagement as an important part of social development. Community engagement has a strong objective for the benefit of the community. Likewise, it has been seen in the case of diabetes professional care where the organisation has stepped forward positivity of reducing the weight of the people which is termed as obesity and is caused due to the effect of high diabetes. The organisation has a strong position in society for developing the project that can ever the people of the community look into their health. The organisation has also arranged the involvement of the stakeholder which is a vital part of running as the large investment is made by the stakeholders only. Besides this, social media is also played an important role in spreading the popularity of the organisation. The people of the organisation's well a relationship with the community by tracking their regular health and all the health-related problems caused due to diabetes.</w:t>
      </w:r>
    </w:p>
    <w:p>
      <w:pPr>
        <w:pStyle w:val="Body"/>
        <w:spacing w:line="360" w:lineRule="auto"/>
        <w:jc w:val="both"/>
      </w:pPr>
      <w:r>
        <w:rPr>
          <w:rFonts w:ascii="Arial Unicode MS" w:cs="Arial Unicode MS" w:hAnsi="Arial Unicode MS" w:eastAsia="Arial Unicode MS"/>
          <w:b w:val="0"/>
          <w:bCs w:val="0"/>
          <w:i w:val="0"/>
          <w:iCs w:val="0"/>
        </w:rPr>
        <w:br w:type="page"/>
      </w:r>
    </w:p>
    <w:p>
      <w:pPr>
        <w:pStyle w:val="Heading"/>
        <w:spacing w:line="360" w:lineRule="auto"/>
        <w:jc w:val="both"/>
        <w:rPr>
          <w:rFonts w:ascii="Times New Roman" w:cs="Times New Roman" w:hAnsi="Times New Roman" w:eastAsia="Times New Roman"/>
          <w:b w:val="1"/>
          <w:bCs w:val="1"/>
          <w:sz w:val="28"/>
          <w:szCs w:val="28"/>
        </w:rPr>
      </w:pPr>
      <w:bookmarkStart w:name="_Toc14" w:id="14"/>
      <w:r>
        <w:rPr>
          <w:rFonts w:ascii="Times New Roman" w:hAnsi="Times New Roman"/>
          <w:b w:val="1"/>
          <w:bCs w:val="1"/>
          <w:sz w:val="28"/>
          <w:szCs w:val="28"/>
          <w:rtl w:val="0"/>
          <w:lang w:val="fr-FR"/>
        </w:rPr>
        <w:t>References</w:t>
      </w:r>
      <w:bookmarkEnd w:id="14"/>
    </w:p>
    <w:p>
      <w:pPr>
        <w:pStyle w:val="Body"/>
        <w:spacing w:line="360" w:lineRule="auto"/>
        <w:jc w:val="both"/>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Abimbola, S., 2020. Beyond positive a priori bias: reframing community engagement in LMICs.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Health Promotion International</w:t>
      </w:r>
      <w:r>
        <w:rPr>
          <w:rFonts w:ascii="Times New Roman" w:hAnsi="Times New Roman"/>
          <w:outline w:val="0"/>
          <w:color w:val="222222"/>
          <w:sz w:val="24"/>
          <w:szCs w:val="24"/>
          <w:u w:color="222222"/>
          <w:shd w:val="clear" w:color="auto" w:fill="ffffff"/>
          <w:rtl w:val="0"/>
          <w14:textFill>
            <w14:solidFill>
              <w14:srgbClr w14:val="222222"/>
            </w14:solidFill>
          </w14:textFill>
        </w:rPr>
        <w:t xml:space="preserve">,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35</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(3), pp.598-609. Available at: </w:t>
      </w:r>
      <w:r>
        <w:rPr>
          <w:rStyle w:val="Hyperlink.0"/>
        </w:rPr>
        <w:fldChar w:fldCharType="begin" w:fldLock="0"/>
      </w:r>
      <w:r>
        <w:rPr>
          <w:rStyle w:val="Hyperlink.0"/>
        </w:rPr>
        <w:instrText xml:space="preserve"> HYPERLINK "https://www.researchgate.net/profile/Seye-Abimbola/publication/332464771_Beyond_positive_a_priori_bias_reframing_community_engagement_in_LMICs/links/5ee3ebe1299bf1faac525637/Beyond-positive-a-priori-bias-reframing-community-engagement-in-LMICs.pdf"</w:instrText>
      </w:r>
      <w:r>
        <w:rPr>
          <w:rStyle w:val="Hyperlink.0"/>
        </w:rPr>
        <w:fldChar w:fldCharType="separate" w:fldLock="0"/>
      </w:r>
      <w:r>
        <w:rPr>
          <w:rStyle w:val="Hyperlink.0"/>
          <w:rtl w:val="0"/>
          <w:lang w:val="en-US"/>
        </w:rPr>
        <w:t>https://www.researchgate.net/profile/Seye-Abimbola/publication/332464771_Beyond_positive_a_priori_bias_reframing_community_engagement_in_LMICs/links/5ee3ebe1299bf1faac525637/Beyond-positive-a-priori-bias-reframing-community-engagement-in-LMICs.pdf</w:t>
      </w:r>
      <w:r>
        <w:rPr/>
        <w:fldChar w:fldCharType="end" w:fldLock="0"/>
      </w:r>
    </w:p>
    <w:p>
      <w:pPr>
        <w:pStyle w:val="Body"/>
        <w:spacing w:line="360" w:lineRule="auto"/>
        <w:jc w:val="both"/>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Esdaile, E., Thow, A.M., Gill, T., Sacks, G., Golley, R., Love, P., Wen, L.M. and Rissel, C., 2019. National policies to prevent obesity in early childhood: Using policy mapping to compare policy lessons for Australia with six developed countries.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Obesity reviews</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xml:space="preserve">,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20</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xml:space="preserve">(11), pp.1542-1556. Avaialble at: </w:t>
      </w:r>
      <w:r>
        <w:rPr>
          <w:rStyle w:val="Hyperlink.0"/>
        </w:rPr>
        <w:fldChar w:fldCharType="begin" w:fldLock="0"/>
      </w:r>
      <w:r>
        <w:rPr>
          <w:rStyle w:val="Hyperlink.0"/>
        </w:rPr>
        <w:instrText xml:space="preserve"> HYPERLINK "https://onlinelibrary.wiley.com/doi/am-pdf/10.1111/obr.12925"</w:instrText>
      </w:r>
      <w:r>
        <w:rPr>
          <w:rStyle w:val="Hyperlink.0"/>
        </w:rPr>
        <w:fldChar w:fldCharType="separate" w:fldLock="0"/>
      </w:r>
      <w:r>
        <w:rPr>
          <w:rStyle w:val="Hyperlink.0"/>
          <w:rtl w:val="0"/>
          <w:lang w:val="pt-PT"/>
        </w:rPr>
        <w:t>https://onlinelibrary.wiley.com/doi/am-pdf/10.1111/obr.12925</w:t>
      </w:r>
      <w:r>
        <w:rPr/>
        <w:fldChar w:fldCharType="end" w:fldLock="0"/>
      </w:r>
    </w:p>
    <w:p>
      <w:pPr>
        <w:pStyle w:val="Body"/>
        <w:spacing w:line="360" w:lineRule="auto"/>
        <w:jc w:val="both"/>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Fae, A., Almansouri, B.E., Heck, D.E. and Kim, H.D., 2021. Molecular dynamics in COPD following diets and environmental stressor: Obesity leverage of health care utilize Omics.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GSC Biological and Pharmaceutical Sciences</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xml:space="preserve">,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17</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xml:space="preserve">(2), pp.131-138. Avaialble at: </w:t>
      </w:r>
      <w:r>
        <w:rPr>
          <w:rStyle w:val="Hyperlink.0"/>
        </w:rPr>
        <w:fldChar w:fldCharType="begin" w:fldLock="0"/>
      </w:r>
      <w:r>
        <w:rPr>
          <w:rStyle w:val="Hyperlink.0"/>
        </w:rPr>
        <w:instrText xml:space="preserve"> HYPERLINK "https://gsconlinepress.com/journals/gscbps/sites/default/files/GSCBPS-2021-0228.pdf"</w:instrText>
      </w:r>
      <w:r>
        <w:rPr>
          <w:rStyle w:val="Hyperlink.0"/>
        </w:rPr>
        <w:fldChar w:fldCharType="separate" w:fldLock="0"/>
      </w:r>
      <w:r>
        <w:rPr>
          <w:rStyle w:val="Hyperlink.0"/>
          <w:rtl w:val="0"/>
          <w:lang w:val="en-US"/>
        </w:rPr>
        <w:t>https://gsconlinepress.com/journals/gscbps/sites/default/files/GSCBPS-2021-0228.pdf</w:t>
      </w:r>
      <w:r>
        <w:rPr/>
        <w:fldChar w:fldCharType="end" w:fldLock="0"/>
      </w:r>
    </w:p>
    <w:p>
      <w:pPr>
        <w:pStyle w:val="Body"/>
        <w:spacing w:line="360" w:lineRule="auto"/>
        <w:jc w:val="both"/>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Gentry-Maharaj, A. and Karpinskyj, C., 2020. Current and future approaches to screening for endometrial cancer.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Best practice &amp; research Clinical obstetrics &amp; gynaecology</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xml:space="preserve">,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65</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pp.79-97. Available at: </w:t>
      </w:r>
      <w:r>
        <w:rPr>
          <w:rStyle w:val="Hyperlink.0"/>
        </w:rPr>
        <w:fldChar w:fldCharType="begin" w:fldLock="0"/>
      </w:r>
      <w:r>
        <w:rPr>
          <w:rStyle w:val="Hyperlink.0"/>
        </w:rPr>
        <w:instrText xml:space="preserve"> HYPERLINK "https://discovery.ucl.ac.uk/id/eprint/10094842/3/Karpinskyj_R1_YBEOG_Ch%252010_Screening%2520for%2520EC_Manuscript_Clean.pdf"</w:instrText>
      </w:r>
      <w:r>
        <w:rPr>
          <w:rStyle w:val="Hyperlink.0"/>
        </w:rPr>
        <w:fldChar w:fldCharType="separate" w:fldLock="0"/>
      </w:r>
      <w:r>
        <w:rPr>
          <w:rStyle w:val="Hyperlink.0"/>
          <w:rtl w:val="0"/>
          <w:lang w:val="en-US"/>
        </w:rPr>
        <w:t>https://discovery.ucl.ac.uk/id/eprint/10094842/3/Karpinskyj_R1_YBEOG_Ch%2010_Screening%20for%20EC_Manuscript_Clean.pdf</w:t>
      </w:r>
      <w:r>
        <w:rPr/>
        <w:fldChar w:fldCharType="end" w:fldLock="0"/>
      </w:r>
    </w:p>
    <w:p>
      <w:pPr>
        <w:pStyle w:val="Body"/>
        <w:spacing w:line="360" w:lineRule="auto"/>
        <w:jc w:val="both"/>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Hyperlink.0"/>
        </w:rPr>
        <w:fldChar w:fldCharType="begin" w:fldLock="0"/>
      </w:r>
      <w:r>
        <w:rPr>
          <w:rStyle w:val="Hyperlink.0"/>
        </w:rPr>
        <w:instrText xml:space="preserve"> HYPERLINK "https://discovery.ucl.ac.uk/id/eprint/10094842/3/Karpinskyj_R1_YBEOG_Ch%252010_Screening%2520for%2520EC_Manuscript_Clean.pdf"</w:instrText>
      </w:r>
      <w:r>
        <w:rPr>
          <w:rStyle w:val="Hyperlink.0"/>
        </w:rPr>
        <w:fldChar w:fldCharType="separate" w:fldLock="0"/>
      </w:r>
      <w:r>
        <w:rPr>
          <w:rStyle w:val="Hyperlink.0"/>
          <w:rtl w:val="0"/>
          <w:lang w:val="en-US"/>
        </w:rPr>
        <w:t>https://discovery.ucl.ac.uk/id/eprint/10094842/3/Karpinskyj_R1_YBEOG_Ch%2010_Screening%20for%20EC_Manuscript_Clean.pdf</w:t>
      </w:r>
      <w:r>
        <w:rPr/>
        <w:fldChar w:fldCharType="end" w:fldLock="0"/>
      </w:r>
    </w:p>
    <w:p>
      <w:pPr>
        <w:pStyle w:val="Body"/>
        <w:spacing w:line="360" w:lineRule="auto"/>
        <w:jc w:val="both"/>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Key, K.D., Furr-Holden, D., Lewis, E.Y., Cunningham, R., Zimmerman, M.A., Johnson-Lawrence, V. and Selig, S., 2019. The continuum of community engagement in research: A roadmap for understanding and assessing progress.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Progress in Community Health Partnerships: Research, Education, and Action</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xml:space="preserve">,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13</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(4), pp.427-434. Available at: </w:t>
      </w:r>
      <w:r>
        <w:rPr>
          <w:rStyle w:val="Hyperlink.0"/>
        </w:rPr>
        <w:fldChar w:fldCharType="begin" w:fldLock="0"/>
      </w:r>
      <w:r>
        <w:rPr>
          <w:rStyle w:val="Hyperlink.0"/>
        </w:rPr>
        <w:instrText xml:space="preserve"> HYPERLINK "https://www.researchgate.net/profile/Kent-Key-2/publication/338114927_The_Continuum_of_Community_Engagement_in_Research_A_Roadmap_for_Understanding_and_Assessing_Progress/links/5f2f596c92851cd302ea5778/The-Continuum-of-Community-Engagement-in-Research-A-Roadmap-for-Understanding-and-Assessing-Progress.pdf"</w:instrText>
      </w:r>
      <w:r>
        <w:rPr>
          <w:rStyle w:val="Hyperlink.0"/>
        </w:rPr>
        <w:fldChar w:fldCharType="separate" w:fldLock="0"/>
      </w:r>
      <w:r>
        <w:rPr>
          <w:rStyle w:val="Hyperlink.0"/>
          <w:rtl w:val="0"/>
          <w:lang w:val="en-US"/>
        </w:rPr>
        <w:t>https://www.researchgate.net/profile/Kent-Key-2/publication/338114927_The_Continuum_of_Community_Engagement_in_Research_A_Roadmap_for_Understanding_and_Assessing_Progress/links/5f2f596c92851cd302ea5778/The-Continuum-of-Community-Engagement-in-Research-A-Roadmap-for-Understanding-and-Assessing-Progress.pdf</w:t>
      </w:r>
      <w:r>
        <w:rPr/>
        <w:fldChar w:fldCharType="end" w:fldLock="0"/>
      </w:r>
    </w:p>
    <w:p>
      <w:pPr>
        <w:pStyle w:val="Body"/>
        <w:spacing w:line="360" w:lineRule="auto"/>
        <w:jc w:val="both"/>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Khan, S.S., Tarrant, M., Weston, D., Shah, P. and Farrow, C., 2018. Can raising awareness about the psychological causes of obesity reduce obesity stigma?.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Health communication</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xml:space="preserve">,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33</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(5), pp.585-592. Available at: </w:t>
      </w:r>
      <w:r>
        <w:rPr>
          <w:rStyle w:val="Hyperlink.0"/>
        </w:rPr>
        <w:fldChar w:fldCharType="begin" w:fldLock="0"/>
      </w:r>
      <w:r>
        <w:rPr>
          <w:rStyle w:val="Hyperlink.0"/>
        </w:rPr>
        <w:instrText xml:space="preserve"> HYPERLINK "https://publications.aston.ac.uk/id/eprint/30163/1/Obesity_stigma_raising_awareness_about_the_psychological_causes_of_obesity.pdf"</w:instrText>
      </w:r>
      <w:r>
        <w:rPr>
          <w:rStyle w:val="Hyperlink.0"/>
        </w:rPr>
        <w:fldChar w:fldCharType="separate" w:fldLock="0"/>
      </w:r>
      <w:r>
        <w:rPr>
          <w:rStyle w:val="Hyperlink.0"/>
          <w:rtl w:val="0"/>
          <w:lang w:val="en-US"/>
        </w:rPr>
        <w:t>https://publications.aston.ac.uk/id/eprint/30163/1/Obesity_stigma_raising_awareness_about_the_psychological_causes_of_obesity.pdf</w:t>
      </w:r>
      <w:r>
        <w:rPr/>
        <w:fldChar w:fldCharType="end" w:fldLock="0"/>
      </w:r>
    </w:p>
    <w:p>
      <w:pPr>
        <w:pStyle w:val="Body"/>
        <w:spacing w:line="360" w:lineRule="auto"/>
        <w:jc w:val="both"/>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Kwon, J., Reeve, E., Mann, D., Swinburn, B. and Sacks, G., 2022. Benchmarking for accountability on obesity prevention: evaluation of the Healthy Food Environment Policy Index (Food-EPI) in Australia (2016</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xml:space="preserve">2020).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Public health nutrition</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xml:space="preserve">,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25</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xml:space="preserve">(2), pp.488-497. Avaialble at: </w:t>
      </w:r>
      <w:r>
        <w:rPr>
          <w:rStyle w:val="Hyperlink.0"/>
        </w:rPr>
        <w:fldChar w:fldCharType="begin" w:fldLock="0"/>
      </w:r>
      <w:r>
        <w:rPr>
          <w:rStyle w:val="Hyperlink.0"/>
        </w:rPr>
        <w:instrText xml:space="preserve"> HYPERLINK "https://www.cambridge.org/core/services/aop-cambridge-core/content/view/2AC4C809F820E4A039A9C9C2DD7B689A/S136898002100447Xa.pdf/benchmarking_for_accountability_on_obesity_prevention_evaluation_of_the_healthy_food_environment_policy_index_foodepi_in_australia_20162020.pdf"</w:instrText>
      </w:r>
      <w:r>
        <w:rPr>
          <w:rStyle w:val="Hyperlink.0"/>
        </w:rPr>
        <w:fldChar w:fldCharType="separate" w:fldLock="0"/>
      </w:r>
      <w:r>
        <w:rPr>
          <w:rStyle w:val="Hyperlink.0"/>
          <w:rtl w:val="0"/>
          <w:lang w:val="en-US"/>
        </w:rPr>
        <w:t>https://www.cambridge.org/core/services/aop-cambridge-core/content/view/2AC4C809F820E4A039A9C9C2DD7B689A/S136898002100447Xa.pdf/benchmarking_for_accountability_on_obesity_prevention_evaluation_of_the_healthy_food_environment_policy_index_foodepi_in_australia_20162020.pdf</w:t>
      </w:r>
      <w:r>
        <w:rPr/>
        <w:fldChar w:fldCharType="end" w:fldLock="0"/>
      </w:r>
    </w:p>
    <w:p>
      <w:pPr>
        <w:pStyle w:val="Body"/>
        <w:spacing w:line="360" w:lineRule="auto"/>
        <w:jc w:val="both"/>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Liao, H. and dos Santos Lonsdale, M., 2018. Improving obesity prevention among university students through a tailored information design approach.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Information Design Journal</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xml:space="preserve">,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24</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(1), pp.3-25. Available at: </w:t>
      </w:r>
      <w:r>
        <w:rPr>
          <w:rStyle w:val="Hyperlink.0"/>
        </w:rPr>
        <w:fldChar w:fldCharType="begin" w:fldLock="0"/>
      </w:r>
      <w:r>
        <w:rPr>
          <w:rStyle w:val="Hyperlink.0"/>
        </w:rPr>
        <w:instrText xml:space="preserve"> HYPERLINK "https://eprints.whiterose.ac.uk/128264/1/Lonsdale%2520&amp;%2338%3B%2520Liao_2018_Motion%2520Graphics%2520Obesity_IDJ.pdf"</w:instrText>
      </w:r>
      <w:r>
        <w:rPr>
          <w:rStyle w:val="Hyperlink.0"/>
        </w:rPr>
        <w:fldChar w:fldCharType="separate" w:fldLock="0"/>
      </w:r>
      <w:r>
        <w:rPr>
          <w:rStyle w:val="Hyperlink.0"/>
          <w:rtl w:val="0"/>
          <w:lang w:val="en-US"/>
        </w:rPr>
        <w:t>https://eprints.whiterose.ac.uk/128264/1/Lonsdale%20%26%2338%3B%20Liao_2018_Motion%20Graphics%20Obesity_IDJ.pdf</w:t>
      </w:r>
      <w:r>
        <w:rPr/>
        <w:fldChar w:fldCharType="end" w:fldLock="0"/>
      </w:r>
    </w:p>
    <w:p>
      <w:pPr>
        <w:pStyle w:val="Body"/>
        <w:spacing w:line="360" w:lineRule="auto"/>
        <w:jc w:val="both"/>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Naja-Riese, A., Keller, K.J., Bruno, P., Foerster, S.B., Puma, J., Whetstone, L., MkNelly, B., Cullinen, K., Jacobs, L. and Sugerman, S., 2019. The SNAP-Ed Evaluation Framework: demonstrating the impact of a national framework for obesity prevention in low-income populations.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Translational behavioural medicine</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xml:space="preserve">,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9</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(5), pp.970-979. Available at: </w:t>
      </w:r>
      <w:r>
        <w:rPr>
          <w:rStyle w:val="Hyperlink.0"/>
        </w:rPr>
        <w:fldChar w:fldCharType="begin" w:fldLock="0"/>
      </w:r>
      <w:r>
        <w:rPr>
          <w:rStyle w:val="Hyperlink.0"/>
        </w:rPr>
        <w:instrText xml:space="preserve"> HYPERLINK "https://watermark.silverchair.com/ibz115.pdf?token=AQECAHi208BE49Ooan9kkhW_Ercy7Dm3ZL_9Cf3qfKAc485ysgAAArowggK2BgkqhkiG9w0BBwagggKnMIICowIBADCCApwGCSqGSIb3DQEHATAeBglghkgBZQMEAS4wEQQM9QcWWF0g_fj_20IRAgEQgIICbfd59iDdY8Rl483rYmer9z6CtCVbZheMmT3IGcULkIZtL07QHIYIpt8xPTS-q0cCEIU6hPZ2oNBopcZqKJj8KC4_kkFfREan3nnV8EyLchkeXaK-RYk93l9CaPF8QoR89CJynk-gFJf57Jo_5AWgLWgMckqhjImWKLZy9uG-VcMkdrVzFCXRDuBlvHNLpJRoOnSvEy-e8ooII253U_qtF5UMGygJsPGuHFR3iiymwGalTkDvKSnp4O6UQ64UzXr-9iu4dij_6JFDaUS0BQG-iBoumJVP4zFWhBs6T2yceUqq8aGohCMeqz1I4n7LykZ5uzJ8l0NnS5sgMthJnZXMK0IZl2EwMfxx1h45XjolEd-rcxlucP3C0S2j1AIkCqXcSJdiflQjjub1G_oPc-JKqwWbRlOGNb8Wfr9Mf00MSZLf1p6-QosChTJvW43jg120cH8u4jKN9IH9UArSrzwc2uTzC0W_sgnCLMVWKCoar8MJ6xh9_PbEhTbvihn4zf4YuF9BRNllHmn5cvK3KWiOJnfRBOkHSG9lCAPJ2LT5MQb0KeJGWNsQV3iqeA_o5ceB3Y3V-XX5peBdt786TxlgfKH4VJ3U-VsT_nZ018gM5DNJpDP1EodGKdoa-SeRbuw7-oxTJcYHzQdi5mEe4E8uHdQqTiW67oXBZyAc6xt9WkcRloYz3u57p7gpDyUNE0z4DMmBLDvhIuLVllyo6ADMnZQnvvT4LfGWNlYJy09djRD0TJ3Lk4MYqenGDVDslwBd8dQbCadclE3B_P2Gr_CtgoGDqj7Xdq0CRoGlis9hsC5dReKNJ5SBB9l9lRLQBA"</w:instrText>
      </w:r>
      <w:r>
        <w:rPr>
          <w:rStyle w:val="Hyperlink.0"/>
        </w:rPr>
        <w:fldChar w:fldCharType="separate" w:fldLock="0"/>
      </w:r>
      <w:r>
        <w:rPr>
          <w:rStyle w:val="Hyperlink.0"/>
          <w:rtl w:val="0"/>
          <w:lang w:val="de-DE"/>
        </w:rPr>
        <w:t>https://watermark.silverchair.com/ibz115.pdf?token=AQECAHi208BE49Ooan9kkhW_Ercy7Dm3ZL_9Cf3qfKAc485ysgAAArowggK2BgkqhkiG9w0BBwagggKnMIICowIBADCCApwGCSqGSIb3DQEHATAeBglghkgBZQMEAS4wEQQM9QcWWF0g_fj_20IRAgEQgIICbfd59iDdY8Rl483rYmer9z6CtCVbZheMmT3IGcULkIZtL07QHIYIpt8xPTS-q0cCEIU6hPZ2oNBopcZqKJj8KC4_kkFfREan3nnV8EyLchkeXaK-RYk93l9CaPF8QoR89CJynk-gFJf57Jo_5AWgLWgMckqhjImWKLZy9uG-VcMkdrVzFCXRDuBlvHNLpJRoOnSvEy-e8ooII253U_qtF5UMGygJsPGuHFR3iiymwGalTkDvKSnp4O6UQ64UzXr-9iu4dij_6JFDaUS0BQG-iBoumJVP4zFWhBs6T2yceUqq8aGohCMeqz1I4n7LykZ5uzJ8l0NnS5sgMthJnZXMK0IZl2EwMfxx1h45XjolEd-rcxlucP3C0S2j1AIkCqXcSJdiflQjjub1G_oPc-JKqwWbRlOGNb8Wfr9Mf00MSZLf1p6-QosChTJvW43jg120cH8u4jKN9IH9UArSrzwc2uTzC0W_sgnCLMVWKCoar8MJ6xh9_PbEhTbvihn4zf4YuF9BRNllHmn5cvK3KWiOJnfRBOkHSG9lCAPJ2LT5MQb0KeJGWNsQV3iqeA_o5ceB3Y3V-XX5peBdt786TxlgfKH4VJ3U-VsT_nZ018gM5DNJpDP1EodGKdoa-SeRbuw7-oxTJcYHzQdi5mEe4E8uHdQqTiW67oXBZyAc6xt9WkcRloYz3u57p7gpDyUNE0z4DMmBLDvhIuLVllyo6ADMnZQnvvT4LfGWNlYJy09djRD0TJ3Lk4MYqenGDVDslwBd8dQbCadclE3B_P2Gr_CtgoGDqj7Xdq0CRoGlis9hsC5dReKNJ5SBB9l9lRLQBA</w:t>
      </w:r>
      <w:r>
        <w:rPr/>
        <w:fldChar w:fldCharType="end" w:fldLock="0"/>
      </w:r>
    </w:p>
    <w:p>
      <w:pPr>
        <w:pStyle w:val="Body"/>
        <w:spacing w:line="360" w:lineRule="auto"/>
        <w:jc w:val="both"/>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Xue, H., Slivka, L., Igusa, T., Huang, T.T. and Wang, Y., 2018. Applications of systems modelling in obesity research.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Obesity reviews</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xml:space="preserve">,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19</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(9), pp.1293-1308. Available at: </w:t>
      </w:r>
      <w:r>
        <w:rPr>
          <w:rStyle w:val="Hyperlink.0"/>
        </w:rPr>
        <w:fldChar w:fldCharType="begin" w:fldLock="0"/>
      </w:r>
      <w:r>
        <w:rPr>
          <w:rStyle w:val="Hyperlink.0"/>
        </w:rPr>
        <w:instrText xml:space="preserve"> HYPERLINK "https://systems.jhu.edu/wp-content/uploads/2019/03/igusa-Applications-of-systems-modelling-in-obesity-research.pdf"</w:instrText>
      </w:r>
      <w:r>
        <w:rPr>
          <w:rStyle w:val="Hyperlink.0"/>
        </w:rPr>
        <w:fldChar w:fldCharType="separate" w:fldLock="0"/>
      </w:r>
      <w:r>
        <w:rPr>
          <w:rStyle w:val="Hyperlink.0"/>
          <w:rtl w:val="0"/>
          <w:lang w:val="en-US"/>
        </w:rPr>
        <w:t>https://systems.jhu.edu/wp-content/uploads/2019/03/igusa-Applications-of-systems-modelling-in-obesity-research.pdf</w:t>
      </w:r>
      <w:r>
        <w:rPr/>
        <w:fldChar w:fldCharType="end" w:fldLock="0"/>
      </w:r>
    </w:p>
    <w:p>
      <w:pPr>
        <w:pStyle w:val="Body"/>
        <w:spacing w:line="360" w:lineRule="auto"/>
        <w:jc w:val="both"/>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YUKSEL, H., 2019. Social determinants of obesity: The case of Turkey.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S</w:t>
      </w:r>
      <w:r>
        <w:rPr>
          <w:rStyle w:val="None"/>
          <w:rFonts w:ascii="Times New Roman" w:hAnsi="Times New Roman" w:hint="default"/>
          <w:i w:val="1"/>
          <w:iCs w:val="1"/>
          <w:outline w:val="0"/>
          <w:color w:val="222222"/>
          <w:sz w:val="24"/>
          <w:szCs w:val="24"/>
          <w:u w:color="222222"/>
          <w:shd w:val="clear" w:color="auto" w:fill="ffffff"/>
          <w:rtl w:val="0"/>
          <w:lang w:val="en-US"/>
          <w14:textFill>
            <w14:solidFill>
              <w14:srgbClr w14:val="222222"/>
            </w14:solidFill>
          </w14:textFill>
        </w:rPr>
        <w:t>ü</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 xml:space="preserve">leyman Demirel </w:t>
      </w:r>
      <w:r>
        <w:rPr>
          <w:rStyle w:val="None"/>
          <w:rFonts w:ascii="Times New Roman" w:hAnsi="Times New Roman" w:hint="default"/>
          <w:i w:val="1"/>
          <w:iCs w:val="1"/>
          <w:outline w:val="0"/>
          <w:color w:val="222222"/>
          <w:sz w:val="24"/>
          <w:szCs w:val="24"/>
          <w:u w:color="222222"/>
          <w:shd w:val="clear" w:color="auto" w:fill="ffffff"/>
          <w:rtl w:val="0"/>
          <w:lang w:val="en-US"/>
          <w14:textFill>
            <w14:solidFill>
              <w14:srgbClr w14:val="222222"/>
            </w14:solidFill>
          </w14:textFill>
        </w:rPr>
        <w:t>Ü</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niversitesi Fen-Edebiyat Fak</w:t>
      </w:r>
      <w:r>
        <w:rPr>
          <w:rStyle w:val="None"/>
          <w:rFonts w:ascii="Times New Roman" w:hAnsi="Times New Roman" w:hint="default"/>
          <w:i w:val="1"/>
          <w:iCs w:val="1"/>
          <w:outline w:val="0"/>
          <w:color w:val="222222"/>
          <w:sz w:val="24"/>
          <w:szCs w:val="24"/>
          <w:u w:color="222222"/>
          <w:shd w:val="clear" w:color="auto" w:fill="ffffff"/>
          <w:rtl w:val="0"/>
          <w:lang w:val="en-US"/>
          <w14:textFill>
            <w14:solidFill>
              <w14:srgbClr w14:val="222222"/>
            </w14:solidFill>
          </w14:textFill>
        </w:rPr>
        <w:t>ü</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ltesi Sosyal Bilimler Dergisi</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(48), pp.15-33. Available at: </w:t>
      </w:r>
      <w:r>
        <w:rPr>
          <w:rStyle w:val="Hyperlink.0"/>
        </w:rPr>
        <w:fldChar w:fldCharType="begin" w:fldLock="0"/>
      </w:r>
      <w:r>
        <w:rPr>
          <w:rStyle w:val="Hyperlink.0"/>
        </w:rPr>
        <w:instrText xml:space="preserve"> HYPERLINK "https://dergipark.org.tr/en/download/article-file/908704"</w:instrText>
      </w:r>
      <w:r>
        <w:rPr>
          <w:rStyle w:val="Hyperlink.0"/>
        </w:rPr>
        <w:fldChar w:fldCharType="separate" w:fldLock="0"/>
      </w:r>
      <w:r>
        <w:rPr>
          <w:rStyle w:val="Hyperlink.0"/>
          <w:rtl w:val="0"/>
          <w:lang w:val="en-US"/>
        </w:rPr>
        <w:t>https://dergipark.org.tr/en/download/article-file/908704</w:t>
      </w:r>
      <w:r>
        <w:rPr/>
        <w:fldChar w:fldCharType="end" w:fldLock="0"/>
      </w:r>
    </w:p>
    <w:sectPr>
      <w:headerReference w:type="default" r:id="rId4"/>
      <w:headerReference w:type="first" r:id="rId5"/>
      <w:footerReference w:type="default" r:id="rId6"/>
      <w:footerReference w:type="first" r:id="rId7"/>
      <w:pgSz w:w="11900" w:h="16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right"/>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r>
    <w:r>
      <w:rPr>
        <w:b w:val="1"/>
        <w:bCs w:val="1"/>
        <w:rtl w:val="0"/>
      </w:rPr>
      <w:fldChar w:fldCharType="end" w:fldLock="0"/>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fr-FR"/>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365f91"/>
      <w:spacing w:val="0"/>
      <w:kern w:val="0"/>
      <w:position w:val="0"/>
      <w:sz w:val="32"/>
      <w:szCs w:val="32"/>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360" w:lineRule="auto"/>
      <w:ind w:left="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00" w:after="120" w:line="276" w:lineRule="auto"/>
      <w:ind w:left="0" w:right="0" w:firstLine="0"/>
      <w:jc w:val="left"/>
      <w:outlineLvl w:val="0"/>
    </w:pPr>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360" w:lineRule="auto"/>
      <w:ind w:left="22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360" w:after="120" w:line="276" w:lineRule="auto"/>
      <w:ind w:left="0" w:right="0" w:firstLine="0"/>
      <w:jc w:val="left"/>
      <w:outlineLvl w:val="1"/>
    </w:pPr>
    <w:rPr>
      <w:rFonts w:ascii="Arial" w:cs="Arial" w:hAnsi="Arial" w:eastAsia="Arial"/>
      <w:b w:val="0"/>
      <w:bCs w:val="0"/>
      <w:i w:val="0"/>
      <w:iCs w:val="0"/>
      <w:caps w:val="0"/>
      <w:smallCaps w:val="0"/>
      <w:strike w:val="0"/>
      <w:dstrike w:val="0"/>
      <w:outline w:val="0"/>
      <w:color w:val="000000"/>
      <w:spacing w:val="0"/>
      <w:kern w:val="0"/>
      <w:position w:val="0"/>
      <w:sz w:val="32"/>
      <w:szCs w:val="32"/>
      <w:u w:val="none" w:color="000000"/>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rFonts w:ascii="Times New Roman" w:cs="Times New Roman" w:hAnsi="Times New Roman" w:eastAsia="Times New Roman"/>
      <w:outline w:val="0"/>
      <w:color w:val="1155cc"/>
      <w:sz w:val="24"/>
      <w:szCs w:val="24"/>
      <w:u w:val="single" w:color="1155cc"/>
      <w:shd w:val="clear" w:color="auto" w:fill="ffffff"/>
      <w14:textFill>
        <w14:solidFill>
          <w14:srgbClr w14:val="1155CC"/>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