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75CC2" w14:textId="77777777" w:rsidR="00427BD2" w:rsidRDefault="00427BD2">
      <w:pPr>
        <w:jc w:val="center"/>
        <w:rPr>
          <w:b/>
          <w:sz w:val="32"/>
        </w:rPr>
      </w:pPr>
    </w:p>
    <w:p w14:paraId="388C02D3" w14:textId="77777777" w:rsidR="00427BD2" w:rsidRDefault="00427BD2">
      <w:pPr>
        <w:jc w:val="center"/>
        <w:rPr>
          <w:b/>
          <w:sz w:val="32"/>
        </w:rPr>
      </w:pPr>
    </w:p>
    <w:p w14:paraId="55B29B1E" w14:textId="77777777" w:rsidR="00427BD2" w:rsidRDefault="00427BD2">
      <w:pPr>
        <w:jc w:val="center"/>
        <w:rPr>
          <w:b/>
          <w:sz w:val="32"/>
        </w:rPr>
      </w:pPr>
    </w:p>
    <w:p w14:paraId="4E814BB6" w14:textId="77777777" w:rsidR="00427BD2" w:rsidRDefault="00427BD2">
      <w:pPr>
        <w:jc w:val="center"/>
        <w:rPr>
          <w:b/>
          <w:sz w:val="32"/>
        </w:rPr>
      </w:pPr>
    </w:p>
    <w:p w14:paraId="221EEB0B" w14:textId="77777777" w:rsidR="00FA5AB7" w:rsidRDefault="00FA5AB7" w:rsidP="00FA5AB7">
      <w:pPr>
        <w:jc w:val="both"/>
        <w:rPr>
          <w:rFonts w:cs="Arial"/>
          <w:b/>
          <w:bCs/>
          <w:sz w:val="36"/>
          <w:szCs w:val="36"/>
        </w:rPr>
      </w:pPr>
    </w:p>
    <w:p w14:paraId="06AC44F7" w14:textId="77777777" w:rsidR="00FA5AB7" w:rsidRDefault="00FA5AB7" w:rsidP="00FA5AB7">
      <w:pPr>
        <w:jc w:val="both"/>
        <w:rPr>
          <w:rFonts w:cs="Arial"/>
          <w:b/>
          <w:bCs/>
          <w:sz w:val="36"/>
          <w:szCs w:val="36"/>
        </w:rPr>
      </w:pPr>
    </w:p>
    <w:p w14:paraId="10CCCEE3" w14:textId="172BCEE1" w:rsidR="00FA5AB7" w:rsidRPr="00FA5AB7" w:rsidRDefault="00FA5AB7" w:rsidP="00FA5AB7">
      <w:pPr>
        <w:jc w:val="both"/>
        <w:rPr>
          <w:rFonts w:cs="Arial"/>
          <w:b/>
          <w:bCs/>
          <w:sz w:val="36"/>
          <w:szCs w:val="36"/>
        </w:rPr>
      </w:pPr>
      <w:r w:rsidRPr="00FA5AB7">
        <w:rPr>
          <w:rFonts w:cs="Arial"/>
          <w:b/>
          <w:bCs/>
          <w:sz w:val="36"/>
          <w:szCs w:val="36"/>
        </w:rPr>
        <w:t xml:space="preserve">Name: </w:t>
      </w:r>
      <w:proofErr w:type="spellStart"/>
      <w:r w:rsidRPr="00FA5AB7">
        <w:rPr>
          <w:rFonts w:cs="Arial"/>
          <w:b/>
          <w:bCs/>
          <w:sz w:val="36"/>
          <w:szCs w:val="36"/>
        </w:rPr>
        <w:t>Shazea</w:t>
      </w:r>
      <w:proofErr w:type="spellEnd"/>
      <w:r w:rsidRPr="00FA5AB7">
        <w:rPr>
          <w:rFonts w:cs="Arial"/>
          <w:b/>
          <w:bCs/>
          <w:sz w:val="36"/>
          <w:szCs w:val="36"/>
        </w:rPr>
        <w:t xml:space="preserve"> Rani</w:t>
      </w:r>
    </w:p>
    <w:p w14:paraId="1C2985A0" w14:textId="77777777" w:rsidR="00FA5AB7" w:rsidRPr="00FA5AB7" w:rsidRDefault="00FA5AB7" w:rsidP="00FA5AB7">
      <w:pPr>
        <w:jc w:val="both"/>
        <w:rPr>
          <w:rFonts w:cs="Arial"/>
          <w:b/>
          <w:bCs/>
          <w:sz w:val="36"/>
          <w:szCs w:val="36"/>
        </w:rPr>
      </w:pPr>
      <w:r w:rsidRPr="00FA5AB7">
        <w:rPr>
          <w:rFonts w:cs="Arial"/>
          <w:b/>
          <w:bCs/>
          <w:sz w:val="36"/>
          <w:szCs w:val="36"/>
        </w:rPr>
        <w:t>Student ID: 2532629</w:t>
      </w:r>
    </w:p>
    <w:p w14:paraId="659C5C6E" w14:textId="155DF264" w:rsidR="00427BD2" w:rsidRPr="00FA5AB7" w:rsidRDefault="00FA5AB7" w:rsidP="00FA5AB7">
      <w:pPr>
        <w:rPr>
          <w:rFonts w:cs="Arial"/>
          <w:b/>
          <w:sz w:val="36"/>
          <w:szCs w:val="36"/>
        </w:rPr>
      </w:pPr>
      <w:r w:rsidRPr="00FA5AB7">
        <w:rPr>
          <w:rFonts w:cs="Arial"/>
          <w:b/>
          <w:bCs/>
          <w:sz w:val="36"/>
          <w:szCs w:val="36"/>
        </w:rPr>
        <w:t>Module: Introduction to Health and Social Care</w:t>
      </w:r>
    </w:p>
    <w:p w14:paraId="754F7CFC" w14:textId="482FF837" w:rsidR="005E29FB" w:rsidRPr="00FA5AB7" w:rsidRDefault="00000000" w:rsidP="00FA5AB7">
      <w:pPr>
        <w:rPr>
          <w:rFonts w:cs="Arial"/>
          <w:b/>
          <w:sz w:val="36"/>
          <w:szCs w:val="36"/>
        </w:rPr>
      </w:pPr>
      <w:r w:rsidRPr="00FA5AB7">
        <w:rPr>
          <w:rFonts w:cs="Arial"/>
          <w:b/>
          <w:sz w:val="36"/>
          <w:szCs w:val="36"/>
        </w:rPr>
        <w:t>C</w:t>
      </w:r>
      <w:r w:rsidR="00FA5AB7" w:rsidRPr="00FA5AB7">
        <w:rPr>
          <w:rFonts w:cs="Arial"/>
          <w:b/>
          <w:sz w:val="36"/>
          <w:szCs w:val="36"/>
        </w:rPr>
        <w:t>omponent</w:t>
      </w:r>
      <w:r w:rsidRPr="00FA5AB7">
        <w:rPr>
          <w:rFonts w:cs="Arial"/>
          <w:b/>
          <w:sz w:val="36"/>
          <w:szCs w:val="36"/>
        </w:rPr>
        <w:t xml:space="preserve"> 1: </w:t>
      </w:r>
      <w:r w:rsidR="00FA5AB7" w:rsidRPr="00FA5AB7">
        <w:rPr>
          <w:rFonts w:cs="Arial"/>
          <w:b/>
          <w:sz w:val="36"/>
          <w:szCs w:val="36"/>
        </w:rPr>
        <w:t>Coursework Portfolio</w:t>
      </w:r>
    </w:p>
    <w:p w14:paraId="0FFDD4CB" w14:textId="4F8C9590" w:rsidR="00FA5AB7" w:rsidRPr="00FA5AB7" w:rsidRDefault="00FA5AB7" w:rsidP="00FA5AB7">
      <w:pPr>
        <w:rPr>
          <w:rFonts w:cs="Arial"/>
          <w:sz w:val="36"/>
          <w:szCs w:val="36"/>
        </w:rPr>
      </w:pPr>
      <w:r w:rsidRPr="00FA5AB7">
        <w:rPr>
          <w:rFonts w:cs="Arial"/>
          <w:b/>
          <w:sz w:val="36"/>
          <w:szCs w:val="36"/>
        </w:rPr>
        <w:t xml:space="preserve">Module Lead: </w:t>
      </w:r>
      <w:r w:rsidRPr="00FA5AB7">
        <w:rPr>
          <w:rFonts w:cs="Arial"/>
          <w:b/>
          <w:bCs/>
          <w:sz w:val="36"/>
          <w:szCs w:val="36"/>
          <w:lang w:val="fr-FR"/>
        </w:rPr>
        <w:t xml:space="preserve">Dr Helen Parsons </w:t>
      </w:r>
    </w:p>
    <w:p w14:paraId="325876B7" w14:textId="77777777" w:rsidR="005E29FB" w:rsidRDefault="00000000">
      <w:r>
        <w:br w:type="page"/>
      </w:r>
    </w:p>
    <w:p w14:paraId="06CF13D7" w14:textId="77777777" w:rsidR="005E29FB" w:rsidRPr="00B67497" w:rsidRDefault="00000000">
      <w:pPr>
        <w:pStyle w:val="Heading1"/>
        <w:rPr>
          <w:rFonts w:ascii="Arial" w:hAnsi="Arial" w:cs="Arial"/>
          <w:color w:val="auto"/>
          <w:sz w:val="22"/>
          <w:szCs w:val="22"/>
        </w:rPr>
      </w:pPr>
      <w:r w:rsidRPr="00B67497">
        <w:rPr>
          <w:rFonts w:ascii="Arial" w:hAnsi="Arial" w:cs="Arial"/>
          <w:color w:val="auto"/>
          <w:sz w:val="22"/>
          <w:szCs w:val="22"/>
        </w:rPr>
        <w:lastRenderedPageBreak/>
        <w:t>Task 1 – Guided Scenario Response: Community Mental Health Services</w:t>
      </w:r>
    </w:p>
    <w:p w14:paraId="5138CBE9" w14:textId="23BCAC95" w:rsidR="005E29FB" w:rsidRPr="00B67497" w:rsidRDefault="00000000">
      <w:pPr>
        <w:rPr>
          <w:rFonts w:cs="Arial"/>
        </w:rPr>
      </w:pPr>
      <w:r w:rsidRPr="00B67497">
        <w:rPr>
          <w:rFonts w:cs="Arial"/>
          <w:b/>
        </w:rPr>
        <w:t xml:space="preserve">To: </w:t>
      </w:r>
      <w:r w:rsidR="00B67497" w:rsidRPr="00B67497">
        <w:rPr>
          <w:rFonts w:cs="Arial"/>
        </w:rPr>
        <w:t>Councilor</w:t>
      </w:r>
      <w:r w:rsidRPr="00B67497">
        <w:rPr>
          <w:rFonts w:cs="Arial"/>
        </w:rPr>
        <w:t xml:space="preserve"> </w:t>
      </w:r>
      <w:r w:rsidR="00B67497">
        <w:rPr>
          <w:rFonts w:cs="Arial"/>
        </w:rPr>
        <w:t>XYZ</w:t>
      </w:r>
      <w:r w:rsidRPr="00B67497">
        <w:rPr>
          <w:rFonts w:cs="Arial"/>
        </w:rPr>
        <w:t xml:space="preserve">, Cabinet Member for Adult Social Care, </w:t>
      </w:r>
      <w:r w:rsidR="00B67497">
        <w:rPr>
          <w:rFonts w:cs="Arial"/>
        </w:rPr>
        <w:t>Birmingham</w:t>
      </w:r>
      <w:r w:rsidRPr="00B67497">
        <w:rPr>
          <w:rFonts w:cs="Arial"/>
        </w:rPr>
        <w:t xml:space="preserve"> Council</w:t>
      </w:r>
    </w:p>
    <w:p w14:paraId="0AF39B50" w14:textId="77777777" w:rsidR="005E29FB" w:rsidRPr="00B67497" w:rsidRDefault="00000000">
      <w:pPr>
        <w:rPr>
          <w:rFonts w:cs="Arial"/>
        </w:rPr>
      </w:pPr>
      <w:r w:rsidRPr="00B67497">
        <w:rPr>
          <w:rFonts w:cs="Arial"/>
          <w:b/>
        </w:rPr>
        <w:t xml:space="preserve">From: </w:t>
      </w:r>
      <w:r w:rsidRPr="00B67497">
        <w:rPr>
          <w:rFonts w:cs="Arial"/>
        </w:rPr>
        <w:t>Student</w:t>
      </w:r>
    </w:p>
    <w:p w14:paraId="3E9A1498" w14:textId="31DB0BB7" w:rsidR="005E29FB" w:rsidRPr="00B67497" w:rsidRDefault="00000000">
      <w:pPr>
        <w:rPr>
          <w:rFonts w:cs="Arial"/>
        </w:rPr>
      </w:pPr>
      <w:r w:rsidRPr="00B67497">
        <w:rPr>
          <w:rFonts w:cs="Arial"/>
          <w:b/>
        </w:rPr>
        <w:t xml:space="preserve">Subject: </w:t>
      </w:r>
      <w:r w:rsidRPr="00B67497">
        <w:rPr>
          <w:rFonts w:cs="Arial"/>
        </w:rPr>
        <w:t xml:space="preserve">Improving access to community mental health services in </w:t>
      </w:r>
      <w:r w:rsidR="00B67497">
        <w:rPr>
          <w:rFonts w:cs="Arial"/>
        </w:rPr>
        <w:t>Birmingham</w:t>
      </w:r>
    </w:p>
    <w:p w14:paraId="3814DE77" w14:textId="2BEFC2A2" w:rsidR="005E29FB" w:rsidRPr="00B67497" w:rsidRDefault="00000000">
      <w:pPr>
        <w:rPr>
          <w:rFonts w:cs="Arial"/>
        </w:rPr>
      </w:pPr>
      <w:r w:rsidRPr="00B67497">
        <w:rPr>
          <w:rFonts w:cs="Arial"/>
          <w:b/>
        </w:rPr>
        <w:t xml:space="preserve">Date: </w:t>
      </w:r>
      <w:r w:rsidR="00B67497">
        <w:rPr>
          <w:rFonts w:cs="Arial"/>
        </w:rPr>
        <w:t xml:space="preserve">16 </w:t>
      </w:r>
      <w:r w:rsidRPr="00B67497">
        <w:rPr>
          <w:rFonts w:cs="Arial"/>
        </w:rPr>
        <w:t>October 2026</w:t>
      </w:r>
    </w:p>
    <w:p w14:paraId="13A74D81" w14:textId="77777777" w:rsidR="005E29FB" w:rsidRPr="00B67497" w:rsidRDefault="00000000">
      <w:pPr>
        <w:pStyle w:val="Heading2"/>
        <w:rPr>
          <w:rFonts w:ascii="Arial" w:hAnsi="Arial" w:cs="Arial"/>
          <w:color w:val="auto"/>
          <w:sz w:val="22"/>
          <w:szCs w:val="22"/>
        </w:rPr>
      </w:pPr>
      <w:r w:rsidRPr="00B67497">
        <w:rPr>
          <w:rFonts w:ascii="Arial" w:hAnsi="Arial" w:cs="Arial"/>
          <w:color w:val="auto"/>
          <w:sz w:val="22"/>
          <w:szCs w:val="22"/>
        </w:rPr>
        <w:t>Introduction</w:t>
      </w:r>
    </w:p>
    <w:p w14:paraId="14551247" w14:textId="2897A48E" w:rsidR="005E29FB" w:rsidRPr="00B67497" w:rsidRDefault="00000000">
      <w:pPr>
        <w:rPr>
          <w:rFonts w:cs="Arial"/>
        </w:rPr>
      </w:pPr>
      <w:r w:rsidRPr="00B67497">
        <w:rPr>
          <w:rFonts w:cs="Arial"/>
        </w:rPr>
        <w:t>Community mental health services provide support to adults who are experiencing mental health problems that affect their daily lives. Support can include assessment, treatment, recovery planning, psychological support</w:t>
      </w:r>
      <w:r w:rsidR="00427BD2">
        <w:rPr>
          <w:rFonts w:cs="Arial"/>
        </w:rPr>
        <w:t>,</w:t>
      </w:r>
      <w:r w:rsidRPr="00B67497">
        <w:rPr>
          <w:rFonts w:cs="Arial"/>
        </w:rPr>
        <w:t xml:space="preserve"> and help with social needs. Good community services are important because they can help people manage their mental health without always needing hospital treatment. In </w:t>
      </w:r>
      <w:r w:rsidR="002D0E5C">
        <w:rPr>
          <w:rFonts w:cs="Arial"/>
        </w:rPr>
        <w:t>Birmingham</w:t>
      </w:r>
      <w:r w:rsidRPr="00B67497">
        <w:rPr>
          <w:rFonts w:cs="Arial"/>
        </w:rPr>
        <w:t>, improving access to mental health support should remain a priority because mental health is closely connected to people's housing, employment, relationships, physical health</w:t>
      </w:r>
      <w:r w:rsidR="00510527">
        <w:rPr>
          <w:rFonts w:cs="Arial"/>
        </w:rPr>
        <w:t>,</w:t>
      </w:r>
      <w:r w:rsidRPr="00B67497">
        <w:rPr>
          <w:rFonts w:cs="Arial"/>
        </w:rPr>
        <w:t xml:space="preserve"> and overall well-being. The Care Act 2014 also places important duties on local authorities to promote well-being, prevent needs for care and support, and work with other </w:t>
      </w:r>
      <w:r w:rsidR="0009793C" w:rsidRPr="00B67497">
        <w:rPr>
          <w:rFonts w:cs="Arial"/>
        </w:rPr>
        <w:t>organizations</w:t>
      </w:r>
      <w:r w:rsidRPr="00B67497">
        <w:rPr>
          <w:rFonts w:cs="Arial"/>
        </w:rPr>
        <w:t>.</w:t>
      </w:r>
      <w:r w:rsidR="0009793C">
        <w:rPr>
          <w:rFonts w:cs="Arial"/>
        </w:rPr>
        <w:t xml:space="preserve"> </w:t>
      </w:r>
      <w:r w:rsidR="0009793C" w:rsidRPr="0009793C">
        <w:rPr>
          <w:rFonts w:cs="Arial"/>
        </w:rPr>
        <w:t xml:space="preserve">(Birchwood et al., </w:t>
      </w:r>
      <w:r w:rsidR="0009793C">
        <w:rPr>
          <w:rFonts w:cs="Arial"/>
        </w:rPr>
        <w:t>2018</w:t>
      </w:r>
      <w:r w:rsidR="0009793C" w:rsidRPr="0009793C">
        <w:rPr>
          <w:rFonts w:cs="Arial"/>
        </w:rPr>
        <w:t>)</w:t>
      </w:r>
    </w:p>
    <w:p w14:paraId="1EAADB0D" w14:textId="77777777" w:rsidR="005E29FB" w:rsidRPr="00B67497" w:rsidRDefault="00000000">
      <w:pPr>
        <w:pStyle w:val="Heading2"/>
        <w:rPr>
          <w:rFonts w:ascii="Arial" w:hAnsi="Arial" w:cs="Arial"/>
          <w:color w:val="auto"/>
          <w:sz w:val="22"/>
          <w:szCs w:val="22"/>
        </w:rPr>
      </w:pPr>
      <w:r w:rsidRPr="00B67497">
        <w:rPr>
          <w:rFonts w:ascii="Arial" w:hAnsi="Arial" w:cs="Arial"/>
          <w:color w:val="auto"/>
          <w:sz w:val="22"/>
          <w:szCs w:val="22"/>
        </w:rPr>
        <w:t>Impact of the issue on the community</w:t>
      </w:r>
    </w:p>
    <w:p w14:paraId="1BA2507A" w14:textId="77777777" w:rsidR="005E29FB" w:rsidRPr="00B67497" w:rsidRDefault="00000000">
      <w:pPr>
        <w:rPr>
          <w:rFonts w:cs="Arial"/>
        </w:rPr>
      </w:pPr>
      <w:r w:rsidRPr="00B67497">
        <w:rPr>
          <w:rFonts w:cs="Arial"/>
        </w:rPr>
        <w:t>When people cannot get mental health support at the right time, their problems may become more serious. A person may struggle to work, study, look after their family or maintain relationships. They may also become socially isolated or need more intensive support later. For some people, a delay in receiving help can lead to a crisis and possible admission to hospital.</w:t>
      </w:r>
    </w:p>
    <w:p w14:paraId="3CF60820" w14:textId="77777777" w:rsidR="005E29FB" w:rsidRPr="00B67497" w:rsidRDefault="00000000">
      <w:pPr>
        <w:rPr>
          <w:rFonts w:cs="Arial"/>
        </w:rPr>
      </w:pPr>
      <w:r w:rsidRPr="00B67497">
        <w:rPr>
          <w:rFonts w:cs="Arial"/>
        </w:rPr>
        <w:t>The impact is not only on the person using the service. Families and unpaid carers can also experience stress when they are trying to support someone without enough professional help. Pressure can also increase on GPs, emergency departments, ambulance services, social care and mental health hospitals.</w:t>
      </w:r>
    </w:p>
    <w:p w14:paraId="136A3B3B" w14:textId="3E21358C" w:rsidR="00667401" w:rsidRPr="00667401" w:rsidRDefault="00667401" w:rsidP="00667401">
      <w:pPr>
        <w:rPr>
          <w:rFonts w:cs="Arial"/>
        </w:rPr>
      </w:pPr>
      <w:r>
        <w:rPr>
          <w:rFonts w:cs="Arial"/>
        </w:rPr>
        <w:t>Birmingham</w:t>
      </w:r>
      <w:r w:rsidRPr="00B67497">
        <w:rPr>
          <w:rFonts w:cs="Arial"/>
        </w:rPr>
        <w:t xml:space="preserve"> Adult Social Care Transformation Plan 2024–2027 highlights the importance of prevention, early support, independence and partnership working. This approach is relevant to mental health because early community support can help people stay well and remain connected to their local community. The Care Quality Commission also expects local authorities to work with partners so that people can access joined-up care and support</w:t>
      </w:r>
      <w:r>
        <w:rPr>
          <w:rFonts w:cs="Arial"/>
        </w:rPr>
        <w:t>.</w:t>
      </w:r>
      <w:r w:rsidR="00427BD2">
        <w:rPr>
          <w:rFonts w:cs="Arial"/>
        </w:rPr>
        <w:t xml:space="preserve"> </w:t>
      </w:r>
      <w:r w:rsidRPr="00667401">
        <w:rPr>
          <w:rFonts w:cs="Arial"/>
        </w:rPr>
        <w:t>(Lotinga, 2015)</w:t>
      </w:r>
    </w:p>
    <w:p w14:paraId="45A2891E" w14:textId="6D6F0D50" w:rsidR="005E29FB" w:rsidRPr="00B67497" w:rsidRDefault="005E29FB">
      <w:pPr>
        <w:rPr>
          <w:rFonts w:cs="Arial"/>
        </w:rPr>
      </w:pPr>
    </w:p>
    <w:p w14:paraId="07732768" w14:textId="77777777" w:rsidR="005E29FB" w:rsidRPr="00B67497" w:rsidRDefault="00000000">
      <w:pPr>
        <w:pStyle w:val="Heading2"/>
        <w:rPr>
          <w:rFonts w:ascii="Arial" w:hAnsi="Arial" w:cs="Arial"/>
          <w:color w:val="auto"/>
          <w:sz w:val="22"/>
          <w:szCs w:val="22"/>
        </w:rPr>
      </w:pPr>
      <w:r w:rsidRPr="00B67497">
        <w:rPr>
          <w:rFonts w:ascii="Arial" w:hAnsi="Arial" w:cs="Arial"/>
          <w:color w:val="auto"/>
          <w:sz w:val="22"/>
          <w:szCs w:val="22"/>
        </w:rPr>
        <w:t>Recommended response</w:t>
      </w:r>
    </w:p>
    <w:p w14:paraId="67BB7CA6" w14:textId="5F6971BF" w:rsidR="005E29FB" w:rsidRPr="00B67497" w:rsidRDefault="00000000">
      <w:pPr>
        <w:rPr>
          <w:rFonts w:cs="Arial"/>
        </w:rPr>
      </w:pPr>
      <w:r w:rsidRPr="00B67497">
        <w:rPr>
          <w:rFonts w:cs="Arial"/>
        </w:rPr>
        <w:t xml:space="preserve">I recommend that </w:t>
      </w:r>
      <w:r w:rsidR="00B67497">
        <w:rPr>
          <w:rFonts w:cs="Arial"/>
        </w:rPr>
        <w:t>Birmingham</w:t>
      </w:r>
      <w:r w:rsidRPr="00B67497">
        <w:rPr>
          <w:rFonts w:cs="Arial"/>
        </w:rPr>
        <w:t xml:space="preserve"> Council works with the NHS, voluntary </w:t>
      </w:r>
      <w:proofErr w:type="spellStart"/>
      <w:r w:rsidRPr="00B67497">
        <w:rPr>
          <w:rFonts w:cs="Arial"/>
        </w:rPr>
        <w:t>organisations</w:t>
      </w:r>
      <w:proofErr w:type="spellEnd"/>
      <w:r w:rsidRPr="00B67497">
        <w:rPr>
          <w:rFonts w:cs="Arial"/>
        </w:rPr>
        <w:t>, GPs, housing services and people who use mental health services to strengthen community mental health support. The main aim should be to make support easier to access before problems become a crisis.</w:t>
      </w:r>
    </w:p>
    <w:p w14:paraId="14EC23F1" w14:textId="0618655B" w:rsidR="00427BD2" w:rsidRPr="00427BD2" w:rsidRDefault="00000000" w:rsidP="00427BD2">
      <w:pPr>
        <w:rPr>
          <w:rFonts w:cs="Arial"/>
        </w:rPr>
      </w:pPr>
      <w:r w:rsidRPr="00B67497">
        <w:rPr>
          <w:rFonts w:cs="Arial"/>
        </w:rPr>
        <w:t>The Care Act 2014 provides a strong legal basis for this approach. Section 1 requires local authorities to promote individual well-being. This includes mental health and emotional well-being, protection from abuse and neglect, suitable living arrangements, and maintaining relationships with other people</w:t>
      </w:r>
      <w:r w:rsidR="00667401">
        <w:rPr>
          <w:rFonts w:cs="Arial"/>
        </w:rPr>
        <w:t xml:space="preserve">. </w:t>
      </w:r>
      <w:r w:rsidRPr="00B67497">
        <w:rPr>
          <w:rFonts w:cs="Arial"/>
        </w:rPr>
        <w:t>Section 2 requires councils to provide or arrange services, facilities or resources that help prevent, reduce or delay people's needs for care and support</w:t>
      </w:r>
      <w:r w:rsidR="00667401">
        <w:rPr>
          <w:rFonts w:cs="Arial"/>
        </w:rPr>
        <w:t xml:space="preserve">. </w:t>
      </w:r>
      <w:r w:rsidRPr="00B67497">
        <w:rPr>
          <w:rFonts w:cs="Arial"/>
        </w:rPr>
        <w:t xml:space="preserve">Section 3 also requires cooperation between the local authority and relevant partner </w:t>
      </w:r>
      <w:proofErr w:type="spellStart"/>
      <w:r w:rsidRPr="00B67497">
        <w:rPr>
          <w:rFonts w:cs="Arial"/>
        </w:rPr>
        <w:t>organisations</w:t>
      </w:r>
      <w:proofErr w:type="spellEnd"/>
      <w:r w:rsidRPr="00B67497">
        <w:rPr>
          <w:rFonts w:cs="Arial"/>
        </w:rPr>
        <w:t>, including health services.</w:t>
      </w:r>
      <w:r w:rsidR="00427BD2">
        <w:rPr>
          <w:rFonts w:cs="Arial"/>
        </w:rPr>
        <w:t xml:space="preserve"> </w:t>
      </w:r>
      <w:r w:rsidR="00427BD2" w:rsidRPr="00427BD2">
        <w:rPr>
          <w:rFonts w:cs="Arial"/>
        </w:rPr>
        <w:t>(</w:t>
      </w:r>
      <w:proofErr w:type="spellStart"/>
      <w:r w:rsidR="00427BD2" w:rsidRPr="00427BD2">
        <w:rPr>
          <w:rFonts w:cs="Arial"/>
        </w:rPr>
        <w:t>Rabiee</w:t>
      </w:r>
      <w:proofErr w:type="spellEnd"/>
      <w:r w:rsidR="00427BD2" w:rsidRPr="00427BD2">
        <w:rPr>
          <w:rFonts w:cs="Arial"/>
        </w:rPr>
        <w:t>-Khan and P., 2014)</w:t>
      </w:r>
    </w:p>
    <w:p w14:paraId="1EA9CB2B" w14:textId="422B8062" w:rsidR="005E29FB" w:rsidRPr="00B67497" w:rsidRDefault="005E29FB">
      <w:pPr>
        <w:rPr>
          <w:rFonts w:cs="Arial"/>
        </w:rPr>
      </w:pPr>
    </w:p>
    <w:p w14:paraId="72E3E272" w14:textId="77777777" w:rsidR="005E29FB" w:rsidRPr="00B67497" w:rsidRDefault="00000000">
      <w:pPr>
        <w:rPr>
          <w:rFonts w:cs="Arial"/>
        </w:rPr>
      </w:pPr>
      <w:r w:rsidRPr="00B67497">
        <w:rPr>
          <w:rFonts w:cs="Arial"/>
        </w:rPr>
        <w:t xml:space="preserve">One practical response would be to create more accessible community drop-in and early-support services. These could provide mental health information, brief support, links to counselling, social activities and advice about housing and benefits. The council should also support voluntary and community </w:t>
      </w:r>
      <w:proofErr w:type="spellStart"/>
      <w:r w:rsidRPr="00B67497">
        <w:rPr>
          <w:rFonts w:cs="Arial"/>
        </w:rPr>
        <w:t>organisations</w:t>
      </w:r>
      <w:proofErr w:type="spellEnd"/>
      <w:r w:rsidRPr="00B67497">
        <w:rPr>
          <w:rFonts w:cs="Arial"/>
        </w:rPr>
        <w:t xml:space="preserve"> because they can often reach people who do not feel comfortable approaching formal services.</w:t>
      </w:r>
    </w:p>
    <w:p w14:paraId="2B73279A" w14:textId="77777777" w:rsidR="005E29FB" w:rsidRPr="00B67497" w:rsidRDefault="00000000">
      <w:pPr>
        <w:rPr>
          <w:rFonts w:cs="Arial"/>
        </w:rPr>
      </w:pPr>
      <w:r w:rsidRPr="00B67497">
        <w:rPr>
          <w:rFonts w:cs="Arial"/>
        </w:rPr>
        <w:t>Another recommendation is to improve communication between health and social care. People should not have to repeat their story to different services. With the person's consent, professionals should share relevant information safely so that support is better coordinated. People with lived experience should also be involved in designing and reviewing services.</w:t>
      </w:r>
    </w:p>
    <w:p w14:paraId="7BC2FFE8" w14:textId="280A8616" w:rsidR="005E29FB" w:rsidRPr="00B67497" w:rsidRDefault="00000000">
      <w:pPr>
        <w:rPr>
          <w:rFonts w:cs="Arial"/>
        </w:rPr>
      </w:pPr>
      <w:r w:rsidRPr="00B67497">
        <w:rPr>
          <w:rFonts w:cs="Arial"/>
        </w:rPr>
        <w:t>The council should monitor waiting times, access to services, service-user satisfaction, crisis referrals</w:t>
      </w:r>
      <w:r w:rsidR="00B67497">
        <w:rPr>
          <w:rFonts w:cs="Arial"/>
        </w:rPr>
        <w:t>,</w:t>
      </w:r>
      <w:r w:rsidRPr="00B67497">
        <w:rPr>
          <w:rFonts w:cs="Arial"/>
        </w:rPr>
        <w:t xml:space="preserve"> and whether people are able to achieve their personal goals. This would help show whether the investment is actually improving people's lives.</w:t>
      </w:r>
    </w:p>
    <w:p w14:paraId="02E053A2" w14:textId="77777777" w:rsidR="005E29FB" w:rsidRPr="00B67497" w:rsidRDefault="00000000">
      <w:pPr>
        <w:pStyle w:val="Heading2"/>
        <w:rPr>
          <w:rFonts w:ascii="Arial" w:hAnsi="Arial" w:cs="Arial"/>
          <w:color w:val="auto"/>
          <w:sz w:val="22"/>
          <w:szCs w:val="22"/>
        </w:rPr>
      </w:pPr>
      <w:r w:rsidRPr="00B67497">
        <w:rPr>
          <w:rFonts w:ascii="Arial" w:hAnsi="Arial" w:cs="Arial"/>
          <w:color w:val="auto"/>
          <w:sz w:val="22"/>
          <w:szCs w:val="22"/>
        </w:rPr>
        <w:t>Conclusion</w:t>
      </w:r>
    </w:p>
    <w:p w14:paraId="72F51423" w14:textId="42E5298F" w:rsidR="005E29FB" w:rsidRPr="00B67497" w:rsidRDefault="00000000">
      <w:pPr>
        <w:rPr>
          <w:rFonts w:cs="Arial"/>
        </w:rPr>
      </w:pPr>
      <w:r w:rsidRPr="00B67497">
        <w:rPr>
          <w:rFonts w:cs="Arial"/>
        </w:rPr>
        <w:t xml:space="preserve">Community mental health services are important because early and local support can help people maintain their independence and avoid reaching crisis point. </w:t>
      </w:r>
      <w:r w:rsidR="00B67497">
        <w:rPr>
          <w:rFonts w:cs="Arial"/>
        </w:rPr>
        <w:t>Birmingham</w:t>
      </w:r>
      <w:r w:rsidR="00B67497" w:rsidRPr="00B67497">
        <w:rPr>
          <w:rFonts w:cs="Arial"/>
        </w:rPr>
        <w:t xml:space="preserve"> </w:t>
      </w:r>
      <w:r w:rsidRPr="00B67497">
        <w:rPr>
          <w:rFonts w:cs="Arial"/>
        </w:rPr>
        <w:t>should continue to develop services that are easy to access, person-</w:t>
      </w:r>
      <w:proofErr w:type="spellStart"/>
      <w:r w:rsidRPr="00B67497">
        <w:rPr>
          <w:rFonts w:cs="Arial"/>
        </w:rPr>
        <w:t>centred</w:t>
      </w:r>
      <w:proofErr w:type="spellEnd"/>
      <w:r w:rsidRPr="00B67497">
        <w:rPr>
          <w:rFonts w:cs="Arial"/>
        </w:rPr>
        <w:t xml:space="preserve"> and connected to health and social care. This approach supports the Care Act 2014 duties to promote well-being, prevent or delay care needs and encourage partnership working. Improving community mental health support would benefit individuals, families and the wider local community.</w:t>
      </w:r>
    </w:p>
    <w:p w14:paraId="3F127BF4" w14:textId="77777777" w:rsidR="005E29FB" w:rsidRPr="00B67497" w:rsidRDefault="00000000">
      <w:pPr>
        <w:rPr>
          <w:rFonts w:cs="Arial"/>
        </w:rPr>
      </w:pPr>
      <w:r w:rsidRPr="00B67497">
        <w:rPr>
          <w:rFonts w:cs="Arial"/>
        </w:rPr>
        <w:br w:type="page"/>
      </w:r>
    </w:p>
    <w:p w14:paraId="432A0626" w14:textId="77777777" w:rsidR="005E29FB" w:rsidRPr="00B67497" w:rsidRDefault="00000000">
      <w:pPr>
        <w:pStyle w:val="Heading1"/>
        <w:rPr>
          <w:rFonts w:ascii="Arial" w:hAnsi="Arial" w:cs="Arial"/>
          <w:sz w:val="22"/>
          <w:szCs w:val="22"/>
        </w:rPr>
      </w:pPr>
      <w:r w:rsidRPr="00B67497">
        <w:rPr>
          <w:rFonts w:ascii="Arial" w:hAnsi="Arial" w:cs="Arial"/>
          <w:color w:val="auto"/>
          <w:sz w:val="22"/>
          <w:szCs w:val="22"/>
        </w:rPr>
        <w:lastRenderedPageBreak/>
        <w:t>Task 2 – Essay: Dental Services</w:t>
      </w:r>
    </w:p>
    <w:p w14:paraId="3E3AB6B9" w14:textId="29AD5C15" w:rsidR="005E29FB" w:rsidRPr="00B67497" w:rsidRDefault="00000000">
      <w:pPr>
        <w:rPr>
          <w:rFonts w:cs="Arial"/>
        </w:rPr>
      </w:pPr>
      <w:r w:rsidRPr="00B67497">
        <w:rPr>
          <w:rFonts w:cs="Arial"/>
        </w:rPr>
        <w:t>Dental services are an important part of healthcare because oral health affects eating, speaking, appearance, confidence and general health. Dental care in the UK has changed considerably over time. Today, people can receive treatment through NHS dental services as well as private dental practices. However, access to NHS dentistry can be difficult in some areas, making the service an important health and social care issue.</w:t>
      </w:r>
      <w:r w:rsidR="00427BD2">
        <w:rPr>
          <w:rFonts w:cs="Arial"/>
        </w:rPr>
        <w:t xml:space="preserve"> </w:t>
      </w:r>
      <w:r w:rsidR="00427BD2" w:rsidRPr="00427BD2">
        <w:rPr>
          <w:rFonts w:cs="Arial"/>
        </w:rPr>
        <w:t>(Steele, 2009)</w:t>
      </w:r>
    </w:p>
    <w:p w14:paraId="6D80A5A8" w14:textId="77777777" w:rsidR="005E29FB" w:rsidRPr="00B67497" w:rsidRDefault="00000000">
      <w:pPr>
        <w:pStyle w:val="Heading2"/>
        <w:rPr>
          <w:rFonts w:ascii="Arial" w:hAnsi="Arial" w:cs="Arial"/>
          <w:color w:val="auto"/>
          <w:sz w:val="22"/>
          <w:szCs w:val="22"/>
        </w:rPr>
      </w:pPr>
      <w:r w:rsidRPr="00B67497">
        <w:rPr>
          <w:rFonts w:ascii="Arial" w:hAnsi="Arial" w:cs="Arial"/>
          <w:color w:val="auto"/>
          <w:sz w:val="22"/>
          <w:szCs w:val="22"/>
        </w:rPr>
        <w:t>Origins and historical development</w:t>
      </w:r>
    </w:p>
    <w:p w14:paraId="7B5FFEAF" w14:textId="77777777" w:rsidR="005E29FB" w:rsidRPr="00B67497" w:rsidRDefault="00000000">
      <w:pPr>
        <w:rPr>
          <w:rFonts w:cs="Arial"/>
        </w:rPr>
      </w:pPr>
      <w:r w:rsidRPr="00B67497">
        <w:rPr>
          <w:rFonts w:cs="Arial"/>
        </w:rPr>
        <w:t>Dental care existed long before the modern NHS. People received dental treatment from individual practitioners, hospitals and other providers, but access depended heavily on location and ability to pay. A major change happened in 1948 when the National Health Service was created. NHS dental services became part of the new health system and were intended to make healthcare more available to the population.</w:t>
      </w:r>
    </w:p>
    <w:p w14:paraId="2CBA8C11" w14:textId="77777777" w:rsidR="005E29FB" w:rsidRPr="00B67497" w:rsidRDefault="00000000">
      <w:pPr>
        <w:rPr>
          <w:rFonts w:cs="Arial"/>
        </w:rPr>
      </w:pPr>
      <w:r w:rsidRPr="00B67497">
        <w:rPr>
          <w:rFonts w:cs="Arial"/>
        </w:rPr>
        <w:t>Over the years, dentistry developed from mainly treating painful or damaged teeth towards preventing oral disease. Fluoride toothpaste, better education about brushing and improvements in dental technology have helped reduce some forms of tooth decay. Dentists now provide examinations, fillings, crowns, extractions, preventive advice and other treatments.</w:t>
      </w:r>
    </w:p>
    <w:p w14:paraId="0B9C31D5" w14:textId="6AAF1870" w:rsidR="005E29FB" w:rsidRPr="00B67497" w:rsidRDefault="00000000">
      <w:pPr>
        <w:rPr>
          <w:rFonts w:cs="Arial"/>
        </w:rPr>
      </w:pPr>
      <w:r w:rsidRPr="00B67497">
        <w:rPr>
          <w:rFonts w:cs="Arial"/>
        </w:rPr>
        <w:t>Government policy has also increasingly focused on prevention. Children's oral health has received particular attention because tooth decay remains a common reason for hospital treatment among children. Community dental services have also developed to support people who may find it difficult to access ordinary high-street dental practices.</w:t>
      </w:r>
      <w:r w:rsidR="00427BD2">
        <w:rPr>
          <w:rFonts w:cs="Arial"/>
        </w:rPr>
        <w:t xml:space="preserve"> </w:t>
      </w:r>
      <w:r w:rsidR="00427BD2" w:rsidRPr="00427BD2">
        <w:rPr>
          <w:rFonts w:cs="Arial"/>
        </w:rPr>
        <w:t>(Blum, 2024)</w:t>
      </w:r>
    </w:p>
    <w:p w14:paraId="02308110" w14:textId="77777777" w:rsidR="005E29FB" w:rsidRPr="00B67497" w:rsidRDefault="00000000">
      <w:pPr>
        <w:pStyle w:val="Heading2"/>
        <w:rPr>
          <w:rFonts w:ascii="Arial" w:hAnsi="Arial" w:cs="Arial"/>
          <w:color w:val="auto"/>
          <w:sz w:val="22"/>
          <w:szCs w:val="22"/>
        </w:rPr>
      </w:pPr>
      <w:r w:rsidRPr="00B67497">
        <w:rPr>
          <w:rFonts w:ascii="Arial" w:hAnsi="Arial" w:cs="Arial"/>
          <w:color w:val="auto"/>
          <w:sz w:val="22"/>
          <w:szCs w:val="22"/>
        </w:rPr>
        <w:t>How dental services function today</w:t>
      </w:r>
    </w:p>
    <w:p w14:paraId="19D3FDA2" w14:textId="49B9D44E" w:rsidR="005E29FB" w:rsidRPr="00B67497" w:rsidRDefault="00000000">
      <w:pPr>
        <w:rPr>
          <w:rFonts w:cs="Arial"/>
        </w:rPr>
      </w:pPr>
      <w:r w:rsidRPr="00B67497">
        <w:rPr>
          <w:rFonts w:cs="Arial"/>
        </w:rPr>
        <w:t>Today, dental services are delivered through NHS, private and community providers. NHS dental services provide clinically necessary treatment, although patients may have to pay set NHS charges unless they are entitled to free treatment. Community dental services can provide care for people with additional needs, including some people with disabilities, complex health conditions</w:t>
      </w:r>
      <w:r w:rsidR="00B931C0">
        <w:rPr>
          <w:rFonts w:cs="Arial"/>
        </w:rPr>
        <w:t>,</w:t>
      </w:r>
      <w:r w:rsidRPr="00B67497">
        <w:rPr>
          <w:rFonts w:cs="Arial"/>
        </w:rPr>
        <w:t xml:space="preserve"> or difficulty accessing general dental services.</w:t>
      </w:r>
    </w:p>
    <w:p w14:paraId="74B5F9E1" w14:textId="4CDFFFDF" w:rsidR="005E29FB" w:rsidRPr="00B67497" w:rsidRDefault="00000000">
      <w:pPr>
        <w:rPr>
          <w:rFonts w:cs="Arial"/>
        </w:rPr>
      </w:pPr>
      <w:r w:rsidRPr="00B67497">
        <w:rPr>
          <w:rFonts w:cs="Arial"/>
        </w:rPr>
        <w:t>A normal dental appointment may include an examination of the teeth and gums, advice about oral hygiene</w:t>
      </w:r>
      <w:r w:rsidR="00AD77B2">
        <w:rPr>
          <w:rFonts w:cs="Arial"/>
        </w:rPr>
        <w:t>,</w:t>
      </w:r>
      <w:r w:rsidRPr="00B67497">
        <w:rPr>
          <w:rFonts w:cs="Arial"/>
        </w:rPr>
        <w:t xml:space="preserve"> and treatment when necessary. Dentists can identify problems such as tooth decay, gum disease, infection</w:t>
      </w:r>
      <w:r w:rsidR="00AD77B2">
        <w:rPr>
          <w:rFonts w:cs="Arial"/>
        </w:rPr>
        <w:t>,</w:t>
      </w:r>
      <w:r w:rsidRPr="00B67497">
        <w:rPr>
          <w:rFonts w:cs="Arial"/>
        </w:rPr>
        <w:t xml:space="preserve"> and oral abnormalities. Early identification is important because treatment is often easier and less expensive when a problem is found early.</w:t>
      </w:r>
    </w:p>
    <w:p w14:paraId="04402F44" w14:textId="36FB46AD" w:rsidR="005E29FB" w:rsidRPr="00B67497" w:rsidRDefault="00000000">
      <w:pPr>
        <w:rPr>
          <w:rFonts w:cs="Arial"/>
        </w:rPr>
      </w:pPr>
      <w:r w:rsidRPr="00B67497">
        <w:rPr>
          <w:rFonts w:cs="Arial"/>
        </w:rPr>
        <w:t xml:space="preserve">One major issue today is access to NHS dentistry. NHS England has </w:t>
      </w:r>
      <w:proofErr w:type="spellStart"/>
      <w:r w:rsidRPr="00B67497">
        <w:rPr>
          <w:rFonts w:cs="Arial"/>
        </w:rPr>
        <w:t>recognised</w:t>
      </w:r>
      <w:proofErr w:type="spellEnd"/>
      <w:r w:rsidRPr="00B67497">
        <w:rPr>
          <w:rFonts w:cs="Arial"/>
        </w:rPr>
        <w:t xml:space="preserve"> the need to improve access and increase the amount of NHS dental activity. Government plans have included measures intended to improve access, increase prevention and encourage dentists to provide more NHS care</w:t>
      </w:r>
      <w:r w:rsidR="00667401">
        <w:rPr>
          <w:rFonts w:cs="Arial"/>
        </w:rPr>
        <w:t xml:space="preserve">. </w:t>
      </w:r>
      <w:r w:rsidRPr="00B67497">
        <w:rPr>
          <w:rFonts w:cs="Arial"/>
        </w:rPr>
        <w:t>However, availability can vary between local areas, and some people find it difficult to register with an NHS dentist.</w:t>
      </w:r>
    </w:p>
    <w:p w14:paraId="51F6D791" w14:textId="7301DC6E" w:rsidR="00667401" w:rsidRPr="00667401" w:rsidRDefault="00000000" w:rsidP="00667401">
      <w:pPr>
        <w:rPr>
          <w:rFonts w:cs="Arial"/>
        </w:rPr>
      </w:pPr>
      <w:r w:rsidRPr="00B67497">
        <w:rPr>
          <w:rFonts w:cs="Arial"/>
        </w:rPr>
        <w:t>Access problems can affect people on lower incomes particularly strongly. If someone cannot obtain an NHS appointment, they may delay treatment or pay for private care if they can afford it. Delaying care can allow a small dental problem to become more serious. This can lead to pain, infection</w:t>
      </w:r>
      <w:r w:rsidR="00B67497">
        <w:rPr>
          <w:rFonts w:cs="Arial"/>
        </w:rPr>
        <w:t>,</w:t>
      </w:r>
      <w:r w:rsidRPr="00B67497">
        <w:rPr>
          <w:rFonts w:cs="Arial"/>
        </w:rPr>
        <w:t xml:space="preserve"> and, in some cases, emergency treatment.</w:t>
      </w:r>
      <w:r w:rsidR="00667401">
        <w:rPr>
          <w:rFonts w:cs="Arial"/>
        </w:rPr>
        <w:t xml:space="preserve"> </w:t>
      </w:r>
      <w:r w:rsidR="00667401" w:rsidRPr="00667401">
        <w:rPr>
          <w:rFonts w:cs="Arial"/>
        </w:rPr>
        <w:t>(Fawcett et al., 2020)</w:t>
      </w:r>
    </w:p>
    <w:p w14:paraId="2D62075D" w14:textId="05B8A46E" w:rsidR="005E29FB" w:rsidRPr="00B67497" w:rsidRDefault="005E29FB">
      <w:pPr>
        <w:rPr>
          <w:rFonts w:cs="Arial"/>
        </w:rPr>
      </w:pPr>
    </w:p>
    <w:p w14:paraId="24C15573" w14:textId="77777777" w:rsidR="005E29FB" w:rsidRPr="00B67497" w:rsidRDefault="00000000">
      <w:pPr>
        <w:pStyle w:val="Heading2"/>
        <w:rPr>
          <w:rFonts w:ascii="Arial" w:hAnsi="Arial" w:cs="Arial"/>
          <w:color w:val="auto"/>
          <w:sz w:val="22"/>
          <w:szCs w:val="22"/>
        </w:rPr>
      </w:pPr>
      <w:r w:rsidRPr="00B67497">
        <w:rPr>
          <w:rFonts w:ascii="Arial" w:hAnsi="Arial" w:cs="Arial"/>
          <w:color w:val="auto"/>
          <w:sz w:val="22"/>
          <w:szCs w:val="22"/>
        </w:rPr>
        <w:lastRenderedPageBreak/>
        <w:t>Importance for quality of life</w:t>
      </w:r>
    </w:p>
    <w:p w14:paraId="27F7EE60" w14:textId="77777777" w:rsidR="005E29FB" w:rsidRPr="00B67497" w:rsidRDefault="00000000">
      <w:pPr>
        <w:rPr>
          <w:rFonts w:cs="Arial"/>
        </w:rPr>
      </w:pPr>
      <w:r w:rsidRPr="00B67497">
        <w:rPr>
          <w:rFonts w:cs="Arial"/>
        </w:rPr>
        <w:t>Good dental health can improve a person's quality of life in many ways. Healthy teeth and gums allow people to eat comfortably and speak clearly. Good oral health can also improve confidence and reduce embarrassment or pain.</w:t>
      </w:r>
    </w:p>
    <w:p w14:paraId="6D80AB4B" w14:textId="74A5F3B3" w:rsidR="005E29FB" w:rsidRPr="00B67497" w:rsidRDefault="00000000">
      <w:pPr>
        <w:rPr>
          <w:rFonts w:cs="Arial"/>
        </w:rPr>
      </w:pPr>
      <w:r w:rsidRPr="00B67497">
        <w:rPr>
          <w:rFonts w:cs="Arial"/>
        </w:rPr>
        <w:t>Dental health is particularly important for children because tooth decay can affect sleep, eating, school attendance</w:t>
      </w:r>
      <w:r w:rsidR="00B67497">
        <w:rPr>
          <w:rFonts w:cs="Arial"/>
        </w:rPr>
        <w:t>,</w:t>
      </w:r>
      <w:r w:rsidRPr="00B67497">
        <w:rPr>
          <w:rFonts w:cs="Arial"/>
        </w:rPr>
        <w:t xml:space="preserve"> and concentration. For older people and people with disabilities, maintaining oral health can also support nutrition and general well-being. Good dental care can prevent avoidable pain and reduce the need for more serious treatment.</w:t>
      </w:r>
    </w:p>
    <w:p w14:paraId="7C3854F4" w14:textId="79E9CB64" w:rsidR="005E29FB" w:rsidRPr="00B67497" w:rsidRDefault="00000000">
      <w:pPr>
        <w:rPr>
          <w:rFonts w:cs="Arial"/>
        </w:rPr>
      </w:pPr>
      <w:r w:rsidRPr="00B67497">
        <w:rPr>
          <w:rFonts w:cs="Arial"/>
        </w:rPr>
        <w:t xml:space="preserve">Dental services are therefore not only about fixing teeth. They also contribute to prevention, early diagnosis and overall health. Better cooperation between dentists, GPs, health visitors, schools, social care and community </w:t>
      </w:r>
      <w:proofErr w:type="spellStart"/>
      <w:r w:rsidRPr="00B67497">
        <w:rPr>
          <w:rFonts w:cs="Arial"/>
        </w:rPr>
        <w:t>organisations</w:t>
      </w:r>
      <w:proofErr w:type="spellEnd"/>
      <w:r w:rsidRPr="00B67497">
        <w:rPr>
          <w:rFonts w:cs="Arial"/>
        </w:rPr>
        <w:t xml:space="preserve"> could help people receive oral health advice earlier.</w:t>
      </w:r>
      <w:r w:rsidR="00427BD2">
        <w:rPr>
          <w:rFonts w:cs="Arial"/>
        </w:rPr>
        <w:t xml:space="preserve"> </w:t>
      </w:r>
      <w:r w:rsidR="00427BD2" w:rsidRPr="00427BD2">
        <w:rPr>
          <w:rFonts w:cs="Arial"/>
        </w:rPr>
        <w:t>(Baiju et al., 2017)</w:t>
      </w:r>
    </w:p>
    <w:p w14:paraId="18200676" w14:textId="77777777" w:rsidR="005E29FB" w:rsidRPr="00B67497" w:rsidRDefault="00000000">
      <w:pPr>
        <w:pStyle w:val="Heading2"/>
        <w:rPr>
          <w:rFonts w:ascii="Arial" w:hAnsi="Arial" w:cs="Arial"/>
          <w:color w:val="auto"/>
          <w:sz w:val="22"/>
          <w:szCs w:val="22"/>
        </w:rPr>
      </w:pPr>
      <w:r w:rsidRPr="00B67497">
        <w:rPr>
          <w:rFonts w:ascii="Arial" w:hAnsi="Arial" w:cs="Arial"/>
          <w:color w:val="auto"/>
          <w:sz w:val="22"/>
          <w:szCs w:val="22"/>
        </w:rPr>
        <w:t>Conclusion</w:t>
      </w:r>
    </w:p>
    <w:p w14:paraId="18EF2ECB" w14:textId="77777777" w:rsidR="00B67497" w:rsidRPr="00B67497" w:rsidRDefault="00000000" w:rsidP="00B67497">
      <w:pPr>
        <w:rPr>
          <w:rFonts w:cs="Arial"/>
        </w:rPr>
      </w:pPr>
      <w:r w:rsidRPr="00B67497">
        <w:rPr>
          <w:rFonts w:cs="Arial"/>
        </w:rPr>
        <w:t>Dental services have developed from a mainly treatment-based service into a wider health service that includes prevention and early intervention. Although modern dentistry can provide effective treatment, access to NHS dental care remains an important challenge. Improving access, especially for vulnerable and lower-income groups, would reduce avoidable pain and improve health and quality of life. Overall, dental services are an important part of a healthy community and should be treated as part of wider healthcare rather than as a separate issue.</w:t>
      </w:r>
    </w:p>
    <w:p w14:paraId="2228A6C8" w14:textId="410C88F6" w:rsidR="005E29FB" w:rsidRPr="00B67497" w:rsidRDefault="00000000" w:rsidP="00B67497">
      <w:pPr>
        <w:rPr>
          <w:rFonts w:cs="Arial"/>
        </w:rPr>
      </w:pPr>
      <w:r w:rsidRPr="00B67497">
        <w:rPr>
          <w:rFonts w:cs="Arial"/>
          <w:b/>
          <w:bCs/>
        </w:rPr>
        <w:t>References</w:t>
      </w:r>
    </w:p>
    <w:p w14:paraId="4E6793AF" w14:textId="77777777" w:rsidR="0009793C" w:rsidRDefault="0009793C" w:rsidP="00004D0E">
      <w:pPr>
        <w:pStyle w:val="ListParagraph"/>
        <w:numPr>
          <w:ilvl w:val="0"/>
          <w:numId w:val="10"/>
        </w:numPr>
        <w:rPr>
          <w:rFonts w:cs="Arial"/>
        </w:rPr>
      </w:pPr>
      <w:r w:rsidRPr="00004D0E">
        <w:rPr>
          <w:rFonts w:cs="Arial"/>
        </w:rPr>
        <w:t>Birchwood, M., Singh, S., Lamb, Clare, Anderson, Y., Fiona, W.-G., Sedgewick, J., Thompson, A. and Upthegrove, R. (n.d.). [online] Available at: https://wrap.warwick.ac.uk/id/eprint/100545/7/WRAP-impact-process-evaluation-report-Birchwood-2018.pdf [Accessed 14 Oct. 2026].</w:t>
      </w:r>
    </w:p>
    <w:p w14:paraId="5E8AA099" w14:textId="77777777" w:rsidR="00004D0E" w:rsidRPr="00004D0E" w:rsidRDefault="00004D0E" w:rsidP="00004D0E">
      <w:pPr>
        <w:pStyle w:val="ListParagraph"/>
        <w:numPr>
          <w:ilvl w:val="0"/>
          <w:numId w:val="10"/>
        </w:numPr>
        <w:rPr>
          <w:rFonts w:cs="Arial"/>
        </w:rPr>
      </w:pPr>
      <w:r w:rsidRPr="00004D0E">
        <w:rPr>
          <w:rFonts w:cs="Arial"/>
        </w:rPr>
        <w:t xml:space="preserve">Blum, I.R. (2024). Primary care dentistry: Past, present and future. </w:t>
      </w:r>
      <w:r w:rsidRPr="00004D0E">
        <w:rPr>
          <w:rFonts w:cs="Arial"/>
          <w:i/>
          <w:iCs/>
        </w:rPr>
        <w:t>Journal of Dentistry</w:t>
      </w:r>
      <w:r w:rsidRPr="00004D0E">
        <w:rPr>
          <w:rFonts w:cs="Arial"/>
        </w:rPr>
        <w:t>, 145, p.105007. doi:10.1016/j.jdent.2024.105007.</w:t>
      </w:r>
    </w:p>
    <w:p w14:paraId="7D090826" w14:textId="0B30AFD4" w:rsidR="00004D0E" w:rsidRPr="00004D0E" w:rsidRDefault="00004D0E" w:rsidP="00004D0E">
      <w:pPr>
        <w:pStyle w:val="ListParagraph"/>
        <w:numPr>
          <w:ilvl w:val="0"/>
          <w:numId w:val="10"/>
        </w:numPr>
        <w:rPr>
          <w:rFonts w:cs="Arial"/>
        </w:rPr>
      </w:pPr>
      <w:r w:rsidRPr="00004D0E">
        <w:rPr>
          <w:rFonts w:cs="Arial"/>
        </w:rPr>
        <w:t xml:space="preserve">Baiju, R., Peter, E., Varghese, N. and Sivaram, R. (2017). Oral health and quality of life: Current concepts. </w:t>
      </w:r>
      <w:r w:rsidRPr="00004D0E">
        <w:rPr>
          <w:rFonts w:cs="Arial"/>
          <w:i/>
          <w:iCs/>
        </w:rPr>
        <w:t>Journal of Clinical and Diagnostic Research</w:t>
      </w:r>
      <w:r w:rsidRPr="00004D0E">
        <w:rPr>
          <w:rFonts w:cs="Arial"/>
        </w:rPr>
        <w:t>, [online] 11(6). doi:10.7860/</w:t>
      </w:r>
      <w:proofErr w:type="spellStart"/>
      <w:r w:rsidRPr="00004D0E">
        <w:rPr>
          <w:rFonts w:cs="Arial"/>
        </w:rPr>
        <w:t>jcdr</w:t>
      </w:r>
      <w:proofErr w:type="spellEnd"/>
      <w:r w:rsidRPr="00004D0E">
        <w:rPr>
          <w:rFonts w:cs="Arial"/>
        </w:rPr>
        <w:t>/2017/25866.10110.</w:t>
      </w:r>
    </w:p>
    <w:p w14:paraId="181AD351" w14:textId="77777777" w:rsidR="00667401" w:rsidRPr="00004D0E" w:rsidRDefault="00667401" w:rsidP="00004D0E">
      <w:pPr>
        <w:pStyle w:val="ListParagraph"/>
        <w:numPr>
          <w:ilvl w:val="0"/>
          <w:numId w:val="10"/>
        </w:numPr>
        <w:rPr>
          <w:rFonts w:cs="Arial"/>
        </w:rPr>
      </w:pPr>
      <w:r w:rsidRPr="00004D0E">
        <w:rPr>
          <w:rFonts w:cs="Arial"/>
        </w:rPr>
        <w:t xml:space="preserve">Fawcett, B., Johnson, M., </w:t>
      </w:r>
      <w:proofErr w:type="spellStart"/>
      <w:r w:rsidRPr="00004D0E">
        <w:rPr>
          <w:rFonts w:cs="Arial"/>
        </w:rPr>
        <w:t>Mould</w:t>
      </w:r>
      <w:proofErr w:type="spellEnd"/>
      <w:r w:rsidRPr="00004D0E">
        <w:rPr>
          <w:rFonts w:cs="Arial"/>
        </w:rPr>
        <w:t xml:space="preserve">, F. and Ubhi, J. (2020). Birmingham taking the initiative: Changes and challenges in working differently with adults. </w:t>
      </w:r>
      <w:r w:rsidRPr="00004D0E">
        <w:rPr>
          <w:rFonts w:cs="Arial"/>
          <w:i/>
          <w:iCs/>
        </w:rPr>
        <w:t>The British Journal of Social Work</w:t>
      </w:r>
      <w:r w:rsidRPr="00004D0E">
        <w:rPr>
          <w:rFonts w:cs="Arial"/>
        </w:rPr>
        <w:t>, 51(7), pp.2554–2570. doi:10.1093/</w:t>
      </w:r>
      <w:proofErr w:type="spellStart"/>
      <w:r w:rsidRPr="00004D0E">
        <w:rPr>
          <w:rFonts w:cs="Arial"/>
        </w:rPr>
        <w:t>bjsw</w:t>
      </w:r>
      <w:proofErr w:type="spellEnd"/>
      <w:r w:rsidRPr="00004D0E">
        <w:rPr>
          <w:rFonts w:cs="Arial"/>
        </w:rPr>
        <w:t>/bcaa109.</w:t>
      </w:r>
    </w:p>
    <w:p w14:paraId="2BADC2FF" w14:textId="77777777" w:rsidR="00667401" w:rsidRPr="00004D0E" w:rsidRDefault="00667401" w:rsidP="00004D0E">
      <w:pPr>
        <w:pStyle w:val="ListParagraph"/>
        <w:numPr>
          <w:ilvl w:val="0"/>
          <w:numId w:val="10"/>
        </w:numPr>
        <w:rPr>
          <w:rFonts w:cs="Arial"/>
        </w:rPr>
      </w:pPr>
      <w:r w:rsidRPr="00004D0E">
        <w:rPr>
          <w:rFonts w:cs="Arial"/>
        </w:rPr>
        <w:t xml:space="preserve">Lotinga, A. (2015). Context matters: General practice and social work – the Birmingham story. </w:t>
      </w:r>
      <w:r w:rsidRPr="00004D0E">
        <w:rPr>
          <w:rFonts w:cs="Arial"/>
          <w:i/>
          <w:iCs/>
        </w:rPr>
        <w:t>Journal of Integrated Care</w:t>
      </w:r>
      <w:r w:rsidRPr="00004D0E">
        <w:rPr>
          <w:rFonts w:cs="Arial"/>
        </w:rPr>
        <w:t>, [online] 23(2), pp.88–95. doi:10.1108/JICA-01-2015-0008.</w:t>
      </w:r>
    </w:p>
    <w:p w14:paraId="33B1F4C3" w14:textId="6AD69299" w:rsidR="00427BD2" w:rsidRPr="00004D0E" w:rsidRDefault="00427BD2" w:rsidP="00004D0E">
      <w:pPr>
        <w:pStyle w:val="ListParagraph"/>
        <w:numPr>
          <w:ilvl w:val="0"/>
          <w:numId w:val="10"/>
        </w:numPr>
        <w:rPr>
          <w:rFonts w:cs="Arial"/>
        </w:rPr>
      </w:pPr>
      <w:r w:rsidRPr="00004D0E">
        <w:rPr>
          <w:rFonts w:cs="Arial"/>
        </w:rPr>
        <w:t xml:space="preserve">Steele, J. (2009). </w:t>
      </w:r>
      <w:r w:rsidRPr="00004D0E">
        <w:rPr>
          <w:rFonts w:cs="Arial"/>
          <w:i/>
          <w:iCs/>
        </w:rPr>
        <w:t>NHS dental services in England: an independent review led by</w:t>
      </w:r>
      <w:r w:rsidRPr="00004D0E">
        <w:rPr>
          <w:rFonts w:cs="Arial"/>
        </w:rPr>
        <w:t xml:space="preserve">. [online] Available at: https://www.choiceforum.org/docs/dentaleng.pdf </w:t>
      </w:r>
    </w:p>
    <w:p w14:paraId="03AB7405" w14:textId="77777777" w:rsidR="00427BD2" w:rsidRPr="00004D0E" w:rsidRDefault="00427BD2" w:rsidP="00004D0E">
      <w:pPr>
        <w:pStyle w:val="ListParagraph"/>
        <w:numPr>
          <w:ilvl w:val="0"/>
          <w:numId w:val="10"/>
        </w:numPr>
        <w:rPr>
          <w:rFonts w:cs="Arial"/>
        </w:rPr>
      </w:pPr>
      <w:r w:rsidRPr="00004D0E">
        <w:rPr>
          <w:rFonts w:cs="Arial"/>
        </w:rPr>
        <w:t xml:space="preserve">Rabiee-Khan, F. and P., S. (2014). Understanding mental health and experience of accessing services among African and African Caribbean Service users and carers in Birmingham, UK. </w:t>
      </w:r>
      <w:r w:rsidRPr="00004D0E">
        <w:rPr>
          <w:rFonts w:cs="Arial"/>
          <w:i/>
          <w:iCs/>
        </w:rPr>
        <w:t>Diversity and Equality in Health and Care</w:t>
      </w:r>
      <w:r w:rsidRPr="00004D0E">
        <w:rPr>
          <w:rFonts w:cs="Arial"/>
        </w:rPr>
        <w:t>, [online] 11(2), pp.125–134. Available at: https://www.open-access.bcu.ac.uk/1969/ [Accessed 14 Oct. 2026].</w:t>
      </w:r>
    </w:p>
    <w:p w14:paraId="08AFE47A" w14:textId="77777777" w:rsidR="0009793C" w:rsidRPr="00B67497" w:rsidRDefault="0009793C">
      <w:pPr>
        <w:rPr>
          <w:rFonts w:cs="Arial"/>
        </w:rPr>
      </w:pPr>
    </w:p>
    <w:sectPr w:rsidR="0009793C" w:rsidRPr="00B67497" w:rsidSect="00034616">
      <w:footerReference w:type="default" r:id="rId8"/>
      <w:pgSz w:w="12240" w:h="15840"/>
      <w:pgMar w:top="1080"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23B80" w14:textId="77777777" w:rsidR="00BB7E10" w:rsidRDefault="00BB7E10">
      <w:pPr>
        <w:spacing w:after="0" w:line="240" w:lineRule="auto"/>
      </w:pPr>
      <w:r>
        <w:separator/>
      </w:r>
    </w:p>
  </w:endnote>
  <w:endnote w:type="continuationSeparator" w:id="0">
    <w:p w14:paraId="5C39515D" w14:textId="77777777" w:rsidR="00BB7E10" w:rsidRDefault="00BB7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5F37B" w14:textId="7233A663" w:rsidR="005E29FB" w:rsidRDefault="005E29F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4AF81" w14:textId="77777777" w:rsidR="00BB7E10" w:rsidRDefault="00BB7E10">
      <w:pPr>
        <w:spacing w:after="0" w:line="240" w:lineRule="auto"/>
      </w:pPr>
      <w:r>
        <w:separator/>
      </w:r>
    </w:p>
  </w:footnote>
  <w:footnote w:type="continuationSeparator" w:id="0">
    <w:p w14:paraId="170D224E" w14:textId="77777777" w:rsidR="00BB7E10" w:rsidRDefault="00BB7E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CB8791D"/>
    <w:multiLevelType w:val="hybridMultilevel"/>
    <w:tmpl w:val="411C23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5667626">
    <w:abstractNumId w:val="8"/>
  </w:num>
  <w:num w:numId="2" w16cid:durableId="1355770065">
    <w:abstractNumId w:val="6"/>
  </w:num>
  <w:num w:numId="3" w16cid:durableId="1608542597">
    <w:abstractNumId w:val="5"/>
  </w:num>
  <w:num w:numId="4" w16cid:durableId="1608387508">
    <w:abstractNumId w:val="4"/>
  </w:num>
  <w:num w:numId="5" w16cid:durableId="1293899499">
    <w:abstractNumId w:val="7"/>
  </w:num>
  <w:num w:numId="6" w16cid:durableId="1707637946">
    <w:abstractNumId w:val="3"/>
  </w:num>
  <w:num w:numId="7" w16cid:durableId="956833987">
    <w:abstractNumId w:val="2"/>
  </w:num>
  <w:num w:numId="8" w16cid:durableId="1829595259">
    <w:abstractNumId w:val="1"/>
  </w:num>
  <w:num w:numId="9" w16cid:durableId="474493890">
    <w:abstractNumId w:val="0"/>
  </w:num>
  <w:num w:numId="10" w16cid:durableId="19784909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D0E"/>
    <w:rsid w:val="00034616"/>
    <w:rsid w:val="000361A8"/>
    <w:rsid w:val="0006063C"/>
    <w:rsid w:val="0009793C"/>
    <w:rsid w:val="0015074B"/>
    <w:rsid w:val="002128AB"/>
    <w:rsid w:val="00294330"/>
    <w:rsid w:val="0029639D"/>
    <w:rsid w:val="002D0E5C"/>
    <w:rsid w:val="00326F90"/>
    <w:rsid w:val="00427BD2"/>
    <w:rsid w:val="00462684"/>
    <w:rsid w:val="004D3AFB"/>
    <w:rsid w:val="00510527"/>
    <w:rsid w:val="005E29FB"/>
    <w:rsid w:val="00667401"/>
    <w:rsid w:val="007A49CE"/>
    <w:rsid w:val="007A70AE"/>
    <w:rsid w:val="00A00097"/>
    <w:rsid w:val="00A5739E"/>
    <w:rsid w:val="00A81489"/>
    <w:rsid w:val="00AA1D8D"/>
    <w:rsid w:val="00AD77B2"/>
    <w:rsid w:val="00B47730"/>
    <w:rsid w:val="00B67497"/>
    <w:rsid w:val="00B931C0"/>
    <w:rsid w:val="00BB7E10"/>
    <w:rsid w:val="00BC2424"/>
    <w:rsid w:val="00C320E0"/>
    <w:rsid w:val="00CB0664"/>
    <w:rsid w:val="00EE52F0"/>
    <w:rsid w:val="00FA5AB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99487A"/>
  <w14:defaultImageDpi w14:val="300"/>
  <w15:docId w15:val="{2DDFD162-E3F1-46A3-ADD1-03A64D5C1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5</Pages>
  <Words>1654</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11060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Waqas Zeb</cp:lastModifiedBy>
  <cp:revision>11</cp:revision>
  <dcterms:created xsi:type="dcterms:W3CDTF">2026-10-08T09:19:00Z</dcterms:created>
  <dcterms:modified xsi:type="dcterms:W3CDTF">2026-10-16T22:46:00Z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b6f6fa683fd0ef9ca0705a42877dd9a974a551e91d98b4bb168f01f55d4103a2</vt:lpwstr>
  </property>
</Properties>
</file>