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6AFDDD" w14:textId="2BD1BDF6" w:rsidR="005E7787" w:rsidRPr="005E7787" w:rsidRDefault="005E7787" w:rsidP="005E7787">
      <w:pPr>
        <w:jc w:val="center"/>
        <w:rPr>
          <w:b/>
        </w:rPr>
      </w:pPr>
      <w:r w:rsidRPr="005E7787">
        <w:rPr>
          <w:b/>
          <w:noProof/>
        </w:rPr>
        <w:drawing>
          <wp:inline distT="0" distB="0" distL="0" distR="0" wp14:anchorId="36B16B37" wp14:editId="38D7046E">
            <wp:extent cx="3524250" cy="1403350"/>
            <wp:effectExtent l="0" t="0" r="0" b="6350"/>
            <wp:docPr id="1407145735" name="Picture 2"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close-up of black 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24250" cy="1403350"/>
                    </a:xfrm>
                    <a:prstGeom prst="rect">
                      <a:avLst/>
                    </a:prstGeom>
                    <a:noFill/>
                    <a:ln>
                      <a:noFill/>
                    </a:ln>
                  </pic:spPr>
                </pic:pic>
              </a:graphicData>
            </a:graphic>
          </wp:inline>
        </w:drawing>
      </w:r>
    </w:p>
    <w:p w14:paraId="5699DBCE" w14:textId="77777777" w:rsidR="005E7787" w:rsidRPr="005E7787" w:rsidRDefault="005E7787" w:rsidP="005E7787">
      <w:pPr>
        <w:jc w:val="center"/>
        <w:rPr>
          <w:b/>
        </w:rPr>
      </w:pPr>
    </w:p>
    <w:p w14:paraId="6792437A" w14:textId="77777777" w:rsidR="005E7787" w:rsidRDefault="005E7787" w:rsidP="005E7787">
      <w:pPr>
        <w:jc w:val="center"/>
        <w:rPr>
          <w:b/>
        </w:rPr>
      </w:pPr>
    </w:p>
    <w:p w14:paraId="070A15F5" w14:textId="77777777" w:rsidR="005E7787" w:rsidRDefault="005E7787" w:rsidP="005E7787">
      <w:pPr>
        <w:jc w:val="center"/>
        <w:rPr>
          <w:b/>
        </w:rPr>
      </w:pPr>
    </w:p>
    <w:p w14:paraId="77D80138" w14:textId="77777777" w:rsidR="005E7787" w:rsidRDefault="005E7787" w:rsidP="005E7787">
      <w:pPr>
        <w:jc w:val="center"/>
        <w:rPr>
          <w:b/>
        </w:rPr>
      </w:pPr>
    </w:p>
    <w:p w14:paraId="6ED88C65" w14:textId="77777777" w:rsidR="005E7787" w:rsidRPr="005E7787" w:rsidRDefault="005E7787" w:rsidP="005E7787">
      <w:pPr>
        <w:rPr>
          <w:b/>
        </w:rPr>
      </w:pPr>
    </w:p>
    <w:p w14:paraId="713390C2" w14:textId="7A93A301" w:rsidR="005E7787" w:rsidRPr="005E7787" w:rsidRDefault="005E7787" w:rsidP="005E7787">
      <w:pPr>
        <w:rPr>
          <w:b/>
          <w:sz w:val="56"/>
          <w:szCs w:val="56"/>
          <w:lang w:val="fr-FR"/>
        </w:rPr>
      </w:pPr>
      <w:r w:rsidRPr="005E7787">
        <w:rPr>
          <w:b/>
          <w:sz w:val="56"/>
          <w:szCs w:val="56"/>
          <w:lang w:val="fr-FR"/>
        </w:rPr>
        <w:t>MODULE CODE: ECAD401</w:t>
      </w:r>
      <w:r>
        <w:rPr>
          <w:b/>
          <w:sz w:val="56"/>
          <w:szCs w:val="56"/>
          <w:lang w:val="fr-FR"/>
        </w:rPr>
        <w:t>5</w:t>
      </w:r>
    </w:p>
    <w:p w14:paraId="624562D4" w14:textId="77777777" w:rsidR="005E7787" w:rsidRPr="005E7787" w:rsidRDefault="005E7787" w:rsidP="005E7787">
      <w:pPr>
        <w:rPr>
          <w:b/>
          <w:sz w:val="56"/>
          <w:szCs w:val="56"/>
          <w:lang w:val="fr-FR"/>
        </w:rPr>
      </w:pPr>
    </w:p>
    <w:p w14:paraId="1AED3EB4" w14:textId="77777777" w:rsidR="005E7787" w:rsidRPr="005E7787" w:rsidRDefault="005E7787" w:rsidP="005E7787">
      <w:pPr>
        <w:rPr>
          <w:b/>
          <w:sz w:val="56"/>
          <w:szCs w:val="56"/>
        </w:rPr>
      </w:pPr>
      <w:r w:rsidRPr="005E7787">
        <w:rPr>
          <w:b/>
          <w:sz w:val="56"/>
          <w:szCs w:val="56"/>
        </w:rPr>
        <w:t>STUDENT NAME: Molly Lewis</w:t>
      </w:r>
    </w:p>
    <w:p w14:paraId="1A8B3125" w14:textId="77777777" w:rsidR="005E7787" w:rsidRPr="005E7787" w:rsidRDefault="005E7787" w:rsidP="005E7787">
      <w:pPr>
        <w:rPr>
          <w:b/>
          <w:sz w:val="56"/>
          <w:szCs w:val="56"/>
        </w:rPr>
      </w:pPr>
    </w:p>
    <w:p w14:paraId="68E9234B" w14:textId="77777777" w:rsidR="005E7787" w:rsidRPr="005E7787" w:rsidRDefault="005E7787" w:rsidP="005E7787">
      <w:pPr>
        <w:rPr>
          <w:b/>
          <w:sz w:val="56"/>
          <w:szCs w:val="56"/>
        </w:rPr>
      </w:pPr>
      <w:r w:rsidRPr="005E7787">
        <w:rPr>
          <w:b/>
          <w:sz w:val="56"/>
          <w:szCs w:val="56"/>
        </w:rPr>
        <w:t>STUDENT NUMBER: 2400455</w:t>
      </w:r>
    </w:p>
    <w:p w14:paraId="52FBDFB1" w14:textId="77777777" w:rsidR="005E7787" w:rsidRPr="005E7787" w:rsidRDefault="005E7787" w:rsidP="005E7787">
      <w:pPr>
        <w:rPr>
          <w:b/>
          <w:sz w:val="56"/>
          <w:szCs w:val="56"/>
        </w:rPr>
      </w:pPr>
    </w:p>
    <w:p w14:paraId="23C17546" w14:textId="0E00A3C6" w:rsidR="005E7787" w:rsidRDefault="005E7787" w:rsidP="005E7787">
      <w:pPr>
        <w:rPr>
          <w:b/>
          <w:sz w:val="56"/>
          <w:szCs w:val="56"/>
        </w:rPr>
      </w:pPr>
      <w:r w:rsidRPr="005E7787">
        <w:rPr>
          <w:b/>
          <w:sz w:val="56"/>
          <w:szCs w:val="56"/>
        </w:rPr>
        <w:t xml:space="preserve">WORD COUNT: </w:t>
      </w:r>
      <w:r w:rsidR="00C43B5B">
        <w:rPr>
          <w:b/>
          <w:sz w:val="56"/>
          <w:szCs w:val="56"/>
        </w:rPr>
        <w:t>2</w:t>
      </w:r>
      <w:r w:rsidR="00D51398">
        <w:rPr>
          <w:b/>
          <w:sz w:val="56"/>
          <w:szCs w:val="56"/>
        </w:rPr>
        <w:t>097</w:t>
      </w:r>
    </w:p>
    <w:p w14:paraId="09A7E136" w14:textId="77777777" w:rsidR="005E7787" w:rsidRDefault="005E7787" w:rsidP="005E7787">
      <w:pPr>
        <w:jc w:val="center"/>
        <w:rPr>
          <w:b/>
          <w:sz w:val="56"/>
          <w:szCs w:val="56"/>
        </w:rPr>
      </w:pPr>
    </w:p>
    <w:p w14:paraId="3E1DE9D9" w14:textId="77777777" w:rsidR="005E7787" w:rsidRDefault="005E7787" w:rsidP="005E7787">
      <w:pPr>
        <w:rPr>
          <w:b/>
          <w:sz w:val="56"/>
          <w:szCs w:val="56"/>
        </w:rPr>
      </w:pPr>
    </w:p>
    <w:p w14:paraId="689AE934" w14:textId="77777777" w:rsidR="005E7787" w:rsidRPr="005E7787" w:rsidRDefault="005E7787" w:rsidP="005E7787">
      <w:pPr>
        <w:rPr>
          <w:b/>
          <w:sz w:val="28"/>
          <w:szCs w:val="28"/>
        </w:rPr>
      </w:pPr>
    </w:p>
    <w:p w14:paraId="23381C60" w14:textId="4C4CEC9C" w:rsidR="005E7787" w:rsidRPr="005E7787" w:rsidRDefault="005E7787" w:rsidP="005E7787">
      <w:pPr>
        <w:jc w:val="center"/>
        <w:rPr>
          <w:b/>
          <w:bCs/>
          <w:sz w:val="28"/>
          <w:szCs w:val="28"/>
          <w:u w:val="single"/>
        </w:rPr>
      </w:pPr>
      <w:r w:rsidRPr="005E7787">
        <w:rPr>
          <w:b/>
          <w:bCs/>
          <w:sz w:val="28"/>
          <w:szCs w:val="28"/>
          <w:u w:val="single"/>
        </w:rPr>
        <w:lastRenderedPageBreak/>
        <w:t>AI Acknowledgement</w:t>
      </w:r>
    </w:p>
    <w:p w14:paraId="3AA55263" w14:textId="508F0AA3" w:rsidR="005E7787" w:rsidRPr="005E7787" w:rsidRDefault="005E7787" w:rsidP="005E7787">
      <w:pPr>
        <w:jc w:val="center"/>
        <w:rPr>
          <w:sz w:val="28"/>
          <w:szCs w:val="28"/>
        </w:rPr>
      </w:pPr>
      <w:r w:rsidRPr="005E7787">
        <w:rPr>
          <w:sz w:val="28"/>
          <w:szCs w:val="28"/>
        </w:rPr>
        <w:t>I confirm that I have not used any AI tools in the research and creation of this assignment.</w:t>
      </w:r>
    </w:p>
    <w:p w14:paraId="73566CB0" w14:textId="1A97E4B6" w:rsidR="005E7787" w:rsidRPr="005E7787" w:rsidRDefault="005E7787" w:rsidP="005E7787">
      <w:pPr>
        <w:jc w:val="center"/>
        <w:rPr>
          <w:sz w:val="28"/>
          <w:szCs w:val="28"/>
        </w:rPr>
      </w:pPr>
      <w:r w:rsidRPr="005E7787">
        <w:rPr>
          <w:sz w:val="28"/>
          <w:szCs w:val="28"/>
        </w:rPr>
        <w:t>I confirm that I have not presented any AI generated materials as my own work.</w:t>
      </w:r>
    </w:p>
    <w:p w14:paraId="55949C24" w14:textId="77777777" w:rsidR="005E7787" w:rsidRPr="005E7787" w:rsidRDefault="005E7787" w:rsidP="005E7787">
      <w:pPr>
        <w:jc w:val="center"/>
        <w:rPr>
          <w:sz w:val="28"/>
          <w:szCs w:val="28"/>
        </w:rPr>
      </w:pPr>
      <w:r w:rsidRPr="005E7787">
        <w:rPr>
          <w:sz w:val="28"/>
          <w:szCs w:val="28"/>
        </w:rPr>
        <w:t>I confirm that I have copies of my drafts, notes, and other resources I used, which I may be asked to provide in evidence.</w:t>
      </w:r>
    </w:p>
    <w:p w14:paraId="4136E2D3" w14:textId="77777777" w:rsidR="005E7787" w:rsidRDefault="005E7787" w:rsidP="005E7787">
      <w:pPr>
        <w:jc w:val="center"/>
      </w:pPr>
    </w:p>
    <w:p w14:paraId="2676A99A" w14:textId="77777777" w:rsidR="005E7787" w:rsidRDefault="005E7787" w:rsidP="005E7787">
      <w:pPr>
        <w:jc w:val="center"/>
      </w:pPr>
    </w:p>
    <w:p w14:paraId="3124DCE4" w14:textId="77777777" w:rsidR="005E7787" w:rsidRPr="005E7787" w:rsidRDefault="005E7787" w:rsidP="005E7787">
      <w:pPr>
        <w:jc w:val="center"/>
      </w:pPr>
    </w:p>
    <w:p w14:paraId="71A89902" w14:textId="77777777" w:rsidR="005E7787" w:rsidRDefault="005E7787" w:rsidP="005E7787">
      <w:pPr>
        <w:jc w:val="center"/>
        <w:rPr>
          <w:b/>
          <w:bCs/>
          <w:sz w:val="28"/>
          <w:szCs w:val="28"/>
          <w:u w:val="single"/>
        </w:rPr>
      </w:pPr>
      <w:r w:rsidRPr="005E7787">
        <w:rPr>
          <w:b/>
          <w:bCs/>
          <w:sz w:val="28"/>
          <w:szCs w:val="28"/>
          <w:u w:val="single"/>
        </w:rPr>
        <w:t>Targets from my previous assignment</w:t>
      </w:r>
    </w:p>
    <w:p w14:paraId="198EF52F" w14:textId="77777777" w:rsidR="00E00F71" w:rsidRPr="005E7787" w:rsidRDefault="00E00F71" w:rsidP="005E7787">
      <w:pPr>
        <w:jc w:val="center"/>
        <w:rPr>
          <w:b/>
          <w:bCs/>
          <w:sz w:val="28"/>
          <w:szCs w:val="28"/>
          <w:u w:val="single"/>
        </w:rPr>
      </w:pPr>
    </w:p>
    <w:tbl>
      <w:tblPr>
        <w:tblStyle w:val="TableGrid"/>
        <w:tblW w:w="0" w:type="auto"/>
        <w:tblLook w:val="04A0" w:firstRow="1" w:lastRow="0" w:firstColumn="1" w:lastColumn="0" w:noHBand="0" w:noVBand="1"/>
      </w:tblPr>
      <w:tblGrid>
        <w:gridCol w:w="4508"/>
        <w:gridCol w:w="4508"/>
      </w:tblGrid>
      <w:tr w:rsidR="005E7787" w:rsidRPr="005E7787" w14:paraId="05B6A9A7" w14:textId="77777777" w:rsidTr="005E7787">
        <w:tc>
          <w:tcPr>
            <w:tcW w:w="4508" w:type="dxa"/>
            <w:tcBorders>
              <w:top w:val="single" w:sz="4" w:space="0" w:color="auto"/>
              <w:left w:val="single" w:sz="4" w:space="0" w:color="auto"/>
              <w:bottom w:val="single" w:sz="4" w:space="0" w:color="auto"/>
              <w:right w:val="single" w:sz="4" w:space="0" w:color="auto"/>
            </w:tcBorders>
            <w:hideMark/>
          </w:tcPr>
          <w:p w14:paraId="6C02D231" w14:textId="77777777" w:rsidR="005E7787" w:rsidRPr="005E7787" w:rsidRDefault="005E7787" w:rsidP="005E7787">
            <w:pPr>
              <w:spacing w:after="160" w:line="278" w:lineRule="auto"/>
              <w:jc w:val="center"/>
              <w:rPr>
                <w:b/>
                <w:bCs/>
                <w:sz w:val="28"/>
                <w:szCs w:val="28"/>
              </w:rPr>
            </w:pPr>
            <w:r w:rsidRPr="005E7787">
              <w:rPr>
                <w:b/>
                <w:bCs/>
                <w:sz w:val="28"/>
                <w:szCs w:val="28"/>
              </w:rPr>
              <w:t>Target</w:t>
            </w:r>
          </w:p>
        </w:tc>
        <w:tc>
          <w:tcPr>
            <w:tcW w:w="4508" w:type="dxa"/>
            <w:tcBorders>
              <w:top w:val="single" w:sz="4" w:space="0" w:color="auto"/>
              <w:left w:val="single" w:sz="4" w:space="0" w:color="auto"/>
              <w:bottom w:val="single" w:sz="4" w:space="0" w:color="auto"/>
              <w:right w:val="single" w:sz="4" w:space="0" w:color="auto"/>
            </w:tcBorders>
            <w:hideMark/>
          </w:tcPr>
          <w:p w14:paraId="4346945E" w14:textId="77777777" w:rsidR="005E7787" w:rsidRPr="005E7787" w:rsidRDefault="005E7787" w:rsidP="005E7787">
            <w:pPr>
              <w:spacing w:after="160" w:line="278" w:lineRule="auto"/>
              <w:jc w:val="center"/>
              <w:rPr>
                <w:b/>
                <w:bCs/>
                <w:sz w:val="28"/>
                <w:szCs w:val="28"/>
              </w:rPr>
            </w:pPr>
            <w:r w:rsidRPr="005E7787">
              <w:rPr>
                <w:b/>
                <w:bCs/>
                <w:sz w:val="28"/>
                <w:szCs w:val="28"/>
              </w:rPr>
              <w:t>How I have addressed it in this work</w:t>
            </w:r>
          </w:p>
        </w:tc>
      </w:tr>
      <w:tr w:rsidR="005E7787" w:rsidRPr="005E7787" w14:paraId="7053F279" w14:textId="77777777" w:rsidTr="005E7787">
        <w:tc>
          <w:tcPr>
            <w:tcW w:w="4508" w:type="dxa"/>
            <w:tcBorders>
              <w:top w:val="single" w:sz="4" w:space="0" w:color="auto"/>
              <w:left w:val="single" w:sz="4" w:space="0" w:color="auto"/>
              <w:bottom w:val="single" w:sz="4" w:space="0" w:color="auto"/>
              <w:right w:val="single" w:sz="4" w:space="0" w:color="auto"/>
            </w:tcBorders>
            <w:hideMark/>
          </w:tcPr>
          <w:p w14:paraId="4B97146E" w14:textId="77777777" w:rsidR="005E7787" w:rsidRPr="005E7787" w:rsidRDefault="005E7787" w:rsidP="005E7787">
            <w:pPr>
              <w:spacing w:after="160" w:line="278" w:lineRule="auto"/>
              <w:jc w:val="center"/>
              <w:rPr>
                <w:sz w:val="28"/>
                <w:szCs w:val="28"/>
              </w:rPr>
            </w:pPr>
            <w:r w:rsidRPr="005E7787">
              <w:rPr>
                <w:sz w:val="28"/>
                <w:szCs w:val="28"/>
              </w:rPr>
              <w:t>Continue to develop your critical engagement with texts by synthesising theory from different sources to support your decisions.</w:t>
            </w:r>
          </w:p>
        </w:tc>
        <w:tc>
          <w:tcPr>
            <w:tcW w:w="4508" w:type="dxa"/>
            <w:tcBorders>
              <w:top w:val="single" w:sz="4" w:space="0" w:color="auto"/>
              <w:left w:val="single" w:sz="4" w:space="0" w:color="auto"/>
              <w:bottom w:val="single" w:sz="4" w:space="0" w:color="auto"/>
              <w:right w:val="single" w:sz="4" w:space="0" w:color="auto"/>
            </w:tcBorders>
          </w:tcPr>
          <w:p w14:paraId="68693E68" w14:textId="77777777" w:rsidR="00321409" w:rsidRPr="00321409" w:rsidRDefault="00321409" w:rsidP="00321409">
            <w:pPr>
              <w:spacing w:line="360" w:lineRule="auto"/>
              <w:rPr>
                <w:sz w:val="28"/>
                <w:szCs w:val="28"/>
              </w:rPr>
            </w:pPr>
            <w:r w:rsidRPr="00321409">
              <w:rPr>
                <w:sz w:val="28"/>
                <w:szCs w:val="28"/>
              </w:rPr>
              <w:t>I have continued to do this by comparing sources in my research with counter arguments.</w:t>
            </w:r>
          </w:p>
          <w:p w14:paraId="1DC02B90" w14:textId="77777777" w:rsidR="005E7787" w:rsidRPr="005E7787" w:rsidRDefault="005E7787" w:rsidP="00321409">
            <w:pPr>
              <w:spacing w:after="160" w:line="278" w:lineRule="auto"/>
              <w:rPr>
                <w:sz w:val="28"/>
                <w:szCs w:val="28"/>
              </w:rPr>
            </w:pPr>
          </w:p>
        </w:tc>
      </w:tr>
      <w:tr w:rsidR="005E7787" w:rsidRPr="005E7787" w14:paraId="2B7F10F5" w14:textId="77777777" w:rsidTr="005E7787">
        <w:tc>
          <w:tcPr>
            <w:tcW w:w="4508" w:type="dxa"/>
            <w:tcBorders>
              <w:top w:val="single" w:sz="4" w:space="0" w:color="auto"/>
              <w:left w:val="single" w:sz="4" w:space="0" w:color="auto"/>
              <w:bottom w:val="single" w:sz="4" w:space="0" w:color="auto"/>
              <w:right w:val="single" w:sz="4" w:space="0" w:color="auto"/>
            </w:tcBorders>
          </w:tcPr>
          <w:p w14:paraId="5F8A10E1" w14:textId="77777777" w:rsidR="005E7787" w:rsidRPr="005E7787" w:rsidRDefault="005E7787" w:rsidP="005E7787">
            <w:pPr>
              <w:spacing w:after="160" w:line="278" w:lineRule="auto"/>
              <w:jc w:val="center"/>
              <w:rPr>
                <w:sz w:val="28"/>
                <w:szCs w:val="28"/>
              </w:rPr>
            </w:pPr>
            <w:r w:rsidRPr="005E7787">
              <w:rPr>
                <w:sz w:val="28"/>
                <w:szCs w:val="28"/>
              </w:rPr>
              <w:t xml:space="preserve">There are </w:t>
            </w:r>
            <w:proofErr w:type="gramStart"/>
            <w:r w:rsidRPr="005E7787">
              <w:rPr>
                <w:sz w:val="28"/>
                <w:szCs w:val="28"/>
              </w:rPr>
              <w:t>a number of</w:t>
            </w:r>
            <w:proofErr w:type="gramEnd"/>
            <w:r w:rsidRPr="005E7787">
              <w:rPr>
                <w:sz w:val="28"/>
                <w:szCs w:val="28"/>
              </w:rPr>
              <w:t xml:space="preserve"> errors in your reference list. Please refer to the Harvard referencing guide to ensure that you are referencing books, journals and websites correctly.</w:t>
            </w:r>
          </w:p>
          <w:p w14:paraId="4EB66A91" w14:textId="77777777" w:rsidR="005E7787" w:rsidRPr="005E7787" w:rsidRDefault="005E7787" w:rsidP="005E7787">
            <w:pPr>
              <w:spacing w:after="160" w:line="278" w:lineRule="auto"/>
              <w:jc w:val="center"/>
              <w:rPr>
                <w:sz w:val="28"/>
                <w:szCs w:val="28"/>
              </w:rPr>
            </w:pPr>
          </w:p>
        </w:tc>
        <w:tc>
          <w:tcPr>
            <w:tcW w:w="4508" w:type="dxa"/>
            <w:tcBorders>
              <w:top w:val="single" w:sz="4" w:space="0" w:color="auto"/>
              <w:left w:val="single" w:sz="4" w:space="0" w:color="auto"/>
              <w:bottom w:val="single" w:sz="4" w:space="0" w:color="auto"/>
              <w:right w:val="single" w:sz="4" w:space="0" w:color="auto"/>
            </w:tcBorders>
          </w:tcPr>
          <w:p w14:paraId="47232CEB" w14:textId="2EDCE9B1" w:rsidR="005E7787" w:rsidRPr="005E7787" w:rsidRDefault="00321409" w:rsidP="005E7787">
            <w:pPr>
              <w:spacing w:after="160" w:line="278" w:lineRule="auto"/>
              <w:jc w:val="center"/>
              <w:rPr>
                <w:sz w:val="28"/>
                <w:szCs w:val="28"/>
              </w:rPr>
            </w:pPr>
            <w:r>
              <w:rPr>
                <w:sz w:val="22"/>
                <w:szCs w:val="22"/>
              </w:rPr>
              <w:t xml:space="preserve"> </w:t>
            </w:r>
            <w:r w:rsidRPr="00321409">
              <w:rPr>
                <w:sz w:val="28"/>
                <w:szCs w:val="28"/>
              </w:rPr>
              <w:t>I have followed the ‘UWTSD Harvard Referencing Guide’ to try to minimise the errors within my reference list within this assignment.</w:t>
            </w:r>
          </w:p>
        </w:tc>
      </w:tr>
    </w:tbl>
    <w:p w14:paraId="44BA5BD3" w14:textId="77777777" w:rsidR="005E7787" w:rsidRPr="005E7787" w:rsidRDefault="005E7787" w:rsidP="005E7787">
      <w:pPr>
        <w:jc w:val="center"/>
      </w:pPr>
    </w:p>
    <w:p w14:paraId="3C6178CE" w14:textId="77777777" w:rsidR="005E7787" w:rsidRPr="005E7787" w:rsidRDefault="005E7787" w:rsidP="005E7787">
      <w:pPr>
        <w:jc w:val="center"/>
      </w:pPr>
    </w:p>
    <w:p w14:paraId="026457CC" w14:textId="77777777" w:rsidR="005E7787" w:rsidRPr="005E7787" w:rsidRDefault="005E7787" w:rsidP="005E7787">
      <w:pPr>
        <w:jc w:val="center"/>
      </w:pPr>
    </w:p>
    <w:p w14:paraId="12D68F87" w14:textId="77777777" w:rsidR="005E7787" w:rsidRDefault="005E7787" w:rsidP="005E7787"/>
    <w:p w14:paraId="5D14B767" w14:textId="7ECCD364" w:rsidR="005E7787" w:rsidRPr="005E7787" w:rsidRDefault="005E7787" w:rsidP="005E7787">
      <w:pPr>
        <w:jc w:val="center"/>
        <w:rPr>
          <w:b/>
          <w:bCs/>
          <w:sz w:val="36"/>
          <w:szCs w:val="36"/>
          <w:u w:val="single"/>
        </w:rPr>
      </w:pPr>
      <w:r w:rsidRPr="005E7787">
        <w:rPr>
          <w:b/>
          <w:bCs/>
          <w:sz w:val="36"/>
          <w:szCs w:val="36"/>
          <w:u w:val="single"/>
        </w:rPr>
        <w:lastRenderedPageBreak/>
        <w:t>Demonstrate how cross curricular teaching and learning can influence in depth skills and understanding. Underpin this with reference to relevant research, a detailed lesson plan and an enhanced provision material.</w:t>
      </w:r>
    </w:p>
    <w:p w14:paraId="5E778480" w14:textId="77777777" w:rsidR="007766C3" w:rsidRDefault="007766C3" w:rsidP="005E7787">
      <w:pPr>
        <w:jc w:val="center"/>
      </w:pPr>
    </w:p>
    <w:p w14:paraId="15D53E18" w14:textId="77777777" w:rsidR="00EE11EC" w:rsidRPr="00EE11EC" w:rsidRDefault="00EE11EC" w:rsidP="00137362">
      <w:pPr>
        <w:spacing w:line="360" w:lineRule="auto"/>
        <w:jc w:val="both"/>
      </w:pPr>
      <w:r w:rsidRPr="00EE11EC">
        <w:t>Cross-curricular teaching and learning is an approach that integrates multiple subject areas within a single lesson or unit, encouraging students to make meaningful connections between different disciplines. Rather than treating subjects in isolation, this method promotes a holistic and interconnected view of knowledge, fostering deeper understanding and engagement. According to Barnes (2015), cross-curricular learning enhances students' ability to transfer skills across contexts, making learning more relevant and applicable to real-world situations. The Curriculum for Wales (2022) strongly advocates for an interdisciplinary approach, promoting the Four Purposes of education by ensuring that children become ambitious, capable learners and ethical, informed citizens.</w:t>
      </w:r>
    </w:p>
    <w:p w14:paraId="30BBEC0C" w14:textId="77777777" w:rsidR="00EE11EC" w:rsidRPr="00EE11EC" w:rsidRDefault="00EE11EC" w:rsidP="00137362">
      <w:pPr>
        <w:spacing w:line="360" w:lineRule="auto"/>
        <w:jc w:val="both"/>
      </w:pPr>
      <w:r w:rsidRPr="00EE11EC">
        <w:t>In primary education, cross-curricular learning plays a crucial role in enriching children's educational experiences. Young learners naturally explore the world in an integrated way, and a compartmentalised curriculum can sometimes hinder their ability to see the broader connections between subjects (Alexander, 2010). By embedding literacy within science or applying mathematical reasoning in geography, pupils develop transferable skills that strengthen both cognitive and practical understanding. The Curriculum for Wales Areas of Learning and Experience (AoLEs), such as Science and Technology or Expressive Arts, highlight the importance of interdisciplinary links in fostering creativity, inquiry, and problem-solving skills.</w:t>
      </w:r>
    </w:p>
    <w:p w14:paraId="345B4D38" w14:textId="77777777" w:rsidR="00EE11EC" w:rsidRPr="00EE11EC" w:rsidRDefault="00EE11EC" w:rsidP="00137362">
      <w:pPr>
        <w:spacing w:line="360" w:lineRule="auto"/>
        <w:jc w:val="both"/>
      </w:pPr>
      <w:r w:rsidRPr="00EE11EC">
        <w:t xml:space="preserve">Developing in-depth skills and understanding requires active engagement, reflection, and practical application. Vygotsky’s (1978) Zone of Proximal Development (ZPD) suggests that children learn best when new knowledge is scaffolded and linked to prior experiences, which cross-curricular teaching naturally facilitates. Additionally, Bruner’s </w:t>
      </w:r>
      <w:r w:rsidRPr="00EE11EC">
        <w:lastRenderedPageBreak/>
        <w:t>(1960) Spiral Curriculum supports the idea that revisiting concepts in varied contexts strengthens comprehension over time.</w:t>
      </w:r>
    </w:p>
    <w:p w14:paraId="2DAE3469" w14:textId="3BA59F76" w:rsidR="00EE11EC" w:rsidRPr="00EE11EC" w:rsidRDefault="00EE11EC" w:rsidP="00137362">
      <w:pPr>
        <w:spacing w:line="360" w:lineRule="auto"/>
        <w:jc w:val="both"/>
      </w:pPr>
      <w:r w:rsidRPr="00EE11EC">
        <w:t>This essay will examine the impact of cross-curricular teaching on in-depth learning and skill development. It will explore theoretical foundations, practical applications in the classroom, and the challenges educators may face. A detailed lesson plan will demonstrate effective cross-curricular teaching in action, alongside an analysis of an enhanced provision material designed to support deeper learning. By evaluating research and practical strategies, this essay will illustrate how cross-curricular approaches can enrich primary education and foster lifelong learning.</w:t>
      </w:r>
    </w:p>
    <w:p w14:paraId="00D0AAFF" w14:textId="30698D94" w:rsidR="00E47ADA" w:rsidRDefault="00E47ADA" w:rsidP="00137362">
      <w:pPr>
        <w:spacing w:line="360" w:lineRule="auto"/>
        <w:jc w:val="both"/>
        <w:rPr>
          <w:b/>
          <w:bCs/>
        </w:rPr>
      </w:pPr>
    </w:p>
    <w:p w14:paraId="2372547F" w14:textId="5BE35226" w:rsidR="00711B3B" w:rsidRPr="00711B3B" w:rsidRDefault="00711B3B" w:rsidP="00137362">
      <w:pPr>
        <w:spacing w:line="360" w:lineRule="auto"/>
        <w:jc w:val="both"/>
      </w:pPr>
      <w:r w:rsidRPr="00711B3B">
        <w:t>Cross-curricular teaching and learning are integral to developing in-depth skills and understanding across the primary age range, providing a rich and interconnected approach to education. Cross-curricular learning goes beyond the traditional subject-specific boundaries, emphasising the integration of knowledge and skills across multiple disciplines to foster holistic development in students. Unlike subject-specific learning, which focuses on the mastery of individual subjects, cross-curricular approaches enable students to make connections between different areas of learning, thus promoting deeper understanding and application. The Curriculum for Wales (2022) highlights that the Literacy, Numeracy, and Digital Competence Framework provide a solid foundation for embedding key competencies across subjects, facilitating this interconnected approach. This framework supports learners in applying essential skills, such as reading, writing, problem-solving, and digital literacy, across all subject areas, fostering an integrated learning experience.</w:t>
      </w:r>
    </w:p>
    <w:p w14:paraId="742051F8" w14:textId="1A9C7784" w:rsidR="00711B3B" w:rsidRPr="00711B3B" w:rsidRDefault="00711B3B" w:rsidP="00137362">
      <w:pPr>
        <w:spacing w:line="360" w:lineRule="auto"/>
        <w:jc w:val="both"/>
      </w:pPr>
      <w:r w:rsidRPr="00711B3B">
        <w:t xml:space="preserve">Key educational theories further support the value of cross-curricular teaching. Piaget’s Constructivist Theory </w:t>
      </w:r>
      <w:r w:rsidR="00D51398">
        <w:t xml:space="preserve">(1952) </w:t>
      </w:r>
      <w:r w:rsidRPr="00711B3B">
        <w:t>emphasises the active role of learners in constructing their understanding through experiences, which is enhanced in a cross-curricular context where students apply knowledge in different real-world situations. Vygotsky’s</w:t>
      </w:r>
      <w:r w:rsidR="006A4CB0">
        <w:t xml:space="preserve"> </w:t>
      </w:r>
      <w:r w:rsidRPr="00711B3B">
        <w:t>ZPD</w:t>
      </w:r>
      <w:r w:rsidR="00D51398">
        <w:t xml:space="preserve"> (1978) </w:t>
      </w:r>
      <w:r w:rsidRPr="00711B3B">
        <w:t xml:space="preserve">suggests that learning occurs most effectively when students are guided through tasks that are just beyond their current abilities but achievable with support. Cross-curricular learning, through collaborative tasks and teacher support, can provide such </w:t>
      </w:r>
      <w:r w:rsidRPr="00711B3B">
        <w:lastRenderedPageBreak/>
        <w:t>opportunities for cognitive growth. Bruner’s Spiral Curriculum</w:t>
      </w:r>
      <w:r w:rsidR="00D51398">
        <w:t xml:space="preserve"> (1960)</w:t>
      </w:r>
      <w:r w:rsidRPr="00711B3B">
        <w:t>, which advocates revisiting topics at increasing levels of complexity, aligns well with cross-curricular teaching by allowing students to encounter and deepen their understanding of concepts through multiple subjects. Dewey’s Experiential Learning</w:t>
      </w:r>
      <w:r w:rsidR="00D51398">
        <w:t xml:space="preserve"> (1938)</w:t>
      </w:r>
      <w:r w:rsidRPr="00711B3B">
        <w:t xml:space="preserve"> underscores the importance of hands-on, real-world experiences, which cross-curricular learning often incorporates through project-based tasks and authentic learning experiences.</w:t>
      </w:r>
    </w:p>
    <w:p w14:paraId="16F57C06" w14:textId="77777777" w:rsidR="00711B3B" w:rsidRPr="00711B3B" w:rsidRDefault="00711B3B" w:rsidP="00137362">
      <w:pPr>
        <w:spacing w:line="360" w:lineRule="auto"/>
        <w:jc w:val="both"/>
      </w:pPr>
      <w:r w:rsidRPr="00711B3B">
        <w:t xml:space="preserve">Research and reports consistently underscore the effectiveness of cross-curricular approaches in promoting deeper learning and critical thinking. Ofsted (2020) identifies that integrating numeracy, literacy, and digital competence within various subjects enhances students’ problem-solving abilities and encourages them to apply their knowledge in diverse contexts. Furthermore, </w:t>
      </w:r>
      <w:r w:rsidRPr="006A4CB0">
        <w:t>Ritchhart</w:t>
      </w:r>
      <w:r w:rsidRPr="006A4CB0">
        <w:rPr>
          <w:i/>
          <w:iCs/>
        </w:rPr>
        <w:t xml:space="preserve"> et al.</w:t>
      </w:r>
      <w:r w:rsidRPr="00711B3B">
        <w:t xml:space="preserve"> (2011) argue that authentic learning experiences, such as field trips or interdisciplinary projects, foster engagement and critical thinking, providing students with opportunities to explore and apply concepts in meaningful ways. According to the Education and Training Inspectorate (ETI, 2018), professional development and teacher collaboration are essential for overcoming the challenges of cross-curricular teaching, such as resource limitations and ensuring teacher proficiency in delivering integrated lessons. This professional support helps ensure that cross-curricular approaches can be effectively implemented, leading to deeper learning and skill transfer.</w:t>
      </w:r>
    </w:p>
    <w:p w14:paraId="60FFB16E" w14:textId="1EBA6CCF" w:rsidR="00711B3B" w:rsidRDefault="00711B3B" w:rsidP="00137362">
      <w:pPr>
        <w:spacing w:line="360" w:lineRule="auto"/>
        <w:jc w:val="both"/>
      </w:pPr>
      <w:r w:rsidRPr="00711B3B">
        <w:t>Ultimately, cross-curricular teaching not only supports subject-specific knowledge but also facilitates critical thinking, skill transfer, and the development of learners who can draw on a wide range of competencies. By making connections between subjects, students are encouraged to think more deeply, transfer skills across contexts, and approach learning in a more integrated and meaningful way. This approach prepares them for the complexities of the modern world, where the ability to navigate across disciplines is increasingly important.</w:t>
      </w:r>
    </w:p>
    <w:p w14:paraId="5C4E1F73" w14:textId="0A439882" w:rsidR="00B025B6" w:rsidRDefault="00EA4318" w:rsidP="00137362">
      <w:pPr>
        <w:spacing w:line="360" w:lineRule="auto"/>
        <w:jc w:val="both"/>
      </w:pPr>
      <w:r w:rsidRPr="00EA4318">
        <w:t xml:space="preserve">While cross-curricular teaching and learning offer numerous benefits, some research raises concerns about its effectiveness. Critics argue that integrating subjects may dilute the depth of subject-specific knowledge, potentially leading to superficial coverage (Bell &amp; McNamara, 2019). Additionally, teachers often report feeling unprepared to deliver cross-curricular lessons, particularly when lacking subject-specific expertise (NFER, </w:t>
      </w:r>
      <w:r w:rsidRPr="00EA4318">
        <w:lastRenderedPageBreak/>
        <w:t>2017), which can undermine the quality of learning. Furthermore, some studies suggest that focusing on cross-curricular approaches may divert attention from the subject-specific skills needed for high-stakes assessments (O'Donnell, 2014). However, proponents argue that when carefully balanced, cross-curricular learning can still promote deeper engagement, critical thinking, and skill transfer (Hargreaves, 2017), and the Literacy, Numeracy, and Digital Competence Framework within the Curriculum for Wales (2022) supports this by emphasi</w:t>
      </w:r>
      <w:r w:rsidR="002A79AC">
        <w:t>si</w:t>
      </w:r>
      <w:r w:rsidRPr="00EA4318">
        <w:t>ng the integration of essential skills across subjects without compromising depth. Thus, while challenges exist, the overall benefits of cross-curricular teaching remain evident when supported by appropriate teacher training and resource allocation.</w:t>
      </w:r>
    </w:p>
    <w:p w14:paraId="1370416E" w14:textId="72C10B61" w:rsidR="00F772CE" w:rsidRDefault="00F772CE" w:rsidP="00137362">
      <w:pPr>
        <w:spacing w:line="360" w:lineRule="auto"/>
        <w:jc w:val="both"/>
      </w:pPr>
      <w:r w:rsidRPr="00F772CE">
        <w:t>While cross-curricular teaching has numerous benefits, implementing it effectively requires careful consideration of challenges. Teacher preparedness is often cited as a key barrier, with many educators reporting limited confidence in delivering interdisciplinary lessons due to insufficient training (NFER, 2017). Addressing this issue requires targeted professional development programmes that include mentoring, collaborative planning sessions, and workshops focusing on the integration of subjects. School leaders also play a crucial role in fostering a supportive environment by allocating time and resources for teachers to collaborate and plan cross-curricular activities. Additionally, flexible curriculum design, as encouraged by the Curriculum for Wales (2022), can empower teachers to experiment with interdisciplinary approaches without compromising subject depth.</w:t>
      </w:r>
    </w:p>
    <w:p w14:paraId="1C8C10D3" w14:textId="5D380E36" w:rsidR="00AB0D57" w:rsidRPr="00AB0D57" w:rsidRDefault="00AB0D57" w:rsidP="00137362">
      <w:pPr>
        <w:spacing w:line="360" w:lineRule="auto"/>
        <w:jc w:val="both"/>
      </w:pPr>
      <w:r w:rsidRPr="00AB0D57">
        <w:t xml:space="preserve">Through reflection on enhancement days, where </w:t>
      </w:r>
      <w:r w:rsidR="00CC0B4C">
        <w:t xml:space="preserve">I have observed and gained insight into </w:t>
      </w:r>
      <w:r w:rsidR="00CF60C3">
        <w:t>teaching practices</w:t>
      </w:r>
      <w:r w:rsidRPr="00AB0D57">
        <w:t>, it becomes clear that interdisciplinary approaches can enrich the learning experience by promoting critical thinking, creativity, and collaboration—skills vital for the 21</w:t>
      </w:r>
      <w:r w:rsidR="002A79AC" w:rsidRPr="002A79AC">
        <w:rPr>
          <w:vertAlign w:val="superscript"/>
        </w:rPr>
        <w:t>st</w:t>
      </w:r>
      <w:r w:rsidR="002A79AC">
        <w:t xml:space="preserve"> century</w:t>
      </w:r>
      <w:r w:rsidRPr="00AB0D57">
        <w:t>. By weaving these competencies into everyday learning, cross-curricular teaching not only strengthens subject-specific knowledge but also prepares students for future challenges.</w:t>
      </w:r>
    </w:p>
    <w:p w14:paraId="2A962DA9" w14:textId="70A5416D" w:rsidR="00E47ADA" w:rsidRDefault="004A0E05" w:rsidP="00137362">
      <w:pPr>
        <w:spacing w:line="360" w:lineRule="auto"/>
        <w:jc w:val="both"/>
      </w:pPr>
      <w:r w:rsidRPr="004A0E05">
        <w:t>In primary education, cross-curricular teaching is strongly supported by the Curriculum for Wales, which emphasises the integration of key competencies across vario</w:t>
      </w:r>
      <w:r w:rsidR="00E00F71">
        <w:t>us</w:t>
      </w:r>
      <w:r w:rsidRPr="004A0E05">
        <w:t xml:space="preserve"> A</w:t>
      </w:r>
      <w:r w:rsidR="002A79AC">
        <w:t>o</w:t>
      </w:r>
      <w:r w:rsidRPr="004A0E05">
        <w:t xml:space="preserve">LEs. The What Matters statements in the Curriculum for Wales (2022) guide the connection of subjects, ensuring that students develop holistic skills. For instance, linking literacy with </w:t>
      </w:r>
      <w:r w:rsidRPr="004A0E05">
        <w:lastRenderedPageBreak/>
        <w:t>history enables learners to explore historical narratives through reading and writing, promoting critical thinking and understanding</w:t>
      </w:r>
      <w:r w:rsidR="002A79AC">
        <w:t>;</w:t>
      </w:r>
      <w:r w:rsidRPr="004A0E05">
        <w:t xml:space="preserve"> while integrating maths with science allows students to apply mathematical concepts, such as measurements and data analysis, in real-world scientific contexts. These cross-curricular connections are particularly aligned with the AOLEs of Languages, Literacy and Communication and Mathematics and Numeracy, which highlight the importance of applying knowledge in meaningful, authentic contexts (Curriculum for Wales, 2022). The What Matters statements also focus on developing problem-solving, creativity, and collaboration, essential competencies for the modern world. For example, the Science and Technology A</w:t>
      </w:r>
      <w:r w:rsidR="002A79AC">
        <w:t>o</w:t>
      </w:r>
      <w:r w:rsidRPr="004A0E05">
        <w:t>LE encourages students to approach scientific challenges creatively while working collaboratively in real-world settings.</w:t>
      </w:r>
      <w:r w:rsidR="002A79AC">
        <w:t xml:space="preserve"> </w:t>
      </w:r>
      <w:r w:rsidRPr="004A0E05">
        <w:t>However, challenges such as curriculum constraints and teacher workload may arise, as noted in the Curriculum for Wales (2022), which suggests strategies such as effective collaborative planning, professional development, and time management to ensure successful implementation of cross-curricular learning and to alleviate potential pressures on teachers.</w:t>
      </w:r>
    </w:p>
    <w:p w14:paraId="574AC163" w14:textId="066A9C73" w:rsidR="00137362" w:rsidRDefault="00742501" w:rsidP="00137362">
      <w:pPr>
        <w:spacing w:line="360" w:lineRule="auto"/>
        <w:jc w:val="both"/>
      </w:pPr>
      <w:r>
        <w:t xml:space="preserve">The lesson plan (see Appendix A) has the most explicit links to the Science and Technology </w:t>
      </w:r>
      <w:r w:rsidR="00E00F71">
        <w:t>AoLE</w:t>
      </w:r>
      <w:r>
        <w:t xml:space="preserve"> as the overall lesson intention is to begin to understand that loose parts can provide shelter as well as measuring. </w:t>
      </w:r>
      <w:r w:rsidRPr="00742501">
        <w:t xml:space="preserve">The detailed lesson plan, </w:t>
      </w:r>
      <w:r w:rsidR="00137362">
        <w:t>for the topic ‘</w:t>
      </w:r>
      <w:r w:rsidRPr="00742501">
        <w:t>Puddles and Rainbows</w:t>
      </w:r>
      <w:r w:rsidR="00137362">
        <w:t>’</w:t>
      </w:r>
      <w:r w:rsidRPr="00742501">
        <w:t xml:space="preserve">, is designed for Reception students </w:t>
      </w:r>
      <w:r w:rsidR="002A79AC" w:rsidRPr="00742501">
        <w:t>and</w:t>
      </w:r>
      <w:r w:rsidR="00E00F71">
        <w:t xml:space="preserve"> </w:t>
      </w:r>
      <w:r w:rsidRPr="00742501">
        <w:t>integrates</w:t>
      </w:r>
      <w:r w:rsidR="00E00F71">
        <w:t xml:space="preserve"> </w:t>
      </w:r>
      <w:r w:rsidRPr="00742501">
        <w:t xml:space="preserve">Language, Literacy and Communication, Mathematics and Numeracy, and Health and Well-being. Centring around the task of building a shelter for Tedi </w:t>
      </w:r>
      <w:proofErr w:type="spellStart"/>
      <w:r w:rsidRPr="00742501">
        <w:t>Twt</w:t>
      </w:r>
      <w:proofErr w:type="spellEnd"/>
      <w:r w:rsidRPr="00742501">
        <w:t>, it focuses on teamwork, measurement skills, and the exploration of</w:t>
      </w:r>
      <w:r w:rsidR="00137362">
        <w:t xml:space="preserve"> loose parts</w:t>
      </w:r>
      <w:r w:rsidRPr="00742501">
        <w:t>, aligning with the Curriculum for Wales.</w:t>
      </w:r>
      <w:r w:rsidR="0043380A">
        <w:t xml:space="preserve"> </w:t>
      </w:r>
    </w:p>
    <w:p w14:paraId="1FEBAD3F" w14:textId="6F0BDABB" w:rsidR="00137362" w:rsidRDefault="00742501" w:rsidP="00137362">
      <w:pPr>
        <w:spacing w:line="360" w:lineRule="auto"/>
        <w:jc w:val="both"/>
      </w:pPr>
      <w:r w:rsidRPr="00742501">
        <w:t>The lesson plan demonstrates effective cross-curricular teaching by combining scientific inquiry with literacy, numeracy, and well-being objectives. The activity of constructing a shelter links measurement (Mathematics) with material properties (Science), and collaboration develops social skills (Health and Well-being). This aligns with the concept that cross-curricular teaching enhances engagement and subject comprehension by embedding skills within authentic, real-world contexts (Barnes, 2015). Outdoor learning, a core aspect of the Curriculum for Wales, further supports the holistic development of physical and mental well-being (Welsh Government, 2023).</w:t>
      </w:r>
    </w:p>
    <w:p w14:paraId="30A56435" w14:textId="4622DB96" w:rsidR="00742501" w:rsidRPr="00742501" w:rsidRDefault="00742501" w:rsidP="00137362">
      <w:pPr>
        <w:spacing w:line="360" w:lineRule="auto"/>
        <w:jc w:val="both"/>
      </w:pPr>
      <w:r w:rsidRPr="00742501">
        <w:lastRenderedPageBreak/>
        <w:t xml:space="preserve">This plan utilises problem-solving to foster intrinsic motivation and deeper learning. Relating the activity to Tedi </w:t>
      </w:r>
      <w:proofErr w:type="spellStart"/>
      <w:r w:rsidRPr="00742501">
        <w:t>Twt</w:t>
      </w:r>
      <w:proofErr w:type="spellEnd"/>
      <w:r w:rsidRPr="00742501">
        <w:t xml:space="preserve"> makes it meaningful and engaging for young learners, tapping into their curiosity and creativity. Research supports the use of authentic tasks to develop transferable skills and foster intrinsic engagement (Thomas, 2000). Hands-on, child-centred activities encourage autonomy, while digital tools such as iPads enhance their learning experience, promoting creativity and technological literacy (Beauchamp, 2016).</w:t>
      </w:r>
    </w:p>
    <w:p w14:paraId="386CD068" w14:textId="787FA3B5" w:rsidR="00C43B5B" w:rsidRDefault="00C43B5B" w:rsidP="00137362">
      <w:pPr>
        <w:spacing w:line="360" w:lineRule="auto"/>
        <w:jc w:val="both"/>
      </w:pPr>
      <w:r w:rsidRPr="00C43B5B">
        <w:t>The lesson plan ensures inclusivity through differentiation. Lower-ability learners explore simple concepts such as “longer than,” while middle-ability pupils use tools like lollipop sticks for measurement, and higher-ability pupils work with centimetres for more precise calculations. This graduated approach aligns with Vygotsky’s ZPD</w:t>
      </w:r>
      <w:r w:rsidR="00D51398">
        <w:t xml:space="preserve"> (1978)</w:t>
      </w:r>
      <w:r w:rsidRPr="00C43B5B">
        <w:t xml:space="preserve">, providing appropriate challenges for learners of all abilities. Furthermore, bilingual development is encouraged </w:t>
      </w:r>
      <w:r w:rsidR="00F772CE" w:rsidRPr="00C43B5B">
        <w:t>using</w:t>
      </w:r>
      <w:r w:rsidRPr="00C43B5B">
        <w:t xml:space="preserve"> Welsh-language phrases, aligning with the principles of the Curriculum for Wales.</w:t>
      </w:r>
    </w:p>
    <w:p w14:paraId="4DCC78EF" w14:textId="2EA4CA23" w:rsidR="00C43B5B" w:rsidRDefault="00C43B5B" w:rsidP="00137362">
      <w:pPr>
        <w:spacing w:line="360" w:lineRule="auto"/>
        <w:jc w:val="both"/>
      </w:pPr>
      <w:r w:rsidRPr="00C43B5B">
        <w:t xml:space="preserve">The Tedi </w:t>
      </w:r>
      <w:proofErr w:type="spellStart"/>
      <w:r w:rsidRPr="00C43B5B">
        <w:t>Twt</w:t>
      </w:r>
      <w:proofErr w:type="spellEnd"/>
      <w:r w:rsidRPr="00C43B5B">
        <w:t xml:space="preserve"> resource </w:t>
      </w:r>
      <w:r>
        <w:t xml:space="preserve">(see Appendix B) </w:t>
      </w:r>
      <w:r w:rsidRPr="00C43B5B">
        <w:t>supports critical and creative thinking by presenting learners with a relatable problem-solving scenario. It promotes scientific understanding of material properties while encouraging literacy through discussion and questioning. Constructing shelters with loose parts supports STEM skills (Science, Technology, Engineering, and Mathematics) alongside teamwork and critical thinking (White, 2014). Incorporating physical play further enhances motor skills, aligning with the AoLE of Health and Well-being. Additionally, pupils use iPads to photograph their work, which integrates digital competence, a core component of the Curriculum for Wales.</w:t>
      </w:r>
    </w:p>
    <w:p w14:paraId="05AC152B" w14:textId="1CD4CD53" w:rsidR="00F772CE" w:rsidRDefault="00F772CE" w:rsidP="00137362">
      <w:pPr>
        <w:spacing w:line="360" w:lineRule="auto"/>
        <w:jc w:val="both"/>
      </w:pPr>
      <w:r w:rsidRPr="00F772CE">
        <w:t xml:space="preserve">The Tedi </w:t>
      </w:r>
      <w:proofErr w:type="spellStart"/>
      <w:r w:rsidRPr="00F772CE">
        <w:t>Twt</w:t>
      </w:r>
      <w:proofErr w:type="spellEnd"/>
      <w:r w:rsidRPr="00F772CE">
        <w:t xml:space="preserve"> resource supports inclusivity and differentiation by allowing pupils to engage at their own levels of ability.</w:t>
      </w:r>
      <w:r w:rsidR="0043380A">
        <w:t xml:space="preserve"> The resource aids pupils by demonstrating clear </w:t>
      </w:r>
      <w:r w:rsidR="00D51398">
        <w:t xml:space="preserve">different </w:t>
      </w:r>
      <w:r w:rsidR="0043380A">
        <w:t>examples</w:t>
      </w:r>
      <w:r w:rsidR="00D51398">
        <w:t xml:space="preserve"> of what a shelter could be.</w:t>
      </w:r>
      <w:r w:rsidR="0043380A">
        <w:t xml:space="preserve"> </w:t>
      </w:r>
      <w:r w:rsidRPr="00F772CE">
        <w:t xml:space="preserve">Additionally, open-ended questions like "What might happen if Tedi </w:t>
      </w:r>
      <w:proofErr w:type="spellStart"/>
      <w:r w:rsidRPr="00F772CE">
        <w:t>Twt’s</w:t>
      </w:r>
      <w:proofErr w:type="spellEnd"/>
      <w:r w:rsidRPr="00F772CE">
        <w:t xml:space="preserve"> shelter gets wet?" encourage deeper thinking and creativity across ability levels. This tailored approach ensures that all pupils are appropriately challenged and engaged while reinforcing STEM concepts (White, 2014). To further enhance inclusivity, future iterations could incorporate visual aids or bilingual instructions to support pupils with additional learning needs or those developing proficiency in Welsh.</w:t>
      </w:r>
    </w:p>
    <w:p w14:paraId="4F7E5BCD" w14:textId="632DF865" w:rsidR="00742501" w:rsidRPr="00742501" w:rsidRDefault="00742501" w:rsidP="00137362">
      <w:pPr>
        <w:spacing w:line="360" w:lineRule="auto"/>
        <w:jc w:val="both"/>
      </w:pPr>
      <w:r w:rsidRPr="00742501">
        <w:lastRenderedPageBreak/>
        <w:t>The resource’s hands-on and multi-sensory nature promotes learning across disciplines. Constructing shelters with loose parts supports physical literacy, teamwork, and critical thinking (White, 2014). Research suggests interactive and multi-sensory learning environments enhance retention and engagement by connecting knowledge to practical contexts (Kolb, 1984).</w:t>
      </w:r>
    </w:p>
    <w:p w14:paraId="1AF7065B" w14:textId="17CECE0A" w:rsidR="00137362" w:rsidRDefault="00742501" w:rsidP="00137362">
      <w:pPr>
        <w:spacing w:line="360" w:lineRule="auto"/>
        <w:jc w:val="both"/>
      </w:pPr>
      <w:r w:rsidRPr="00742501">
        <w:rPr>
          <w:b/>
          <w:bCs/>
        </w:rPr>
        <w:br/>
      </w:r>
      <w:r w:rsidR="00F772CE" w:rsidRPr="00F772CE">
        <w:t xml:space="preserve">To conclude, cross-curricular teaching effectively deepens learning by enabling pupils to apply skills across disciplines, fostering creativity, collaboration, and critical thinking. Theories such as Vygotsky’s ZPD and Kolb’s Experiential Learning Cycle underscore the value of active, hands-on, and collaborative learning experiences. Practical examples like the Tedi </w:t>
      </w:r>
      <w:proofErr w:type="spellStart"/>
      <w:r w:rsidR="00F772CE" w:rsidRPr="00F772CE">
        <w:t>Twt</w:t>
      </w:r>
      <w:proofErr w:type="spellEnd"/>
      <w:r w:rsidR="00F772CE" w:rsidRPr="00F772CE">
        <w:t xml:space="preserve"> resource demonstrate how interdisciplinary approaches align with the Curriculum for Wales, promoting transferable skills and holistic development. Looking ahead, fostering teacher confidence through professional development and integrating more opportunities for pupil-led inquiry will further enhance the effectiveness of cross-curricular teaching. These strategies not only address existing challenges but also ensure that pupils are well-equipped for the complexities of the modern world.</w:t>
      </w:r>
    </w:p>
    <w:p w14:paraId="0559F15D" w14:textId="18839483" w:rsidR="00C43B5B" w:rsidRPr="00137362" w:rsidRDefault="00F772CE" w:rsidP="00137362">
      <w:pPr>
        <w:spacing w:line="360" w:lineRule="auto"/>
        <w:jc w:val="both"/>
      </w:pPr>
      <w:r w:rsidRPr="00F772CE">
        <w:t xml:space="preserve">Future practice in cross-curricular teaching should also focus on expanding opportunities for pupil-led inquiry. For example, pupils could test their shelters under various conditions, such as rain or wind, to evaluate and refine their designs. This process encourages iterative thinking and deeper engagement with scientific concepts, promoting problem-solving skills. Incorporating additional digital tools, such as creating instructional videos or digital presentations about their shelters, could further develop pupils' </w:t>
      </w:r>
      <w:r>
        <w:t xml:space="preserve">digital </w:t>
      </w:r>
      <w:r w:rsidRPr="00F772CE">
        <w:t>competence while fostering communication and creativity. These recommendations align with the Curriculum for Wales (2022), which emphasises enabling learners to become creative and enterprising individuals.</w:t>
      </w:r>
    </w:p>
    <w:p w14:paraId="2AC6BE8D" w14:textId="129D00B7" w:rsidR="00742501" w:rsidRPr="00742501" w:rsidRDefault="00742501" w:rsidP="00137362">
      <w:pPr>
        <w:spacing w:line="360" w:lineRule="auto"/>
        <w:jc w:val="both"/>
      </w:pPr>
      <w:r w:rsidRPr="00742501">
        <w:t xml:space="preserve">This lesson </w:t>
      </w:r>
      <w:r w:rsidR="00F772CE">
        <w:t xml:space="preserve">plan </w:t>
      </w:r>
      <w:r w:rsidRPr="00742501">
        <w:t>and its enhanced provision material promote collaboration, creativity, and critical thinking, fostering meaningful</w:t>
      </w:r>
      <w:r w:rsidR="00F772CE">
        <w:t xml:space="preserve"> cross-curricular</w:t>
      </w:r>
      <w:r w:rsidRPr="00742501">
        <w:t xml:space="preserve"> learning experiences. </w:t>
      </w:r>
    </w:p>
    <w:p w14:paraId="139B8A58" w14:textId="77777777" w:rsidR="00742501" w:rsidRDefault="00742501" w:rsidP="00137362">
      <w:pPr>
        <w:spacing w:line="360" w:lineRule="auto"/>
        <w:jc w:val="both"/>
        <w:rPr>
          <w:b/>
          <w:bCs/>
        </w:rPr>
      </w:pPr>
    </w:p>
    <w:p w14:paraId="15E4E5F9" w14:textId="77777777" w:rsidR="00D51398" w:rsidRDefault="00D51398" w:rsidP="007B6E2F">
      <w:pPr>
        <w:rPr>
          <w:b/>
          <w:bCs/>
        </w:rPr>
      </w:pPr>
    </w:p>
    <w:p w14:paraId="75AFB74A" w14:textId="77777777" w:rsidR="00D51398" w:rsidRDefault="00D51398" w:rsidP="007B6E2F">
      <w:pPr>
        <w:rPr>
          <w:b/>
          <w:bCs/>
        </w:rPr>
      </w:pPr>
    </w:p>
    <w:p w14:paraId="4DAA1E38" w14:textId="09575049" w:rsidR="009710C9" w:rsidRPr="00742501" w:rsidRDefault="009710C9" w:rsidP="007B6E2F">
      <w:pPr>
        <w:rPr>
          <w:b/>
          <w:bCs/>
          <w:u w:val="single"/>
        </w:rPr>
      </w:pPr>
      <w:r w:rsidRPr="00742501">
        <w:rPr>
          <w:b/>
          <w:bCs/>
          <w:u w:val="single"/>
        </w:rPr>
        <w:lastRenderedPageBreak/>
        <w:t>Reference List</w:t>
      </w:r>
    </w:p>
    <w:p w14:paraId="1B75423E" w14:textId="77777777" w:rsidR="00137362" w:rsidRDefault="00137362" w:rsidP="007B6E2F"/>
    <w:p w14:paraId="7C7B00D6" w14:textId="77777777" w:rsidR="00137362" w:rsidRPr="00137362" w:rsidRDefault="00137362" w:rsidP="00137362">
      <w:pPr>
        <w:spacing w:line="240" w:lineRule="auto"/>
        <w:rPr>
          <w:color w:val="000000" w:themeColor="text1"/>
        </w:rPr>
      </w:pPr>
      <w:r w:rsidRPr="00137362">
        <w:rPr>
          <w:color w:val="000000" w:themeColor="text1"/>
        </w:rPr>
        <w:t xml:space="preserve">Barnes, J. (2015) </w:t>
      </w:r>
      <w:r w:rsidRPr="00137362">
        <w:rPr>
          <w:i/>
          <w:iCs/>
          <w:color w:val="000000" w:themeColor="text1"/>
        </w:rPr>
        <w:t>Cross-curricular Learning 3–14</w:t>
      </w:r>
      <w:r w:rsidRPr="00137362">
        <w:rPr>
          <w:color w:val="000000" w:themeColor="text1"/>
        </w:rPr>
        <w:t xml:space="preserve">. 3rd </w:t>
      </w:r>
      <w:proofErr w:type="spellStart"/>
      <w:r w:rsidRPr="00137362">
        <w:rPr>
          <w:color w:val="000000" w:themeColor="text1"/>
        </w:rPr>
        <w:t>edn</w:t>
      </w:r>
      <w:proofErr w:type="spellEnd"/>
      <w:r w:rsidRPr="00137362">
        <w:rPr>
          <w:color w:val="000000" w:themeColor="text1"/>
        </w:rPr>
        <w:t>. London: SAGE.</w:t>
      </w:r>
    </w:p>
    <w:p w14:paraId="15DC1A6A" w14:textId="77777777" w:rsidR="00137362" w:rsidRPr="00137362" w:rsidRDefault="00137362" w:rsidP="00137362">
      <w:pPr>
        <w:spacing w:line="240" w:lineRule="auto"/>
        <w:rPr>
          <w:color w:val="000000" w:themeColor="text1"/>
        </w:rPr>
      </w:pPr>
      <w:r w:rsidRPr="00137362">
        <w:rPr>
          <w:color w:val="000000" w:themeColor="text1"/>
        </w:rPr>
        <w:t xml:space="preserve">Beauchamp, G. (2016) </w:t>
      </w:r>
      <w:r w:rsidRPr="00137362">
        <w:rPr>
          <w:i/>
          <w:iCs/>
          <w:color w:val="000000" w:themeColor="text1"/>
        </w:rPr>
        <w:t>Computing and ICT in the Primary School: From Pedagogy to Practice</w:t>
      </w:r>
      <w:r w:rsidRPr="00137362">
        <w:rPr>
          <w:color w:val="000000" w:themeColor="text1"/>
        </w:rPr>
        <w:t>. London: Routledge.</w:t>
      </w:r>
    </w:p>
    <w:p w14:paraId="37EE13F9" w14:textId="77777777" w:rsidR="00137362" w:rsidRPr="00137362" w:rsidRDefault="00137362" w:rsidP="00137362">
      <w:pPr>
        <w:spacing w:line="240" w:lineRule="auto"/>
        <w:rPr>
          <w:color w:val="000000" w:themeColor="text1"/>
        </w:rPr>
      </w:pPr>
      <w:r w:rsidRPr="00137362">
        <w:rPr>
          <w:color w:val="000000" w:themeColor="text1"/>
        </w:rPr>
        <w:t xml:space="preserve">Bell, A. &amp; McNamara, D., 2019. </w:t>
      </w:r>
      <w:r w:rsidRPr="00137362">
        <w:rPr>
          <w:i/>
          <w:iCs/>
          <w:color w:val="000000" w:themeColor="text1"/>
        </w:rPr>
        <w:t>The limits of cross-curricular learning: Maintaining subject integrity in education</w:t>
      </w:r>
      <w:r w:rsidRPr="00137362">
        <w:rPr>
          <w:color w:val="000000" w:themeColor="text1"/>
        </w:rPr>
        <w:t>. Journal of Curriculum Studies, 51(3), pp.340-356.</w:t>
      </w:r>
    </w:p>
    <w:p w14:paraId="43810B87" w14:textId="77777777" w:rsidR="00137362" w:rsidRDefault="00137362" w:rsidP="00137362">
      <w:pPr>
        <w:spacing w:line="240" w:lineRule="auto"/>
        <w:rPr>
          <w:color w:val="000000" w:themeColor="text1"/>
        </w:rPr>
      </w:pPr>
      <w:r w:rsidRPr="00137362">
        <w:rPr>
          <w:color w:val="000000" w:themeColor="text1"/>
        </w:rPr>
        <w:t xml:space="preserve">Bruner, J. S., 1960. </w:t>
      </w:r>
      <w:r w:rsidRPr="00137362">
        <w:rPr>
          <w:i/>
          <w:iCs/>
          <w:color w:val="000000" w:themeColor="text1"/>
        </w:rPr>
        <w:t>The process of education</w:t>
      </w:r>
      <w:r w:rsidRPr="00137362">
        <w:rPr>
          <w:color w:val="000000" w:themeColor="text1"/>
        </w:rPr>
        <w:t>. Harvard University Press.</w:t>
      </w:r>
    </w:p>
    <w:p w14:paraId="48A40C3D" w14:textId="77777777" w:rsidR="00137362" w:rsidRPr="00137362" w:rsidRDefault="00137362" w:rsidP="00137362">
      <w:pPr>
        <w:spacing w:line="240" w:lineRule="auto"/>
        <w:rPr>
          <w:color w:val="000000" w:themeColor="text1"/>
        </w:rPr>
      </w:pPr>
      <w:r w:rsidRPr="00137362">
        <w:rPr>
          <w:color w:val="000000" w:themeColor="text1"/>
        </w:rPr>
        <w:t xml:space="preserve">Curriculum for Wales, 2022. </w:t>
      </w:r>
      <w:r w:rsidRPr="00137362">
        <w:rPr>
          <w:i/>
          <w:iCs/>
          <w:color w:val="000000" w:themeColor="text1"/>
        </w:rPr>
        <w:t>The Curriculum for Wales 2022 framework</w:t>
      </w:r>
      <w:r w:rsidRPr="00137362">
        <w:rPr>
          <w:color w:val="000000" w:themeColor="text1"/>
        </w:rPr>
        <w:t>. Available at: https://www.gov.wales/curriculum-for-wales [Accessed 13 February 2025].</w:t>
      </w:r>
    </w:p>
    <w:p w14:paraId="587663F7" w14:textId="77777777" w:rsidR="00137362" w:rsidRPr="00137362" w:rsidRDefault="00137362" w:rsidP="00137362">
      <w:pPr>
        <w:spacing w:line="240" w:lineRule="auto"/>
        <w:rPr>
          <w:color w:val="000000" w:themeColor="text1"/>
        </w:rPr>
      </w:pPr>
      <w:r w:rsidRPr="00137362">
        <w:rPr>
          <w:color w:val="000000" w:themeColor="text1"/>
        </w:rPr>
        <w:t xml:space="preserve">Curriculum for Wales, 2022. </w:t>
      </w:r>
      <w:r w:rsidRPr="00137362">
        <w:rPr>
          <w:i/>
          <w:iCs/>
          <w:color w:val="000000" w:themeColor="text1"/>
        </w:rPr>
        <w:t>The Curriculum for Wales 2022 framework</w:t>
      </w:r>
      <w:r w:rsidRPr="00137362">
        <w:rPr>
          <w:color w:val="000000" w:themeColor="text1"/>
        </w:rPr>
        <w:t>. Available at: https://www.gov.wales/curriculum-for-wales [Accessed 13 February 2025].</w:t>
      </w:r>
    </w:p>
    <w:p w14:paraId="50E5D279" w14:textId="77777777" w:rsidR="00137362" w:rsidRPr="00137362" w:rsidRDefault="00137362" w:rsidP="00137362">
      <w:pPr>
        <w:spacing w:line="240" w:lineRule="auto"/>
        <w:rPr>
          <w:color w:val="000000" w:themeColor="text1"/>
        </w:rPr>
      </w:pPr>
      <w:r w:rsidRPr="00137362">
        <w:rPr>
          <w:color w:val="000000" w:themeColor="text1"/>
        </w:rPr>
        <w:t xml:space="preserve">Curriculum for Wales, 2022. </w:t>
      </w:r>
      <w:r w:rsidRPr="00137362">
        <w:rPr>
          <w:i/>
          <w:iCs/>
          <w:color w:val="000000" w:themeColor="text1"/>
        </w:rPr>
        <w:t>The Curriculum for Wales 2022 framework</w:t>
      </w:r>
      <w:r w:rsidRPr="00137362">
        <w:rPr>
          <w:color w:val="000000" w:themeColor="text1"/>
        </w:rPr>
        <w:t>. Available at: https://www.gov.wales/curriculum-for-wales [Accessed 13 February 2025].</w:t>
      </w:r>
    </w:p>
    <w:p w14:paraId="1BC83A56" w14:textId="77777777" w:rsidR="00137362" w:rsidRPr="00137362" w:rsidRDefault="00137362" w:rsidP="00137362">
      <w:pPr>
        <w:spacing w:line="240" w:lineRule="auto"/>
        <w:rPr>
          <w:color w:val="000000" w:themeColor="text1"/>
        </w:rPr>
      </w:pPr>
      <w:r w:rsidRPr="00137362">
        <w:rPr>
          <w:color w:val="000000" w:themeColor="text1"/>
        </w:rPr>
        <w:t xml:space="preserve">Dewey, J., 1938. </w:t>
      </w:r>
      <w:r w:rsidRPr="00137362">
        <w:rPr>
          <w:i/>
          <w:iCs/>
          <w:color w:val="000000" w:themeColor="text1"/>
        </w:rPr>
        <w:t>Experience and education</w:t>
      </w:r>
      <w:r w:rsidRPr="00137362">
        <w:rPr>
          <w:color w:val="000000" w:themeColor="text1"/>
        </w:rPr>
        <w:t>. Macmillan.</w:t>
      </w:r>
    </w:p>
    <w:p w14:paraId="6B72A891" w14:textId="77777777" w:rsidR="00137362" w:rsidRPr="00137362" w:rsidRDefault="00137362" w:rsidP="00137362">
      <w:pPr>
        <w:spacing w:line="240" w:lineRule="auto"/>
        <w:rPr>
          <w:color w:val="000000" w:themeColor="text1"/>
        </w:rPr>
      </w:pPr>
      <w:r w:rsidRPr="00137362">
        <w:rPr>
          <w:color w:val="000000" w:themeColor="text1"/>
        </w:rPr>
        <w:t xml:space="preserve">Education and Training Inspectorate (ETI), 2018. </w:t>
      </w:r>
      <w:r w:rsidRPr="00137362">
        <w:rPr>
          <w:i/>
          <w:iCs/>
          <w:color w:val="000000" w:themeColor="text1"/>
        </w:rPr>
        <w:t>Review of cross-curricular teaching and learning</w:t>
      </w:r>
      <w:r w:rsidRPr="00137362">
        <w:rPr>
          <w:color w:val="000000" w:themeColor="text1"/>
        </w:rPr>
        <w:t>. ETI.</w:t>
      </w:r>
    </w:p>
    <w:p w14:paraId="28B9ACC7" w14:textId="77777777" w:rsidR="00137362" w:rsidRPr="00137362" w:rsidRDefault="00137362" w:rsidP="00137362">
      <w:pPr>
        <w:spacing w:line="240" w:lineRule="auto"/>
        <w:rPr>
          <w:color w:val="000000" w:themeColor="text1"/>
        </w:rPr>
      </w:pPr>
      <w:r w:rsidRPr="00137362">
        <w:rPr>
          <w:color w:val="000000" w:themeColor="text1"/>
        </w:rPr>
        <w:t xml:space="preserve">Fisher, J. (2011) </w:t>
      </w:r>
      <w:r w:rsidRPr="00137362">
        <w:rPr>
          <w:i/>
          <w:iCs/>
          <w:color w:val="000000" w:themeColor="text1"/>
        </w:rPr>
        <w:t>Starting from the Child: Teaching and Learning in the Foundation Stage</w:t>
      </w:r>
      <w:r w:rsidRPr="00137362">
        <w:rPr>
          <w:color w:val="000000" w:themeColor="text1"/>
        </w:rPr>
        <w:t xml:space="preserve">. 4th </w:t>
      </w:r>
      <w:proofErr w:type="spellStart"/>
      <w:r w:rsidRPr="00137362">
        <w:rPr>
          <w:color w:val="000000" w:themeColor="text1"/>
        </w:rPr>
        <w:t>edn</w:t>
      </w:r>
      <w:proofErr w:type="spellEnd"/>
      <w:r w:rsidRPr="00137362">
        <w:rPr>
          <w:color w:val="000000" w:themeColor="text1"/>
        </w:rPr>
        <w:t>. Maidenhead: Open University Press.</w:t>
      </w:r>
    </w:p>
    <w:p w14:paraId="7626098F" w14:textId="77777777" w:rsidR="00137362" w:rsidRPr="00137362" w:rsidRDefault="00137362" w:rsidP="00137362">
      <w:pPr>
        <w:spacing w:line="240" w:lineRule="auto"/>
        <w:rPr>
          <w:color w:val="000000" w:themeColor="text1"/>
        </w:rPr>
      </w:pPr>
      <w:r w:rsidRPr="00137362">
        <w:rPr>
          <w:color w:val="000000" w:themeColor="text1"/>
        </w:rPr>
        <w:t xml:space="preserve">Hargreaves, L., 2017. </w:t>
      </w:r>
      <w:r w:rsidRPr="00137362">
        <w:rPr>
          <w:i/>
          <w:iCs/>
          <w:color w:val="000000" w:themeColor="text1"/>
        </w:rPr>
        <w:t>Balancing depth and integration: The tensions of cross-curricular teaching in schools</w:t>
      </w:r>
      <w:r w:rsidRPr="00137362">
        <w:rPr>
          <w:color w:val="000000" w:themeColor="text1"/>
        </w:rPr>
        <w:t>. Teaching and Teacher Education, 63, pp.78-86.</w:t>
      </w:r>
    </w:p>
    <w:p w14:paraId="2C49A6CA" w14:textId="77777777" w:rsidR="00137362" w:rsidRPr="00137362" w:rsidRDefault="00137362" w:rsidP="00137362">
      <w:pPr>
        <w:spacing w:line="240" w:lineRule="auto"/>
        <w:rPr>
          <w:color w:val="000000" w:themeColor="text1"/>
        </w:rPr>
      </w:pPr>
      <w:r w:rsidRPr="00137362">
        <w:rPr>
          <w:color w:val="000000" w:themeColor="text1"/>
        </w:rPr>
        <w:t xml:space="preserve">Kolb, D. A. (1984) </w:t>
      </w:r>
      <w:r w:rsidRPr="00137362">
        <w:rPr>
          <w:i/>
          <w:iCs/>
          <w:color w:val="000000" w:themeColor="text1"/>
        </w:rPr>
        <w:t>Experiential Learning: Experience as the Source of Learning and Development</w:t>
      </w:r>
      <w:r w:rsidRPr="00137362">
        <w:rPr>
          <w:color w:val="000000" w:themeColor="text1"/>
        </w:rPr>
        <w:t>. Englewood Cliffs: Prentice Hall.</w:t>
      </w:r>
    </w:p>
    <w:p w14:paraId="20906655" w14:textId="77777777" w:rsidR="00137362" w:rsidRPr="00137362" w:rsidRDefault="00137362" w:rsidP="00137362">
      <w:pPr>
        <w:spacing w:line="240" w:lineRule="auto"/>
        <w:rPr>
          <w:color w:val="000000" w:themeColor="text1"/>
        </w:rPr>
      </w:pPr>
      <w:r w:rsidRPr="00137362">
        <w:rPr>
          <w:color w:val="000000" w:themeColor="text1"/>
        </w:rPr>
        <w:t xml:space="preserve">National Foundation for Educational Research (NFER), 2017. </w:t>
      </w:r>
      <w:r w:rsidRPr="00137362">
        <w:rPr>
          <w:i/>
          <w:iCs/>
          <w:color w:val="000000" w:themeColor="text1"/>
        </w:rPr>
        <w:t>Teachers' views on cross-curricular teaching in primary schools</w:t>
      </w:r>
      <w:r w:rsidRPr="00137362">
        <w:rPr>
          <w:color w:val="000000" w:themeColor="text1"/>
        </w:rPr>
        <w:t>. NFER.</w:t>
      </w:r>
    </w:p>
    <w:p w14:paraId="5EB28146" w14:textId="77777777" w:rsidR="00137362" w:rsidRPr="00137362" w:rsidRDefault="00137362" w:rsidP="00137362">
      <w:pPr>
        <w:spacing w:line="240" w:lineRule="auto"/>
        <w:rPr>
          <w:color w:val="000000" w:themeColor="text1"/>
        </w:rPr>
      </w:pPr>
      <w:r w:rsidRPr="00137362">
        <w:rPr>
          <w:color w:val="000000" w:themeColor="text1"/>
        </w:rPr>
        <w:t xml:space="preserve">O'Donnell, L., 2014. </w:t>
      </w:r>
      <w:r w:rsidRPr="00137362">
        <w:rPr>
          <w:i/>
          <w:iCs/>
          <w:color w:val="000000" w:themeColor="text1"/>
        </w:rPr>
        <w:t>The impact of cross-curricular learning on student achievement in high-stakes testing</w:t>
      </w:r>
      <w:r w:rsidRPr="00137362">
        <w:rPr>
          <w:color w:val="000000" w:themeColor="text1"/>
        </w:rPr>
        <w:t>. Educational Assessment, 19(2), pp.121-137.</w:t>
      </w:r>
    </w:p>
    <w:p w14:paraId="011655B1" w14:textId="77777777" w:rsidR="00137362" w:rsidRPr="00137362" w:rsidRDefault="00137362" w:rsidP="00137362">
      <w:pPr>
        <w:spacing w:line="240" w:lineRule="auto"/>
        <w:rPr>
          <w:color w:val="000000" w:themeColor="text1"/>
        </w:rPr>
      </w:pPr>
      <w:r w:rsidRPr="00137362">
        <w:rPr>
          <w:color w:val="000000" w:themeColor="text1"/>
        </w:rPr>
        <w:t xml:space="preserve">OECD, 2016. </w:t>
      </w:r>
      <w:r w:rsidRPr="00137362">
        <w:rPr>
          <w:i/>
          <w:iCs/>
          <w:color w:val="000000" w:themeColor="text1"/>
        </w:rPr>
        <w:t>Skills for a digital world</w:t>
      </w:r>
      <w:r w:rsidRPr="00137362">
        <w:rPr>
          <w:color w:val="000000" w:themeColor="text1"/>
        </w:rPr>
        <w:t>. OECD Publishing.</w:t>
      </w:r>
    </w:p>
    <w:p w14:paraId="50E2130F" w14:textId="77777777" w:rsidR="00137362" w:rsidRPr="00137362" w:rsidRDefault="00137362" w:rsidP="00137362">
      <w:pPr>
        <w:spacing w:line="240" w:lineRule="auto"/>
        <w:rPr>
          <w:color w:val="000000" w:themeColor="text1"/>
        </w:rPr>
      </w:pPr>
      <w:r w:rsidRPr="00137362">
        <w:rPr>
          <w:color w:val="000000" w:themeColor="text1"/>
        </w:rPr>
        <w:t xml:space="preserve">Ofsted, 2020. </w:t>
      </w:r>
      <w:r w:rsidRPr="00137362">
        <w:rPr>
          <w:i/>
          <w:iCs/>
          <w:color w:val="000000" w:themeColor="text1"/>
        </w:rPr>
        <w:t>Mathematics in schools: The role of numeracy in the curriculum</w:t>
      </w:r>
      <w:r w:rsidRPr="00137362">
        <w:rPr>
          <w:color w:val="000000" w:themeColor="text1"/>
        </w:rPr>
        <w:t>. Ofsted.</w:t>
      </w:r>
    </w:p>
    <w:p w14:paraId="0C02034A" w14:textId="77777777" w:rsidR="00137362" w:rsidRPr="00137362" w:rsidRDefault="00137362" w:rsidP="00137362">
      <w:pPr>
        <w:spacing w:line="240" w:lineRule="auto"/>
        <w:rPr>
          <w:color w:val="000000" w:themeColor="text1"/>
        </w:rPr>
      </w:pPr>
      <w:r w:rsidRPr="00137362">
        <w:rPr>
          <w:color w:val="000000" w:themeColor="text1"/>
        </w:rPr>
        <w:t xml:space="preserve">Piaget, J., 1952. </w:t>
      </w:r>
      <w:r w:rsidRPr="00137362">
        <w:rPr>
          <w:i/>
          <w:iCs/>
          <w:color w:val="000000" w:themeColor="text1"/>
        </w:rPr>
        <w:t>The origins of intelligence in children</w:t>
      </w:r>
      <w:r w:rsidRPr="00137362">
        <w:rPr>
          <w:color w:val="000000" w:themeColor="text1"/>
        </w:rPr>
        <w:t>. International Universities Press.</w:t>
      </w:r>
    </w:p>
    <w:p w14:paraId="4444EED9" w14:textId="77777777" w:rsidR="00137362" w:rsidRPr="00137362" w:rsidRDefault="00137362" w:rsidP="00137362">
      <w:pPr>
        <w:spacing w:line="240" w:lineRule="auto"/>
        <w:rPr>
          <w:color w:val="000000" w:themeColor="text1"/>
        </w:rPr>
      </w:pPr>
      <w:r w:rsidRPr="00137362">
        <w:rPr>
          <w:color w:val="000000" w:themeColor="text1"/>
        </w:rPr>
        <w:t xml:space="preserve">Ritchhart, R., Church, M. &amp; Morrison, K., 2011. </w:t>
      </w:r>
      <w:r w:rsidRPr="00137362">
        <w:rPr>
          <w:i/>
          <w:iCs/>
          <w:color w:val="000000" w:themeColor="text1"/>
        </w:rPr>
        <w:t>Making thinking visible: How to promote engagement, understanding, and independence for all learners</w:t>
      </w:r>
      <w:r w:rsidRPr="00137362">
        <w:rPr>
          <w:color w:val="000000" w:themeColor="text1"/>
        </w:rPr>
        <w:t>. Jossey-Bass.</w:t>
      </w:r>
    </w:p>
    <w:p w14:paraId="238BC0D1" w14:textId="77777777" w:rsidR="00137362" w:rsidRDefault="00137362" w:rsidP="00137362">
      <w:pPr>
        <w:spacing w:line="240" w:lineRule="auto"/>
        <w:rPr>
          <w:color w:val="000000" w:themeColor="text1"/>
        </w:rPr>
      </w:pPr>
      <w:r w:rsidRPr="00137362">
        <w:rPr>
          <w:color w:val="000000" w:themeColor="text1"/>
        </w:rPr>
        <w:t xml:space="preserve">Thomas, J. W. (2000) </w:t>
      </w:r>
      <w:r w:rsidRPr="00137362">
        <w:rPr>
          <w:i/>
          <w:iCs/>
          <w:color w:val="000000" w:themeColor="text1"/>
        </w:rPr>
        <w:t>A Review of Research on Project-Based Learning</w:t>
      </w:r>
      <w:r w:rsidRPr="00137362">
        <w:rPr>
          <w:color w:val="000000" w:themeColor="text1"/>
        </w:rPr>
        <w:t>. Available at: https://www.bie.org/research (Accessed: 20 February 2025).</w:t>
      </w:r>
    </w:p>
    <w:p w14:paraId="4370DE6D" w14:textId="77777777" w:rsidR="00137362" w:rsidRPr="00137362" w:rsidRDefault="00137362" w:rsidP="00137362">
      <w:pPr>
        <w:spacing w:line="240" w:lineRule="auto"/>
        <w:rPr>
          <w:color w:val="000000" w:themeColor="text1"/>
        </w:rPr>
      </w:pPr>
      <w:r w:rsidRPr="00137362">
        <w:rPr>
          <w:color w:val="000000" w:themeColor="text1"/>
        </w:rPr>
        <w:lastRenderedPageBreak/>
        <w:t xml:space="preserve">Vygotsky, L. S. (1978) </w:t>
      </w:r>
      <w:r w:rsidRPr="00137362">
        <w:rPr>
          <w:i/>
          <w:iCs/>
          <w:color w:val="000000" w:themeColor="text1"/>
        </w:rPr>
        <w:t>Mind in Society: The Development of Higher Psychological Processes</w:t>
      </w:r>
      <w:r w:rsidRPr="00137362">
        <w:rPr>
          <w:color w:val="000000" w:themeColor="text1"/>
        </w:rPr>
        <w:t>. Cambridge: Harvard University Press.</w:t>
      </w:r>
    </w:p>
    <w:p w14:paraId="5C11E6E5" w14:textId="77777777" w:rsidR="00137362" w:rsidRPr="00137362" w:rsidRDefault="00137362" w:rsidP="00137362">
      <w:pPr>
        <w:spacing w:line="240" w:lineRule="auto"/>
        <w:rPr>
          <w:color w:val="000000" w:themeColor="text1"/>
        </w:rPr>
      </w:pPr>
      <w:r w:rsidRPr="00137362">
        <w:rPr>
          <w:color w:val="000000" w:themeColor="text1"/>
        </w:rPr>
        <w:t xml:space="preserve">Vygotsky, L. S., 1978. </w:t>
      </w:r>
      <w:r w:rsidRPr="00137362">
        <w:rPr>
          <w:i/>
          <w:iCs/>
          <w:color w:val="000000" w:themeColor="text1"/>
        </w:rPr>
        <w:t>Mind in society: The development of higher psychological processes</w:t>
      </w:r>
      <w:r w:rsidRPr="00137362">
        <w:rPr>
          <w:color w:val="000000" w:themeColor="text1"/>
        </w:rPr>
        <w:t>. Harvard University Press.</w:t>
      </w:r>
    </w:p>
    <w:p w14:paraId="35D3BD3A" w14:textId="77777777" w:rsidR="00137362" w:rsidRPr="00137362" w:rsidRDefault="00137362" w:rsidP="00137362">
      <w:pPr>
        <w:spacing w:line="240" w:lineRule="auto"/>
        <w:rPr>
          <w:color w:val="000000" w:themeColor="text1"/>
        </w:rPr>
      </w:pPr>
      <w:r w:rsidRPr="00137362">
        <w:rPr>
          <w:color w:val="000000" w:themeColor="text1"/>
        </w:rPr>
        <w:t xml:space="preserve">Waite, S. (2017) </w:t>
      </w:r>
      <w:r w:rsidRPr="00137362">
        <w:rPr>
          <w:i/>
          <w:iCs/>
          <w:color w:val="000000" w:themeColor="text1"/>
        </w:rPr>
        <w:t>Children Learning Outside the Classroom: From Birth to Eleven</w:t>
      </w:r>
      <w:r w:rsidRPr="00137362">
        <w:rPr>
          <w:color w:val="000000" w:themeColor="text1"/>
        </w:rPr>
        <w:t xml:space="preserve">. 2nd </w:t>
      </w:r>
      <w:proofErr w:type="spellStart"/>
      <w:r w:rsidRPr="00137362">
        <w:rPr>
          <w:color w:val="000000" w:themeColor="text1"/>
        </w:rPr>
        <w:t>edn</w:t>
      </w:r>
      <w:proofErr w:type="spellEnd"/>
      <w:r w:rsidRPr="00137362">
        <w:rPr>
          <w:color w:val="000000" w:themeColor="text1"/>
        </w:rPr>
        <w:t>. London: SAGE.</w:t>
      </w:r>
    </w:p>
    <w:p w14:paraId="170F3257" w14:textId="77777777" w:rsidR="00137362" w:rsidRPr="00137362" w:rsidRDefault="00137362" w:rsidP="00137362">
      <w:pPr>
        <w:spacing w:line="240" w:lineRule="auto"/>
        <w:rPr>
          <w:color w:val="000000" w:themeColor="text1"/>
        </w:rPr>
      </w:pPr>
      <w:r w:rsidRPr="00137362">
        <w:rPr>
          <w:color w:val="000000" w:themeColor="text1"/>
        </w:rPr>
        <w:t xml:space="preserve">Welsh Government (2023) </w:t>
      </w:r>
      <w:r w:rsidRPr="00137362">
        <w:rPr>
          <w:i/>
          <w:iCs/>
          <w:color w:val="000000" w:themeColor="text1"/>
        </w:rPr>
        <w:t>Outdoor Learning and the Curriculum for Wales</w:t>
      </w:r>
      <w:r w:rsidRPr="00137362">
        <w:rPr>
          <w:color w:val="000000" w:themeColor="text1"/>
        </w:rPr>
        <w:t>. Cardiff: Welsh Government.</w:t>
      </w:r>
    </w:p>
    <w:p w14:paraId="3D0AE608" w14:textId="77777777" w:rsidR="00137362" w:rsidRPr="00137362" w:rsidRDefault="00137362" w:rsidP="00137362">
      <w:pPr>
        <w:spacing w:line="240" w:lineRule="auto"/>
        <w:rPr>
          <w:color w:val="000000" w:themeColor="text1"/>
        </w:rPr>
      </w:pPr>
      <w:r w:rsidRPr="00137362">
        <w:rPr>
          <w:color w:val="000000" w:themeColor="text1"/>
        </w:rPr>
        <w:t xml:space="preserve">White, J. (2014) </w:t>
      </w:r>
      <w:r w:rsidRPr="00137362">
        <w:rPr>
          <w:i/>
          <w:iCs/>
          <w:color w:val="000000" w:themeColor="text1"/>
        </w:rPr>
        <w:t>Playing and Learning Outdoors: Making Provision for High-Quality Experiences in the Outdoor Environment</w:t>
      </w:r>
      <w:r w:rsidRPr="00137362">
        <w:rPr>
          <w:color w:val="000000" w:themeColor="text1"/>
        </w:rPr>
        <w:t xml:space="preserve">. 2nd </w:t>
      </w:r>
      <w:proofErr w:type="spellStart"/>
      <w:r w:rsidRPr="00137362">
        <w:rPr>
          <w:color w:val="000000" w:themeColor="text1"/>
        </w:rPr>
        <w:t>edn</w:t>
      </w:r>
      <w:proofErr w:type="spellEnd"/>
      <w:r w:rsidRPr="00137362">
        <w:rPr>
          <w:color w:val="000000" w:themeColor="text1"/>
        </w:rPr>
        <w:t>. London: Routledge.</w:t>
      </w:r>
    </w:p>
    <w:p w14:paraId="106541F2" w14:textId="77777777" w:rsidR="00742501" w:rsidRDefault="00742501" w:rsidP="007B6E2F"/>
    <w:p w14:paraId="5E632523" w14:textId="77777777" w:rsidR="00742501" w:rsidRDefault="00742501" w:rsidP="007B6E2F"/>
    <w:p w14:paraId="089A850B" w14:textId="77777777" w:rsidR="00137362" w:rsidRDefault="00137362" w:rsidP="007B6E2F"/>
    <w:p w14:paraId="1F318B19" w14:textId="77777777" w:rsidR="00137362" w:rsidRDefault="00137362" w:rsidP="007B6E2F"/>
    <w:p w14:paraId="2C44164E" w14:textId="77777777" w:rsidR="00137362" w:rsidRDefault="00137362" w:rsidP="007B6E2F"/>
    <w:p w14:paraId="066F408F" w14:textId="77777777" w:rsidR="00137362" w:rsidRDefault="00137362" w:rsidP="007B6E2F"/>
    <w:p w14:paraId="77755F18" w14:textId="77777777" w:rsidR="00137362" w:rsidRDefault="00137362" w:rsidP="007B6E2F"/>
    <w:p w14:paraId="7B509156" w14:textId="77777777" w:rsidR="00137362" w:rsidRDefault="00137362" w:rsidP="007B6E2F"/>
    <w:p w14:paraId="2B54ED7B" w14:textId="77777777" w:rsidR="00137362" w:rsidRDefault="00137362" w:rsidP="007B6E2F"/>
    <w:p w14:paraId="2528AB1D" w14:textId="77777777" w:rsidR="00137362" w:rsidRDefault="00137362" w:rsidP="007B6E2F"/>
    <w:p w14:paraId="42B7C6CB" w14:textId="77777777" w:rsidR="00137362" w:rsidRDefault="00137362" w:rsidP="007B6E2F"/>
    <w:p w14:paraId="2F249814" w14:textId="77777777" w:rsidR="00137362" w:rsidRDefault="00137362" w:rsidP="007B6E2F"/>
    <w:p w14:paraId="3A6385D3" w14:textId="77777777" w:rsidR="00137362" w:rsidRDefault="00137362" w:rsidP="007B6E2F"/>
    <w:p w14:paraId="19CFB2E5" w14:textId="77777777" w:rsidR="00137362" w:rsidRDefault="00137362" w:rsidP="007B6E2F"/>
    <w:p w14:paraId="6188A2AD" w14:textId="77777777" w:rsidR="00137362" w:rsidRDefault="00137362" w:rsidP="007B6E2F"/>
    <w:p w14:paraId="0C6B2723" w14:textId="77777777" w:rsidR="00137362" w:rsidRDefault="00137362" w:rsidP="007B6E2F"/>
    <w:p w14:paraId="11183F77" w14:textId="77777777" w:rsidR="00137362" w:rsidRDefault="00137362" w:rsidP="007B6E2F"/>
    <w:p w14:paraId="211DF06E" w14:textId="77777777" w:rsidR="00137362" w:rsidRDefault="00137362" w:rsidP="007B6E2F"/>
    <w:p w14:paraId="0E86E38C" w14:textId="77777777" w:rsidR="00742501" w:rsidRDefault="00742501" w:rsidP="007B6E2F"/>
    <w:p w14:paraId="28095345" w14:textId="77777777" w:rsidR="00742501" w:rsidRDefault="00742501" w:rsidP="007B6E2F"/>
    <w:p w14:paraId="5558D599" w14:textId="59BFA427" w:rsidR="009710C9" w:rsidRPr="00742501" w:rsidRDefault="009710C9" w:rsidP="007B6E2F">
      <w:pPr>
        <w:rPr>
          <w:b/>
          <w:bCs/>
          <w:u w:val="single"/>
        </w:rPr>
      </w:pPr>
      <w:r w:rsidRPr="00742501">
        <w:rPr>
          <w:b/>
          <w:bCs/>
          <w:u w:val="single"/>
        </w:rPr>
        <w:lastRenderedPageBreak/>
        <w:t>Appendix</w:t>
      </w:r>
      <w:r w:rsidR="00742501" w:rsidRPr="00742501">
        <w:rPr>
          <w:b/>
          <w:bCs/>
          <w:u w:val="single"/>
        </w:rPr>
        <w:t xml:space="preserve"> A</w:t>
      </w:r>
    </w:p>
    <w:p w14:paraId="58C1F90C" w14:textId="18B3424C" w:rsidR="009710C9" w:rsidRDefault="00403DC6" w:rsidP="007B6E2F">
      <w:pPr>
        <w:rPr>
          <w:b/>
          <w:bCs/>
        </w:rPr>
      </w:pPr>
      <w:r w:rsidRPr="00403DC6">
        <w:rPr>
          <w:b/>
          <w:bCs/>
          <w:noProof/>
        </w:rPr>
        <w:drawing>
          <wp:inline distT="0" distB="0" distL="0" distR="0" wp14:anchorId="3003265E" wp14:editId="03A46666">
            <wp:extent cx="6209414" cy="3494918"/>
            <wp:effectExtent l="0" t="0" r="1270" b="0"/>
            <wp:docPr id="1622503774"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503774" name="Picture 1" descr="A close-up of a document&#10;&#10;AI-generated content may be incorrect."/>
                    <pic:cNvPicPr/>
                  </pic:nvPicPr>
                  <pic:blipFill rotWithShape="1">
                    <a:blip r:embed="rId6"/>
                    <a:srcRect l="4081" t="15455" r="8904" b="15387"/>
                    <a:stretch/>
                  </pic:blipFill>
                  <pic:spPr bwMode="auto">
                    <a:xfrm>
                      <a:off x="0" y="0"/>
                      <a:ext cx="6209414" cy="3494918"/>
                    </a:xfrm>
                    <a:prstGeom prst="rect">
                      <a:avLst/>
                    </a:prstGeom>
                    <a:ln>
                      <a:noFill/>
                    </a:ln>
                    <a:extLst>
                      <a:ext uri="{53640926-AAD7-44D8-BBD7-CCE9431645EC}">
                        <a14:shadowObscured xmlns:a14="http://schemas.microsoft.com/office/drawing/2010/main"/>
                      </a:ext>
                    </a:extLst>
                  </pic:spPr>
                </pic:pic>
              </a:graphicData>
            </a:graphic>
          </wp:inline>
        </w:drawing>
      </w:r>
    </w:p>
    <w:p w14:paraId="4DAC05FE" w14:textId="77777777" w:rsidR="003E3E13" w:rsidRDefault="003E3E13" w:rsidP="007B6E2F">
      <w:pPr>
        <w:rPr>
          <w:b/>
          <w:bCs/>
        </w:rPr>
      </w:pPr>
    </w:p>
    <w:p w14:paraId="5B64520C" w14:textId="4E73DB2C" w:rsidR="00403DC6" w:rsidRDefault="00403DC6" w:rsidP="007B6E2F">
      <w:pPr>
        <w:rPr>
          <w:b/>
          <w:bCs/>
        </w:rPr>
      </w:pPr>
      <w:r w:rsidRPr="00403DC6">
        <w:rPr>
          <w:b/>
          <w:bCs/>
          <w:noProof/>
        </w:rPr>
        <w:drawing>
          <wp:inline distT="0" distB="0" distL="0" distR="0" wp14:anchorId="1C143A6B" wp14:editId="3CF7E66F">
            <wp:extent cx="6350635" cy="3800828"/>
            <wp:effectExtent l="0" t="0" r="0" b="9525"/>
            <wp:docPr id="6116989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69899" name="Picture 1" descr="A screenshot of a computer&#10;&#10;AI-generated content may be incorrect."/>
                    <pic:cNvPicPr/>
                  </pic:nvPicPr>
                  <pic:blipFill rotWithShape="1">
                    <a:blip r:embed="rId7"/>
                    <a:srcRect l="4453" t="9294" r="9064" b="16621"/>
                    <a:stretch/>
                  </pic:blipFill>
                  <pic:spPr bwMode="auto">
                    <a:xfrm>
                      <a:off x="0" y="0"/>
                      <a:ext cx="6375446" cy="3815677"/>
                    </a:xfrm>
                    <a:prstGeom prst="rect">
                      <a:avLst/>
                    </a:prstGeom>
                    <a:ln>
                      <a:noFill/>
                    </a:ln>
                    <a:extLst>
                      <a:ext uri="{53640926-AAD7-44D8-BBD7-CCE9431645EC}">
                        <a14:shadowObscured xmlns:a14="http://schemas.microsoft.com/office/drawing/2010/main"/>
                      </a:ext>
                    </a:extLst>
                  </pic:spPr>
                </pic:pic>
              </a:graphicData>
            </a:graphic>
          </wp:inline>
        </w:drawing>
      </w:r>
    </w:p>
    <w:p w14:paraId="6BD1C1B2" w14:textId="0E853665" w:rsidR="00403DC6" w:rsidRDefault="00403DC6" w:rsidP="007B6E2F">
      <w:pPr>
        <w:rPr>
          <w:b/>
          <w:bCs/>
        </w:rPr>
      </w:pPr>
      <w:r w:rsidRPr="00403DC6">
        <w:rPr>
          <w:b/>
          <w:bCs/>
          <w:noProof/>
        </w:rPr>
        <w:lastRenderedPageBreak/>
        <w:drawing>
          <wp:inline distT="0" distB="0" distL="0" distR="0" wp14:anchorId="27847571" wp14:editId="3280B0A9">
            <wp:extent cx="6223182" cy="3657600"/>
            <wp:effectExtent l="0" t="0" r="6350" b="0"/>
            <wp:docPr id="199155633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556339" name="Picture 1" descr="A screenshot of a computer&#10;&#10;AI-generated content may be incorrect."/>
                    <pic:cNvPicPr/>
                  </pic:nvPicPr>
                  <pic:blipFill rotWithShape="1">
                    <a:blip r:embed="rId8"/>
                    <a:srcRect l="3711" t="15544" r="8516" b="12410"/>
                    <a:stretch/>
                  </pic:blipFill>
                  <pic:spPr bwMode="auto">
                    <a:xfrm>
                      <a:off x="0" y="0"/>
                      <a:ext cx="6239198" cy="3667013"/>
                    </a:xfrm>
                    <a:prstGeom prst="rect">
                      <a:avLst/>
                    </a:prstGeom>
                    <a:ln>
                      <a:noFill/>
                    </a:ln>
                    <a:extLst>
                      <a:ext uri="{53640926-AAD7-44D8-BBD7-CCE9431645EC}">
                        <a14:shadowObscured xmlns:a14="http://schemas.microsoft.com/office/drawing/2010/main"/>
                      </a:ext>
                    </a:extLst>
                  </pic:spPr>
                </pic:pic>
              </a:graphicData>
            </a:graphic>
          </wp:inline>
        </w:drawing>
      </w:r>
    </w:p>
    <w:p w14:paraId="155829F0" w14:textId="77777777" w:rsidR="003E3E13" w:rsidRDefault="003E3E13" w:rsidP="007B6E2F">
      <w:pPr>
        <w:rPr>
          <w:b/>
          <w:bCs/>
        </w:rPr>
      </w:pPr>
    </w:p>
    <w:p w14:paraId="471B3566" w14:textId="3E065E30" w:rsidR="00403DC6" w:rsidRDefault="00403DC6" w:rsidP="007B6E2F">
      <w:pPr>
        <w:rPr>
          <w:b/>
          <w:bCs/>
        </w:rPr>
      </w:pPr>
      <w:r w:rsidRPr="00403DC6">
        <w:rPr>
          <w:b/>
          <w:bCs/>
          <w:noProof/>
        </w:rPr>
        <w:drawing>
          <wp:inline distT="0" distB="0" distL="0" distR="0" wp14:anchorId="4B932AF6" wp14:editId="47880D2A">
            <wp:extent cx="5975498" cy="3332042"/>
            <wp:effectExtent l="0" t="0" r="6350" b="1905"/>
            <wp:docPr id="1219141814" name="Picture 1" descr="A white rectangular objec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141814" name="Picture 1" descr="A white rectangular object with black text&#10;&#10;AI-generated content may be incorrect."/>
                    <pic:cNvPicPr/>
                  </pic:nvPicPr>
                  <pic:blipFill rotWithShape="1">
                    <a:blip r:embed="rId9"/>
                    <a:srcRect l="4454" t="14416" r="3711" b="11890"/>
                    <a:stretch/>
                  </pic:blipFill>
                  <pic:spPr bwMode="auto">
                    <a:xfrm>
                      <a:off x="0" y="0"/>
                      <a:ext cx="5993181" cy="3341903"/>
                    </a:xfrm>
                    <a:prstGeom prst="rect">
                      <a:avLst/>
                    </a:prstGeom>
                    <a:ln>
                      <a:noFill/>
                    </a:ln>
                    <a:extLst>
                      <a:ext uri="{53640926-AAD7-44D8-BBD7-CCE9431645EC}">
                        <a14:shadowObscured xmlns:a14="http://schemas.microsoft.com/office/drawing/2010/main"/>
                      </a:ext>
                    </a:extLst>
                  </pic:spPr>
                </pic:pic>
              </a:graphicData>
            </a:graphic>
          </wp:inline>
        </w:drawing>
      </w:r>
    </w:p>
    <w:p w14:paraId="178A0824" w14:textId="77777777" w:rsidR="003E3E13" w:rsidRDefault="003E3E13" w:rsidP="007B6E2F">
      <w:pPr>
        <w:rPr>
          <w:b/>
          <w:bCs/>
        </w:rPr>
      </w:pPr>
    </w:p>
    <w:p w14:paraId="315ED74C" w14:textId="15C3E738" w:rsidR="00403DC6" w:rsidRDefault="00403DC6" w:rsidP="007B6E2F">
      <w:pPr>
        <w:rPr>
          <w:b/>
          <w:bCs/>
        </w:rPr>
      </w:pPr>
      <w:r w:rsidRPr="00403DC6">
        <w:rPr>
          <w:b/>
          <w:bCs/>
          <w:noProof/>
        </w:rPr>
        <w:drawing>
          <wp:inline distT="0" distB="0" distL="0" distR="0" wp14:anchorId="2F2AFF6C" wp14:editId="5E41AFC1">
            <wp:extent cx="6166218" cy="425302"/>
            <wp:effectExtent l="0" t="0" r="0" b="0"/>
            <wp:docPr id="1425675764" name="Picture 1" descr="A white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675764" name="Picture 1" descr="A white box with black text&#10;&#10;AI-generated content may be incorrect."/>
                    <pic:cNvPicPr/>
                  </pic:nvPicPr>
                  <pic:blipFill rotWithShape="1">
                    <a:blip r:embed="rId10"/>
                    <a:srcRect l="4461" t="38939" r="3880" b="31571"/>
                    <a:stretch/>
                  </pic:blipFill>
                  <pic:spPr bwMode="auto">
                    <a:xfrm>
                      <a:off x="0" y="0"/>
                      <a:ext cx="6234163" cy="429988"/>
                    </a:xfrm>
                    <a:prstGeom prst="rect">
                      <a:avLst/>
                    </a:prstGeom>
                    <a:ln>
                      <a:noFill/>
                    </a:ln>
                    <a:extLst>
                      <a:ext uri="{53640926-AAD7-44D8-BBD7-CCE9431645EC}">
                        <a14:shadowObscured xmlns:a14="http://schemas.microsoft.com/office/drawing/2010/main"/>
                      </a:ext>
                    </a:extLst>
                  </pic:spPr>
                </pic:pic>
              </a:graphicData>
            </a:graphic>
          </wp:inline>
        </w:drawing>
      </w:r>
    </w:p>
    <w:p w14:paraId="5E1479F4" w14:textId="77777777" w:rsidR="00742501" w:rsidRDefault="00742501" w:rsidP="00742501"/>
    <w:p w14:paraId="1C1F40A2" w14:textId="6A050818" w:rsidR="00742501" w:rsidRPr="00742501" w:rsidRDefault="00742501" w:rsidP="00742501">
      <w:pPr>
        <w:rPr>
          <w:b/>
          <w:bCs/>
          <w:u w:val="single"/>
        </w:rPr>
      </w:pPr>
      <w:r>
        <w:rPr>
          <w:b/>
          <w:bCs/>
          <w:u w:val="single"/>
        </w:rPr>
        <w:lastRenderedPageBreak/>
        <w:t>Appendix B</w:t>
      </w:r>
    </w:p>
    <w:p w14:paraId="2B6C350E" w14:textId="45FFDDF6" w:rsidR="00742501" w:rsidRDefault="00742501" w:rsidP="007B6E2F">
      <w:pPr>
        <w:rPr>
          <w:b/>
          <w:bCs/>
        </w:rPr>
      </w:pPr>
      <w:r w:rsidRPr="00742501">
        <w:rPr>
          <w:b/>
          <w:bCs/>
          <w:noProof/>
        </w:rPr>
        <w:drawing>
          <wp:inline distT="0" distB="0" distL="0" distR="0" wp14:anchorId="03F2F040" wp14:editId="07494056">
            <wp:extent cx="5762847" cy="8184469"/>
            <wp:effectExtent l="0" t="0" r="0" b="7620"/>
            <wp:docPr id="785329885" name="Picture 1" descr="A collage of a teddy be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329885" name="Picture 1" descr="A collage of a teddy bear&#10;&#10;AI-generated content may be incorrect."/>
                    <pic:cNvPicPr/>
                  </pic:nvPicPr>
                  <pic:blipFill>
                    <a:blip r:embed="rId11"/>
                    <a:stretch>
                      <a:fillRect/>
                    </a:stretch>
                  </pic:blipFill>
                  <pic:spPr>
                    <a:xfrm>
                      <a:off x="0" y="0"/>
                      <a:ext cx="5769294" cy="8193625"/>
                    </a:xfrm>
                    <a:prstGeom prst="rect">
                      <a:avLst/>
                    </a:prstGeom>
                  </pic:spPr>
                </pic:pic>
              </a:graphicData>
            </a:graphic>
          </wp:inline>
        </w:drawing>
      </w:r>
    </w:p>
    <w:p w14:paraId="0827F586" w14:textId="12BD290A" w:rsidR="000F5B6D" w:rsidRPr="004E19D2" w:rsidRDefault="000F5B6D" w:rsidP="00321409"/>
    <w:sectPr w:rsidR="000F5B6D" w:rsidRPr="004E19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980E0A"/>
    <w:multiLevelType w:val="hybridMultilevel"/>
    <w:tmpl w:val="27705A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0DA33B1"/>
    <w:multiLevelType w:val="multilevel"/>
    <w:tmpl w:val="B052CE6C"/>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 w15:restartNumberingAfterBreak="0">
    <w:nsid w:val="410353B3"/>
    <w:multiLevelType w:val="multilevel"/>
    <w:tmpl w:val="8166B3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2AB3AEC"/>
    <w:multiLevelType w:val="hybridMultilevel"/>
    <w:tmpl w:val="81B465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A8B24F3"/>
    <w:multiLevelType w:val="multilevel"/>
    <w:tmpl w:val="5112A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B1605D7"/>
    <w:multiLevelType w:val="hybridMultilevel"/>
    <w:tmpl w:val="E35AA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E60ECA"/>
    <w:multiLevelType w:val="multilevel"/>
    <w:tmpl w:val="B052CE6C"/>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7" w15:restartNumberingAfterBreak="0">
    <w:nsid w:val="79B5603C"/>
    <w:multiLevelType w:val="multilevel"/>
    <w:tmpl w:val="587CEC06"/>
    <w:lvl w:ilvl="0">
      <w:start w:val="1"/>
      <w:numFmt w:val="bullet"/>
      <w:lvlText w:val=""/>
      <w:lvlJc w:val="left"/>
      <w:pPr>
        <w:tabs>
          <w:tab w:val="num" w:pos="720"/>
        </w:tabs>
        <w:ind w:left="720" w:hanging="360"/>
      </w:pPr>
      <w:rPr>
        <w:rFonts w:ascii="Symbol" w:hAnsi="Symbol" w:hint="default"/>
        <w:sz w:val="20"/>
      </w:rPr>
    </w:lvl>
    <w:lvl w:ilvl="1">
      <w:start w:val="20"/>
      <w:numFmt w:val="bullet"/>
      <w:lvlText w:val="-"/>
      <w:lvlJc w:val="left"/>
      <w:pPr>
        <w:ind w:left="1440" w:hanging="360"/>
      </w:pPr>
      <w:rPr>
        <w:rFonts w:ascii="Aptos" w:eastAsiaTheme="minorHAnsi" w:hAnsi="Aptos" w:cstheme="minorBidi"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46485132">
    <w:abstractNumId w:val="2"/>
  </w:num>
  <w:num w:numId="2" w16cid:durableId="1562517858">
    <w:abstractNumId w:val="1"/>
  </w:num>
  <w:num w:numId="3" w16cid:durableId="1006785064">
    <w:abstractNumId w:val="7"/>
  </w:num>
  <w:num w:numId="4" w16cid:durableId="1021587382">
    <w:abstractNumId w:val="4"/>
  </w:num>
  <w:num w:numId="5" w16cid:durableId="8454316">
    <w:abstractNumId w:val="5"/>
  </w:num>
  <w:num w:numId="6" w16cid:durableId="194125954">
    <w:abstractNumId w:val="3"/>
  </w:num>
  <w:num w:numId="7" w16cid:durableId="17513928">
    <w:abstractNumId w:val="6"/>
  </w:num>
  <w:num w:numId="8" w16cid:durableId="19463847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7787"/>
    <w:rsid w:val="00007253"/>
    <w:rsid w:val="000658E0"/>
    <w:rsid w:val="00081B4D"/>
    <w:rsid w:val="000C35C8"/>
    <w:rsid w:val="000F5B6D"/>
    <w:rsid w:val="00137362"/>
    <w:rsid w:val="00166E04"/>
    <w:rsid w:val="00194AC4"/>
    <w:rsid w:val="0019596A"/>
    <w:rsid w:val="00206706"/>
    <w:rsid w:val="00216B30"/>
    <w:rsid w:val="002A79AC"/>
    <w:rsid w:val="002C1DB7"/>
    <w:rsid w:val="00321409"/>
    <w:rsid w:val="00385DF0"/>
    <w:rsid w:val="003B759F"/>
    <w:rsid w:val="003E3E13"/>
    <w:rsid w:val="00401A41"/>
    <w:rsid w:val="00403DC6"/>
    <w:rsid w:val="0043380A"/>
    <w:rsid w:val="00457033"/>
    <w:rsid w:val="004A0E05"/>
    <w:rsid w:val="004E19D2"/>
    <w:rsid w:val="00534FA1"/>
    <w:rsid w:val="005E7787"/>
    <w:rsid w:val="005F4C42"/>
    <w:rsid w:val="00617057"/>
    <w:rsid w:val="006A4CB0"/>
    <w:rsid w:val="006D3B84"/>
    <w:rsid w:val="00711B3B"/>
    <w:rsid w:val="00742385"/>
    <w:rsid w:val="00742501"/>
    <w:rsid w:val="007766C3"/>
    <w:rsid w:val="007B6E2F"/>
    <w:rsid w:val="007E15B3"/>
    <w:rsid w:val="00806E27"/>
    <w:rsid w:val="00820A41"/>
    <w:rsid w:val="008237F6"/>
    <w:rsid w:val="00857886"/>
    <w:rsid w:val="009470FE"/>
    <w:rsid w:val="0095516C"/>
    <w:rsid w:val="0096236C"/>
    <w:rsid w:val="009710C9"/>
    <w:rsid w:val="00973DF6"/>
    <w:rsid w:val="00A33FD8"/>
    <w:rsid w:val="00AB0D57"/>
    <w:rsid w:val="00B025B6"/>
    <w:rsid w:val="00B2628B"/>
    <w:rsid w:val="00B32ADD"/>
    <w:rsid w:val="00B62283"/>
    <w:rsid w:val="00B91454"/>
    <w:rsid w:val="00BD486E"/>
    <w:rsid w:val="00C43B5B"/>
    <w:rsid w:val="00CB62C5"/>
    <w:rsid w:val="00CC0B4C"/>
    <w:rsid w:val="00CF5CBF"/>
    <w:rsid w:val="00CF60C3"/>
    <w:rsid w:val="00D46A22"/>
    <w:rsid w:val="00D51398"/>
    <w:rsid w:val="00D81C7D"/>
    <w:rsid w:val="00DB6C8F"/>
    <w:rsid w:val="00E00F71"/>
    <w:rsid w:val="00E137CB"/>
    <w:rsid w:val="00E47ADA"/>
    <w:rsid w:val="00E539BD"/>
    <w:rsid w:val="00EA4318"/>
    <w:rsid w:val="00EE11EC"/>
    <w:rsid w:val="00F772CE"/>
    <w:rsid w:val="00FA632F"/>
    <w:rsid w:val="00FD2C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A07863"/>
  <w15:chartTrackingRefBased/>
  <w15:docId w15:val="{6FF88656-BEE4-450E-8B24-AE1D739E81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77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77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77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77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77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77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77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77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77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77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77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77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77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77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77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77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77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7787"/>
    <w:rPr>
      <w:rFonts w:eastAsiaTheme="majorEastAsia" w:cstheme="majorBidi"/>
      <w:color w:val="272727" w:themeColor="text1" w:themeTint="D8"/>
    </w:rPr>
  </w:style>
  <w:style w:type="paragraph" w:styleId="Title">
    <w:name w:val="Title"/>
    <w:basedOn w:val="Normal"/>
    <w:next w:val="Normal"/>
    <w:link w:val="TitleChar"/>
    <w:uiPriority w:val="10"/>
    <w:qFormat/>
    <w:rsid w:val="005E77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77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77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77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7787"/>
    <w:pPr>
      <w:spacing w:before="160"/>
      <w:jc w:val="center"/>
    </w:pPr>
    <w:rPr>
      <w:i/>
      <w:iCs/>
      <w:color w:val="404040" w:themeColor="text1" w:themeTint="BF"/>
    </w:rPr>
  </w:style>
  <w:style w:type="character" w:customStyle="1" w:styleId="QuoteChar">
    <w:name w:val="Quote Char"/>
    <w:basedOn w:val="DefaultParagraphFont"/>
    <w:link w:val="Quote"/>
    <w:uiPriority w:val="29"/>
    <w:rsid w:val="005E7787"/>
    <w:rPr>
      <w:i/>
      <w:iCs/>
      <w:color w:val="404040" w:themeColor="text1" w:themeTint="BF"/>
    </w:rPr>
  </w:style>
  <w:style w:type="paragraph" w:styleId="ListParagraph">
    <w:name w:val="List Paragraph"/>
    <w:basedOn w:val="Normal"/>
    <w:uiPriority w:val="34"/>
    <w:qFormat/>
    <w:rsid w:val="005E7787"/>
    <w:pPr>
      <w:ind w:left="720"/>
      <w:contextualSpacing/>
    </w:pPr>
  </w:style>
  <w:style w:type="character" w:styleId="IntenseEmphasis">
    <w:name w:val="Intense Emphasis"/>
    <w:basedOn w:val="DefaultParagraphFont"/>
    <w:uiPriority w:val="21"/>
    <w:qFormat/>
    <w:rsid w:val="005E7787"/>
    <w:rPr>
      <w:i/>
      <w:iCs/>
      <w:color w:val="0F4761" w:themeColor="accent1" w:themeShade="BF"/>
    </w:rPr>
  </w:style>
  <w:style w:type="paragraph" w:styleId="IntenseQuote">
    <w:name w:val="Intense Quote"/>
    <w:basedOn w:val="Normal"/>
    <w:next w:val="Normal"/>
    <w:link w:val="IntenseQuoteChar"/>
    <w:uiPriority w:val="30"/>
    <w:qFormat/>
    <w:rsid w:val="005E77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7787"/>
    <w:rPr>
      <w:i/>
      <w:iCs/>
      <w:color w:val="0F4761" w:themeColor="accent1" w:themeShade="BF"/>
    </w:rPr>
  </w:style>
  <w:style w:type="character" w:styleId="IntenseReference">
    <w:name w:val="Intense Reference"/>
    <w:basedOn w:val="DefaultParagraphFont"/>
    <w:uiPriority w:val="32"/>
    <w:qFormat/>
    <w:rsid w:val="005E7787"/>
    <w:rPr>
      <w:b/>
      <w:bCs/>
      <w:smallCaps/>
      <w:color w:val="0F4761" w:themeColor="accent1" w:themeShade="BF"/>
      <w:spacing w:val="5"/>
    </w:rPr>
  </w:style>
  <w:style w:type="table" w:styleId="TableGrid">
    <w:name w:val="Table Grid"/>
    <w:basedOn w:val="TableNormal"/>
    <w:uiPriority w:val="39"/>
    <w:rsid w:val="005E77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mmentText">
    <w:name w:val="annotation text"/>
    <w:basedOn w:val="Normal"/>
    <w:link w:val="CommentTextChar"/>
    <w:uiPriority w:val="99"/>
    <w:unhideWhenUsed/>
    <w:rsid w:val="005E7787"/>
    <w:pPr>
      <w:spacing w:line="240" w:lineRule="auto"/>
    </w:pPr>
    <w:rPr>
      <w:sz w:val="20"/>
      <w:szCs w:val="20"/>
    </w:rPr>
  </w:style>
  <w:style w:type="character" w:customStyle="1" w:styleId="CommentTextChar">
    <w:name w:val="Comment Text Char"/>
    <w:basedOn w:val="DefaultParagraphFont"/>
    <w:link w:val="CommentText"/>
    <w:uiPriority w:val="99"/>
    <w:rsid w:val="005E7787"/>
    <w:rPr>
      <w:sz w:val="20"/>
      <w:szCs w:val="20"/>
    </w:rPr>
  </w:style>
  <w:style w:type="character" w:styleId="CommentReference">
    <w:name w:val="annotation reference"/>
    <w:basedOn w:val="DefaultParagraphFont"/>
    <w:uiPriority w:val="99"/>
    <w:semiHidden/>
    <w:unhideWhenUsed/>
    <w:rsid w:val="005E7787"/>
    <w:rPr>
      <w:sz w:val="16"/>
      <w:szCs w:val="16"/>
    </w:rPr>
  </w:style>
  <w:style w:type="paragraph" w:styleId="CommentSubject">
    <w:name w:val="annotation subject"/>
    <w:basedOn w:val="CommentText"/>
    <w:next w:val="CommentText"/>
    <w:link w:val="CommentSubjectChar"/>
    <w:uiPriority w:val="99"/>
    <w:semiHidden/>
    <w:unhideWhenUsed/>
    <w:rsid w:val="005E7787"/>
    <w:rPr>
      <w:b/>
      <w:bCs/>
    </w:rPr>
  </w:style>
  <w:style w:type="character" w:customStyle="1" w:styleId="CommentSubjectChar">
    <w:name w:val="Comment Subject Char"/>
    <w:basedOn w:val="CommentTextChar"/>
    <w:link w:val="CommentSubject"/>
    <w:uiPriority w:val="99"/>
    <w:semiHidden/>
    <w:rsid w:val="005E7787"/>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993195">
      <w:bodyDiv w:val="1"/>
      <w:marLeft w:val="0"/>
      <w:marRight w:val="0"/>
      <w:marTop w:val="0"/>
      <w:marBottom w:val="0"/>
      <w:divBdr>
        <w:top w:val="none" w:sz="0" w:space="0" w:color="auto"/>
        <w:left w:val="none" w:sz="0" w:space="0" w:color="auto"/>
        <w:bottom w:val="none" w:sz="0" w:space="0" w:color="auto"/>
        <w:right w:val="none" w:sz="0" w:space="0" w:color="auto"/>
      </w:divBdr>
    </w:div>
    <w:div w:id="64034429">
      <w:bodyDiv w:val="1"/>
      <w:marLeft w:val="0"/>
      <w:marRight w:val="0"/>
      <w:marTop w:val="0"/>
      <w:marBottom w:val="0"/>
      <w:divBdr>
        <w:top w:val="none" w:sz="0" w:space="0" w:color="auto"/>
        <w:left w:val="none" w:sz="0" w:space="0" w:color="auto"/>
        <w:bottom w:val="none" w:sz="0" w:space="0" w:color="auto"/>
        <w:right w:val="none" w:sz="0" w:space="0" w:color="auto"/>
      </w:divBdr>
    </w:div>
    <w:div w:id="130054112">
      <w:bodyDiv w:val="1"/>
      <w:marLeft w:val="0"/>
      <w:marRight w:val="0"/>
      <w:marTop w:val="0"/>
      <w:marBottom w:val="0"/>
      <w:divBdr>
        <w:top w:val="none" w:sz="0" w:space="0" w:color="auto"/>
        <w:left w:val="none" w:sz="0" w:space="0" w:color="auto"/>
        <w:bottom w:val="none" w:sz="0" w:space="0" w:color="auto"/>
        <w:right w:val="none" w:sz="0" w:space="0" w:color="auto"/>
      </w:divBdr>
    </w:div>
    <w:div w:id="159321641">
      <w:bodyDiv w:val="1"/>
      <w:marLeft w:val="0"/>
      <w:marRight w:val="0"/>
      <w:marTop w:val="0"/>
      <w:marBottom w:val="0"/>
      <w:divBdr>
        <w:top w:val="none" w:sz="0" w:space="0" w:color="auto"/>
        <w:left w:val="none" w:sz="0" w:space="0" w:color="auto"/>
        <w:bottom w:val="none" w:sz="0" w:space="0" w:color="auto"/>
        <w:right w:val="none" w:sz="0" w:space="0" w:color="auto"/>
      </w:divBdr>
    </w:div>
    <w:div w:id="263879034">
      <w:bodyDiv w:val="1"/>
      <w:marLeft w:val="0"/>
      <w:marRight w:val="0"/>
      <w:marTop w:val="0"/>
      <w:marBottom w:val="0"/>
      <w:divBdr>
        <w:top w:val="none" w:sz="0" w:space="0" w:color="auto"/>
        <w:left w:val="none" w:sz="0" w:space="0" w:color="auto"/>
        <w:bottom w:val="none" w:sz="0" w:space="0" w:color="auto"/>
        <w:right w:val="none" w:sz="0" w:space="0" w:color="auto"/>
      </w:divBdr>
    </w:div>
    <w:div w:id="330376196">
      <w:bodyDiv w:val="1"/>
      <w:marLeft w:val="0"/>
      <w:marRight w:val="0"/>
      <w:marTop w:val="0"/>
      <w:marBottom w:val="0"/>
      <w:divBdr>
        <w:top w:val="none" w:sz="0" w:space="0" w:color="auto"/>
        <w:left w:val="none" w:sz="0" w:space="0" w:color="auto"/>
        <w:bottom w:val="none" w:sz="0" w:space="0" w:color="auto"/>
        <w:right w:val="none" w:sz="0" w:space="0" w:color="auto"/>
      </w:divBdr>
    </w:div>
    <w:div w:id="424108047">
      <w:bodyDiv w:val="1"/>
      <w:marLeft w:val="0"/>
      <w:marRight w:val="0"/>
      <w:marTop w:val="0"/>
      <w:marBottom w:val="0"/>
      <w:divBdr>
        <w:top w:val="none" w:sz="0" w:space="0" w:color="auto"/>
        <w:left w:val="none" w:sz="0" w:space="0" w:color="auto"/>
        <w:bottom w:val="none" w:sz="0" w:space="0" w:color="auto"/>
        <w:right w:val="none" w:sz="0" w:space="0" w:color="auto"/>
      </w:divBdr>
    </w:div>
    <w:div w:id="524054165">
      <w:bodyDiv w:val="1"/>
      <w:marLeft w:val="0"/>
      <w:marRight w:val="0"/>
      <w:marTop w:val="0"/>
      <w:marBottom w:val="0"/>
      <w:divBdr>
        <w:top w:val="none" w:sz="0" w:space="0" w:color="auto"/>
        <w:left w:val="none" w:sz="0" w:space="0" w:color="auto"/>
        <w:bottom w:val="none" w:sz="0" w:space="0" w:color="auto"/>
        <w:right w:val="none" w:sz="0" w:space="0" w:color="auto"/>
      </w:divBdr>
    </w:div>
    <w:div w:id="524945469">
      <w:bodyDiv w:val="1"/>
      <w:marLeft w:val="0"/>
      <w:marRight w:val="0"/>
      <w:marTop w:val="0"/>
      <w:marBottom w:val="0"/>
      <w:divBdr>
        <w:top w:val="none" w:sz="0" w:space="0" w:color="auto"/>
        <w:left w:val="none" w:sz="0" w:space="0" w:color="auto"/>
        <w:bottom w:val="none" w:sz="0" w:space="0" w:color="auto"/>
        <w:right w:val="none" w:sz="0" w:space="0" w:color="auto"/>
      </w:divBdr>
    </w:div>
    <w:div w:id="541945666">
      <w:bodyDiv w:val="1"/>
      <w:marLeft w:val="0"/>
      <w:marRight w:val="0"/>
      <w:marTop w:val="0"/>
      <w:marBottom w:val="0"/>
      <w:divBdr>
        <w:top w:val="none" w:sz="0" w:space="0" w:color="auto"/>
        <w:left w:val="none" w:sz="0" w:space="0" w:color="auto"/>
        <w:bottom w:val="none" w:sz="0" w:space="0" w:color="auto"/>
        <w:right w:val="none" w:sz="0" w:space="0" w:color="auto"/>
      </w:divBdr>
    </w:div>
    <w:div w:id="560017315">
      <w:bodyDiv w:val="1"/>
      <w:marLeft w:val="0"/>
      <w:marRight w:val="0"/>
      <w:marTop w:val="0"/>
      <w:marBottom w:val="0"/>
      <w:divBdr>
        <w:top w:val="none" w:sz="0" w:space="0" w:color="auto"/>
        <w:left w:val="none" w:sz="0" w:space="0" w:color="auto"/>
        <w:bottom w:val="none" w:sz="0" w:space="0" w:color="auto"/>
        <w:right w:val="none" w:sz="0" w:space="0" w:color="auto"/>
      </w:divBdr>
    </w:div>
    <w:div w:id="584462071">
      <w:bodyDiv w:val="1"/>
      <w:marLeft w:val="0"/>
      <w:marRight w:val="0"/>
      <w:marTop w:val="0"/>
      <w:marBottom w:val="0"/>
      <w:divBdr>
        <w:top w:val="none" w:sz="0" w:space="0" w:color="auto"/>
        <w:left w:val="none" w:sz="0" w:space="0" w:color="auto"/>
        <w:bottom w:val="none" w:sz="0" w:space="0" w:color="auto"/>
        <w:right w:val="none" w:sz="0" w:space="0" w:color="auto"/>
      </w:divBdr>
    </w:div>
    <w:div w:id="769929207">
      <w:bodyDiv w:val="1"/>
      <w:marLeft w:val="0"/>
      <w:marRight w:val="0"/>
      <w:marTop w:val="0"/>
      <w:marBottom w:val="0"/>
      <w:divBdr>
        <w:top w:val="none" w:sz="0" w:space="0" w:color="auto"/>
        <w:left w:val="none" w:sz="0" w:space="0" w:color="auto"/>
        <w:bottom w:val="none" w:sz="0" w:space="0" w:color="auto"/>
        <w:right w:val="none" w:sz="0" w:space="0" w:color="auto"/>
      </w:divBdr>
    </w:div>
    <w:div w:id="777720496">
      <w:bodyDiv w:val="1"/>
      <w:marLeft w:val="0"/>
      <w:marRight w:val="0"/>
      <w:marTop w:val="0"/>
      <w:marBottom w:val="0"/>
      <w:divBdr>
        <w:top w:val="none" w:sz="0" w:space="0" w:color="auto"/>
        <w:left w:val="none" w:sz="0" w:space="0" w:color="auto"/>
        <w:bottom w:val="none" w:sz="0" w:space="0" w:color="auto"/>
        <w:right w:val="none" w:sz="0" w:space="0" w:color="auto"/>
      </w:divBdr>
    </w:div>
    <w:div w:id="798260030">
      <w:bodyDiv w:val="1"/>
      <w:marLeft w:val="0"/>
      <w:marRight w:val="0"/>
      <w:marTop w:val="0"/>
      <w:marBottom w:val="0"/>
      <w:divBdr>
        <w:top w:val="none" w:sz="0" w:space="0" w:color="auto"/>
        <w:left w:val="none" w:sz="0" w:space="0" w:color="auto"/>
        <w:bottom w:val="none" w:sz="0" w:space="0" w:color="auto"/>
        <w:right w:val="none" w:sz="0" w:space="0" w:color="auto"/>
      </w:divBdr>
    </w:div>
    <w:div w:id="814953104">
      <w:bodyDiv w:val="1"/>
      <w:marLeft w:val="0"/>
      <w:marRight w:val="0"/>
      <w:marTop w:val="0"/>
      <w:marBottom w:val="0"/>
      <w:divBdr>
        <w:top w:val="none" w:sz="0" w:space="0" w:color="auto"/>
        <w:left w:val="none" w:sz="0" w:space="0" w:color="auto"/>
        <w:bottom w:val="none" w:sz="0" w:space="0" w:color="auto"/>
        <w:right w:val="none" w:sz="0" w:space="0" w:color="auto"/>
      </w:divBdr>
      <w:divsChild>
        <w:div w:id="162426843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86799724">
      <w:bodyDiv w:val="1"/>
      <w:marLeft w:val="0"/>
      <w:marRight w:val="0"/>
      <w:marTop w:val="0"/>
      <w:marBottom w:val="0"/>
      <w:divBdr>
        <w:top w:val="none" w:sz="0" w:space="0" w:color="auto"/>
        <w:left w:val="none" w:sz="0" w:space="0" w:color="auto"/>
        <w:bottom w:val="none" w:sz="0" w:space="0" w:color="auto"/>
        <w:right w:val="none" w:sz="0" w:space="0" w:color="auto"/>
      </w:divBdr>
    </w:div>
    <w:div w:id="960569404">
      <w:bodyDiv w:val="1"/>
      <w:marLeft w:val="0"/>
      <w:marRight w:val="0"/>
      <w:marTop w:val="0"/>
      <w:marBottom w:val="0"/>
      <w:divBdr>
        <w:top w:val="none" w:sz="0" w:space="0" w:color="auto"/>
        <w:left w:val="none" w:sz="0" w:space="0" w:color="auto"/>
        <w:bottom w:val="none" w:sz="0" w:space="0" w:color="auto"/>
        <w:right w:val="none" w:sz="0" w:space="0" w:color="auto"/>
      </w:divBdr>
    </w:div>
    <w:div w:id="997423057">
      <w:bodyDiv w:val="1"/>
      <w:marLeft w:val="0"/>
      <w:marRight w:val="0"/>
      <w:marTop w:val="0"/>
      <w:marBottom w:val="0"/>
      <w:divBdr>
        <w:top w:val="none" w:sz="0" w:space="0" w:color="auto"/>
        <w:left w:val="none" w:sz="0" w:space="0" w:color="auto"/>
        <w:bottom w:val="none" w:sz="0" w:space="0" w:color="auto"/>
        <w:right w:val="none" w:sz="0" w:space="0" w:color="auto"/>
      </w:divBdr>
    </w:div>
    <w:div w:id="1207445815">
      <w:bodyDiv w:val="1"/>
      <w:marLeft w:val="0"/>
      <w:marRight w:val="0"/>
      <w:marTop w:val="0"/>
      <w:marBottom w:val="0"/>
      <w:divBdr>
        <w:top w:val="none" w:sz="0" w:space="0" w:color="auto"/>
        <w:left w:val="none" w:sz="0" w:space="0" w:color="auto"/>
        <w:bottom w:val="none" w:sz="0" w:space="0" w:color="auto"/>
        <w:right w:val="none" w:sz="0" w:space="0" w:color="auto"/>
      </w:divBdr>
    </w:div>
    <w:div w:id="1230262669">
      <w:bodyDiv w:val="1"/>
      <w:marLeft w:val="0"/>
      <w:marRight w:val="0"/>
      <w:marTop w:val="0"/>
      <w:marBottom w:val="0"/>
      <w:divBdr>
        <w:top w:val="none" w:sz="0" w:space="0" w:color="auto"/>
        <w:left w:val="none" w:sz="0" w:space="0" w:color="auto"/>
        <w:bottom w:val="none" w:sz="0" w:space="0" w:color="auto"/>
        <w:right w:val="none" w:sz="0" w:space="0" w:color="auto"/>
      </w:divBdr>
    </w:div>
    <w:div w:id="1377503996">
      <w:bodyDiv w:val="1"/>
      <w:marLeft w:val="0"/>
      <w:marRight w:val="0"/>
      <w:marTop w:val="0"/>
      <w:marBottom w:val="0"/>
      <w:divBdr>
        <w:top w:val="none" w:sz="0" w:space="0" w:color="auto"/>
        <w:left w:val="none" w:sz="0" w:space="0" w:color="auto"/>
        <w:bottom w:val="none" w:sz="0" w:space="0" w:color="auto"/>
        <w:right w:val="none" w:sz="0" w:space="0" w:color="auto"/>
      </w:divBdr>
    </w:div>
    <w:div w:id="1427731178">
      <w:bodyDiv w:val="1"/>
      <w:marLeft w:val="0"/>
      <w:marRight w:val="0"/>
      <w:marTop w:val="0"/>
      <w:marBottom w:val="0"/>
      <w:divBdr>
        <w:top w:val="none" w:sz="0" w:space="0" w:color="auto"/>
        <w:left w:val="none" w:sz="0" w:space="0" w:color="auto"/>
        <w:bottom w:val="none" w:sz="0" w:space="0" w:color="auto"/>
        <w:right w:val="none" w:sz="0" w:space="0" w:color="auto"/>
      </w:divBdr>
    </w:div>
    <w:div w:id="1642685902">
      <w:bodyDiv w:val="1"/>
      <w:marLeft w:val="0"/>
      <w:marRight w:val="0"/>
      <w:marTop w:val="0"/>
      <w:marBottom w:val="0"/>
      <w:divBdr>
        <w:top w:val="none" w:sz="0" w:space="0" w:color="auto"/>
        <w:left w:val="none" w:sz="0" w:space="0" w:color="auto"/>
        <w:bottom w:val="none" w:sz="0" w:space="0" w:color="auto"/>
        <w:right w:val="none" w:sz="0" w:space="0" w:color="auto"/>
      </w:divBdr>
      <w:divsChild>
        <w:div w:id="574439137">
          <w:marLeft w:val="0"/>
          <w:marRight w:val="0"/>
          <w:marTop w:val="0"/>
          <w:marBottom w:val="0"/>
          <w:divBdr>
            <w:top w:val="none" w:sz="0" w:space="0" w:color="auto"/>
            <w:left w:val="none" w:sz="0" w:space="0" w:color="auto"/>
            <w:bottom w:val="none" w:sz="0" w:space="0" w:color="auto"/>
            <w:right w:val="none" w:sz="0" w:space="0" w:color="auto"/>
          </w:divBdr>
          <w:divsChild>
            <w:div w:id="776564701">
              <w:marLeft w:val="0"/>
              <w:marRight w:val="0"/>
              <w:marTop w:val="0"/>
              <w:marBottom w:val="0"/>
              <w:divBdr>
                <w:top w:val="none" w:sz="0" w:space="0" w:color="auto"/>
                <w:left w:val="none" w:sz="0" w:space="0" w:color="auto"/>
                <w:bottom w:val="none" w:sz="0" w:space="0" w:color="auto"/>
                <w:right w:val="none" w:sz="0" w:space="0" w:color="auto"/>
              </w:divBdr>
              <w:divsChild>
                <w:div w:id="1067263747">
                  <w:marLeft w:val="0"/>
                  <w:marRight w:val="0"/>
                  <w:marTop w:val="0"/>
                  <w:marBottom w:val="0"/>
                  <w:divBdr>
                    <w:top w:val="none" w:sz="0" w:space="0" w:color="auto"/>
                    <w:left w:val="none" w:sz="0" w:space="0" w:color="auto"/>
                    <w:bottom w:val="none" w:sz="0" w:space="0" w:color="auto"/>
                    <w:right w:val="none" w:sz="0" w:space="0" w:color="auto"/>
                  </w:divBdr>
                  <w:divsChild>
                    <w:div w:id="1024668230">
                      <w:marLeft w:val="0"/>
                      <w:marRight w:val="0"/>
                      <w:marTop w:val="0"/>
                      <w:marBottom w:val="0"/>
                      <w:divBdr>
                        <w:top w:val="none" w:sz="0" w:space="0" w:color="auto"/>
                        <w:left w:val="none" w:sz="0" w:space="0" w:color="auto"/>
                        <w:bottom w:val="none" w:sz="0" w:space="0" w:color="auto"/>
                        <w:right w:val="none" w:sz="0" w:space="0" w:color="auto"/>
                      </w:divBdr>
                      <w:divsChild>
                        <w:div w:id="448935367">
                          <w:marLeft w:val="0"/>
                          <w:marRight w:val="0"/>
                          <w:marTop w:val="0"/>
                          <w:marBottom w:val="0"/>
                          <w:divBdr>
                            <w:top w:val="none" w:sz="0" w:space="0" w:color="auto"/>
                            <w:left w:val="none" w:sz="0" w:space="0" w:color="auto"/>
                            <w:bottom w:val="none" w:sz="0" w:space="0" w:color="auto"/>
                            <w:right w:val="none" w:sz="0" w:space="0" w:color="auto"/>
                          </w:divBdr>
                          <w:divsChild>
                            <w:div w:id="2090930338">
                              <w:marLeft w:val="0"/>
                              <w:marRight w:val="0"/>
                              <w:marTop w:val="0"/>
                              <w:marBottom w:val="0"/>
                              <w:divBdr>
                                <w:top w:val="none" w:sz="0" w:space="0" w:color="auto"/>
                                <w:left w:val="none" w:sz="0" w:space="0" w:color="auto"/>
                                <w:bottom w:val="none" w:sz="0" w:space="0" w:color="auto"/>
                                <w:right w:val="none" w:sz="0" w:space="0" w:color="auto"/>
                              </w:divBdr>
                              <w:divsChild>
                                <w:div w:id="574247251">
                                  <w:marLeft w:val="0"/>
                                  <w:marRight w:val="0"/>
                                  <w:marTop w:val="0"/>
                                  <w:marBottom w:val="0"/>
                                  <w:divBdr>
                                    <w:top w:val="none" w:sz="0" w:space="0" w:color="auto"/>
                                    <w:left w:val="none" w:sz="0" w:space="0" w:color="auto"/>
                                    <w:bottom w:val="none" w:sz="0" w:space="0" w:color="auto"/>
                                    <w:right w:val="none" w:sz="0" w:space="0" w:color="auto"/>
                                  </w:divBdr>
                                  <w:divsChild>
                                    <w:div w:id="1786919691">
                                      <w:marLeft w:val="0"/>
                                      <w:marRight w:val="0"/>
                                      <w:marTop w:val="0"/>
                                      <w:marBottom w:val="0"/>
                                      <w:divBdr>
                                        <w:top w:val="none" w:sz="0" w:space="0" w:color="auto"/>
                                        <w:left w:val="none" w:sz="0" w:space="0" w:color="auto"/>
                                        <w:bottom w:val="none" w:sz="0" w:space="0" w:color="auto"/>
                                        <w:right w:val="none" w:sz="0" w:space="0" w:color="auto"/>
                                      </w:divBdr>
                                      <w:divsChild>
                                        <w:div w:id="702096009">
                                          <w:marLeft w:val="0"/>
                                          <w:marRight w:val="0"/>
                                          <w:marTop w:val="0"/>
                                          <w:marBottom w:val="0"/>
                                          <w:divBdr>
                                            <w:top w:val="none" w:sz="0" w:space="0" w:color="auto"/>
                                            <w:left w:val="none" w:sz="0" w:space="0" w:color="auto"/>
                                            <w:bottom w:val="none" w:sz="0" w:space="0" w:color="auto"/>
                                            <w:right w:val="none" w:sz="0" w:space="0" w:color="auto"/>
                                          </w:divBdr>
                                          <w:divsChild>
                                            <w:div w:id="249389771">
                                              <w:marLeft w:val="0"/>
                                              <w:marRight w:val="0"/>
                                              <w:marTop w:val="0"/>
                                              <w:marBottom w:val="0"/>
                                              <w:divBdr>
                                                <w:top w:val="none" w:sz="0" w:space="0" w:color="auto"/>
                                                <w:left w:val="none" w:sz="0" w:space="0" w:color="auto"/>
                                                <w:bottom w:val="none" w:sz="0" w:space="0" w:color="auto"/>
                                                <w:right w:val="none" w:sz="0" w:space="0" w:color="auto"/>
                                              </w:divBdr>
                                              <w:divsChild>
                                                <w:div w:id="1602494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92932777">
          <w:marLeft w:val="0"/>
          <w:marRight w:val="0"/>
          <w:marTop w:val="0"/>
          <w:marBottom w:val="0"/>
          <w:divBdr>
            <w:top w:val="none" w:sz="0" w:space="0" w:color="auto"/>
            <w:left w:val="none" w:sz="0" w:space="0" w:color="auto"/>
            <w:bottom w:val="none" w:sz="0" w:space="0" w:color="auto"/>
            <w:right w:val="none" w:sz="0" w:space="0" w:color="auto"/>
          </w:divBdr>
          <w:divsChild>
            <w:div w:id="90856446">
              <w:marLeft w:val="0"/>
              <w:marRight w:val="0"/>
              <w:marTop w:val="0"/>
              <w:marBottom w:val="0"/>
              <w:divBdr>
                <w:top w:val="none" w:sz="0" w:space="0" w:color="auto"/>
                <w:left w:val="none" w:sz="0" w:space="0" w:color="auto"/>
                <w:bottom w:val="none" w:sz="0" w:space="0" w:color="auto"/>
                <w:right w:val="none" w:sz="0" w:space="0" w:color="auto"/>
              </w:divBdr>
              <w:divsChild>
                <w:div w:id="299651618">
                  <w:marLeft w:val="0"/>
                  <w:marRight w:val="0"/>
                  <w:marTop w:val="0"/>
                  <w:marBottom w:val="0"/>
                  <w:divBdr>
                    <w:top w:val="none" w:sz="0" w:space="0" w:color="auto"/>
                    <w:left w:val="none" w:sz="0" w:space="0" w:color="auto"/>
                    <w:bottom w:val="none" w:sz="0" w:space="0" w:color="auto"/>
                    <w:right w:val="none" w:sz="0" w:space="0" w:color="auto"/>
                  </w:divBdr>
                  <w:divsChild>
                    <w:div w:id="1176000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2000404">
      <w:bodyDiv w:val="1"/>
      <w:marLeft w:val="0"/>
      <w:marRight w:val="0"/>
      <w:marTop w:val="0"/>
      <w:marBottom w:val="0"/>
      <w:divBdr>
        <w:top w:val="none" w:sz="0" w:space="0" w:color="auto"/>
        <w:left w:val="none" w:sz="0" w:space="0" w:color="auto"/>
        <w:bottom w:val="none" w:sz="0" w:space="0" w:color="auto"/>
        <w:right w:val="none" w:sz="0" w:space="0" w:color="auto"/>
      </w:divBdr>
    </w:div>
    <w:div w:id="1662347608">
      <w:bodyDiv w:val="1"/>
      <w:marLeft w:val="0"/>
      <w:marRight w:val="0"/>
      <w:marTop w:val="0"/>
      <w:marBottom w:val="0"/>
      <w:divBdr>
        <w:top w:val="none" w:sz="0" w:space="0" w:color="auto"/>
        <w:left w:val="none" w:sz="0" w:space="0" w:color="auto"/>
        <w:bottom w:val="none" w:sz="0" w:space="0" w:color="auto"/>
        <w:right w:val="none" w:sz="0" w:space="0" w:color="auto"/>
      </w:divBdr>
    </w:div>
    <w:div w:id="1724988463">
      <w:bodyDiv w:val="1"/>
      <w:marLeft w:val="0"/>
      <w:marRight w:val="0"/>
      <w:marTop w:val="0"/>
      <w:marBottom w:val="0"/>
      <w:divBdr>
        <w:top w:val="none" w:sz="0" w:space="0" w:color="auto"/>
        <w:left w:val="none" w:sz="0" w:space="0" w:color="auto"/>
        <w:bottom w:val="none" w:sz="0" w:space="0" w:color="auto"/>
        <w:right w:val="none" w:sz="0" w:space="0" w:color="auto"/>
      </w:divBdr>
    </w:div>
    <w:div w:id="1758283453">
      <w:bodyDiv w:val="1"/>
      <w:marLeft w:val="0"/>
      <w:marRight w:val="0"/>
      <w:marTop w:val="0"/>
      <w:marBottom w:val="0"/>
      <w:divBdr>
        <w:top w:val="none" w:sz="0" w:space="0" w:color="auto"/>
        <w:left w:val="none" w:sz="0" w:space="0" w:color="auto"/>
        <w:bottom w:val="none" w:sz="0" w:space="0" w:color="auto"/>
        <w:right w:val="none" w:sz="0" w:space="0" w:color="auto"/>
      </w:divBdr>
    </w:div>
    <w:div w:id="1763837098">
      <w:bodyDiv w:val="1"/>
      <w:marLeft w:val="0"/>
      <w:marRight w:val="0"/>
      <w:marTop w:val="0"/>
      <w:marBottom w:val="0"/>
      <w:divBdr>
        <w:top w:val="none" w:sz="0" w:space="0" w:color="auto"/>
        <w:left w:val="none" w:sz="0" w:space="0" w:color="auto"/>
        <w:bottom w:val="none" w:sz="0" w:space="0" w:color="auto"/>
        <w:right w:val="none" w:sz="0" w:space="0" w:color="auto"/>
      </w:divBdr>
    </w:div>
    <w:div w:id="1895923339">
      <w:bodyDiv w:val="1"/>
      <w:marLeft w:val="0"/>
      <w:marRight w:val="0"/>
      <w:marTop w:val="0"/>
      <w:marBottom w:val="0"/>
      <w:divBdr>
        <w:top w:val="none" w:sz="0" w:space="0" w:color="auto"/>
        <w:left w:val="none" w:sz="0" w:space="0" w:color="auto"/>
        <w:bottom w:val="none" w:sz="0" w:space="0" w:color="auto"/>
        <w:right w:val="none" w:sz="0" w:space="0" w:color="auto"/>
      </w:divBdr>
    </w:div>
    <w:div w:id="1919974325">
      <w:bodyDiv w:val="1"/>
      <w:marLeft w:val="0"/>
      <w:marRight w:val="0"/>
      <w:marTop w:val="0"/>
      <w:marBottom w:val="0"/>
      <w:divBdr>
        <w:top w:val="none" w:sz="0" w:space="0" w:color="auto"/>
        <w:left w:val="none" w:sz="0" w:space="0" w:color="auto"/>
        <w:bottom w:val="none" w:sz="0" w:space="0" w:color="auto"/>
        <w:right w:val="none" w:sz="0" w:space="0" w:color="auto"/>
      </w:divBdr>
      <w:divsChild>
        <w:div w:id="733091860">
          <w:marLeft w:val="0"/>
          <w:marRight w:val="0"/>
          <w:marTop w:val="0"/>
          <w:marBottom w:val="0"/>
          <w:divBdr>
            <w:top w:val="none" w:sz="0" w:space="0" w:color="auto"/>
            <w:left w:val="none" w:sz="0" w:space="0" w:color="auto"/>
            <w:bottom w:val="none" w:sz="0" w:space="0" w:color="auto"/>
            <w:right w:val="none" w:sz="0" w:space="0" w:color="auto"/>
          </w:divBdr>
          <w:divsChild>
            <w:div w:id="2020043261">
              <w:marLeft w:val="0"/>
              <w:marRight w:val="0"/>
              <w:marTop w:val="0"/>
              <w:marBottom w:val="0"/>
              <w:divBdr>
                <w:top w:val="none" w:sz="0" w:space="0" w:color="auto"/>
                <w:left w:val="none" w:sz="0" w:space="0" w:color="auto"/>
                <w:bottom w:val="none" w:sz="0" w:space="0" w:color="auto"/>
                <w:right w:val="none" w:sz="0" w:space="0" w:color="auto"/>
              </w:divBdr>
              <w:divsChild>
                <w:div w:id="378238737">
                  <w:marLeft w:val="0"/>
                  <w:marRight w:val="0"/>
                  <w:marTop w:val="0"/>
                  <w:marBottom w:val="0"/>
                  <w:divBdr>
                    <w:top w:val="none" w:sz="0" w:space="0" w:color="auto"/>
                    <w:left w:val="none" w:sz="0" w:space="0" w:color="auto"/>
                    <w:bottom w:val="none" w:sz="0" w:space="0" w:color="auto"/>
                    <w:right w:val="none" w:sz="0" w:space="0" w:color="auto"/>
                  </w:divBdr>
                  <w:divsChild>
                    <w:div w:id="1203009465">
                      <w:marLeft w:val="0"/>
                      <w:marRight w:val="0"/>
                      <w:marTop w:val="0"/>
                      <w:marBottom w:val="0"/>
                      <w:divBdr>
                        <w:top w:val="none" w:sz="0" w:space="0" w:color="auto"/>
                        <w:left w:val="none" w:sz="0" w:space="0" w:color="auto"/>
                        <w:bottom w:val="none" w:sz="0" w:space="0" w:color="auto"/>
                        <w:right w:val="none" w:sz="0" w:space="0" w:color="auto"/>
                      </w:divBdr>
                      <w:divsChild>
                        <w:div w:id="1479496411">
                          <w:marLeft w:val="0"/>
                          <w:marRight w:val="0"/>
                          <w:marTop w:val="0"/>
                          <w:marBottom w:val="0"/>
                          <w:divBdr>
                            <w:top w:val="none" w:sz="0" w:space="0" w:color="auto"/>
                            <w:left w:val="none" w:sz="0" w:space="0" w:color="auto"/>
                            <w:bottom w:val="none" w:sz="0" w:space="0" w:color="auto"/>
                            <w:right w:val="none" w:sz="0" w:space="0" w:color="auto"/>
                          </w:divBdr>
                          <w:divsChild>
                            <w:div w:id="580722642">
                              <w:marLeft w:val="0"/>
                              <w:marRight w:val="0"/>
                              <w:marTop w:val="0"/>
                              <w:marBottom w:val="0"/>
                              <w:divBdr>
                                <w:top w:val="none" w:sz="0" w:space="0" w:color="auto"/>
                                <w:left w:val="none" w:sz="0" w:space="0" w:color="auto"/>
                                <w:bottom w:val="none" w:sz="0" w:space="0" w:color="auto"/>
                                <w:right w:val="none" w:sz="0" w:space="0" w:color="auto"/>
                              </w:divBdr>
                              <w:divsChild>
                                <w:div w:id="258875922">
                                  <w:marLeft w:val="0"/>
                                  <w:marRight w:val="0"/>
                                  <w:marTop w:val="0"/>
                                  <w:marBottom w:val="0"/>
                                  <w:divBdr>
                                    <w:top w:val="none" w:sz="0" w:space="0" w:color="auto"/>
                                    <w:left w:val="none" w:sz="0" w:space="0" w:color="auto"/>
                                    <w:bottom w:val="none" w:sz="0" w:space="0" w:color="auto"/>
                                    <w:right w:val="none" w:sz="0" w:space="0" w:color="auto"/>
                                  </w:divBdr>
                                  <w:divsChild>
                                    <w:div w:id="1780906807">
                                      <w:marLeft w:val="0"/>
                                      <w:marRight w:val="0"/>
                                      <w:marTop w:val="0"/>
                                      <w:marBottom w:val="0"/>
                                      <w:divBdr>
                                        <w:top w:val="none" w:sz="0" w:space="0" w:color="auto"/>
                                        <w:left w:val="none" w:sz="0" w:space="0" w:color="auto"/>
                                        <w:bottom w:val="none" w:sz="0" w:space="0" w:color="auto"/>
                                        <w:right w:val="none" w:sz="0" w:space="0" w:color="auto"/>
                                      </w:divBdr>
                                      <w:divsChild>
                                        <w:div w:id="214195036">
                                          <w:marLeft w:val="0"/>
                                          <w:marRight w:val="0"/>
                                          <w:marTop w:val="0"/>
                                          <w:marBottom w:val="0"/>
                                          <w:divBdr>
                                            <w:top w:val="none" w:sz="0" w:space="0" w:color="auto"/>
                                            <w:left w:val="none" w:sz="0" w:space="0" w:color="auto"/>
                                            <w:bottom w:val="none" w:sz="0" w:space="0" w:color="auto"/>
                                            <w:right w:val="none" w:sz="0" w:space="0" w:color="auto"/>
                                          </w:divBdr>
                                          <w:divsChild>
                                            <w:div w:id="133724252">
                                              <w:marLeft w:val="0"/>
                                              <w:marRight w:val="0"/>
                                              <w:marTop w:val="0"/>
                                              <w:marBottom w:val="0"/>
                                              <w:divBdr>
                                                <w:top w:val="none" w:sz="0" w:space="0" w:color="auto"/>
                                                <w:left w:val="none" w:sz="0" w:space="0" w:color="auto"/>
                                                <w:bottom w:val="none" w:sz="0" w:space="0" w:color="auto"/>
                                                <w:right w:val="none" w:sz="0" w:space="0" w:color="auto"/>
                                              </w:divBdr>
                                              <w:divsChild>
                                                <w:div w:id="600527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72631886">
          <w:marLeft w:val="0"/>
          <w:marRight w:val="0"/>
          <w:marTop w:val="0"/>
          <w:marBottom w:val="0"/>
          <w:divBdr>
            <w:top w:val="none" w:sz="0" w:space="0" w:color="auto"/>
            <w:left w:val="none" w:sz="0" w:space="0" w:color="auto"/>
            <w:bottom w:val="none" w:sz="0" w:space="0" w:color="auto"/>
            <w:right w:val="none" w:sz="0" w:space="0" w:color="auto"/>
          </w:divBdr>
          <w:divsChild>
            <w:div w:id="1095635493">
              <w:marLeft w:val="0"/>
              <w:marRight w:val="0"/>
              <w:marTop w:val="0"/>
              <w:marBottom w:val="0"/>
              <w:divBdr>
                <w:top w:val="none" w:sz="0" w:space="0" w:color="auto"/>
                <w:left w:val="none" w:sz="0" w:space="0" w:color="auto"/>
                <w:bottom w:val="none" w:sz="0" w:space="0" w:color="auto"/>
                <w:right w:val="none" w:sz="0" w:space="0" w:color="auto"/>
              </w:divBdr>
              <w:divsChild>
                <w:div w:id="551305022">
                  <w:marLeft w:val="0"/>
                  <w:marRight w:val="0"/>
                  <w:marTop w:val="0"/>
                  <w:marBottom w:val="0"/>
                  <w:divBdr>
                    <w:top w:val="none" w:sz="0" w:space="0" w:color="auto"/>
                    <w:left w:val="none" w:sz="0" w:space="0" w:color="auto"/>
                    <w:bottom w:val="none" w:sz="0" w:space="0" w:color="auto"/>
                    <w:right w:val="none" w:sz="0" w:space="0" w:color="auto"/>
                  </w:divBdr>
                  <w:divsChild>
                    <w:div w:id="1091468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0939078">
      <w:bodyDiv w:val="1"/>
      <w:marLeft w:val="0"/>
      <w:marRight w:val="0"/>
      <w:marTop w:val="0"/>
      <w:marBottom w:val="0"/>
      <w:divBdr>
        <w:top w:val="none" w:sz="0" w:space="0" w:color="auto"/>
        <w:left w:val="none" w:sz="0" w:space="0" w:color="auto"/>
        <w:bottom w:val="none" w:sz="0" w:space="0" w:color="auto"/>
        <w:right w:val="none" w:sz="0" w:space="0" w:color="auto"/>
      </w:divBdr>
    </w:div>
    <w:div w:id="1949004515">
      <w:bodyDiv w:val="1"/>
      <w:marLeft w:val="0"/>
      <w:marRight w:val="0"/>
      <w:marTop w:val="0"/>
      <w:marBottom w:val="0"/>
      <w:divBdr>
        <w:top w:val="none" w:sz="0" w:space="0" w:color="auto"/>
        <w:left w:val="none" w:sz="0" w:space="0" w:color="auto"/>
        <w:bottom w:val="none" w:sz="0" w:space="0" w:color="auto"/>
        <w:right w:val="none" w:sz="0" w:space="0" w:color="auto"/>
      </w:divBdr>
      <w:divsChild>
        <w:div w:id="110102792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141392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229</TotalTime>
  <Pages>14</Pages>
  <Words>3069</Words>
  <Characters>17499</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Lewis</dc:creator>
  <cp:keywords/>
  <dc:description/>
  <cp:lastModifiedBy>Molly Lewis</cp:lastModifiedBy>
  <cp:revision>51</cp:revision>
  <dcterms:created xsi:type="dcterms:W3CDTF">2025-02-04T10:14:00Z</dcterms:created>
  <dcterms:modified xsi:type="dcterms:W3CDTF">2025-02-26T11:14:00Z</dcterms:modified>
</cp:coreProperties>
</file>