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0A5158" w:rsidP="6FB20578" w:rsidRDefault="0C22F5C6" w14:paraId="5ADADA78" w14:textId="5D1D2E6C">
      <w:pPr>
        <w:pStyle w:val="Heading2"/>
        <w:rPr>
          <w:rFonts w:ascii="Arial" w:hAnsi="Arial" w:eastAsia="Arial" w:cs="Arial" w:asciiTheme="minorAscii" w:hAnsiTheme="minorAscii" w:eastAsiaTheme="minorAscii" w:cstheme="minorAscii"/>
        </w:rPr>
      </w:pPr>
      <w:bookmarkStart w:name="_Toc2095355399" w:id="730460806"/>
      <w:r w:rsidRPr="6FB20578" w:rsidR="14939477">
        <w:rPr>
          <w:rFonts w:ascii="Arial" w:hAnsi="Arial" w:eastAsia="Arial" w:cs="Arial" w:asciiTheme="minorAscii" w:hAnsiTheme="minorAscii" w:eastAsiaTheme="minorAscii" w:cstheme="minorAscii"/>
        </w:rPr>
        <w:t xml:space="preserve">Title: </w:t>
      </w:r>
      <w:r w:rsidRPr="6FB20578" w:rsidR="18C566EF">
        <w:rPr>
          <w:rFonts w:ascii="Arial" w:hAnsi="Arial" w:eastAsia="Arial" w:cs="Arial" w:asciiTheme="minorAscii" w:hAnsiTheme="minorAscii" w:eastAsiaTheme="minorAscii" w:cstheme="minorAscii"/>
        </w:rPr>
        <w:t>International Business Strategy Report: A Strategic Evaluation of IKEA's Market Entry into Nigeria</w:t>
      </w:r>
      <w:bookmarkEnd w:id="730460806"/>
    </w:p>
    <w:p w:rsidR="000A5158" w:rsidP="54A1BFA9" w:rsidRDefault="000A5158" w14:paraId="1B1F9D84" w14:textId="6A0EEF66">
      <w:pPr>
        <w:keepNext/>
        <w:keepLines/>
        <w:jc w:val="center"/>
        <w:rPr>
          <w:rFonts w:ascii="Arial" w:hAnsi="Arial" w:eastAsia="Arial" w:cs="Arial"/>
          <w:b/>
          <w:bCs/>
          <w:color w:val="0F4761" w:themeColor="accent1" w:themeShade="BF"/>
          <w:sz w:val="36"/>
          <w:szCs w:val="36"/>
        </w:rPr>
      </w:pPr>
    </w:p>
    <w:p w:rsidR="000A5158" w:rsidP="54A1BFA9" w:rsidRDefault="0C22F5C6" w14:paraId="44D7EA98" w14:textId="0DFA247B">
      <w:pPr>
        <w:keepNext/>
        <w:keepLines/>
        <w:jc w:val="center"/>
      </w:pPr>
      <w:r>
        <w:rPr>
          <w:noProof/>
        </w:rPr>
        <w:drawing>
          <wp:inline distT="0" distB="0" distL="0" distR="0" wp14:anchorId="296A3BA7" wp14:editId="61046322">
            <wp:extent cx="1809750" cy="723900"/>
            <wp:effectExtent l="0" t="0" r="0" b="0"/>
            <wp:docPr id="706335295" name="drawing" title="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335295" name="Picture 706335295"/>
                    <pic:cNvPicPr/>
                  </pic:nvPicPr>
                  <pic:blipFill>
                    <a:blip r:embed="rId7">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p>
    <w:p w:rsidR="000A5158" w:rsidP="54A1BFA9" w:rsidRDefault="000A5158" w14:paraId="69A11BDB" w14:textId="115C7367">
      <w:pPr>
        <w:keepNext/>
        <w:keepLines/>
        <w:jc w:val="center"/>
      </w:pPr>
    </w:p>
    <w:p w:rsidR="000A5158" w:rsidP="54A1BFA9" w:rsidRDefault="000A5158" w14:paraId="3C5AA966" w14:textId="3D467740">
      <w:pPr>
        <w:keepNext/>
        <w:keepLines/>
        <w:jc w:val="center"/>
      </w:pPr>
    </w:p>
    <w:p w:rsidR="000A5158" w:rsidP="54A1BFA9" w:rsidRDefault="0C22F5C6" w14:paraId="627D37A4" w14:textId="7C1CDB5A">
      <w:pPr>
        <w:keepNext/>
        <w:keepLines/>
        <w:jc w:val="center"/>
      </w:pPr>
      <w:r>
        <w:rPr>
          <w:noProof/>
        </w:rPr>
        <w:drawing>
          <wp:inline distT="0" distB="0" distL="0" distR="0" wp14:anchorId="1FAF46C1" wp14:editId="43AE30F2">
            <wp:extent cx="5943600" cy="2552700"/>
            <wp:effectExtent l="0" t="0" r="0" b="0"/>
            <wp:docPr id="1222329461" name="drawing" title="HOGARISIMO: IKEA IKEA 10 novedades del catálogo de IKEA 2018 que puede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329461" name="Picture 1222329461"/>
                    <pic:cNvPicPr/>
                  </pic:nvPicPr>
                  <pic:blipFill>
                    <a:blip r:embed="rId8">
                      <a:extLst>
                        <a:ext uri="{28A0092B-C50C-407E-A947-70E740481C1C}">
                          <a14:useLocalDpi xmlns:a14="http://schemas.microsoft.com/office/drawing/2010/main"/>
                        </a:ext>
                      </a:extLst>
                    </a:blip>
                    <a:stretch>
                      <a:fillRect/>
                    </a:stretch>
                  </pic:blipFill>
                  <pic:spPr>
                    <a:xfrm>
                      <a:off x="0" y="0"/>
                      <a:ext cx="5943600" cy="2552700"/>
                    </a:xfrm>
                    <a:prstGeom prst="rect">
                      <a:avLst/>
                    </a:prstGeom>
                  </pic:spPr>
                </pic:pic>
              </a:graphicData>
            </a:graphic>
          </wp:inline>
        </w:drawing>
      </w:r>
    </w:p>
    <w:p w:rsidR="000A5158" w:rsidP="54A1BFA9" w:rsidRDefault="000A5158" w14:paraId="666F7D2A" w14:textId="5EA97D33">
      <w:pPr>
        <w:keepNext/>
        <w:keepLines/>
        <w:jc w:val="center"/>
      </w:pPr>
    </w:p>
    <w:p w:rsidR="000A5158" w:rsidP="54A1BFA9" w:rsidRDefault="000A5158" w14:paraId="58A58DE2" w14:textId="3A09A306">
      <w:pPr>
        <w:keepNext/>
        <w:keepLines/>
        <w:jc w:val="center"/>
      </w:pPr>
    </w:p>
    <w:p w:rsidR="000A5158" w:rsidP="54A1BFA9" w:rsidRDefault="000A5158" w14:paraId="2B142323" w14:textId="1ED07BCE">
      <w:pPr>
        <w:keepNext/>
        <w:keepLines/>
        <w:jc w:val="center"/>
      </w:pPr>
    </w:p>
    <w:p w:rsidR="000A5158" w:rsidP="54A1BFA9" w:rsidRDefault="000A5158" w14:paraId="66C4A312" w14:textId="71D3CEAC">
      <w:pPr>
        <w:keepNext/>
        <w:keepLines/>
        <w:jc w:val="center"/>
      </w:pPr>
    </w:p>
    <w:p w:rsidR="000A5158" w:rsidP="54A1BFA9" w:rsidRDefault="000A5158" w14:paraId="4C3C0CF5" w14:textId="7F7EF19F">
      <w:pPr>
        <w:keepNext/>
        <w:keepLines/>
        <w:jc w:val="center"/>
      </w:pPr>
    </w:p>
    <w:p w:rsidR="000A5158" w:rsidP="54A1BFA9" w:rsidRDefault="000A5158" w14:paraId="766942A4" w14:textId="4F54C955">
      <w:pPr>
        <w:keepNext/>
        <w:keepLines/>
        <w:jc w:val="center"/>
      </w:pPr>
    </w:p>
    <w:p w:rsidR="000A5158" w:rsidP="54A1BFA9" w:rsidRDefault="000A5158" w14:paraId="21A2FA5B" w14:textId="3C34DDC5">
      <w:pPr>
        <w:keepNext/>
        <w:keepLines/>
        <w:jc w:val="center"/>
      </w:pPr>
    </w:p>
    <w:p w:rsidR="000A5158" w:rsidP="54A1BFA9" w:rsidRDefault="000A5158" w14:paraId="6C774E57" w14:textId="41D59517">
      <w:pPr>
        <w:keepNext/>
        <w:keepLines/>
        <w:jc w:val="center"/>
      </w:pPr>
    </w:p>
    <w:p w:rsidR="000A5158" w:rsidP="54A1BFA9" w:rsidRDefault="000A5158" w14:paraId="20AE61AC" w14:textId="4895FF62">
      <w:pPr>
        <w:keepNext/>
        <w:keepLines/>
      </w:pPr>
    </w:p>
    <w:p w:rsidR="000A5158" w:rsidP="6FB20578" w:rsidRDefault="000A5158" w14:paraId="5F3846ED" w14:textId="4E86AE30">
      <w:pPr>
        <w:pStyle w:val="Heading2"/>
        <w:keepNext w:val="1"/>
        <w:keepLines w:val="1"/>
        <w:jc w:val="center"/>
        <w:rPr>
          <w:rFonts w:ascii="Arial" w:hAnsi="Arial" w:eastAsia="Arial" w:cs="Arial" w:asciiTheme="minorAscii" w:hAnsiTheme="minorAscii" w:eastAsiaTheme="minorAscii" w:cstheme="minorAscii"/>
          <w:sz w:val="32"/>
          <w:szCs w:val="32"/>
        </w:rPr>
      </w:pPr>
      <w:bookmarkStart w:name="_Toc571601250" w:id="1002527315"/>
      <w:r w:rsidRPr="6FB20578" w:rsidR="48CDAFB8">
        <w:rPr>
          <w:rFonts w:ascii="Arial" w:hAnsi="Arial" w:eastAsia="Arial" w:cs="Arial" w:asciiTheme="minorAscii" w:hAnsiTheme="minorAscii" w:eastAsiaTheme="minorAscii" w:cstheme="minorAscii"/>
          <w:sz w:val="32"/>
          <w:szCs w:val="32"/>
        </w:rPr>
        <w:t>Title: Page</w:t>
      </w:r>
      <w:bookmarkEnd w:id="1002527315"/>
    </w:p>
    <w:p w:rsidR="000A5158" w:rsidP="54A1BFA9" w:rsidRDefault="000A5158" w14:paraId="31D77E2E" w14:textId="195D561D">
      <w:pPr>
        <w:keepNext/>
        <w:keepLines/>
        <w:jc w:val="center"/>
      </w:pPr>
    </w:p>
    <w:p w:rsidR="000A5158" w:rsidP="54A1BFA9" w:rsidRDefault="0C22F5C6" w14:paraId="3F1B9BE3" w14:textId="144DEA36">
      <w:pPr>
        <w:spacing w:line="360" w:lineRule="auto"/>
        <w:jc w:val="center"/>
        <w:rPr>
          <w:sz w:val="36"/>
          <w:szCs w:val="36"/>
        </w:rPr>
      </w:pPr>
      <w:r w:rsidRPr="54A1BFA9">
        <w:rPr>
          <w:b/>
          <w:bCs/>
          <w:sz w:val="36"/>
          <w:szCs w:val="36"/>
        </w:rPr>
        <w:t xml:space="preserve">Student </w:t>
      </w:r>
      <w:r w:rsidRPr="54A1BFA9" w:rsidR="1AEACEC1">
        <w:rPr>
          <w:b/>
          <w:bCs/>
          <w:sz w:val="36"/>
          <w:szCs w:val="36"/>
        </w:rPr>
        <w:t>N</w:t>
      </w:r>
      <w:r w:rsidRPr="54A1BFA9">
        <w:rPr>
          <w:b/>
          <w:bCs/>
          <w:sz w:val="36"/>
          <w:szCs w:val="36"/>
        </w:rPr>
        <w:t>ame:</w:t>
      </w:r>
      <w:r w:rsidRPr="54A1BFA9">
        <w:rPr>
          <w:sz w:val="36"/>
          <w:szCs w:val="36"/>
        </w:rPr>
        <w:t xml:space="preserve"> Alicia Naomi Blake</w:t>
      </w:r>
    </w:p>
    <w:p w:rsidR="000A5158" w:rsidP="54A1BFA9" w:rsidRDefault="0C22F5C6" w14:paraId="6332AE9D" w14:textId="7BE2CBA5">
      <w:pPr>
        <w:spacing w:line="360" w:lineRule="auto"/>
        <w:jc w:val="center"/>
      </w:pPr>
      <w:r w:rsidRPr="54A1BFA9">
        <w:rPr>
          <w:b/>
          <w:bCs/>
          <w:sz w:val="36"/>
          <w:szCs w:val="36"/>
        </w:rPr>
        <w:t xml:space="preserve">Student </w:t>
      </w:r>
      <w:r w:rsidRPr="54A1BFA9" w:rsidR="1B0D7556">
        <w:rPr>
          <w:b/>
          <w:bCs/>
          <w:sz w:val="36"/>
          <w:szCs w:val="36"/>
        </w:rPr>
        <w:t>N</w:t>
      </w:r>
      <w:r w:rsidRPr="54A1BFA9">
        <w:rPr>
          <w:b/>
          <w:bCs/>
          <w:sz w:val="36"/>
          <w:szCs w:val="36"/>
        </w:rPr>
        <w:t>umber:</w:t>
      </w:r>
      <w:r w:rsidRPr="54A1BFA9">
        <w:rPr>
          <w:sz w:val="36"/>
          <w:szCs w:val="36"/>
        </w:rPr>
        <w:t xml:space="preserve"> 2208796</w:t>
      </w:r>
    </w:p>
    <w:p w:rsidR="000A5158" w:rsidP="54A1BFA9" w:rsidRDefault="0C22F5C6" w14:paraId="798E950F" w14:textId="60A8CB0E">
      <w:pPr>
        <w:spacing w:line="360" w:lineRule="auto"/>
        <w:jc w:val="center"/>
      </w:pPr>
      <w:r w:rsidRPr="54A1BFA9">
        <w:rPr>
          <w:b/>
          <w:bCs/>
          <w:sz w:val="36"/>
          <w:szCs w:val="36"/>
        </w:rPr>
        <w:t>Module:</w:t>
      </w:r>
      <w:r w:rsidRPr="54A1BFA9">
        <w:rPr>
          <w:sz w:val="36"/>
          <w:szCs w:val="36"/>
        </w:rPr>
        <w:t xml:space="preserve"> International Business Concepts</w:t>
      </w:r>
    </w:p>
    <w:p w:rsidRPr="001A7895" w:rsidR="000A5158" w:rsidP="54A1BFA9" w:rsidRDefault="0C22F5C6" w14:paraId="17FF313B" w14:textId="36723EF4">
      <w:pPr>
        <w:spacing w:line="360" w:lineRule="auto"/>
        <w:jc w:val="center"/>
        <w:rPr>
          <w:lang w:val="fr-FR"/>
        </w:rPr>
      </w:pPr>
      <w:r w:rsidRPr="001A7895">
        <w:rPr>
          <w:b/>
          <w:bCs/>
          <w:sz w:val="36"/>
          <w:szCs w:val="36"/>
          <w:lang w:val="fr-FR"/>
        </w:rPr>
        <w:t>Module Code:</w:t>
      </w:r>
      <w:r w:rsidRPr="001A7895">
        <w:rPr>
          <w:sz w:val="36"/>
          <w:szCs w:val="36"/>
          <w:lang w:val="fr-FR"/>
        </w:rPr>
        <w:t xml:space="preserve"> LCMB7034</w:t>
      </w:r>
    </w:p>
    <w:p w:rsidRPr="001A7895" w:rsidR="000A5158" w:rsidP="7DA9FC50" w:rsidRDefault="0C22F5C6" w14:paraId="02C1EF7E" w14:textId="21BF3BFD">
      <w:pPr>
        <w:spacing w:line="360" w:lineRule="auto"/>
        <w:jc w:val="center"/>
        <w:rPr>
          <w:lang w:val="fr-FR"/>
        </w:rPr>
      </w:pPr>
      <w:r w:rsidRPr="001A7895">
        <w:rPr>
          <w:b/>
          <w:bCs/>
          <w:sz w:val="36"/>
          <w:szCs w:val="36"/>
          <w:lang w:val="fr-FR"/>
        </w:rPr>
        <w:t>Lecturer:</w:t>
      </w:r>
      <w:r w:rsidRPr="001A7895">
        <w:rPr>
          <w:sz w:val="36"/>
          <w:szCs w:val="36"/>
          <w:lang w:val="fr-FR"/>
        </w:rPr>
        <w:t xml:space="preserve"> </w:t>
      </w:r>
      <w:r w:rsidRPr="001A7895" w:rsidR="3B09F294">
        <w:rPr>
          <w:color w:val="1D2125"/>
          <w:sz w:val="36"/>
          <w:szCs w:val="36"/>
          <w:lang w:val="fr-FR"/>
        </w:rPr>
        <w:t>Professor</w:t>
      </w:r>
      <w:r w:rsidRPr="001A7895" w:rsidR="3B09F294">
        <w:rPr>
          <w:rFonts w:ascii="Arial" w:hAnsi="Arial" w:eastAsia="Arial" w:cs="Arial"/>
          <w:sz w:val="36"/>
          <w:szCs w:val="36"/>
          <w:lang w:val="fr-FR"/>
        </w:rPr>
        <w:t xml:space="preserve"> </w:t>
      </w:r>
      <w:r w:rsidRPr="001A7895">
        <w:rPr>
          <w:sz w:val="36"/>
          <w:szCs w:val="36"/>
          <w:lang w:val="fr-FR"/>
        </w:rPr>
        <w:t>Mansoob Murshed</w:t>
      </w:r>
    </w:p>
    <w:p w:rsidR="000A5158" w:rsidP="54A1BFA9" w:rsidRDefault="0C22F5C6" w14:paraId="082625DF" w14:textId="7E2A92A4">
      <w:pPr>
        <w:spacing w:line="360" w:lineRule="auto"/>
        <w:jc w:val="center"/>
      </w:pPr>
      <w:r w:rsidRPr="54A1BFA9">
        <w:rPr>
          <w:b/>
          <w:bCs/>
          <w:sz w:val="36"/>
          <w:szCs w:val="36"/>
        </w:rPr>
        <w:t>Submission Date:</w:t>
      </w:r>
      <w:r w:rsidRPr="54A1BFA9">
        <w:rPr>
          <w:sz w:val="36"/>
          <w:szCs w:val="36"/>
        </w:rPr>
        <w:t xml:space="preserve"> Friday 7 August 2026</w:t>
      </w:r>
    </w:p>
    <w:p w:rsidR="000A5158" w:rsidP="54A1BFA9" w:rsidRDefault="000A5158" w14:paraId="042FBA98" w14:textId="3A8F7D67">
      <w:pPr>
        <w:jc w:val="center"/>
        <w:rPr>
          <w:sz w:val="36"/>
          <w:szCs w:val="36"/>
        </w:rPr>
      </w:pPr>
    </w:p>
    <w:p w:rsidR="000A5158" w:rsidP="54A1BFA9" w:rsidRDefault="000A5158" w14:paraId="5CB802B6" w14:textId="79FEF565">
      <w:pPr>
        <w:jc w:val="center"/>
        <w:rPr>
          <w:sz w:val="36"/>
          <w:szCs w:val="36"/>
        </w:rPr>
      </w:pPr>
    </w:p>
    <w:p w:rsidR="000A5158" w:rsidP="54A1BFA9" w:rsidRDefault="000A5158" w14:paraId="73666CD1" w14:textId="3F818FF7">
      <w:pPr>
        <w:jc w:val="center"/>
        <w:rPr>
          <w:sz w:val="36"/>
          <w:szCs w:val="36"/>
        </w:rPr>
      </w:pPr>
    </w:p>
    <w:p w:rsidR="000A5158" w:rsidP="54A1BFA9" w:rsidRDefault="000A5158" w14:paraId="1B01F674" w14:textId="375E7BB2">
      <w:pPr>
        <w:jc w:val="center"/>
        <w:rPr>
          <w:sz w:val="36"/>
          <w:szCs w:val="36"/>
        </w:rPr>
      </w:pPr>
    </w:p>
    <w:p w:rsidR="000A5158" w:rsidP="54A1BFA9" w:rsidRDefault="000A5158" w14:paraId="55E4D281" w14:textId="12561D44">
      <w:pPr>
        <w:jc w:val="center"/>
        <w:rPr>
          <w:sz w:val="36"/>
          <w:szCs w:val="36"/>
        </w:rPr>
      </w:pPr>
    </w:p>
    <w:p w:rsidR="000A5158" w:rsidP="54A1BFA9" w:rsidRDefault="000A5158" w14:paraId="21755D23" w14:textId="482358EA">
      <w:pPr>
        <w:jc w:val="center"/>
        <w:rPr>
          <w:sz w:val="36"/>
          <w:szCs w:val="36"/>
        </w:rPr>
      </w:pPr>
    </w:p>
    <w:p w:rsidR="000A5158" w:rsidP="54A1BFA9" w:rsidRDefault="000A5158" w14:paraId="203EDC33" w14:textId="3209196E">
      <w:pPr>
        <w:jc w:val="center"/>
        <w:rPr>
          <w:sz w:val="36"/>
          <w:szCs w:val="36"/>
        </w:rPr>
      </w:pPr>
    </w:p>
    <w:p w:rsidR="000A5158" w:rsidP="54A1BFA9" w:rsidRDefault="000A5158" w14:paraId="5D62039A" w14:textId="516D3881">
      <w:pPr>
        <w:jc w:val="center"/>
        <w:rPr>
          <w:sz w:val="36"/>
          <w:szCs w:val="36"/>
        </w:rPr>
      </w:pPr>
    </w:p>
    <w:p w:rsidR="000A5158" w:rsidP="54A1BFA9" w:rsidRDefault="000A5158" w14:paraId="28E53AE2" w14:textId="5AF58DF4">
      <w:pPr>
        <w:jc w:val="center"/>
        <w:rPr>
          <w:sz w:val="36"/>
          <w:szCs w:val="36"/>
        </w:rPr>
      </w:pPr>
    </w:p>
    <w:p w:rsidR="000A5158" w:rsidP="54A1BFA9" w:rsidRDefault="000A5158" w14:paraId="6D63CEA7" w14:textId="0EA6E342">
      <w:pPr>
        <w:jc w:val="center"/>
        <w:rPr>
          <w:sz w:val="36"/>
          <w:szCs w:val="36"/>
        </w:rPr>
      </w:pPr>
    </w:p>
    <w:p w:rsidR="000A5158" w:rsidP="6FB20578" w:rsidRDefault="5BF764C8" w14:paraId="2F8EFD32" w14:textId="60603CB8">
      <w:pPr>
        <w:pStyle w:val="Heading2"/>
        <w:rPr>
          <w:rFonts w:ascii="Arial" w:hAnsi="Arial" w:eastAsia="ＭＳ 明朝" w:cs="Arial" w:asciiTheme="minorAscii" w:hAnsiTheme="minorAscii" w:eastAsiaTheme="minorEastAsia" w:cstheme="minorBidi"/>
          <w:sz w:val="24"/>
          <w:szCs w:val="24"/>
        </w:rPr>
      </w:pPr>
      <w:bookmarkStart w:name="_Toc1060683425" w:id="1122396676"/>
      <w:bookmarkStart w:name="_Toc1768714050" w:id="858706869"/>
      <w:r w:rsidR="5FE1F533">
        <w:rPr/>
        <w:t>Executive Summary</w:t>
      </w:r>
      <w:bookmarkEnd w:id="1122396676"/>
      <w:bookmarkEnd w:id="858706869"/>
    </w:p>
    <w:p w:rsidR="000A5158" w:rsidP="54A1BFA9" w:rsidRDefault="2DF53405" w14:paraId="2B19C7E9" w14:textId="450AAC6E">
      <w:pPr>
        <w:spacing w:before="240" w:after="240" w:line="360" w:lineRule="auto"/>
      </w:pPr>
      <w:r w:rsidRPr="54A1BFA9">
        <w:rPr>
          <w:rFonts w:ascii="Arial" w:hAnsi="Arial" w:eastAsia="Arial" w:cs="Arial"/>
        </w:rPr>
        <w:t>This report critically evaluates IKEA’s potential expansion into Nigeria by examining its global strategy, Nigeria’s market attractiveness and the most appropriate entry mode to support sustainable international growth. IKEA is classified as a transnational corporation, combining global efficiency, standardised brand management and selective local adaptation. International business frameworks, including Bartlett and Ghoshal’s international strategy model, PESTEL analysis, Hofstede’s cultural dimensions and Dunning’s Eclectic Paradigm (OLI), are applied to assess the strategic feasibility of market entry.</w:t>
      </w:r>
    </w:p>
    <w:p w:rsidR="000A5158" w:rsidP="54A1BFA9" w:rsidRDefault="2DF53405" w14:paraId="28A08702" w14:textId="648F76BE">
      <w:pPr>
        <w:spacing w:before="240" w:after="240" w:line="360" w:lineRule="auto"/>
      </w:pPr>
      <w:r w:rsidRPr="54A1BFA9">
        <w:rPr>
          <w:rFonts w:ascii="Arial" w:hAnsi="Arial" w:eastAsia="Arial" w:cs="Arial"/>
        </w:rPr>
        <w:t>The analysis identifies Nigeria as a high-potential but high-risk emerging market. Its large population, rapid urbanisation, growing housing demand and increasing consumer interest in affordable home solutions align strongly with IKEA’s value proposition of functional, accessible and cost-efficient furnishings. However, political uncertainty, regulatory complexity, infrastructure limitations, currency volatility and cultural differences create significant challenges that may prevent direct replication of IKEA’s existing operating model.</w:t>
      </w:r>
    </w:p>
    <w:p w:rsidR="000A5158" w:rsidP="54A1BFA9" w:rsidRDefault="2DF53405" w14:paraId="2F365DA8" w14:textId="1B60249A">
      <w:pPr>
        <w:spacing w:before="240" w:after="240" w:line="360" w:lineRule="auto"/>
      </w:pPr>
      <w:r w:rsidRPr="54A1BFA9">
        <w:rPr>
          <w:rFonts w:ascii="Arial" w:hAnsi="Arial" w:eastAsia="Arial" w:cs="Arial"/>
        </w:rPr>
        <w:t>The evaluation of entry modes indicates that an immediate wholly owned subsidiary would provide strong strategic control but expose IKEA to substantial financial and operational risks. In contrast, exporting or pure franchising would reduce investment exposure but may limit long-term competitiveness and control over brand experience. Therefore, a phased joint venture strategy with a credible Nigerian partner is recommended. This approach would enable IKEA to combine its ownership advantages, including global brand equity, supply chain expertise and design capabilities</w:t>
      </w:r>
      <w:r w:rsidRPr="54A1BFA9" w:rsidR="72AD0329">
        <w:rPr>
          <w:rFonts w:ascii="Arial" w:hAnsi="Arial" w:eastAsia="Arial" w:cs="Arial"/>
        </w:rPr>
        <w:t xml:space="preserve"> </w:t>
      </w:r>
      <w:r w:rsidRPr="54A1BFA9">
        <w:rPr>
          <w:rFonts w:ascii="Arial" w:hAnsi="Arial" w:eastAsia="Arial" w:cs="Arial"/>
        </w:rPr>
        <w:t>with local market knowledge and reduced risk exposure.</w:t>
      </w:r>
    </w:p>
    <w:p w:rsidR="000A5158" w:rsidP="54A1BFA9" w:rsidRDefault="2DF53405" w14:paraId="6E80864D" w14:textId="2D66E90C">
      <w:pPr>
        <w:spacing w:before="240" w:after="240" w:line="360" w:lineRule="auto"/>
      </w:pPr>
      <w:r w:rsidRPr="6FB20578" w:rsidR="39098C6E">
        <w:rPr>
          <w:rFonts w:ascii="Arial" w:hAnsi="Arial" w:eastAsia="Arial" w:cs="Arial"/>
        </w:rPr>
        <w:t>Overall, Nigeria represents a strategically attractive opportunity for IKEA’s future expansion; however, success will depend on balancing global consistency with local responsiveness. A gradual approach involving pilot operations, digital retail development, local sourcing and progressive investment would provide the most suitable pathway for achieving sustainable competitive advantage in the Nigerian market.</w:t>
      </w:r>
    </w:p>
    <w:p w:rsidR="6FB20578" w:rsidP="6FB20578" w:rsidRDefault="6FB20578" w14:paraId="4210AA47" w14:textId="0A0BE295">
      <w:pPr>
        <w:spacing w:before="240" w:after="240" w:line="360" w:lineRule="auto"/>
        <w:rPr>
          <w:rFonts w:ascii="Arial" w:hAnsi="Arial" w:eastAsia="Arial" w:cs="Arial"/>
        </w:rPr>
      </w:pPr>
    </w:p>
    <w:p w:rsidR="6FB20578" w:rsidP="6FB20578" w:rsidRDefault="6FB20578" w14:paraId="6A201DF8" w14:textId="63CD2A6E">
      <w:pPr>
        <w:spacing w:before="240" w:after="240" w:line="360" w:lineRule="auto"/>
        <w:rPr>
          <w:rFonts w:ascii="Arial" w:hAnsi="Arial" w:eastAsia="Arial" w:cs="Arial"/>
        </w:rPr>
      </w:pPr>
    </w:p>
    <w:p w:rsidR="6FB20578" w:rsidP="6FB20578" w:rsidRDefault="6FB20578" w14:paraId="1201A6A5" w14:textId="26D1A6C5">
      <w:pPr>
        <w:spacing w:before="240" w:after="240" w:line="360" w:lineRule="auto"/>
        <w:rPr>
          <w:rFonts w:ascii="Arial" w:hAnsi="Arial" w:eastAsia="Arial" w:cs="Arial"/>
        </w:rPr>
      </w:pPr>
    </w:p>
    <w:p w:rsidR="6FB20578" w:rsidP="6FB20578" w:rsidRDefault="6FB20578" w14:paraId="652AFBE4" w14:textId="0E17D797">
      <w:pPr>
        <w:spacing w:before="240" w:after="240" w:line="360" w:lineRule="auto"/>
        <w:rPr>
          <w:rFonts w:ascii="Arial" w:hAnsi="Arial" w:eastAsia="Arial" w:cs="Arial"/>
        </w:rPr>
      </w:pPr>
    </w:p>
    <w:p w:rsidR="6FB20578" w:rsidP="6FB20578" w:rsidRDefault="6FB20578" w14:paraId="55A38249" w14:textId="0257A48D">
      <w:pPr>
        <w:spacing w:before="240" w:after="240" w:line="360" w:lineRule="auto"/>
        <w:rPr>
          <w:rFonts w:ascii="Arial" w:hAnsi="Arial" w:eastAsia="Arial" w:cs="Arial"/>
        </w:rPr>
      </w:pPr>
    </w:p>
    <w:p w:rsidR="6FB20578" w:rsidP="6FB20578" w:rsidRDefault="6FB20578" w14:paraId="438D1043" w14:textId="351574EF">
      <w:pPr>
        <w:spacing w:before="240" w:after="240" w:line="360" w:lineRule="auto"/>
        <w:rPr>
          <w:rFonts w:ascii="Arial" w:hAnsi="Arial" w:eastAsia="Arial" w:cs="Arial"/>
        </w:rPr>
      </w:pPr>
    </w:p>
    <w:p w:rsidR="6FB20578" w:rsidP="6FB20578" w:rsidRDefault="6FB20578" w14:paraId="2904FAF7" w14:textId="1CCFDA02">
      <w:pPr>
        <w:spacing w:before="240" w:after="240" w:line="360" w:lineRule="auto"/>
        <w:rPr>
          <w:rFonts w:ascii="Arial" w:hAnsi="Arial" w:eastAsia="Arial" w:cs="Arial"/>
        </w:rPr>
      </w:pPr>
    </w:p>
    <w:p w:rsidR="6FB20578" w:rsidP="6FB20578" w:rsidRDefault="6FB20578" w14:paraId="67F1E166" w14:textId="25C9C603">
      <w:pPr>
        <w:spacing w:before="240" w:after="240" w:line="360" w:lineRule="auto"/>
        <w:rPr>
          <w:rFonts w:ascii="Arial" w:hAnsi="Arial" w:eastAsia="Arial" w:cs="Arial"/>
        </w:rPr>
      </w:pPr>
    </w:p>
    <w:p w:rsidR="6FB20578" w:rsidP="6FB20578" w:rsidRDefault="6FB20578" w14:paraId="13B0F6D2" w14:textId="393FD40D">
      <w:pPr>
        <w:spacing w:before="240" w:after="240" w:line="360" w:lineRule="auto"/>
        <w:rPr>
          <w:rFonts w:ascii="Arial" w:hAnsi="Arial" w:eastAsia="Arial" w:cs="Arial"/>
        </w:rPr>
      </w:pPr>
    </w:p>
    <w:p w:rsidR="6FB20578" w:rsidP="6FB20578" w:rsidRDefault="6FB20578" w14:paraId="5F84A7DE" w14:textId="221392B7">
      <w:pPr>
        <w:spacing w:before="240" w:after="240" w:line="360" w:lineRule="auto"/>
        <w:rPr>
          <w:rFonts w:ascii="Arial" w:hAnsi="Arial" w:eastAsia="Arial" w:cs="Arial"/>
        </w:rPr>
      </w:pPr>
    </w:p>
    <w:p w:rsidR="6FB20578" w:rsidP="6FB20578" w:rsidRDefault="6FB20578" w14:paraId="567F482D" w14:textId="4155B11D">
      <w:pPr>
        <w:spacing w:before="240" w:after="240" w:line="360" w:lineRule="auto"/>
        <w:rPr>
          <w:rFonts w:ascii="Arial" w:hAnsi="Arial" w:eastAsia="Arial" w:cs="Arial"/>
        </w:rPr>
      </w:pPr>
    </w:p>
    <w:p w:rsidR="6FB20578" w:rsidP="6FB20578" w:rsidRDefault="6FB20578" w14:paraId="2EB36EAA" w14:textId="3A3D00C0">
      <w:pPr>
        <w:spacing w:before="240" w:after="240" w:line="360" w:lineRule="auto"/>
        <w:rPr>
          <w:rFonts w:ascii="Arial" w:hAnsi="Arial" w:eastAsia="Arial" w:cs="Arial"/>
        </w:rPr>
      </w:pPr>
    </w:p>
    <w:p w:rsidR="6FB20578" w:rsidP="6FB20578" w:rsidRDefault="6FB20578" w14:paraId="75D3EB39" w14:textId="53C04785">
      <w:pPr>
        <w:spacing w:before="240" w:after="240" w:line="360" w:lineRule="auto"/>
        <w:rPr>
          <w:rFonts w:ascii="Arial" w:hAnsi="Arial" w:eastAsia="Arial" w:cs="Arial"/>
        </w:rPr>
      </w:pPr>
    </w:p>
    <w:p w:rsidR="6FB20578" w:rsidP="6FB20578" w:rsidRDefault="6FB20578" w14:paraId="437761B8" w14:textId="046BB1CD">
      <w:pPr>
        <w:spacing w:before="240" w:after="240" w:line="360" w:lineRule="auto"/>
        <w:rPr>
          <w:rFonts w:ascii="Arial" w:hAnsi="Arial" w:eastAsia="Arial" w:cs="Arial"/>
        </w:rPr>
      </w:pPr>
    </w:p>
    <w:p w:rsidR="6FB20578" w:rsidP="6FB20578" w:rsidRDefault="6FB20578" w14:paraId="7AA0C12E" w14:textId="313FC8E9">
      <w:pPr>
        <w:spacing w:before="240" w:after="240" w:line="360" w:lineRule="auto"/>
        <w:rPr>
          <w:rFonts w:ascii="Arial" w:hAnsi="Arial" w:eastAsia="Arial" w:cs="Arial"/>
        </w:rPr>
      </w:pPr>
    </w:p>
    <w:p w:rsidR="6FB20578" w:rsidP="6FB20578" w:rsidRDefault="6FB20578" w14:paraId="6328A73E" w14:textId="2863A3CA">
      <w:pPr>
        <w:spacing w:before="240" w:after="240" w:line="360" w:lineRule="auto"/>
        <w:rPr>
          <w:rFonts w:ascii="Arial" w:hAnsi="Arial" w:eastAsia="Arial" w:cs="Arial"/>
        </w:rPr>
      </w:pPr>
    </w:p>
    <w:p w:rsidR="6FB20578" w:rsidP="6FB20578" w:rsidRDefault="6FB20578" w14:paraId="6697A942" w14:textId="2D90F952">
      <w:pPr>
        <w:spacing w:before="240" w:after="240" w:line="360" w:lineRule="auto"/>
        <w:rPr>
          <w:rFonts w:ascii="Arial" w:hAnsi="Arial" w:eastAsia="Arial" w:cs="Arial"/>
        </w:rPr>
      </w:pPr>
    </w:p>
    <w:p w:rsidR="6FB20578" w:rsidP="6FB20578" w:rsidRDefault="6FB20578" w14:paraId="32E1537B" w14:textId="26B37A19">
      <w:pPr>
        <w:pStyle w:val="Normal"/>
        <w:spacing w:before="240" w:after="240" w:line="360" w:lineRule="auto"/>
        <w:rPr>
          <w:rFonts w:ascii="Arial" w:hAnsi="Arial" w:eastAsia="Arial" w:cs="Arial"/>
        </w:rPr>
      </w:pPr>
    </w:p>
    <w:p w:rsidR="6FB20578" w:rsidP="6FB20578" w:rsidRDefault="6FB20578" w14:paraId="2EE794E7" w14:textId="1C57B284">
      <w:pPr>
        <w:spacing w:before="240" w:after="240" w:line="360" w:lineRule="auto"/>
        <w:rPr>
          <w:rFonts w:ascii="Arial" w:hAnsi="Arial" w:eastAsia="Arial" w:cs="Arial"/>
        </w:rPr>
      </w:pPr>
    </w:p>
    <w:sdt>
      <w:sdtPr>
        <w:id w:val="1263415277"/>
        <w:docPartObj>
          <w:docPartGallery w:val="Table of Contents"/>
          <w:docPartUnique/>
        </w:docPartObj>
      </w:sdtPr>
      <w:sdtContent>
        <w:p w:rsidR="6FB20578" w:rsidP="6FB20578" w:rsidRDefault="6FB20578" w14:paraId="18A63711" w14:textId="13698230">
          <w:pPr>
            <w:pStyle w:val="TOC2"/>
            <w:tabs>
              <w:tab w:val="right" w:leader="dot" w:pos="9360"/>
            </w:tabs>
            <w:bidi w:val="0"/>
          </w:pPr>
          <w:r>
            <w:fldChar w:fldCharType="begin"/>
          </w:r>
          <w:r>
            <w:instrText xml:space="preserve">TOC \o "1-9" \z \u \h</w:instrText>
          </w:r>
          <w:r>
            <w:fldChar w:fldCharType="separate"/>
          </w:r>
          <w:hyperlink w:anchor="_Toc2095355399">
            <w:r w:rsidRPr="6FB20578" w:rsidR="6FB20578">
              <w:rPr>
                <w:rStyle w:val="Hyperlink"/>
              </w:rPr>
              <w:t>Title: International Business Strategy Report: A Strategic Evaluation of IKEA's Market Entry into Nigeria</w:t>
            </w:r>
            <w:r>
              <w:tab/>
            </w:r>
            <w:r>
              <w:fldChar w:fldCharType="begin"/>
            </w:r>
            <w:r>
              <w:instrText xml:space="preserve">PAGEREF _Toc2095355399 \h</w:instrText>
            </w:r>
            <w:r>
              <w:fldChar w:fldCharType="separate"/>
            </w:r>
            <w:r w:rsidRPr="6FB20578" w:rsidR="6FB20578">
              <w:rPr>
                <w:rStyle w:val="Hyperlink"/>
              </w:rPr>
              <w:t>1</w:t>
            </w:r>
            <w:r>
              <w:fldChar w:fldCharType="end"/>
            </w:r>
          </w:hyperlink>
        </w:p>
        <w:p w:rsidR="6FB20578" w:rsidP="6FB20578" w:rsidRDefault="6FB20578" w14:paraId="6E17A2CA" w14:textId="699E3487">
          <w:pPr>
            <w:pStyle w:val="TOC2"/>
            <w:tabs>
              <w:tab w:val="right" w:leader="dot" w:pos="9360"/>
            </w:tabs>
            <w:bidi w:val="0"/>
          </w:pPr>
          <w:hyperlink w:anchor="_Toc571601250">
            <w:r w:rsidRPr="6FB20578" w:rsidR="6FB20578">
              <w:rPr>
                <w:rStyle w:val="Hyperlink"/>
              </w:rPr>
              <w:t>Title: Page</w:t>
            </w:r>
            <w:r>
              <w:tab/>
            </w:r>
            <w:r>
              <w:fldChar w:fldCharType="begin"/>
            </w:r>
            <w:r>
              <w:instrText xml:space="preserve">PAGEREF _Toc571601250 \h</w:instrText>
            </w:r>
            <w:r>
              <w:fldChar w:fldCharType="separate"/>
            </w:r>
            <w:r w:rsidRPr="6FB20578" w:rsidR="6FB20578">
              <w:rPr>
                <w:rStyle w:val="Hyperlink"/>
              </w:rPr>
              <w:t>1</w:t>
            </w:r>
            <w:r>
              <w:fldChar w:fldCharType="end"/>
            </w:r>
          </w:hyperlink>
        </w:p>
        <w:p w:rsidR="6FB20578" w:rsidP="6FB20578" w:rsidRDefault="6FB20578" w14:paraId="72736A57" w14:textId="46415945">
          <w:pPr>
            <w:pStyle w:val="TOC2"/>
            <w:tabs>
              <w:tab w:val="right" w:leader="dot" w:pos="9360"/>
            </w:tabs>
            <w:bidi w:val="0"/>
          </w:pPr>
          <w:hyperlink w:anchor="_Toc1768714050">
            <w:r w:rsidRPr="6FB20578" w:rsidR="6FB20578">
              <w:rPr>
                <w:rStyle w:val="Hyperlink"/>
              </w:rPr>
              <w:t>Executive Summary</w:t>
            </w:r>
            <w:r>
              <w:tab/>
            </w:r>
            <w:r>
              <w:fldChar w:fldCharType="begin"/>
            </w:r>
            <w:r>
              <w:instrText xml:space="preserve">PAGEREF _Toc1768714050 \h</w:instrText>
            </w:r>
            <w:r>
              <w:fldChar w:fldCharType="separate"/>
            </w:r>
            <w:r w:rsidRPr="6FB20578" w:rsidR="6FB20578">
              <w:rPr>
                <w:rStyle w:val="Hyperlink"/>
              </w:rPr>
              <w:t>2</w:t>
            </w:r>
            <w:r>
              <w:fldChar w:fldCharType="end"/>
            </w:r>
          </w:hyperlink>
        </w:p>
        <w:p w:rsidR="6FB20578" w:rsidP="6FB20578" w:rsidRDefault="6FB20578" w14:paraId="44B55E0F" w14:textId="08889451">
          <w:pPr>
            <w:pStyle w:val="TOC2"/>
            <w:tabs>
              <w:tab w:val="right" w:leader="dot" w:pos="9360"/>
            </w:tabs>
            <w:bidi w:val="0"/>
          </w:pPr>
          <w:hyperlink w:anchor="_Toc736608926">
            <w:r w:rsidRPr="6FB20578" w:rsidR="6FB20578">
              <w:rPr>
                <w:rStyle w:val="Hyperlink"/>
              </w:rPr>
              <w:t>1. Organisational Classification and Global Strategy</w:t>
            </w:r>
            <w:r>
              <w:tab/>
            </w:r>
            <w:r>
              <w:fldChar w:fldCharType="begin"/>
            </w:r>
            <w:r>
              <w:instrText xml:space="preserve">PAGEREF _Toc736608926 \h</w:instrText>
            </w:r>
            <w:r>
              <w:fldChar w:fldCharType="separate"/>
            </w:r>
            <w:r w:rsidRPr="6FB20578" w:rsidR="6FB20578">
              <w:rPr>
                <w:rStyle w:val="Hyperlink"/>
              </w:rPr>
              <w:t>6</w:t>
            </w:r>
            <w:r>
              <w:fldChar w:fldCharType="end"/>
            </w:r>
          </w:hyperlink>
        </w:p>
        <w:p w:rsidR="6FB20578" w:rsidP="6FB20578" w:rsidRDefault="6FB20578" w14:paraId="38B61692" w14:textId="382D6C88">
          <w:pPr>
            <w:pStyle w:val="TOC2"/>
            <w:tabs>
              <w:tab w:val="right" w:leader="dot" w:pos="9360"/>
            </w:tabs>
            <w:bidi w:val="0"/>
          </w:pPr>
          <w:hyperlink w:anchor="_Toc990419918">
            <w:r w:rsidRPr="6FB20578" w:rsidR="6FB20578">
              <w:rPr>
                <w:rStyle w:val="Hyperlink"/>
              </w:rPr>
              <w:t>1.1 Strategic Categorisation: IKEA’s International Strategy</w:t>
            </w:r>
            <w:r>
              <w:tab/>
            </w:r>
            <w:r>
              <w:fldChar w:fldCharType="begin"/>
            </w:r>
            <w:r>
              <w:instrText xml:space="preserve">PAGEREF _Toc990419918 \h</w:instrText>
            </w:r>
            <w:r>
              <w:fldChar w:fldCharType="separate"/>
            </w:r>
            <w:r w:rsidRPr="6FB20578" w:rsidR="6FB20578">
              <w:rPr>
                <w:rStyle w:val="Hyperlink"/>
              </w:rPr>
              <w:t>6</w:t>
            </w:r>
            <w:r>
              <w:fldChar w:fldCharType="end"/>
            </w:r>
          </w:hyperlink>
        </w:p>
        <w:p w:rsidR="6FB20578" w:rsidP="6FB20578" w:rsidRDefault="6FB20578" w14:paraId="02273FF0" w14:textId="5C2C1528">
          <w:pPr>
            <w:pStyle w:val="TOC2"/>
            <w:tabs>
              <w:tab w:val="right" w:leader="dot" w:pos="9360"/>
            </w:tabs>
            <w:bidi w:val="0"/>
          </w:pPr>
          <w:hyperlink w:anchor="_Toc1608334965">
            <w:r w:rsidRPr="6FB20578" w:rsidR="6FB20578">
              <w:rPr>
                <w:rStyle w:val="Hyperlink"/>
              </w:rPr>
              <w:t>1.2 Global Configuration and Competitive Advantage</w:t>
            </w:r>
            <w:r>
              <w:tab/>
            </w:r>
            <w:r>
              <w:fldChar w:fldCharType="begin"/>
            </w:r>
            <w:r>
              <w:instrText xml:space="preserve">PAGEREF _Toc1608334965 \h</w:instrText>
            </w:r>
            <w:r>
              <w:fldChar w:fldCharType="separate"/>
            </w:r>
            <w:r w:rsidRPr="6FB20578" w:rsidR="6FB20578">
              <w:rPr>
                <w:rStyle w:val="Hyperlink"/>
              </w:rPr>
              <w:t>7</w:t>
            </w:r>
            <w:r>
              <w:fldChar w:fldCharType="end"/>
            </w:r>
          </w:hyperlink>
        </w:p>
        <w:p w:rsidR="6FB20578" w:rsidP="6FB20578" w:rsidRDefault="6FB20578" w14:paraId="480F90B9" w14:textId="17B29D43">
          <w:pPr>
            <w:pStyle w:val="TOC2"/>
            <w:tabs>
              <w:tab w:val="right" w:leader="dot" w:pos="9360"/>
            </w:tabs>
            <w:bidi w:val="0"/>
          </w:pPr>
          <w:hyperlink w:anchor="_Toc239619446">
            <w:r w:rsidRPr="6FB20578" w:rsidR="6FB20578">
              <w:rPr>
                <w:rStyle w:val="Hyperlink"/>
              </w:rPr>
              <w:t>2. Macro-Environmental Appraisal and Market Attractiveness</w:t>
            </w:r>
            <w:r>
              <w:tab/>
            </w:r>
            <w:r>
              <w:fldChar w:fldCharType="begin"/>
            </w:r>
            <w:r>
              <w:instrText xml:space="preserve">PAGEREF _Toc239619446 \h</w:instrText>
            </w:r>
            <w:r>
              <w:fldChar w:fldCharType="separate"/>
            </w:r>
            <w:r w:rsidRPr="6FB20578" w:rsidR="6FB20578">
              <w:rPr>
                <w:rStyle w:val="Hyperlink"/>
              </w:rPr>
              <w:t>9</w:t>
            </w:r>
            <w:r>
              <w:fldChar w:fldCharType="end"/>
            </w:r>
          </w:hyperlink>
        </w:p>
        <w:p w:rsidR="6FB20578" w:rsidP="6FB20578" w:rsidRDefault="6FB20578" w14:paraId="5065D748" w14:textId="0515118B">
          <w:pPr>
            <w:pStyle w:val="TOC2"/>
            <w:tabs>
              <w:tab w:val="right" w:leader="dot" w:pos="9360"/>
            </w:tabs>
            <w:bidi w:val="0"/>
          </w:pPr>
          <w:hyperlink w:anchor="_Toc1337469787">
            <w:r w:rsidRPr="6FB20578" w:rsidR="6FB20578">
              <w:rPr>
                <w:rStyle w:val="Hyperlink"/>
              </w:rPr>
              <w:t>2.3 Market Entry Synthesis Using Dunning's Eclectic Paradigm (OLI Framework)</w:t>
            </w:r>
            <w:r>
              <w:tab/>
            </w:r>
            <w:r>
              <w:fldChar w:fldCharType="begin"/>
            </w:r>
            <w:r>
              <w:instrText xml:space="preserve">PAGEREF _Toc1337469787 \h</w:instrText>
            </w:r>
            <w:r>
              <w:fldChar w:fldCharType="separate"/>
            </w:r>
            <w:r w:rsidRPr="6FB20578" w:rsidR="6FB20578">
              <w:rPr>
                <w:rStyle w:val="Hyperlink"/>
              </w:rPr>
              <w:t>16</w:t>
            </w:r>
            <w:r>
              <w:fldChar w:fldCharType="end"/>
            </w:r>
          </w:hyperlink>
        </w:p>
        <w:p w:rsidR="6FB20578" w:rsidP="6FB20578" w:rsidRDefault="6FB20578" w14:paraId="11CE4B7D" w14:textId="53C20464">
          <w:pPr>
            <w:pStyle w:val="TOC2"/>
            <w:tabs>
              <w:tab w:val="right" w:leader="dot" w:pos="9360"/>
            </w:tabs>
            <w:bidi w:val="0"/>
          </w:pPr>
          <w:hyperlink w:anchor="_Toc659957074">
            <w:r w:rsidRPr="6FB20578" w:rsidR="6FB20578">
              <w:rPr>
                <w:rStyle w:val="Hyperlink"/>
              </w:rPr>
              <w:t>3. Entry Mode Strategy and Strategic Synthesis</w:t>
            </w:r>
            <w:r>
              <w:tab/>
            </w:r>
            <w:r>
              <w:fldChar w:fldCharType="begin"/>
            </w:r>
            <w:r>
              <w:instrText xml:space="preserve">PAGEREF _Toc659957074 \h</w:instrText>
            </w:r>
            <w:r>
              <w:fldChar w:fldCharType="separate"/>
            </w:r>
            <w:r w:rsidRPr="6FB20578" w:rsidR="6FB20578">
              <w:rPr>
                <w:rStyle w:val="Hyperlink"/>
              </w:rPr>
              <w:t>18</w:t>
            </w:r>
            <w:r>
              <w:fldChar w:fldCharType="end"/>
            </w:r>
          </w:hyperlink>
        </w:p>
        <w:p w:rsidR="6FB20578" w:rsidP="6FB20578" w:rsidRDefault="6FB20578" w14:paraId="4D9B062A" w14:textId="7F1BFFDF">
          <w:pPr>
            <w:pStyle w:val="TOC2"/>
            <w:tabs>
              <w:tab w:val="right" w:leader="dot" w:pos="9360"/>
            </w:tabs>
            <w:bidi w:val="0"/>
          </w:pPr>
          <w:hyperlink w:anchor="_Toc1787228286">
            <w:r w:rsidRPr="6FB20578" w:rsidR="6FB20578">
              <w:rPr>
                <w:rStyle w:val="Hyperlink"/>
              </w:rPr>
              <w:t>3.1 Historical Pattern Recognition: IKEA’s International Entry Modes</w:t>
            </w:r>
            <w:r>
              <w:tab/>
            </w:r>
            <w:r>
              <w:fldChar w:fldCharType="begin"/>
            </w:r>
            <w:r>
              <w:instrText xml:space="preserve">PAGEREF _Toc1787228286 \h</w:instrText>
            </w:r>
            <w:r>
              <w:fldChar w:fldCharType="separate"/>
            </w:r>
            <w:r w:rsidRPr="6FB20578" w:rsidR="6FB20578">
              <w:rPr>
                <w:rStyle w:val="Hyperlink"/>
              </w:rPr>
              <w:t>18</w:t>
            </w:r>
            <w:r>
              <w:fldChar w:fldCharType="end"/>
            </w:r>
          </w:hyperlink>
        </w:p>
        <w:p w:rsidR="6FB20578" w:rsidP="6FB20578" w:rsidRDefault="6FB20578" w14:paraId="0D59C4F6" w14:textId="57EB85BA">
          <w:pPr>
            <w:pStyle w:val="TOC2"/>
            <w:tabs>
              <w:tab w:val="right" w:leader="dot" w:pos="9360"/>
            </w:tabs>
            <w:bidi w:val="0"/>
          </w:pPr>
          <w:hyperlink w:anchor="_Toc1593789932">
            <w:r w:rsidRPr="6FB20578" w:rsidR="6FB20578">
              <w:rPr>
                <w:rStyle w:val="Hyperlink"/>
              </w:rPr>
              <w:t>3.2 Strategic Fit and Justification for Nigeria</w:t>
            </w:r>
            <w:r>
              <w:tab/>
            </w:r>
            <w:r>
              <w:fldChar w:fldCharType="begin"/>
            </w:r>
            <w:r>
              <w:instrText xml:space="preserve">PAGEREF _Toc1593789932 \h</w:instrText>
            </w:r>
            <w:r>
              <w:fldChar w:fldCharType="separate"/>
            </w:r>
            <w:r w:rsidRPr="6FB20578" w:rsidR="6FB20578">
              <w:rPr>
                <w:rStyle w:val="Hyperlink"/>
              </w:rPr>
              <w:t>19</w:t>
            </w:r>
            <w:r>
              <w:fldChar w:fldCharType="end"/>
            </w:r>
          </w:hyperlink>
        </w:p>
        <w:p w:rsidR="6FB20578" w:rsidP="6FB20578" w:rsidRDefault="6FB20578" w14:paraId="0B357CA6" w14:textId="2B0948F0">
          <w:pPr>
            <w:pStyle w:val="TOC2"/>
            <w:tabs>
              <w:tab w:val="right" w:leader="dot" w:pos="9360"/>
            </w:tabs>
            <w:bidi w:val="0"/>
          </w:pPr>
          <w:hyperlink w:anchor="_Toc450308253">
            <w:r w:rsidRPr="6FB20578" w:rsidR="6FB20578">
              <w:rPr>
                <w:rStyle w:val="Hyperlink"/>
              </w:rPr>
              <w:t>3.3 Conclusion, Strategic Recommendation and Synthesis</w:t>
            </w:r>
            <w:r>
              <w:tab/>
            </w:r>
            <w:r>
              <w:fldChar w:fldCharType="begin"/>
            </w:r>
            <w:r>
              <w:instrText xml:space="preserve">PAGEREF _Toc450308253 \h</w:instrText>
            </w:r>
            <w:r>
              <w:fldChar w:fldCharType="separate"/>
            </w:r>
            <w:r w:rsidRPr="6FB20578" w:rsidR="6FB20578">
              <w:rPr>
                <w:rStyle w:val="Hyperlink"/>
              </w:rPr>
              <w:t>22</w:t>
            </w:r>
            <w:r>
              <w:fldChar w:fldCharType="end"/>
            </w:r>
          </w:hyperlink>
        </w:p>
        <w:p w:rsidR="6FB20578" w:rsidP="6FB20578" w:rsidRDefault="6FB20578" w14:paraId="0C887401" w14:textId="5BB5B81C">
          <w:pPr>
            <w:pStyle w:val="TOC2"/>
            <w:tabs>
              <w:tab w:val="right" w:leader="dot" w:pos="9360"/>
            </w:tabs>
            <w:bidi w:val="0"/>
          </w:pPr>
          <w:hyperlink w:anchor="_Toc609654522">
            <w:r w:rsidRPr="6FB20578" w:rsidR="6FB20578">
              <w:rPr>
                <w:rStyle w:val="Hyperlink"/>
              </w:rPr>
              <w:t>4. Reflective Account of Research and Assignment Preparation</w:t>
            </w:r>
            <w:r>
              <w:tab/>
            </w:r>
            <w:r>
              <w:fldChar w:fldCharType="begin"/>
            </w:r>
            <w:r>
              <w:instrText xml:space="preserve">PAGEREF _Toc609654522 \h</w:instrText>
            </w:r>
            <w:r>
              <w:fldChar w:fldCharType="separate"/>
            </w:r>
            <w:r w:rsidRPr="6FB20578" w:rsidR="6FB20578">
              <w:rPr>
                <w:rStyle w:val="Hyperlink"/>
              </w:rPr>
              <w:t>23</w:t>
            </w:r>
            <w:r>
              <w:fldChar w:fldCharType="end"/>
            </w:r>
          </w:hyperlink>
        </w:p>
        <w:p w:rsidR="6FB20578" w:rsidP="6FB20578" w:rsidRDefault="6FB20578" w14:paraId="1E0CF7A1" w14:textId="17C2379C">
          <w:pPr>
            <w:pStyle w:val="TOC2"/>
            <w:tabs>
              <w:tab w:val="right" w:leader="dot" w:pos="9360"/>
            </w:tabs>
            <w:bidi w:val="0"/>
          </w:pPr>
          <w:hyperlink w:anchor="_Toc1610471878">
            <w:r w:rsidRPr="6FB20578" w:rsidR="6FB20578">
              <w:rPr>
                <w:rStyle w:val="Hyperlink"/>
              </w:rPr>
              <w:t>References</w:t>
            </w:r>
            <w:r>
              <w:tab/>
            </w:r>
            <w:r>
              <w:fldChar w:fldCharType="begin"/>
            </w:r>
            <w:r>
              <w:instrText xml:space="preserve">PAGEREF _Toc1610471878 \h</w:instrText>
            </w:r>
            <w:r>
              <w:fldChar w:fldCharType="separate"/>
            </w:r>
            <w:r w:rsidRPr="6FB20578" w:rsidR="6FB20578">
              <w:rPr>
                <w:rStyle w:val="Hyperlink"/>
              </w:rPr>
              <w:t>27</w:t>
            </w:r>
            <w:r>
              <w:fldChar w:fldCharType="end"/>
            </w:r>
          </w:hyperlink>
        </w:p>
        <w:p w:rsidR="6FB20578" w:rsidP="6FB20578" w:rsidRDefault="6FB20578" w14:paraId="0AC61036" w14:textId="12570287">
          <w:pPr>
            <w:pStyle w:val="TOC2"/>
            <w:tabs>
              <w:tab w:val="right" w:leader="dot" w:pos="9360"/>
            </w:tabs>
            <w:bidi w:val="0"/>
          </w:pPr>
          <w:hyperlink w:anchor="_Toc2039856723">
            <w:r w:rsidRPr="6FB20578" w:rsidR="6FB20578">
              <w:rPr>
                <w:rStyle w:val="Hyperlink"/>
              </w:rPr>
              <w:t>Appendices</w:t>
            </w:r>
            <w:r>
              <w:tab/>
            </w:r>
            <w:r>
              <w:fldChar w:fldCharType="begin"/>
            </w:r>
            <w:r>
              <w:instrText xml:space="preserve">PAGEREF _Toc2039856723 \h</w:instrText>
            </w:r>
            <w:r>
              <w:fldChar w:fldCharType="separate"/>
            </w:r>
            <w:r w:rsidRPr="6FB20578" w:rsidR="6FB20578">
              <w:rPr>
                <w:rStyle w:val="Hyperlink"/>
              </w:rPr>
              <w:t>31</w:t>
            </w:r>
            <w:r>
              <w:fldChar w:fldCharType="end"/>
            </w:r>
          </w:hyperlink>
        </w:p>
        <w:p w:rsidR="6FB20578" w:rsidRDefault="6FB20578" w14:paraId="1530DBBD" w14:textId="30215903">
          <w:r>
            <w:fldChar w:fldCharType="end"/>
          </w:r>
        </w:p>
      </w:sdtContent>
    </w:sdt>
    <w:p w:rsidR="6FB20578" w:rsidP="6FB20578" w:rsidRDefault="6FB20578" w14:paraId="619CC082" w14:textId="26436784">
      <w:pPr>
        <w:spacing w:before="240" w:after="240" w:line="360" w:lineRule="auto"/>
        <w:rPr>
          <w:rFonts w:ascii="Arial" w:hAnsi="Arial" w:eastAsia="Arial" w:cs="Arial"/>
        </w:rPr>
      </w:pPr>
    </w:p>
    <w:p w:rsidR="000A5158" w:rsidP="54A1BFA9" w:rsidRDefault="000A5158" w14:paraId="5166E059" w14:textId="2B864EA2">
      <w:pPr>
        <w:spacing w:before="240" w:after="240" w:line="360" w:lineRule="auto"/>
      </w:pPr>
    </w:p>
    <w:p w:rsidR="000A5158" w:rsidP="54A1BFA9" w:rsidRDefault="000A5158" w14:paraId="3FCA2AE2" w14:textId="6B68568B">
      <w:pPr>
        <w:spacing w:before="240" w:after="240" w:line="360" w:lineRule="auto"/>
        <w:rPr>
          <w:rFonts w:ascii="Arial" w:hAnsi="Arial" w:eastAsia="Arial" w:cs="Arial"/>
          <w:sz w:val="36"/>
          <w:szCs w:val="36"/>
        </w:rPr>
      </w:pPr>
    </w:p>
    <w:p w:rsidR="000A5158" w:rsidP="54A1BFA9" w:rsidRDefault="000A5158" w14:paraId="1419EF20" w14:textId="46CD36BE">
      <w:pPr>
        <w:spacing w:before="240" w:after="240" w:line="360" w:lineRule="auto"/>
        <w:rPr>
          <w:rFonts w:ascii="Arial" w:hAnsi="Arial" w:eastAsia="Arial" w:cs="Arial"/>
          <w:sz w:val="36"/>
          <w:szCs w:val="36"/>
        </w:rPr>
      </w:pPr>
    </w:p>
    <w:p w:rsidR="000A5158" w:rsidP="54A1BFA9" w:rsidRDefault="000A5158" w14:paraId="546426E7" w14:textId="6C7074F7">
      <w:pPr>
        <w:rPr>
          <w:sz w:val="36"/>
          <w:szCs w:val="36"/>
        </w:rPr>
      </w:pPr>
    </w:p>
    <w:p w:rsidR="000A5158" w:rsidP="54A1BFA9" w:rsidRDefault="000A5158" w14:paraId="148D25C1" w14:textId="14AA9EFD">
      <w:pPr>
        <w:rPr>
          <w:sz w:val="36"/>
          <w:szCs w:val="36"/>
        </w:rPr>
      </w:pPr>
    </w:p>
    <w:p w:rsidR="000A5158" w:rsidP="54A1BFA9" w:rsidRDefault="000A5158" w14:paraId="097FAA95" w14:textId="25C05D45">
      <w:pPr>
        <w:rPr>
          <w:sz w:val="36"/>
          <w:szCs w:val="36"/>
        </w:rPr>
      </w:pPr>
    </w:p>
    <w:p w:rsidR="000A5158" w:rsidP="54A1BFA9" w:rsidRDefault="000A5158" w14:paraId="666E6C21" w14:textId="0B2ADA49">
      <w:pPr>
        <w:rPr>
          <w:sz w:val="36"/>
          <w:szCs w:val="36"/>
        </w:rPr>
      </w:pPr>
    </w:p>
    <w:p w:rsidR="000A5158" w:rsidP="54A1BFA9" w:rsidRDefault="000A5158" w14:paraId="47BCAD05" w14:textId="342CFC04">
      <w:pPr>
        <w:rPr>
          <w:sz w:val="36"/>
          <w:szCs w:val="36"/>
        </w:rPr>
      </w:pPr>
    </w:p>
    <w:p w:rsidR="000A5158" w:rsidP="54A1BFA9" w:rsidRDefault="000A5158" w14:paraId="683209D1" w14:textId="75334F7E">
      <w:pPr>
        <w:rPr>
          <w:sz w:val="36"/>
          <w:szCs w:val="36"/>
        </w:rPr>
      </w:pPr>
    </w:p>
    <w:p w:rsidR="000A5158" w:rsidP="54A1BFA9" w:rsidRDefault="000A5158" w14:paraId="0A58994A" w14:textId="0896B58E">
      <w:pPr>
        <w:rPr>
          <w:sz w:val="36"/>
          <w:szCs w:val="36"/>
        </w:rPr>
      </w:pPr>
    </w:p>
    <w:p w:rsidR="000A5158" w:rsidP="54A1BFA9" w:rsidRDefault="000A5158" w14:paraId="3E13D3EA" w14:textId="4476484E">
      <w:pPr>
        <w:rPr>
          <w:sz w:val="36"/>
          <w:szCs w:val="36"/>
        </w:rPr>
      </w:pPr>
    </w:p>
    <w:p w:rsidR="000A5158" w:rsidP="54A1BFA9" w:rsidRDefault="000A5158" w14:paraId="2A7A5C29" w14:textId="6170042A">
      <w:pPr>
        <w:rPr>
          <w:sz w:val="36"/>
          <w:szCs w:val="36"/>
        </w:rPr>
      </w:pPr>
    </w:p>
    <w:p w:rsidR="6FB20578" w:rsidP="6FB20578" w:rsidRDefault="6FB20578" w14:paraId="5344F649" w14:textId="5824D936">
      <w:pPr>
        <w:rPr>
          <w:sz w:val="36"/>
          <w:szCs w:val="36"/>
        </w:rPr>
      </w:pPr>
    </w:p>
    <w:p w:rsidR="6FB20578" w:rsidP="6FB20578" w:rsidRDefault="6FB20578" w14:paraId="780A2658" w14:textId="7C3F5F8E">
      <w:pPr>
        <w:rPr>
          <w:sz w:val="36"/>
          <w:szCs w:val="36"/>
        </w:rPr>
      </w:pPr>
    </w:p>
    <w:p w:rsidR="6FB20578" w:rsidP="6FB20578" w:rsidRDefault="6FB20578" w14:paraId="6D5BE56A" w14:textId="37EA0794">
      <w:pPr>
        <w:rPr>
          <w:sz w:val="36"/>
          <w:szCs w:val="36"/>
        </w:rPr>
      </w:pPr>
    </w:p>
    <w:p w:rsidR="6FB20578" w:rsidP="6FB20578" w:rsidRDefault="6FB20578" w14:paraId="478C585E" w14:textId="11161A7D">
      <w:pPr>
        <w:rPr>
          <w:sz w:val="36"/>
          <w:szCs w:val="36"/>
        </w:rPr>
      </w:pPr>
    </w:p>
    <w:p w:rsidR="6FB20578" w:rsidP="6FB20578" w:rsidRDefault="6FB20578" w14:paraId="6B7AF5A0" w14:textId="77562FFB">
      <w:pPr>
        <w:rPr>
          <w:sz w:val="36"/>
          <w:szCs w:val="36"/>
        </w:rPr>
      </w:pPr>
    </w:p>
    <w:p w:rsidR="000A5158" w:rsidP="7DA9FC50" w:rsidRDefault="000A5158" w14:paraId="037C444A" w14:textId="0F20780F">
      <w:pPr>
        <w:rPr>
          <w:sz w:val="36"/>
          <w:szCs w:val="36"/>
        </w:rPr>
      </w:pPr>
    </w:p>
    <w:p w:rsidR="000A5158" w:rsidP="6FB20578" w:rsidRDefault="44FC827F" w14:paraId="65782D98" w14:textId="7F5F6406">
      <w:pPr>
        <w:pStyle w:val="Heading2"/>
        <w:spacing w:line="360" w:lineRule="auto"/>
        <w:rPr>
          <w:rFonts w:ascii="Arial" w:hAnsi="Arial" w:eastAsia="ＭＳ 明朝" w:cs="Arial" w:asciiTheme="minorAscii" w:hAnsiTheme="minorAscii" w:eastAsiaTheme="minorEastAsia" w:cstheme="minorBidi"/>
          <w:sz w:val="28"/>
          <w:szCs w:val="28"/>
        </w:rPr>
      </w:pPr>
      <w:bookmarkStart w:name="_Toc876599730" w:id="2006589882"/>
      <w:bookmarkStart w:name="_Toc736608926" w:id="367646507"/>
      <w:r w:rsidRPr="6FB20578" w:rsidR="5D8A6C41">
        <w:rPr>
          <w:rFonts w:ascii="Arial" w:hAnsi="Arial" w:eastAsia="ＭＳ 明朝" w:cs="Arial" w:asciiTheme="minorAscii" w:hAnsiTheme="minorAscii" w:eastAsiaTheme="minorEastAsia" w:cstheme="minorBidi"/>
          <w:sz w:val="28"/>
          <w:szCs w:val="28"/>
        </w:rPr>
        <w:t>1. Organisational Classification and Global Strategy</w:t>
      </w:r>
      <w:bookmarkEnd w:id="2006589882"/>
      <w:bookmarkEnd w:id="367646507"/>
    </w:p>
    <w:p w:rsidR="000A5158" w:rsidP="6FB20578" w:rsidRDefault="44FC827F" w14:paraId="694A7F0D" w14:textId="2C5D4174">
      <w:pPr>
        <w:pStyle w:val="Heading2"/>
        <w:spacing w:line="360" w:lineRule="auto"/>
        <w:rPr>
          <w:rFonts w:ascii="Arial" w:hAnsi="Arial" w:eastAsia="ＭＳ 明朝" w:cs="Arial" w:asciiTheme="minorAscii" w:hAnsiTheme="minorAscii" w:eastAsiaTheme="minorEastAsia" w:cstheme="minorBidi"/>
          <w:sz w:val="24"/>
          <w:szCs w:val="24"/>
        </w:rPr>
      </w:pPr>
      <w:bookmarkStart w:name="_Toc204868653" w:id="935398865"/>
      <w:bookmarkStart w:name="_Toc990419918" w:id="34171863"/>
      <w:r w:rsidRPr="6FB20578" w:rsidR="5D8A6C41">
        <w:rPr>
          <w:rFonts w:ascii="Arial" w:hAnsi="Arial" w:eastAsia="ＭＳ 明朝" w:cs="Arial" w:asciiTheme="minorAscii" w:hAnsiTheme="minorAscii" w:eastAsiaTheme="minorEastAsia" w:cstheme="minorBidi"/>
          <w:sz w:val="24"/>
          <w:szCs w:val="24"/>
        </w:rPr>
        <w:t>1.1 Strategic Categorisation: IKEA’s International Strategy</w:t>
      </w:r>
      <w:bookmarkEnd w:id="935398865"/>
      <w:bookmarkEnd w:id="34171863"/>
    </w:p>
    <w:p w:rsidR="000A5158" w:rsidP="54A1BFA9" w:rsidRDefault="7F449AD6" w14:paraId="22765733" w14:textId="435AEC3A">
      <w:pPr>
        <w:spacing w:before="240" w:after="240" w:line="360" w:lineRule="auto"/>
      </w:pPr>
      <w:r w:rsidRPr="54A1BFA9">
        <w:rPr>
          <w:rFonts w:ascii="Arial" w:hAnsi="Arial" w:eastAsia="Arial" w:cs="Arial"/>
        </w:rPr>
        <w:t xml:space="preserve">IKEA is a Swedish multinational corporation (MNC) operating within the global home furnishing industry. Founded in 1943, it </w:t>
      </w:r>
      <w:r w:rsidRPr="54A1BFA9" w:rsidR="566E3B77">
        <w:rPr>
          <w:rFonts w:ascii="Arial" w:hAnsi="Arial" w:eastAsia="Arial" w:cs="Arial"/>
        </w:rPr>
        <w:t>developed</w:t>
      </w:r>
      <w:r w:rsidRPr="54A1BFA9">
        <w:rPr>
          <w:rFonts w:ascii="Arial" w:hAnsi="Arial" w:eastAsia="Arial" w:cs="Arial"/>
        </w:rPr>
        <w:t xml:space="preserve"> an international business model based on affordable, functional and well-designed products supported by an integrated global value chain (Inter IKEA Group, 2025). Using Bartlett and Ghoshal's (1989) framework, IKEA can be classified as a transnational corporation because it combines global integration with selective local responsiveness to achieve international competitiveness.</w:t>
      </w:r>
    </w:p>
    <w:p w:rsidR="000A5158" w:rsidP="54A1BFA9" w:rsidRDefault="7F449AD6" w14:paraId="23B31DEB" w14:textId="2641FE3C">
      <w:pPr>
        <w:spacing w:before="240" w:after="240" w:line="360" w:lineRule="auto"/>
      </w:pPr>
      <w:r w:rsidRPr="54A1BFA9">
        <w:rPr>
          <w:rFonts w:ascii="Arial" w:hAnsi="Arial" w:eastAsia="Arial" w:cs="Arial"/>
        </w:rPr>
        <w:t xml:space="preserve">Global integration is reflected in IKEA's centralised product development, global sourcing network and standardised brand concept. Product design is coordinated primarily from Sweden, while </w:t>
      </w:r>
      <w:r w:rsidRPr="54A1BFA9" w:rsidR="5CC3D629">
        <w:rPr>
          <w:rFonts w:ascii="Arial" w:hAnsi="Arial" w:eastAsia="Arial" w:cs="Arial"/>
        </w:rPr>
        <w:t xml:space="preserve">an </w:t>
      </w:r>
      <w:r w:rsidRPr="54A1BFA9">
        <w:rPr>
          <w:rFonts w:ascii="Arial" w:hAnsi="Arial" w:eastAsia="Arial" w:cs="Arial"/>
        </w:rPr>
        <w:t>international supplier network generates economies of scale, cost efficiencies and consistent quality standards (Inter IKEA Group, 2025), supporting its cost leadership strategy (Porter, 1985).</w:t>
      </w:r>
    </w:p>
    <w:p w:rsidR="000A5158" w:rsidP="54A1BFA9" w:rsidRDefault="7F449AD6" w14:paraId="40877B72" w14:textId="19875EFF">
      <w:pPr>
        <w:spacing w:before="240" w:after="240" w:line="360" w:lineRule="auto"/>
      </w:pPr>
      <w:r w:rsidRPr="54A1BFA9">
        <w:rPr>
          <w:rFonts w:ascii="Arial" w:hAnsi="Arial" w:eastAsia="Arial" w:cs="Arial"/>
        </w:rPr>
        <w:t>However, IKEA also adapts elements of its operations to local market conditions. Smaller urban store formats, furniture designed for different housing structures and tailored delivery and assembly services demonstrate selective localisation while preserving its core business model (Inter IKEA Group, 2025). These adaptations reflect the characteristics of a transnational strategy, balancing global efficiency with responsiveness to cultural and market differences.</w:t>
      </w:r>
    </w:p>
    <w:p w:rsidR="000A5158" w:rsidP="7DA9FC50" w:rsidRDefault="7F449AD6" w14:paraId="68616643" w14:textId="4328645F">
      <w:pPr>
        <w:spacing w:before="240" w:after="240" w:line="360" w:lineRule="auto"/>
      </w:pPr>
      <w:r w:rsidRPr="7DA9FC50">
        <w:rPr>
          <w:rFonts w:ascii="Arial" w:hAnsi="Arial" w:eastAsia="Arial" w:cs="Arial"/>
        </w:rPr>
        <w:t>Nevertheless, whether IKEA is fully transnational remains open to debate. Bartlett and Ghoshal (1989) argue that transnational organisations simultaneously achieve global efficiency, local responsiveness and organisational learning, yet Harzing (2000) suggests that balancing these objectives creates strategic tensions. IKEA's highly standardised products, brand identity and supply-chain systems deliver efficiency but may limit responsiveness in institutionally complex emerging markets. Consequently, sustained competitive advantage depends on determining which capabilities should remain globally integrated and which require localisatio</w:t>
      </w:r>
      <w:r w:rsidRPr="7DA9FC50" w:rsidR="1278DB7A">
        <w:rPr>
          <w:rFonts w:ascii="Arial" w:hAnsi="Arial" w:eastAsia="Arial" w:cs="Arial"/>
        </w:rPr>
        <w:t>n.</w:t>
      </w:r>
      <w:r w:rsidRPr="7DA9FC50" w:rsidR="6971E4F9">
        <w:rPr>
          <w:rFonts w:ascii="Arial" w:hAnsi="Arial" w:eastAsia="Arial" w:cs="Arial"/>
        </w:rPr>
        <w:t xml:space="preserve"> </w:t>
      </w:r>
      <w:r w:rsidRPr="7DA9FC50" w:rsidR="5AEC7D06">
        <w:rPr>
          <w:rFonts w:ascii="Arial" w:hAnsi="Arial" w:eastAsia="Arial" w:cs="Arial"/>
        </w:rPr>
        <w:t>I</w:t>
      </w:r>
      <w:r w:rsidRPr="7DA9FC50" w:rsidR="6971E4F9">
        <w:rPr>
          <w:rFonts w:ascii="Arial" w:hAnsi="Arial" w:eastAsia="Arial" w:cs="Arial"/>
        </w:rPr>
        <w:t>n</w:t>
      </w:r>
      <w:r w:rsidRPr="7DA9FC50">
        <w:rPr>
          <w:rFonts w:ascii="Arial" w:hAnsi="Arial" w:eastAsia="Arial" w:cs="Arial"/>
        </w:rPr>
        <w:t xml:space="preserve"> </w:t>
      </w:r>
      <w:r w:rsidRPr="7DA9FC50" w:rsidR="1525192E">
        <w:rPr>
          <w:rFonts w:ascii="Arial" w:hAnsi="Arial" w:eastAsia="Arial" w:cs="Arial"/>
        </w:rPr>
        <w:t>Nigeria, differences</w:t>
      </w:r>
      <w:r w:rsidRPr="7DA9FC50">
        <w:rPr>
          <w:rFonts w:ascii="Arial" w:hAnsi="Arial" w:eastAsia="Arial" w:cs="Arial"/>
        </w:rPr>
        <w:t xml:space="preserve"> in </w:t>
      </w:r>
      <w:r w:rsidRPr="7DA9FC50" w:rsidR="16FD0D54">
        <w:rPr>
          <w:rFonts w:ascii="Arial" w:hAnsi="Arial" w:eastAsia="Arial" w:cs="Arial"/>
        </w:rPr>
        <w:t>income, housing and consumer behaviour may require greater adaptation than in IKEA's traditional European markets. Furthermore, IKEA's continued investment in digital retailing, sustainability, circular economy initiatives and supply-chain resilience demonstrates that its international strategy is dynamic rather than fixed, enabling the company to respond to changing technological, environmental and competitive pressures. Nevertheless, strategic flexibility does not eliminate the challenges of international expansion. Rugman and Verbeke (2004) argue that many multinational corporations are better characterised as regional rather than truly global because their operations remain concentrated within geographic regions. IKEA's stronger presence in Europe, North America and Asia-Pacific, compared with its limited expansion across Africa, supports this argument. This suggests that institutional quality, market readiness and infrastructure continue to influence market selection alongside global integration objectives. Consequently, expansion into Nigeria would require IKEA to move beyond replicating its established business model by balancing global efficiencies with greater localisation in areas such as product design, pricing, sourcing, distribution and customer service to achieve sustainable competitive advantage.</w:t>
      </w:r>
    </w:p>
    <w:p w:rsidR="000A5158" w:rsidP="7DA9FC50" w:rsidRDefault="7F449AD6" w14:paraId="3867BF65" w14:textId="56A3EC9C">
      <w:pPr>
        <w:pStyle w:val="Heading2"/>
        <w:spacing w:line="360" w:lineRule="auto"/>
      </w:pPr>
      <w:bookmarkStart w:name="_Toc97921694" w:id="883479860"/>
      <w:bookmarkStart w:name="_Toc1608334965" w:id="855317670"/>
      <w:r w:rsidR="3A9E2B72">
        <w:rPr/>
        <w:t>1.2 Global Configuration and Competitive Advantage</w:t>
      </w:r>
      <w:bookmarkEnd w:id="883479860"/>
      <w:bookmarkEnd w:id="855317670"/>
    </w:p>
    <w:p w:rsidR="000A5158" w:rsidP="54A1BFA9" w:rsidRDefault="7F449AD6" w14:paraId="14C0B15F" w14:textId="0649FD86">
      <w:pPr>
        <w:spacing w:before="240" w:after="240" w:line="360" w:lineRule="auto"/>
      </w:pPr>
      <w:r w:rsidRPr="54A1BFA9">
        <w:rPr>
          <w:rFonts w:ascii="Arial" w:hAnsi="Arial" w:eastAsia="Arial" w:cs="Arial"/>
        </w:rPr>
        <w:t>IKEA's international footprint reflects a selective expansion strategy focused primarily on developed markets with established retail infrastructure and strong purchasing power. As of 2026, the company operates more than 470 stores and customer touchpoints across over 60 markets through the Inter IKEA Group and Ingka Group franchise system (Inter IKEA Group, 2025).</w:t>
      </w:r>
    </w:p>
    <w:p w:rsidR="000A5158" w:rsidP="54A1BFA9" w:rsidRDefault="1C63F6D4" w14:paraId="06F3AB7E" w14:textId="170890CA">
      <w:pPr>
        <w:spacing w:line="360" w:lineRule="auto"/>
      </w:pPr>
      <w:r w:rsidRPr="54A1BFA9">
        <w:rPr>
          <w:b/>
          <w:bCs/>
        </w:rPr>
        <w:t>Figure 1.</w:t>
      </w:r>
      <w:r w:rsidRPr="54A1BFA9">
        <w:t xml:space="preserve"> IKEA’s Global Geographic Footprint</w:t>
      </w:r>
    </w:p>
    <w:p w:rsidR="000A5158" w:rsidP="54A1BFA9" w:rsidRDefault="1C63F6D4" w14:paraId="5B5C92D3" w14:textId="08CE1B1D">
      <w:pPr>
        <w:spacing w:line="360" w:lineRule="auto"/>
      </w:pPr>
      <w:r>
        <w:rPr>
          <w:noProof/>
        </w:rPr>
        <w:drawing>
          <wp:inline distT="0" distB="0" distL="0" distR="0" wp14:anchorId="586E6C2D" wp14:editId="0A5A9EAC">
            <wp:extent cx="5943600" cy="1976080"/>
            <wp:effectExtent l="0" t="0" r="0" b="0"/>
            <wp:docPr id="3425155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534807" name="Picture 521534807"/>
                    <pic:cNvPicPr/>
                  </pic:nvPicPr>
                  <pic:blipFill>
                    <a:blip r:embed="rId9">
                      <a:extLst>
                        <a:ext uri="{28A0092B-C50C-407E-A947-70E740481C1C}">
                          <a14:useLocalDpi xmlns:a14="http://schemas.microsoft.com/office/drawing/2010/main"/>
                        </a:ext>
                      </a:extLst>
                    </a:blip>
                    <a:stretch>
                      <a:fillRect/>
                    </a:stretch>
                  </pic:blipFill>
                  <pic:spPr>
                    <a:xfrm>
                      <a:off x="0" y="0"/>
                      <a:ext cx="5943600" cy="1976080"/>
                    </a:xfrm>
                    <a:prstGeom prst="rect">
                      <a:avLst/>
                    </a:prstGeom>
                  </pic:spPr>
                </pic:pic>
              </a:graphicData>
            </a:graphic>
          </wp:inline>
        </w:drawing>
      </w:r>
      <w:r w:rsidRPr="54A1BFA9">
        <w:rPr>
          <w:rFonts w:ascii="Arial" w:hAnsi="Arial" w:eastAsia="Arial" w:cs="Arial"/>
        </w:rPr>
        <w:t>Inter IKEA Group (2025); (Brilliant Maps, (2024).</w:t>
      </w:r>
    </w:p>
    <w:p w:rsidR="000A5158" w:rsidP="54A1BFA9" w:rsidRDefault="7F449AD6" w14:paraId="459CF241" w14:textId="0BCB53BE">
      <w:pPr>
        <w:spacing w:before="240" w:after="240" w:line="360" w:lineRule="auto"/>
      </w:pPr>
      <w:r w:rsidRPr="6FB20578" w:rsidR="3A9E2B72">
        <w:rPr>
          <w:rFonts w:ascii="Arial" w:hAnsi="Arial" w:eastAsia="Arial" w:cs="Arial"/>
        </w:rPr>
        <w:t>Although IKEA has expanded into selected African markets, it does not currently operate a significant full-scale retail presence in Nigeria. This suggests that while its business model has transferred successfully across many markets, expansion into institutionally complex economies requires greater strategic adaptation.</w:t>
      </w:r>
    </w:p>
    <w:p w:rsidR="11466211" w:rsidP="6FB20578" w:rsidRDefault="11466211" w14:paraId="61E53380" w14:textId="78C60AFD">
      <w:pPr>
        <w:spacing w:before="240" w:after="240" w:line="360" w:lineRule="auto"/>
      </w:pPr>
      <w:r w:rsidRPr="6FB20578" w:rsidR="11466211">
        <w:rPr>
          <w:rFonts w:ascii="Arial" w:hAnsi="Arial" w:eastAsia="Arial" w:cs="Arial"/>
        </w:rPr>
        <w:t xml:space="preserve">IKEA’s competitive advantage is supported by its integrated global value chain, supplier relationships, efficient </w:t>
      </w:r>
      <w:r w:rsidRPr="6FB20578" w:rsidR="11466211">
        <w:rPr>
          <w:rFonts w:ascii="Arial" w:hAnsi="Arial" w:eastAsia="Arial" w:cs="Arial"/>
        </w:rPr>
        <w:t>logistics</w:t>
      </w:r>
      <w:r w:rsidRPr="6FB20578" w:rsidR="11466211">
        <w:rPr>
          <w:rFonts w:ascii="Arial" w:hAnsi="Arial" w:eastAsia="Arial" w:cs="Arial"/>
        </w:rPr>
        <w:t xml:space="preserve"> and strong brand reputation, </w:t>
      </w:r>
      <w:r w:rsidRPr="6FB20578" w:rsidR="11466211">
        <w:rPr>
          <w:rFonts w:ascii="Arial" w:hAnsi="Arial" w:eastAsia="Arial" w:cs="Arial"/>
        </w:rPr>
        <w:t>representing</w:t>
      </w:r>
      <w:r w:rsidRPr="6FB20578" w:rsidR="11466211">
        <w:rPr>
          <w:rFonts w:ascii="Arial" w:hAnsi="Arial" w:eastAsia="Arial" w:cs="Arial"/>
        </w:rPr>
        <w:t xml:space="preserve"> valuable </w:t>
      </w:r>
      <w:r w:rsidRPr="6FB20578" w:rsidR="11466211">
        <w:rPr>
          <w:rFonts w:ascii="Arial" w:hAnsi="Arial" w:eastAsia="Arial" w:cs="Arial"/>
        </w:rPr>
        <w:t>organisational</w:t>
      </w:r>
      <w:r w:rsidRPr="6FB20578" w:rsidR="11466211">
        <w:rPr>
          <w:rFonts w:ascii="Arial" w:hAnsi="Arial" w:eastAsia="Arial" w:cs="Arial"/>
        </w:rPr>
        <w:t xml:space="preserve"> resources consistent with the Resource-Based View (Barney, 1991). Sustainability initiatives, including responsible sourcing, renewable energy </w:t>
      </w:r>
      <w:r w:rsidRPr="6FB20578" w:rsidR="11466211">
        <w:rPr>
          <w:rFonts w:ascii="Arial" w:hAnsi="Arial" w:eastAsia="Arial" w:cs="Arial"/>
        </w:rPr>
        <w:t>investment</w:t>
      </w:r>
      <w:r w:rsidRPr="6FB20578" w:rsidR="11466211">
        <w:rPr>
          <w:rFonts w:ascii="Arial" w:hAnsi="Arial" w:eastAsia="Arial" w:cs="Arial"/>
        </w:rPr>
        <w:t xml:space="preserve"> and circular economy practices, further strengthen </w:t>
      </w:r>
      <w:r w:rsidRPr="6FB20578" w:rsidR="11466211">
        <w:rPr>
          <w:rFonts w:ascii="Arial" w:hAnsi="Arial" w:eastAsia="Arial" w:cs="Arial"/>
        </w:rPr>
        <w:t>organisational</w:t>
      </w:r>
      <w:r w:rsidRPr="6FB20578" w:rsidR="11466211">
        <w:rPr>
          <w:rFonts w:ascii="Arial" w:hAnsi="Arial" w:eastAsia="Arial" w:cs="Arial"/>
        </w:rPr>
        <w:t xml:space="preserve"> resilience and stakeholder trust. However, these advantages are not permanent. Sustained competitive advantage requires resources to remain valuable, rare, difficult to imitate and effectively embedded within the </w:t>
      </w:r>
      <w:r w:rsidRPr="6FB20578" w:rsidR="11466211">
        <w:rPr>
          <w:rFonts w:ascii="Arial" w:hAnsi="Arial" w:eastAsia="Arial" w:cs="Arial"/>
        </w:rPr>
        <w:t>organisation</w:t>
      </w:r>
      <w:r w:rsidRPr="6FB20578" w:rsidR="11466211">
        <w:rPr>
          <w:rFonts w:ascii="Arial" w:hAnsi="Arial" w:eastAsia="Arial" w:cs="Arial"/>
        </w:rPr>
        <w:t xml:space="preserve"> (Barney, 1991). Increasing competition from digital retailers, online marketplaces and low-cost manufacturers requires IKEA to continuously develop its capabilities rather than rely solely on historical strengths. Furthermore, international marketing strategies must </w:t>
      </w:r>
      <w:r w:rsidRPr="6FB20578" w:rsidR="11466211">
        <w:rPr>
          <w:rFonts w:ascii="Arial" w:hAnsi="Arial" w:eastAsia="Arial" w:cs="Arial"/>
        </w:rPr>
        <w:t>recognise</w:t>
      </w:r>
      <w:r w:rsidRPr="6FB20578" w:rsidR="11466211">
        <w:rPr>
          <w:rFonts w:ascii="Arial" w:hAnsi="Arial" w:eastAsia="Arial" w:cs="Arial"/>
        </w:rPr>
        <w:t xml:space="preserve"> that consumer needs and </w:t>
      </w:r>
      <w:r w:rsidRPr="6FB20578" w:rsidR="11466211">
        <w:rPr>
          <w:rFonts w:ascii="Arial" w:hAnsi="Arial" w:eastAsia="Arial" w:cs="Arial"/>
        </w:rPr>
        <w:t>purchasing</w:t>
      </w:r>
      <w:r w:rsidRPr="6FB20578" w:rsidR="11466211">
        <w:rPr>
          <w:rFonts w:ascii="Arial" w:hAnsi="Arial" w:eastAsia="Arial" w:cs="Arial"/>
        </w:rPr>
        <w:t xml:space="preserve"> </w:t>
      </w:r>
      <w:r w:rsidRPr="6FB20578" w:rsidR="11466211">
        <w:rPr>
          <w:rFonts w:ascii="Arial" w:hAnsi="Arial" w:eastAsia="Arial" w:cs="Arial"/>
        </w:rPr>
        <w:t>behaviour</w:t>
      </w:r>
      <w:r w:rsidRPr="6FB20578" w:rsidR="11466211">
        <w:rPr>
          <w:rFonts w:ascii="Arial" w:hAnsi="Arial" w:eastAsia="Arial" w:cs="Arial"/>
        </w:rPr>
        <w:t xml:space="preserve"> vary across markets, requiring adaptation to local conditions (Mathur, 2008). This is particularly relevant in Nigeria, where affordability and market acceptance may depend more on local sourcing, efficient </w:t>
      </w:r>
      <w:r w:rsidRPr="6FB20578" w:rsidR="11466211">
        <w:rPr>
          <w:rFonts w:ascii="Arial" w:hAnsi="Arial" w:eastAsia="Arial" w:cs="Arial"/>
        </w:rPr>
        <w:t>distribution</w:t>
      </w:r>
      <w:r w:rsidRPr="6FB20578" w:rsidR="11466211">
        <w:rPr>
          <w:rFonts w:ascii="Arial" w:hAnsi="Arial" w:eastAsia="Arial" w:cs="Arial"/>
        </w:rPr>
        <w:t xml:space="preserve"> and consumer adaptation than on global brand recognition alone. Therefore, IKEA must balance its global capabilities with local responsiveness, as competitive advantages may not transfer automatically across emerging markets (Rugman and Verbeke, 2004; Prahalad, 2006). Supply-chain disruption, geopolitical uncertainty, </w:t>
      </w:r>
      <w:r w:rsidRPr="6FB20578" w:rsidR="11466211">
        <w:rPr>
          <w:rFonts w:ascii="Arial" w:hAnsi="Arial" w:eastAsia="Arial" w:cs="Arial"/>
        </w:rPr>
        <w:t>inflation</w:t>
      </w:r>
      <w:r w:rsidRPr="6FB20578" w:rsidR="11466211">
        <w:rPr>
          <w:rFonts w:ascii="Arial" w:hAnsi="Arial" w:eastAsia="Arial" w:cs="Arial"/>
        </w:rPr>
        <w:t xml:space="preserve"> and currency volatility further reinforce the need for strategic flexibility to achieve sustainable international growth.</w:t>
      </w:r>
    </w:p>
    <w:p w:rsidR="000A5158" w:rsidP="6FB20578" w:rsidRDefault="20E7957A" w14:paraId="16FB8D72" w14:textId="71D387A0">
      <w:pPr>
        <w:pStyle w:val="Heading2"/>
        <w:spacing w:line="360" w:lineRule="auto"/>
        <w:rPr>
          <w:rFonts w:ascii="Arial" w:hAnsi="Arial" w:eastAsia="ＭＳ 明朝" w:cs="Arial" w:asciiTheme="minorAscii" w:hAnsiTheme="minorAscii" w:eastAsiaTheme="minorEastAsia" w:cstheme="minorBidi"/>
          <w:sz w:val="28"/>
          <w:szCs w:val="28"/>
        </w:rPr>
      </w:pPr>
      <w:bookmarkStart w:name="_Toc1566153196" w:id="311892790"/>
      <w:bookmarkStart w:name="_Toc239619446" w:id="673065610"/>
      <w:r w:rsidRPr="6FB20578" w:rsidR="0A47BB13">
        <w:rPr>
          <w:rFonts w:ascii="Arial" w:hAnsi="Arial" w:eastAsia="ＭＳ 明朝" w:cs="Arial" w:asciiTheme="minorAscii" w:hAnsiTheme="minorAscii" w:eastAsiaTheme="minorEastAsia" w:cstheme="minorBidi"/>
          <w:sz w:val="28"/>
          <w:szCs w:val="28"/>
        </w:rPr>
        <w:t>2. Macro-Environmental Appraisal and Market Attractiveness</w:t>
      </w:r>
      <w:bookmarkEnd w:id="311892790"/>
      <w:bookmarkEnd w:id="673065610"/>
    </w:p>
    <w:p w:rsidR="000A5158" w:rsidP="7DA9FC50" w:rsidRDefault="20E7957A" w14:paraId="2D9CB48F" w14:textId="4D69FE59">
      <w:pPr>
        <w:spacing w:line="360" w:lineRule="auto"/>
        <w:rPr>
          <w:rFonts w:ascii="Arial" w:hAnsi="Arial" w:eastAsia="Arial" w:cs="Arial"/>
          <w:b/>
          <w:bCs/>
        </w:rPr>
      </w:pPr>
      <w:r w:rsidRPr="6FB20578" w:rsidR="0A47BB13">
        <w:rPr>
          <w:b w:val="1"/>
          <w:bCs w:val="1"/>
        </w:rPr>
        <w:t>2.1 Introduction</w:t>
      </w:r>
    </w:p>
    <w:p w:rsidR="0E4FA113" w:rsidP="6FB20578" w:rsidRDefault="0E4FA113" w14:paraId="7223EC78" w14:textId="6658D7A3">
      <w:pPr>
        <w:spacing w:before="240" w:after="240" w:line="360" w:lineRule="auto"/>
      </w:pPr>
      <w:r w:rsidRPr="6FB20578" w:rsidR="0E4FA113">
        <w:rPr>
          <w:rFonts w:ascii="Arial" w:hAnsi="Arial" w:eastAsia="Arial" w:cs="Arial"/>
        </w:rPr>
        <w:t xml:space="preserve">International expansion requires multinational corporations (MNCs) to assess whether a host-country environment can support long-term strategic </w:t>
      </w:r>
      <w:r w:rsidRPr="6FB20578" w:rsidR="0E4FA113">
        <w:rPr>
          <w:rFonts w:ascii="Arial" w:hAnsi="Arial" w:eastAsia="Arial" w:cs="Arial"/>
        </w:rPr>
        <w:t>objectives</w:t>
      </w:r>
      <w:r w:rsidRPr="6FB20578" w:rsidR="0E4FA113">
        <w:rPr>
          <w:rFonts w:ascii="Arial" w:hAnsi="Arial" w:eastAsia="Arial" w:cs="Arial"/>
        </w:rPr>
        <w:t xml:space="preserve">, competitive </w:t>
      </w:r>
      <w:r w:rsidRPr="6FB20578" w:rsidR="0E4FA113">
        <w:rPr>
          <w:rFonts w:ascii="Arial" w:hAnsi="Arial" w:eastAsia="Arial" w:cs="Arial"/>
        </w:rPr>
        <w:t>advantage</w:t>
      </w:r>
      <w:r w:rsidRPr="6FB20578" w:rsidR="0E4FA113">
        <w:rPr>
          <w:rFonts w:ascii="Arial" w:hAnsi="Arial" w:eastAsia="Arial" w:cs="Arial"/>
        </w:rPr>
        <w:t xml:space="preserve"> and sustainable value creation. Emerging markets offer opportunities through demographic growth, </w:t>
      </w:r>
      <w:r w:rsidRPr="6FB20578" w:rsidR="0E4FA113">
        <w:rPr>
          <w:rFonts w:ascii="Arial" w:hAnsi="Arial" w:eastAsia="Arial" w:cs="Arial"/>
        </w:rPr>
        <w:t>urbanisation</w:t>
      </w:r>
      <w:r w:rsidRPr="6FB20578" w:rsidR="0E4FA113">
        <w:rPr>
          <w:rFonts w:ascii="Arial" w:hAnsi="Arial" w:eastAsia="Arial" w:cs="Arial"/>
        </w:rPr>
        <w:t xml:space="preserve"> and rising consumer demand, but also expose firms to institutional uncertainty, operational </w:t>
      </w:r>
      <w:r w:rsidRPr="6FB20578" w:rsidR="0E4FA113">
        <w:rPr>
          <w:rFonts w:ascii="Arial" w:hAnsi="Arial" w:eastAsia="Arial" w:cs="Arial"/>
        </w:rPr>
        <w:t>complexity</w:t>
      </w:r>
      <w:r w:rsidRPr="6FB20578" w:rsidR="0E4FA113">
        <w:rPr>
          <w:rFonts w:ascii="Arial" w:hAnsi="Arial" w:eastAsia="Arial" w:cs="Arial"/>
        </w:rPr>
        <w:t xml:space="preserve"> and investment risk (Daniels et al., 2022; Hill, 2023). Consequently, effective foreign direct investment (FDI) requires systematic evaluation of political, economic, social, technological, </w:t>
      </w:r>
      <w:r w:rsidRPr="6FB20578" w:rsidR="0E4FA113">
        <w:rPr>
          <w:rFonts w:ascii="Arial" w:hAnsi="Arial" w:eastAsia="Arial" w:cs="Arial"/>
        </w:rPr>
        <w:t>environmental</w:t>
      </w:r>
      <w:r w:rsidRPr="6FB20578" w:rsidR="0E4FA113">
        <w:rPr>
          <w:rFonts w:ascii="Arial" w:hAnsi="Arial" w:eastAsia="Arial" w:cs="Arial"/>
        </w:rPr>
        <w:t xml:space="preserve"> and legal factors, as changes in the external environment can significantly influence strategic opportunities and risks (Makos, 2022). Therefore, market attractiveness should be assessed by balancing growth potential against institutional and environmental constraints rather than relying solely on market size.</w:t>
      </w:r>
    </w:p>
    <w:p w:rsidR="000A5158" w:rsidP="54A1BFA9" w:rsidRDefault="043966CF" w14:paraId="30D1255D" w14:textId="03E902DB">
      <w:pPr>
        <w:spacing w:before="240" w:after="240" w:line="360" w:lineRule="auto"/>
      </w:pPr>
      <w:r w:rsidRPr="54A1BFA9">
        <w:rPr>
          <w:rFonts w:ascii="Arial" w:hAnsi="Arial" w:eastAsia="Arial" w:cs="Arial"/>
        </w:rPr>
        <w:t>For IKEA, Nigeria represents a strategically attractive yet institutionally challenging market. Its large population, rapid urbanisation and growing demand for affordable housing align closely with IKEA's value proposition of providing functional, well-designed and affordable home furnishings. However, political uncertainty, infrastructure deficiencies, currency volatility, regulatory complexity and differences in consumer behaviour may constrain the direct transfer of IKEA's established business model. Therefore, this section critically evaluates the political, economic, legal and cultural environments most relevant to IKEA's retail strategy, rather than presenting a descriptive PESTEL overview. The findings are subsequently synthesised using Dunning's (1988) Eclectic Paradigm (OLI) to assess Nigeria's suitability for IKEA's international expansion.</w:t>
      </w:r>
    </w:p>
    <w:p w:rsidR="000A5158" w:rsidP="54A1BFA9" w:rsidRDefault="043966CF" w14:paraId="59E06941" w14:textId="313E3539">
      <w:pPr>
        <w:spacing w:line="360" w:lineRule="auto"/>
        <w:rPr>
          <w:b/>
          <w:bCs/>
        </w:rPr>
      </w:pPr>
      <w:r w:rsidRPr="54A1BFA9">
        <w:rPr>
          <w:b/>
          <w:bCs/>
        </w:rPr>
        <w:t>2.2 Host Country Analysis</w:t>
      </w:r>
    </w:p>
    <w:p w:rsidR="000A5158" w:rsidP="54A1BFA9" w:rsidRDefault="043966CF" w14:paraId="01404896" w14:textId="78040BBC">
      <w:pPr>
        <w:spacing w:before="240" w:after="240" w:line="360" w:lineRule="auto"/>
      </w:pPr>
      <w:r w:rsidRPr="54A1BFA9">
        <w:rPr>
          <w:rFonts w:ascii="Arial" w:hAnsi="Arial" w:eastAsia="Arial" w:cs="Arial"/>
        </w:rPr>
        <w:t>This section critically evaluates the external environmental factors most likely to influence the success of IKEA's market entry into Nigeria.</w:t>
      </w:r>
    </w:p>
    <w:p w:rsidR="000A5158" w:rsidP="54A1BFA9" w:rsidRDefault="043966CF" w14:paraId="03D184D1" w14:textId="2FCBF620">
      <w:pPr>
        <w:spacing w:line="360" w:lineRule="auto"/>
      </w:pPr>
      <w:r w:rsidRPr="54A1BFA9">
        <w:t>2.2.1 Political Environment</w:t>
      </w:r>
    </w:p>
    <w:p w:rsidR="000A5158" w:rsidP="54A1BFA9" w:rsidRDefault="043966CF" w14:paraId="3A38DD70" w14:textId="309798AC">
      <w:pPr>
        <w:spacing w:before="240" w:after="240" w:line="360" w:lineRule="auto"/>
      </w:pPr>
      <w:r w:rsidRPr="54A1BFA9">
        <w:rPr>
          <w:rFonts w:ascii="Arial" w:hAnsi="Arial" w:eastAsia="Arial" w:cs="Arial"/>
        </w:rPr>
        <w:t>The political environment is a key determinant of foreign direct investment because government effectiveness, institutional stability and regulatory quality influence investment risk and operational performance (Daniels et al., 2022). Nigeria has maintained democratic governance since 1999, while government initiatives promoting foreign investment, infrastructure development and economic diversification have improved its attractiveness to multinational enterprises (World Bank, 2025).</w:t>
      </w:r>
    </w:p>
    <w:p w:rsidR="000A5158" w:rsidP="54A1BFA9" w:rsidRDefault="043966CF" w14:paraId="7A5F1B0A" w14:textId="03D42286">
      <w:pPr>
        <w:spacing w:before="240" w:after="240" w:line="360" w:lineRule="auto"/>
      </w:pPr>
      <w:r w:rsidRPr="54A1BFA9">
        <w:rPr>
          <w:rFonts w:ascii="Arial" w:hAnsi="Arial" w:eastAsia="Arial" w:cs="Arial"/>
        </w:rPr>
        <w:t>However, political continuity has not eliminated institutional weaknesses. Bureaucratic inefficiency, corruption, regulatory inconsistency and uneven policy implementation continue to increase business uncertainty. Transparency International (2024) identifies governance and public-sector transparency as persistent challenges that may delay licensing, customs clearance and regulatory approvals.</w:t>
      </w:r>
    </w:p>
    <w:p w:rsidR="000A5158" w:rsidP="54A1BFA9" w:rsidRDefault="043966CF" w14:paraId="1E533BF9" w14:textId="365AD2FB">
      <w:pPr>
        <w:spacing w:before="240" w:after="240" w:line="360" w:lineRule="auto"/>
      </w:pPr>
      <w:r w:rsidRPr="54A1BFA9">
        <w:rPr>
          <w:rFonts w:ascii="Arial" w:hAnsi="Arial" w:eastAsia="Arial" w:cs="Arial"/>
        </w:rPr>
        <w:t>These institutional constraints have direct implications for IKEA's retail strategy. The company's competitive advantage relies on efficient logistics, predictable regulation and cost leadership. Administrative delays or inconsistent enforcement of regulations could increase operating costs, reduce supply-chain efficiency and weaken IKEA's ability to maintain affordable pricing. Security concerns further increase operational risk by influencing store location decisions, distribution efficiency and employee safety. Consequently, while Nigeria presents attractive long-term investment opportunities, IKEA would require robust risk management, careful site selection and strong stakeholder engagement before committing significant capital investment.</w:t>
      </w:r>
    </w:p>
    <w:p w:rsidR="000A5158" w:rsidP="54A1BFA9" w:rsidRDefault="043966CF" w14:paraId="237D8B11" w14:textId="1A22BAA3">
      <w:pPr>
        <w:spacing w:before="240" w:after="240" w:line="360" w:lineRule="auto"/>
      </w:pPr>
      <w:r w:rsidRPr="54A1BFA9">
        <w:rPr>
          <w:rFonts w:ascii="Arial" w:hAnsi="Arial" w:eastAsia="Arial" w:cs="Arial"/>
        </w:rPr>
        <w:t>From an institutional theory perspective, these challenges extend beyond formal regulation. North (1990) argues that institutions comprise both formal rules and informal norms that shape economic behaviour and business performance. Consequently, IKEA's success would depend not only on regulatory compliance but also on developing relationships with local stakeholders who understand Nigeria's institutional environment. This suggests that local partnerships are not simply an operational choice but a strategic capability that could reduce uncertainty, improve legitimacy and facilitate market entry.</w:t>
      </w:r>
    </w:p>
    <w:p w:rsidR="000A5158" w:rsidP="54A1BFA9" w:rsidRDefault="043966CF" w14:paraId="7C80BF7B" w14:textId="77F009AF">
      <w:pPr>
        <w:spacing w:line="360" w:lineRule="auto"/>
        <w:rPr>
          <w:b/>
          <w:bCs/>
        </w:rPr>
      </w:pPr>
      <w:r w:rsidRPr="54A1BFA9">
        <w:rPr>
          <w:b/>
          <w:bCs/>
        </w:rPr>
        <w:t>2.2.2 Economic Environment</w:t>
      </w:r>
    </w:p>
    <w:p w:rsidR="000A5158" w:rsidP="54A1BFA9" w:rsidRDefault="043966CF" w14:paraId="0FD765C6" w14:textId="07B47B91">
      <w:pPr>
        <w:spacing w:before="240" w:after="240" w:line="360" w:lineRule="auto"/>
      </w:pPr>
      <w:r w:rsidRPr="54A1BFA9">
        <w:rPr>
          <w:rFonts w:ascii="Arial" w:hAnsi="Arial" w:eastAsia="Arial" w:cs="Arial"/>
        </w:rPr>
        <w:t>Nigeria's economic attractiveness is driven by its demographic scale, urbanisation and long-term consumer growth potential. With a population exceeding 230 million, Nigeria represents Africa's largest consumer market and one of the fastest-growing populations globally (World Bank, 2025). Rapid urbanisation in Lagos, Abuja and Port Harcourt is increasing demand for housing, household products and modern lifestyle solutions, creating strategic alignment with IKEA's affordable furniture proposition.</w:t>
      </w:r>
    </w:p>
    <w:p w:rsidR="000A5158" w:rsidP="54A1BFA9" w:rsidRDefault="043966CF" w14:paraId="22305BC9" w14:textId="47EE25DC">
      <w:pPr>
        <w:spacing w:before="240" w:after="240" w:line="360" w:lineRule="auto"/>
      </w:pPr>
      <w:r w:rsidRPr="54A1BFA9">
        <w:rPr>
          <w:rFonts w:ascii="Arial" w:hAnsi="Arial" w:eastAsia="Arial" w:cs="Arial"/>
        </w:rPr>
        <w:t>From an international business perspective, expanding consumer markets provide opportunities for economies of scale and long-term growth (Wild and Wild, 2023). Nigeria's growing urban middle class therefore offers considerable potential for IKEA to introduce affordable home furnishing solutions.</w:t>
      </w:r>
    </w:p>
    <w:p w:rsidR="000A5158" w:rsidP="54A1BFA9" w:rsidRDefault="043966CF" w14:paraId="41452874" w14:textId="10C32B99">
      <w:pPr>
        <w:spacing w:before="240" w:after="240" w:line="360" w:lineRule="auto"/>
      </w:pPr>
      <w:r w:rsidRPr="0D3547E8">
        <w:rPr>
          <w:rFonts w:ascii="Arial" w:hAnsi="Arial" w:eastAsia="Arial" w:cs="Arial"/>
        </w:rPr>
        <w:t xml:space="preserve">Despite these opportunities, economic volatility presents significant challenges. High inflation, exchange-rate </w:t>
      </w:r>
      <w:bookmarkStart w:name="_Int_buwi64F3" w:id="7"/>
      <w:r w:rsidRPr="0D3547E8">
        <w:rPr>
          <w:rFonts w:ascii="Arial" w:hAnsi="Arial" w:eastAsia="Arial" w:cs="Arial"/>
        </w:rPr>
        <w:t>fluctuations</w:t>
      </w:r>
      <w:bookmarkEnd w:id="7"/>
      <w:r w:rsidRPr="0D3547E8">
        <w:rPr>
          <w:rFonts w:ascii="Arial" w:hAnsi="Arial" w:eastAsia="Arial" w:cs="Arial"/>
        </w:rPr>
        <w:t xml:space="preserve"> and currency depreciation increase import costs while reducing consumer purchasing power. Because IKEA depends on global sourcing and efficient logistics, prolonged currency instability may undermine its cost leadership strategy. Income inequality also limits affordability across large segments of the population, suggesting that IKEA may need to adapt its product portfolio through smaller furniture ranges, lower-cost products and solutions designed for local housing conditions. Infrastructure constraints, including unreliable electricity, poor transport networks and port congestion, further increase logistics costs and reduce operational efficiency.</w:t>
      </w:r>
    </w:p>
    <w:p w:rsidR="000A5158" w:rsidP="54A1BFA9" w:rsidRDefault="043966CF" w14:paraId="5EEDEC54" w14:textId="240282E3">
      <w:pPr>
        <w:spacing w:before="240" w:after="240" w:line="360" w:lineRule="auto"/>
      </w:pPr>
      <w:r w:rsidRPr="0D3547E8">
        <w:rPr>
          <w:rFonts w:ascii="Arial" w:hAnsi="Arial" w:eastAsia="Arial" w:cs="Arial"/>
        </w:rPr>
        <w:t xml:space="preserve">A critical consideration is whether </w:t>
      </w:r>
      <w:bookmarkStart w:name="_Int_M1YZTrxg" w:id="8"/>
      <w:r w:rsidRPr="0D3547E8">
        <w:rPr>
          <w:rFonts w:ascii="Arial" w:hAnsi="Arial" w:eastAsia="Arial" w:cs="Arial"/>
        </w:rPr>
        <w:t>demographic</w:t>
      </w:r>
      <w:bookmarkEnd w:id="8"/>
      <w:r w:rsidRPr="0D3547E8">
        <w:rPr>
          <w:rFonts w:ascii="Arial" w:hAnsi="Arial" w:eastAsia="Arial" w:cs="Arial"/>
        </w:rPr>
        <w:t xml:space="preserve"> scale alone justifies investment. Although emerging markets appear attractive because of population growth, market potential depends on effective demand rather than population size alone. A large population does not necessarily translate into sufficient purchasing power for IKEA's target consumers. Therefore, IKEA must evaluate income distribution, urban consumption </w:t>
      </w:r>
      <w:bookmarkStart w:name="_Int_9flokG7F" w:id="9"/>
      <w:r w:rsidRPr="0D3547E8">
        <w:rPr>
          <w:rFonts w:ascii="Arial" w:hAnsi="Arial" w:eastAsia="Arial" w:cs="Arial"/>
        </w:rPr>
        <w:t>patterns</w:t>
      </w:r>
      <w:bookmarkEnd w:id="9"/>
      <w:r w:rsidRPr="0D3547E8">
        <w:rPr>
          <w:rFonts w:ascii="Arial" w:hAnsi="Arial" w:eastAsia="Arial" w:cs="Arial"/>
        </w:rPr>
        <w:t xml:space="preserve"> and willingness to purchase flat-pack furniture before committing substantial investment.</w:t>
      </w:r>
    </w:p>
    <w:p w:rsidR="000A5158" w:rsidP="54A1BFA9" w:rsidRDefault="043966CF" w14:paraId="69CD3BCC" w14:textId="08C82695">
      <w:pPr>
        <w:spacing w:before="240" w:after="240" w:line="360" w:lineRule="auto"/>
      </w:pPr>
      <w:r w:rsidRPr="0D3547E8">
        <w:rPr>
          <w:rFonts w:ascii="Arial" w:hAnsi="Arial" w:eastAsia="Arial" w:cs="Arial"/>
        </w:rPr>
        <w:t xml:space="preserve">Furthermore, Nigeria's economic volatility creates tension with IKEA's low-cost positioning. While IKEA benefits from global purchasing economies, imported products may become less affordable during periods of currency depreciation. This reinforces the strategic importance of developing local supplier relationships, adapting product </w:t>
      </w:r>
      <w:bookmarkStart w:name="_Int_EA8aSL8b" w:id="10"/>
      <w:r w:rsidRPr="0D3547E8">
        <w:rPr>
          <w:rFonts w:ascii="Arial" w:hAnsi="Arial" w:eastAsia="Arial" w:cs="Arial"/>
        </w:rPr>
        <w:t>ranges</w:t>
      </w:r>
      <w:bookmarkEnd w:id="10"/>
      <w:r w:rsidRPr="0D3547E8">
        <w:rPr>
          <w:rFonts w:ascii="Arial" w:hAnsi="Arial" w:eastAsia="Arial" w:cs="Arial"/>
        </w:rPr>
        <w:t xml:space="preserve"> and progressively increasing local sourcing to maintain affordability and long-term competitiveness.</w:t>
      </w:r>
    </w:p>
    <w:p w:rsidR="000A5158" w:rsidP="54A1BFA9" w:rsidRDefault="5661A34D" w14:paraId="73E21E2A" w14:textId="6BE5AB98">
      <w:pPr>
        <w:spacing w:before="240" w:after="240" w:line="360" w:lineRule="auto"/>
      </w:pPr>
      <w:r w:rsidRPr="54A1BFA9">
        <w:rPr>
          <w:rFonts w:ascii="Arial" w:hAnsi="Arial" w:eastAsia="Arial" w:cs="Arial"/>
        </w:rPr>
        <w:t>Appendix A</w:t>
      </w:r>
      <w:r w:rsidRPr="54A1BFA9" w:rsidR="043966CF">
        <w:rPr>
          <w:rFonts w:ascii="Arial" w:hAnsi="Arial" w:eastAsia="Arial" w:cs="Arial"/>
        </w:rPr>
        <w:t xml:space="preserve"> (</w:t>
      </w:r>
      <w:r w:rsidRPr="54A1BFA9" w:rsidR="7D1DB836">
        <w:rPr>
          <w:rFonts w:ascii="Arial" w:hAnsi="Arial" w:eastAsia="Arial" w:cs="Arial"/>
        </w:rPr>
        <w:t>Table 1</w:t>
      </w:r>
      <w:r w:rsidRPr="54A1BFA9" w:rsidR="043966CF">
        <w:rPr>
          <w:rFonts w:ascii="Arial" w:hAnsi="Arial" w:eastAsia="Arial" w:cs="Arial"/>
        </w:rPr>
        <w:t>) summarises Nigeria's broader PESTEL environment and overall market attractiveness. Overall, demographic growth and urbanisation create substantial opportunities, but political uncertainty, infrastructure limitations and economic volatility support a phased and locally adapted market-entry strategy.</w:t>
      </w:r>
    </w:p>
    <w:p w:rsidR="000A5158" w:rsidP="54A1BFA9" w:rsidRDefault="043966CF" w14:paraId="2BF69D4C" w14:textId="47237550">
      <w:pPr>
        <w:spacing w:line="360" w:lineRule="auto"/>
        <w:rPr>
          <w:b/>
          <w:bCs/>
        </w:rPr>
      </w:pPr>
      <w:r w:rsidRPr="54A1BFA9">
        <w:rPr>
          <w:b/>
          <w:bCs/>
        </w:rPr>
        <w:t>2.2.3 Legal and Regulatory Environment</w:t>
      </w:r>
    </w:p>
    <w:p w:rsidR="000A5158" w:rsidP="7DA9FC50" w:rsidRDefault="043966CF" w14:paraId="18A3C696" w14:textId="7F6C1961">
      <w:pPr>
        <w:spacing w:before="240" w:after="240" w:line="360" w:lineRule="auto"/>
      </w:pPr>
      <w:r w:rsidRPr="7DA9FC50">
        <w:rPr>
          <w:rFonts w:ascii="Arial" w:hAnsi="Arial" w:eastAsia="Arial" w:cs="Arial"/>
        </w:rPr>
        <w:t>The legal and regulatory environment plays a critical role in determining the success of foreign investment because multinational firms require predictable regulations, effective contract enforcement and intellectual property protection (Collinson et al., 2020). Nigeria has introduced reforms to improve its investment climate and encourage foreign participation across several industries</w:t>
      </w:r>
      <w:r w:rsidRPr="7DA9FC50" w:rsidR="48B5C0AB">
        <w:rPr>
          <w:rFonts w:ascii="Arial" w:hAnsi="Arial" w:eastAsia="Arial" w:cs="Arial"/>
        </w:rPr>
        <w:t xml:space="preserve"> (Adejugbe, 2013)</w:t>
      </w:r>
      <w:r w:rsidRPr="7DA9FC50">
        <w:rPr>
          <w:rFonts w:ascii="Arial" w:hAnsi="Arial" w:eastAsia="Arial" w:cs="Arial"/>
        </w:rPr>
        <w:t>.</w:t>
      </w:r>
    </w:p>
    <w:p w:rsidR="000A5158" w:rsidP="54A1BFA9" w:rsidRDefault="043966CF" w14:paraId="4DB5A31F" w14:textId="450C4765">
      <w:pPr>
        <w:spacing w:before="240" w:after="240" w:line="360" w:lineRule="auto"/>
      </w:pPr>
      <w:r w:rsidRPr="54A1BFA9">
        <w:rPr>
          <w:rFonts w:ascii="Arial" w:hAnsi="Arial" w:eastAsia="Arial" w:cs="Arial"/>
        </w:rPr>
        <w:t>Nevertheless, regulatory complexity remains a significant challenge. Businesses frequently encounter lengthy administrative procedures, inconsistent regulatory enforcement and evolving compliance requirements. For IKEA, these issues could delay store development, disrupt import processes and increase operational costs.</w:t>
      </w:r>
    </w:p>
    <w:p w:rsidR="000A5158" w:rsidP="54A1BFA9" w:rsidRDefault="043966CF" w14:paraId="7DF130AD" w14:textId="0940F7C0">
      <w:pPr>
        <w:spacing w:before="240" w:after="240" w:line="360" w:lineRule="auto"/>
      </w:pPr>
      <w:r w:rsidRPr="0D3547E8">
        <w:rPr>
          <w:rFonts w:ascii="Arial" w:hAnsi="Arial" w:eastAsia="Arial" w:cs="Arial"/>
        </w:rPr>
        <w:t xml:space="preserve">Trade regulations are particularly important because IKEA's affordability strategy depends on efficient sourcing and logistics. Customs delays, import restrictions and taxation changes may increase product costs and reduce competitiveness. Furthermore, safeguarding IKEA's intellectual property, including its brand identity, product </w:t>
      </w:r>
      <w:bookmarkStart w:name="_Int_mW5Fgezw" w:id="11"/>
      <w:r w:rsidRPr="0D3547E8">
        <w:rPr>
          <w:rFonts w:ascii="Arial" w:hAnsi="Arial" w:eastAsia="Arial" w:cs="Arial"/>
        </w:rPr>
        <w:t>designs</w:t>
      </w:r>
      <w:bookmarkEnd w:id="11"/>
      <w:r w:rsidRPr="0D3547E8">
        <w:rPr>
          <w:rFonts w:ascii="Arial" w:hAnsi="Arial" w:eastAsia="Arial" w:cs="Arial"/>
        </w:rPr>
        <w:t xml:space="preserve"> and operational systems, requires effective legal protection. Consequently, IKEA would require experienced legal support, robust compliance systems and knowledgeable local partners to minimise regulatory risk while </w:t>
      </w:r>
      <w:bookmarkStart w:name="_Int_tndGhL9x" w:id="12"/>
      <w:r w:rsidRPr="0D3547E8">
        <w:rPr>
          <w:rFonts w:ascii="Arial" w:hAnsi="Arial" w:eastAsia="Arial" w:cs="Arial"/>
        </w:rPr>
        <w:t>maintaining</w:t>
      </w:r>
      <w:bookmarkEnd w:id="12"/>
      <w:r w:rsidRPr="0D3547E8">
        <w:rPr>
          <w:rFonts w:ascii="Arial" w:hAnsi="Arial" w:eastAsia="Arial" w:cs="Arial"/>
        </w:rPr>
        <w:t xml:space="preserve"> operational efficiency.</w:t>
      </w:r>
    </w:p>
    <w:p w:rsidR="000A5158" w:rsidP="54A1BFA9" w:rsidRDefault="043966CF" w14:paraId="4795C097" w14:textId="125FC49A">
      <w:pPr>
        <w:spacing w:line="360" w:lineRule="auto"/>
        <w:rPr>
          <w:b/>
          <w:bCs/>
        </w:rPr>
      </w:pPr>
      <w:r w:rsidRPr="6FB20578" w:rsidR="1ADD2556">
        <w:rPr>
          <w:b w:val="1"/>
          <w:bCs w:val="1"/>
        </w:rPr>
        <w:t>2.2.4 Cultural Environment</w:t>
      </w:r>
    </w:p>
    <w:p w:rsidR="2DAE0F53" w:rsidP="6FB20578" w:rsidRDefault="2DAE0F53" w14:paraId="1DB93EEA" w14:textId="57EBDDE6">
      <w:pPr>
        <w:spacing w:before="240" w:after="240" w:line="360" w:lineRule="auto"/>
      </w:pPr>
      <w:r w:rsidRPr="6FB20578" w:rsidR="2DAE0F53">
        <w:rPr>
          <w:rFonts w:ascii="Arial" w:hAnsi="Arial" w:eastAsia="Arial" w:cs="Arial"/>
        </w:rPr>
        <w:t xml:space="preserve">Cultural differences significantly influence international expansion because consumer preferences, </w:t>
      </w:r>
      <w:r w:rsidRPr="6FB20578" w:rsidR="2DAE0F53">
        <w:rPr>
          <w:rFonts w:ascii="Arial" w:hAnsi="Arial" w:eastAsia="Arial" w:cs="Arial"/>
        </w:rPr>
        <w:t>purchasing</w:t>
      </w:r>
      <w:r w:rsidRPr="6FB20578" w:rsidR="2DAE0F53">
        <w:rPr>
          <w:rFonts w:ascii="Arial" w:hAnsi="Arial" w:eastAsia="Arial" w:cs="Arial"/>
        </w:rPr>
        <w:t xml:space="preserve"> </w:t>
      </w:r>
      <w:r w:rsidRPr="6FB20578" w:rsidR="2DAE0F53">
        <w:rPr>
          <w:rFonts w:ascii="Arial" w:hAnsi="Arial" w:eastAsia="Arial" w:cs="Arial"/>
        </w:rPr>
        <w:t>behaviour</w:t>
      </w:r>
      <w:r w:rsidRPr="6FB20578" w:rsidR="2DAE0F53">
        <w:rPr>
          <w:rFonts w:ascii="Arial" w:hAnsi="Arial" w:eastAsia="Arial" w:cs="Arial"/>
        </w:rPr>
        <w:t xml:space="preserve"> and service expectations are shaped by social values and cultural norms. Multinational retailers must therefore understand local consumer </w:t>
      </w:r>
      <w:r w:rsidRPr="6FB20578" w:rsidR="2DAE0F53">
        <w:rPr>
          <w:rFonts w:ascii="Arial" w:hAnsi="Arial" w:eastAsia="Arial" w:cs="Arial"/>
        </w:rPr>
        <w:t>behaviour</w:t>
      </w:r>
      <w:r w:rsidRPr="6FB20578" w:rsidR="2DAE0F53">
        <w:rPr>
          <w:rFonts w:ascii="Arial" w:hAnsi="Arial" w:eastAsia="Arial" w:cs="Arial"/>
        </w:rPr>
        <w:t xml:space="preserve"> rather than simply transfer successful business models across markets (Daniels et al., 2022; Hill, 2023). Hofstede’s cultural dimensions provide a structured framework for assessing how national cultural differences may influence management and consumer </w:t>
      </w:r>
      <w:r w:rsidRPr="6FB20578" w:rsidR="2DAE0F53">
        <w:rPr>
          <w:rFonts w:ascii="Arial" w:hAnsi="Arial" w:eastAsia="Arial" w:cs="Arial"/>
        </w:rPr>
        <w:t>behaviour</w:t>
      </w:r>
      <w:r w:rsidRPr="6FB20578" w:rsidR="2DAE0F53">
        <w:rPr>
          <w:rFonts w:ascii="Arial" w:hAnsi="Arial" w:eastAsia="Arial" w:cs="Arial"/>
        </w:rPr>
        <w:t xml:space="preserve"> (Greene, 2024). In Nigeria, stronger collectivist characteristics suggest that </w:t>
      </w:r>
      <w:r w:rsidRPr="6FB20578" w:rsidR="2DAE0F53">
        <w:rPr>
          <w:rFonts w:ascii="Arial" w:hAnsi="Arial" w:eastAsia="Arial" w:cs="Arial"/>
        </w:rPr>
        <w:t>purchasing</w:t>
      </w:r>
      <w:r w:rsidRPr="6FB20578" w:rsidR="2DAE0F53">
        <w:rPr>
          <w:rFonts w:ascii="Arial" w:hAnsi="Arial" w:eastAsia="Arial" w:cs="Arial"/>
        </w:rPr>
        <w:t xml:space="preserve"> decisions may involve families and wider social networks, while cultural differences may also shape expectations surrounding interpersonal relationships and customer interaction (Keller, 2013). These factors </w:t>
      </w:r>
      <w:r w:rsidRPr="6FB20578" w:rsidR="2DAE0F53">
        <w:rPr>
          <w:rFonts w:ascii="Arial" w:hAnsi="Arial" w:eastAsia="Arial" w:cs="Arial"/>
        </w:rPr>
        <w:t>indicate</w:t>
      </w:r>
      <w:r w:rsidRPr="6FB20578" w:rsidR="2DAE0F53">
        <w:rPr>
          <w:rFonts w:ascii="Arial" w:hAnsi="Arial" w:eastAsia="Arial" w:cs="Arial"/>
        </w:rPr>
        <w:t xml:space="preserve"> that IKEA may need to adapt its marketing, delivery, </w:t>
      </w:r>
      <w:r w:rsidRPr="6FB20578" w:rsidR="2DAE0F53">
        <w:rPr>
          <w:rFonts w:ascii="Arial" w:hAnsi="Arial" w:eastAsia="Arial" w:cs="Arial"/>
        </w:rPr>
        <w:t>assembly</w:t>
      </w:r>
      <w:r w:rsidRPr="6FB20578" w:rsidR="2DAE0F53">
        <w:rPr>
          <w:rFonts w:ascii="Arial" w:hAnsi="Arial" w:eastAsia="Arial" w:cs="Arial"/>
        </w:rPr>
        <w:t xml:space="preserve"> and customer-service approach while </w:t>
      </w:r>
      <w:r w:rsidRPr="6FB20578" w:rsidR="2DAE0F53">
        <w:rPr>
          <w:rFonts w:ascii="Arial" w:hAnsi="Arial" w:eastAsia="Arial" w:cs="Arial"/>
        </w:rPr>
        <w:t>retaining</w:t>
      </w:r>
      <w:r w:rsidRPr="6FB20578" w:rsidR="2DAE0F53">
        <w:rPr>
          <w:rFonts w:ascii="Arial" w:hAnsi="Arial" w:eastAsia="Arial" w:cs="Arial"/>
        </w:rPr>
        <w:t xml:space="preserve"> its core global brand identity.</w:t>
      </w:r>
    </w:p>
    <w:p w:rsidR="000A5158" w:rsidP="54A1BFA9" w:rsidRDefault="2F6A49EB" w14:paraId="3E9F3750" w14:textId="7CE47F2E">
      <w:pPr>
        <w:spacing w:line="360" w:lineRule="auto"/>
      </w:pPr>
      <w:r w:rsidRPr="54A1BFA9">
        <w:rPr>
          <w:b/>
          <w:bCs/>
        </w:rPr>
        <w:t xml:space="preserve">Figure </w:t>
      </w:r>
      <w:r w:rsidRPr="54A1BFA9" w:rsidR="0560C1F0">
        <w:rPr>
          <w:b/>
          <w:bCs/>
        </w:rPr>
        <w:t>2</w:t>
      </w:r>
      <w:r w:rsidRPr="54A1BFA9">
        <w:rPr>
          <w:b/>
          <w:bCs/>
        </w:rPr>
        <w:t xml:space="preserve">. </w:t>
      </w:r>
      <w:r w:rsidRPr="54A1BFA9">
        <w:t>Hofstede Cultural Dimension Comparison: UK–Nigeria</w:t>
      </w:r>
    </w:p>
    <w:p w:rsidR="000A5158" w:rsidP="54A1BFA9" w:rsidRDefault="2F6A49EB" w14:paraId="1F8FA31B" w14:textId="5FAF116C">
      <w:pPr>
        <w:spacing w:line="360" w:lineRule="auto"/>
      </w:pPr>
      <w:r>
        <w:rPr>
          <w:noProof/>
        </w:rPr>
        <w:drawing>
          <wp:inline distT="0" distB="0" distL="0" distR="0" wp14:anchorId="0F26C0A5" wp14:editId="3F4EF9D3">
            <wp:extent cx="5943600" cy="3257550"/>
            <wp:effectExtent l="0" t="0" r="0" b="0"/>
            <wp:docPr id="5596184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822982" name="Picture 356822982"/>
                    <pic:cNvPicPr/>
                  </pic:nvPicPr>
                  <pic:blipFill>
                    <a:blip r:embed="rId10">
                      <a:extLst>
                        <a:ext uri="{28A0092B-C50C-407E-A947-70E740481C1C}">
                          <a14:useLocalDpi xmlns:a14="http://schemas.microsoft.com/office/drawing/2010/main"/>
                        </a:ext>
                      </a:extLst>
                    </a:blip>
                    <a:stretch>
                      <a:fillRect/>
                    </a:stretch>
                  </pic:blipFill>
                  <pic:spPr>
                    <a:xfrm>
                      <a:off x="0" y="0"/>
                      <a:ext cx="5943600" cy="3257550"/>
                    </a:xfrm>
                    <a:prstGeom prst="rect">
                      <a:avLst/>
                    </a:prstGeom>
                  </pic:spPr>
                </pic:pic>
              </a:graphicData>
            </a:graphic>
          </wp:inline>
        </w:drawing>
      </w:r>
      <w:r w:rsidRPr="54A1BFA9">
        <w:t xml:space="preserve"> Hofstede Insights (2024).</w:t>
      </w:r>
    </w:p>
    <w:p w:rsidR="000A5158" w:rsidP="54A1BFA9" w:rsidRDefault="043966CF" w14:paraId="4D8FD783" w14:textId="4632BE4A">
      <w:pPr>
        <w:spacing w:before="240" w:after="240" w:line="360" w:lineRule="auto"/>
      </w:pPr>
      <w:r w:rsidRPr="0D3547E8">
        <w:rPr>
          <w:rFonts w:ascii="Arial" w:hAnsi="Arial" w:eastAsia="Arial" w:cs="Arial"/>
        </w:rPr>
        <w:t xml:space="preserve">Figure </w:t>
      </w:r>
      <w:r w:rsidRPr="0D3547E8" w:rsidR="17014A05">
        <w:rPr>
          <w:rFonts w:ascii="Arial" w:hAnsi="Arial" w:eastAsia="Arial" w:cs="Arial"/>
        </w:rPr>
        <w:t>2</w:t>
      </w:r>
      <w:r w:rsidRPr="0D3547E8">
        <w:rPr>
          <w:rFonts w:ascii="Arial" w:hAnsi="Arial" w:eastAsia="Arial" w:cs="Arial"/>
        </w:rPr>
        <w:t xml:space="preserve"> </w:t>
      </w:r>
      <w:r w:rsidRPr="0D3547E8" w:rsidR="37787E36">
        <w:rPr>
          <w:rFonts w:ascii="Arial" w:hAnsi="Arial" w:eastAsia="Arial" w:cs="Arial"/>
        </w:rPr>
        <w:t>(also shown in Appendix B)</w:t>
      </w:r>
      <w:r w:rsidRPr="0D3547E8">
        <w:rPr>
          <w:rFonts w:ascii="Arial" w:hAnsi="Arial" w:eastAsia="Arial" w:cs="Arial"/>
        </w:rPr>
        <w:t xml:space="preserve"> illustrates important cultural differences between the UK and Nigeria with strategic implications for IKEA's market entry. Nigeria demonstrates stronger collectivist characteristics, suggesting that purchasing decisions are more likely to involve families and wider social networks. Consequently, IKEA's marketing should emphasise family living, shared spaces and community-oriented lifestyles rather than individual consumption. Higher power distance also suggests consumers may expect greater personal interaction and customer assistance, indicating that IKEA's traditional self-service model may require enhanced delivery, assembly and after-sales support.</w:t>
      </w:r>
    </w:p>
    <w:p w:rsidR="000A5158" w:rsidP="54A1BFA9" w:rsidRDefault="6883486A" w14:paraId="20708ADD" w14:textId="36DA60F7">
      <w:pPr>
        <w:spacing w:before="240" w:after="240" w:line="360" w:lineRule="auto"/>
      </w:pPr>
      <w:r w:rsidRPr="0D3547E8">
        <w:rPr>
          <w:rFonts w:ascii="Arial" w:hAnsi="Arial" w:eastAsia="Arial" w:cs="Arial"/>
        </w:rPr>
        <w:t xml:space="preserve">Appendix </w:t>
      </w:r>
      <w:r w:rsidRPr="0D3547E8" w:rsidR="127F5525">
        <w:rPr>
          <w:rFonts w:ascii="Arial" w:hAnsi="Arial" w:eastAsia="Arial" w:cs="Arial"/>
        </w:rPr>
        <w:t>C</w:t>
      </w:r>
      <w:r w:rsidRPr="0D3547E8" w:rsidR="043966CF">
        <w:rPr>
          <w:rFonts w:ascii="Arial" w:hAnsi="Arial" w:eastAsia="Arial" w:cs="Arial"/>
        </w:rPr>
        <w:t xml:space="preserve"> (</w:t>
      </w:r>
      <w:r w:rsidRPr="0D3547E8" w:rsidR="1652A6F3">
        <w:rPr>
          <w:rFonts w:ascii="Arial" w:hAnsi="Arial" w:eastAsia="Arial" w:cs="Arial"/>
        </w:rPr>
        <w:t>Table</w:t>
      </w:r>
      <w:r w:rsidRPr="0D3547E8" w:rsidR="29F63B2C">
        <w:rPr>
          <w:rFonts w:ascii="Arial" w:hAnsi="Arial" w:eastAsia="Arial" w:cs="Arial"/>
        </w:rPr>
        <w:t xml:space="preserve"> 2</w:t>
      </w:r>
      <w:r w:rsidRPr="0D3547E8" w:rsidR="043966CF">
        <w:rPr>
          <w:rFonts w:ascii="Arial" w:hAnsi="Arial" w:eastAsia="Arial" w:cs="Arial"/>
        </w:rPr>
        <w:t>) provides a detailed evaluation of each Hofstede dimension and its implications for IKEA's marketing strategy, product adaptation and customer experience. However, Hofstede's framework has recognised limitations because national cultures are not homogeneous and consumer behaviour is also influenced by income, education, urbanisation and generational change (McSweeney, 2002). Consequently, Hofstede should inform rather than determine strategic decisions and should be complemented by detailed market research and consumer insights.</w:t>
      </w:r>
    </w:p>
    <w:p w:rsidR="000A5158" w:rsidP="6FB20578" w:rsidRDefault="043966CF" w14:paraId="62B4E834" w14:textId="7C23EB7E">
      <w:pPr>
        <w:pStyle w:val="Normal"/>
        <w:spacing w:before="240" w:after="240" w:line="360" w:lineRule="auto"/>
      </w:pPr>
      <w:r w:rsidRPr="6FB20578" w:rsidR="1ADD2556">
        <w:rPr>
          <w:rFonts w:ascii="Arial" w:hAnsi="Arial" w:eastAsia="Arial" w:cs="Arial"/>
        </w:rPr>
        <w:t xml:space="preserve">Nevertheless, cultural responsiveness should complement rather than replace IKEA's global identity. Bartlett and </w:t>
      </w:r>
      <w:r w:rsidRPr="6FB20578" w:rsidR="1ADD2556">
        <w:rPr>
          <w:rFonts w:ascii="Arial" w:hAnsi="Arial" w:eastAsia="Arial" w:cs="Arial"/>
        </w:rPr>
        <w:t>Ghos</w:t>
      </w:r>
      <w:r w:rsidRPr="6FB20578" w:rsidR="1ADD2556">
        <w:rPr>
          <w:rFonts w:ascii="Arial" w:hAnsi="Arial" w:eastAsia="Arial" w:cs="Arial"/>
        </w:rPr>
        <w:t>hal (1989) argue that transnational corporations achieve competitive adva</w:t>
      </w:r>
      <w:r w:rsidRPr="6FB20578" w:rsidR="1ADD2556">
        <w:rPr>
          <w:rFonts w:ascii="Arial" w:hAnsi="Arial" w:eastAsia="Arial" w:cs="Arial"/>
        </w:rPr>
        <w:t>ntage by bal</w:t>
      </w:r>
      <w:r w:rsidRPr="6FB20578" w:rsidR="1ADD2556">
        <w:rPr>
          <w:rFonts w:ascii="Arial" w:hAnsi="Arial" w:eastAsia="Arial" w:cs="Arial"/>
        </w:rPr>
        <w:t>ancing global integration with local responsiveness</w:t>
      </w:r>
      <w:r w:rsidRPr="6FB20578" w:rsidR="46F9E444">
        <w:rPr>
          <w:rFonts w:ascii="Arial" w:hAnsi="Arial" w:eastAsia="Arial" w:cs="Arial"/>
        </w:rPr>
        <w:t xml:space="preserve"> </w:t>
      </w:r>
      <w:r w:rsidRPr="6FB20578" w:rsidR="46F9E444">
        <w:rPr>
          <w:rFonts w:ascii="Arial" w:hAnsi="Arial" w:eastAsia="Arial" w:cs="Arial"/>
          <w:noProof w:val="0"/>
          <w:sz w:val="24"/>
          <w:szCs w:val="24"/>
          <w:lang w:val="en-US"/>
        </w:rPr>
        <w:t>(Rašković, Makovec Brenčič and Jaklič, 2013)</w:t>
      </w:r>
      <w:r w:rsidRPr="6FB20578" w:rsidR="1ADD2556">
        <w:rPr>
          <w:rFonts w:ascii="Arial" w:hAnsi="Arial" w:eastAsia="Arial" w:cs="Arial"/>
        </w:rPr>
        <w:t xml:space="preserve">. </w:t>
      </w:r>
      <w:r w:rsidRPr="6FB20578" w:rsidR="1ADD2556">
        <w:rPr>
          <w:rFonts w:ascii="Arial" w:hAnsi="Arial" w:eastAsia="Arial" w:cs="Arial"/>
        </w:rPr>
        <w:t>Accordingly</w:t>
      </w:r>
      <w:r w:rsidRPr="6FB20578" w:rsidR="1ADD2556">
        <w:rPr>
          <w:rFonts w:ascii="Arial" w:hAnsi="Arial" w:eastAsia="Arial" w:cs="Arial"/>
        </w:rPr>
        <w:t xml:space="preserve">, </w:t>
      </w:r>
      <w:r w:rsidRPr="6FB20578" w:rsidR="1ADD2556">
        <w:rPr>
          <w:rFonts w:ascii="Arial" w:hAnsi="Arial" w:eastAsia="Arial" w:cs="Arial"/>
        </w:rPr>
        <w:t>IKEA shou</w:t>
      </w:r>
      <w:r w:rsidRPr="6FB20578" w:rsidR="1ADD2556">
        <w:rPr>
          <w:rFonts w:ascii="Arial" w:hAnsi="Arial" w:eastAsia="Arial" w:cs="Arial"/>
        </w:rPr>
        <w:t xml:space="preserve">ld preserve its core values of affordability, functionality and Scandinavian design while selectively adapting products, </w:t>
      </w:r>
      <w:r w:rsidRPr="6FB20578" w:rsidR="1ADD2556">
        <w:rPr>
          <w:rFonts w:ascii="Arial" w:hAnsi="Arial" w:eastAsia="Arial" w:cs="Arial"/>
        </w:rPr>
        <w:t>communication</w:t>
      </w:r>
      <w:r w:rsidRPr="6FB20578" w:rsidR="1ADD2556">
        <w:rPr>
          <w:rFonts w:ascii="Arial" w:hAnsi="Arial" w:eastAsia="Arial" w:cs="Arial"/>
        </w:rPr>
        <w:t xml:space="preserve"> and service delivery to reflect Nigerian consumer expectations.</w:t>
      </w:r>
    </w:p>
    <w:p w:rsidR="3B206147" w:rsidP="7DA9FC50" w:rsidRDefault="3B206147" w14:paraId="3A434DBD" w14:textId="69CAFD25">
      <w:pPr>
        <w:rPr>
          <w:b/>
          <w:bCs/>
        </w:rPr>
      </w:pPr>
      <w:r w:rsidRPr="6FB20578" w:rsidR="7E042767">
        <w:rPr>
          <w:b w:val="1"/>
          <w:bCs w:val="1"/>
        </w:rPr>
        <w:t>2.2.5 Porter's Diamond Model</w:t>
      </w:r>
    </w:p>
    <w:p w:rsidR="16C6125D" w:rsidP="6FB20578" w:rsidRDefault="16C6125D" w14:paraId="38AEA836" w14:textId="492A4F07">
      <w:pPr>
        <w:spacing w:before="240" w:after="240" w:line="360" w:lineRule="auto"/>
      </w:pPr>
      <w:r w:rsidRPr="6FB20578" w:rsidR="16C6125D">
        <w:rPr>
          <w:rFonts w:ascii="Arial" w:hAnsi="Arial" w:eastAsia="Arial" w:cs="Arial"/>
        </w:rPr>
        <w:t>Porter’s (1990) Diamond Model evaluates whether a country’s competitive environment can support international business through four interrelated determinants: factor conditions, demand conditions, related and supporting industries, and firm strategy, structure and rivalry. Their interaction influences firms’ capacity to innovate, improve productivity and compete internationally.</w:t>
      </w:r>
    </w:p>
    <w:p w:rsidR="3B8448B5" w:rsidP="7DA9FC50" w:rsidRDefault="3B8448B5" w14:paraId="35F98C9B" w14:textId="76AF6905">
      <w:pPr>
        <w:spacing w:before="240" w:after="240" w:line="360" w:lineRule="auto"/>
      </w:pPr>
      <w:r w:rsidRPr="7DA9FC50">
        <w:rPr>
          <w:rFonts w:ascii="Arial" w:hAnsi="Arial" w:eastAsia="Arial" w:cs="Arial"/>
          <w:b/>
          <w:bCs/>
        </w:rPr>
        <w:t xml:space="preserve">Figure </w:t>
      </w:r>
      <w:r w:rsidRPr="7DA9FC50" w:rsidR="723741EB">
        <w:rPr>
          <w:rFonts w:ascii="Arial" w:hAnsi="Arial" w:eastAsia="Arial" w:cs="Arial"/>
          <w:b/>
          <w:bCs/>
        </w:rPr>
        <w:t>3.</w:t>
      </w:r>
      <w:r w:rsidRPr="7DA9FC50">
        <w:rPr>
          <w:rFonts w:ascii="Arial" w:hAnsi="Arial" w:eastAsia="Arial" w:cs="Arial"/>
        </w:rPr>
        <w:t xml:space="preserve"> Porter's Diamond diagram</w:t>
      </w:r>
    </w:p>
    <w:p w:rsidR="3B8448B5" w:rsidP="7DA9FC50" w:rsidRDefault="3B8448B5" w14:paraId="718718E7" w14:textId="66466493">
      <w:pPr>
        <w:spacing w:before="240" w:after="240" w:line="360" w:lineRule="auto"/>
      </w:pPr>
      <w:r>
        <w:rPr>
          <w:noProof/>
        </w:rPr>
        <w:drawing>
          <wp:inline distT="0" distB="0" distL="0" distR="0" wp14:anchorId="67060FE1" wp14:editId="4F602B9B">
            <wp:extent cx="5943600" cy="2781300"/>
            <wp:effectExtent l="0" t="0" r="0" b="0"/>
            <wp:docPr id="5251798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179831" name="Picture 525179831"/>
                    <pic:cNvPicPr/>
                  </pic:nvPicPr>
                  <pic:blipFill>
                    <a:blip r:embed="rId11">
                      <a:extLst>
                        <a:ext uri="{28A0092B-C50C-407E-A947-70E740481C1C}">
                          <a14:useLocalDpi xmlns:a14="http://schemas.microsoft.com/office/drawing/2010/main"/>
                        </a:ext>
                      </a:extLst>
                    </a:blip>
                    <a:stretch>
                      <a:fillRect/>
                    </a:stretch>
                  </pic:blipFill>
                  <pic:spPr>
                    <a:xfrm>
                      <a:off x="0" y="0"/>
                      <a:ext cx="5943600" cy="2781300"/>
                    </a:xfrm>
                    <a:prstGeom prst="rect">
                      <a:avLst/>
                    </a:prstGeom>
                  </pic:spPr>
                </pic:pic>
              </a:graphicData>
            </a:graphic>
          </wp:inline>
        </w:drawing>
      </w:r>
    </w:p>
    <w:p w:rsidR="71B98E32" w:rsidP="7DA9FC50" w:rsidRDefault="71B98E32" w14:paraId="6EEC384C" w14:textId="6B1C18DE">
      <w:pPr>
        <w:spacing w:before="240" w:after="240" w:line="360" w:lineRule="auto"/>
      </w:pPr>
      <w:r w:rsidRPr="6FB20578" w:rsidR="4F866A8B">
        <w:rPr>
          <w:rFonts w:ascii="Arial" w:hAnsi="Arial" w:eastAsia="Arial" w:cs="Arial"/>
        </w:rPr>
        <w:t xml:space="preserve">Porter (1990). </w:t>
      </w:r>
    </w:p>
    <w:p w:rsidR="5F0A895F" w:rsidP="6FB20578" w:rsidRDefault="5F0A895F" w14:paraId="1EA9F2EB" w14:textId="5285B2C3">
      <w:pPr>
        <w:spacing w:before="240" w:after="240" w:line="360" w:lineRule="auto"/>
      </w:pPr>
      <w:r w:rsidRPr="6FB20578" w:rsidR="5F0A895F">
        <w:rPr>
          <w:rFonts w:ascii="Arial" w:hAnsi="Arial" w:eastAsia="Arial" w:cs="Arial"/>
        </w:rPr>
        <w:t>Figure 3 indicates that Nigeria presents a mixed competitive environment for IKEA. Demand conditions offer significant potential through population growth, urbanisation and increasing housing demand, although income inequality and relatively low purchasing power mean that market size alone does not guarantee commercial viability (Stonehouse and Snowdon, 2007). Factor conditions similarly present opportunities and constraints: Nigeria offers a large labour force and expanding urban centres, but infrastructure deficiencies, transport limitations and unreliable electricity can increase costs and weaken supply-chain efficiency. Underdeveloped logistics and supporting industries may also constrain immediate large-scale localisation.</w:t>
      </w:r>
    </w:p>
    <w:p w:rsidR="5F0A895F" w:rsidP="6FB20578" w:rsidRDefault="5F0A895F" w14:paraId="4965C311" w14:textId="6F375E70">
      <w:pPr>
        <w:pStyle w:val="Normal"/>
        <w:spacing w:before="240" w:after="240" w:line="360" w:lineRule="auto"/>
      </w:pPr>
      <w:r w:rsidRPr="6FB20578" w:rsidR="5F0A895F">
        <w:rPr>
          <w:rFonts w:ascii="Arial" w:hAnsi="Arial" w:eastAsia="Arial" w:cs="Arial"/>
        </w:rPr>
        <w:t xml:space="preserve">The detailed assessment of each determinant and its implications for IKEA is provided in Table 4 (Appendix F). However, Rugman and Verbeke (1993) argue that Porter’s model </w:t>
      </w:r>
      <w:r w:rsidRPr="6FB20578" w:rsidR="5F0A895F">
        <w:rPr>
          <w:rFonts w:ascii="Arial" w:hAnsi="Arial" w:eastAsia="Arial" w:cs="Arial"/>
        </w:rPr>
        <w:t>underemphasises</w:t>
      </w:r>
      <w:r w:rsidRPr="6FB20578" w:rsidR="5F0A895F">
        <w:rPr>
          <w:rFonts w:ascii="Arial" w:hAnsi="Arial" w:eastAsia="Arial" w:cs="Arial"/>
        </w:rPr>
        <w:t xml:space="preserve"> multinational networks, </w:t>
      </w:r>
      <w:r w:rsidRPr="6FB20578" w:rsidR="5F0A895F">
        <w:rPr>
          <w:rFonts w:ascii="Arial" w:hAnsi="Arial" w:eastAsia="Arial" w:cs="Arial"/>
        </w:rPr>
        <w:t>FDI</w:t>
      </w:r>
      <w:r w:rsidRPr="6FB20578" w:rsidR="5F0A895F">
        <w:rPr>
          <w:rFonts w:ascii="Arial" w:hAnsi="Arial" w:eastAsia="Arial" w:cs="Arial"/>
        </w:rPr>
        <w:t xml:space="preserve"> and global value chains. Therefore, Nigeria’s domestic conditions should not be assessed in isolation. IKEA’s success will depend on combining its global capabilities with local adaptation, supporting a phased, partnership-based entry strategy that balances efficiency, </w:t>
      </w:r>
      <w:r w:rsidRPr="6FB20578" w:rsidR="5F0A895F">
        <w:rPr>
          <w:rFonts w:ascii="Arial" w:hAnsi="Arial" w:eastAsia="Arial" w:cs="Arial"/>
        </w:rPr>
        <w:t>responsiveness</w:t>
      </w:r>
      <w:r w:rsidRPr="6FB20578" w:rsidR="5F0A895F">
        <w:rPr>
          <w:rFonts w:ascii="Arial" w:hAnsi="Arial" w:eastAsia="Arial" w:cs="Arial"/>
        </w:rPr>
        <w:t xml:space="preserve"> and risk.</w:t>
      </w:r>
    </w:p>
    <w:p w:rsidR="000A5158" w:rsidP="54A1BFA9" w:rsidRDefault="043966CF" w14:paraId="6DC70142" w14:textId="753B6385">
      <w:pPr>
        <w:pStyle w:val="Heading2"/>
        <w:spacing w:line="360" w:lineRule="auto"/>
      </w:pPr>
      <w:bookmarkStart w:name="_Toc592839300" w:id="998168665"/>
      <w:bookmarkStart w:name="_Toc1337469787" w:id="1683858413"/>
      <w:r w:rsidR="1ADD2556">
        <w:rPr/>
        <w:t>2.3 Market Entry Synthesis Using Dunning's Eclectic Paradigm (OLI Framework)</w:t>
      </w:r>
      <w:bookmarkEnd w:id="998168665"/>
      <w:bookmarkEnd w:id="1683858413"/>
    </w:p>
    <w:p w:rsidR="000A5158" w:rsidP="54A1BFA9" w:rsidRDefault="043966CF" w14:paraId="7101C53C" w14:textId="474BEF53">
      <w:pPr>
        <w:spacing w:before="240" w:after="240" w:line="360" w:lineRule="auto"/>
      </w:pPr>
      <w:r w:rsidRPr="54A1BFA9">
        <w:rPr>
          <w:rFonts w:ascii="Arial" w:hAnsi="Arial" w:eastAsia="Arial" w:cs="Arial"/>
        </w:rPr>
        <w:t>The preceding macro-environmental analysis is synthesised using Dunning's (1988) Eclectic Paradigm to evaluate whether Nigeria provides favourable ownership, location and internalisation conditions for IKEA's international expansion.</w:t>
      </w:r>
    </w:p>
    <w:p w:rsidR="000A5158" w:rsidP="54A1BFA9" w:rsidRDefault="043966CF" w14:paraId="0FD02B8A" w14:textId="3D2A1448">
      <w:pPr>
        <w:spacing w:line="360" w:lineRule="auto"/>
        <w:rPr>
          <w:b/>
          <w:bCs/>
        </w:rPr>
      </w:pPr>
      <w:r w:rsidRPr="54A1BFA9">
        <w:rPr>
          <w:b/>
          <w:bCs/>
        </w:rPr>
        <w:t>2.3.1 Ownership Advantages (O)</w:t>
      </w:r>
    </w:p>
    <w:p w:rsidR="000A5158" w:rsidP="54A1BFA9" w:rsidRDefault="043966CF" w14:paraId="464BAC9C" w14:textId="74AA0D81">
      <w:pPr>
        <w:spacing w:before="240" w:after="240" w:line="360" w:lineRule="auto"/>
      </w:pPr>
      <w:r w:rsidRPr="54A1BFA9">
        <w:rPr>
          <w:rFonts w:ascii="Arial" w:hAnsi="Arial" w:eastAsia="Arial" w:cs="Arial"/>
        </w:rPr>
        <w:t>IKEA possesses substantial ownership advantages through its globally recognised brand, democratic design philosophy, efficient supply chain, purchasing power, retail expertise, sustainability initiatives and extensive international experience. These valuable and difficult-to-imitate resources support sustainable competitive advantage (Barney, 1991).</w:t>
      </w:r>
    </w:p>
    <w:p w:rsidR="000A5158" w:rsidP="54A1BFA9" w:rsidRDefault="043966CF" w14:paraId="567A47BD" w14:textId="0CDD3490">
      <w:pPr>
        <w:spacing w:line="360" w:lineRule="auto"/>
        <w:rPr>
          <w:b/>
          <w:bCs/>
        </w:rPr>
      </w:pPr>
      <w:r w:rsidRPr="54A1BFA9">
        <w:rPr>
          <w:b/>
          <w:bCs/>
        </w:rPr>
        <w:t>2.3.2 Location Advantages (L)</w:t>
      </w:r>
    </w:p>
    <w:p w:rsidR="000A5158" w:rsidP="54A1BFA9" w:rsidRDefault="043966CF" w14:paraId="4BDCA437" w14:textId="1EB93EA6">
      <w:pPr>
        <w:spacing w:before="240" w:after="240" w:line="360" w:lineRule="auto"/>
      </w:pPr>
      <w:r w:rsidRPr="0D3547E8">
        <w:rPr>
          <w:rFonts w:ascii="Arial" w:hAnsi="Arial" w:eastAsia="Arial" w:cs="Arial"/>
        </w:rPr>
        <w:t xml:space="preserve">Nigeria offers significant location advantages, including its large population, rapid urbanisation, increasing housing demand and long-term consumer growth. However, infrastructure deficiencies, currency instability, political uncertainty, </w:t>
      </w:r>
      <w:bookmarkStart w:name="_Int_JCboMm7g" w:id="14"/>
      <w:r w:rsidRPr="0D3547E8">
        <w:rPr>
          <w:rFonts w:ascii="Arial" w:hAnsi="Arial" w:eastAsia="Arial" w:cs="Arial"/>
        </w:rPr>
        <w:t>corruption</w:t>
      </w:r>
      <w:bookmarkEnd w:id="14"/>
      <w:r w:rsidRPr="0D3547E8">
        <w:rPr>
          <w:rFonts w:ascii="Arial" w:hAnsi="Arial" w:eastAsia="Arial" w:cs="Arial"/>
        </w:rPr>
        <w:t xml:space="preserve"> and regulatory complexity reduce the attractiveness of immediate large-scale investment. Consequently, Nigeria is best viewed as a strategically attractive but institutionally challenging market.</w:t>
      </w:r>
    </w:p>
    <w:p w:rsidR="000A5158" w:rsidP="54A1BFA9" w:rsidRDefault="043966CF" w14:paraId="47A700A1" w14:textId="6342E824">
      <w:pPr>
        <w:spacing w:line="360" w:lineRule="auto"/>
        <w:rPr>
          <w:b/>
          <w:bCs/>
        </w:rPr>
      </w:pPr>
      <w:r w:rsidRPr="54A1BFA9">
        <w:rPr>
          <w:b/>
          <w:bCs/>
        </w:rPr>
        <w:t>2.3.3 Internalisation Advantages (I)</w:t>
      </w:r>
    </w:p>
    <w:p w:rsidR="000A5158" w:rsidP="54A1BFA9" w:rsidRDefault="043966CF" w14:paraId="7B68E1EE" w14:textId="37199968">
      <w:pPr>
        <w:spacing w:before="240" w:after="240" w:line="360" w:lineRule="auto"/>
      </w:pPr>
      <w:r w:rsidRPr="0D3547E8">
        <w:rPr>
          <w:rFonts w:ascii="Arial" w:hAnsi="Arial" w:eastAsia="Arial" w:cs="Arial"/>
        </w:rPr>
        <w:t xml:space="preserve">Internalisation advantages suggest that IKEA should retain strategic control over brand management, customer experience, quality </w:t>
      </w:r>
      <w:bookmarkStart w:name="_Int_ukDZ9KCQ" w:id="15"/>
      <w:r w:rsidRPr="0D3547E8">
        <w:rPr>
          <w:rFonts w:ascii="Arial" w:hAnsi="Arial" w:eastAsia="Arial" w:cs="Arial"/>
        </w:rPr>
        <w:t>assurance</w:t>
      </w:r>
      <w:bookmarkEnd w:id="15"/>
      <w:r w:rsidRPr="0D3547E8">
        <w:rPr>
          <w:rFonts w:ascii="Arial" w:hAnsi="Arial" w:eastAsia="Arial" w:cs="Arial"/>
        </w:rPr>
        <w:t xml:space="preserve"> and supply-chain coordination. However, immediate wholly owned investment would expose the company to considerable financial and operational risks. A collaborative entry approach would enable IKEA to combine strategic control with local market knowledge, reducing uncertainty while protecting its competitive advantages.</w:t>
      </w:r>
    </w:p>
    <w:p w:rsidR="000A5158" w:rsidP="0D3547E8" w:rsidRDefault="3220DA4A" w14:paraId="00A4D96A" w14:textId="46E95D97">
      <w:pPr>
        <w:spacing w:before="240" w:after="240" w:line="360" w:lineRule="auto"/>
      </w:pPr>
      <w:r w:rsidRPr="0D3547E8">
        <w:rPr>
          <w:rFonts w:ascii="Arial" w:hAnsi="Arial" w:eastAsia="Arial" w:cs="Arial"/>
        </w:rPr>
        <w:t>Appendix D</w:t>
      </w:r>
      <w:r w:rsidRPr="0D3547E8" w:rsidR="043966CF">
        <w:rPr>
          <w:rFonts w:ascii="Arial" w:hAnsi="Arial" w:eastAsia="Arial" w:cs="Arial"/>
        </w:rPr>
        <w:t xml:space="preserve"> (</w:t>
      </w:r>
      <w:r w:rsidRPr="0D3547E8" w:rsidR="04AAABF2">
        <w:rPr>
          <w:rFonts w:ascii="Arial" w:hAnsi="Arial" w:eastAsia="Arial" w:cs="Arial"/>
        </w:rPr>
        <w:t>Table 3</w:t>
      </w:r>
      <w:r w:rsidRPr="0D3547E8" w:rsidR="043966CF">
        <w:rPr>
          <w:rFonts w:ascii="Arial" w:hAnsi="Arial" w:eastAsia="Arial" w:cs="Arial"/>
        </w:rPr>
        <w:t>) demonstrates how IKEA's ownership advantages, Nigeria's location characteristics and internalisation considerations collectively support a phased market-entry strategy.</w:t>
      </w:r>
    </w:p>
    <w:p w:rsidR="000A5158" w:rsidP="54A1BFA9" w:rsidRDefault="043966CF" w14:paraId="204ED1A4" w14:textId="30A3CB71">
      <w:pPr>
        <w:spacing w:line="360" w:lineRule="auto"/>
        <w:rPr>
          <w:b/>
          <w:bCs/>
        </w:rPr>
      </w:pPr>
      <w:r w:rsidRPr="54A1BFA9">
        <w:rPr>
          <w:b/>
          <w:bCs/>
        </w:rPr>
        <w:t>2.4 Section Synthesis</w:t>
      </w:r>
    </w:p>
    <w:p w:rsidR="000A5158" w:rsidP="54A1BFA9" w:rsidRDefault="043966CF" w14:paraId="16BE3777" w14:textId="1030C72F">
      <w:pPr>
        <w:spacing w:before="240" w:after="240" w:line="360" w:lineRule="auto"/>
      </w:pPr>
      <w:r w:rsidRPr="54A1BFA9">
        <w:rPr>
          <w:rFonts w:ascii="Arial" w:hAnsi="Arial" w:eastAsia="Arial" w:cs="Arial"/>
        </w:rPr>
        <w:t>The macro-environmental analysis indicates that Nigeria is a high-potential but high-risk market. Demographic growth, urbanisation and increasing housing demand create substantial long-term opportunities, whereas political uncertainty, regulatory complexity, infrastructure limitations and economic volatility increase investment risk. Cultural differences also require selective localisation without undermining IKEA's global brand identity.</w:t>
      </w:r>
    </w:p>
    <w:p w:rsidR="000A5158" w:rsidP="54A1BFA9" w:rsidRDefault="043966CF" w14:paraId="58E8A1B4" w14:textId="249346E8">
      <w:pPr>
        <w:spacing w:before="240" w:after="240" w:line="360" w:lineRule="auto"/>
      </w:pPr>
      <w:r w:rsidRPr="54A1BFA9">
        <w:rPr>
          <w:rFonts w:ascii="Arial" w:hAnsi="Arial" w:eastAsia="Arial" w:cs="Arial"/>
        </w:rPr>
        <w:t>The OLI analysis demonstrates that IKEA possesses strong ownership advantages and that Nigeria offers meaningful location advantages despite institutional constraints. At the same time, institutional theory, cultural analysis and internalisation considerations indicate that local knowledge and strategic partnerships are likely to be critical to reducing uncertainty. Consequently, the evidence supports a phased market-entry strategy that combines IKEA's global capabilities with local partnerships, providing the strongest foundation for sustainable expansion and informing the entry-mode evaluation presented in Section 3.</w:t>
      </w:r>
    </w:p>
    <w:p w:rsidR="000A5158" w:rsidP="6FB20578" w:rsidRDefault="68CA6793" w14:paraId="4D77AFDF" w14:textId="697C10B1">
      <w:pPr>
        <w:pStyle w:val="Heading2"/>
        <w:spacing w:line="360" w:lineRule="auto"/>
        <w:rPr>
          <w:rFonts w:ascii="Arial" w:hAnsi="Arial" w:eastAsia="ＭＳ 明朝" w:cs="Arial" w:asciiTheme="minorAscii" w:hAnsiTheme="minorAscii" w:eastAsiaTheme="minorEastAsia" w:cstheme="minorBidi"/>
          <w:sz w:val="28"/>
          <w:szCs w:val="28"/>
        </w:rPr>
      </w:pPr>
      <w:bookmarkStart w:name="_Toc1513238358" w:id="56988173"/>
      <w:bookmarkStart w:name="_Toc659957074" w:id="1217066161"/>
      <w:r w:rsidRPr="6FB20578" w:rsidR="30400B4A">
        <w:rPr>
          <w:rFonts w:ascii="Arial" w:hAnsi="Arial" w:eastAsia="ＭＳ 明朝" w:cs="Arial" w:asciiTheme="minorAscii" w:hAnsiTheme="minorAscii" w:eastAsiaTheme="minorEastAsia" w:cstheme="minorBidi"/>
          <w:sz w:val="28"/>
          <w:szCs w:val="28"/>
        </w:rPr>
        <w:t>3. Entry Mode Strategy and Strategic Synthesis</w:t>
      </w:r>
      <w:bookmarkEnd w:id="56988173"/>
      <w:bookmarkEnd w:id="1217066161"/>
    </w:p>
    <w:p w:rsidR="000A5158" w:rsidP="6FB20578" w:rsidRDefault="68CA6793" w14:paraId="7C1227AA" w14:textId="7DD286B3">
      <w:pPr>
        <w:pStyle w:val="Heading2"/>
        <w:spacing w:line="360" w:lineRule="auto"/>
        <w:rPr>
          <w:rFonts w:ascii="Arial" w:hAnsi="Arial" w:eastAsia="ＭＳ 明朝" w:cs="Arial" w:asciiTheme="minorAscii" w:hAnsiTheme="minorAscii" w:eastAsiaTheme="minorEastAsia" w:cstheme="minorBidi"/>
          <w:b w:val="1"/>
          <w:bCs w:val="1"/>
          <w:sz w:val="24"/>
          <w:szCs w:val="24"/>
        </w:rPr>
      </w:pPr>
      <w:bookmarkStart w:name="_Toc405491947" w:id="518014831"/>
      <w:bookmarkStart w:name="_Toc1787228286" w:id="178482057"/>
      <w:r w:rsidRPr="6FB20578" w:rsidR="30400B4A">
        <w:rPr>
          <w:rFonts w:ascii="Arial" w:hAnsi="Arial" w:eastAsia="ＭＳ 明朝" w:cs="Arial" w:asciiTheme="minorAscii" w:hAnsiTheme="minorAscii" w:eastAsiaTheme="minorEastAsia" w:cstheme="minorBidi"/>
          <w:sz w:val="24"/>
          <w:szCs w:val="24"/>
        </w:rPr>
        <w:t>3.1 Historical Pattern Recognition: IKEA’s International Entry Modes</w:t>
      </w:r>
      <w:bookmarkEnd w:id="518014831"/>
      <w:bookmarkEnd w:id="178482057"/>
    </w:p>
    <w:p w:rsidR="000A5158" w:rsidP="0D3547E8" w:rsidRDefault="67F047F9" w14:paraId="49A9FA12" w14:textId="1D7A0690">
      <w:pPr>
        <w:spacing w:before="240" w:after="240" w:line="360" w:lineRule="auto"/>
      </w:pPr>
      <w:r w:rsidRPr="0D3547E8">
        <w:rPr>
          <w:rFonts w:ascii="Arial" w:hAnsi="Arial" w:eastAsia="Arial" w:cs="Arial"/>
        </w:rPr>
        <w:t>Multinational corporations select foreign market entry modes by balancing strategic control, resource commitment, market uncertainty, local knowledge requirements and long-term strategic objectives (</w:t>
      </w:r>
      <w:r w:rsidRPr="0D3547E8" w:rsidR="4B7BD68A">
        <w:rPr>
          <w:rFonts w:ascii="Arial" w:hAnsi="Arial" w:eastAsia="Arial" w:cs="Arial"/>
        </w:rPr>
        <w:t xml:space="preserve">Daniels et al., 2022; </w:t>
      </w:r>
      <w:r w:rsidRPr="0D3547E8">
        <w:rPr>
          <w:rFonts w:ascii="Arial" w:hAnsi="Arial" w:eastAsia="Arial" w:cs="Arial"/>
        </w:rPr>
        <w:t xml:space="preserve">Hill, 2023). IKEA’s international expansion demonstrates a flexible and adaptive approach rather than reliance on a single standardised entry method. Historically, IKEA has combined wholly owned subsidiaries, franchising arrangements and strategic partnerships depending on market maturity, institutional </w:t>
      </w:r>
      <w:bookmarkStart w:name="_Int_Q6yEcmzS" w:id="18"/>
      <w:r w:rsidRPr="0D3547E8">
        <w:rPr>
          <w:rFonts w:ascii="Arial" w:hAnsi="Arial" w:eastAsia="Arial" w:cs="Arial"/>
        </w:rPr>
        <w:t>conditions</w:t>
      </w:r>
      <w:bookmarkEnd w:id="18"/>
      <w:r w:rsidRPr="0D3547E8">
        <w:rPr>
          <w:rFonts w:ascii="Arial" w:hAnsi="Arial" w:eastAsia="Arial" w:cs="Arial"/>
        </w:rPr>
        <w:t xml:space="preserve"> and strategic importance.</w:t>
      </w:r>
    </w:p>
    <w:p w:rsidR="000A5158" w:rsidP="54A1BFA9" w:rsidRDefault="67F047F9" w14:paraId="2349192C" w14:textId="03612483">
      <w:pPr>
        <w:spacing w:before="240" w:after="240" w:line="360" w:lineRule="auto"/>
      </w:pPr>
      <w:r w:rsidRPr="54A1BFA9">
        <w:rPr>
          <w:rFonts w:ascii="Arial" w:hAnsi="Arial" w:eastAsia="Arial" w:cs="Arial"/>
        </w:rPr>
        <w:t>IKEA’s international operating structure enables the organisation to maintain global consistency while adapting ownership arrangements to different market contexts. Inter IKEA Group owns the IKEA concept, develops the franchise system and controls key elements including brand identity, product design and operational standards, while Ingka Group manages the majority of IKEA retail operations globally (Inter IKEA Group, 2025). This structure allows IKEA to protect its core resources while achieving flexibility in international expansion.</w:t>
      </w:r>
    </w:p>
    <w:p w:rsidR="000A5158" w:rsidP="54A1BFA9" w:rsidRDefault="67F047F9" w14:paraId="59B4B42E" w14:textId="628A7685">
      <w:pPr>
        <w:spacing w:before="240" w:after="240" w:line="360" w:lineRule="auto"/>
      </w:pPr>
      <w:r w:rsidRPr="54A1BFA9">
        <w:rPr>
          <w:rFonts w:ascii="Arial" w:hAnsi="Arial" w:eastAsia="Arial" w:cs="Arial"/>
        </w:rPr>
        <w:t>IKEA’s gradual internationalisation pattern reflects the principles of the Uppsala Model, which suggests that firms increase foreign market commitment progressively as they develop knowledge and reduce uncertainty (Johanson and Vahlne, 1977). Rather than immediately committing significant resources in unfamiliar markets, IKEA typically develops market understanding before increasing investment levels. This approach is also consistent with bounded rationality, as firms make strategic decisions under conditions of incomplete information and adjust their approach as knowledge improves (Cyert and March, 1963).</w:t>
      </w:r>
    </w:p>
    <w:p w:rsidR="000A5158" w:rsidP="54A1BFA9" w:rsidRDefault="67F047F9" w14:paraId="5A9FFC2B" w14:textId="7713801B">
      <w:pPr>
        <w:spacing w:before="240" w:after="240" w:line="360" w:lineRule="auto"/>
      </w:pPr>
      <w:r w:rsidRPr="0D3547E8">
        <w:rPr>
          <w:rFonts w:ascii="Arial" w:hAnsi="Arial" w:eastAsia="Arial" w:cs="Arial"/>
        </w:rPr>
        <w:t xml:space="preserve">In mature markets such as the UK, Germany, France and the United States, IKEA has frequently adopted high-control entry modes through wholly owned operations. These markets offer strong institutions, reliable infrastructure, established consumer </w:t>
      </w:r>
      <w:bookmarkStart w:name="_Int_VGxLZz1b" w:id="19"/>
      <w:r w:rsidRPr="0D3547E8">
        <w:rPr>
          <w:rFonts w:ascii="Arial" w:hAnsi="Arial" w:eastAsia="Arial" w:cs="Arial"/>
        </w:rPr>
        <w:t>demand</w:t>
      </w:r>
      <w:bookmarkEnd w:id="19"/>
      <w:r w:rsidRPr="0D3547E8">
        <w:rPr>
          <w:rFonts w:ascii="Arial" w:hAnsi="Arial" w:eastAsia="Arial" w:cs="Arial"/>
        </w:rPr>
        <w:t xml:space="preserve"> and predictable regulatory environments, allowing IKEA to maximise control over supply chains, pricing, customer </w:t>
      </w:r>
      <w:bookmarkStart w:name="_Int_1lSE6z3h" w:id="20"/>
      <w:r w:rsidRPr="0D3547E8">
        <w:rPr>
          <w:rFonts w:ascii="Arial" w:hAnsi="Arial" w:eastAsia="Arial" w:cs="Arial"/>
        </w:rPr>
        <w:t>experience</w:t>
      </w:r>
      <w:bookmarkEnd w:id="20"/>
      <w:r w:rsidRPr="0D3547E8">
        <w:rPr>
          <w:rFonts w:ascii="Arial" w:hAnsi="Arial" w:eastAsia="Arial" w:cs="Arial"/>
        </w:rPr>
        <w:t xml:space="preserve"> and operational standards.</w:t>
      </w:r>
    </w:p>
    <w:p w:rsidR="000A5158" w:rsidP="54A1BFA9" w:rsidRDefault="67F047F9" w14:paraId="70282709" w14:textId="43F82F45">
      <w:pPr>
        <w:spacing w:before="240" w:after="240" w:line="360" w:lineRule="auto"/>
      </w:pPr>
      <w:r w:rsidRPr="0D3547E8">
        <w:rPr>
          <w:rFonts w:ascii="Arial" w:hAnsi="Arial" w:eastAsia="Arial" w:cs="Arial"/>
        </w:rPr>
        <w:t>However, IKEA has also utilised franchising and partnerships where institutional uncertainty or limited market knowledge increase</w:t>
      </w:r>
      <w:r w:rsidRPr="0D3547E8" w:rsidR="1501CF7B">
        <w:rPr>
          <w:rFonts w:ascii="Arial" w:hAnsi="Arial" w:eastAsia="Arial" w:cs="Arial"/>
        </w:rPr>
        <w:t>s</w:t>
      </w:r>
      <w:r w:rsidRPr="0D3547E8">
        <w:rPr>
          <w:rFonts w:ascii="Arial" w:hAnsi="Arial" w:eastAsia="Arial" w:cs="Arial"/>
        </w:rPr>
        <w:t xml:space="preserve"> investment risk. Franchising reduces capital exposure while allowing IKEA to maintain control over its concept through contractual agreements (Inter IKEA Group, 2025). This reflects transaction cost theory, which suggests that firms must balance internal control against the costs and risks associated with external partnerships (Williamson, 1975).</w:t>
      </w:r>
    </w:p>
    <w:p w:rsidR="000A5158" w:rsidP="54A1BFA9" w:rsidRDefault="67F047F9" w14:paraId="71EA88FE" w14:textId="7322964C">
      <w:pPr>
        <w:spacing w:before="240" w:after="240" w:line="360" w:lineRule="auto"/>
      </w:pPr>
      <w:r w:rsidRPr="54A1BFA9">
        <w:rPr>
          <w:rFonts w:ascii="Arial" w:hAnsi="Arial" w:eastAsia="Arial" w:cs="Arial"/>
        </w:rPr>
        <w:t>Nevertheless, previous success in developed markets does not automatically justify applying identical strategies in Nigeria. Unlike established markets, Nigeria presents greater institutional uncertainty, infrastructure limitations and differences in consumer behaviour. Therefore, IKEA’s entry strategy must consider not only the transferability of its existing capabilities but also the need to develop market-specific knowledge and local partnerships.</w:t>
      </w:r>
    </w:p>
    <w:p w:rsidR="000A5158" w:rsidP="7DA9FC50" w:rsidRDefault="67F047F9" w14:paraId="30E32A33" w14:textId="0B388C06">
      <w:pPr>
        <w:pStyle w:val="Heading2"/>
        <w:spacing w:line="360" w:lineRule="auto"/>
      </w:pPr>
      <w:bookmarkStart w:name="_Toc2082205115" w:id="367012555"/>
      <w:bookmarkStart w:name="_Toc1593789932" w:id="264438902"/>
      <w:r w:rsidR="000092B2">
        <w:rPr/>
        <w:t>3.2 Strategic Fit and Justification for Nigeria</w:t>
      </w:r>
      <w:bookmarkEnd w:id="367012555"/>
      <w:bookmarkEnd w:id="264438902"/>
    </w:p>
    <w:p w:rsidR="000A5158" w:rsidP="0D3547E8" w:rsidRDefault="67F047F9" w14:paraId="77179E7B" w14:textId="3FDF3631">
      <w:pPr>
        <w:spacing w:before="240" w:after="240" w:line="360" w:lineRule="auto"/>
      </w:pPr>
      <w:r w:rsidRPr="0D3547E8">
        <w:rPr>
          <w:rFonts w:ascii="Arial" w:hAnsi="Arial" w:eastAsia="Arial" w:cs="Arial"/>
        </w:rPr>
        <w:t xml:space="preserve">The macro-environmental analysis demonstrates that Nigeria represents a high-potential but high-risk market for IKEA. The political and economic challenges identified </w:t>
      </w:r>
      <w:r w:rsidRPr="0D3547E8" w:rsidR="1270B7B2">
        <w:rPr>
          <w:rFonts w:ascii="Arial" w:hAnsi="Arial" w:eastAsia="Arial" w:cs="Arial"/>
        </w:rPr>
        <w:t>are shown in Appendix A (Table 1)</w:t>
      </w:r>
      <w:r w:rsidRPr="0D3547E8">
        <w:rPr>
          <w:rFonts w:ascii="Arial" w:hAnsi="Arial" w:eastAsia="Arial" w:cs="Arial"/>
        </w:rPr>
        <w:t xml:space="preserve">, cultural differences illustrated in </w:t>
      </w:r>
      <w:r w:rsidRPr="0D3547E8" w:rsidR="7AE0C04C">
        <w:rPr>
          <w:rFonts w:ascii="Arial" w:hAnsi="Arial" w:eastAsia="Arial" w:cs="Arial"/>
        </w:rPr>
        <w:t>Appendix B (</w:t>
      </w:r>
      <w:r w:rsidRPr="0D3547E8">
        <w:rPr>
          <w:rFonts w:ascii="Arial" w:hAnsi="Arial" w:eastAsia="Arial" w:cs="Arial"/>
        </w:rPr>
        <w:t xml:space="preserve">Figure </w:t>
      </w:r>
      <w:r w:rsidRPr="0D3547E8" w:rsidR="2B5D5F8E">
        <w:rPr>
          <w:rFonts w:ascii="Arial" w:hAnsi="Arial" w:eastAsia="Arial" w:cs="Arial"/>
        </w:rPr>
        <w:t>2</w:t>
      </w:r>
      <w:r w:rsidRPr="0D3547E8" w:rsidR="521E8F26">
        <w:rPr>
          <w:rFonts w:ascii="Arial" w:hAnsi="Arial" w:eastAsia="Arial" w:cs="Arial"/>
        </w:rPr>
        <w:t>) and</w:t>
      </w:r>
      <w:r w:rsidRPr="0D3547E8">
        <w:rPr>
          <w:rFonts w:ascii="Arial" w:hAnsi="Arial" w:eastAsia="Arial" w:cs="Arial"/>
        </w:rPr>
        <w:t xml:space="preserve"> </w:t>
      </w:r>
      <w:r w:rsidRPr="0D3547E8" w:rsidR="2D875136">
        <w:rPr>
          <w:rFonts w:ascii="Arial" w:hAnsi="Arial" w:eastAsia="Arial" w:cs="Arial"/>
        </w:rPr>
        <w:t xml:space="preserve">Appendix </w:t>
      </w:r>
      <w:r w:rsidRPr="0D3547E8" w:rsidR="28E12558">
        <w:rPr>
          <w:rFonts w:ascii="Arial" w:hAnsi="Arial" w:eastAsia="Arial" w:cs="Arial"/>
        </w:rPr>
        <w:t>C</w:t>
      </w:r>
      <w:r w:rsidRPr="0D3547E8">
        <w:rPr>
          <w:rFonts w:ascii="Arial" w:hAnsi="Arial" w:eastAsia="Arial" w:cs="Arial"/>
        </w:rPr>
        <w:t xml:space="preserve"> (</w:t>
      </w:r>
      <w:r w:rsidRPr="0D3547E8" w:rsidR="197D3BAA">
        <w:rPr>
          <w:rFonts w:ascii="Arial" w:hAnsi="Arial" w:eastAsia="Arial" w:cs="Arial"/>
        </w:rPr>
        <w:t>Table 2</w:t>
      </w:r>
      <w:r w:rsidRPr="0D3547E8">
        <w:rPr>
          <w:rFonts w:ascii="Arial" w:hAnsi="Arial" w:eastAsia="Arial" w:cs="Arial"/>
        </w:rPr>
        <w:t xml:space="preserve">), </w:t>
      </w:r>
      <w:r w:rsidRPr="0D3547E8" w:rsidR="7D7D61D5">
        <w:rPr>
          <w:rFonts w:ascii="Arial" w:hAnsi="Arial" w:eastAsia="Arial" w:cs="Arial"/>
        </w:rPr>
        <w:t>along with</w:t>
      </w:r>
      <w:r w:rsidRPr="0D3547E8">
        <w:rPr>
          <w:rFonts w:ascii="Arial" w:hAnsi="Arial" w:eastAsia="Arial" w:cs="Arial"/>
        </w:rPr>
        <w:t xml:space="preserve"> the OLI evaluation presented in </w:t>
      </w:r>
      <w:r w:rsidRPr="0D3547E8" w:rsidR="7D2E3DD0">
        <w:rPr>
          <w:rFonts w:ascii="Arial" w:hAnsi="Arial" w:eastAsia="Arial" w:cs="Arial"/>
        </w:rPr>
        <w:t>Appendix</w:t>
      </w:r>
      <w:r w:rsidRPr="0D3547E8" w:rsidR="0F206C8D">
        <w:rPr>
          <w:rFonts w:ascii="Arial" w:hAnsi="Arial" w:eastAsia="Arial" w:cs="Arial"/>
        </w:rPr>
        <w:t xml:space="preserve"> D</w:t>
      </w:r>
      <w:r w:rsidRPr="0D3547E8">
        <w:rPr>
          <w:rFonts w:ascii="Arial" w:hAnsi="Arial" w:eastAsia="Arial" w:cs="Arial"/>
        </w:rPr>
        <w:t xml:space="preserve"> (</w:t>
      </w:r>
      <w:r w:rsidRPr="0D3547E8" w:rsidR="5DC08427">
        <w:rPr>
          <w:rFonts w:ascii="Arial" w:hAnsi="Arial" w:eastAsia="Arial" w:cs="Arial"/>
        </w:rPr>
        <w:t>Table 3</w:t>
      </w:r>
      <w:r w:rsidRPr="0D3547E8">
        <w:rPr>
          <w:rFonts w:ascii="Arial" w:hAnsi="Arial" w:eastAsia="Arial" w:cs="Arial"/>
        </w:rPr>
        <w:t>) indicate that IKEA must balance ownership advantages with local adaptation requirements.</w:t>
      </w:r>
    </w:p>
    <w:p w:rsidR="000A5158" w:rsidP="54A1BFA9" w:rsidRDefault="67F047F9" w14:paraId="4B16BD32" w14:textId="1301B215">
      <w:pPr>
        <w:spacing w:before="240" w:after="240" w:line="360" w:lineRule="auto"/>
      </w:pPr>
      <w:r w:rsidRPr="54A1BFA9">
        <w:rPr>
          <w:rFonts w:ascii="Arial" w:hAnsi="Arial" w:eastAsia="Arial" w:cs="Arial"/>
        </w:rPr>
        <w:t>Although IKEA possesses significant ownership advantages through its global brand, supply chain capabilities and international experience, these resources alone may not overcome the challenges associated with entering an unfamiliar institutional environment. Therefore, alternative entry modes must be evaluated according to their ability to support sustainable growth while managing uncertainty.</w:t>
      </w:r>
    </w:p>
    <w:p w:rsidR="000A5158" w:rsidP="7DA9FC50" w:rsidRDefault="67F047F9" w14:paraId="17DA6503" w14:textId="51A36EBB">
      <w:pPr>
        <w:spacing w:line="360" w:lineRule="auto"/>
        <w:rPr>
          <w:b/>
          <w:bCs/>
        </w:rPr>
      </w:pPr>
      <w:r w:rsidRPr="7DA9FC50">
        <w:rPr>
          <w:b/>
          <w:bCs/>
        </w:rPr>
        <w:t>3.2.1 Option 1: Wholly Owned Subsidiary</w:t>
      </w:r>
    </w:p>
    <w:p w:rsidR="000A5158" w:rsidP="54A1BFA9" w:rsidRDefault="67F047F9" w14:paraId="52538076" w14:textId="0EF9851F">
      <w:pPr>
        <w:spacing w:before="240" w:after="240" w:line="360" w:lineRule="auto"/>
      </w:pPr>
      <w:r w:rsidRPr="54A1BFA9">
        <w:rPr>
          <w:rFonts w:ascii="Arial" w:hAnsi="Arial" w:eastAsia="Arial" w:cs="Arial"/>
        </w:rPr>
        <w:t>A wholly owned subsidiary would provide IKEA with maximum strategic control over store operations, supply chain coordination, pricing decisions and customer experience. From the perspective of Dunning’s (1988) internalisation advantages, full ownership enables IKEA to protect valuable intangible assets, including its brand reputation, operational knowledge and retail concept.</w:t>
      </w:r>
    </w:p>
    <w:p w:rsidR="000A5158" w:rsidP="54A1BFA9" w:rsidRDefault="67F047F9" w14:paraId="1CA4997A" w14:textId="1BF44A0B">
      <w:pPr>
        <w:spacing w:before="240" w:after="240" w:line="360" w:lineRule="auto"/>
      </w:pPr>
      <w:r w:rsidRPr="54A1BFA9">
        <w:rPr>
          <w:rFonts w:ascii="Arial" w:hAnsi="Arial" w:eastAsia="Arial" w:cs="Arial"/>
        </w:rPr>
        <w:t>This approach has been effective in developed markets where institutional stability and infrastructure reduce investment uncertainty. Full ownership allows IKEA to maintain consistent global standards and maximise operational efficiency.</w:t>
      </w:r>
    </w:p>
    <w:p w:rsidR="000A5158" w:rsidP="54A1BFA9" w:rsidRDefault="67F047F9" w14:paraId="5548A86A" w14:textId="4FEBD613">
      <w:pPr>
        <w:spacing w:before="240" w:after="240" w:line="360" w:lineRule="auto"/>
      </w:pPr>
      <w:r w:rsidRPr="54A1BFA9">
        <w:rPr>
          <w:rFonts w:ascii="Arial" w:hAnsi="Arial" w:eastAsia="Arial" w:cs="Arial"/>
        </w:rPr>
        <w:t>However, immediate wholly owned investment in Nigeria would create substantial financial exposure. Establishing stores, warehouses and distribution systems would require significant capital commitment, while currency volatility, regulatory uncertainty, infrastructure weaknesses and security concerns could reduce profitability. Furthermore, IKEA would initially have limited knowledge of Nigerian consumer preferences and local operating conditions.</w:t>
      </w:r>
    </w:p>
    <w:p w:rsidR="000A5158" w:rsidP="54A1BFA9" w:rsidRDefault="67F047F9" w14:paraId="27EF2F33" w14:textId="37F6FA78">
      <w:pPr>
        <w:spacing w:before="240" w:after="240" w:line="360" w:lineRule="auto"/>
      </w:pPr>
      <w:r w:rsidRPr="54A1BFA9">
        <w:rPr>
          <w:rFonts w:ascii="Arial" w:hAnsi="Arial" w:eastAsia="Arial" w:cs="Arial"/>
        </w:rPr>
        <w:t>Therefore, although full ownership maximises control, it creates an imbalance between strategic benefits and market-entry risks during the early stages of Nigerian expansion.</w:t>
      </w:r>
    </w:p>
    <w:p w:rsidR="000A5158" w:rsidP="7DA9FC50" w:rsidRDefault="67F047F9" w14:paraId="0FE93BF2" w14:textId="68D55257">
      <w:pPr>
        <w:spacing w:line="360" w:lineRule="auto"/>
        <w:rPr>
          <w:b/>
          <w:bCs/>
        </w:rPr>
      </w:pPr>
      <w:r w:rsidRPr="7DA9FC50">
        <w:rPr>
          <w:b/>
          <w:bCs/>
        </w:rPr>
        <w:t>3.2.2 Option 2: Franchising</w:t>
      </w:r>
    </w:p>
    <w:p w:rsidR="000A5158" w:rsidP="54A1BFA9" w:rsidRDefault="67F047F9" w14:paraId="0A23EE8C" w14:textId="1D6245DC">
      <w:pPr>
        <w:spacing w:before="240" w:after="240" w:line="360" w:lineRule="auto"/>
      </w:pPr>
      <w:r w:rsidRPr="54A1BFA9">
        <w:rPr>
          <w:rFonts w:ascii="Arial" w:hAnsi="Arial" w:eastAsia="Arial" w:cs="Arial"/>
        </w:rPr>
        <w:t>Franchising provides a lower-risk alternative by enabling IKEA to expand through a local operator while reducing direct financial commitment. A Nigerian franchise partner could provide valuable knowledge regarding consumer behaviour, regulatory requirements, property markets and supplier networks.</w:t>
      </w:r>
    </w:p>
    <w:p w:rsidR="000A5158" w:rsidP="54A1BFA9" w:rsidRDefault="67F047F9" w14:paraId="4E8CA74B" w14:textId="1055656E">
      <w:pPr>
        <w:spacing w:before="240" w:after="240" w:line="360" w:lineRule="auto"/>
      </w:pPr>
      <w:r w:rsidRPr="0D3547E8">
        <w:rPr>
          <w:rFonts w:ascii="Arial" w:hAnsi="Arial" w:eastAsia="Arial" w:cs="Arial"/>
        </w:rPr>
        <w:t xml:space="preserve">This approach aligns with IKEA’s existing international franchise model and would support faster market access while maintaining control over the IKEA concept (Inter IKEA Group, 2025). However, franchising may create limitations regarding strategic influence. IKEA’s competitive advantage depends heavily on maintaining consistent store layouts, product presentation, service </w:t>
      </w:r>
      <w:bookmarkStart w:name="_Int_z0Kc2M0R" w:id="22"/>
      <w:r w:rsidRPr="0D3547E8">
        <w:rPr>
          <w:rFonts w:ascii="Arial" w:hAnsi="Arial" w:eastAsia="Arial" w:cs="Arial"/>
        </w:rPr>
        <w:t>quality</w:t>
      </w:r>
      <w:bookmarkEnd w:id="22"/>
      <w:r w:rsidRPr="0D3547E8">
        <w:rPr>
          <w:rFonts w:ascii="Arial" w:hAnsi="Arial" w:eastAsia="Arial" w:cs="Arial"/>
        </w:rPr>
        <w:t xml:space="preserve"> and brand experience. Excessive reliance on franchise partners could therefore create implementation risks.</w:t>
      </w:r>
    </w:p>
    <w:p w:rsidR="000A5158" w:rsidP="54A1BFA9" w:rsidRDefault="67F047F9" w14:paraId="4919A7BE" w14:textId="42AD7D16">
      <w:pPr>
        <w:spacing w:before="240" w:after="240" w:line="360" w:lineRule="auto"/>
      </w:pPr>
      <w:r w:rsidRPr="54A1BFA9">
        <w:rPr>
          <w:rFonts w:ascii="Arial" w:hAnsi="Arial" w:eastAsia="Arial" w:cs="Arial"/>
        </w:rPr>
        <w:t>Consequently, franchising offers financial flexibility but may not provide sufficient control or knowledge integration for a complex emerging market environment such as Nigeria.</w:t>
      </w:r>
    </w:p>
    <w:p w:rsidR="000A5158" w:rsidP="7DA9FC50" w:rsidRDefault="67F047F9" w14:paraId="61397263" w14:textId="557F7004">
      <w:pPr>
        <w:spacing w:line="360" w:lineRule="auto"/>
        <w:rPr>
          <w:b/>
          <w:bCs/>
        </w:rPr>
      </w:pPr>
      <w:r w:rsidRPr="7DA9FC50">
        <w:rPr>
          <w:b/>
          <w:bCs/>
        </w:rPr>
        <w:t>3.2.3 Option 3: Joint Venture / Strategic Partnership</w:t>
      </w:r>
    </w:p>
    <w:p w:rsidR="000A5158" w:rsidP="54A1BFA9" w:rsidRDefault="67F047F9" w14:paraId="00857474" w14:textId="59BB1E3C">
      <w:pPr>
        <w:spacing w:before="240" w:after="240" w:line="360" w:lineRule="auto"/>
      </w:pPr>
      <w:r w:rsidRPr="54A1BFA9">
        <w:rPr>
          <w:rFonts w:ascii="Arial" w:hAnsi="Arial" w:eastAsia="Arial" w:cs="Arial"/>
        </w:rPr>
        <w:t>A joint venture provides a stronger strategic balance between IKEA’s requirement for control and Nigeria’s requirement for local market knowledge. By partnering with an established Nigerian organisation, IKEA could share investment risks while gaining access to local expertise, regulatory knowledge, property networks and distribution capabilities.</w:t>
      </w:r>
    </w:p>
    <w:p w:rsidR="000A5158" w:rsidP="54A1BFA9" w:rsidRDefault="67F047F9" w14:paraId="47722EF2" w14:textId="46F0C651">
      <w:pPr>
        <w:spacing w:before="240" w:after="240" w:line="360" w:lineRule="auto"/>
      </w:pPr>
      <w:r w:rsidRPr="54A1BFA9">
        <w:rPr>
          <w:rFonts w:ascii="Arial" w:hAnsi="Arial" w:eastAsia="Arial" w:cs="Arial"/>
        </w:rPr>
        <w:t>This approach is particularly appropriate because it reduces the liability of foreignness, referring to the additional disadvantages multinational firms experience when entering unfamiliar markets due to institutional differences, limited local knowledge and weaker business networks (Zaheer, 1995). Although IKEA possesses substantial ownership advantages, these capabilities may not fully compensate for unfamiliarity with Nigeria’s retail environment. A local partner could therefore provide complementary resources, while IKEA contributes international retail expertise, operational systems and brand strength.</w:t>
      </w:r>
    </w:p>
    <w:p w:rsidR="000A5158" w:rsidP="54A1BFA9" w:rsidRDefault="67F047F9" w14:paraId="4CAE20B9" w14:textId="380E0578">
      <w:pPr>
        <w:spacing w:before="240" w:after="240" w:line="360" w:lineRule="auto"/>
      </w:pPr>
      <w:r w:rsidRPr="54A1BFA9">
        <w:rPr>
          <w:rFonts w:ascii="Arial" w:hAnsi="Arial" w:eastAsia="Arial" w:cs="Arial"/>
        </w:rPr>
        <w:t>However, joint ventures also involve potential challenges. Differences in organisational culture, strategic objectives and decision-making processes may create conflicts between partners. Furthermore, excessive dependence on a local partner could weaken IKEA’s ability to protect brand consistency and operational standards.</w:t>
      </w:r>
    </w:p>
    <w:p w:rsidR="000A5158" w:rsidP="54A1BFA9" w:rsidRDefault="67F047F9" w14:paraId="7FF54A28" w14:textId="5F2DD713">
      <w:pPr>
        <w:spacing w:before="240" w:after="240" w:line="360" w:lineRule="auto"/>
      </w:pPr>
      <w:r w:rsidRPr="54A1BFA9">
        <w:rPr>
          <w:rFonts w:ascii="Arial" w:hAnsi="Arial" w:eastAsia="Arial" w:cs="Arial"/>
        </w:rPr>
        <w:t>Therefore, successful implementation would require careful partner selection, clearly defined governance structures, shared performance objectives and effective knowledge-sharing mechanisms (Contractor and Lorange, 1988).</w:t>
      </w:r>
    </w:p>
    <w:p w:rsidR="000A5158" w:rsidP="54A1BFA9" w:rsidRDefault="67F047F9" w14:paraId="1F0695AF" w14:textId="17D1C8A0">
      <w:pPr>
        <w:spacing w:before="240" w:after="240" w:line="360" w:lineRule="auto"/>
      </w:pPr>
      <w:r w:rsidRPr="54A1BFA9">
        <w:rPr>
          <w:rFonts w:ascii="Arial" w:hAnsi="Arial" w:eastAsia="Arial" w:cs="Arial"/>
        </w:rPr>
        <w:t>Overall, a joint venture provides the most appropriate balance between strategic control, local responsiveness, knowledge acquisition and investment risk.</w:t>
      </w:r>
    </w:p>
    <w:p w:rsidR="000A5158" w:rsidP="54A1BFA9" w:rsidRDefault="000A5158" w14:paraId="78CD8D81" w14:textId="11214F73">
      <w:pPr>
        <w:spacing w:line="360" w:lineRule="auto"/>
      </w:pPr>
    </w:p>
    <w:p w:rsidR="000A5158" w:rsidP="7DA9FC50" w:rsidRDefault="67F047F9" w14:paraId="7FC79EA1" w14:textId="27767F53">
      <w:pPr>
        <w:pStyle w:val="Heading2"/>
        <w:spacing w:line="360" w:lineRule="auto"/>
      </w:pPr>
      <w:bookmarkStart w:name="_Toc2143965427" w:id="74179636"/>
      <w:bookmarkStart w:name="_Toc450308253" w:id="314185830"/>
      <w:r w:rsidR="000092B2">
        <w:rPr/>
        <w:t>3.3 Conclusion, Strategic Recommendation and Synthesis</w:t>
      </w:r>
      <w:bookmarkEnd w:id="74179636"/>
      <w:bookmarkEnd w:id="314185830"/>
    </w:p>
    <w:p w:rsidR="000A5158" w:rsidP="54A1BFA9" w:rsidRDefault="67F047F9" w14:paraId="53C7F174" w14:textId="08FF99BC">
      <w:pPr>
        <w:spacing w:before="240" w:after="240" w:line="360" w:lineRule="auto"/>
      </w:pPr>
      <w:r w:rsidRPr="54A1BFA9">
        <w:rPr>
          <w:rFonts w:ascii="Arial" w:hAnsi="Arial" w:eastAsia="Arial" w:cs="Arial"/>
        </w:rPr>
        <w:t>Nigeria represents a strategically attractive but institutionally complex opportunity for IKEA. The company possesses strong ownership advantages through its global brand reputation, supply chain expertise, sustainability capabilities and distinctive retail concept. However, political uncertainty, infrastructure limitations, economic volatility and cultural differences reduce the suitability of immediate large-scale investment.</w:t>
      </w:r>
    </w:p>
    <w:p w:rsidR="000A5158" w:rsidP="54A1BFA9" w:rsidRDefault="67F047F9" w14:paraId="5688BD92" w14:textId="1B766D8D">
      <w:pPr>
        <w:spacing w:before="240" w:after="240" w:line="360" w:lineRule="auto"/>
      </w:pPr>
      <w:r w:rsidRPr="54A1BFA9">
        <w:rPr>
          <w:rFonts w:ascii="Arial" w:hAnsi="Arial" w:eastAsia="Arial" w:cs="Arial"/>
        </w:rPr>
        <w:t>A wholly owned subsidiary would maximise control but expose IKEA to excessive financial and operational risk. Conversely, franchising would reduce investment exposure but may limit IKEA’s ability to manage quality, customer experience and strategic learning. A phased joint venture therefore represents the strongest strategic fit because it enables IKEA to combine global capabilities with local knowledge while reducing uncertainty.</w:t>
      </w:r>
    </w:p>
    <w:p w:rsidR="000A5158" w:rsidP="7DA9FC50" w:rsidRDefault="67F047F9" w14:paraId="726A79BB" w14:textId="7BA0C502">
      <w:pPr>
        <w:spacing w:line="360" w:lineRule="auto"/>
        <w:rPr>
          <w:b/>
          <w:bCs/>
        </w:rPr>
      </w:pPr>
      <w:r w:rsidRPr="7DA9FC50">
        <w:rPr>
          <w:b/>
          <w:bCs/>
        </w:rPr>
        <w:t>Phase One: Market Entry and Learning</w:t>
      </w:r>
    </w:p>
    <w:p w:rsidR="000A5158" w:rsidP="54A1BFA9" w:rsidRDefault="67F047F9" w14:paraId="67957926" w14:textId="146A6452">
      <w:pPr>
        <w:pStyle w:val="ListParagraph"/>
        <w:numPr>
          <w:ilvl w:val="0"/>
          <w:numId w:val="3"/>
        </w:numPr>
        <w:spacing w:before="240" w:after="240" w:line="360" w:lineRule="auto"/>
        <w:rPr>
          <w:rFonts w:ascii="Arial" w:hAnsi="Arial" w:eastAsia="Arial" w:cs="Arial"/>
        </w:rPr>
      </w:pPr>
      <w:r w:rsidRPr="54A1BFA9">
        <w:rPr>
          <w:rFonts w:ascii="Arial" w:hAnsi="Arial" w:eastAsia="Arial" w:cs="Arial"/>
        </w:rPr>
        <w:t>Establish a strategic partnership with an experienced Nigerian retail, property or logistics organisation.</w:t>
      </w:r>
    </w:p>
    <w:p w:rsidR="000A5158" w:rsidP="54A1BFA9" w:rsidRDefault="67F047F9" w14:paraId="53CBAF3E" w14:textId="40613099">
      <w:pPr>
        <w:pStyle w:val="ListParagraph"/>
        <w:numPr>
          <w:ilvl w:val="0"/>
          <w:numId w:val="3"/>
        </w:numPr>
        <w:spacing w:before="240" w:after="240" w:line="360" w:lineRule="auto"/>
        <w:rPr>
          <w:rFonts w:ascii="Arial" w:hAnsi="Arial" w:eastAsia="Arial" w:cs="Arial"/>
        </w:rPr>
      </w:pPr>
      <w:r w:rsidRPr="54A1BFA9">
        <w:rPr>
          <w:rFonts w:ascii="Arial" w:hAnsi="Arial" w:eastAsia="Arial" w:cs="Arial"/>
        </w:rPr>
        <w:t>Launch a pilot IKEA store in Lagos supported by digital retail channels.</w:t>
      </w:r>
    </w:p>
    <w:p w:rsidR="000A5158" w:rsidP="54A1BFA9" w:rsidRDefault="67F047F9" w14:paraId="407EAD42" w14:textId="62218EB5">
      <w:pPr>
        <w:pStyle w:val="ListParagraph"/>
        <w:numPr>
          <w:ilvl w:val="0"/>
          <w:numId w:val="3"/>
        </w:numPr>
        <w:spacing w:before="240" w:after="240" w:line="360" w:lineRule="auto"/>
        <w:rPr>
          <w:rFonts w:ascii="Arial" w:hAnsi="Arial" w:eastAsia="Arial" w:cs="Arial"/>
        </w:rPr>
      </w:pPr>
      <w:r w:rsidRPr="0D3547E8">
        <w:rPr>
          <w:rFonts w:ascii="Arial" w:hAnsi="Arial" w:eastAsia="Arial" w:cs="Arial"/>
        </w:rPr>
        <w:t xml:space="preserve">Evaluate consumer preferences, pricing </w:t>
      </w:r>
      <w:bookmarkStart w:name="_Int_lxouwdo2" w:id="24"/>
      <w:r w:rsidRPr="0D3547E8">
        <w:rPr>
          <w:rFonts w:ascii="Arial" w:hAnsi="Arial" w:eastAsia="Arial" w:cs="Arial"/>
        </w:rPr>
        <w:t>expectations</w:t>
      </w:r>
      <w:bookmarkEnd w:id="24"/>
      <w:r w:rsidRPr="0D3547E8">
        <w:rPr>
          <w:rFonts w:ascii="Arial" w:hAnsi="Arial" w:eastAsia="Arial" w:cs="Arial"/>
        </w:rPr>
        <w:t xml:space="preserve"> and operational requirements.</w:t>
      </w:r>
    </w:p>
    <w:p w:rsidR="000A5158" w:rsidP="54A1BFA9" w:rsidRDefault="67F047F9" w14:paraId="469698A1" w14:textId="77179E6A">
      <w:pPr>
        <w:pStyle w:val="ListParagraph"/>
        <w:numPr>
          <w:ilvl w:val="0"/>
          <w:numId w:val="3"/>
        </w:numPr>
        <w:spacing w:before="240" w:after="240" w:line="360" w:lineRule="auto"/>
        <w:rPr>
          <w:rFonts w:ascii="Arial" w:hAnsi="Arial" w:eastAsia="Arial" w:cs="Arial"/>
        </w:rPr>
      </w:pPr>
      <w:r w:rsidRPr="54A1BFA9">
        <w:rPr>
          <w:rFonts w:ascii="Arial" w:hAnsi="Arial" w:eastAsia="Arial" w:cs="Arial"/>
        </w:rPr>
        <w:t>Develop market knowledge before committing additional resources.</w:t>
      </w:r>
    </w:p>
    <w:p w:rsidR="000A5158" w:rsidP="7DA9FC50" w:rsidRDefault="67F047F9" w14:paraId="7252E2E2" w14:textId="5046D61F">
      <w:pPr>
        <w:spacing w:line="360" w:lineRule="auto"/>
        <w:rPr>
          <w:b/>
          <w:bCs/>
        </w:rPr>
      </w:pPr>
      <w:r w:rsidRPr="7DA9FC50">
        <w:rPr>
          <w:b/>
          <w:bCs/>
        </w:rPr>
        <w:t>Phase Two: Operational Development</w:t>
      </w:r>
    </w:p>
    <w:p w:rsidR="000A5158" w:rsidP="54A1BFA9" w:rsidRDefault="67F047F9" w14:paraId="2003B4C7" w14:textId="2D9AB241">
      <w:pPr>
        <w:pStyle w:val="ListParagraph"/>
        <w:numPr>
          <w:ilvl w:val="0"/>
          <w:numId w:val="2"/>
        </w:numPr>
        <w:spacing w:before="240" w:after="240" w:line="360" w:lineRule="auto"/>
        <w:rPr>
          <w:rFonts w:ascii="Arial" w:hAnsi="Arial" w:eastAsia="Arial" w:cs="Arial"/>
        </w:rPr>
      </w:pPr>
      <w:r w:rsidRPr="54A1BFA9">
        <w:rPr>
          <w:rFonts w:ascii="Arial" w:hAnsi="Arial" w:eastAsia="Arial" w:cs="Arial"/>
        </w:rPr>
        <w:t>Invest in regional distribution capabilities.</w:t>
      </w:r>
    </w:p>
    <w:p w:rsidR="000A5158" w:rsidP="54A1BFA9" w:rsidRDefault="67F047F9" w14:paraId="02B21038" w14:textId="482F6E54">
      <w:pPr>
        <w:pStyle w:val="ListParagraph"/>
        <w:numPr>
          <w:ilvl w:val="0"/>
          <w:numId w:val="2"/>
        </w:numPr>
        <w:spacing w:before="240" w:after="240" w:line="360" w:lineRule="auto"/>
        <w:rPr>
          <w:rFonts w:ascii="Arial" w:hAnsi="Arial" w:eastAsia="Arial" w:cs="Arial"/>
        </w:rPr>
      </w:pPr>
      <w:r w:rsidRPr="0D3547E8">
        <w:rPr>
          <w:rFonts w:ascii="Arial" w:hAnsi="Arial" w:eastAsia="Arial" w:cs="Arial"/>
        </w:rPr>
        <w:t xml:space="preserve">Increase local sourcing where </w:t>
      </w:r>
      <w:bookmarkStart w:name="_Int_oQLB0kDu" w:id="25"/>
      <w:r w:rsidRPr="0D3547E8">
        <w:rPr>
          <w:rFonts w:ascii="Arial" w:hAnsi="Arial" w:eastAsia="Arial" w:cs="Arial"/>
        </w:rPr>
        <w:t>feasible</w:t>
      </w:r>
      <w:bookmarkEnd w:id="25"/>
      <w:r w:rsidRPr="0D3547E8">
        <w:rPr>
          <w:rFonts w:ascii="Arial" w:hAnsi="Arial" w:eastAsia="Arial" w:cs="Arial"/>
        </w:rPr>
        <w:t xml:space="preserve"> to reduce import dependency and currency exposure.</w:t>
      </w:r>
    </w:p>
    <w:p w:rsidR="000A5158" w:rsidP="54A1BFA9" w:rsidRDefault="67F047F9" w14:paraId="31551D5D" w14:textId="1C8C12EE">
      <w:pPr>
        <w:pStyle w:val="ListParagraph"/>
        <w:numPr>
          <w:ilvl w:val="0"/>
          <w:numId w:val="2"/>
        </w:numPr>
        <w:spacing w:before="240" w:after="240" w:line="360" w:lineRule="auto"/>
        <w:rPr>
          <w:rFonts w:ascii="Arial" w:hAnsi="Arial" w:eastAsia="Arial" w:cs="Arial"/>
        </w:rPr>
      </w:pPr>
      <w:r w:rsidRPr="54A1BFA9">
        <w:rPr>
          <w:rFonts w:ascii="Arial" w:hAnsi="Arial" w:eastAsia="Arial" w:cs="Arial"/>
        </w:rPr>
        <w:t>Develop relationships with Nigerian suppliers and logistics providers.</w:t>
      </w:r>
    </w:p>
    <w:p w:rsidR="000A5158" w:rsidP="54A1BFA9" w:rsidRDefault="67F047F9" w14:paraId="3B2E2E71" w14:textId="7A16DA48">
      <w:pPr>
        <w:pStyle w:val="ListParagraph"/>
        <w:numPr>
          <w:ilvl w:val="0"/>
          <w:numId w:val="2"/>
        </w:numPr>
        <w:spacing w:before="240" w:after="240" w:line="360" w:lineRule="auto"/>
        <w:rPr>
          <w:rFonts w:ascii="Arial" w:hAnsi="Arial" w:eastAsia="Arial" w:cs="Arial"/>
        </w:rPr>
      </w:pPr>
      <w:r w:rsidRPr="54A1BFA9">
        <w:rPr>
          <w:rFonts w:ascii="Arial" w:hAnsi="Arial" w:eastAsia="Arial" w:cs="Arial"/>
        </w:rPr>
        <w:t>Adapt IKEA’s operating model to local market conditions.</w:t>
      </w:r>
    </w:p>
    <w:p w:rsidR="000A5158" w:rsidP="7DA9FC50" w:rsidRDefault="67F047F9" w14:paraId="74081B85" w14:textId="18E62AC4">
      <w:pPr>
        <w:spacing w:line="360" w:lineRule="auto"/>
        <w:rPr>
          <w:b/>
          <w:bCs/>
        </w:rPr>
      </w:pPr>
      <w:r w:rsidRPr="7DA9FC50">
        <w:rPr>
          <w:b/>
          <w:bCs/>
        </w:rPr>
        <w:t>Phase Three: Expansion and Increased Ownership</w:t>
      </w:r>
    </w:p>
    <w:p w:rsidR="000A5158" w:rsidP="54A1BFA9" w:rsidRDefault="67F047F9" w14:paraId="67B2E19C" w14:textId="102D37ED">
      <w:pPr>
        <w:pStyle w:val="ListParagraph"/>
        <w:numPr>
          <w:ilvl w:val="0"/>
          <w:numId w:val="1"/>
        </w:numPr>
        <w:spacing w:before="240" w:after="240" w:line="360" w:lineRule="auto"/>
        <w:rPr>
          <w:rFonts w:ascii="Arial" w:hAnsi="Arial" w:eastAsia="Arial" w:cs="Arial"/>
        </w:rPr>
      </w:pPr>
      <w:r w:rsidRPr="54A1BFA9">
        <w:rPr>
          <w:rFonts w:ascii="Arial" w:hAnsi="Arial" w:eastAsia="Arial" w:cs="Arial"/>
        </w:rPr>
        <w:t>Increase equity ownership once IKEA has developed stronger market knowledge and operational capability.</w:t>
      </w:r>
    </w:p>
    <w:p w:rsidR="000A5158" w:rsidP="54A1BFA9" w:rsidRDefault="67F047F9" w14:paraId="6DA4590A" w14:textId="0F8DF0C7">
      <w:pPr>
        <w:pStyle w:val="ListParagraph"/>
        <w:numPr>
          <w:ilvl w:val="0"/>
          <w:numId w:val="1"/>
        </w:numPr>
        <w:spacing w:before="240" w:after="240" w:line="360" w:lineRule="auto"/>
        <w:rPr>
          <w:rFonts w:ascii="Arial" w:hAnsi="Arial" w:eastAsia="Arial" w:cs="Arial"/>
        </w:rPr>
      </w:pPr>
      <w:r w:rsidRPr="54A1BFA9">
        <w:rPr>
          <w:rFonts w:ascii="Arial" w:hAnsi="Arial" w:eastAsia="Arial" w:cs="Arial"/>
        </w:rPr>
        <w:t>Expand into additional urban centres, including Abuja and Port Harcourt.</w:t>
      </w:r>
    </w:p>
    <w:p w:rsidR="000A5158" w:rsidP="54A1BFA9" w:rsidRDefault="67F047F9" w14:paraId="0B885975" w14:textId="22FF6A5F">
      <w:pPr>
        <w:pStyle w:val="ListParagraph"/>
        <w:numPr>
          <w:ilvl w:val="0"/>
          <w:numId w:val="1"/>
        </w:numPr>
        <w:spacing w:before="240" w:after="240" w:line="360" w:lineRule="auto"/>
        <w:rPr>
          <w:rFonts w:ascii="Arial" w:hAnsi="Arial" w:eastAsia="Arial" w:cs="Arial"/>
        </w:rPr>
      </w:pPr>
      <w:r w:rsidRPr="54A1BFA9">
        <w:rPr>
          <w:rFonts w:ascii="Arial" w:hAnsi="Arial" w:eastAsia="Arial" w:cs="Arial"/>
        </w:rPr>
        <w:t>Strengthen IKEA’s long-term competitive position through deeper market integration.</w:t>
      </w:r>
    </w:p>
    <w:p w:rsidR="000A5158" w:rsidP="54A1BFA9" w:rsidRDefault="67F047F9" w14:paraId="754ED305" w14:textId="777CED6B">
      <w:pPr>
        <w:spacing w:before="240" w:after="240" w:line="360" w:lineRule="auto"/>
      </w:pPr>
      <w:r w:rsidRPr="54A1BFA9">
        <w:rPr>
          <w:rFonts w:ascii="Arial" w:hAnsi="Arial" w:eastAsia="Arial" w:cs="Arial"/>
        </w:rPr>
        <w:t>This recommendation aligns with the Uppsala Model because IKEA would increase commitment gradually as knowledge develops and uncertainty decreases (Johanson and Vahlne, 1977). It also reflects Dunning’s (1988) OLI framework by allowing IKEA to exploit ownership advantages while responding to Nigeria’s location-specific conditions. Furthermore, recognising liability of foreignness demonstrates that international success depends not only on transferring existing capabilities but also on developing new capabilities within the host market.</w:t>
      </w:r>
    </w:p>
    <w:p w:rsidR="000A5158" w:rsidP="0D3547E8" w:rsidRDefault="67F047F9" w14:paraId="27C0FC21" w14:textId="0C766A95">
      <w:pPr>
        <w:spacing w:before="240" w:after="240" w:line="360" w:lineRule="auto"/>
        <w:rPr>
          <w:rFonts w:ascii="Segoe UI" w:hAnsi="Segoe UI" w:eastAsia="Segoe UI" w:cs="Segoe UI"/>
          <w:color w:val="242424"/>
          <w:sz w:val="21"/>
          <w:szCs w:val="21"/>
        </w:rPr>
      </w:pPr>
      <w:r w:rsidRPr="0D3547E8">
        <w:rPr>
          <w:rFonts w:ascii="Arial" w:hAnsi="Arial" w:eastAsia="Arial" w:cs="Arial"/>
        </w:rPr>
        <w:t>Overall, a phased joint venture strategy provides the strongest balance between global efficiency, local responsiveness and sustainable value creation</w:t>
      </w:r>
      <w:r w:rsidRPr="0D3547E8" w:rsidR="6FE4C0FA">
        <w:rPr>
          <w:rFonts w:ascii="Arial" w:hAnsi="Arial" w:eastAsia="Arial" w:cs="Arial"/>
        </w:rPr>
        <w:t xml:space="preserve"> (Appendix E, Table 4)</w:t>
      </w:r>
      <w:r w:rsidRPr="0D3547E8">
        <w:rPr>
          <w:rFonts w:ascii="Arial" w:hAnsi="Arial" w:eastAsia="Arial" w:cs="Arial"/>
        </w:rPr>
        <w:t>.</w:t>
      </w:r>
      <w:r w:rsidRPr="0D3547E8" w:rsidR="5F3D3E05">
        <w:rPr>
          <w:rFonts w:ascii="Arial" w:hAnsi="Arial" w:eastAsia="Arial" w:cs="Arial"/>
        </w:rPr>
        <w:t xml:space="preserve"> </w:t>
      </w:r>
      <w:r w:rsidRPr="0D3547E8" w:rsidR="5F3D3E05">
        <w:t xml:space="preserve">This approach is consistent with IKEA’s transnational strategy and supported by environmental analysis </w:t>
      </w:r>
      <w:r w:rsidRPr="0D3547E8" w:rsidR="15B6AD4D">
        <w:t>(Appendix</w:t>
      </w:r>
      <w:r w:rsidRPr="0D3547E8" w:rsidR="5F3D3E05">
        <w:t xml:space="preserve"> A, Table 1), cultural assessment (Appendix B</w:t>
      </w:r>
      <w:r w:rsidRPr="0D3547E8" w:rsidR="7DAB0D6E">
        <w:t xml:space="preserve"> </w:t>
      </w:r>
      <w:r w:rsidRPr="0D3547E8" w:rsidR="5F3D3E05">
        <w:t>Figure 2</w:t>
      </w:r>
      <w:r w:rsidRPr="0D3547E8" w:rsidR="6EA86887">
        <w:t>;</w:t>
      </w:r>
      <w:r w:rsidRPr="0D3547E8" w:rsidR="5F3D3E05">
        <w:t xml:space="preserve"> Appendix C</w:t>
      </w:r>
      <w:r w:rsidRPr="0D3547E8" w:rsidR="44F4EEAB">
        <w:t xml:space="preserve">, </w:t>
      </w:r>
      <w:r w:rsidRPr="0D3547E8" w:rsidR="5F3D3E05">
        <w:t>Table 2</w:t>
      </w:r>
      <w:r w:rsidRPr="0D3547E8" w:rsidR="13535E3D">
        <w:t>) and</w:t>
      </w:r>
      <w:r w:rsidRPr="0D3547E8" w:rsidR="5F3D3E05">
        <w:t xml:space="preserve"> OLI evaluation (Appendix D</w:t>
      </w:r>
      <w:r w:rsidRPr="0D3547E8" w:rsidR="2B9A0CA0">
        <w:t>, Table 3</w:t>
      </w:r>
      <w:r w:rsidRPr="0D3547E8" w:rsidR="5F3D3E05">
        <w:t>).</w:t>
      </w:r>
    </w:p>
    <w:p w:rsidR="000A5158" w:rsidP="54A1BFA9" w:rsidRDefault="5375C99B" w14:paraId="335F17EC" w14:textId="48B103AC">
      <w:pPr>
        <w:pStyle w:val="Heading2"/>
        <w:spacing w:line="360" w:lineRule="auto"/>
      </w:pPr>
      <w:bookmarkStart w:name="_Toc181059012" w:id="1610646996"/>
      <w:bookmarkStart w:name="_Toc609654522" w:id="2121780692"/>
      <w:r w:rsidR="4D3B4A51">
        <w:rPr/>
        <w:t>4. Reflective Account of Research and Assignment Preparation</w:t>
      </w:r>
      <w:bookmarkEnd w:id="1610646996"/>
      <w:bookmarkEnd w:id="2121780692"/>
    </w:p>
    <w:p w:rsidR="5794444C" w:rsidP="6FB20578" w:rsidRDefault="5794444C" w14:paraId="233E4944" w14:textId="5A245576">
      <w:pPr>
        <w:spacing w:before="240" w:beforeAutospacing="off" w:after="240" w:afterAutospacing="off" w:line="360" w:lineRule="auto"/>
      </w:pPr>
      <w:r w:rsidRPr="6FB20578" w:rsidR="5794444C">
        <w:rPr>
          <w:rFonts w:ascii="Arial" w:hAnsi="Arial" w:eastAsia="Arial" w:cs="Arial"/>
          <w:noProof w:val="0"/>
          <w:sz w:val="24"/>
          <w:szCs w:val="24"/>
          <w:lang w:val="en-US"/>
        </w:rPr>
        <w:t>This section provides a critical reflection on the process undertaken to research, analyse and prepare the international business strategy report evaluating IKEA’s potential market entry into Nigeria. Gibbs’ Reflective Cycle (1988) was selected as the reflective framework because it provides a structured approach for evaluating experiences, identifying learning outcomes and developing future improvements. Reflection is particularly valuable at postgraduate level because it enables learners to critically evaluate how knowledge is developed and applied to professional decision-making (Schön, 1983). This reflection examines my research approach, challenges encountered, application of international business theories and development of analytical skills throughout the assignment process.</w:t>
      </w:r>
    </w:p>
    <w:p w:rsidR="5794444C" w:rsidP="6FB20578" w:rsidRDefault="5794444C" w14:paraId="7582B8F1" w14:textId="3A43A3D4">
      <w:pPr>
        <w:pStyle w:val="Normal"/>
        <w:rPr>
          <w:b w:val="1"/>
          <w:bCs w:val="1"/>
          <w:noProof w:val="0"/>
          <w:lang w:val="en-US"/>
        </w:rPr>
      </w:pPr>
      <w:r w:rsidRPr="6FB20578" w:rsidR="5794444C">
        <w:rPr>
          <w:b w:val="1"/>
          <w:bCs w:val="1"/>
          <w:noProof w:val="0"/>
          <w:lang w:val="en-US"/>
        </w:rPr>
        <w:t>4.1 Description</w:t>
      </w:r>
    </w:p>
    <w:p w:rsidR="5794444C" w:rsidP="6FB20578" w:rsidRDefault="5794444C" w14:paraId="5ACB2062" w14:textId="0DA950D3">
      <w:pPr>
        <w:spacing w:before="240" w:beforeAutospacing="off" w:after="240" w:afterAutospacing="off" w:line="360" w:lineRule="auto"/>
      </w:pPr>
      <w:r w:rsidRPr="6FB20578" w:rsidR="5794444C">
        <w:rPr>
          <w:rFonts w:ascii="Arial" w:hAnsi="Arial" w:eastAsia="Arial" w:cs="Arial"/>
          <w:noProof w:val="0"/>
          <w:sz w:val="24"/>
          <w:szCs w:val="24"/>
          <w:lang w:val="en-US"/>
        </w:rPr>
        <w:t>The assessment required selecting a multinational corporation (MNC) and a potential host country where the organisation had no significant operational presence. Initially, I considered several company–country combinations, including McDonald’s entering Jamaica and possible expansion scenarios involving India and Pakistan. However, these options were discounted because they either involved markets where the organisations already had established operations or provided less opportunity for critical evaluation of international market entry strategy.</w:t>
      </w:r>
    </w:p>
    <w:p w:rsidR="5794444C" w:rsidP="6FB20578" w:rsidRDefault="5794444C" w14:paraId="7C521415" w14:textId="2D2950E8">
      <w:pPr>
        <w:spacing w:before="240" w:beforeAutospacing="off" w:after="240" w:afterAutospacing="off" w:line="360" w:lineRule="auto"/>
      </w:pPr>
      <w:r w:rsidRPr="6FB20578" w:rsidR="5794444C">
        <w:rPr>
          <w:rFonts w:ascii="Arial" w:hAnsi="Arial" w:eastAsia="Arial" w:cs="Arial"/>
          <w:noProof w:val="0"/>
          <w:sz w:val="24"/>
          <w:szCs w:val="24"/>
          <w:lang w:val="en-US"/>
        </w:rPr>
        <w:t>I ultimately selected IKEA and Nigeria because this combination presented a strategically relevant case involving significant growth potential alongside institutional, economic and cultural challenges. This provided an opportunity to apply international business theories, evaluate alternative entry modes and develop strategic recommendations within an emerging-market context.</w:t>
      </w:r>
    </w:p>
    <w:p w:rsidR="5794444C" w:rsidP="6FB20578" w:rsidRDefault="5794444C" w14:paraId="66625AE6" w14:textId="17B96D29">
      <w:pPr>
        <w:spacing w:before="240" w:beforeAutospacing="off" w:after="240" w:afterAutospacing="off" w:line="360" w:lineRule="auto"/>
      </w:pPr>
      <w:r w:rsidRPr="6FB20578" w:rsidR="5794444C">
        <w:rPr>
          <w:rFonts w:ascii="Arial" w:hAnsi="Arial" w:eastAsia="Arial" w:cs="Arial"/>
          <w:noProof w:val="0"/>
          <w:sz w:val="24"/>
          <w:szCs w:val="24"/>
          <w:lang w:val="en-US"/>
        </w:rPr>
        <w:t>The research process involved evaluating academic journals, international business textbooks, corporate reports, institutional databases and credible secondary sources. Academic literature provided the theoretical foundation, while sources including Inter IKEA Group publications, World Bank reports and Transparency International data supported analysis of IKEA’s global strategy and Nigeria’s business environment. Saunders et al. (2019) emphasise the importance of evaluating the credibility, relevance and reliability of research evidence, which influenced my approach to selecting and comparing sources.</w:t>
      </w:r>
    </w:p>
    <w:p w:rsidR="5794444C" w:rsidP="6FB20578" w:rsidRDefault="5794444C" w14:paraId="28AB1BD3" w14:textId="0DC8253F">
      <w:pPr>
        <w:spacing w:before="240" w:beforeAutospacing="off" w:after="240" w:afterAutospacing="off" w:line="360" w:lineRule="auto"/>
      </w:pPr>
      <w:r w:rsidRPr="6FB20578" w:rsidR="5794444C">
        <w:rPr>
          <w:rFonts w:ascii="Arial" w:hAnsi="Arial" w:eastAsia="Arial" w:cs="Arial"/>
          <w:noProof w:val="0"/>
          <w:sz w:val="24"/>
          <w:szCs w:val="24"/>
          <w:lang w:val="en-US"/>
        </w:rPr>
        <w:t>The report applied several international business frameworks, including Bartlett and Ghoshal’s (1989) transnational strategy model, PESTEL analysis, Hofstede’s cultural dimensions, Dunning’s (1988) OLI framework and the Uppsala Model (Johanson and Vahlne, 1977). These frameworks supported evaluation of IKEA’s competitive capabilities, Nigeria’s market conditions and suitable entry strategies.</w:t>
      </w:r>
    </w:p>
    <w:p w:rsidR="5794444C" w:rsidP="6FB20578" w:rsidRDefault="5794444C" w14:paraId="7A5897F7" w14:textId="4943A190">
      <w:pPr>
        <w:pStyle w:val="Normal"/>
        <w:rPr>
          <w:b w:val="1"/>
          <w:bCs w:val="1"/>
          <w:noProof w:val="0"/>
          <w:lang w:val="en-US"/>
        </w:rPr>
      </w:pPr>
      <w:r w:rsidRPr="6FB20578" w:rsidR="5794444C">
        <w:rPr>
          <w:b w:val="1"/>
          <w:bCs w:val="1"/>
          <w:noProof w:val="0"/>
          <w:lang w:val="en-US"/>
        </w:rPr>
        <w:t>4.2 Feelings</w:t>
      </w:r>
    </w:p>
    <w:p w:rsidR="5794444C" w:rsidP="6FB20578" w:rsidRDefault="5794444C" w14:paraId="64B0B261" w14:textId="1576AAD8">
      <w:pPr>
        <w:spacing w:before="240" w:beforeAutospacing="off" w:after="240" w:afterAutospacing="off" w:line="360" w:lineRule="auto"/>
      </w:pPr>
      <w:r w:rsidRPr="6FB20578" w:rsidR="5794444C">
        <w:rPr>
          <w:rFonts w:ascii="Arial" w:hAnsi="Arial" w:eastAsia="Arial" w:cs="Arial"/>
          <w:noProof w:val="0"/>
          <w:sz w:val="24"/>
          <w:szCs w:val="24"/>
          <w:lang w:val="en-US"/>
        </w:rPr>
        <w:t>At the beginning of the assignment, selecting an appropriate company and country combination was challenging because the decision required more than identifying an attractive market. The chosen country needed to provide sufficient strategic complexity to evaluate whether IKEA’s capabilities could realistically transfer into a different institutional environment.</w:t>
      </w:r>
    </w:p>
    <w:p w:rsidR="5794444C" w:rsidP="6FB20578" w:rsidRDefault="5794444C" w14:paraId="5836AFA8" w14:textId="5FFC18C5">
      <w:pPr>
        <w:spacing w:before="240" w:beforeAutospacing="off" w:after="240" w:afterAutospacing="off" w:line="360" w:lineRule="auto"/>
      </w:pPr>
      <w:r w:rsidRPr="6FB20578" w:rsidR="5794444C">
        <w:rPr>
          <w:rFonts w:ascii="Arial" w:hAnsi="Arial" w:eastAsia="Arial" w:cs="Arial"/>
          <w:noProof w:val="0"/>
          <w:sz w:val="24"/>
          <w:szCs w:val="24"/>
          <w:lang w:val="en-US"/>
        </w:rPr>
        <w:t>Initially, the volume of information was overwhelming, particularly when distinguishing between general country information and strategically important factors. I recognised that MBA-level analysis requires more than describing information; it requires critical evaluation, comparison of evidence and justified strategic recommendations. This was particularly challenging because emerging markets often present both significant opportunities and substantial risks.</w:t>
      </w:r>
    </w:p>
    <w:p w:rsidR="5794444C" w:rsidP="6FB20578" w:rsidRDefault="5794444C" w14:paraId="7E51697C" w14:textId="50622A2B">
      <w:pPr>
        <w:spacing w:before="240" w:beforeAutospacing="off" w:after="240" w:afterAutospacing="off" w:line="360" w:lineRule="auto"/>
      </w:pPr>
      <w:r w:rsidRPr="6FB20578" w:rsidR="5794444C">
        <w:rPr>
          <w:rFonts w:ascii="Arial" w:hAnsi="Arial" w:eastAsia="Arial" w:cs="Arial"/>
          <w:noProof w:val="0"/>
          <w:sz w:val="24"/>
          <w:szCs w:val="24"/>
          <w:lang w:val="en-US"/>
        </w:rPr>
        <w:t>My confidence improved through lecturer feedback, academic support and discussions during the module. These experiences helped me understand the importance of applying theories critically rather than simply explaining frameworks. As the research progressed, I became more confident in using theoretical models to analyse complex business situations and develop a structured strategic argument.</w:t>
      </w:r>
    </w:p>
    <w:p w:rsidR="5794444C" w:rsidP="6FB20578" w:rsidRDefault="5794444C" w14:paraId="1CDE7260" w14:textId="3B715B19">
      <w:pPr>
        <w:pStyle w:val="Normal"/>
        <w:rPr>
          <w:b w:val="1"/>
          <w:bCs w:val="1"/>
          <w:noProof w:val="0"/>
          <w:lang w:val="en-US"/>
        </w:rPr>
      </w:pPr>
      <w:r w:rsidRPr="6FB20578" w:rsidR="5794444C">
        <w:rPr>
          <w:b w:val="1"/>
          <w:bCs w:val="1"/>
          <w:noProof w:val="0"/>
          <w:lang w:val="en-US"/>
        </w:rPr>
        <w:t>4.3 Evaluation</w:t>
      </w:r>
    </w:p>
    <w:p w:rsidR="5794444C" w:rsidP="6FB20578" w:rsidRDefault="5794444C" w14:paraId="000C9904" w14:textId="318C9C91">
      <w:pPr>
        <w:spacing w:before="240" w:beforeAutospacing="off" w:after="240" w:afterAutospacing="off" w:line="360" w:lineRule="auto"/>
      </w:pPr>
      <w:r w:rsidRPr="6FB20578" w:rsidR="5794444C">
        <w:rPr>
          <w:rFonts w:ascii="Arial" w:hAnsi="Arial" w:eastAsia="Arial" w:cs="Arial"/>
          <w:noProof w:val="0"/>
          <w:sz w:val="24"/>
          <w:szCs w:val="24"/>
          <w:lang w:val="en-US"/>
        </w:rPr>
        <w:t>Several aspects of the research process were effective. Applying international business frameworks improved the structure and coherence of the report. PESTEL analysis supported evaluation of Nigeria’s external environment, while Dunning’s OLI framework connected IKEA’s internal capabilities with host-country opportunities and limitations.</w:t>
      </w:r>
    </w:p>
    <w:p w:rsidR="5794444C" w:rsidP="6FB20578" w:rsidRDefault="5794444C" w14:paraId="1A5427AF" w14:textId="5A751F1F">
      <w:pPr>
        <w:spacing w:before="240" w:beforeAutospacing="off" w:after="240" w:afterAutospacing="off" w:line="360" w:lineRule="auto"/>
      </w:pPr>
      <w:r w:rsidRPr="6FB20578" w:rsidR="5794444C">
        <w:rPr>
          <w:rFonts w:ascii="Arial" w:hAnsi="Arial" w:eastAsia="Arial" w:cs="Arial"/>
          <w:noProof w:val="0"/>
          <w:sz w:val="24"/>
          <w:szCs w:val="24"/>
          <w:lang w:val="en-US"/>
        </w:rPr>
        <w:t>Combining academic theory with practical evidence was particularly valuable. Initially, I focused heavily on Nigeria’s market potential; however, further analysis demonstrated that population size and economic growth alone do not guarantee successful international expansion. Institutional quality, infrastructure, cultural differences and operational risks must also be considered. This improved my ability to develop a more balanced strategic evaluation.</w:t>
      </w:r>
    </w:p>
    <w:p w:rsidR="5794444C" w:rsidP="6FB20578" w:rsidRDefault="5794444C" w14:paraId="68F0C2F8" w14:textId="4ADD23CA">
      <w:pPr>
        <w:spacing w:before="240" w:beforeAutospacing="off" w:after="240" w:afterAutospacing="off" w:line="360" w:lineRule="auto"/>
      </w:pPr>
      <w:r w:rsidRPr="6FB20578" w:rsidR="5794444C">
        <w:rPr>
          <w:rFonts w:ascii="Arial" w:hAnsi="Arial" w:eastAsia="Arial" w:cs="Arial"/>
          <w:noProof w:val="0"/>
          <w:sz w:val="24"/>
          <w:szCs w:val="24"/>
          <w:lang w:val="en-US"/>
        </w:rPr>
        <w:t>A key challenge was identifying specific information regarding IKEA’s potential expansion into Nigeria because future strategic decisions are not publicly available. To address this limitation, I compared multiple sources, prioritised academic research and evaluated evidence reliability before including information. Another challenge was maintaining critical analysis within the word limit. Initially, I included more descriptive information than necessary; however, I recognised that stronger MBA-level work requires greater emphasis on analysis, synthesis and strategic implications (Saunders et al., 2019).</w:t>
      </w:r>
    </w:p>
    <w:p w:rsidR="5794444C" w:rsidP="6FB20578" w:rsidRDefault="5794444C" w14:paraId="66632E05" w14:textId="7D5A08D4">
      <w:pPr>
        <w:pStyle w:val="Normal"/>
        <w:rPr>
          <w:b w:val="1"/>
          <w:bCs w:val="1"/>
          <w:noProof w:val="0"/>
          <w:lang w:val="en-US"/>
        </w:rPr>
      </w:pPr>
      <w:r w:rsidRPr="6FB20578" w:rsidR="5794444C">
        <w:rPr>
          <w:b w:val="1"/>
          <w:bCs w:val="1"/>
          <w:noProof w:val="0"/>
          <w:lang w:val="en-US"/>
        </w:rPr>
        <w:t>4.4 Analysis</w:t>
      </w:r>
    </w:p>
    <w:p w:rsidR="5794444C" w:rsidP="6FB20578" w:rsidRDefault="5794444C" w14:paraId="72F296A8" w14:textId="17300DA4">
      <w:pPr>
        <w:pStyle w:val="Normal"/>
        <w:spacing w:before="240" w:beforeAutospacing="off" w:after="240" w:afterAutospacing="off" w:line="360" w:lineRule="auto"/>
      </w:pPr>
      <w:r w:rsidRPr="6FB20578" w:rsidR="5794444C">
        <w:rPr>
          <w:rFonts w:ascii="Arial" w:hAnsi="Arial" w:eastAsia="Arial" w:cs="Arial"/>
          <w:noProof w:val="0"/>
          <w:sz w:val="24"/>
          <w:szCs w:val="24"/>
          <w:lang w:val="en-US"/>
        </w:rPr>
        <w:t xml:space="preserve">The assignment significantly developed my understanding of international business </w:t>
      </w:r>
      <w:r w:rsidRPr="6FB20578" w:rsidR="5794444C">
        <w:rPr>
          <w:rFonts w:ascii="Arial" w:hAnsi="Arial" w:eastAsia="Arial" w:cs="Arial"/>
          <w:noProof w:val="0"/>
          <w:sz w:val="24"/>
          <w:szCs w:val="24"/>
          <w:lang w:val="en-US"/>
        </w:rPr>
        <w:t>strategy</w:t>
      </w:r>
      <w:r w:rsidRPr="6FB20578" w:rsidR="0A2D1C6E">
        <w:rPr>
          <w:rFonts w:ascii="Arial" w:hAnsi="Arial" w:eastAsia="Arial" w:cs="Arial"/>
          <w:noProof w:val="0"/>
          <w:sz w:val="24"/>
          <w:szCs w:val="24"/>
          <w:lang w:val="en-US"/>
        </w:rPr>
        <w:t xml:space="preserve"> (Prahalad, 2006)</w:t>
      </w:r>
      <w:r w:rsidRPr="6FB20578" w:rsidR="5794444C">
        <w:rPr>
          <w:rFonts w:ascii="Arial" w:hAnsi="Arial" w:eastAsia="Arial" w:cs="Arial"/>
          <w:noProof w:val="0"/>
          <w:sz w:val="24"/>
          <w:szCs w:val="24"/>
          <w:lang w:val="en-US"/>
        </w:rPr>
        <w:t xml:space="preserve">. Before completing this assessment, I viewed international expansion </w:t>
      </w:r>
      <w:r w:rsidRPr="6FB20578" w:rsidR="5794444C">
        <w:rPr>
          <w:rFonts w:ascii="Arial" w:hAnsi="Arial" w:eastAsia="Arial" w:cs="Arial"/>
          <w:noProof w:val="0"/>
          <w:sz w:val="24"/>
          <w:szCs w:val="24"/>
          <w:lang w:val="en-US"/>
        </w:rPr>
        <w:t>mainly as</w:t>
      </w:r>
      <w:r w:rsidRPr="6FB20578" w:rsidR="5794444C">
        <w:rPr>
          <w:rFonts w:ascii="Arial" w:hAnsi="Arial" w:eastAsia="Arial" w:cs="Arial"/>
          <w:noProof w:val="0"/>
          <w:sz w:val="24"/>
          <w:szCs w:val="24"/>
          <w:lang w:val="en-US"/>
        </w:rPr>
        <w:t xml:space="preserve"> a response to market opportunities such as population growth and consumer demand. However, applying international business theories </w:t>
      </w:r>
      <w:r w:rsidRPr="6FB20578" w:rsidR="5794444C">
        <w:rPr>
          <w:rFonts w:ascii="Arial" w:hAnsi="Arial" w:eastAsia="Arial" w:cs="Arial"/>
          <w:noProof w:val="0"/>
          <w:sz w:val="24"/>
          <w:szCs w:val="24"/>
          <w:lang w:val="en-US"/>
        </w:rPr>
        <w:t>demonstrated</w:t>
      </w:r>
      <w:r w:rsidRPr="6FB20578" w:rsidR="5794444C">
        <w:rPr>
          <w:rFonts w:ascii="Arial" w:hAnsi="Arial" w:eastAsia="Arial" w:cs="Arial"/>
          <w:noProof w:val="0"/>
          <w:sz w:val="24"/>
          <w:szCs w:val="24"/>
          <w:lang w:val="en-US"/>
        </w:rPr>
        <w:t xml:space="preserve"> that successful expansion requires alignment between </w:t>
      </w:r>
      <w:r w:rsidRPr="6FB20578" w:rsidR="5794444C">
        <w:rPr>
          <w:rFonts w:ascii="Arial" w:hAnsi="Arial" w:eastAsia="Arial" w:cs="Arial"/>
          <w:noProof w:val="0"/>
          <w:sz w:val="24"/>
          <w:szCs w:val="24"/>
          <w:lang w:val="en-US"/>
        </w:rPr>
        <w:t>organisational</w:t>
      </w:r>
      <w:r w:rsidRPr="6FB20578" w:rsidR="5794444C">
        <w:rPr>
          <w:rFonts w:ascii="Arial" w:hAnsi="Arial" w:eastAsia="Arial" w:cs="Arial"/>
          <w:noProof w:val="0"/>
          <w:sz w:val="24"/>
          <w:szCs w:val="24"/>
          <w:lang w:val="en-US"/>
        </w:rPr>
        <w:t xml:space="preserve"> capabilities, external </w:t>
      </w:r>
      <w:r w:rsidRPr="6FB20578" w:rsidR="5794444C">
        <w:rPr>
          <w:rFonts w:ascii="Arial" w:hAnsi="Arial" w:eastAsia="Arial" w:cs="Arial"/>
          <w:noProof w:val="0"/>
          <w:sz w:val="24"/>
          <w:szCs w:val="24"/>
          <w:lang w:val="en-US"/>
        </w:rPr>
        <w:t>conditions</w:t>
      </w:r>
      <w:r w:rsidRPr="6FB20578" w:rsidR="5794444C">
        <w:rPr>
          <w:rFonts w:ascii="Arial" w:hAnsi="Arial" w:eastAsia="Arial" w:cs="Arial"/>
          <w:noProof w:val="0"/>
          <w:sz w:val="24"/>
          <w:szCs w:val="24"/>
          <w:lang w:val="en-US"/>
        </w:rPr>
        <w:t xml:space="preserve"> and strategic </w:t>
      </w:r>
      <w:r w:rsidRPr="6FB20578" w:rsidR="5794444C">
        <w:rPr>
          <w:rFonts w:ascii="Arial" w:hAnsi="Arial" w:eastAsia="Arial" w:cs="Arial"/>
          <w:noProof w:val="0"/>
          <w:sz w:val="24"/>
          <w:szCs w:val="24"/>
          <w:lang w:val="en-US"/>
        </w:rPr>
        <w:t>objectives</w:t>
      </w:r>
      <w:r w:rsidRPr="6FB20578" w:rsidR="5794444C">
        <w:rPr>
          <w:rFonts w:ascii="Arial" w:hAnsi="Arial" w:eastAsia="Arial" w:cs="Arial"/>
          <w:noProof w:val="0"/>
          <w:sz w:val="24"/>
          <w:szCs w:val="24"/>
          <w:lang w:val="en-US"/>
        </w:rPr>
        <w:t>.</w:t>
      </w:r>
    </w:p>
    <w:p w:rsidR="5794444C" w:rsidP="6FB20578" w:rsidRDefault="5794444C" w14:paraId="019B694D" w14:textId="10B11485">
      <w:pPr>
        <w:pStyle w:val="Normal"/>
        <w:spacing w:before="240" w:beforeAutospacing="off" w:after="240" w:afterAutospacing="off" w:line="360" w:lineRule="auto"/>
      </w:pPr>
      <w:r w:rsidRPr="6FB20578" w:rsidR="5794444C">
        <w:rPr>
          <w:rFonts w:ascii="Arial" w:hAnsi="Arial" w:eastAsia="Arial" w:cs="Arial"/>
          <w:noProof w:val="0"/>
          <w:sz w:val="24"/>
          <w:szCs w:val="24"/>
          <w:lang w:val="en-US"/>
        </w:rPr>
        <w:t xml:space="preserve">Bartlett and </w:t>
      </w:r>
      <w:r w:rsidRPr="6FB20578" w:rsidR="5794444C">
        <w:rPr>
          <w:rFonts w:ascii="Arial" w:hAnsi="Arial" w:eastAsia="Arial" w:cs="Arial"/>
          <w:noProof w:val="0"/>
          <w:sz w:val="24"/>
          <w:szCs w:val="24"/>
          <w:lang w:val="en-US"/>
        </w:rPr>
        <w:t>Ghos</w:t>
      </w:r>
      <w:r w:rsidRPr="6FB20578" w:rsidR="5794444C">
        <w:rPr>
          <w:rFonts w:ascii="Arial" w:hAnsi="Arial" w:eastAsia="Arial" w:cs="Arial"/>
          <w:noProof w:val="0"/>
          <w:sz w:val="24"/>
          <w:szCs w:val="24"/>
          <w:lang w:val="en-US"/>
        </w:rPr>
        <w:t xml:space="preserve">hal’s (1989) framework enhanced my understanding of how multinational corporations balance global integration with local responsiveness. </w:t>
      </w:r>
      <w:r w:rsidRPr="6FB20578" w:rsidR="5794444C">
        <w:rPr>
          <w:rFonts w:ascii="Arial" w:hAnsi="Arial" w:eastAsia="Arial" w:cs="Arial"/>
          <w:noProof w:val="0"/>
          <w:sz w:val="24"/>
          <w:szCs w:val="24"/>
          <w:lang w:val="en-US"/>
        </w:rPr>
        <w:t>Analysing</w:t>
      </w:r>
      <w:r w:rsidRPr="6FB20578" w:rsidR="5794444C">
        <w:rPr>
          <w:rFonts w:ascii="Arial" w:hAnsi="Arial" w:eastAsia="Arial" w:cs="Arial"/>
          <w:noProof w:val="0"/>
          <w:sz w:val="24"/>
          <w:szCs w:val="24"/>
          <w:lang w:val="en-US"/>
        </w:rPr>
        <w:t xml:space="preserve"> IKEA </w:t>
      </w:r>
      <w:r w:rsidRPr="6FB20578" w:rsidR="5794444C">
        <w:rPr>
          <w:rFonts w:ascii="Arial" w:hAnsi="Arial" w:eastAsia="Arial" w:cs="Arial"/>
          <w:noProof w:val="0"/>
          <w:sz w:val="24"/>
          <w:szCs w:val="24"/>
          <w:lang w:val="en-US"/>
        </w:rPr>
        <w:t>demonstrated</w:t>
      </w:r>
      <w:r w:rsidRPr="6FB20578" w:rsidR="5794444C">
        <w:rPr>
          <w:rFonts w:ascii="Arial" w:hAnsi="Arial" w:eastAsia="Arial" w:cs="Arial"/>
          <w:noProof w:val="0"/>
          <w:sz w:val="24"/>
          <w:szCs w:val="24"/>
          <w:lang w:val="en-US"/>
        </w:rPr>
        <w:t xml:space="preserve"> that international success does not depend on simply transferring an existing business model into a new market. Instead, </w:t>
      </w:r>
      <w:r w:rsidRPr="6FB20578" w:rsidR="5794444C">
        <w:rPr>
          <w:rFonts w:ascii="Arial" w:hAnsi="Arial" w:eastAsia="Arial" w:cs="Arial"/>
          <w:noProof w:val="0"/>
          <w:sz w:val="24"/>
          <w:szCs w:val="24"/>
          <w:lang w:val="en-US"/>
        </w:rPr>
        <w:t>organisations</w:t>
      </w:r>
      <w:r w:rsidRPr="6FB20578" w:rsidR="5794444C">
        <w:rPr>
          <w:rFonts w:ascii="Arial" w:hAnsi="Arial" w:eastAsia="Arial" w:cs="Arial"/>
          <w:noProof w:val="0"/>
          <w:sz w:val="24"/>
          <w:szCs w:val="24"/>
          <w:lang w:val="en-US"/>
        </w:rPr>
        <w:t xml:space="preserve"> must </w:t>
      </w:r>
      <w:r w:rsidRPr="6FB20578" w:rsidR="5794444C">
        <w:rPr>
          <w:rFonts w:ascii="Arial" w:hAnsi="Arial" w:eastAsia="Arial" w:cs="Arial"/>
          <w:noProof w:val="0"/>
          <w:sz w:val="24"/>
          <w:szCs w:val="24"/>
          <w:lang w:val="en-US"/>
        </w:rPr>
        <w:t>determine</w:t>
      </w:r>
      <w:r w:rsidRPr="6FB20578" w:rsidR="5794444C">
        <w:rPr>
          <w:rFonts w:ascii="Arial" w:hAnsi="Arial" w:eastAsia="Arial" w:cs="Arial"/>
          <w:noProof w:val="0"/>
          <w:sz w:val="24"/>
          <w:szCs w:val="24"/>
          <w:lang w:val="en-US"/>
        </w:rPr>
        <w:t xml:space="preserve"> which elements of their strategy should remain </w:t>
      </w:r>
      <w:r w:rsidRPr="6FB20578" w:rsidR="5794444C">
        <w:rPr>
          <w:rFonts w:ascii="Arial" w:hAnsi="Arial" w:eastAsia="Arial" w:cs="Arial"/>
          <w:noProof w:val="0"/>
          <w:sz w:val="24"/>
          <w:szCs w:val="24"/>
          <w:lang w:val="en-US"/>
        </w:rPr>
        <w:t>standardised</w:t>
      </w:r>
      <w:r w:rsidRPr="6FB20578" w:rsidR="5794444C">
        <w:rPr>
          <w:rFonts w:ascii="Arial" w:hAnsi="Arial" w:eastAsia="Arial" w:cs="Arial"/>
          <w:noProof w:val="0"/>
          <w:sz w:val="24"/>
          <w:szCs w:val="24"/>
          <w:lang w:val="en-US"/>
        </w:rPr>
        <w:t xml:space="preserve"> and which require adaptation</w:t>
      </w:r>
      <w:r w:rsidRPr="6FB20578" w:rsidR="359AFE7D">
        <w:rPr>
          <w:rFonts w:ascii="Arial" w:hAnsi="Arial" w:eastAsia="Arial" w:cs="Arial"/>
          <w:noProof w:val="0"/>
          <w:sz w:val="24"/>
          <w:szCs w:val="24"/>
          <w:lang w:val="en-US"/>
        </w:rPr>
        <w:t xml:space="preserve"> (Rašković, Makovec Brenčič and Jaklič, 2013)</w:t>
      </w:r>
      <w:r w:rsidRPr="6FB20578" w:rsidR="5794444C">
        <w:rPr>
          <w:rFonts w:ascii="Arial" w:hAnsi="Arial" w:eastAsia="Arial" w:cs="Arial"/>
          <w:noProof w:val="0"/>
          <w:sz w:val="24"/>
          <w:szCs w:val="24"/>
          <w:lang w:val="en-US"/>
        </w:rPr>
        <w:t>.</w:t>
      </w:r>
    </w:p>
    <w:p w:rsidR="5794444C" w:rsidP="6FB20578" w:rsidRDefault="5794444C" w14:paraId="2B0589F9" w14:textId="41888638">
      <w:pPr>
        <w:pStyle w:val="Normal"/>
        <w:spacing w:before="240" w:beforeAutospacing="off" w:after="240" w:afterAutospacing="off" w:line="360" w:lineRule="auto"/>
      </w:pPr>
      <w:r w:rsidRPr="6FB20578" w:rsidR="5794444C">
        <w:rPr>
          <w:rFonts w:ascii="Arial" w:hAnsi="Arial" w:eastAsia="Arial" w:cs="Arial"/>
          <w:noProof w:val="0"/>
          <w:sz w:val="24"/>
          <w:szCs w:val="24"/>
          <w:lang w:val="en-US"/>
        </w:rPr>
        <w:t xml:space="preserve">Dunning’s (1988) Eclectic Paradigm also changed my understanding of foreign market entry decisions. I learned that attractive markets do not automatically justify investment; firms must evaluate ownership advantages, location </w:t>
      </w:r>
      <w:r w:rsidRPr="6FB20578" w:rsidR="5794444C">
        <w:rPr>
          <w:rFonts w:ascii="Arial" w:hAnsi="Arial" w:eastAsia="Arial" w:cs="Arial"/>
          <w:noProof w:val="0"/>
          <w:sz w:val="24"/>
          <w:szCs w:val="24"/>
          <w:lang w:val="en-US"/>
        </w:rPr>
        <w:t>benefits</w:t>
      </w:r>
      <w:r w:rsidRPr="6FB20578" w:rsidR="5794444C">
        <w:rPr>
          <w:rFonts w:ascii="Arial" w:hAnsi="Arial" w:eastAsia="Arial" w:cs="Arial"/>
          <w:noProof w:val="0"/>
          <w:sz w:val="24"/>
          <w:szCs w:val="24"/>
          <w:lang w:val="en-US"/>
        </w:rPr>
        <w:t xml:space="preserve"> and </w:t>
      </w:r>
      <w:r w:rsidRPr="6FB20578" w:rsidR="5794444C">
        <w:rPr>
          <w:rFonts w:ascii="Arial" w:hAnsi="Arial" w:eastAsia="Arial" w:cs="Arial"/>
          <w:noProof w:val="0"/>
          <w:sz w:val="24"/>
          <w:szCs w:val="24"/>
          <w:lang w:val="en-US"/>
        </w:rPr>
        <w:t>internalisation</w:t>
      </w:r>
      <w:r w:rsidRPr="6FB20578" w:rsidR="5794444C">
        <w:rPr>
          <w:rFonts w:ascii="Arial" w:hAnsi="Arial" w:eastAsia="Arial" w:cs="Arial"/>
          <w:noProof w:val="0"/>
          <w:sz w:val="24"/>
          <w:szCs w:val="24"/>
          <w:lang w:val="en-US"/>
        </w:rPr>
        <w:t xml:space="preserve"> decisions. This influenced my recommendation that IKEA should adopt a phased partnership </w:t>
      </w:r>
      <w:r w:rsidRPr="6FB20578" w:rsidR="5794444C">
        <w:rPr>
          <w:rFonts w:ascii="Arial" w:hAnsi="Arial" w:eastAsia="Arial" w:cs="Arial"/>
          <w:noProof w:val="0"/>
          <w:sz w:val="24"/>
          <w:szCs w:val="24"/>
          <w:lang w:val="en-US"/>
        </w:rPr>
        <w:t>strategy</w:t>
      </w:r>
      <w:r w:rsidRPr="6FB20578" w:rsidR="5794444C">
        <w:rPr>
          <w:rFonts w:ascii="Arial" w:hAnsi="Arial" w:eastAsia="Arial" w:cs="Arial"/>
          <w:noProof w:val="0"/>
          <w:sz w:val="24"/>
          <w:szCs w:val="24"/>
          <w:lang w:val="en-US"/>
        </w:rPr>
        <w:t xml:space="preserve"> rather than immediate full ownership in Nigeria</w:t>
      </w:r>
      <w:r w:rsidRPr="6FB20578" w:rsidR="499A750A">
        <w:rPr>
          <w:rFonts w:ascii="Arial" w:hAnsi="Arial" w:eastAsia="Arial" w:cs="Arial"/>
          <w:noProof w:val="0"/>
          <w:sz w:val="24"/>
          <w:szCs w:val="24"/>
          <w:lang w:val="en-US"/>
        </w:rPr>
        <w:t xml:space="preserve"> (Prahalad, 2006)</w:t>
      </w:r>
      <w:r w:rsidRPr="6FB20578" w:rsidR="5794444C">
        <w:rPr>
          <w:rFonts w:ascii="Arial" w:hAnsi="Arial" w:eastAsia="Arial" w:cs="Arial"/>
          <w:noProof w:val="0"/>
          <w:sz w:val="24"/>
          <w:szCs w:val="24"/>
          <w:lang w:val="en-US"/>
        </w:rPr>
        <w:t>.</w:t>
      </w:r>
    </w:p>
    <w:p w:rsidR="5794444C" w:rsidP="6FB20578" w:rsidRDefault="5794444C" w14:paraId="574E3FA1" w14:textId="5A98D31E">
      <w:pPr>
        <w:spacing w:before="240" w:beforeAutospacing="off" w:after="240" w:afterAutospacing="off" w:line="360" w:lineRule="auto"/>
      </w:pPr>
      <w:r w:rsidRPr="6FB20578" w:rsidR="5794444C">
        <w:rPr>
          <w:rFonts w:ascii="Arial" w:hAnsi="Arial" w:eastAsia="Arial" w:cs="Arial"/>
          <w:noProof w:val="0"/>
          <w:sz w:val="24"/>
          <w:szCs w:val="24"/>
          <w:lang w:val="en-US"/>
        </w:rPr>
        <w:t>The assignment also strengthened my understanding of emerging markets. I initially associated large populations with strong investment opportunities; however, analysing Nigeria demonstrated that demographic potential must be assessed alongside infrastructure limitations, regulatory challenges, economic volatility and cultural differences. This reinforced the importance of balanced, evidence-based strategic decision-making.</w:t>
      </w:r>
    </w:p>
    <w:p w:rsidR="5794444C" w:rsidP="6FB20578" w:rsidRDefault="5794444C" w14:paraId="1E9F6C0C" w14:textId="2CD71448">
      <w:pPr>
        <w:pStyle w:val="Normal"/>
        <w:rPr>
          <w:b w:val="1"/>
          <w:bCs w:val="1"/>
          <w:noProof w:val="0"/>
          <w:lang w:val="en-US"/>
        </w:rPr>
      </w:pPr>
      <w:r w:rsidRPr="6FB20578" w:rsidR="5794444C">
        <w:rPr>
          <w:b w:val="1"/>
          <w:bCs w:val="1"/>
          <w:noProof w:val="0"/>
          <w:lang w:val="en-US"/>
        </w:rPr>
        <w:t>4.5 Conclusion and Action Plan</w:t>
      </w:r>
    </w:p>
    <w:p w:rsidR="5794444C" w:rsidP="6FB20578" w:rsidRDefault="5794444C" w14:paraId="35DB9BD5" w14:textId="0849C872">
      <w:pPr>
        <w:pStyle w:val="Normal"/>
        <w:spacing w:before="240" w:beforeAutospacing="off" w:after="240" w:afterAutospacing="off" w:line="360" w:lineRule="auto"/>
      </w:pPr>
      <w:r w:rsidRPr="6FB20578" w:rsidR="5794444C">
        <w:rPr>
          <w:rFonts w:ascii="Arial" w:hAnsi="Arial" w:eastAsia="Arial" w:cs="Arial"/>
          <w:noProof w:val="0"/>
          <w:sz w:val="24"/>
          <w:szCs w:val="24"/>
          <w:lang w:val="en-US"/>
        </w:rPr>
        <w:t xml:space="preserve">Overall, this assignment strengthened my research, </w:t>
      </w:r>
      <w:r w:rsidRPr="6FB20578" w:rsidR="5794444C">
        <w:rPr>
          <w:rFonts w:ascii="Arial" w:hAnsi="Arial" w:eastAsia="Arial" w:cs="Arial"/>
          <w:noProof w:val="0"/>
          <w:sz w:val="24"/>
          <w:szCs w:val="24"/>
          <w:lang w:val="en-US"/>
        </w:rPr>
        <w:t>analytical</w:t>
      </w:r>
      <w:r w:rsidRPr="6FB20578" w:rsidR="5794444C">
        <w:rPr>
          <w:rFonts w:ascii="Arial" w:hAnsi="Arial" w:eastAsia="Arial" w:cs="Arial"/>
          <w:noProof w:val="0"/>
          <w:sz w:val="24"/>
          <w:szCs w:val="24"/>
          <w:lang w:val="en-US"/>
        </w:rPr>
        <w:t xml:space="preserve"> and critical thinking skills while improving my understanding of international business </w:t>
      </w:r>
      <w:r w:rsidRPr="6FB20578" w:rsidR="5794444C">
        <w:rPr>
          <w:rFonts w:ascii="Arial" w:hAnsi="Arial" w:eastAsia="Arial" w:cs="Arial"/>
          <w:noProof w:val="0"/>
          <w:sz w:val="24"/>
          <w:szCs w:val="24"/>
          <w:lang w:val="en-US"/>
        </w:rPr>
        <w:t>strategy</w:t>
      </w:r>
      <w:r w:rsidRPr="6FB20578" w:rsidR="1627E1E7">
        <w:rPr>
          <w:rFonts w:ascii="Arial" w:hAnsi="Arial" w:eastAsia="Arial" w:cs="Arial"/>
          <w:noProof w:val="0"/>
          <w:sz w:val="24"/>
          <w:szCs w:val="24"/>
          <w:lang w:val="en-US"/>
        </w:rPr>
        <w:t xml:space="preserve"> (Prahalad, 2006)</w:t>
      </w:r>
      <w:r w:rsidRPr="6FB20578" w:rsidR="5794444C">
        <w:rPr>
          <w:rFonts w:ascii="Arial" w:hAnsi="Arial" w:eastAsia="Arial" w:cs="Arial"/>
          <w:noProof w:val="0"/>
          <w:sz w:val="24"/>
          <w:szCs w:val="24"/>
          <w:lang w:val="en-US"/>
        </w:rPr>
        <w:t xml:space="preserve">. The IKEA–Nigeria case </w:t>
      </w:r>
      <w:r w:rsidRPr="6FB20578" w:rsidR="5794444C">
        <w:rPr>
          <w:rFonts w:ascii="Arial" w:hAnsi="Arial" w:eastAsia="Arial" w:cs="Arial"/>
          <w:noProof w:val="0"/>
          <w:sz w:val="24"/>
          <w:szCs w:val="24"/>
          <w:lang w:val="en-US"/>
        </w:rPr>
        <w:t>demonstrated</w:t>
      </w:r>
      <w:r w:rsidRPr="6FB20578" w:rsidR="5794444C">
        <w:rPr>
          <w:rFonts w:ascii="Arial" w:hAnsi="Arial" w:eastAsia="Arial" w:cs="Arial"/>
          <w:noProof w:val="0"/>
          <w:sz w:val="24"/>
          <w:szCs w:val="24"/>
          <w:lang w:val="en-US"/>
        </w:rPr>
        <w:t xml:space="preserve"> that successful international expansion requires </w:t>
      </w:r>
      <w:r w:rsidRPr="6FB20578" w:rsidR="5794444C">
        <w:rPr>
          <w:rFonts w:ascii="Arial" w:hAnsi="Arial" w:eastAsia="Arial" w:cs="Arial"/>
          <w:noProof w:val="0"/>
          <w:sz w:val="24"/>
          <w:szCs w:val="24"/>
          <w:lang w:val="en-US"/>
        </w:rPr>
        <w:t>organisations</w:t>
      </w:r>
      <w:r w:rsidRPr="6FB20578" w:rsidR="5794444C">
        <w:rPr>
          <w:rFonts w:ascii="Arial" w:hAnsi="Arial" w:eastAsia="Arial" w:cs="Arial"/>
          <w:noProof w:val="0"/>
          <w:sz w:val="24"/>
          <w:szCs w:val="24"/>
          <w:lang w:val="en-US"/>
        </w:rPr>
        <w:t xml:space="preserve"> to balance opportunities with risks while aligning global capabilities with local market conditions.</w:t>
      </w:r>
    </w:p>
    <w:p w:rsidR="5794444C" w:rsidP="6FB20578" w:rsidRDefault="5794444C" w14:paraId="3473B939" w14:textId="3516C1C9">
      <w:pPr>
        <w:spacing w:before="240" w:beforeAutospacing="off" w:after="240" w:afterAutospacing="off" w:line="360" w:lineRule="auto"/>
      </w:pPr>
      <w:r w:rsidRPr="6FB20578" w:rsidR="5794444C">
        <w:rPr>
          <w:rFonts w:ascii="Arial" w:hAnsi="Arial" w:eastAsia="Arial" w:cs="Arial"/>
          <w:noProof w:val="0"/>
          <w:sz w:val="24"/>
          <w:szCs w:val="24"/>
          <w:lang w:val="en-US"/>
        </w:rPr>
        <w:t>The assignment also highlighted the importance of using feedback to strengthen strategic decision-making. Reflective learning involves moving beyond identifying what was successful or unsuccessful by considering how feedback can improve future practice (Quinton and Smallbone, 2010). Feedback received during the assignment process, particularly regarding the use of visual tools, tables and additional strategic frameworks, reinforced that effective analysis requires not only theoretical understanding but also the ability to communicate complex information clearly through appropriate analytical methods.</w:t>
      </w:r>
    </w:p>
    <w:p w:rsidR="5794444C" w:rsidP="6FB20578" w:rsidRDefault="5794444C" w14:paraId="1A71BAB9" w14:textId="30D20969">
      <w:pPr>
        <w:spacing w:before="240" w:beforeAutospacing="off" w:after="240" w:afterAutospacing="off" w:line="360" w:lineRule="auto"/>
      </w:pPr>
      <w:r w:rsidRPr="6FB20578" w:rsidR="5794444C">
        <w:rPr>
          <w:rFonts w:ascii="Arial" w:hAnsi="Arial" w:eastAsia="Arial" w:cs="Arial"/>
          <w:noProof w:val="0"/>
          <w:sz w:val="24"/>
          <w:szCs w:val="24"/>
          <w:lang w:val="en-US"/>
        </w:rPr>
        <w:t>For future assignments, I will continue developing my ability to evaluate evidence critically, strengthen connections between theory and recommendations, and use analytical tools more effectively to communicate strategic arguments. I will also begin research earlier to allow additional time for reviewing evidence, improving synthesis and refining conclusions.</w:t>
      </w:r>
    </w:p>
    <w:p w:rsidR="000A5158" w:rsidP="6FB20578" w:rsidRDefault="000A5158" w14:paraId="533967B2" w14:textId="6E85EF4C">
      <w:pPr>
        <w:pStyle w:val="Normal"/>
        <w:spacing w:before="240" w:after="240" w:line="360" w:lineRule="auto"/>
        <w:rPr>
          <w:rFonts w:ascii="Arial" w:hAnsi="Arial" w:eastAsia="Arial" w:cs="Arial"/>
        </w:rPr>
      </w:pPr>
    </w:p>
    <w:p w:rsidR="000A5158" w:rsidP="54A1BFA9" w:rsidRDefault="44875AF8" w14:paraId="6A4F77DF" w14:textId="4D892D7C">
      <w:pPr>
        <w:pStyle w:val="Heading2"/>
      </w:pPr>
      <w:bookmarkStart w:name="_Toc860759716" w:id="2044791941"/>
      <w:bookmarkStart w:name="_Toc1610471878" w:id="922376447"/>
      <w:r w:rsidR="4488CFD4">
        <w:rPr/>
        <w:t>References</w:t>
      </w:r>
      <w:bookmarkEnd w:id="2044791941"/>
      <w:bookmarkEnd w:id="922376447"/>
      <w:r w:rsidR="1C0A51CE">
        <w:rPr/>
        <w:t xml:space="preserve"> </w:t>
      </w:r>
    </w:p>
    <w:p w:rsidR="000A5158" w:rsidP="7DA9FC50" w:rsidRDefault="0D8E74E4" w14:paraId="0558C0A5" w14:textId="7A30569F">
      <w:pPr>
        <w:spacing w:after="240" w:line="360" w:lineRule="auto"/>
      </w:pPr>
      <w:r w:rsidRPr="7DA9FC50">
        <w:rPr>
          <w:rFonts w:ascii="Arial" w:hAnsi="Arial" w:eastAsia="Arial" w:cs="Arial"/>
        </w:rPr>
        <w:t xml:space="preserve">Adejugbe, A. (2013). </w:t>
      </w:r>
      <w:r w:rsidRPr="7DA9FC50">
        <w:rPr>
          <w:rFonts w:ascii="Arial" w:hAnsi="Arial" w:eastAsia="Arial" w:cs="Arial"/>
          <w:i/>
          <w:iCs/>
        </w:rPr>
        <w:t>Foreign direct investment in Nigeria; overcoming legal and regulatory challenges to foreign direct investments in Nigeria: Is the Nigerian government doing enough?</w:t>
      </w:r>
      <w:r w:rsidRPr="7DA9FC50">
        <w:rPr>
          <w:rFonts w:ascii="Arial" w:hAnsi="Arial" w:eastAsia="Arial" w:cs="Arial"/>
        </w:rPr>
        <w:t xml:space="preserve"> </w:t>
      </w:r>
      <w:r w:rsidRPr="7DA9FC50">
        <w:rPr>
          <w:rFonts w:ascii="Arial" w:hAnsi="Arial" w:eastAsia="Arial" w:cs="Arial"/>
          <w:i/>
          <w:iCs/>
        </w:rPr>
        <w:t>papers.ssrn.com</w:t>
      </w:r>
      <w:r w:rsidRPr="7DA9FC50">
        <w:rPr>
          <w:rFonts w:ascii="Arial" w:hAnsi="Arial" w:eastAsia="Arial" w:cs="Arial"/>
        </w:rPr>
        <w:t xml:space="preserve">. Rochester, NY. Available at: </w:t>
      </w:r>
      <w:hyperlink r:id="rId12">
        <w:r w:rsidRPr="7DA9FC50">
          <w:rPr>
            <w:rStyle w:val="Hyperlink"/>
          </w:rPr>
          <w:t>https://papers.ssrn.com/sol3/papers.cfm?abstract_id=2354319</w:t>
        </w:r>
      </w:hyperlink>
      <w:r w:rsidRPr="7DA9FC50">
        <w:rPr>
          <w:rFonts w:ascii="Arial" w:hAnsi="Arial" w:eastAsia="Arial" w:cs="Arial"/>
        </w:rPr>
        <w:t xml:space="preserve"> </w:t>
      </w:r>
      <w:r w:rsidRPr="7DA9FC50" w:rsidR="588F472A">
        <w:rPr>
          <w:rFonts w:ascii="Arial" w:hAnsi="Arial" w:eastAsia="Arial" w:cs="Arial"/>
        </w:rPr>
        <w:t>(</w:t>
      </w:r>
      <w:r w:rsidRPr="7DA9FC50">
        <w:rPr>
          <w:rFonts w:ascii="Arial" w:hAnsi="Arial" w:eastAsia="Arial" w:cs="Arial"/>
        </w:rPr>
        <w:t xml:space="preserve">Accessed 6 </w:t>
      </w:r>
      <w:r w:rsidRPr="7DA9FC50" w:rsidR="23AE077B">
        <w:rPr>
          <w:rFonts w:ascii="Arial" w:hAnsi="Arial" w:eastAsia="Arial" w:cs="Arial"/>
        </w:rPr>
        <w:t>August</w:t>
      </w:r>
      <w:r w:rsidRPr="7DA9FC50">
        <w:rPr>
          <w:rFonts w:ascii="Arial" w:hAnsi="Arial" w:eastAsia="Arial" w:cs="Arial"/>
        </w:rPr>
        <w:t xml:space="preserve"> 2026</w:t>
      </w:r>
      <w:r w:rsidRPr="7DA9FC50" w:rsidR="639D0BE7">
        <w:rPr>
          <w:rFonts w:ascii="Arial" w:hAnsi="Arial" w:eastAsia="Arial" w:cs="Arial"/>
        </w:rPr>
        <w:t>)</w:t>
      </w:r>
      <w:r w:rsidRPr="7DA9FC50">
        <w:rPr>
          <w:rFonts w:ascii="Arial" w:hAnsi="Arial" w:eastAsia="Arial" w:cs="Arial"/>
        </w:rPr>
        <w:t>.</w:t>
      </w:r>
    </w:p>
    <w:p w:rsidR="000A5158" w:rsidP="7DA9FC50" w:rsidRDefault="506BEA3C" w14:paraId="104A0229" w14:textId="7765AA3B">
      <w:pPr>
        <w:spacing w:after="240" w:line="360" w:lineRule="auto"/>
      </w:pPr>
      <w:r w:rsidRPr="7DA9FC50">
        <w:rPr>
          <w:rFonts w:ascii="Arial" w:hAnsi="Arial" w:eastAsia="Arial" w:cs="Arial"/>
        </w:rPr>
        <w:t xml:space="preserve">Barney, J. (1991). Firm resources and sustained competitive advantage. </w:t>
      </w:r>
      <w:r w:rsidRPr="7DA9FC50">
        <w:rPr>
          <w:rFonts w:ascii="Arial" w:hAnsi="Arial" w:eastAsia="Arial" w:cs="Arial"/>
          <w:i/>
          <w:iCs/>
        </w:rPr>
        <w:t>Journal of Management</w:t>
      </w:r>
      <w:r w:rsidRPr="7DA9FC50">
        <w:rPr>
          <w:rFonts w:ascii="Arial" w:hAnsi="Arial" w:eastAsia="Arial" w:cs="Arial"/>
        </w:rPr>
        <w:t xml:space="preserve">, 17(1), pp.99–120. </w:t>
      </w:r>
      <w:r w:rsidRPr="7DA9FC50" w:rsidR="12F177E9">
        <w:rPr>
          <w:rFonts w:ascii="Arial" w:hAnsi="Arial" w:eastAsia="Arial" w:cs="Arial"/>
        </w:rPr>
        <w:t xml:space="preserve"> </w:t>
      </w:r>
      <w:hyperlink r:id="rId13">
        <w:r w:rsidRPr="7DA9FC50">
          <w:rPr>
            <w:rStyle w:val="Hyperlink"/>
          </w:rPr>
          <w:t>https://doi.org/10.1177/014920639101700108</w:t>
        </w:r>
      </w:hyperlink>
      <w:r w:rsidRPr="7DA9FC50">
        <w:rPr>
          <w:rFonts w:ascii="Arial" w:hAnsi="Arial" w:eastAsia="Arial" w:cs="Arial"/>
        </w:rPr>
        <w:t>.</w:t>
      </w:r>
      <w:r w:rsidRPr="7DA9FC50" w:rsidR="2D6EC8D8">
        <w:rPr>
          <w:rFonts w:ascii="Arial" w:hAnsi="Arial" w:eastAsia="Arial" w:cs="Arial"/>
        </w:rPr>
        <w:t xml:space="preserve"> </w:t>
      </w:r>
    </w:p>
    <w:p w:rsidR="000A5158" w:rsidP="7DA9FC50" w:rsidRDefault="506BEA3C" w14:paraId="6F1F89FD" w14:textId="75A34963">
      <w:pPr>
        <w:spacing w:after="240" w:line="360" w:lineRule="auto"/>
      </w:pPr>
      <w:r w:rsidRPr="7DA9FC50">
        <w:rPr>
          <w:rFonts w:ascii="Arial" w:hAnsi="Arial" w:eastAsia="Arial" w:cs="Arial"/>
        </w:rPr>
        <w:t>Brilliant Maps (2024).</w:t>
      </w:r>
      <w:r w:rsidRPr="7DA9FC50" w:rsidR="5CFBCFA1">
        <w:rPr>
          <w:b/>
          <w:bCs/>
        </w:rPr>
        <w:t xml:space="preserve"> </w:t>
      </w:r>
      <w:r w:rsidRPr="7DA9FC50" w:rsidR="164CEA83">
        <w:rPr>
          <w:b/>
          <w:bCs/>
        </w:rPr>
        <w:t>(</w:t>
      </w:r>
      <w:r w:rsidR="164CEA83">
        <w:t>Figure</w:t>
      </w:r>
      <w:r w:rsidRPr="7DA9FC50" w:rsidR="164CEA83">
        <w:rPr>
          <w:rFonts w:ascii="Arial" w:hAnsi="Arial" w:eastAsia="Arial" w:cs="Arial"/>
        </w:rPr>
        <w:t xml:space="preserve"> 1)</w:t>
      </w:r>
      <w:r w:rsidRPr="7DA9FC50">
        <w:rPr>
          <w:rFonts w:ascii="Arial" w:hAnsi="Arial" w:eastAsia="Arial" w:cs="Arial"/>
        </w:rPr>
        <w:t xml:space="preserve"> </w:t>
      </w:r>
      <w:r w:rsidRPr="7DA9FC50">
        <w:rPr>
          <w:rFonts w:ascii="Arial" w:hAnsi="Arial" w:eastAsia="Arial" w:cs="Arial"/>
          <w:i/>
          <w:iCs/>
        </w:rPr>
        <w:t>Map of all countries with IKEA stores - brilliant maps</w:t>
      </w:r>
      <w:r w:rsidRPr="7DA9FC50">
        <w:rPr>
          <w:rFonts w:ascii="Arial" w:hAnsi="Arial" w:eastAsia="Arial" w:cs="Arial"/>
        </w:rPr>
        <w:t xml:space="preserve">.  </w:t>
      </w:r>
      <w:r w:rsidRPr="7DA9FC50">
        <w:rPr>
          <w:rFonts w:ascii="Arial" w:hAnsi="Arial" w:eastAsia="Arial" w:cs="Arial"/>
          <w:i/>
          <w:iCs/>
        </w:rPr>
        <w:t>Brilliant Maps</w:t>
      </w:r>
      <w:r w:rsidRPr="7DA9FC50">
        <w:rPr>
          <w:rFonts w:ascii="Arial" w:hAnsi="Arial" w:eastAsia="Arial" w:cs="Arial"/>
        </w:rPr>
        <w:t xml:space="preserve">. Available at: </w:t>
      </w:r>
      <w:hyperlink r:id="rId14">
        <w:r w:rsidRPr="7DA9FC50">
          <w:rPr>
            <w:rStyle w:val="Hyperlink"/>
          </w:rPr>
          <w:t>https://brilliantmaps.com/ikea-stores-worldwide/</w:t>
        </w:r>
      </w:hyperlink>
      <w:r w:rsidRPr="7DA9FC50">
        <w:rPr>
          <w:rFonts w:ascii="Arial" w:hAnsi="Arial" w:eastAsia="Arial" w:cs="Arial"/>
        </w:rPr>
        <w:t xml:space="preserve"> </w:t>
      </w:r>
      <w:r w:rsidRPr="7DA9FC50" w:rsidR="368B3AB1">
        <w:rPr>
          <w:rFonts w:ascii="Arial" w:hAnsi="Arial" w:eastAsia="Arial" w:cs="Arial"/>
        </w:rPr>
        <w:t>(Accessed 5 August 2026).</w:t>
      </w:r>
    </w:p>
    <w:p w:rsidR="000A5158" w:rsidP="7DA9FC50" w:rsidRDefault="506BEA3C" w14:paraId="687FD266" w14:textId="40224E08">
      <w:pPr>
        <w:spacing w:after="240" w:line="360" w:lineRule="auto"/>
      </w:pPr>
      <w:r w:rsidRPr="6FB20578" w:rsidR="1CF45A65">
        <w:rPr>
          <w:rFonts w:ascii="Arial" w:hAnsi="Arial" w:eastAsia="Arial" w:cs="Arial"/>
        </w:rPr>
        <w:t xml:space="preserve">Dunning, J.H. (1988). The eclectic paradigm of international production: A restatement and some possible extensions. </w:t>
      </w:r>
      <w:r w:rsidRPr="6FB20578" w:rsidR="1CF45A65">
        <w:rPr>
          <w:rFonts w:ascii="Arial" w:hAnsi="Arial" w:eastAsia="Arial" w:cs="Arial"/>
          <w:i w:val="1"/>
          <w:iCs w:val="1"/>
        </w:rPr>
        <w:t>Journal of International Business Studies</w:t>
      </w:r>
      <w:r w:rsidRPr="6FB20578" w:rsidR="1CF45A65">
        <w:rPr>
          <w:rFonts w:ascii="Arial" w:hAnsi="Arial" w:eastAsia="Arial" w:cs="Arial"/>
        </w:rPr>
        <w:t xml:space="preserve">, 19(1), pp.1–31. </w:t>
      </w:r>
      <w:hyperlink r:id="R11f3c9e723ea4b92">
        <w:r w:rsidRPr="6FB20578" w:rsidR="1CF45A65">
          <w:rPr>
            <w:rStyle w:val="Hyperlink"/>
          </w:rPr>
          <w:t>https://doi.org/10.1057/palgrave.jibs.8490372</w:t>
        </w:r>
      </w:hyperlink>
      <w:r w:rsidRPr="6FB20578" w:rsidR="1CF45A65">
        <w:rPr>
          <w:rFonts w:ascii="Arial" w:hAnsi="Arial" w:eastAsia="Arial" w:cs="Arial"/>
        </w:rPr>
        <w:t>.</w:t>
      </w:r>
    </w:p>
    <w:p w:rsidR="76B213FA" w:rsidP="6FB20578" w:rsidRDefault="76B213FA" w14:paraId="425DB0EF" w14:textId="5328B393">
      <w:pPr>
        <w:spacing w:before="0" w:beforeAutospacing="off" w:after="240" w:afterAutospacing="off" w:line="360" w:lineRule="auto"/>
      </w:pPr>
      <w:r w:rsidRPr="6FB20578" w:rsidR="76B213FA">
        <w:rPr>
          <w:rFonts w:ascii="Arial" w:hAnsi="Arial" w:eastAsia="Arial" w:cs="Arial"/>
          <w:noProof w:val="0"/>
          <w:sz w:val="24"/>
          <w:szCs w:val="24"/>
          <w:lang w:val="en-US"/>
        </w:rPr>
        <w:t xml:space="preserve">Gratton, P. (2025). </w:t>
      </w:r>
      <w:r w:rsidRPr="6FB20578" w:rsidR="76B213FA">
        <w:rPr>
          <w:rFonts w:ascii="Arial" w:hAnsi="Arial" w:eastAsia="Arial" w:cs="Arial"/>
          <w:i w:val="1"/>
          <w:iCs w:val="1"/>
          <w:noProof w:val="0"/>
          <w:sz w:val="24"/>
          <w:szCs w:val="24"/>
          <w:lang w:val="en-US"/>
        </w:rPr>
        <w:t xml:space="preserve">Porter’s five forces </w:t>
      </w:r>
      <w:r w:rsidRPr="6FB20578" w:rsidR="76B213FA">
        <w:rPr>
          <w:rFonts w:ascii="Arial" w:hAnsi="Arial" w:eastAsia="Arial" w:cs="Arial"/>
          <w:i w:val="1"/>
          <w:iCs w:val="1"/>
          <w:noProof w:val="0"/>
          <w:sz w:val="24"/>
          <w:szCs w:val="24"/>
          <w:lang w:val="en-US"/>
        </w:rPr>
        <w:t>explained and</w:t>
      </w:r>
      <w:r w:rsidRPr="6FB20578" w:rsidR="76B213FA">
        <w:rPr>
          <w:rFonts w:ascii="Arial" w:hAnsi="Arial" w:eastAsia="Arial" w:cs="Arial"/>
          <w:i w:val="1"/>
          <w:iCs w:val="1"/>
          <w:noProof w:val="0"/>
          <w:sz w:val="24"/>
          <w:szCs w:val="24"/>
          <w:lang w:val="en-US"/>
        </w:rPr>
        <w:t xml:space="preserve"> how to use the model</w:t>
      </w:r>
      <w:r w:rsidRPr="6FB20578" w:rsidR="76B213FA">
        <w:rPr>
          <w:rFonts w:ascii="Arial" w:hAnsi="Arial" w:eastAsia="Arial" w:cs="Arial"/>
          <w:noProof w:val="0"/>
          <w:sz w:val="24"/>
          <w:szCs w:val="24"/>
          <w:lang w:val="en-US"/>
        </w:rPr>
        <w:t xml:space="preserve">.  </w:t>
      </w:r>
      <w:r w:rsidRPr="6FB20578" w:rsidR="76B213FA">
        <w:rPr>
          <w:rFonts w:ascii="Arial" w:hAnsi="Arial" w:eastAsia="Arial" w:cs="Arial"/>
          <w:i w:val="1"/>
          <w:iCs w:val="1"/>
          <w:noProof w:val="0"/>
          <w:sz w:val="24"/>
          <w:szCs w:val="24"/>
          <w:lang w:val="en-US"/>
        </w:rPr>
        <w:t>Investopedia</w:t>
      </w:r>
      <w:r w:rsidRPr="6FB20578" w:rsidR="76B213FA">
        <w:rPr>
          <w:rFonts w:ascii="Arial" w:hAnsi="Arial" w:eastAsia="Arial" w:cs="Arial"/>
          <w:noProof w:val="0"/>
          <w:sz w:val="24"/>
          <w:szCs w:val="24"/>
          <w:lang w:val="en-US"/>
        </w:rPr>
        <w:t xml:space="preserve">. Available at: </w:t>
      </w:r>
      <w:hyperlink r:id="Ra0df39a98dd741d9">
        <w:r w:rsidRPr="6FB20578" w:rsidR="76B213FA">
          <w:rPr>
            <w:rStyle w:val="Hyperlink"/>
            <w:noProof w:val="0"/>
            <w:lang w:val="en-US"/>
          </w:rPr>
          <w:t>https://www.investopedia.com/terms/p/porter.asp</w:t>
        </w:r>
      </w:hyperlink>
      <w:r w:rsidRPr="6FB20578" w:rsidR="76B213FA">
        <w:rPr>
          <w:rFonts w:ascii="Arial" w:hAnsi="Arial" w:eastAsia="Arial" w:cs="Arial"/>
          <w:noProof w:val="0"/>
          <w:sz w:val="24"/>
          <w:szCs w:val="24"/>
          <w:lang w:val="en-US"/>
        </w:rPr>
        <w:t xml:space="preserve"> (Accessed 21 July 2026).</w:t>
      </w:r>
    </w:p>
    <w:p w:rsidR="000A5158" w:rsidP="7DA9FC50" w:rsidRDefault="506BEA3C" w14:paraId="31E780B8" w14:textId="44A8A003">
      <w:pPr>
        <w:spacing w:after="240" w:line="360" w:lineRule="auto"/>
      </w:pPr>
      <w:r w:rsidRPr="7DA9FC50">
        <w:rPr>
          <w:rFonts w:ascii="Arial" w:hAnsi="Arial" w:eastAsia="Arial" w:cs="Arial"/>
        </w:rPr>
        <w:t xml:space="preserve">Harzing, A.-W. (2000). An empirical analysis and extension of the Bartlett and ghoshal typology of multinational companies. </w:t>
      </w:r>
      <w:r w:rsidRPr="7DA9FC50">
        <w:rPr>
          <w:rFonts w:ascii="Arial" w:hAnsi="Arial" w:eastAsia="Arial" w:cs="Arial"/>
          <w:i/>
          <w:iCs/>
        </w:rPr>
        <w:t>Journal of International Business Studies</w:t>
      </w:r>
      <w:r w:rsidRPr="7DA9FC50">
        <w:rPr>
          <w:rFonts w:ascii="Arial" w:hAnsi="Arial" w:eastAsia="Arial" w:cs="Arial"/>
        </w:rPr>
        <w:t xml:space="preserve">,  31(1), pp.101–120. </w:t>
      </w:r>
      <w:hyperlink w:history="1" r:id="rId16">
        <w:r w:rsidRPr="7DA9FC50" w:rsidR="1E32A419">
          <w:rPr>
            <w:rStyle w:val="Hyperlink"/>
          </w:rPr>
          <w:t>https://</w:t>
        </w:r>
        <w:r w:rsidRPr="7DA9FC50">
          <w:rPr>
            <w:rStyle w:val="Hyperlink"/>
          </w:rPr>
          <w:t>doi:10.1057/palgrave.jibs.8490891</w:t>
        </w:r>
      </w:hyperlink>
      <w:r w:rsidRPr="7DA9FC50">
        <w:rPr>
          <w:rFonts w:ascii="Arial" w:hAnsi="Arial" w:eastAsia="Arial" w:cs="Arial"/>
        </w:rPr>
        <w:t>.</w:t>
      </w:r>
      <w:r w:rsidRPr="7DA9FC50" w:rsidR="72F547DF">
        <w:rPr>
          <w:rFonts w:ascii="Arial" w:hAnsi="Arial" w:eastAsia="Arial" w:cs="Arial"/>
        </w:rPr>
        <w:t xml:space="preserve"> </w:t>
      </w:r>
    </w:p>
    <w:p w:rsidR="000A5158" w:rsidP="7DA9FC50" w:rsidRDefault="506BEA3C" w14:paraId="332788F8" w14:textId="23E2EF04">
      <w:pPr>
        <w:spacing w:after="240" w:line="360" w:lineRule="auto"/>
      </w:pPr>
      <w:r w:rsidRPr="6FB20578" w:rsidR="1CF45A65">
        <w:rPr>
          <w:rFonts w:ascii="Arial" w:hAnsi="Arial" w:eastAsia="Arial" w:cs="Arial"/>
        </w:rPr>
        <w:t xml:space="preserve">Hill, C.W.L. and Kim, W.C. (1988). Searching for a dynamic theory of the multinational enterprise: A transaction cost model. </w:t>
      </w:r>
      <w:r w:rsidRPr="6FB20578" w:rsidR="1CF45A65">
        <w:rPr>
          <w:rFonts w:ascii="Arial" w:hAnsi="Arial" w:eastAsia="Arial" w:cs="Arial"/>
          <w:i w:val="1"/>
          <w:iCs w:val="1"/>
        </w:rPr>
        <w:t>Strategic Management Journal</w:t>
      </w:r>
      <w:r w:rsidRPr="6FB20578" w:rsidR="1CF45A65">
        <w:rPr>
          <w:rFonts w:ascii="Arial" w:hAnsi="Arial" w:eastAsia="Arial" w:cs="Arial"/>
        </w:rPr>
        <w:t xml:space="preserve">, 9(S1), pp.93–104. </w:t>
      </w:r>
      <w:hyperlink r:id="Rebfa8a7a25e94081">
        <w:r w:rsidRPr="6FB20578" w:rsidR="2923E22C">
          <w:rPr>
            <w:rStyle w:val="Hyperlink"/>
          </w:rPr>
          <w:t>https://</w:t>
        </w:r>
        <w:r w:rsidRPr="6FB20578" w:rsidR="1CF45A65">
          <w:rPr>
            <w:rStyle w:val="Hyperlink"/>
          </w:rPr>
          <w:t>doi:10.1002/smj.4250090710</w:t>
        </w:r>
      </w:hyperlink>
      <w:r w:rsidRPr="6FB20578" w:rsidR="1CF45A65">
        <w:rPr>
          <w:rFonts w:ascii="Arial" w:hAnsi="Arial" w:eastAsia="Arial" w:cs="Arial"/>
        </w:rPr>
        <w:t>.</w:t>
      </w:r>
      <w:r w:rsidRPr="6FB20578" w:rsidR="25CFB2A8">
        <w:rPr>
          <w:rFonts w:ascii="Arial" w:hAnsi="Arial" w:eastAsia="Arial" w:cs="Arial"/>
        </w:rPr>
        <w:t xml:space="preserve"> </w:t>
      </w:r>
    </w:p>
    <w:p w:rsidR="03CDA940" w:rsidP="6FB20578" w:rsidRDefault="03CDA940" w14:paraId="68DD0ECA" w14:textId="52F4D789">
      <w:pPr>
        <w:spacing w:before="0" w:beforeAutospacing="off" w:after="240" w:afterAutospacing="off" w:line="360" w:lineRule="auto"/>
      </w:pPr>
      <w:r w:rsidRPr="6FB20578" w:rsidR="03CDA940">
        <w:rPr>
          <w:rFonts w:ascii="Arial" w:hAnsi="Arial" w:eastAsia="Arial" w:cs="Arial"/>
          <w:noProof w:val="0"/>
          <w:sz w:val="24"/>
          <w:szCs w:val="24"/>
          <w:lang w:val="en-US"/>
        </w:rPr>
        <w:t xml:space="preserve">Jason, </w:t>
      </w:r>
      <w:r w:rsidRPr="6FB20578" w:rsidR="03CDA940">
        <w:rPr>
          <w:rFonts w:ascii="Arial" w:hAnsi="Arial" w:eastAsia="Arial" w:cs="Arial"/>
          <w:noProof w:val="0"/>
          <w:sz w:val="24"/>
          <w:szCs w:val="24"/>
          <w:lang w:val="en-US"/>
        </w:rPr>
        <w:t>C.</w:t>
      </w:r>
      <w:r w:rsidRPr="6FB20578" w:rsidR="03CDA940">
        <w:rPr>
          <w:rFonts w:ascii="Arial" w:hAnsi="Arial" w:eastAsia="Arial" w:cs="Arial"/>
          <w:noProof w:val="0"/>
          <w:sz w:val="24"/>
          <w:szCs w:val="24"/>
          <w:lang w:val="en-US"/>
        </w:rPr>
        <w:t xml:space="preserve"> and Gerald, W. (2026). </w:t>
      </w:r>
      <w:r w:rsidRPr="6FB20578" w:rsidR="03CDA940">
        <w:rPr>
          <w:rFonts w:ascii="Arial" w:hAnsi="Arial" w:eastAsia="Arial" w:cs="Arial"/>
          <w:i w:val="1"/>
          <w:iCs w:val="1"/>
          <w:noProof w:val="0"/>
          <w:sz w:val="24"/>
          <w:szCs w:val="24"/>
          <w:lang w:val="en-US"/>
        </w:rPr>
        <w:t>Shibboleth authentication request</w:t>
      </w:r>
      <w:r w:rsidRPr="6FB20578" w:rsidR="03CDA940">
        <w:rPr>
          <w:rFonts w:ascii="Arial" w:hAnsi="Arial" w:eastAsia="Arial" w:cs="Arial"/>
          <w:noProof w:val="0"/>
          <w:sz w:val="24"/>
          <w:szCs w:val="24"/>
          <w:lang w:val="en-US"/>
        </w:rPr>
        <w:t xml:space="preserve">. [Oclc.org. Available at: </w:t>
      </w:r>
      <w:hyperlink r:id="R42c06ef177f94b2b">
        <w:r w:rsidRPr="6FB20578" w:rsidR="03CDA940">
          <w:rPr>
            <w:rStyle w:val="Hyperlink"/>
            <w:noProof w:val="0"/>
            <w:lang w:val="en-US"/>
          </w:rPr>
          <w:t>https://www-proquest-com.uwtsd.idm.oclc.org/docview/212171407?accountid=130472&amp;sourcetype=Scholarly%20Journals</w:t>
        </w:r>
      </w:hyperlink>
      <w:r w:rsidRPr="6FB20578" w:rsidR="03CDA940">
        <w:rPr>
          <w:rFonts w:ascii="Arial" w:hAnsi="Arial" w:eastAsia="Arial" w:cs="Arial"/>
          <w:noProof w:val="0"/>
          <w:sz w:val="24"/>
          <w:szCs w:val="24"/>
          <w:lang w:val="en-US"/>
        </w:rPr>
        <w:t xml:space="preserve"> (Accessed 7 August 2026).</w:t>
      </w:r>
    </w:p>
    <w:p w:rsidR="000A5158" w:rsidP="7DA9FC50" w:rsidRDefault="506BEA3C" w14:paraId="18497F32" w14:textId="1C166245">
      <w:pPr>
        <w:spacing w:after="240" w:line="360" w:lineRule="auto"/>
      </w:pPr>
      <w:r w:rsidRPr="6FB20578" w:rsidR="1CF45A65">
        <w:rPr>
          <w:rFonts w:ascii="Arial" w:hAnsi="Arial" w:eastAsia="Arial" w:cs="Arial"/>
        </w:rPr>
        <w:t xml:space="preserve">Johanson, J. and Vahlne, J.-E. (1977). The internationalization process of the firm—A model of knowledge development and increasing foreign market commitments. </w:t>
      </w:r>
      <w:r w:rsidRPr="6FB20578" w:rsidR="1CF45A65">
        <w:rPr>
          <w:rFonts w:ascii="Arial" w:hAnsi="Arial" w:eastAsia="Arial" w:cs="Arial"/>
          <w:i w:val="1"/>
          <w:iCs w:val="1"/>
        </w:rPr>
        <w:t>Journal of International Business Studies</w:t>
      </w:r>
      <w:r w:rsidRPr="6FB20578" w:rsidR="1CF45A65">
        <w:rPr>
          <w:rFonts w:ascii="Arial" w:hAnsi="Arial" w:eastAsia="Arial" w:cs="Arial"/>
        </w:rPr>
        <w:t xml:space="preserve">,  8(1), pp.23–32. </w:t>
      </w:r>
      <w:hyperlink r:id="R05c0ab592d8f4a42">
        <w:r w:rsidRPr="6FB20578" w:rsidR="1CF45A65">
          <w:rPr>
            <w:rStyle w:val="Hyperlink"/>
          </w:rPr>
          <w:t>https://doi.org/10.1057/palgrave.jibs.8490676</w:t>
        </w:r>
      </w:hyperlink>
      <w:r w:rsidRPr="6FB20578" w:rsidR="1CF45A65">
        <w:rPr>
          <w:rFonts w:ascii="Arial" w:hAnsi="Arial" w:eastAsia="Arial" w:cs="Arial"/>
        </w:rPr>
        <w:t>.</w:t>
      </w:r>
      <w:r w:rsidRPr="6FB20578" w:rsidR="2972C6E0">
        <w:rPr>
          <w:rFonts w:ascii="Arial" w:hAnsi="Arial" w:eastAsia="Arial" w:cs="Arial"/>
        </w:rPr>
        <w:t xml:space="preserve"> </w:t>
      </w:r>
    </w:p>
    <w:p w:rsidR="32754192" w:rsidP="6FB20578" w:rsidRDefault="32754192" w14:paraId="35F0F3AD" w14:textId="60899B56">
      <w:pPr>
        <w:spacing w:before="0" w:beforeAutospacing="off" w:after="240" w:afterAutospacing="off" w:line="360" w:lineRule="auto"/>
      </w:pPr>
      <w:r w:rsidRPr="6FB20578" w:rsidR="32754192">
        <w:rPr>
          <w:rFonts w:ascii="Arial" w:hAnsi="Arial" w:eastAsia="Arial" w:cs="Arial"/>
          <w:noProof w:val="0"/>
          <w:sz w:val="24"/>
          <w:szCs w:val="24"/>
          <w:lang w:val="en-US"/>
        </w:rPr>
        <w:t xml:space="preserve">Keller, H. (2013). Attachment and culture. </w:t>
      </w:r>
      <w:r w:rsidRPr="6FB20578" w:rsidR="32754192">
        <w:rPr>
          <w:rFonts w:ascii="Arial" w:hAnsi="Arial" w:eastAsia="Arial" w:cs="Arial"/>
          <w:i w:val="1"/>
          <w:iCs w:val="1"/>
          <w:noProof w:val="0"/>
          <w:sz w:val="24"/>
          <w:szCs w:val="24"/>
          <w:lang w:val="en-US"/>
        </w:rPr>
        <w:t xml:space="preserve">Journal of Cross-Cultural </w:t>
      </w:r>
      <w:r w:rsidRPr="6FB20578" w:rsidR="32754192">
        <w:rPr>
          <w:rFonts w:ascii="Arial" w:hAnsi="Arial" w:eastAsia="Arial" w:cs="Arial"/>
          <w:i w:val="1"/>
          <w:iCs w:val="1"/>
          <w:noProof w:val="0"/>
          <w:sz w:val="24"/>
          <w:szCs w:val="24"/>
          <w:lang w:val="en-US"/>
        </w:rPr>
        <w:t>psychology</w:t>
      </w:r>
      <w:r w:rsidRPr="6FB20578" w:rsidR="32754192">
        <w:rPr>
          <w:rFonts w:ascii="Arial" w:hAnsi="Arial" w:eastAsia="Arial" w:cs="Arial"/>
          <w:noProof w:val="0"/>
          <w:sz w:val="24"/>
          <w:szCs w:val="24"/>
          <w:lang w:val="en-US"/>
        </w:rPr>
        <w:t xml:space="preserve">, [online] 44(2), pp.175–194. </w:t>
      </w:r>
      <w:r>
        <w:fldChar w:fldCharType="begin"/>
      </w:r>
      <w:r>
        <w:instrText xml:space="preserve">HYPERLINK "https://doi:10.1177/0022022112472253" </w:instrText>
      </w:r>
      <w:r>
        <w:fldChar w:fldCharType="separate"/>
      </w:r>
      <w:r w:rsidRPr="6FB20578" w:rsidR="32754192">
        <w:rPr>
          <w:rStyle w:val="Hyperlink"/>
          <w:noProof w:val="0"/>
          <w:lang w:val="en-US"/>
        </w:rPr>
        <w:t>https://doi:10.1177/0022022112472253</w:t>
      </w:r>
      <w:r>
        <w:fldChar w:fldCharType="end"/>
      </w:r>
      <w:r w:rsidRPr="6FB20578" w:rsidR="32754192">
        <w:rPr>
          <w:rFonts w:ascii="Arial" w:hAnsi="Arial" w:eastAsia="Arial" w:cs="Arial"/>
          <w:noProof w:val="0"/>
          <w:sz w:val="24"/>
          <w:szCs w:val="24"/>
          <w:lang w:val="en-US"/>
        </w:rPr>
        <w:t xml:space="preserve">. </w:t>
      </w:r>
    </w:p>
    <w:p w:rsidR="75D7029C" w:rsidP="6FB20578" w:rsidRDefault="75D7029C" w14:paraId="04120580" w14:textId="3F672BDB">
      <w:pPr>
        <w:spacing w:before="0" w:beforeAutospacing="off" w:after="240" w:afterAutospacing="off" w:line="360" w:lineRule="auto"/>
      </w:pPr>
      <w:r w:rsidRPr="6FB20578" w:rsidR="75D7029C">
        <w:rPr>
          <w:rFonts w:ascii="Arial" w:hAnsi="Arial" w:eastAsia="Arial" w:cs="Arial"/>
          <w:noProof w:val="0"/>
          <w:sz w:val="24"/>
          <w:szCs w:val="24"/>
          <w:lang w:val="en-US"/>
        </w:rPr>
        <w:t xml:space="preserve">Makos, J. (2022). </w:t>
      </w:r>
      <w:r w:rsidRPr="6FB20578" w:rsidR="75D7029C">
        <w:rPr>
          <w:rFonts w:ascii="Arial" w:hAnsi="Arial" w:eastAsia="Arial" w:cs="Arial"/>
          <w:i w:val="1"/>
          <w:iCs w:val="1"/>
          <w:noProof w:val="0"/>
          <w:sz w:val="24"/>
          <w:szCs w:val="24"/>
          <w:lang w:val="en-US"/>
        </w:rPr>
        <w:t>Pestel framework: The 6 factors of Pestel analysis</w:t>
      </w:r>
      <w:r w:rsidRPr="6FB20578" w:rsidR="75D7029C">
        <w:rPr>
          <w:rFonts w:ascii="Arial" w:hAnsi="Arial" w:eastAsia="Arial" w:cs="Arial"/>
          <w:noProof w:val="0"/>
          <w:sz w:val="24"/>
          <w:szCs w:val="24"/>
          <w:lang w:val="en-US"/>
        </w:rPr>
        <w:t xml:space="preserve">.  </w:t>
      </w:r>
      <w:r w:rsidRPr="6FB20578" w:rsidR="75D7029C">
        <w:rPr>
          <w:rFonts w:ascii="Arial" w:hAnsi="Arial" w:eastAsia="Arial" w:cs="Arial"/>
          <w:i w:val="1"/>
          <w:iCs w:val="1"/>
          <w:noProof w:val="0"/>
          <w:sz w:val="24"/>
          <w:szCs w:val="24"/>
          <w:lang w:val="en-US"/>
        </w:rPr>
        <w:t>PESTLE Analysis</w:t>
      </w:r>
      <w:r w:rsidRPr="6FB20578" w:rsidR="75D7029C">
        <w:rPr>
          <w:rFonts w:ascii="Arial" w:hAnsi="Arial" w:eastAsia="Arial" w:cs="Arial"/>
          <w:noProof w:val="0"/>
          <w:sz w:val="24"/>
          <w:szCs w:val="24"/>
          <w:lang w:val="en-US"/>
        </w:rPr>
        <w:t xml:space="preserve">. Available at: </w:t>
      </w:r>
      <w:hyperlink r:id="Rca2bc664d4904ebf">
        <w:r w:rsidRPr="6FB20578" w:rsidR="75D7029C">
          <w:rPr>
            <w:rStyle w:val="Hyperlink"/>
            <w:noProof w:val="0"/>
            <w:lang w:val="en-US"/>
          </w:rPr>
          <w:t>https://pestleanalysis.com/pestel-framework/</w:t>
        </w:r>
      </w:hyperlink>
      <w:r w:rsidRPr="6FB20578" w:rsidR="75D7029C">
        <w:rPr>
          <w:rFonts w:ascii="Arial" w:hAnsi="Arial" w:eastAsia="Arial" w:cs="Arial"/>
          <w:noProof w:val="0"/>
          <w:sz w:val="24"/>
          <w:szCs w:val="24"/>
          <w:lang w:val="en-US"/>
        </w:rPr>
        <w:t xml:space="preserve"> (Accessed 21 July 2026).</w:t>
      </w:r>
    </w:p>
    <w:p w:rsidR="000A5158" w:rsidP="7DA9FC50" w:rsidRDefault="506BEA3C" w14:paraId="0EA16835" w14:textId="1ACE42C3">
      <w:pPr>
        <w:spacing w:after="240" w:line="360" w:lineRule="auto"/>
      </w:pPr>
      <w:r w:rsidRPr="7DA9FC50">
        <w:rPr>
          <w:rFonts w:ascii="Arial" w:hAnsi="Arial" w:eastAsia="Arial" w:cs="Arial"/>
        </w:rPr>
        <w:t xml:space="preserve">McSweeney, B. (2002). Hofstede’s model of national cultural differences and their consequences: A triumph of faith - a failure of analysis. </w:t>
      </w:r>
      <w:r w:rsidRPr="7DA9FC50">
        <w:rPr>
          <w:rFonts w:ascii="Arial" w:hAnsi="Arial" w:eastAsia="Arial" w:cs="Arial"/>
          <w:i/>
          <w:iCs/>
        </w:rPr>
        <w:t>Human Relations</w:t>
      </w:r>
      <w:r w:rsidRPr="7DA9FC50">
        <w:rPr>
          <w:rFonts w:ascii="Arial" w:hAnsi="Arial" w:eastAsia="Arial" w:cs="Arial"/>
        </w:rPr>
        <w:t xml:space="preserve">, 55(1), pp.89–118. </w:t>
      </w:r>
      <w:hyperlink r:id="rId19">
        <w:r w:rsidRPr="7DA9FC50">
          <w:rPr>
            <w:rStyle w:val="Hyperlink"/>
          </w:rPr>
          <w:t>https://doi.org/10.1177/0018726702551004</w:t>
        </w:r>
      </w:hyperlink>
      <w:r w:rsidRPr="7DA9FC50">
        <w:rPr>
          <w:rFonts w:ascii="Arial" w:hAnsi="Arial" w:eastAsia="Arial" w:cs="Arial"/>
        </w:rPr>
        <w:t>.</w:t>
      </w:r>
      <w:r w:rsidRPr="7DA9FC50" w:rsidR="55EF309D">
        <w:rPr>
          <w:rFonts w:ascii="Arial" w:hAnsi="Arial" w:eastAsia="Arial" w:cs="Arial"/>
        </w:rPr>
        <w:t xml:space="preserve"> </w:t>
      </w:r>
    </w:p>
    <w:p w:rsidR="000A5158" w:rsidP="7DA9FC50" w:rsidRDefault="506BEA3C" w14:paraId="11A93511" w14:textId="518218EC">
      <w:pPr>
        <w:spacing w:after="240" w:line="360" w:lineRule="auto"/>
      </w:pPr>
      <w:r w:rsidRPr="6FB20578" w:rsidR="1CF45A65">
        <w:rPr>
          <w:rFonts w:ascii="Arial" w:hAnsi="Arial" w:eastAsia="Arial" w:cs="Arial"/>
        </w:rPr>
        <w:t xml:space="preserve">North, D.C. (1990). A transaction cost theory of politics. </w:t>
      </w:r>
      <w:r w:rsidRPr="6FB20578" w:rsidR="1CF45A65">
        <w:rPr>
          <w:rFonts w:ascii="Arial" w:hAnsi="Arial" w:eastAsia="Arial" w:cs="Arial"/>
          <w:i w:val="1"/>
          <w:iCs w:val="1"/>
        </w:rPr>
        <w:t>Journal of Theoretical Politics</w:t>
      </w:r>
      <w:r w:rsidRPr="6FB20578" w:rsidR="1CF45A65">
        <w:rPr>
          <w:rFonts w:ascii="Arial" w:hAnsi="Arial" w:eastAsia="Arial" w:cs="Arial"/>
        </w:rPr>
        <w:t>, [online] 2(4), pp.355–367. doi:10.1177/0951692890002004001.</w:t>
      </w:r>
      <w:r w:rsidRPr="6FB20578" w:rsidR="2A45264B">
        <w:rPr>
          <w:rFonts w:ascii="Arial" w:hAnsi="Arial" w:eastAsia="Arial" w:cs="Arial"/>
        </w:rPr>
        <w:t xml:space="preserve"> Prahalad, C.K. (2006). Strategy+business. In: </w:t>
      </w:r>
      <w:r w:rsidRPr="6FB20578" w:rsidR="2A45264B">
        <w:rPr>
          <w:rFonts w:ascii="Arial" w:hAnsi="Arial" w:eastAsia="Arial" w:cs="Arial"/>
          <w:i w:val="1"/>
          <w:iCs w:val="1"/>
        </w:rPr>
        <w:t>The innovation Sandbox</w:t>
      </w:r>
      <w:r w:rsidRPr="6FB20578" w:rsidR="2A45264B">
        <w:rPr>
          <w:rFonts w:ascii="Arial" w:hAnsi="Arial" w:eastAsia="Arial" w:cs="Arial"/>
        </w:rPr>
        <w:t xml:space="preserve">.  Available at: </w:t>
      </w:r>
      <w:hyperlink r:id="R5abdb91bc1a54031">
        <w:r w:rsidRPr="6FB20578" w:rsidR="2A45264B">
          <w:rPr>
            <w:rStyle w:val="Hyperlink"/>
          </w:rPr>
          <w:t>https://isfcolombia.uniandes.edu.co/images/documentos/201119-ltf3.innovation_sand_box.pdf</w:t>
        </w:r>
      </w:hyperlink>
      <w:r w:rsidRPr="6FB20578" w:rsidR="2A45264B">
        <w:rPr>
          <w:rFonts w:ascii="Arial" w:hAnsi="Arial" w:eastAsia="Arial" w:cs="Arial"/>
        </w:rPr>
        <w:t xml:space="preserve"> </w:t>
      </w:r>
      <w:r w:rsidRPr="6FB20578" w:rsidR="6F4F10D9">
        <w:rPr>
          <w:rFonts w:ascii="Arial" w:hAnsi="Arial" w:eastAsia="Arial" w:cs="Arial"/>
        </w:rPr>
        <w:t>(Accessed 6 August 2026).</w:t>
      </w:r>
    </w:p>
    <w:p w:rsidR="472947CB" w:rsidP="6FB20578" w:rsidRDefault="472947CB" w14:paraId="7BF889A6" w14:textId="6C9F45D4">
      <w:pPr>
        <w:spacing w:before="0" w:beforeAutospacing="off" w:after="240" w:afterAutospacing="off" w:line="360" w:lineRule="auto"/>
      </w:pPr>
      <w:r w:rsidRPr="6FB20578" w:rsidR="472947CB">
        <w:rPr>
          <w:rFonts w:ascii="Arial" w:hAnsi="Arial" w:eastAsia="Arial" w:cs="Arial"/>
          <w:noProof w:val="0"/>
          <w:sz w:val="24"/>
          <w:szCs w:val="24"/>
          <w:lang w:val="en-US"/>
        </w:rPr>
        <w:t xml:space="preserve">Prahalad, C.K. (2006). </w:t>
      </w:r>
      <w:r w:rsidRPr="6FB20578" w:rsidR="472947CB">
        <w:rPr>
          <w:rFonts w:ascii="Arial" w:hAnsi="Arial" w:eastAsia="Arial" w:cs="Arial"/>
          <w:noProof w:val="0"/>
          <w:sz w:val="24"/>
          <w:szCs w:val="24"/>
          <w:lang w:val="en-US"/>
        </w:rPr>
        <w:t>Strategy+business</w:t>
      </w:r>
      <w:r w:rsidRPr="6FB20578" w:rsidR="472947CB">
        <w:rPr>
          <w:rFonts w:ascii="Arial" w:hAnsi="Arial" w:eastAsia="Arial" w:cs="Arial"/>
          <w:noProof w:val="0"/>
          <w:sz w:val="24"/>
          <w:szCs w:val="24"/>
          <w:lang w:val="en-US"/>
        </w:rPr>
        <w:t xml:space="preserve">. In: </w:t>
      </w:r>
      <w:r w:rsidRPr="6FB20578" w:rsidR="472947CB">
        <w:rPr>
          <w:rFonts w:ascii="Arial" w:hAnsi="Arial" w:eastAsia="Arial" w:cs="Arial"/>
          <w:i w:val="1"/>
          <w:iCs w:val="1"/>
          <w:noProof w:val="0"/>
          <w:sz w:val="24"/>
          <w:szCs w:val="24"/>
          <w:lang w:val="en-US"/>
        </w:rPr>
        <w:t xml:space="preserve">The </w:t>
      </w:r>
      <w:r w:rsidRPr="6FB20578" w:rsidR="472947CB">
        <w:rPr>
          <w:rFonts w:ascii="Arial" w:hAnsi="Arial" w:eastAsia="Arial" w:cs="Arial"/>
          <w:i w:val="1"/>
          <w:iCs w:val="1"/>
          <w:noProof w:val="0"/>
          <w:sz w:val="24"/>
          <w:szCs w:val="24"/>
          <w:lang w:val="en-US"/>
        </w:rPr>
        <w:t>innovation</w:t>
      </w:r>
      <w:r w:rsidRPr="6FB20578" w:rsidR="472947CB">
        <w:rPr>
          <w:rFonts w:ascii="Arial" w:hAnsi="Arial" w:eastAsia="Arial" w:cs="Arial"/>
          <w:i w:val="1"/>
          <w:iCs w:val="1"/>
          <w:noProof w:val="0"/>
          <w:sz w:val="24"/>
          <w:szCs w:val="24"/>
          <w:lang w:val="en-US"/>
        </w:rPr>
        <w:t xml:space="preserve"> Sandbox</w:t>
      </w:r>
      <w:r w:rsidRPr="6FB20578" w:rsidR="472947CB">
        <w:rPr>
          <w:rFonts w:ascii="Arial" w:hAnsi="Arial" w:eastAsia="Arial" w:cs="Arial"/>
          <w:noProof w:val="0"/>
          <w:sz w:val="24"/>
          <w:szCs w:val="24"/>
          <w:lang w:val="en-US"/>
        </w:rPr>
        <w:t xml:space="preserve">.  Available at: </w:t>
      </w:r>
      <w:hyperlink r:id="R614f8bcccdb84bdc">
        <w:r w:rsidRPr="6FB20578" w:rsidR="472947CB">
          <w:rPr>
            <w:rStyle w:val="Hyperlink"/>
            <w:noProof w:val="0"/>
            <w:lang w:val="en-US"/>
          </w:rPr>
          <w:t>https://isfcolombia.uniandes.edu.co/images/documentos/201119-ltf3.innovation_sand_box.pdf</w:t>
        </w:r>
      </w:hyperlink>
      <w:r w:rsidRPr="6FB20578" w:rsidR="472947CB">
        <w:rPr>
          <w:rFonts w:ascii="Arial" w:hAnsi="Arial" w:eastAsia="Arial" w:cs="Arial"/>
          <w:noProof w:val="0"/>
          <w:sz w:val="24"/>
          <w:szCs w:val="24"/>
          <w:lang w:val="en-US"/>
        </w:rPr>
        <w:t xml:space="preserve"> (Accessed 6 Aug. 2026).</w:t>
      </w:r>
    </w:p>
    <w:p w:rsidR="2A1148DE" w:rsidP="6FB20578" w:rsidRDefault="2A1148DE" w14:paraId="77058426" w14:textId="17FD78EF">
      <w:pPr>
        <w:spacing w:before="0" w:beforeAutospacing="off" w:after="240" w:afterAutospacing="off" w:line="360" w:lineRule="auto"/>
      </w:pPr>
      <w:r w:rsidRPr="6FB20578" w:rsidR="2A1148DE">
        <w:rPr>
          <w:rFonts w:ascii="Arial" w:hAnsi="Arial" w:eastAsia="Arial" w:cs="Arial"/>
          <w:noProof w:val="0"/>
          <w:sz w:val="24"/>
          <w:szCs w:val="24"/>
          <w:lang w:val="en-US"/>
        </w:rPr>
        <w:t xml:space="preserve">Quinton, </w:t>
      </w:r>
      <w:r w:rsidRPr="6FB20578" w:rsidR="2A1148DE">
        <w:rPr>
          <w:rFonts w:ascii="Arial" w:hAnsi="Arial" w:eastAsia="Arial" w:cs="Arial"/>
          <w:noProof w:val="0"/>
          <w:sz w:val="24"/>
          <w:szCs w:val="24"/>
          <w:lang w:val="en-US"/>
        </w:rPr>
        <w:t>S.</w:t>
      </w:r>
      <w:r w:rsidRPr="6FB20578" w:rsidR="2A1148DE">
        <w:rPr>
          <w:rFonts w:ascii="Arial" w:hAnsi="Arial" w:eastAsia="Arial" w:cs="Arial"/>
          <w:noProof w:val="0"/>
          <w:sz w:val="24"/>
          <w:szCs w:val="24"/>
          <w:lang w:val="en-US"/>
        </w:rPr>
        <w:t xml:space="preserve"> and Smallbone, T. (2010). Feeding forward: Using feedback to promote student reflection and learning - A teaching model. </w:t>
      </w:r>
      <w:r w:rsidRPr="6FB20578" w:rsidR="2A1148DE">
        <w:rPr>
          <w:rFonts w:ascii="Arial" w:hAnsi="Arial" w:eastAsia="Arial" w:cs="Arial"/>
          <w:i w:val="1"/>
          <w:iCs w:val="1"/>
          <w:noProof w:val="0"/>
          <w:sz w:val="24"/>
          <w:szCs w:val="24"/>
          <w:lang w:val="en-US"/>
        </w:rPr>
        <w:t>Innovations in Education and Teaching International</w:t>
      </w:r>
      <w:r w:rsidRPr="6FB20578" w:rsidR="2A1148DE">
        <w:rPr>
          <w:rFonts w:ascii="Arial" w:hAnsi="Arial" w:eastAsia="Arial" w:cs="Arial"/>
          <w:noProof w:val="0"/>
          <w:sz w:val="24"/>
          <w:szCs w:val="24"/>
          <w:lang w:val="en-US"/>
        </w:rPr>
        <w:t xml:space="preserve">, 47(1), pp.125–135. </w:t>
      </w:r>
      <w:r>
        <w:fldChar w:fldCharType="begin"/>
      </w:r>
      <w:r>
        <w:instrText xml:space="preserve">HYPERLINK "https://doi:10.1080/14703290903525911" </w:instrText>
      </w:r>
      <w:r>
        <w:fldChar w:fldCharType="separate"/>
      </w:r>
      <w:r w:rsidRPr="6FB20578" w:rsidR="3143E1F1">
        <w:rPr>
          <w:rStyle w:val="Hyperlink"/>
          <w:noProof w:val="0"/>
          <w:lang w:val="en-US"/>
        </w:rPr>
        <w:t>https://</w:t>
      </w:r>
      <w:r w:rsidRPr="6FB20578" w:rsidR="2A1148DE">
        <w:rPr>
          <w:rStyle w:val="Hyperlink"/>
          <w:noProof w:val="0"/>
          <w:lang w:val="en-US"/>
        </w:rPr>
        <w:t>doi:10.1080/14703290903525911</w:t>
      </w:r>
      <w:r>
        <w:fldChar w:fldCharType="end"/>
      </w:r>
      <w:r w:rsidRPr="6FB20578" w:rsidR="2A1148DE">
        <w:rPr>
          <w:rFonts w:ascii="Arial" w:hAnsi="Arial" w:eastAsia="Arial" w:cs="Arial"/>
          <w:noProof w:val="0"/>
          <w:sz w:val="24"/>
          <w:szCs w:val="24"/>
          <w:lang w:val="en-US"/>
        </w:rPr>
        <w:t>.</w:t>
      </w:r>
      <w:r w:rsidRPr="6FB20578" w:rsidR="66B24561">
        <w:rPr>
          <w:rFonts w:ascii="Arial" w:hAnsi="Arial" w:eastAsia="Arial" w:cs="Arial"/>
          <w:noProof w:val="0"/>
          <w:sz w:val="24"/>
          <w:szCs w:val="24"/>
          <w:lang w:val="en-US"/>
        </w:rPr>
        <w:t xml:space="preserve"> </w:t>
      </w:r>
    </w:p>
    <w:p w:rsidR="000A5158" w:rsidP="7DA9FC50" w:rsidRDefault="506BEA3C" w14:paraId="2886F042" w14:textId="100F3E46">
      <w:pPr>
        <w:spacing w:after="240" w:line="360" w:lineRule="auto"/>
      </w:pPr>
      <w:r w:rsidRPr="7DA9FC50">
        <w:rPr>
          <w:rFonts w:ascii="Arial" w:hAnsi="Arial" w:eastAsia="Arial" w:cs="Arial"/>
        </w:rPr>
        <w:t xml:space="preserve">Rašković, M., Makovec Brenčič, M. and Jaklič, M. (2013). Antecedents and evolution of the Bartlett and ghoshal transnational typology. </w:t>
      </w:r>
      <w:r w:rsidRPr="7DA9FC50">
        <w:rPr>
          <w:rFonts w:ascii="Arial" w:hAnsi="Arial" w:eastAsia="Arial" w:cs="Arial"/>
          <w:i/>
          <w:iCs/>
        </w:rPr>
        <w:t>Multinational Business Review</w:t>
      </w:r>
      <w:r w:rsidRPr="7DA9FC50">
        <w:rPr>
          <w:rFonts w:ascii="Arial" w:hAnsi="Arial" w:eastAsia="Arial" w:cs="Arial"/>
        </w:rPr>
        <w:t xml:space="preserve">,  21(2), pp.148–173. </w:t>
      </w:r>
      <w:hyperlink w:history="1" r:id="rId21">
        <w:r w:rsidRPr="7DA9FC50" w:rsidR="27418364">
          <w:rPr>
            <w:rStyle w:val="Hyperlink"/>
          </w:rPr>
          <w:t>https://</w:t>
        </w:r>
        <w:r w:rsidRPr="7DA9FC50">
          <w:rPr>
            <w:rStyle w:val="Hyperlink"/>
          </w:rPr>
          <w:t>doi:10.1108/mbr-01-2013-0004</w:t>
        </w:r>
      </w:hyperlink>
      <w:r w:rsidRPr="7DA9FC50">
        <w:rPr>
          <w:rFonts w:ascii="Arial" w:hAnsi="Arial" w:eastAsia="Arial" w:cs="Arial"/>
        </w:rPr>
        <w:t>.</w:t>
      </w:r>
      <w:r w:rsidRPr="7DA9FC50" w:rsidR="4364E183">
        <w:rPr>
          <w:rFonts w:ascii="Arial" w:hAnsi="Arial" w:eastAsia="Arial" w:cs="Arial"/>
        </w:rPr>
        <w:t xml:space="preserve"> </w:t>
      </w:r>
    </w:p>
    <w:p w:rsidR="000A5158" w:rsidP="7DA9FC50" w:rsidRDefault="506BEA3C" w14:paraId="5B2CFB87" w14:textId="2988A3E0">
      <w:pPr>
        <w:spacing w:after="240" w:line="360" w:lineRule="auto"/>
      </w:pPr>
      <w:r w:rsidRPr="7DA9FC50">
        <w:rPr>
          <w:rFonts w:ascii="Arial" w:hAnsi="Arial" w:eastAsia="Arial" w:cs="Arial"/>
        </w:rPr>
        <w:t xml:space="preserve">Reddit - The heart of the internet. (2015). </w:t>
      </w:r>
      <w:r w:rsidRPr="7DA9FC50">
        <w:rPr>
          <w:rFonts w:ascii="Arial" w:hAnsi="Arial" w:eastAsia="Arial" w:cs="Arial"/>
          <w:i/>
          <w:iCs/>
        </w:rPr>
        <w:t>Reddit.com</w:t>
      </w:r>
      <w:r w:rsidRPr="7DA9FC50">
        <w:rPr>
          <w:rFonts w:ascii="Arial" w:hAnsi="Arial" w:eastAsia="Arial" w:cs="Arial"/>
        </w:rPr>
        <w:t xml:space="preserve">. Available at: </w:t>
      </w:r>
      <w:hyperlink r:id="rId22">
        <w:r w:rsidRPr="7DA9FC50">
          <w:rPr>
            <w:rStyle w:val="Hyperlink"/>
          </w:rPr>
          <w:t>https://www.reddit.com/r/MapPorn/comments/3h6ino/map_of_countries_with_ikea_stores_1425_x_625/</w:t>
        </w:r>
      </w:hyperlink>
      <w:r w:rsidRPr="7DA9FC50">
        <w:rPr>
          <w:rFonts w:ascii="Arial" w:hAnsi="Arial" w:eastAsia="Arial" w:cs="Arial"/>
        </w:rPr>
        <w:t xml:space="preserve"> </w:t>
      </w:r>
      <w:r w:rsidRPr="7DA9FC50" w:rsidR="1FE27D94">
        <w:rPr>
          <w:rFonts w:ascii="Arial" w:hAnsi="Arial" w:eastAsia="Arial" w:cs="Arial"/>
        </w:rPr>
        <w:t>(Accessed 3 August 2026).</w:t>
      </w:r>
    </w:p>
    <w:p w:rsidR="000A5158" w:rsidP="7DA9FC50" w:rsidRDefault="564CE8CA" w14:paraId="354174E0" w14:textId="030ADB91">
      <w:pPr>
        <w:spacing w:after="240" w:line="360" w:lineRule="auto"/>
      </w:pPr>
      <w:r w:rsidRPr="7DA9FC50">
        <w:rPr>
          <w:rFonts w:ascii="Arial" w:hAnsi="Arial" w:eastAsia="Arial" w:cs="Arial"/>
        </w:rPr>
        <w:t xml:space="preserve">Rugman, A.M. and Verbeke, A. (2004). A perspective on regional and global strategies of multinational enterprises. </w:t>
      </w:r>
      <w:r w:rsidRPr="7DA9FC50">
        <w:rPr>
          <w:rFonts w:ascii="Arial" w:hAnsi="Arial" w:eastAsia="Arial" w:cs="Arial"/>
          <w:i/>
          <w:iCs/>
        </w:rPr>
        <w:t>Journal of International Business Studies</w:t>
      </w:r>
      <w:r w:rsidRPr="7DA9FC50">
        <w:rPr>
          <w:rFonts w:ascii="Arial" w:hAnsi="Arial" w:eastAsia="Arial" w:cs="Arial"/>
        </w:rPr>
        <w:t xml:space="preserve">, 35(1), pp.3–18. </w:t>
      </w:r>
      <w:hyperlink w:history="1" r:id="rId23">
        <w:r w:rsidRPr="7DA9FC50" w:rsidR="2BDFD74F">
          <w:rPr>
            <w:rStyle w:val="Hyperlink"/>
          </w:rPr>
          <w:t>https://</w:t>
        </w:r>
        <w:r w:rsidRPr="7DA9FC50">
          <w:rPr>
            <w:rStyle w:val="Hyperlink"/>
          </w:rPr>
          <w:t>doi:10.1057/palgrave.jibs.8400073</w:t>
        </w:r>
      </w:hyperlink>
      <w:r w:rsidRPr="7DA9FC50">
        <w:rPr>
          <w:rFonts w:ascii="Arial" w:hAnsi="Arial" w:eastAsia="Arial" w:cs="Arial"/>
        </w:rPr>
        <w:t>.</w:t>
      </w:r>
      <w:r w:rsidRPr="7DA9FC50" w:rsidR="4559CFB0">
        <w:rPr>
          <w:rFonts w:ascii="Arial" w:hAnsi="Arial" w:eastAsia="Arial" w:cs="Arial"/>
        </w:rPr>
        <w:t xml:space="preserve"> </w:t>
      </w:r>
    </w:p>
    <w:p w:rsidR="000A5158" w:rsidP="7DA9FC50" w:rsidRDefault="506BEA3C" w14:paraId="65A4CFDC" w14:textId="61A4119D">
      <w:pPr>
        <w:spacing w:after="240" w:line="360" w:lineRule="auto"/>
      </w:pPr>
      <w:r w:rsidRPr="7DA9FC50">
        <w:rPr>
          <w:rFonts w:ascii="Arial" w:hAnsi="Arial" w:eastAsia="Arial" w:cs="Arial"/>
        </w:rPr>
        <w:t xml:space="preserve">Rugman, A.M. and Verbeke, A. (2004). A perspective on regional and global strategies of multinational enterprises. </w:t>
      </w:r>
      <w:r w:rsidRPr="7DA9FC50">
        <w:rPr>
          <w:rFonts w:ascii="Arial" w:hAnsi="Arial" w:eastAsia="Arial" w:cs="Arial"/>
          <w:i/>
          <w:iCs/>
        </w:rPr>
        <w:t>Journal of International Business Studies</w:t>
      </w:r>
      <w:r w:rsidRPr="7DA9FC50">
        <w:rPr>
          <w:rFonts w:ascii="Arial" w:hAnsi="Arial" w:eastAsia="Arial" w:cs="Arial"/>
        </w:rPr>
        <w:t xml:space="preserve">, 35(1), pp.3–18. </w:t>
      </w:r>
      <w:hyperlink w:history="1" r:id="rId24">
        <w:r w:rsidRPr="7DA9FC50" w:rsidR="5D71A927">
          <w:rPr>
            <w:rStyle w:val="Hyperlink"/>
          </w:rPr>
          <w:t>https://</w:t>
        </w:r>
        <w:r w:rsidRPr="7DA9FC50">
          <w:rPr>
            <w:rStyle w:val="Hyperlink"/>
          </w:rPr>
          <w:t>doi:10.1057/palgrave.jibs.8400073</w:t>
        </w:r>
      </w:hyperlink>
      <w:r w:rsidRPr="7DA9FC50">
        <w:rPr>
          <w:rFonts w:ascii="Arial" w:hAnsi="Arial" w:eastAsia="Arial" w:cs="Arial"/>
        </w:rPr>
        <w:t>.</w:t>
      </w:r>
      <w:r w:rsidRPr="7DA9FC50" w:rsidR="72E50F02">
        <w:rPr>
          <w:rFonts w:ascii="Arial" w:hAnsi="Arial" w:eastAsia="Arial" w:cs="Arial"/>
        </w:rPr>
        <w:t xml:space="preserve"> </w:t>
      </w:r>
    </w:p>
    <w:p w:rsidR="000A5158" w:rsidP="7DA9FC50" w:rsidRDefault="506BEA3C" w14:paraId="3BA932CD" w14:textId="40CC712A">
      <w:pPr>
        <w:spacing w:after="240" w:line="360" w:lineRule="auto"/>
      </w:pPr>
      <w:r w:rsidRPr="7DA9FC50">
        <w:rPr>
          <w:rFonts w:ascii="Arial" w:hAnsi="Arial" w:eastAsia="Arial" w:cs="Arial"/>
        </w:rPr>
        <w:t xml:space="preserve">Saxena, E. (2024). </w:t>
      </w:r>
      <w:r w:rsidRPr="7DA9FC50">
        <w:rPr>
          <w:rFonts w:ascii="Arial" w:hAnsi="Arial" w:eastAsia="Arial" w:cs="Arial"/>
          <w:i/>
          <w:iCs/>
        </w:rPr>
        <w:t>33 Ikea Statistics 2024: Market Share, Revenue &amp; Shoppers Data</w:t>
      </w:r>
      <w:r w:rsidRPr="7DA9FC50">
        <w:rPr>
          <w:rFonts w:ascii="Arial" w:hAnsi="Arial" w:eastAsia="Arial" w:cs="Arial"/>
        </w:rPr>
        <w:t xml:space="preserve">. [online] </w:t>
      </w:r>
      <w:r w:rsidRPr="7DA9FC50">
        <w:rPr>
          <w:rFonts w:ascii="Arial" w:hAnsi="Arial" w:eastAsia="Arial" w:cs="Arial"/>
          <w:i/>
          <w:iCs/>
        </w:rPr>
        <w:t>GrabOn Blog - Powered by GrabOn.com</w:t>
      </w:r>
      <w:r w:rsidRPr="7DA9FC50">
        <w:rPr>
          <w:rFonts w:ascii="Arial" w:hAnsi="Arial" w:eastAsia="Arial" w:cs="Arial"/>
        </w:rPr>
        <w:t xml:space="preserve">. Available at: </w:t>
      </w:r>
      <w:hyperlink r:id="rId25">
        <w:r w:rsidRPr="7DA9FC50">
          <w:rPr>
            <w:rStyle w:val="Hyperlink"/>
          </w:rPr>
          <w:t>https://grabon.com/blog/ikea-statistics/</w:t>
        </w:r>
      </w:hyperlink>
      <w:r w:rsidRPr="7DA9FC50">
        <w:rPr>
          <w:rFonts w:ascii="Arial" w:hAnsi="Arial" w:eastAsia="Arial" w:cs="Arial"/>
        </w:rPr>
        <w:t xml:space="preserve"> </w:t>
      </w:r>
      <w:r w:rsidRPr="7DA9FC50" w:rsidR="02FD5976">
        <w:rPr>
          <w:rFonts w:ascii="Arial" w:hAnsi="Arial" w:eastAsia="Arial" w:cs="Arial"/>
        </w:rPr>
        <w:t>(Accessed 3 August 2026).</w:t>
      </w:r>
    </w:p>
    <w:p w:rsidR="000A5158" w:rsidP="7DA9FC50" w:rsidRDefault="506BEA3C" w14:paraId="50DCF587" w14:textId="22D8554E">
      <w:pPr>
        <w:spacing w:after="240" w:line="360" w:lineRule="auto"/>
      </w:pPr>
      <w:r w:rsidRPr="7DA9FC50">
        <w:rPr>
          <w:rFonts w:ascii="Arial" w:hAnsi="Arial" w:eastAsia="Arial" w:cs="Arial"/>
        </w:rPr>
        <w:t xml:space="preserve">Srivastava, M., Franklin, A. and Martinette, L. (2013). Building a sustainable competitive advantage. </w:t>
      </w:r>
      <w:r w:rsidRPr="7DA9FC50">
        <w:rPr>
          <w:rFonts w:ascii="Arial" w:hAnsi="Arial" w:eastAsia="Arial" w:cs="Arial"/>
          <w:i/>
          <w:iCs/>
        </w:rPr>
        <w:t>Journal of Technology Management &amp; Innovation</w:t>
      </w:r>
      <w:r w:rsidRPr="7DA9FC50">
        <w:rPr>
          <w:rFonts w:ascii="Arial" w:hAnsi="Arial" w:eastAsia="Arial" w:cs="Arial"/>
        </w:rPr>
        <w:t xml:space="preserve">, 8(2), pp.7–8. </w:t>
      </w:r>
      <w:hyperlink w:history="1" r:id="rId26">
        <w:r w:rsidRPr="7DA9FC50" w:rsidR="65E2670A">
          <w:rPr>
            <w:rStyle w:val="Hyperlink"/>
          </w:rPr>
          <w:t>https://</w:t>
        </w:r>
        <w:r w:rsidRPr="7DA9FC50">
          <w:rPr>
            <w:rStyle w:val="Hyperlink"/>
          </w:rPr>
          <w:t>doi:10.4067/s0718-27242013000200004</w:t>
        </w:r>
      </w:hyperlink>
      <w:r w:rsidRPr="7DA9FC50">
        <w:rPr>
          <w:rFonts w:ascii="Arial" w:hAnsi="Arial" w:eastAsia="Arial" w:cs="Arial"/>
        </w:rPr>
        <w:t>.</w:t>
      </w:r>
      <w:r w:rsidRPr="7DA9FC50" w:rsidR="38F6B2CC">
        <w:rPr>
          <w:rFonts w:ascii="Arial" w:hAnsi="Arial" w:eastAsia="Arial" w:cs="Arial"/>
        </w:rPr>
        <w:t xml:space="preserve"> </w:t>
      </w:r>
    </w:p>
    <w:p w:rsidR="000A5158" w:rsidP="7DA9FC50" w:rsidRDefault="111AFC91" w14:paraId="7A7CBB09" w14:textId="610ADC47">
      <w:pPr>
        <w:spacing w:after="240" w:line="360" w:lineRule="auto"/>
      </w:pPr>
      <w:r w:rsidRPr="6FB20578" w:rsidR="301D090F">
        <w:rPr>
          <w:rFonts w:ascii="Arial" w:hAnsi="Arial" w:eastAsia="Arial" w:cs="Arial"/>
        </w:rPr>
        <w:t xml:space="preserve">Stonehouse, G. and Snowdon, B. (2007). Competitive advantage revisited: Michael Porter on strategy and competitiveness. </w:t>
      </w:r>
      <w:r w:rsidRPr="6FB20578" w:rsidR="301D090F">
        <w:rPr>
          <w:rFonts w:ascii="Arial" w:hAnsi="Arial" w:eastAsia="Arial" w:cs="Arial"/>
          <w:i w:val="1"/>
          <w:iCs w:val="1"/>
        </w:rPr>
        <w:t>Journal of Management Inquiry</w:t>
      </w:r>
      <w:r w:rsidRPr="6FB20578" w:rsidR="301D090F">
        <w:rPr>
          <w:rFonts w:ascii="Arial" w:hAnsi="Arial" w:eastAsia="Arial" w:cs="Arial"/>
        </w:rPr>
        <w:t xml:space="preserve">, [online] 16(3), pp.256–273. </w:t>
      </w:r>
      <w:hyperlink r:id="R24fd832b5b354dac">
        <w:r w:rsidRPr="6FB20578" w:rsidR="301D090F">
          <w:rPr>
            <w:rStyle w:val="Hyperlink"/>
          </w:rPr>
          <w:t>https://doi:10.1177/1056492607306333</w:t>
        </w:r>
      </w:hyperlink>
      <w:r w:rsidRPr="6FB20578" w:rsidR="301D090F">
        <w:rPr>
          <w:rFonts w:ascii="Arial" w:hAnsi="Arial" w:eastAsia="Arial" w:cs="Arial"/>
        </w:rPr>
        <w:t xml:space="preserve">. </w:t>
      </w:r>
    </w:p>
    <w:p w:rsidR="06BA13AB" w:rsidP="6FB20578" w:rsidRDefault="06BA13AB" w14:paraId="763900B6" w14:textId="5BAA9468">
      <w:pPr>
        <w:spacing w:before="0" w:beforeAutospacing="off" w:after="240" w:afterAutospacing="off" w:line="360" w:lineRule="auto"/>
      </w:pPr>
      <w:r w:rsidRPr="6FB20578" w:rsidR="06BA13AB">
        <w:rPr>
          <w:rFonts w:ascii="Arial" w:hAnsi="Arial" w:eastAsia="Arial" w:cs="Arial"/>
          <w:noProof w:val="0"/>
          <w:sz w:val="24"/>
          <w:szCs w:val="24"/>
          <w:lang w:val="en-US"/>
        </w:rPr>
        <w:t xml:space="preserve">U.C. Mathur (2008). </w:t>
      </w:r>
      <w:r w:rsidRPr="6FB20578" w:rsidR="06BA13AB">
        <w:rPr>
          <w:rFonts w:ascii="Arial" w:hAnsi="Arial" w:eastAsia="Arial" w:cs="Arial"/>
          <w:i w:val="1"/>
          <w:iCs w:val="1"/>
          <w:noProof w:val="0"/>
          <w:sz w:val="24"/>
          <w:szCs w:val="24"/>
          <w:lang w:val="en-US"/>
        </w:rPr>
        <w:t>International marketing management: Text and cases</w:t>
      </w:r>
      <w:r w:rsidRPr="6FB20578" w:rsidR="06BA13AB">
        <w:rPr>
          <w:rFonts w:ascii="Arial" w:hAnsi="Arial" w:eastAsia="Arial" w:cs="Arial"/>
          <w:noProof w:val="0"/>
          <w:sz w:val="24"/>
          <w:szCs w:val="24"/>
          <w:lang w:val="en-US"/>
        </w:rPr>
        <w:t xml:space="preserve">. [online] SAGE. </w:t>
      </w:r>
      <w:r>
        <w:fldChar w:fldCharType="begin"/>
      </w:r>
      <w:r>
        <w:instrText xml:space="preserve">HYPERLINK "https://doi:10.4135/9788132108436" </w:instrText>
      </w:r>
      <w:r>
        <w:fldChar w:fldCharType="separate"/>
      </w:r>
      <w:r w:rsidRPr="6FB20578" w:rsidR="06BA13AB">
        <w:rPr>
          <w:rStyle w:val="Hyperlink"/>
          <w:noProof w:val="0"/>
          <w:lang w:val="en-US"/>
        </w:rPr>
        <w:t>https://doi:10.4135/9788132108436</w:t>
      </w:r>
      <w:r>
        <w:fldChar w:fldCharType="end"/>
      </w:r>
      <w:r w:rsidRPr="6FB20578" w:rsidR="06BA13AB">
        <w:rPr>
          <w:rFonts w:ascii="Arial" w:hAnsi="Arial" w:eastAsia="Arial" w:cs="Arial"/>
          <w:noProof w:val="0"/>
          <w:sz w:val="24"/>
          <w:szCs w:val="24"/>
          <w:lang w:val="en-US"/>
        </w:rPr>
        <w:t xml:space="preserve">. </w:t>
      </w:r>
    </w:p>
    <w:p w:rsidR="000A5158" w:rsidP="7DA9FC50" w:rsidRDefault="506BEA3C" w14:paraId="25AEAC56" w14:textId="3DE6F77B">
      <w:pPr>
        <w:spacing w:after="240" w:line="360" w:lineRule="auto"/>
      </w:pPr>
      <w:r w:rsidRPr="7DA9FC50">
        <w:rPr>
          <w:rFonts w:ascii="Arial" w:hAnsi="Arial" w:eastAsia="Arial" w:cs="Arial"/>
        </w:rPr>
        <w:t xml:space="preserve">Wild, J.J., Wild, J.M. and Wild, K.L. (2022). International joint ventures, shareholder returns, venture complexity, and political risk. </w:t>
      </w:r>
      <w:r w:rsidRPr="7DA9FC50">
        <w:rPr>
          <w:rFonts w:ascii="Arial" w:hAnsi="Arial" w:eastAsia="Arial" w:cs="Arial"/>
          <w:i/>
          <w:iCs/>
        </w:rPr>
        <w:t>Journal of Corporate Accounting &amp; Finance</w:t>
      </w:r>
      <w:r w:rsidRPr="7DA9FC50">
        <w:rPr>
          <w:rFonts w:ascii="Arial" w:hAnsi="Arial" w:eastAsia="Arial" w:cs="Arial"/>
        </w:rPr>
        <w:t xml:space="preserve">, 34(2). </w:t>
      </w:r>
      <w:hyperlink w:history="1" r:id="rId28">
        <w:r w:rsidRPr="7DA9FC50" w:rsidR="1EB3B80C">
          <w:rPr>
            <w:rStyle w:val="Hyperlink"/>
          </w:rPr>
          <w:t>https://</w:t>
        </w:r>
        <w:r w:rsidRPr="7DA9FC50">
          <w:rPr>
            <w:rStyle w:val="Hyperlink"/>
          </w:rPr>
          <w:t>doi:10.1002/jcaf.22600</w:t>
        </w:r>
      </w:hyperlink>
      <w:r w:rsidRPr="7DA9FC50">
        <w:rPr>
          <w:rFonts w:ascii="Arial" w:hAnsi="Arial" w:eastAsia="Arial" w:cs="Arial"/>
        </w:rPr>
        <w:t>.</w:t>
      </w:r>
      <w:r w:rsidRPr="7DA9FC50" w:rsidR="178FFD6D">
        <w:rPr>
          <w:rFonts w:ascii="Arial" w:hAnsi="Arial" w:eastAsia="Arial" w:cs="Arial"/>
        </w:rPr>
        <w:t xml:space="preserve"> </w:t>
      </w:r>
    </w:p>
    <w:p w:rsidR="000A5158" w:rsidP="7DA9FC50" w:rsidRDefault="506BEA3C" w14:paraId="13AA29CA" w14:textId="11EB817C">
      <w:pPr>
        <w:spacing w:after="240" w:line="360" w:lineRule="auto"/>
      </w:pPr>
      <w:r w:rsidRPr="7DA9FC50">
        <w:rPr>
          <w:rFonts w:ascii="Arial" w:hAnsi="Arial" w:eastAsia="Arial" w:cs="Arial"/>
        </w:rPr>
        <w:t xml:space="preserve">Williamson, O.E. (1975). </w:t>
      </w:r>
      <w:r w:rsidRPr="7DA9FC50">
        <w:rPr>
          <w:rFonts w:ascii="Arial" w:hAnsi="Arial" w:eastAsia="Arial" w:cs="Arial"/>
          <w:i/>
          <w:iCs/>
        </w:rPr>
        <w:t>Markets and hierarchies: Analysis and antitrust implications: A study in the economics of internal organization</w:t>
      </w:r>
      <w:r w:rsidRPr="7DA9FC50">
        <w:rPr>
          <w:rFonts w:ascii="Arial" w:hAnsi="Arial" w:eastAsia="Arial" w:cs="Arial"/>
        </w:rPr>
        <w:t xml:space="preserve">. </w:t>
      </w:r>
      <w:r w:rsidRPr="7DA9FC50">
        <w:rPr>
          <w:rFonts w:ascii="Arial" w:hAnsi="Arial" w:eastAsia="Arial" w:cs="Arial"/>
          <w:i/>
          <w:iCs/>
        </w:rPr>
        <w:t>Ssrn.com</w:t>
      </w:r>
      <w:r w:rsidRPr="7DA9FC50">
        <w:rPr>
          <w:rFonts w:ascii="Arial" w:hAnsi="Arial" w:eastAsia="Arial" w:cs="Arial"/>
        </w:rPr>
        <w:t xml:space="preserve">. Available at: </w:t>
      </w:r>
      <w:hyperlink r:id="rId29">
        <w:r w:rsidRPr="7DA9FC50">
          <w:rPr>
            <w:rStyle w:val="Hyperlink"/>
          </w:rPr>
          <w:t>https://papers.ssrn.com/sol3/papers.cfm?abstract_id=1496220</w:t>
        </w:r>
      </w:hyperlink>
      <w:r w:rsidRPr="7DA9FC50">
        <w:rPr>
          <w:rFonts w:ascii="Arial" w:hAnsi="Arial" w:eastAsia="Arial" w:cs="Arial"/>
        </w:rPr>
        <w:t xml:space="preserve"> </w:t>
      </w:r>
      <w:r w:rsidRPr="7DA9FC50" w:rsidR="67FAA579">
        <w:rPr>
          <w:rFonts w:ascii="Arial" w:hAnsi="Arial" w:eastAsia="Arial" w:cs="Arial"/>
        </w:rPr>
        <w:t>(Accessed 6 August 2026).</w:t>
      </w:r>
    </w:p>
    <w:p w:rsidR="000A5158" w:rsidP="7DA9FC50" w:rsidRDefault="506BEA3C" w14:paraId="560C0746" w14:textId="7598174B">
      <w:pPr>
        <w:spacing w:after="240" w:line="360" w:lineRule="auto"/>
      </w:pPr>
      <w:r w:rsidRPr="7DA9FC50">
        <w:rPr>
          <w:rFonts w:ascii="Arial" w:hAnsi="Arial" w:eastAsia="Arial" w:cs="Arial"/>
        </w:rPr>
        <w:t xml:space="preserve">ZAHEER, S. (1995). Overcoming the liability of foreignness. </w:t>
      </w:r>
      <w:r w:rsidRPr="7DA9FC50">
        <w:rPr>
          <w:rFonts w:ascii="Arial" w:hAnsi="Arial" w:eastAsia="Arial" w:cs="Arial"/>
          <w:i/>
          <w:iCs/>
        </w:rPr>
        <w:t>Academy of Management Journal</w:t>
      </w:r>
      <w:r w:rsidRPr="7DA9FC50">
        <w:rPr>
          <w:rFonts w:ascii="Arial" w:hAnsi="Arial" w:eastAsia="Arial" w:cs="Arial"/>
        </w:rPr>
        <w:t xml:space="preserve">, 38(2), pp.341–363. </w:t>
      </w:r>
      <w:hyperlink w:history="1" r:id="rId30">
        <w:r w:rsidRPr="7DA9FC50" w:rsidR="344E575B">
          <w:rPr>
            <w:rStyle w:val="Hyperlink"/>
          </w:rPr>
          <w:t>https://</w:t>
        </w:r>
        <w:r w:rsidRPr="7DA9FC50">
          <w:rPr>
            <w:rStyle w:val="Hyperlink"/>
          </w:rPr>
          <w:t>doi:10.2307/256683</w:t>
        </w:r>
      </w:hyperlink>
      <w:r w:rsidRPr="7DA9FC50">
        <w:rPr>
          <w:rFonts w:ascii="Arial" w:hAnsi="Arial" w:eastAsia="Arial" w:cs="Arial"/>
        </w:rPr>
        <w:t>.</w:t>
      </w:r>
      <w:r w:rsidRPr="7DA9FC50" w:rsidR="44A7B9E3">
        <w:rPr>
          <w:rFonts w:ascii="Arial" w:hAnsi="Arial" w:eastAsia="Arial" w:cs="Arial"/>
        </w:rPr>
        <w:t xml:space="preserve"> </w:t>
      </w:r>
    </w:p>
    <w:p w:rsidR="000A5158" w:rsidP="54A1BFA9" w:rsidRDefault="000A5158" w14:paraId="5F95E876" w14:textId="0F88FF9F">
      <w:pPr>
        <w:spacing w:before="240" w:after="240" w:line="360" w:lineRule="auto"/>
        <w:rPr>
          <w:rFonts w:ascii="Arial" w:hAnsi="Arial" w:eastAsia="Arial" w:cs="Arial"/>
        </w:rPr>
      </w:pPr>
    </w:p>
    <w:p w:rsidR="000A5158" w:rsidRDefault="000A5158" w14:paraId="090BB205" w14:textId="5232AAC3"/>
    <w:p w:rsidR="000A5158" w:rsidRDefault="000A5158" w14:paraId="749A4DCD" w14:textId="7417B1FB"/>
    <w:p w:rsidR="000A5158" w:rsidRDefault="000A5158" w14:paraId="6804B5B5" w14:textId="1F7925DE"/>
    <w:p w:rsidR="000A5158" w:rsidP="54A1BFA9" w:rsidRDefault="6675AE48" w14:paraId="17F08A48" w14:textId="017D03C6">
      <w:pPr>
        <w:pStyle w:val="Heading2"/>
      </w:pPr>
      <w:bookmarkStart w:name="_Toc2021035386" w:id="991887710"/>
      <w:bookmarkStart w:name="_Toc2039856723" w:id="1128108918"/>
      <w:r w:rsidR="2763EFE9">
        <w:rPr/>
        <w:t>Appendi</w:t>
      </w:r>
      <w:r w:rsidR="2CFB21B4">
        <w:rPr/>
        <w:t>ces</w:t>
      </w:r>
      <w:bookmarkEnd w:id="991887710"/>
      <w:bookmarkEnd w:id="1128108918"/>
    </w:p>
    <w:p w:rsidR="000A5158" w:rsidP="54A1BFA9" w:rsidRDefault="4AE06932" w14:paraId="0B824C77" w14:textId="238612FF">
      <w:r w:rsidRPr="54A1BFA9">
        <w:t>Appendix A</w:t>
      </w:r>
    </w:p>
    <w:p w:rsidR="000A5158" w:rsidP="54A1BFA9" w:rsidRDefault="4AE06932" w14:paraId="7A78EE6B" w14:textId="5B5D386E">
      <w:r w:rsidRPr="54A1BFA9">
        <w:t>Table 1. Nigeria PESTEL / Market Attractiveness Assessment (2026)</w:t>
      </w:r>
    </w:p>
    <w:tbl>
      <w:tblPr>
        <w:tblStyle w:val="TableGrid"/>
        <w:tblW w:w="0" w:type="auto"/>
        <w:tblLook w:val="06A0" w:firstRow="1" w:lastRow="0" w:firstColumn="1" w:lastColumn="0" w:noHBand="1" w:noVBand="1"/>
      </w:tblPr>
      <w:tblGrid>
        <w:gridCol w:w="2337"/>
        <w:gridCol w:w="2337"/>
        <w:gridCol w:w="2338"/>
        <w:gridCol w:w="2338"/>
      </w:tblGrid>
      <w:tr w:rsidR="54A1BFA9" w:rsidTr="54A1BFA9" w14:paraId="056B87D1" w14:textId="77777777">
        <w:trPr>
          <w:trHeight w:val="300"/>
        </w:trPr>
        <w:tc>
          <w:tcPr>
            <w:tcW w:w="2340" w:type="dxa"/>
          </w:tcPr>
          <w:p w:rsidR="54A1BFA9" w:rsidP="54A1BFA9" w:rsidRDefault="54A1BFA9" w14:paraId="622F46BD" w14:textId="59F9802E">
            <w:pPr>
              <w:jc w:val="center"/>
            </w:pPr>
            <w:r w:rsidRPr="54A1BFA9">
              <w:rPr>
                <w:b/>
                <w:bCs/>
              </w:rPr>
              <w:t>PESTEL Factor</w:t>
            </w:r>
          </w:p>
        </w:tc>
        <w:tc>
          <w:tcPr>
            <w:tcW w:w="2340" w:type="dxa"/>
          </w:tcPr>
          <w:p w:rsidR="6B488E62" w:rsidP="54A1BFA9" w:rsidRDefault="6B488E62" w14:paraId="0D198FB7" w14:textId="33DC979E">
            <w:pPr>
              <w:rPr>
                <w:rFonts w:ascii="Arial" w:hAnsi="Arial" w:eastAsia="Arial" w:cs="Arial"/>
                <w:b/>
                <w:bCs/>
              </w:rPr>
            </w:pPr>
            <w:r w:rsidRPr="54A1BFA9">
              <w:rPr>
                <w:rFonts w:ascii="Arial" w:hAnsi="Arial" w:eastAsia="Arial" w:cs="Arial"/>
                <w:b/>
                <w:bCs/>
              </w:rPr>
              <w:t>Key Opportunities</w:t>
            </w:r>
          </w:p>
        </w:tc>
        <w:tc>
          <w:tcPr>
            <w:tcW w:w="2340" w:type="dxa"/>
          </w:tcPr>
          <w:p w:rsidR="6B488E62" w:rsidP="54A1BFA9" w:rsidRDefault="6B488E62" w14:paraId="3D048584" w14:textId="33C537BC">
            <w:pPr>
              <w:rPr>
                <w:rFonts w:ascii="Arial" w:hAnsi="Arial" w:eastAsia="Arial" w:cs="Arial"/>
                <w:b/>
                <w:bCs/>
              </w:rPr>
            </w:pPr>
            <w:r w:rsidRPr="54A1BFA9">
              <w:rPr>
                <w:rFonts w:ascii="Arial" w:hAnsi="Arial" w:eastAsia="Arial" w:cs="Arial"/>
                <w:b/>
                <w:bCs/>
              </w:rPr>
              <w:t>Key Challenges</w:t>
            </w:r>
          </w:p>
        </w:tc>
        <w:tc>
          <w:tcPr>
            <w:tcW w:w="2340" w:type="dxa"/>
          </w:tcPr>
          <w:p w:rsidR="6B488E62" w:rsidP="54A1BFA9" w:rsidRDefault="6B488E62" w14:paraId="02617387" w14:textId="29A27DC2">
            <w:pPr>
              <w:rPr>
                <w:rFonts w:ascii="Arial" w:hAnsi="Arial" w:eastAsia="Arial" w:cs="Arial"/>
                <w:b/>
                <w:bCs/>
              </w:rPr>
            </w:pPr>
            <w:r w:rsidRPr="54A1BFA9">
              <w:rPr>
                <w:rFonts w:ascii="Arial" w:hAnsi="Arial" w:eastAsia="Arial" w:cs="Arial"/>
                <w:b/>
                <w:bCs/>
              </w:rPr>
              <w:t>Strategic Implications for IKEA</w:t>
            </w:r>
          </w:p>
        </w:tc>
      </w:tr>
      <w:tr w:rsidR="54A1BFA9" w:rsidTr="54A1BFA9" w14:paraId="45860492" w14:textId="77777777">
        <w:trPr>
          <w:trHeight w:val="300"/>
        </w:trPr>
        <w:tc>
          <w:tcPr>
            <w:tcW w:w="2340" w:type="dxa"/>
          </w:tcPr>
          <w:p w:rsidR="6B488E62" w:rsidP="54A1BFA9" w:rsidRDefault="6B488E62" w14:paraId="767A520F" w14:textId="1000DF2A">
            <w:pPr>
              <w:rPr>
                <w:rFonts w:ascii="Arial" w:hAnsi="Arial" w:eastAsia="Arial" w:cs="Arial"/>
                <w:b/>
                <w:bCs/>
              </w:rPr>
            </w:pPr>
            <w:r w:rsidRPr="54A1BFA9">
              <w:rPr>
                <w:rFonts w:ascii="Arial" w:hAnsi="Arial" w:eastAsia="Arial" w:cs="Arial"/>
                <w:b/>
                <w:bCs/>
              </w:rPr>
              <w:t>Political</w:t>
            </w:r>
          </w:p>
        </w:tc>
        <w:tc>
          <w:tcPr>
            <w:tcW w:w="2340" w:type="dxa"/>
          </w:tcPr>
          <w:p w:rsidR="6B488E62" w:rsidP="54A1BFA9" w:rsidRDefault="6B488E62" w14:paraId="3FF086C3" w14:textId="47C13C04">
            <w:r w:rsidRPr="54A1BFA9">
              <w:rPr>
                <w:rFonts w:ascii="Arial" w:hAnsi="Arial" w:eastAsia="Arial" w:cs="Arial"/>
              </w:rPr>
              <w:t>Government policies encouraging FDI; economic diversification; democratic continuity since 1999.</w:t>
            </w:r>
          </w:p>
        </w:tc>
        <w:tc>
          <w:tcPr>
            <w:tcW w:w="2340" w:type="dxa"/>
          </w:tcPr>
          <w:p w:rsidR="6B488E62" w:rsidP="54A1BFA9" w:rsidRDefault="6B488E62" w14:paraId="41706F5C" w14:textId="44D7A5C5">
            <w:r w:rsidRPr="54A1BFA9">
              <w:rPr>
                <w:rFonts w:ascii="Arial" w:hAnsi="Arial" w:eastAsia="Arial" w:cs="Arial"/>
              </w:rPr>
              <w:t>Corruption, policy inconsistency, bureaucratic delays, regional security concerns.</w:t>
            </w:r>
          </w:p>
        </w:tc>
        <w:tc>
          <w:tcPr>
            <w:tcW w:w="2340" w:type="dxa"/>
          </w:tcPr>
          <w:p w:rsidR="6B488E62" w:rsidP="54A1BFA9" w:rsidRDefault="6B488E62" w14:paraId="201046FC" w14:textId="318998F6">
            <w:r w:rsidRPr="54A1BFA9">
              <w:rPr>
                <w:rFonts w:ascii="Arial" w:hAnsi="Arial" w:eastAsia="Arial" w:cs="Arial"/>
              </w:rPr>
              <w:t>Adopt phased investment with strong stakeholder engagement and comprehensive risk management.</w:t>
            </w:r>
          </w:p>
        </w:tc>
      </w:tr>
      <w:tr w:rsidR="54A1BFA9" w:rsidTr="54A1BFA9" w14:paraId="68BB11B4" w14:textId="77777777">
        <w:trPr>
          <w:trHeight w:val="300"/>
        </w:trPr>
        <w:tc>
          <w:tcPr>
            <w:tcW w:w="2340" w:type="dxa"/>
          </w:tcPr>
          <w:p w:rsidR="6B488E62" w:rsidP="54A1BFA9" w:rsidRDefault="6B488E62" w14:paraId="34758DB0" w14:textId="643A2675">
            <w:pPr>
              <w:rPr>
                <w:rFonts w:ascii="Arial" w:hAnsi="Arial" w:eastAsia="Arial" w:cs="Arial"/>
                <w:b/>
                <w:bCs/>
              </w:rPr>
            </w:pPr>
            <w:r w:rsidRPr="54A1BFA9">
              <w:rPr>
                <w:rFonts w:ascii="Arial" w:hAnsi="Arial" w:eastAsia="Arial" w:cs="Arial"/>
                <w:b/>
                <w:bCs/>
              </w:rPr>
              <w:t>Economic</w:t>
            </w:r>
          </w:p>
        </w:tc>
        <w:tc>
          <w:tcPr>
            <w:tcW w:w="2340" w:type="dxa"/>
          </w:tcPr>
          <w:tbl>
            <w:tblPr>
              <w:tblW w:w="0" w:type="auto"/>
              <w:tblLook w:val="06A0" w:firstRow="1" w:lastRow="0" w:firstColumn="1" w:lastColumn="0" w:noHBand="1" w:noVBand="1"/>
            </w:tblPr>
            <w:tblGrid>
              <w:gridCol w:w="222"/>
              <w:gridCol w:w="1899"/>
            </w:tblGrid>
            <w:tr w:rsidR="54A1BFA9" w:rsidTr="54A1BFA9" w14:paraId="23748CB7" w14:textId="77777777">
              <w:trPr>
                <w:gridAfter w:val="1"/>
                <w:wAfter w:w="1995" w:type="dxa"/>
                <w:trHeight w:val="300"/>
              </w:trPr>
              <w:tc>
                <w:tcPr>
                  <w:tcW w:w="135" w:type="dxa"/>
                  <w:vAlign w:val="center"/>
                </w:tcPr>
                <w:p w:rsidR="54A1BFA9" w:rsidRDefault="54A1BFA9" w14:paraId="452AC966" w14:textId="40DC0AC2"/>
              </w:tc>
            </w:tr>
            <w:tr w:rsidR="54A1BFA9" w:rsidTr="54A1BFA9" w14:paraId="249B29E3" w14:textId="77777777">
              <w:trPr>
                <w:trHeight w:val="300"/>
              </w:trPr>
              <w:tc>
                <w:tcPr>
                  <w:tcW w:w="2130" w:type="dxa"/>
                  <w:gridSpan w:val="2"/>
                  <w:vAlign w:val="center"/>
                </w:tcPr>
                <w:p w:rsidR="54A1BFA9" w:rsidP="54A1BFA9" w:rsidRDefault="54A1BFA9" w14:paraId="370D1D67" w14:textId="2F31C38D">
                  <w:pPr>
                    <w:spacing w:after="0"/>
                  </w:pPr>
                  <w:r>
                    <w:t>Population exceeding 230 million; rapid urbanisation; expanding middle-income consumer segment; increasing housing demand.</w:t>
                  </w:r>
                </w:p>
              </w:tc>
            </w:tr>
          </w:tbl>
          <w:p w:rsidR="54A1BFA9" w:rsidP="54A1BFA9" w:rsidRDefault="54A1BFA9" w14:paraId="119F705F" w14:textId="65CE8479"/>
        </w:tc>
        <w:tc>
          <w:tcPr>
            <w:tcW w:w="2340" w:type="dxa"/>
          </w:tcPr>
          <w:p w:rsidR="6B488E62" w:rsidP="54A1BFA9" w:rsidRDefault="6B488E62" w14:paraId="2433DCB3" w14:textId="7F3D72AC">
            <w:r w:rsidRPr="54A1BFA9">
              <w:rPr>
                <w:rFonts w:ascii="Arial" w:hAnsi="Arial" w:eastAsia="Arial" w:cs="Arial"/>
              </w:rPr>
              <w:t>Inflation, currency volatility, income inequality, high import costs.</w:t>
            </w:r>
          </w:p>
        </w:tc>
        <w:tc>
          <w:tcPr>
            <w:tcW w:w="2340" w:type="dxa"/>
          </w:tcPr>
          <w:p w:rsidR="6B488E62" w:rsidP="54A1BFA9" w:rsidRDefault="6B488E62" w14:paraId="4233464A" w14:textId="4BE74D00">
            <w:r w:rsidRPr="54A1BFA9">
              <w:rPr>
                <w:rFonts w:ascii="Arial" w:hAnsi="Arial" w:eastAsia="Arial" w:cs="Arial"/>
              </w:rPr>
              <w:t>Adapt pricing strategy, introduce affordable product ranges and increase local sourcing where feasible.</w:t>
            </w:r>
          </w:p>
        </w:tc>
      </w:tr>
      <w:tr w:rsidR="54A1BFA9" w:rsidTr="54A1BFA9" w14:paraId="6A381DF5" w14:textId="77777777">
        <w:trPr>
          <w:trHeight w:val="300"/>
        </w:trPr>
        <w:tc>
          <w:tcPr>
            <w:tcW w:w="2340" w:type="dxa"/>
          </w:tcPr>
          <w:p w:rsidR="6B488E62" w:rsidP="54A1BFA9" w:rsidRDefault="6B488E62" w14:paraId="379FE33F" w14:textId="71F6F09A">
            <w:pPr>
              <w:rPr>
                <w:rFonts w:ascii="Arial" w:hAnsi="Arial" w:eastAsia="Arial" w:cs="Arial"/>
                <w:b/>
                <w:bCs/>
              </w:rPr>
            </w:pPr>
            <w:r w:rsidRPr="54A1BFA9">
              <w:rPr>
                <w:rFonts w:ascii="Arial" w:hAnsi="Arial" w:eastAsia="Arial" w:cs="Arial"/>
                <w:b/>
                <w:bCs/>
              </w:rPr>
              <w:t>Social/Cultural</w:t>
            </w:r>
          </w:p>
        </w:tc>
        <w:tc>
          <w:tcPr>
            <w:tcW w:w="2340" w:type="dxa"/>
          </w:tcPr>
          <w:p w:rsidR="6B488E62" w:rsidP="54A1BFA9" w:rsidRDefault="6B488E62" w14:paraId="4F94B51E" w14:textId="0636C1B8">
            <w:r w:rsidRPr="54A1BFA9">
              <w:rPr>
                <w:rFonts w:ascii="Arial" w:hAnsi="Arial" w:eastAsia="Arial" w:cs="Arial"/>
              </w:rPr>
              <w:t>Growing urban lifestyles; increasing demand for modern home furnishings; strong family-oriented purchasing behaviour.</w:t>
            </w:r>
          </w:p>
        </w:tc>
        <w:tc>
          <w:tcPr>
            <w:tcW w:w="2340" w:type="dxa"/>
          </w:tcPr>
          <w:p w:rsidR="6B488E62" w:rsidP="54A1BFA9" w:rsidRDefault="6B488E62" w14:paraId="38DA3F24" w14:textId="7B9217C5">
            <w:r w:rsidRPr="54A1BFA9">
              <w:rPr>
                <w:rFonts w:ascii="Arial" w:hAnsi="Arial" w:eastAsia="Arial" w:cs="Arial"/>
              </w:rPr>
              <w:t>Preference for assembled furniture; larger households; different consumer expectations.</w:t>
            </w:r>
          </w:p>
        </w:tc>
        <w:tc>
          <w:tcPr>
            <w:tcW w:w="2340" w:type="dxa"/>
          </w:tcPr>
          <w:p w:rsidR="6B488E62" w:rsidP="54A1BFA9" w:rsidRDefault="6B488E62" w14:paraId="3893A57A" w14:textId="2DE70871">
            <w:r w:rsidRPr="54A1BFA9">
              <w:rPr>
                <w:rFonts w:ascii="Arial" w:hAnsi="Arial" w:eastAsia="Arial" w:cs="Arial"/>
              </w:rPr>
              <w:t>Adapt product range, marketing communications and customer service to local preferences.</w:t>
            </w:r>
          </w:p>
        </w:tc>
      </w:tr>
      <w:tr w:rsidR="54A1BFA9" w:rsidTr="54A1BFA9" w14:paraId="63630600" w14:textId="77777777">
        <w:trPr>
          <w:trHeight w:val="300"/>
        </w:trPr>
        <w:tc>
          <w:tcPr>
            <w:tcW w:w="2340" w:type="dxa"/>
          </w:tcPr>
          <w:p w:rsidR="6B488E62" w:rsidP="54A1BFA9" w:rsidRDefault="6B488E62" w14:paraId="4DB592A4" w14:textId="2A0CEED0">
            <w:pPr>
              <w:rPr>
                <w:rFonts w:ascii="Arial" w:hAnsi="Arial" w:eastAsia="Arial" w:cs="Arial"/>
                <w:b/>
                <w:bCs/>
              </w:rPr>
            </w:pPr>
            <w:r w:rsidRPr="54A1BFA9">
              <w:rPr>
                <w:rFonts w:ascii="Arial" w:hAnsi="Arial" w:eastAsia="Arial" w:cs="Arial"/>
                <w:b/>
                <w:bCs/>
              </w:rPr>
              <w:t>Technological</w:t>
            </w:r>
          </w:p>
        </w:tc>
        <w:tc>
          <w:tcPr>
            <w:tcW w:w="2340" w:type="dxa"/>
          </w:tcPr>
          <w:p w:rsidR="6B488E62" w:rsidP="54A1BFA9" w:rsidRDefault="6B488E62" w14:paraId="5A3F8B76" w14:textId="6DB25874">
            <w:r w:rsidRPr="54A1BFA9">
              <w:rPr>
                <w:rFonts w:ascii="Arial" w:hAnsi="Arial" w:eastAsia="Arial" w:cs="Arial"/>
              </w:rPr>
              <w:t>Expanding digital commerce and mobile connectivity.</w:t>
            </w:r>
          </w:p>
        </w:tc>
        <w:tc>
          <w:tcPr>
            <w:tcW w:w="2340" w:type="dxa"/>
          </w:tcPr>
          <w:p w:rsidR="6B488E62" w:rsidP="54A1BFA9" w:rsidRDefault="6B488E62" w14:paraId="3E686D30" w14:textId="7D90351F">
            <w:r w:rsidRPr="54A1BFA9">
              <w:rPr>
                <w:rFonts w:ascii="Arial" w:hAnsi="Arial" w:eastAsia="Arial" w:cs="Arial"/>
              </w:rPr>
              <w:t>Logistics technology and infrastructure remain underdeveloped.</w:t>
            </w:r>
          </w:p>
        </w:tc>
        <w:tc>
          <w:tcPr>
            <w:tcW w:w="2340" w:type="dxa"/>
          </w:tcPr>
          <w:p w:rsidR="6B488E62" w:rsidP="54A1BFA9" w:rsidRDefault="6B488E62" w14:paraId="27EFC6B6" w14:textId="2C29B840">
            <w:r w:rsidRPr="54A1BFA9">
              <w:rPr>
                <w:rFonts w:ascii="Arial" w:hAnsi="Arial" w:eastAsia="Arial" w:cs="Arial"/>
              </w:rPr>
              <w:t>Develop omnichannel retail supported by digital platforms and local logistics partners.</w:t>
            </w:r>
          </w:p>
        </w:tc>
      </w:tr>
      <w:tr w:rsidR="54A1BFA9" w:rsidTr="54A1BFA9" w14:paraId="77A7CF72" w14:textId="77777777">
        <w:trPr>
          <w:trHeight w:val="300"/>
        </w:trPr>
        <w:tc>
          <w:tcPr>
            <w:tcW w:w="2340" w:type="dxa"/>
          </w:tcPr>
          <w:p w:rsidR="6B488E62" w:rsidP="54A1BFA9" w:rsidRDefault="6B488E62" w14:paraId="019E7430" w14:textId="5E45553F">
            <w:pPr>
              <w:rPr>
                <w:rFonts w:ascii="Arial" w:hAnsi="Arial" w:eastAsia="Arial" w:cs="Arial"/>
                <w:b/>
                <w:bCs/>
              </w:rPr>
            </w:pPr>
            <w:r w:rsidRPr="54A1BFA9">
              <w:rPr>
                <w:rFonts w:ascii="Arial" w:hAnsi="Arial" w:eastAsia="Arial" w:cs="Arial"/>
                <w:b/>
                <w:bCs/>
              </w:rPr>
              <w:t>Environmental</w:t>
            </w:r>
          </w:p>
        </w:tc>
        <w:tc>
          <w:tcPr>
            <w:tcW w:w="2340" w:type="dxa"/>
          </w:tcPr>
          <w:p w:rsidR="6B488E62" w:rsidP="54A1BFA9" w:rsidRDefault="6B488E62" w14:paraId="7C86947D" w14:textId="542F801D">
            <w:r w:rsidRPr="54A1BFA9">
              <w:rPr>
                <w:rFonts w:ascii="Arial" w:hAnsi="Arial" w:eastAsia="Arial" w:cs="Arial"/>
              </w:rPr>
              <w:t>Opportunities for sustainable sourcing and circular business practices.</w:t>
            </w:r>
          </w:p>
        </w:tc>
        <w:tc>
          <w:tcPr>
            <w:tcW w:w="2340" w:type="dxa"/>
          </w:tcPr>
          <w:p w:rsidR="6B488E62" w:rsidP="54A1BFA9" w:rsidRDefault="6B488E62" w14:paraId="647206A3" w14:textId="54D1D55F">
            <w:r w:rsidRPr="54A1BFA9">
              <w:rPr>
                <w:rFonts w:ascii="Arial" w:hAnsi="Arial" w:eastAsia="Arial" w:cs="Arial"/>
              </w:rPr>
              <w:t>Waste management challenges and energy infrastructure limitations.</w:t>
            </w:r>
          </w:p>
        </w:tc>
        <w:tc>
          <w:tcPr>
            <w:tcW w:w="2340" w:type="dxa"/>
          </w:tcPr>
          <w:p w:rsidR="6B488E62" w:rsidP="54A1BFA9" w:rsidRDefault="6B488E62" w14:paraId="2A3644FD" w14:textId="59A95DBD">
            <w:r w:rsidRPr="54A1BFA9">
              <w:rPr>
                <w:rFonts w:ascii="Arial" w:hAnsi="Arial" w:eastAsia="Arial" w:cs="Arial"/>
              </w:rPr>
              <w:t>Align sustainability initiatives with local environmental priorities and supplier development.</w:t>
            </w:r>
          </w:p>
        </w:tc>
      </w:tr>
      <w:tr w:rsidR="54A1BFA9" w:rsidTr="54A1BFA9" w14:paraId="139AF157" w14:textId="77777777">
        <w:trPr>
          <w:trHeight w:val="300"/>
        </w:trPr>
        <w:tc>
          <w:tcPr>
            <w:tcW w:w="2340" w:type="dxa"/>
          </w:tcPr>
          <w:p w:rsidR="6B488E62" w:rsidP="54A1BFA9" w:rsidRDefault="6B488E62" w14:paraId="3135CB80" w14:textId="7B7E54E3">
            <w:pPr>
              <w:rPr>
                <w:rFonts w:ascii="Arial" w:hAnsi="Arial" w:eastAsia="Arial" w:cs="Arial"/>
                <w:b/>
                <w:bCs/>
              </w:rPr>
            </w:pPr>
            <w:r w:rsidRPr="54A1BFA9">
              <w:rPr>
                <w:rFonts w:ascii="Arial" w:hAnsi="Arial" w:eastAsia="Arial" w:cs="Arial"/>
                <w:b/>
                <w:bCs/>
              </w:rPr>
              <w:t>Legal</w:t>
            </w:r>
          </w:p>
        </w:tc>
        <w:tc>
          <w:tcPr>
            <w:tcW w:w="2340" w:type="dxa"/>
          </w:tcPr>
          <w:p w:rsidR="6B488E62" w:rsidP="54A1BFA9" w:rsidRDefault="6B488E62" w14:paraId="09589192" w14:textId="3A1C9DD7">
            <w:r w:rsidRPr="54A1BFA9">
              <w:rPr>
                <w:rFonts w:ascii="Arial" w:hAnsi="Arial" w:eastAsia="Arial" w:cs="Arial"/>
              </w:rPr>
              <w:t>Investment reforms supporting foreign participation.</w:t>
            </w:r>
          </w:p>
        </w:tc>
        <w:tc>
          <w:tcPr>
            <w:tcW w:w="2340" w:type="dxa"/>
          </w:tcPr>
          <w:p w:rsidR="6B488E62" w:rsidP="54A1BFA9" w:rsidRDefault="6B488E62" w14:paraId="17D2E3CF" w14:textId="7D94CC68">
            <w:r w:rsidRPr="54A1BFA9">
              <w:rPr>
                <w:rFonts w:ascii="Arial" w:hAnsi="Arial" w:eastAsia="Arial" w:cs="Arial"/>
              </w:rPr>
              <w:t>Regulatory complexity, customs delays, changing trade policies and contract enforcement challenges.</w:t>
            </w:r>
          </w:p>
        </w:tc>
        <w:tc>
          <w:tcPr>
            <w:tcW w:w="2340" w:type="dxa"/>
          </w:tcPr>
          <w:p w:rsidR="6B488E62" w:rsidP="54A1BFA9" w:rsidRDefault="6B488E62" w14:paraId="75D8ACC4" w14:textId="3173938A">
            <w:r w:rsidRPr="54A1BFA9">
              <w:rPr>
                <w:rFonts w:ascii="Arial" w:hAnsi="Arial" w:eastAsia="Arial" w:cs="Arial"/>
              </w:rPr>
              <w:t>Utilise experienced legal advisers and local partners to manage regulatory compliance.</w:t>
            </w:r>
          </w:p>
        </w:tc>
      </w:tr>
    </w:tbl>
    <w:p w:rsidR="000A5158" w:rsidP="54A1BFA9" w:rsidRDefault="0BB6C672" w14:paraId="2C078E63" w14:textId="41E04897">
      <w:pPr>
        <w:spacing w:line="360" w:lineRule="auto"/>
      </w:pPr>
      <w:r w:rsidRPr="54A1BFA9">
        <w:rPr>
          <w:rFonts w:ascii="Arial" w:hAnsi="Arial" w:eastAsia="Arial" w:cs="Arial"/>
        </w:rPr>
        <w:t>World Bank (2025), Transparency International (2024), Inter IKEA Group (2025).</w:t>
      </w:r>
    </w:p>
    <w:p w:rsidR="5EE68560" w:rsidP="54A1BFA9" w:rsidRDefault="5EE68560" w14:paraId="519D1106" w14:textId="4476C3B2">
      <w:pPr>
        <w:rPr>
          <w:b/>
          <w:bCs/>
        </w:rPr>
      </w:pPr>
      <w:r w:rsidRPr="54A1BFA9">
        <w:rPr>
          <w:b/>
          <w:bCs/>
        </w:rPr>
        <w:t>Appendix B</w:t>
      </w:r>
    </w:p>
    <w:p w:rsidR="5EE68560" w:rsidP="54A1BFA9" w:rsidRDefault="5EE68560" w14:paraId="08B07DC9" w14:textId="36AB59D7">
      <w:r w:rsidRPr="0D3547E8">
        <w:rPr>
          <w:b/>
          <w:bCs/>
        </w:rPr>
        <w:t xml:space="preserve">Figure </w:t>
      </w:r>
      <w:r w:rsidRPr="0D3547E8" w:rsidR="1BEA25B7">
        <w:rPr>
          <w:b/>
          <w:bCs/>
        </w:rPr>
        <w:t>2</w:t>
      </w:r>
      <w:r w:rsidRPr="0D3547E8">
        <w:rPr>
          <w:b/>
          <w:bCs/>
        </w:rPr>
        <w:t>. Hofstede Cultural Dimension Comparison: UK–Nigeria</w:t>
      </w:r>
    </w:p>
    <w:p w:rsidR="46B6690E" w:rsidP="54A1BFA9" w:rsidRDefault="46B6690E" w14:paraId="06696513" w14:textId="1AA99FA5">
      <w:r>
        <w:rPr>
          <w:noProof/>
        </w:rPr>
        <w:drawing>
          <wp:inline distT="0" distB="0" distL="0" distR="0" wp14:anchorId="1E984C63" wp14:editId="3BDD96FD">
            <wp:extent cx="5943600" cy="3257550"/>
            <wp:effectExtent l="0" t="0" r="0" b="0"/>
            <wp:docPr id="4649314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822982" name="Picture 356822982"/>
                    <pic:cNvPicPr/>
                  </pic:nvPicPr>
                  <pic:blipFill>
                    <a:blip r:embed="rId10">
                      <a:extLst>
                        <a:ext uri="{28A0092B-C50C-407E-A947-70E740481C1C}">
                          <a14:useLocalDpi xmlns:a14="http://schemas.microsoft.com/office/drawing/2010/main"/>
                        </a:ext>
                      </a:extLst>
                    </a:blip>
                    <a:stretch>
                      <a:fillRect/>
                    </a:stretch>
                  </pic:blipFill>
                  <pic:spPr>
                    <a:xfrm>
                      <a:off x="0" y="0"/>
                      <a:ext cx="5943600" cy="3257550"/>
                    </a:xfrm>
                    <a:prstGeom prst="rect">
                      <a:avLst/>
                    </a:prstGeom>
                  </pic:spPr>
                </pic:pic>
              </a:graphicData>
            </a:graphic>
          </wp:inline>
        </w:drawing>
      </w:r>
      <w:r w:rsidRPr="54A1BFA9">
        <w:rPr>
          <w:rFonts w:ascii="Arial" w:hAnsi="Arial" w:eastAsia="Arial" w:cs="Arial"/>
        </w:rPr>
        <w:t>Hofstede Insights (2024).</w:t>
      </w:r>
    </w:p>
    <w:p w:rsidR="54A1BFA9" w:rsidP="54A1BFA9" w:rsidRDefault="54A1BFA9" w14:paraId="0231F6FA" w14:textId="088AEE82">
      <w:pPr>
        <w:rPr>
          <w:rFonts w:ascii="Arial" w:hAnsi="Arial" w:eastAsia="Arial" w:cs="Arial"/>
        </w:rPr>
      </w:pPr>
    </w:p>
    <w:p w:rsidR="54A1BFA9" w:rsidP="54A1BFA9" w:rsidRDefault="54A1BFA9" w14:paraId="42A0C236" w14:textId="427F61BD">
      <w:pPr>
        <w:rPr>
          <w:rFonts w:ascii="Arial" w:hAnsi="Arial" w:eastAsia="Arial" w:cs="Arial"/>
        </w:rPr>
      </w:pPr>
    </w:p>
    <w:p w:rsidR="54A1BFA9" w:rsidP="54A1BFA9" w:rsidRDefault="54A1BFA9" w14:paraId="358CD2B4" w14:textId="7BF08191">
      <w:pPr>
        <w:rPr>
          <w:rFonts w:ascii="Arial" w:hAnsi="Arial" w:eastAsia="Arial" w:cs="Arial"/>
        </w:rPr>
      </w:pPr>
    </w:p>
    <w:p w:rsidR="54A1BFA9" w:rsidP="54A1BFA9" w:rsidRDefault="54A1BFA9" w14:paraId="39B177DA" w14:textId="40B07082">
      <w:pPr>
        <w:rPr>
          <w:rFonts w:ascii="Arial" w:hAnsi="Arial" w:eastAsia="Arial" w:cs="Arial"/>
        </w:rPr>
      </w:pPr>
    </w:p>
    <w:p w:rsidR="54A1BFA9" w:rsidP="54A1BFA9" w:rsidRDefault="54A1BFA9" w14:paraId="6CB43107" w14:textId="09708F9C">
      <w:pPr>
        <w:rPr>
          <w:rFonts w:ascii="Arial" w:hAnsi="Arial" w:eastAsia="Arial" w:cs="Arial"/>
        </w:rPr>
      </w:pPr>
    </w:p>
    <w:p w:rsidR="54A1BFA9" w:rsidP="54A1BFA9" w:rsidRDefault="54A1BFA9" w14:paraId="2FB40487" w14:textId="41A5F05E">
      <w:pPr>
        <w:rPr>
          <w:rFonts w:ascii="Arial" w:hAnsi="Arial" w:eastAsia="Arial" w:cs="Arial"/>
        </w:rPr>
      </w:pPr>
    </w:p>
    <w:p w:rsidR="54A1BFA9" w:rsidP="54A1BFA9" w:rsidRDefault="54A1BFA9" w14:paraId="647F50EF" w14:textId="7D87B8A7">
      <w:pPr>
        <w:rPr>
          <w:rFonts w:ascii="Arial" w:hAnsi="Arial" w:eastAsia="Arial" w:cs="Arial"/>
        </w:rPr>
      </w:pPr>
    </w:p>
    <w:p w:rsidR="54A1BFA9" w:rsidP="54A1BFA9" w:rsidRDefault="54A1BFA9" w14:paraId="16BC8479" w14:textId="65E0D9DE">
      <w:pPr>
        <w:rPr>
          <w:rFonts w:ascii="Arial" w:hAnsi="Arial" w:eastAsia="Arial" w:cs="Arial"/>
        </w:rPr>
      </w:pPr>
    </w:p>
    <w:p w:rsidR="54A1BFA9" w:rsidP="54A1BFA9" w:rsidRDefault="54A1BFA9" w14:paraId="3DC6150B" w14:textId="1200D3ED">
      <w:pPr>
        <w:rPr>
          <w:rFonts w:ascii="Arial" w:hAnsi="Arial" w:eastAsia="Arial" w:cs="Arial"/>
        </w:rPr>
      </w:pPr>
    </w:p>
    <w:p w:rsidR="54A1BFA9" w:rsidP="54A1BFA9" w:rsidRDefault="54A1BFA9" w14:paraId="7499FFF4" w14:textId="27BA93B3">
      <w:pPr>
        <w:rPr>
          <w:rFonts w:ascii="Arial" w:hAnsi="Arial" w:eastAsia="Arial" w:cs="Arial"/>
        </w:rPr>
      </w:pPr>
    </w:p>
    <w:p w:rsidR="54A1BFA9" w:rsidP="54A1BFA9" w:rsidRDefault="54A1BFA9" w14:paraId="03160020" w14:textId="5D6B5FF1">
      <w:pPr>
        <w:rPr>
          <w:rFonts w:ascii="Arial" w:hAnsi="Arial" w:eastAsia="Arial" w:cs="Arial"/>
        </w:rPr>
      </w:pPr>
    </w:p>
    <w:p w:rsidR="54A1BFA9" w:rsidP="54A1BFA9" w:rsidRDefault="54A1BFA9" w14:paraId="65223199" w14:textId="274C2F6F">
      <w:pPr>
        <w:rPr>
          <w:rFonts w:ascii="Arial" w:hAnsi="Arial" w:eastAsia="Arial" w:cs="Arial"/>
        </w:rPr>
      </w:pPr>
    </w:p>
    <w:p w:rsidR="54A1BFA9" w:rsidP="54A1BFA9" w:rsidRDefault="54A1BFA9" w14:paraId="0319AA84" w14:textId="4458ACE8">
      <w:pPr>
        <w:rPr>
          <w:rFonts w:ascii="Arial" w:hAnsi="Arial" w:eastAsia="Arial" w:cs="Arial"/>
        </w:rPr>
      </w:pPr>
    </w:p>
    <w:p w:rsidR="54A1BFA9" w:rsidP="54A1BFA9" w:rsidRDefault="54A1BFA9" w14:paraId="49310F4D" w14:textId="41657D71">
      <w:pPr>
        <w:rPr>
          <w:rFonts w:ascii="Arial" w:hAnsi="Arial" w:eastAsia="Arial" w:cs="Arial"/>
        </w:rPr>
      </w:pPr>
    </w:p>
    <w:p w:rsidR="54A1BFA9" w:rsidP="54A1BFA9" w:rsidRDefault="54A1BFA9" w14:paraId="5641F47D" w14:textId="5D441DD8">
      <w:pPr>
        <w:rPr>
          <w:rFonts w:ascii="Arial" w:hAnsi="Arial" w:eastAsia="Arial" w:cs="Arial"/>
        </w:rPr>
      </w:pPr>
    </w:p>
    <w:p w:rsidR="15D1C2F5" w:rsidP="54A1BFA9" w:rsidRDefault="15D1C2F5" w14:paraId="1B42DFA8" w14:textId="0C5A484F">
      <w:pPr>
        <w:rPr>
          <w:rFonts w:ascii="Arial" w:hAnsi="Arial" w:eastAsia="Arial" w:cs="Arial"/>
          <w:b/>
          <w:bCs/>
        </w:rPr>
      </w:pPr>
      <w:r w:rsidRPr="54A1BFA9">
        <w:rPr>
          <w:rFonts w:ascii="Arial" w:hAnsi="Arial" w:eastAsia="Arial" w:cs="Arial"/>
          <w:b/>
          <w:bCs/>
        </w:rPr>
        <w:t>Appendix C</w:t>
      </w:r>
    </w:p>
    <w:p w:rsidR="127C4B41" w:rsidP="54A1BFA9" w:rsidRDefault="127C4B41" w14:paraId="1DD0CB22" w14:textId="7CB06622">
      <w:pPr>
        <w:spacing w:line="360" w:lineRule="auto"/>
        <w:rPr>
          <w:rFonts w:ascii="Arial" w:hAnsi="Arial" w:eastAsia="Arial" w:cs="Arial"/>
          <w:b/>
          <w:bCs/>
        </w:rPr>
      </w:pPr>
      <w:r w:rsidRPr="54A1BFA9">
        <w:rPr>
          <w:rFonts w:ascii="Arial" w:hAnsi="Arial" w:eastAsia="Arial" w:cs="Arial"/>
          <w:b/>
          <w:bCs/>
        </w:rPr>
        <w:t xml:space="preserve">Table </w:t>
      </w:r>
      <w:r w:rsidRPr="54A1BFA9" w:rsidR="4F4F3BC0">
        <w:rPr>
          <w:rFonts w:ascii="Arial" w:hAnsi="Arial" w:eastAsia="Arial" w:cs="Arial"/>
          <w:b/>
          <w:bCs/>
        </w:rPr>
        <w:t>2</w:t>
      </w:r>
      <w:r w:rsidRPr="54A1BFA9">
        <w:rPr>
          <w:rFonts w:ascii="Arial" w:hAnsi="Arial" w:eastAsia="Arial" w:cs="Arial"/>
          <w:b/>
          <w:bCs/>
        </w:rPr>
        <w:t>. Supporting Hofstede Cultural Dimension Analysis (UK–Nigeria)</w:t>
      </w:r>
    </w:p>
    <w:tbl>
      <w:tblPr>
        <w:tblStyle w:val="TableGrid"/>
        <w:tblW w:w="0" w:type="auto"/>
        <w:tblLook w:val="06A0" w:firstRow="1" w:lastRow="0" w:firstColumn="1" w:lastColumn="0" w:noHBand="1" w:noVBand="1"/>
      </w:tblPr>
      <w:tblGrid>
        <w:gridCol w:w="2337"/>
        <w:gridCol w:w="2337"/>
        <w:gridCol w:w="2338"/>
        <w:gridCol w:w="2338"/>
      </w:tblGrid>
      <w:tr w:rsidR="54A1BFA9" w:rsidTr="54A1BFA9" w14:paraId="5E9D8E6A" w14:textId="77777777">
        <w:trPr>
          <w:trHeight w:val="300"/>
        </w:trPr>
        <w:tc>
          <w:tcPr>
            <w:tcW w:w="2340" w:type="dxa"/>
          </w:tcPr>
          <w:p w:rsidR="54A1BFA9" w:rsidP="54A1BFA9" w:rsidRDefault="54A1BFA9" w14:paraId="60F298AA" w14:textId="20BCBF8D">
            <w:pPr>
              <w:jc w:val="center"/>
            </w:pPr>
            <w:r w:rsidRPr="54A1BFA9">
              <w:rPr>
                <w:b/>
                <w:bCs/>
              </w:rPr>
              <w:t>Cultural Dimension</w:t>
            </w:r>
          </w:p>
        </w:tc>
        <w:tc>
          <w:tcPr>
            <w:tcW w:w="2340" w:type="dxa"/>
          </w:tcPr>
          <w:p w:rsidR="1D5A9CF0" w:rsidP="54A1BFA9" w:rsidRDefault="1D5A9CF0" w14:paraId="04FBD012" w14:textId="67C00013">
            <w:r w:rsidRPr="54A1BFA9">
              <w:rPr>
                <w:rFonts w:ascii="Arial" w:hAnsi="Arial" w:eastAsia="Arial" w:cs="Arial"/>
              </w:rPr>
              <w:t>United Kingdom</w:t>
            </w:r>
          </w:p>
        </w:tc>
        <w:tc>
          <w:tcPr>
            <w:tcW w:w="2340" w:type="dxa"/>
          </w:tcPr>
          <w:p w:rsidR="1D5A9CF0" w:rsidP="54A1BFA9" w:rsidRDefault="1D5A9CF0" w14:paraId="1C18B994" w14:textId="68B56717">
            <w:r w:rsidRPr="54A1BFA9">
              <w:rPr>
                <w:rFonts w:ascii="Arial" w:hAnsi="Arial" w:eastAsia="Arial" w:cs="Arial"/>
              </w:rPr>
              <w:t>Nigeria</w:t>
            </w:r>
          </w:p>
        </w:tc>
        <w:tc>
          <w:tcPr>
            <w:tcW w:w="2340" w:type="dxa"/>
          </w:tcPr>
          <w:p w:rsidR="1D5A9CF0" w:rsidP="54A1BFA9" w:rsidRDefault="1D5A9CF0" w14:paraId="34BD8A92" w14:textId="15CAE543">
            <w:r w:rsidRPr="54A1BFA9">
              <w:rPr>
                <w:rFonts w:ascii="Arial" w:hAnsi="Arial" w:eastAsia="Arial" w:cs="Arial"/>
              </w:rPr>
              <w:t>Strategic Implications for IKEA</w:t>
            </w:r>
          </w:p>
        </w:tc>
      </w:tr>
      <w:tr w:rsidR="54A1BFA9" w:rsidTr="54A1BFA9" w14:paraId="402B5E6F" w14:textId="77777777">
        <w:trPr>
          <w:trHeight w:val="300"/>
        </w:trPr>
        <w:tc>
          <w:tcPr>
            <w:tcW w:w="2340" w:type="dxa"/>
          </w:tcPr>
          <w:p w:rsidR="1D5A9CF0" w:rsidP="54A1BFA9" w:rsidRDefault="1D5A9CF0" w14:paraId="4E317316" w14:textId="53E5AFC5">
            <w:r w:rsidRPr="54A1BFA9">
              <w:rPr>
                <w:rFonts w:ascii="Arial" w:hAnsi="Arial" w:eastAsia="Arial" w:cs="Arial"/>
              </w:rPr>
              <w:t>Power Distance</w:t>
            </w:r>
          </w:p>
        </w:tc>
        <w:tc>
          <w:tcPr>
            <w:tcW w:w="2340" w:type="dxa"/>
          </w:tcPr>
          <w:p w:rsidR="1D5A9CF0" w:rsidP="54A1BFA9" w:rsidRDefault="1D5A9CF0" w14:paraId="5417C979" w14:textId="3C81BB8A">
            <w:r w:rsidRPr="54A1BFA9">
              <w:rPr>
                <w:rFonts w:ascii="Arial" w:hAnsi="Arial" w:eastAsia="Arial" w:cs="Arial"/>
              </w:rPr>
              <w:t>Low</w:t>
            </w:r>
          </w:p>
        </w:tc>
        <w:tc>
          <w:tcPr>
            <w:tcW w:w="2340" w:type="dxa"/>
          </w:tcPr>
          <w:p w:rsidR="1D5A9CF0" w:rsidP="54A1BFA9" w:rsidRDefault="1D5A9CF0" w14:paraId="12C67739" w14:textId="6F514958">
            <w:r w:rsidRPr="54A1BFA9">
              <w:rPr>
                <w:rFonts w:ascii="Arial" w:hAnsi="Arial" w:eastAsia="Arial" w:cs="Arial"/>
              </w:rPr>
              <w:t>High</w:t>
            </w:r>
          </w:p>
        </w:tc>
        <w:tc>
          <w:tcPr>
            <w:tcW w:w="2340" w:type="dxa"/>
          </w:tcPr>
          <w:p w:rsidR="1D5A9CF0" w:rsidP="54A1BFA9" w:rsidRDefault="1D5A9CF0" w14:paraId="7C30B7A8" w14:textId="27C7CEC1">
            <w:r w:rsidRPr="54A1BFA9">
              <w:rPr>
                <w:rFonts w:ascii="Arial" w:hAnsi="Arial" w:eastAsia="Arial" w:cs="Arial"/>
              </w:rPr>
              <w:t>Greater emphasis on hierarchy and trust may require more personalised customer engagement and stronger management structures.</w:t>
            </w:r>
          </w:p>
        </w:tc>
      </w:tr>
      <w:tr w:rsidR="54A1BFA9" w:rsidTr="54A1BFA9" w14:paraId="2D017BBB" w14:textId="77777777">
        <w:trPr>
          <w:trHeight w:val="300"/>
        </w:trPr>
        <w:tc>
          <w:tcPr>
            <w:tcW w:w="2340" w:type="dxa"/>
          </w:tcPr>
          <w:p w:rsidR="77312876" w:rsidP="54A1BFA9" w:rsidRDefault="77312876" w14:paraId="0CDAEB67" w14:textId="1F46456B">
            <w:r w:rsidRPr="54A1BFA9">
              <w:rPr>
                <w:rFonts w:ascii="Arial" w:hAnsi="Arial" w:eastAsia="Arial" w:cs="Arial"/>
              </w:rPr>
              <w:t>Individualism</w:t>
            </w:r>
          </w:p>
        </w:tc>
        <w:tc>
          <w:tcPr>
            <w:tcW w:w="2340" w:type="dxa"/>
          </w:tcPr>
          <w:p w:rsidR="77312876" w:rsidP="54A1BFA9" w:rsidRDefault="77312876" w14:paraId="4AF6A38E" w14:textId="0B71ECDC">
            <w:r w:rsidRPr="54A1BFA9">
              <w:rPr>
                <w:rFonts w:ascii="Arial" w:hAnsi="Arial" w:eastAsia="Arial" w:cs="Arial"/>
              </w:rPr>
              <w:t>High</w:t>
            </w:r>
          </w:p>
        </w:tc>
        <w:tc>
          <w:tcPr>
            <w:tcW w:w="2340" w:type="dxa"/>
          </w:tcPr>
          <w:p w:rsidR="77312876" w:rsidP="54A1BFA9" w:rsidRDefault="77312876" w14:paraId="1AA40B17" w14:textId="12D41DE3">
            <w:r w:rsidRPr="54A1BFA9">
              <w:rPr>
                <w:rFonts w:ascii="Arial" w:hAnsi="Arial" w:eastAsia="Arial" w:cs="Arial"/>
              </w:rPr>
              <w:t>Lower (more collectivist)</w:t>
            </w:r>
          </w:p>
        </w:tc>
        <w:tc>
          <w:tcPr>
            <w:tcW w:w="2340" w:type="dxa"/>
          </w:tcPr>
          <w:p w:rsidR="1D5A9CF0" w:rsidP="54A1BFA9" w:rsidRDefault="1D5A9CF0" w14:paraId="1E9376D9" w14:textId="044D83A7">
            <w:r w:rsidRPr="54A1BFA9">
              <w:rPr>
                <w:rFonts w:ascii="Arial" w:hAnsi="Arial" w:eastAsia="Arial" w:cs="Arial"/>
              </w:rPr>
              <w:t>Marketing should emphasise family life, shared living spaces and community values rather than individual lifestyles.</w:t>
            </w:r>
          </w:p>
        </w:tc>
      </w:tr>
      <w:tr w:rsidR="54A1BFA9" w:rsidTr="54A1BFA9" w14:paraId="35389B7C" w14:textId="77777777">
        <w:trPr>
          <w:trHeight w:val="300"/>
        </w:trPr>
        <w:tc>
          <w:tcPr>
            <w:tcW w:w="2340" w:type="dxa"/>
          </w:tcPr>
          <w:p w:rsidR="757B0A18" w:rsidP="54A1BFA9" w:rsidRDefault="757B0A18" w14:paraId="0E19B07D" w14:textId="18CB877D">
            <w:r w:rsidRPr="54A1BFA9">
              <w:rPr>
                <w:rFonts w:ascii="Arial" w:hAnsi="Arial" w:eastAsia="Arial" w:cs="Arial"/>
              </w:rPr>
              <w:t>Masculinity</w:t>
            </w:r>
          </w:p>
        </w:tc>
        <w:tc>
          <w:tcPr>
            <w:tcW w:w="2340" w:type="dxa"/>
          </w:tcPr>
          <w:p w:rsidR="757B0A18" w:rsidP="54A1BFA9" w:rsidRDefault="757B0A18" w14:paraId="1BD7FCF4" w14:textId="52745858">
            <w:r w:rsidRPr="54A1BFA9">
              <w:rPr>
                <w:rFonts w:ascii="Arial" w:hAnsi="Arial" w:eastAsia="Arial" w:cs="Arial"/>
              </w:rPr>
              <w:t>Relatively high</w:t>
            </w:r>
          </w:p>
        </w:tc>
        <w:tc>
          <w:tcPr>
            <w:tcW w:w="2340" w:type="dxa"/>
          </w:tcPr>
          <w:p w:rsidR="757B0A18" w:rsidP="54A1BFA9" w:rsidRDefault="757B0A18" w14:paraId="4F0DE853" w14:textId="7606158A">
            <w:r w:rsidRPr="54A1BFA9">
              <w:rPr>
                <w:rFonts w:ascii="Arial" w:hAnsi="Arial" w:eastAsia="Arial" w:cs="Arial"/>
              </w:rPr>
              <w:t>High</w:t>
            </w:r>
          </w:p>
        </w:tc>
        <w:tc>
          <w:tcPr>
            <w:tcW w:w="2340" w:type="dxa"/>
          </w:tcPr>
          <w:p w:rsidR="1D5A9CF0" w:rsidP="54A1BFA9" w:rsidRDefault="1D5A9CF0" w14:paraId="393971A7" w14:textId="58A4ECA0">
            <w:r w:rsidRPr="54A1BFA9">
              <w:rPr>
                <w:rFonts w:ascii="Arial" w:hAnsi="Arial" w:eastAsia="Arial" w:cs="Arial"/>
              </w:rPr>
              <w:t>Consumers may value product quality, durability and social status associated with international brands.</w:t>
            </w:r>
          </w:p>
        </w:tc>
      </w:tr>
      <w:tr w:rsidR="54A1BFA9" w:rsidTr="54A1BFA9" w14:paraId="265C67B2" w14:textId="77777777">
        <w:trPr>
          <w:trHeight w:val="300"/>
        </w:trPr>
        <w:tc>
          <w:tcPr>
            <w:tcW w:w="2340" w:type="dxa"/>
          </w:tcPr>
          <w:p w:rsidR="0EE12C27" w:rsidP="54A1BFA9" w:rsidRDefault="0EE12C27" w14:paraId="3CECEE1C" w14:textId="12A08B84">
            <w:r w:rsidRPr="54A1BFA9">
              <w:rPr>
                <w:rFonts w:ascii="Arial" w:hAnsi="Arial" w:eastAsia="Arial" w:cs="Arial"/>
              </w:rPr>
              <w:t>Uncertainty Avoidance</w:t>
            </w:r>
          </w:p>
        </w:tc>
        <w:tc>
          <w:tcPr>
            <w:tcW w:w="2340" w:type="dxa"/>
          </w:tcPr>
          <w:p w:rsidR="0EE12C27" w:rsidP="54A1BFA9" w:rsidRDefault="0EE12C27" w14:paraId="18F48E16" w14:textId="41CD0538">
            <w:r w:rsidRPr="54A1BFA9">
              <w:rPr>
                <w:rFonts w:ascii="Arial" w:hAnsi="Arial" w:eastAsia="Arial" w:cs="Arial"/>
              </w:rPr>
              <w:t>Moderate</w:t>
            </w:r>
          </w:p>
        </w:tc>
        <w:tc>
          <w:tcPr>
            <w:tcW w:w="2340" w:type="dxa"/>
          </w:tcPr>
          <w:p w:rsidR="0EE12C27" w:rsidP="54A1BFA9" w:rsidRDefault="0EE12C27" w14:paraId="0FDCA77F" w14:textId="38A05CAA">
            <w:r w:rsidRPr="54A1BFA9">
              <w:rPr>
                <w:rFonts w:ascii="Arial" w:hAnsi="Arial" w:eastAsia="Arial" w:cs="Arial"/>
              </w:rPr>
              <w:t>Moderate</w:t>
            </w:r>
          </w:p>
        </w:tc>
        <w:tc>
          <w:tcPr>
            <w:tcW w:w="2340" w:type="dxa"/>
          </w:tcPr>
          <w:tbl>
            <w:tblPr>
              <w:tblW w:w="0" w:type="auto"/>
              <w:tblLook w:val="06A0" w:firstRow="1" w:lastRow="0" w:firstColumn="1" w:lastColumn="0" w:noHBand="1" w:noVBand="1"/>
            </w:tblPr>
            <w:tblGrid>
              <w:gridCol w:w="222"/>
              <w:gridCol w:w="1900"/>
            </w:tblGrid>
            <w:tr w:rsidR="54A1BFA9" w:rsidTr="54A1BFA9" w14:paraId="36F69ECF" w14:textId="77777777">
              <w:trPr>
                <w:gridAfter w:val="1"/>
                <w:wAfter w:w="1995" w:type="dxa"/>
                <w:trHeight w:val="300"/>
              </w:trPr>
              <w:tc>
                <w:tcPr>
                  <w:tcW w:w="135" w:type="dxa"/>
                  <w:vAlign w:val="center"/>
                </w:tcPr>
                <w:p w:rsidR="54A1BFA9" w:rsidRDefault="54A1BFA9" w14:paraId="3867DCFE" w14:textId="2CD8646F"/>
              </w:tc>
            </w:tr>
            <w:tr w:rsidR="54A1BFA9" w:rsidTr="54A1BFA9" w14:paraId="0033B344" w14:textId="77777777">
              <w:trPr>
                <w:trHeight w:val="300"/>
              </w:trPr>
              <w:tc>
                <w:tcPr>
                  <w:tcW w:w="2130" w:type="dxa"/>
                  <w:gridSpan w:val="2"/>
                  <w:vAlign w:val="center"/>
                </w:tcPr>
                <w:p w:rsidR="54A1BFA9" w:rsidP="54A1BFA9" w:rsidRDefault="54A1BFA9" w14:paraId="6BFB5A0F" w14:textId="0AF8B93A">
                  <w:pPr>
                    <w:spacing w:after="0"/>
                  </w:pPr>
                  <w:r>
                    <w:t>Clear warranties, product information and after-sales support may reduce perceived purchase risk.</w:t>
                  </w:r>
                </w:p>
              </w:tc>
            </w:tr>
          </w:tbl>
          <w:p w:rsidR="54A1BFA9" w:rsidP="54A1BFA9" w:rsidRDefault="54A1BFA9" w14:paraId="6DBA23A9" w14:textId="33B126BB">
            <w:pPr>
              <w:rPr>
                <w:rFonts w:ascii="Arial" w:hAnsi="Arial" w:eastAsia="Arial" w:cs="Arial"/>
              </w:rPr>
            </w:pPr>
          </w:p>
        </w:tc>
      </w:tr>
      <w:tr w:rsidR="54A1BFA9" w:rsidTr="54A1BFA9" w14:paraId="2F370CB8" w14:textId="77777777">
        <w:trPr>
          <w:trHeight w:val="300"/>
        </w:trPr>
        <w:tc>
          <w:tcPr>
            <w:tcW w:w="2340" w:type="dxa"/>
          </w:tcPr>
          <w:p w:rsidR="5991E0EF" w:rsidP="54A1BFA9" w:rsidRDefault="5991E0EF" w14:paraId="1D4AFDC0" w14:textId="0B1903B0">
            <w:r w:rsidRPr="54A1BFA9">
              <w:rPr>
                <w:rFonts w:ascii="Arial" w:hAnsi="Arial" w:eastAsia="Arial" w:cs="Arial"/>
              </w:rPr>
              <w:t>Long-Term Orientation</w:t>
            </w:r>
          </w:p>
        </w:tc>
        <w:tc>
          <w:tcPr>
            <w:tcW w:w="2340" w:type="dxa"/>
          </w:tcPr>
          <w:p w:rsidR="5991E0EF" w:rsidP="54A1BFA9" w:rsidRDefault="5991E0EF" w14:paraId="149A219C" w14:textId="57767500">
            <w:r w:rsidRPr="54A1BFA9">
              <w:rPr>
                <w:rFonts w:ascii="Arial" w:hAnsi="Arial" w:eastAsia="Arial" w:cs="Arial"/>
              </w:rPr>
              <w:t>Moderate</w:t>
            </w:r>
          </w:p>
        </w:tc>
        <w:tc>
          <w:tcPr>
            <w:tcW w:w="2340" w:type="dxa"/>
          </w:tcPr>
          <w:tbl>
            <w:tblPr>
              <w:tblW w:w="0" w:type="auto"/>
              <w:tblLook w:val="06A0" w:firstRow="1" w:lastRow="0" w:firstColumn="1" w:lastColumn="0" w:noHBand="1" w:noVBand="1"/>
            </w:tblPr>
            <w:tblGrid>
              <w:gridCol w:w="222"/>
              <w:gridCol w:w="1900"/>
            </w:tblGrid>
            <w:tr w:rsidR="54A1BFA9" w:rsidTr="54A1BFA9" w14:paraId="46557D24" w14:textId="77777777">
              <w:trPr>
                <w:gridAfter w:val="1"/>
                <w:wAfter w:w="1995" w:type="dxa"/>
                <w:trHeight w:val="300"/>
              </w:trPr>
              <w:tc>
                <w:tcPr>
                  <w:tcW w:w="135" w:type="dxa"/>
                  <w:vAlign w:val="center"/>
                </w:tcPr>
                <w:p w:rsidR="54A1BFA9" w:rsidRDefault="54A1BFA9" w14:paraId="6C275A75" w14:textId="57AF6F80"/>
              </w:tc>
            </w:tr>
            <w:tr w:rsidR="54A1BFA9" w:rsidTr="54A1BFA9" w14:paraId="18814F27" w14:textId="77777777">
              <w:trPr>
                <w:trHeight w:val="300"/>
              </w:trPr>
              <w:tc>
                <w:tcPr>
                  <w:tcW w:w="2130" w:type="dxa"/>
                  <w:gridSpan w:val="2"/>
                  <w:vAlign w:val="center"/>
                </w:tcPr>
                <w:p w:rsidR="54A1BFA9" w:rsidP="54A1BFA9" w:rsidRDefault="54A1BFA9" w14:paraId="021F28F1" w14:textId="3D8F64A7">
                  <w:pPr>
                    <w:spacing w:after="0"/>
                  </w:pPr>
                  <w:r>
                    <w:t>Shorter-term orientation</w:t>
                  </w:r>
                </w:p>
              </w:tc>
            </w:tr>
          </w:tbl>
          <w:p w:rsidR="54A1BFA9" w:rsidP="54A1BFA9" w:rsidRDefault="54A1BFA9" w14:paraId="57416C4C" w14:textId="449627CD">
            <w:pPr>
              <w:rPr>
                <w:rFonts w:ascii="Arial" w:hAnsi="Arial" w:eastAsia="Arial" w:cs="Arial"/>
              </w:rPr>
            </w:pPr>
          </w:p>
        </w:tc>
        <w:tc>
          <w:tcPr>
            <w:tcW w:w="2340" w:type="dxa"/>
          </w:tcPr>
          <w:p w:rsidR="7B140022" w:rsidP="54A1BFA9" w:rsidRDefault="7B140022" w14:paraId="14CC7A00" w14:textId="19E02ACF">
            <w:r w:rsidRPr="54A1BFA9">
              <w:rPr>
                <w:rFonts w:ascii="Arial" w:hAnsi="Arial" w:eastAsia="Arial" w:cs="Arial"/>
              </w:rPr>
              <w:t>IKEA should highlight affordability, durability and immediate value rather than long-term lifestyle aspirations alone.</w:t>
            </w:r>
          </w:p>
        </w:tc>
      </w:tr>
      <w:tr w:rsidR="54A1BFA9" w:rsidTr="54A1BFA9" w14:paraId="69DECB52" w14:textId="77777777">
        <w:trPr>
          <w:trHeight w:val="300"/>
        </w:trPr>
        <w:tc>
          <w:tcPr>
            <w:tcW w:w="2340" w:type="dxa"/>
          </w:tcPr>
          <w:p w:rsidR="5130ABC3" w:rsidP="54A1BFA9" w:rsidRDefault="5130ABC3" w14:paraId="6F948858" w14:textId="5F8DADE4">
            <w:r w:rsidRPr="54A1BFA9">
              <w:rPr>
                <w:rFonts w:ascii="Arial" w:hAnsi="Arial" w:eastAsia="Arial" w:cs="Arial"/>
              </w:rPr>
              <w:t>Indulgence</w:t>
            </w:r>
          </w:p>
        </w:tc>
        <w:tc>
          <w:tcPr>
            <w:tcW w:w="2340" w:type="dxa"/>
          </w:tcPr>
          <w:p w:rsidR="5130ABC3" w:rsidP="54A1BFA9" w:rsidRDefault="5130ABC3" w14:paraId="5A203803" w14:textId="61F65911">
            <w:r w:rsidRPr="54A1BFA9">
              <w:rPr>
                <w:rFonts w:ascii="Arial" w:hAnsi="Arial" w:eastAsia="Arial" w:cs="Arial"/>
              </w:rPr>
              <w:t>High</w:t>
            </w:r>
          </w:p>
        </w:tc>
        <w:tc>
          <w:tcPr>
            <w:tcW w:w="2340" w:type="dxa"/>
          </w:tcPr>
          <w:p w:rsidR="5130ABC3" w:rsidP="54A1BFA9" w:rsidRDefault="5130ABC3" w14:paraId="0697F670" w14:textId="0715E023">
            <w:r w:rsidRPr="54A1BFA9">
              <w:rPr>
                <w:rFonts w:ascii="Arial" w:hAnsi="Arial" w:eastAsia="Arial" w:cs="Arial"/>
              </w:rPr>
              <w:t>Lower</w:t>
            </w:r>
          </w:p>
        </w:tc>
        <w:tc>
          <w:tcPr>
            <w:tcW w:w="2340" w:type="dxa"/>
          </w:tcPr>
          <w:p w:rsidR="7B140022" w:rsidP="54A1BFA9" w:rsidRDefault="7B140022" w14:paraId="2AB503B3" w14:textId="0A80671B">
            <w:r w:rsidRPr="54A1BFA9">
              <w:rPr>
                <w:rFonts w:ascii="Arial" w:hAnsi="Arial" w:eastAsia="Arial" w:cs="Arial"/>
              </w:rPr>
              <w:t>Promotional strategies should focus on practical household benefits and family wellbeing rather than discretionary consumption.</w:t>
            </w:r>
          </w:p>
        </w:tc>
      </w:tr>
    </w:tbl>
    <w:p w:rsidR="5581B121" w:rsidP="54A1BFA9" w:rsidRDefault="5581B121" w14:paraId="71F83C35" w14:textId="5C138936">
      <w:pPr>
        <w:spacing w:line="360" w:lineRule="auto"/>
      </w:pPr>
      <w:r w:rsidRPr="54A1BFA9">
        <w:rPr>
          <w:rFonts w:ascii="Arial" w:hAnsi="Arial" w:eastAsia="Arial" w:cs="Arial"/>
        </w:rPr>
        <w:t>Hofstede Insights (2024).</w:t>
      </w:r>
    </w:p>
    <w:p w:rsidR="5581B121" w:rsidP="54A1BFA9" w:rsidRDefault="5581B121" w14:paraId="55C75A4C" w14:textId="43B78E76">
      <w:pPr>
        <w:rPr>
          <w:b/>
          <w:bCs/>
        </w:rPr>
      </w:pPr>
      <w:r w:rsidRPr="54A1BFA9">
        <w:rPr>
          <w:b/>
          <w:bCs/>
        </w:rPr>
        <w:t xml:space="preserve">Appendix </w:t>
      </w:r>
      <w:r w:rsidRPr="54A1BFA9" w:rsidR="4E50E2D4">
        <w:rPr>
          <w:b/>
          <w:bCs/>
        </w:rPr>
        <w:t>D</w:t>
      </w:r>
    </w:p>
    <w:p w:rsidR="5581B121" w:rsidP="54A1BFA9" w:rsidRDefault="5581B121" w14:paraId="1210A11B" w14:textId="2E9B499D">
      <w:r w:rsidRPr="54A1BFA9">
        <w:rPr>
          <w:b/>
          <w:bCs/>
        </w:rPr>
        <w:t xml:space="preserve">Table </w:t>
      </w:r>
      <w:r w:rsidRPr="54A1BFA9" w:rsidR="002EA587">
        <w:rPr>
          <w:b/>
          <w:bCs/>
        </w:rPr>
        <w:t>3</w:t>
      </w:r>
      <w:r w:rsidRPr="54A1BFA9">
        <w:rPr>
          <w:b/>
          <w:bCs/>
        </w:rPr>
        <w:t>. Application of Dunning's OLI Framework to IKEA's Nigerian Market Entry</w:t>
      </w:r>
    </w:p>
    <w:tbl>
      <w:tblPr>
        <w:tblStyle w:val="TableGrid"/>
        <w:tblW w:w="0" w:type="auto"/>
        <w:tblLook w:val="06A0" w:firstRow="1" w:lastRow="0" w:firstColumn="1" w:lastColumn="0" w:noHBand="1" w:noVBand="1"/>
      </w:tblPr>
      <w:tblGrid>
        <w:gridCol w:w="3118"/>
        <w:gridCol w:w="3116"/>
        <w:gridCol w:w="3116"/>
      </w:tblGrid>
      <w:tr w:rsidR="54A1BFA9" w:rsidTr="54A1BFA9" w14:paraId="3A9954A9" w14:textId="77777777">
        <w:trPr>
          <w:trHeight w:val="300"/>
        </w:trPr>
        <w:tc>
          <w:tcPr>
            <w:tcW w:w="3120" w:type="dxa"/>
          </w:tcPr>
          <w:p w:rsidR="54A1BFA9" w:rsidP="54A1BFA9" w:rsidRDefault="54A1BFA9" w14:paraId="013AC4AD" w14:textId="051DD27D">
            <w:pPr>
              <w:jc w:val="center"/>
            </w:pPr>
            <w:r w:rsidRPr="54A1BFA9">
              <w:rPr>
                <w:b/>
                <w:bCs/>
              </w:rPr>
              <w:t>OLI Component</w:t>
            </w:r>
          </w:p>
        </w:tc>
        <w:tc>
          <w:tcPr>
            <w:tcW w:w="3120" w:type="dxa"/>
          </w:tcPr>
          <w:p w:rsidR="1239F582" w:rsidP="54A1BFA9" w:rsidRDefault="1239F582" w14:paraId="0E2F4546" w14:textId="1B4F39F7">
            <w:pPr>
              <w:rPr>
                <w:rFonts w:ascii="Arial" w:hAnsi="Arial" w:eastAsia="Arial" w:cs="Arial"/>
                <w:b/>
                <w:bCs/>
              </w:rPr>
            </w:pPr>
            <w:r w:rsidRPr="54A1BFA9">
              <w:rPr>
                <w:rFonts w:ascii="Arial" w:hAnsi="Arial" w:eastAsia="Arial" w:cs="Arial"/>
                <w:b/>
                <w:bCs/>
              </w:rPr>
              <w:t>IKEA Assessment</w:t>
            </w:r>
          </w:p>
        </w:tc>
        <w:tc>
          <w:tcPr>
            <w:tcW w:w="3120" w:type="dxa"/>
          </w:tcPr>
          <w:p w:rsidR="1239F582" w:rsidP="54A1BFA9" w:rsidRDefault="1239F582" w14:paraId="6CC50CCD" w14:textId="25AEB676">
            <w:pPr>
              <w:rPr>
                <w:rFonts w:ascii="Arial" w:hAnsi="Arial" w:eastAsia="Arial" w:cs="Arial"/>
                <w:b/>
                <w:bCs/>
              </w:rPr>
            </w:pPr>
            <w:r w:rsidRPr="54A1BFA9">
              <w:rPr>
                <w:rFonts w:ascii="Arial" w:hAnsi="Arial" w:eastAsia="Arial" w:cs="Arial"/>
                <w:b/>
                <w:bCs/>
              </w:rPr>
              <w:t>Strategic Implications</w:t>
            </w:r>
          </w:p>
        </w:tc>
      </w:tr>
      <w:tr w:rsidR="54A1BFA9" w:rsidTr="54A1BFA9" w14:paraId="57CBAB18" w14:textId="77777777">
        <w:trPr>
          <w:trHeight w:val="300"/>
        </w:trPr>
        <w:tc>
          <w:tcPr>
            <w:tcW w:w="3120" w:type="dxa"/>
          </w:tcPr>
          <w:p w:rsidR="1239F582" w:rsidP="54A1BFA9" w:rsidRDefault="1239F582" w14:paraId="4D2C166C" w14:textId="547C08B0">
            <w:pPr>
              <w:rPr>
                <w:rFonts w:ascii="Arial" w:hAnsi="Arial" w:eastAsia="Arial" w:cs="Arial"/>
                <w:b/>
                <w:bCs/>
              </w:rPr>
            </w:pPr>
            <w:r w:rsidRPr="54A1BFA9">
              <w:rPr>
                <w:rFonts w:ascii="Arial" w:hAnsi="Arial" w:eastAsia="Arial" w:cs="Arial"/>
                <w:b/>
                <w:bCs/>
              </w:rPr>
              <w:t>Ownership Advantages</w:t>
            </w:r>
          </w:p>
        </w:tc>
        <w:tc>
          <w:tcPr>
            <w:tcW w:w="3120" w:type="dxa"/>
          </w:tcPr>
          <w:p w:rsidR="7CD455E4" w:rsidP="54A1BFA9" w:rsidRDefault="7CD455E4" w14:paraId="77962EE9" w14:textId="16FBA1AD">
            <w:r w:rsidRPr="54A1BFA9">
              <w:rPr>
                <w:rFonts w:ascii="Arial" w:hAnsi="Arial" w:eastAsia="Arial" w:cs="Arial"/>
              </w:rPr>
              <w:t>Strong global brand, Scandinavian design, efficient supply chain, international experience, economies of scale, sustainability capabilities.</w:t>
            </w:r>
          </w:p>
        </w:tc>
        <w:tc>
          <w:tcPr>
            <w:tcW w:w="3120" w:type="dxa"/>
          </w:tcPr>
          <w:p w:rsidR="7CD455E4" w:rsidP="54A1BFA9" w:rsidRDefault="7CD455E4" w14:paraId="0470757B" w14:textId="31FE1A07">
            <w:r w:rsidRPr="54A1BFA9">
              <w:rPr>
                <w:rFonts w:ascii="Arial" w:hAnsi="Arial" w:eastAsia="Arial" w:cs="Arial"/>
              </w:rPr>
              <w:t>Provides significant competitive advantages over many domestic furniture retailers.</w:t>
            </w:r>
          </w:p>
        </w:tc>
      </w:tr>
      <w:tr w:rsidR="54A1BFA9" w:rsidTr="54A1BFA9" w14:paraId="47E7208A" w14:textId="77777777">
        <w:trPr>
          <w:trHeight w:val="300"/>
        </w:trPr>
        <w:tc>
          <w:tcPr>
            <w:tcW w:w="3120" w:type="dxa"/>
          </w:tcPr>
          <w:p w:rsidR="1239F582" w:rsidP="54A1BFA9" w:rsidRDefault="1239F582" w14:paraId="111A8893" w14:textId="1C30C3F6">
            <w:pPr>
              <w:rPr>
                <w:rFonts w:ascii="Arial" w:hAnsi="Arial" w:eastAsia="Arial" w:cs="Arial"/>
                <w:b/>
                <w:bCs/>
              </w:rPr>
            </w:pPr>
            <w:r w:rsidRPr="54A1BFA9">
              <w:rPr>
                <w:rFonts w:ascii="Arial" w:hAnsi="Arial" w:eastAsia="Arial" w:cs="Arial"/>
                <w:b/>
                <w:bCs/>
              </w:rPr>
              <w:t>Location Advantages</w:t>
            </w:r>
          </w:p>
        </w:tc>
        <w:tc>
          <w:tcPr>
            <w:tcW w:w="3120" w:type="dxa"/>
          </w:tcPr>
          <w:p w:rsidR="3BB17FD2" w:rsidP="54A1BFA9" w:rsidRDefault="3BB17FD2" w14:paraId="4FA57B4D" w14:textId="52B880BF">
            <w:r w:rsidRPr="54A1BFA9">
              <w:rPr>
                <w:rFonts w:ascii="Arial" w:hAnsi="Arial" w:eastAsia="Arial" w:cs="Arial"/>
              </w:rPr>
              <w:t>Large population, rapid urbanisation, increasing housing demand and long-term market growth.</w:t>
            </w:r>
          </w:p>
        </w:tc>
        <w:tc>
          <w:tcPr>
            <w:tcW w:w="3120" w:type="dxa"/>
          </w:tcPr>
          <w:p w:rsidR="3BB17FD2" w:rsidP="54A1BFA9" w:rsidRDefault="3BB17FD2" w14:paraId="14FF3DEF" w14:textId="11CD8CF3">
            <w:r w:rsidRPr="54A1BFA9">
              <w:rPr>
                <w:rFonts w:ascii="Arial" w:hAnsi="Arial" w:eastAsia="Arial" w:cs="Arial"/>
              </w:rPr>
              <w:t>Creates substantial long-term market potential despite institutional challenges.</w:t>
            </w:r>
          </w:p>
        </w:tc>
      </w:tr>
      <w:tr w:rsidR="54A1BFA9" w:rsidTr="54A1BFA9" w14:paraId="7416209F" w14:textId="77777777">
        <w:trPr>
          <w:trHeight w:val="300"/>
        </w:trPr>
        <w:tc>
          <w:tcPr>
            <w:tcW w:w="3120" w:type="dxa"/>
          </w:tcPr>
          <w:p w:rsidR="1239F582" w:rsidP="54A1BFA9" w:rsidRDefault="1239F582" w14:paraId="22B49414" w14:textId="342B7773">
            <w:pPr>
              <w:rPr>
                <w:rFonts w:ascii="Arial" w:hAnsi="Arial" w:eastAsia="Arial" w:cs="Arial"/>
                <w:b/>
                <w:bCs/>
              </w:rPr>
            </w:pPr>
            <w:r w:rsidRPr="54A1BFA9">
              <w:rPr>
                <w:rFonts w:ascii="Arial" w:hAnsi="Arial" w:eastAsia="Arial" w:cs="Arial"/>
                <w:b/>
                <w:bCs/>
              </w:rPr>
              <w:t>Location Disadvantages</w:t>
            </w:r>
          </w:p>
        </w:tc>
        <w:tc>
          <w:tcPr>
            <w:tcW w:w="3120" w:type="dxa"/>
          </w:tcPr>
          <w:p w:rsidR="6780FD05" w:rsidP="54A1BFA9" w:rsidRDefault="6780FD05" w14:paraId="253D37BA" w14:textId="442404DE">
            <w:r w:rsidRPr="54A1BFA9">
              <w:rPr>
                <w:rFonts w:ascii="Arial" w:hAnsi="Arial" w:eastAsia="Arial" w:cs="Arial"/>
              </w:rPr>
              <w:t>Political uncertainty, infrastructure constraints, inflation, currency volatility, security risks and regulatory complexity.</w:t>
            </w:r>
          </w:p>
        </w:tc>
        <w:tc>
          <w:tcPr>
            <w:tcW w:w="3120" w:type="dxa"/>
          </w:tcPr>
          <w:p w:rsidR="6780FD05" w:rsidP="54A1BFA9" w:rsidRDefault="6780FD05" w14:paraId="2CECF648" w14:textId="77081470">
            <w:r w:rsidRPr="54A1BFA9">
              <w:rPr>
                <w:rFonts w:ascii="Arial" w:hAnsi="Arial" w:eastAsia="Arial" w:cs="Arial"/>
              </w:rPr>
              <w:t>Suggests gradual market entry with significant local adaptation.</w:t>
            </w:r>
          </w:p>
        </w:tc>
      </w:tr>
      <w:tr w:rsidR="54A1BFA9" w:rsidTr="54A1BFA9" w14:paraId="5736347F" w14:textId="77777777">
        <w:trPr>
          <w:trHeight w:val="300"/>
        </w:trPr>
        <w:tc>
          <w:tcPr>
            <w:tcW w:w="3120" w:type="dxa"/>
          </w:tcPr>
          <w:p w:rsidR="1239F582" w:rsidP="54A1BFA9" w:rsidRDefault="1239F582" w14:paraId="62662F51" w14:textId="33756ADC">
            <w:pPr>
              <w:rPr>
                <w:rFonts w:ascii="Arial" w:hAnsi="Arial" w:eastAsia="Arial" w:cs="Arial"/>
                <w:b/>
                <w:bCs/>
              </w:rPr>
            </w:pPr>
            <w:r w:rsidRPr="54A1BFA9">
              <w:rPr>
                <w:rFonts w:ascii="Arial" w:hAnsi="Arial" w:eastAsia="Arial" w:cs="Arial"/>
                <w:b/>
                <w:bCs/>
              </w:rPr>
              <w:t>Internalisation Advantages</w:t>
            </w:r>
          </w:p>
        </w:tc>
        <w:tc>
          <w:tcPr>
            <w:tcW w:w="3120" w:type="dxa"/>
          </w:tcPr>
          <w:p w:rsidR="36297674" w:rsidP="54A1BFA9" w:rsidRDefault="36297674" w14:paraId="598109C9" w14:textId="488E02F1">
            <w:r w:rsidRPr="54A1BFA9">
              <w:rPr>
                <w:rFonts w:ascii="Arial" w:hAnsi="Arial" w:eastAsia="Arial" w:cs="Arial"/>
              </w:rPr>
              <w:t>Protecting IKEA's brand, customer experience, operational systems and quality standards.</w:t>
            </w:r>
          </w:p>
        </w:tc>
        <w:tc>
          <w:tcPr>
            <w:tcW w:w="3120" w:type="dxa"/>
          </w:tcPr>
          <w:p w:rsidR="19563F9F" w:rsidP="54A1BFA9" w:rsidRDefault="19563F9F" w14:paraId="0FA5E1B9" w14:textId="7058D70A">
            <w:r w:rsidRPr="54A1BFA9">
              <w:rPr>
                <w:rFonts w:ascii="Arial" w:hAnsi="Arial" w:eastAsia="Arial" w:cs="Arial"/>
              </w:rPr>
              <w:t>Supports maintaining strategic control while collaborating with experienced local partners during market entry.</w:t>
            </w:r>
          </w:p>
        </w:tc>
      </w:tr>
      <w:tr w:rsidR="54A1BFA9" w:rsidTr="54A1BFA9" w14:paraId="12D40B45" w14:textId="77777777">
        <w:trPr>
          <w:trHeight w:val="300"/>
        </w:trPr>
        <w:tc>
          <w:tcPr>
            <w:tcW w:w="3120" w:type="dxa"/>
          </w:tcPr>
          <w:p w:rsidR="1239F582" w:rsidP="54A1BFA9" w:rsidRDefault="1239F582" w14:paraId="11AD8632" w14:textId="2C8E72DF">
            <w:pPr>
              <w:rPr>
                <w:rFonts w:ascii="Arial" w:hAnsi="Arial" w:eastAsia="Arial" w:cs="Arial"/>
                <w:b/>
                <w:bCs/>
              </w:rPr>
            </w:pPr>
            <w:r w:rsidRPr="54A1BFA9">
              <w:rPr>
                <w:rFonts w:ascii="Arial" w:hAnsi="Arial" w:eastAsia="Arial" w:cs="Arial"/>
                <w:b/>
                <w:bCs/>
              </w:rPr>
              <w:t>Recommended Outcome</w:t>
            </w:r>
          </w:p>
        </w:tc>
        <w:tc>
          <w:tcPr>
            <w:tcW w:w="3120" w:type="dxa"/>
          </w:tcPr>
          <w:p w:rsidR="09AF62E9" w:rsidP="54A1BFA9" w:rsidRDefault="09AF62E9" w14:paraId="6552ED7F" w14:textId="2E15D08C">
            <w:r w:rsidRPr="54A1BFA9">
              <w:rPr>
                <w:rFonts w:ascii="Arial" w:hAnsi="Arial" w:eastAsia="Arial" w:cs="Arial"/>
              </w:rPr>
              <w:t>Phased joint venture with progressive equity ownership.</w:t>
            </w:r>
          </w:p>
        </w:tc>
        <w:tc>
          <w:tcPr>
            <w:tcW w:w="3120" w:type="dxa"/>
          </w:tcPr>
          <w:p w:rsidR="58793A66" w:rsidP="54A1BFA9" w:rsidRDefault="58793A66" w14:paraId="6A59E0A7" w14:textId="3C67A0D3">
            <w:r w:rsidRPr="54A1BFA9">
              <w:rPr>
                <w:rFonts w:ascii="Arial" w:hAnsi="Arial" w:eastAsia="Arial" w:cs="Arial"/>
              </w:rPr>
              <w:t>Balances strategic control, flexibility and risk reduction while supporting long-term expansion.</w:t>
            </w:r>
          </w:p>
        </w:tc>
      </w:tr>
    </w:tbl>
    <w:p w:rsidR="58793A66" w:rsidP="54A1BFA9" w:rsidRDefault="58793A66" w14:paraId="027C1A18" w14:textId="3242A6BE">
      <w:r w:rsidRPr="54A1BFA9">
        <w:rPr>
          <w:rFonts w:ascii="Arial" w:hAnsi="Arial" w:eastAsia="Arial" w:cs="Arial"/>
        </w:rPr>
        <w:t>Dunning (1988), Inter IKEA Group (2025).</w:t>
      </w:r>
    </w:p>
    <w:p w:rsidR="58793A66" w:rsidP="54A1BFA9" w:rsidRDefault="58793A66" w14:paraId="084FFC93" w14:textId="7D02E461">
      <w:pPr>
        <w:rPr>
          <w:b/>
          <w:bCs/>
        </w:rPr>
      </w:pPr>
      <w:r w:rsidRPr="54A1BFA9">
        <w:rPr>
          <w:b/>
          <w:bCs/>
        </w:rPr>
        <w:t xml:space="preserve">Appendix </w:t>
      </w:r>
      <w:r w:rsidRPr="54A1BFA9" w:rsidR="57FB2343">
        <w:rPr>
          <w:b/>
          <w:bCs/>
        </w:rPr>
        <w:t>E</w:t>
      </w:r>
    </w:p>
    <w:p w:rsidR="58793A66" w:rsidP="54A1BFA9" w:rsidRDefault="58793A66" w14:paraId="7048000C" w14:textId="071BC47E">
      <w:r w:rsidRPr="54A1BFA9">
        <w:rPr>
          <w:b/>
          <w:bCs/>
        </w:rPr>
        <w:t>Table 4. IKEA's Historical International Entry Modes</w:t>
      </w:r>
    </w:p>
    <w:tbl>
      <w:tblPr>
        <w:tblStyle w:val="TableGrid"/>
        <w:tblW w:w="0" w:type="auto"/>
        <w:tblLook w:val="06A0" w:firstRow="1" w:lastRow="0" w:firstColumn="1" w:lastColumn="0" w:noHBand="1" w:noVBand="1"/>
      </w:tblPr>
      <w:tblGrid>
        <w:gridCol w:w="1845"/>
        <w:gridCol w:w="1697"/>
        <w:gridCol w:w="1548"/>
        <w:gridCol w:w="1376"/>
        <w:gridCol w:w="1577"/>
        <w:gridCol w:w="1307"/>
      </w:tblGrid>
      <w:tr w:rsidR="54A1BFA9" w:rsidTr="54A1BFA9" w14:paraId="4DB15627" w14:textId="77777777">
        <w:trPr>
          <w:trHeight w:val="300"/>
        </w:trPr>
        <w:tc>
          <w:tcPr>
            <w:tcW w:w="1560" w:type="dxa"/>
          </w:tcPr>
          <w:p w:rsidR="119BE661" w:rsidP="54A1BFA9" w:rsidRDefault="119BE661" w14:paraId="3C79BAC7" w14:textId="01E744FC">
            <w:r w:rsidRPr="54A1BFA9">
              <w:rPr>
                <w:rFonts w:ascii="Arial" w:hAnsi="Arial" w:eastAsia="Arial" w:cs="Arial"/>
              </w:rPr>
              <w:t>Entry Mode</w:t>
            </w:r>
          </w:p>
        </w:tc>
        <w:tc>
          <w:tcPr>
            <w:tcW w:w="1560" w:type="dxa"/>
          </w:tcPr>
          <w:p w:rsidR="119BE661" w:rsidP="54A1BFA9" w:rsidRDefault="119BE661" w14:paraId="25DD6AA6" w14:textId="3C3A5FD8">
            <w:r w:rsidRPr="54A1BFA9">
              <w:rPr>
                <w:rFonts w:ascii="Arial" w:hAnsi="Arial" w:eastAsia="Arial" w:cs="Arial"/>
              </w:rPr>
              <w:t>Typical Markets</w:t>
            </w:r>
          </w:p>
        </w:tc>
        <w:tc>
          <w:tcPr>
            <w:tcW w:w="1560" w:type="dxa"/>
          </w:tcPr>
          <w:p w:rsidR="119BE661" w:rsidP="54A1BFA9" w:rsidRDefault="119BE661" w14:paraId="39BE610F" w14:textId="0220D938">
            <w:r w:rsidRPr="54A1BFA9">
              <w:rPr>
                <w:rFonts w:ascii="Arial" w:hAnsi="Arial" w:eastAsia="Arial" w:cs="Arial"/>
              </w:rPr>
              <w:t>Strategic Purpose</w:t>
            </w:r>
          </w:p>
        </w:tc>
        <w:tc>
          <w:tcPr>
            <w:tcW w:w="1560" w:type="dxa"/>
          </w:tcPr>
          <w:p w:rsidR="119BE661" w:rsidP="54A1BFA9" w:rsidRDefault="119BE661" w14:paraId="0C11D992" w14:textId="37261A00">
            <w:r w:rsidRPr="54A1BFA9">
              <w:rPr>
                <w:rFonts w:ascii="Arial" w:hAnsi="Arial" w:eastAsia="Arial" w:cs="Arial"/>
              </w:rPr>
              <w:t>Level of Control</w:t>
            </w:r>
          </w:p>
        </w:tc>
        <w:tc>
          <w:tcPr>
            <w:tcW w:w="1560" w:type="dxa"/>
          </w:tcPr>
          <w:p w:rsidR="119BE661" w:rsidP="54A1BFA9" w:rsidRDefault="119BE661" w14:paraId="5AB33055" w14:textId="78D55C1B">
            <w:r w:rsidRPr="54A1BFA9">
              <w:rPr>
                <w:rFonts w:ascii="Arial" w:hAnsi="Arial" w:eastAsia="Arial" w:cs="Arial"/>
              </w:rPr>
              <w:t>Resource Commitment</w:t>
            </w:r>
          </w:p>
        </w:tc>
        <w:tc>
          <w:tcPr>
            <w:tcW w:w="1560" w:type="dxa"/>
          </w:tcPr>
          <w:p w:rsidR="119BE661" w:rsidP="54A1BFA9" w:rsidRDefault="119BE661" w14:paraId="631F9CC8" w14:textId="1AD87B52">
            <w:r w:rsidRPr="54A1BFA9">
              <w:rPr>
                <w:rFonts w:ascii="Arial" w:hAnsi="Arial" w:eastAsia="Arial" w:cs="Arial"/>
              </w:rPr>
              <w:t>Risk Level</w:t>
            </w:r>
          </w:p>
        </w:tc>
      </w:tr>
      <w:tr w:rsidR="54A1BFA9" w:rsidTr="54A1BFA9" w14:paraId="1E096B05" w14:textId="77777777">
        <w:trPr>
          <w:trHeight w:val="300"/>
        </w:trPr>
        <w:tc>
          <w:tcPr>
            <w:tcW w:w="1560" w:type="dxa"/>
          </w:tcPr>
          <w:p w:rsidR="05122103" w:rsidP="54A1BFA9" w:rsidRDefault="05122103" w14:paraId="19AFD5AA" w14:textId="072DDB3F">
            <w:r w:rsidRPr="54A1BFA9">
              <w:rPr>
                <w:rFonts w:ascii="Arial" w:hAnsi="Arial" w:eastAsia="Arial" w:cs="Arial"/>
              </w:rPr>
              <w:t>Wholly Owned Subsidiary</w:t>
            </w:r>
          </w:p>
        </w:tc>
        <w:tc>
          <w:tcPr>
            <w:tcW w:w="1560" w:type="dxa"/>
          </w:tcPr>
          <w:p w:rsidR="05122103" w:rsidP="54A1BFA9" w:rsidRDefault="05122103" w14:paraId="326599AE" w14:textId="5CA21829">
            <w:r w:rsidRPr="54A1BFA9">
              <w:rPr>
                <w:rFonts w:ascii="Arial" w:hAnsi="Arial" w:eastAsia="Arial" w:cs="Arial"/>
              </w:rPr>
              <w:t>UK, Germany, France, United States</w:t>
            </w:r>
          </w:p>
        </w:tc>
        <w:tc>
          <w:tcPr>
            <w:tcW w:w="1560" w:type="dxa"/>
          </w:tcPr>
          <w:p w:rsidR="05122103" w:rsidP="54A1BFA9" w:rsidRDefault="05122103" w14:paraId="7F7C97A7" w14:textId="091EEE46">
            <w:r w:rsidRPr="54A1BFA9">
              <w:rPr>
                <w:rFonts w:ascii="Arial" w:hAnsi="Arial" w:eastAsia="Arial" w:cs="Arial"/>
              </w:rPr>
              <w:t>Protect brand, customer experience and operational consistency.</w:t>
            </w:r>
          </w:p>
        </w:tc>
        <w:tc>
          <w:tcPr>
            <w:tcW w:w="1560" w:type="dxa"/>
          </w:tcPr>
          <w:p w:rsidR="05122103" w:rsidP="54A1BFA9" w:rsidRDefault="05122103" w14:paraId="7648F4B7" w14:textId="3B43C914">
            <w:r w:rsidRPr="54A1BFA9">
              <w:t>High</w:t>
            </w:r>
          </w:p>
        </w:tc>
        <w:tc>
          <w:tcPr>
            <w:tcW w:w="1560" w:type="dxa"/>
          </w:tcPr>
          <w:p w:rsidR="05122103" w:rsidP="54A1BFA9" w:rsidRDefault="05122103" w14:paraId="12EF4AD9" w14:textId="6BDBDCDF">
            <w:r w:rsidRPr="54A1BFA9">
              <w:t>High</w:t>
            </w:r>
          </w:p>
        </w:tc>
        <w:tc>
          <w:tcPr>
            <w:tcW w:w="1560" w:type="dxa"/>
          </w:tcPr>
          <w:p w:rsidR="05122103" w:rsidP="54A1BFA9" w:rsidRDefault="05122103" w14:paraId="396ACB03" w14:textId="7880605E">
            <w:r w:rsidRPr="54A1BFA9">
              <w:t>High</w:t>
            </w:r>
          </w:p>
        </w:tc>
      </w:tr>
      <w:tr w:rsidR="54A1BFA9" w:rsidTr="54A1BFA9" w14:paraId="7C82200F" w14:textId="77777777">
        <w:trPr>
          <w:trHeight w:val="300"/>
        </w:trPr>
        <w:tc>
          <w:tcPr>
            <w:tcW w:w="1560" w:type="dxa"/>
          </w:tcPr>
          <w:p w:rsidR="70CE0CC6" w:rsidP="54A1BFA9" w:rsidRDefault="70CE0CC6" w14:paraId="787294BF" w14:textId="7DFCD8EB">
            <w:r w:rsidRPr="54A1BFA9">
              <w:rPr>
                <w:rFonts w:ascii="Arial" w:hAnsi="Arial" w:eastAsia="Arial" w:cs="Arial"/>
              </w:rPr>
              <w:t>Franchising</w:t>
            </w:r>
          </w:p>
        </w:tc>
        <w:tc>
          <w:tcPr>
            <w:tcW w:w="1560" w:type="dxa"/>
          </w:tcPr>
          <w:p w:rsidR="5C369FF4" w:rsidP="54A1BFA9" w:rsidRDefault="5C369FF4" w14:paraId="79A48A7A" w14:textId="5463C88D">
            <w:r w:rsidRPr="54A1BFA9">
              <w:rPr>
                <w:rFonts w:ascii="Arial" w:hAnsi="Arial" w:eastAsia="Arial" w:cs="Arial"/>
              </w:rPr>
              <w:t>Selected European, Middle Eastern and emerging markets</w:t>
            </w:r>
          </w:p>
        </w:tc>
        <w:tc>
          <w:tcPr>
            <w:tcW w:w="1560" w:type="dxa"/>
          </w:tcPr>
          <w:p w:rsidR="5C369FF4" w:rsidP="54A1BFA9" w:rsidRDefault="5C369FF4" w14:paraId="20DF5392" w14:textId="30A19840">
            <w:r w:rsidRPr="54A1BFA9">
              <w:rPr>
                <w:rFonts w:ascii="Arial" w:hAnsi="Arial" w:eastAsia="Arial" w:cs="Arial"/>
              </w:rPr>
              <w:t>Accelerate expansion while reducing capital investment.</w:t>
            </w:r>
          </w:p>
        </w:tc>
        <w:tc>
          <w:tcPr>
            <w:tcW w:w="1560" w:type="dxa"/>
          </w:tcPr>
          <w:p w:rsidR="5C369FF4" w:rsidP="54A1BFA9" w:rsidRDefault="5C369FF4" w14:paraId="6AC6578F" w14:textId="5916265D">
            <w:r w:rsidRPr="54A1BFA9">
              <w:rPr>
                <w:rFonts w:ascii="Arial" w:hAnsi="Arial" w:eastAsia="Arial" w:cs="Arial"/>
              </w:rPr>
              <w:t>Medium–High</w:t>
            </w:r>
          </w:p>
        </w:tc>
        <w:tc>
          <w:tcPr>
            <w:tcW w:w="1560" w:type="dxa"/>
          </w:tcPr>
          <w:p w:rsidR="5C369FF4" w:rsidP="54A1BFA9" w:rsidRDefault="5C369FF4" w14:paraId="02C82964" w14:textId="389CD3FF">
            <w:r w:rsidRPr="54A1BFA9">
              <w:rPr>
                <w:rFonts w:ascii="Arial" w:hAnsi="Arial" w:eastAsia="Arial" w:cs="Arial"/>
              </w:rPr>
              <w:t>Medium</w:t>
            </w:r>
          </w:p>
        </w:tc>
        <w:tc>
          <w:tcPr>
            <w:tcW w:w="1560" w:type="dxa"/>
          </w:tcPr>
          <w:p w:rsidR="5C369FF4" w:rsidP="54A1BFA9" w:rsidRDefault="5C369FF4" w14:paraId="77E5277A" w14:textId="1389288D">
            <w:r w:rsidRPr="54A1BFA9">
              <w:rPr>
                <w:rFonts w:ascii="Arial" w:hAnsi="Arial" w:eastAsia="Arial" w:cs="Arial"/>
              </w:rPr>
              <w:t>Medium</w:t>
            </w:r>
          </w:p>
        </w:tc>
      </w:tr>
      <w:tr w:rsidR="54A1BFA9" w:rsidTr="54A1BFA9" w14:paraId="5C4B83C6" w14:textId="77777777">
        <w:trPr>
          <w:trHeight w:val="300"/>
        </w:trPr>
        <w:tc>
          <w:tcPr>
            <w:tcW w:w="1560" w:type="dxa"/>
          </w:tcPr>
          <w:p w:rsidR="70CE0CC6" w:rsidP="54A1BFA9" w:rsidRDefault="70CE0CC6" w14:paraId="61BE0DBF" w14:textId="5BF42C5C">
            <w:r w:rsidRPr="54A1BFA9">
              <w:rPr>
                <w:rFonts w:ascii="Arial" w:hAnsi="Arial" w:eastAsia="Arial" w:cs="Arial"/>
              </w:rPr>
              <w:t>Strategic Partnerships</w:t>
            </w:r>
          </w:p>
        </w:tc>
        <w:tc>
          <w:tcPr>
            <w:tcW w:w="1560" w:type="dxa"/>
          </w:tcPr>
          <w:p w:rsidR="5B376523" w:rsidP="54A1BFA9" w:rsidRDefault="5B376523" w14:paraId="2C56F29F" w14:textId="4ABA59CA">
            <w:r w:rsidRPr="54A1BFA9">
              <w:rPr>
                <w:rFonts w:ascii="Arial" w:hAnsi="Arial" w:eastAsia="Arial" w:cs="Arial"/>
              </w:rPr>
              <w:t>Selected logistics, supply chain and property development collaborations</w:t>
            </w:r>
          </w:p>
        </w:tc>
        <w:tc>
          <w:tcPr>
            <w:tcW w:w="1560" w:type="dxa"/>
          </w:tcPr>
          <w:p w:rsidR="5B376523" w:rsidP="54A1BFA9" w:rsidRDefault="5B376523" w14:paraId="2C44110C" w14:textId="67F17FDE">
            <w:r w:rsidRPr="54A1BFA9">
              <w:rPr>
                <w:rFonts w:ascii="Arial" w:hAnsi="Arial" w:eastAsia="Arial" w:cs="Arial"/>
              </w:rPr>
              <w:t>Gain local expertise and operational support.</w:t>
            </w:r>
          </w:p>
        </w:tc>
        <w:tc>
          <w:tcPr>
            <w:tcW w:w="1560" w:type="dxa"/>
          </w:tcPr>
          <w:p w:rsidR="5B376523" w:rsidP="54A1BFA9" w:rsidRDefault="5B376523" w14:paraId="30FE95EA" w14:textId="7C54AE9F">
            <w:r w:rsidRPr="54A1BFA9">
              <w:rPr>
                <w:rFonts w:ascii="Arial" w:hAnsi="Arial" w:eastAsia="Arial" w:cs="Arial"/>
              </w:rPr>
              <w:t>Medium</w:t>
            </w:r>
          </w:p>
        </w:tc>
        <w:tc>
          <w:tcPr>
            <w:tcW w:w="1560" w:type="dxa"/>
          </w:tcPr>
          <w:p w:rsidR="5B376523" w:rsidP="54A1BFA9" w:rsidRDefault="5B376523" w14:paraId="1EABF268" w14:textId="406B0BFF">
            <w:r w:rsidRPr="54A1BFA9">
              <w:rPr>
                <w:rFonts w:ascii="Arial" w:hAnsi="Arial" w:eastAsia="Arial" w:cs="Arial"/>
              </w:rPr>
              <w:t>Medium</w:t>
            </w:r>
          </w:p>
        </w:tc>
        <w:tc>
          <w:tcPr>
            <w:tcW w:w="1560" w:type="dxa"/>
          </w:tcPr>
          <w:p w:rsidR="5B376523" w:rsidP="54A1BFA9" w:rsidRDefault="5B376523" w14:paraId="0A4984F8" w14:textId="71CF4F7C">
            <w:r w:rsidRPr="54A1BFA9">
              <w:rPr>
                <w:rFonts w:ascii="Arial" w:hAnsi="Arial" w:eastAsia="Arial" w:cs="Arial"/>
              </w:rPr>
              <w:t>Medium</w:t>
            </w:r>
          </w:p>
        </w:tc>
      </w:tr>
      <w:tr w:rsidR="54A1BFA9" w:rsidTr="54A1BFA9" w14:paraId="69602B46" w14:textId="77777777">
        <w:trPr>
          <w:trHeight w:val="300"/>
        </w:trPr>
        <w:tc>
          <w:tcPr>
            <w:tcW w:w="1560" w:type="dxa"/>
          </w:tcPr>
          <w:p w:rsidR="70CE0CC6" w:rsidP="54A1BFA9" w:rsidRDefault="70CE0CC6" w14:paraId="7ACDAF41" w14:textId="1A63F1AC">
            <w:r w:rsidRPr="54A1BFA9">
              <w:rPr>
                <w:rFonts w:ascii="Arial" w:hAnsi="Arial" w:eastAsia="Arial" w:cs="Arial"/>
              </w:rPr>
              <w:t>Recommended Nigerian Entry</w:t>
            </w:r>
          </w:p>
        </w:tc>
        <w:tc>
          <w:tcPr>
            <w:tcW w:w="1560" w:type="dxa"/>
          </w:tcPr>
          <w:p w:rsidR="348662D0" w:rsidP="54A1BFA9" w:rsidRDefault="348662D0" w14:paraId="0FD7296A" w14:textId="57AFB7EC">
            <w:r w:rsidRPr="54A1BFA9">
              <w:rPr>
                <w:rFonts w:ascii="Arial" w:hAnsi="Arial" w:eastAsia="Arial" w:cs="Arial"/>
              </w:rPr>
              <w:t>Nigeria</w:t>
            </w:r>
          </w:p>
        </w:tc>
        <w:tc>
          <w:tcPr>
            <w:tcW w:w="1560" w:type="dxa"/>
          </w:tcPr>
          <w:p w:rsidR="348662D0" w:rsidP="54A1BFA9" w:rsidRDefault="348662D0" w14:paraId="741E8DE7" w14:textId="23392B5E">
            <w:r w:rsidRPr="54A1BFA9">
              <w:rPr>
                <w:rFonts w:ascii="Arial" w:hAnsi="Arial" w:eastAsia="Arial" w:cs="Arial"/>
              </w:rPr>
              <w:t>Phased joint venture followed by progressive equity ownership.</w:t>
            </w:r>
          </w:p>
        </w:tc>
        <w:tc>
          <w:tcPr>
            <w:tcW w:w="1560" w:type="dxa"/>
          </w:tcPr>
          <w:p w:rsidR="348662D0" w:rsidP="54A1BFA9" w:rsidRDefault="348662D0" w14:paraId="37DDA3BA" w14:textId="644C1049">
            <w:r w:rsidRPr="54A1BFA9">
              <w:rPr>
                <w:rFonts w:ascii="Arial" w:hAnsi="Arial" w:eastAsia="Arial" w:cs="Arial"/>
              </w:rPr>
              <w:t>Medium–High</w:t>
            </w:r>
          </w:p>
        </w:tc>
        <w:tc>
          <w:tcPr>
            <w:tcW w:w="1560" w:type="dxa"/>
          </w:tcPr>
          <w:p w:rsidR="348662D0" w:rsidP="54A1BFA9" w:rsidRDefault="348662D0" w14:paraId="50736A6A" w14:textId="26922B18">
            <w:r w:rsidRPr="54A1BFA9">
              <w:rPr>
                <w:rFonts w:ascii="Arial" w:hAnsi="Arial" w:eastAsia="Arial" w:cs="Arial"/>
              </w:rPr>
              <w:t>Medium</w:t>
            </w:r>
          </w:p>
        </w:tc>
        <w:tc>
          <w:tcPr>
            <w:tcW w:w="1560" w:type="dxa"/>
          </w:tcPr>
          <w:p w:rsidR="348662D0" w:rsidP="54A1BFA9" w:rsidRDefault="348662D0" w14:paraId="25E646E4" w14:textId="5D141BBD">
            <w:r w:rsidRPr="54A1BFA9">
              <w:rPr>
                <w:rFonts w:ascii="Arial" w:hAnsi="Arial" w:eastAsia="Arial" w:cs="Arial"/>
              </w:rPr>
              <w:t>Medium</w:t>
            </w:r>
          </w:p>
        </w:tc>
      </w:tr>
    </w:tbl>
    <w:p w:rsidR="7A919A0F" w:rsidP="54A1BFA9" w:rsidRDefault="7A919A0F" w14:paraId="19A1DDB3" w14:textId="55090E12">
      <w:r w:rsidRPr="7DA9FC50">
        <w:rPr>
          <w:rFonts w:ascii="Arial" w:hAnsi="Arial" w:eastAsia="Arial" w:cs="Arial"/>
        </w:rPr>
        <w:t>IKEA Group (2025), Johanson and Vahlne (1977).</w:t>
      </w:r>
    </w:p>
    <w:p w:rsidR="7DA9FC50" w:rsidP="7DA9FC50" w:rsidRDefault="7DA9FC50" w14:paraId="1233D242" w14:textId="2446F145">
      <w:pPr>
        <w:rPr>
          <w:rFonts w:ascii="Arial" w:hAnsi="Arial" w:eastAsia="Arial" w:cs="Arial"/>
        </w:rPr>
      </w:pPr>
    </w:p>
    <w:p w:rsidR="2744B5DB" w:rsidP="7DA9FC50" w:rsidRDefault="2744B5DB" w14:paraId="2BB63595" w14:textId="17FB9BA0">
      <w:pPr>
        <w:rPr>
          <w:b/>
          <w:bCs/>
        </w:rPr>
      </w:pPr>
      <w:r w:rsidRPr="7DA9FC50">
        <w:rPr>
          <w:b/>
          <w:bCs/>
        </w:rPr>
        <w:t>Appendix F</w:t>
      </w:r>
    </w:p>
    <w:p w:rsidR="2744B5DB" w:rsidP="7DA9FC50" w:rsidRDefault="2744B5DB" w14:paraId="568FE7B9" w14:textId="16CD1E4C">
      <w:r w:rsidRPr="7DA9FC50">
        <w:rPr>
          <w:b/>
          <w:bCs/>
        </w:rPr>
        <w:t xml:space="preserve">Table 5. </w:t>
      </w:r>
      <w:r w:rsidRPr="7DA9FC50" w:rsidR="14503DFB">
        <w:rPr>
          <w:rFonts w:ascii="Arial" w:hAnsi="Arial" w:eastAsia="Arial" w:cs="Arial"/>
          <w:b/>
          <w:bCs/>
        </w:rPr>
        <w:t>Porter's Diamond Model</w:t>
      </w:r>
    </w:p>
    <w:tbl>
      <w:tblPr>
        <w:tblStyle w:val="TableGrid"/>
        <w:tblW w:w="0" w:type="auto"/>
        <w:tblLook w:val="06A0" w:firstRow="1" w:lastRow="0" w:firstColumn="1" w:lastColumn="0" w:noHBand="1" w:noVBand="1"/>
      </w:tblPr>
      <w:tblGrid>
        <w:gridCol w:w="3116"/>
        <w:gridCol w:w="3117"/>
        <w:gridCol w:w="3117"/>
      </w:tblGrid>
      <w:tr w:rsidR="7DA9FC50" w:rsidTr="7DA9FC50" w14:paraId="718E2D75" w14:textId="77777777">
        <w:trPr>
          <w:trHeight w:val="300"/>
        </w:trPr>
        <w:tc>
          <w:tcPr>
            <w:tcW w:w="3120" w:type="dxa"/>
          </w:tcPr>
          <w:p w:rsidR="4DA57AE5" w:rsidP="7DA9FC50" w:rsidRDefault="4DA57AE5" w14:paraId="01619D77" w14:textId="43529A6D">
            <w:pPr>
              <w:rPr>
                <w:rFonts w:ascii="Arial" w:hAnsi="Arial" w:eastAsia="Arial" w:cs="Arial"/>
                <w:b/>
                <w:bCs/>
              </w:rPr>
            </w:pPr>
            <w:r w:rsidRPr="7DA9FC50">
              <w:rPr>
                <w:rFonts w:ascii="Arial" w:hAnsi="Arial" w:eastAsia="Arial" w:cs="Arial"/>
                <w:b/>
                <w:bCs/>
              </w:rPr>
              <w:t>Diamond determinant</w:t>
            </w:r>
          </w:p>
        </w:tc>
        <w:tc>
          <w:tcPr>
            <w:tcW w:w="3120" w:type="dxa"/>
          </w:tcPr>
          <w:p w:rsidR="4DA57AE5" w:rsidP="7DA9FC50" w:rsidRDefault="4DA57AE5" w14:paraId="6D315FCF" w14:textId="07D90C1D">
            <w:pPr>
              <w:rPr>
                <w:rFonts w:ascii="Arial" w:hAnsi="Arial" w:eastAsia="Arial" w:cs="Arial"/>
                <w:b/>
                <w:bCs/>
              </w:rPr>
            </w:pPr>
            <w:r w:rsidRPr="7DA9FC50">
              <w:rPr>
                <w:rFonts w:ascii="Arial" w:hAnsi="Arial" w:eastAsia="Arial" w:cs="Arial"/>
                <w:b/>
                <w:bCs/>
              </w:rPr>
              <w:t>Nigeria assessment</w:t>
            </w:r>
          </w:p>
        </w:tc>
        <w:tc>
          <w:tcPr>
            <w:tcW w:w="3120" w:type="dxa"/>
          </w:tcPr>
          <w:p w:rsidR="4DA57AE5" w:rsidP="7DA9FC50" w:rsidRDefault="4DA57AE5" w14:paraId="0D9BC66D" w14:textId="3D062F73">
            <w:pPr>
              <w:rPr>
                <w:rFonts w:ascii="Arial" w:hAnsi="Arial" w:eastAsia="Arial" w:cs="Arial"/>
                <w:b/>
                <w:bCs/>
              </w:rPr>
            </w:pPr>
            <w:r w:rsidRPr="7DA9FC50">
              <w:rPr>
                <w:rFonts w:ascii="Arial" w:hAnsi="Arial" w:eastAsia="Arial" w:cs="Arial"/>
                <w:b/>
                <w:bCs/>
              </w:rPr>
              <w:t>Implication for IKEA</w:t>
            </w:r>
          </w:p>
        </w:tc>
      </w:tr>
      <w:tr w:rsidR="7DA9FC50" w:rsidTr="7DA9FC50" w14:paraId="28F65D5F" w14:textId="77777777">
        <w:trPr>
          <w:trHeight w:val="300"/>
        </w:trPr>
        <w:tc>
          <w:tcPr>
            <w:tcW w:w="3120" w:type="dxa"/>
          </w:tcPr>
          <w:p w:rsidR="4DA57AE5" w:rsidP="7DA9FC50" w:rsidRDefault="4DA57AE5" w14:paraId="126B8E40" w14:textId="793A0470">
            <w:pPr>
              <w:rPr>
                <w:rFonts w:ascii="Arial" w:hAnsi="Arial" w:eastAsia="Arial" w:cs="Arial"/>
                <w:b/>
                <w:bCs/>
              </w:rPr>
            </w:pPr>
            <w:r w:rsidRPr="7DA9FC50">
              <w:rPr>
                <w:rFonts w:ascii="Arial" w:hAnsi="Arial" w:eastAsia="Arial" w:cs="Arial"/>
                <w:b/>
                <w:bCs/>
              </w:rPr>
              <w:t>Factor conditions</w:t>
            </w:r>
          </w:p>
        </w:tc>
        <w:tc>
          <w:tcPr>
            <w:tcW w:w="3120" w:type="dxa"/>
          </w:tcPr>
          <w:p w:rsidR="04E8984A" w:rsidP="7DA9FC50" w:rsidRDefault="04E8984A" w14:paraId="3B5B0B05" w14:textId="23C34B15">
            <w:r w:rsidRPr="7DA9FC50">
              <w:rPr>
                <w:rFonts w:ascii="Arial" w:hAnsi="Arial" w:eastAsia="Arial" w:cs="Arial"/>
              </w:rPr>
              <w:t>Large workforce but weak infrastructure</w:t>
            </w:r>
          </w:p>
        </w:tc>
        <w:tc>
          <w:tcPr>
            <w:tcW w:w="3120" w:type="dxa"/>
          </w:tcPr>
          <w:p w:rsidR="04E8984A" w:rsidP="7DA9FC50" w:rsidRDefault="04E8984A" w14:paraId="08C229D5" w14:textId="101E1603">
            <w:r w:rsidRPr="7DA9FC50">
              <w:rPr>
                <w:rFonts w:ascii="Arial" w:hAnsi="Arial" w:eastAsia="Arial" w:cs="Arial"/>
              </w:rPr>
              <w:t>Invest gradually and strengthen logistics</w:t>
            </w:r>
          </w:p>
        </w:tc>
      </w:tr>
      <w:tr w:rsidR="7DA9FC50" w:rsidTr="7DA9FC50" w14:paraId="6F028157" w14:textId="77777777">
        <w:trPr>
          <w:trHeight w:val="300"/>
        </w:trPr>
        <w:tc>
          <w:tcPr>
            <w:tcW w:w="3120" w:type="dxa"/>
          </w:tcPr>
          <w:p w:rsidR="4DA57AE5" w:rsidP="7DA9FC50" w:rsidRDefault="4DA57AE5" w14:paraId="4721FD4F" w14:textId="096C12B7">
            <w:pPr>
              <w:rPr>
                <w:rFonts w:ascii="Arial" w:hAnsi="Arial" w:eastAsia="Arial" w:cs="Arial"/>
                <w:b/>
                <w:bCs/>
              </w:rPr>
            </w:pPr>
            <w:r w:rsidRPr="7DA9FC50">
              <w:rPr>
                <w:rFonts w:ascii="Arial" w:hAnsi="Arial" w:eastAsia="Arial" w:cs="Arial"/>
                <w:b/>
                <w:bCs/>
              </w:rPr>
              <w:t>Demand conditions</w:t>
            </w:r>
          </w:p>
        </w:tc>
        <w:tc>
          <w:tcPr>
            <w:tcW w:w="3120" w:type="dxa"/>
          </w:tcPr>
          <w:p w:rsidR="75C6CBCF" w:rsidP="7DA9FC50" w:rsidRDefault="75C6CBCF" w14:paraId="2430599B" w14:textId="2B7836B4">
            <w:r w:rsidRPr="7DA9FC50">
              <w:rPr>
                <w:rFonts w:ascii="Arial" w:hAnsi="Arial" w:eastAsia="Arial" w:cs="Arial"/>
              </w:rPr>
              <w:t>Large, urbanising population but uneven purchasing power</w:t>
            </w:r>
          </w:p>
        </w:tc>
        <w:tc>
          <w:tcPr>
            <w:tcW w:w="3120" w:type="dxa"/>
          </w:tcPr>
          <w:p w:rsidR="75C6CBCF" w:rsidP="7DA9FC50" w:rsidRDefault="75C6CBCF" w14:paraId="05DB6D96" w14:textId="268A299C">
            <w:r w:rsidRPr="7DA9FC50">
              <w:rPr>
                <w:rFonts w:ascii="Arial" w:hAnsi="Arial" w:eastAsia="Arial" w:cs="Arial"/>
              </w:rPr>
              <w:t>Adapt pricing and product range</w:t>
            </w:r>
          </w:p>
        </w:tc>
      </w:tr>
      <w:tr w:rsidR="7DA9FC50" w:rsidTr="7DA9FC50" w14:paraId="74B04D82" w14:textId="77777777">
        <w:trPr>
          <w:trHeight w:val="300"/>
        </w:trPr>
        <w:tc>
          <w:tcPr>
            <w:tcW w:w="3120" w:type="dxa"/>
          </w:tcPr>
          <w:p w:rsidR="4DA57AE5" w:rsidP="7DA9FC50" w:rsidRDefault="4DA57AE5" w14:paraId="2D25622B" w14:textId="1953BCF4">
            <w:pPr>
              <w:rPr>
                <w:rFonts w:ascii="Arial" w:hAnsi="Arial" w:eastAsia="Arial" w:cs="Arial"/>
                <w:b/>
                <w:bCs/>
              </w:rPr>
            </w:pPr>
            <w:r w:rsidRPr="7DA9FC50">
              <w:rPr>
                <w:rFonts w:ascii="Arial" w:hAnsi="Arial" w:eastAsia="Arial" w:cs="Arial"/>
                <w:b/>
                <w:bCs/>
              </w:rPr>
              <w:t>Related &amp; supporting industries</w:t>
            </w:r>
          </w:p>
        </w:tc>
        <w:tc>
          <w:tcPr>
            <w:tcW w:w="3120" w:type="dxa"/>
          </w:tcPr>
          <w:p w:rsidR="56E7CC60" w:rsidP="7DA9FC50" w:rsidRDefault="56E7CC60" w14:paraId="624855A3" w14:textId="42DD224C">
            <w:r w:rsidRPr="7DA9FC50">
              <w:rPr>
                <w:rFonts w:ascii="Arial" w:hAnsi="Arial" w:eastAsia="Arial" w:cs="Arial"/>
              </w:rPr>
              <w:t>Developing supplier and logistics networks</w:t>
            </w:r>
          </w:p>
        </w:tc>
        <w:tc>
          <w:tcPr>
            <w:tcW w:w="3120" w:type="dxa"/>
          </w:tcPr>
          <w:p w:rsidR="56E7CC60" w:rsidP="7DA9FC50" w:rsidRDefault="56E7CC60" w14:paraId="1F5101C6" w14:textId="46A533C8">
            <w:r w:rsidRPr="7DA9FC50">
              <w:rPr>
                <w:rFonts w:ascii="Arial" w:hAnsi="Arial" w:eastAsia="Arial" w:cs="Arial"/>
              </w:rPr>
              <w:t>Build local sourcing partnerships</w:t>
            </w:r>
          </w:p>
        </w:tc>
      </w:tr>
      <w:tr w:rsidR="7DA9FC50" w:rsidTr="7DA9FC50" w14:paraId="34877EC3" w14:textId="77777777">
        <w:trPr>
          <w:trHeight w:val="300"/>
        </w:trPr>
        <w:tc>
          <w:tcPr>
            <w:tcW w:w="3120" w:type="dxa"/>
          </w:tcPr>
          <w:p w:rsidR="4DA57AE5" w:rsidP="7DA9FC50" w:rsidRDefault="4DA57AE5" w14:paraId="6CA51EC4" w14:textId="19C5FB76">
            <w:pPr>
              <w:rPr>
                <w:rFonts w:ascii="Arial" w:hAnsi="Arial" w:eastAsia="Arial" w:cs="Arial"/>
                <w:b/>
                <w:bCs/>
              </w:rPr>
            </w:pPr>
            <w:r w:rsidRPr="7DA9FC50">
              <w:rPr>
                <w:rFonts w:ascii="Arial" w:hAnsi="Arial" w:eastAsia="Arial" w:cs="Arial"/>
                <w:b/>
                <w:bCs/>
              </w:rPr>
              <w:t>Firm strategy, structure &amp; rivalry</w:t>
            </w:r>
          </w:p>
        </w:tc>
        <w:tc>
          <w:tcPr>
            <w:tcW w:w="3120" w:type="dxa"/>
          </w:tcPr>
          <w:p w:rsidR="73D56DD2" w:rsidP="7DA9FC50" w:rsidRDefault="73D56DD2" w14:paraId="70450B61" w14:textId="316E824B">
            <w:r w:rsidRPr="7DA9FC50">
              <w:rPr>
                <w:rFonts w:ascii="Arial" w:hAnsi="Arial" w:eastAsia="Arial" w:cs="Arial"/>
              </w:rPr>
              <w:t>Competitive local furniture market</w:t>
            </w:r>
          </w:p>
        </w:tc>
        <w:tc>
          <w:tcPr>
            <w:tcW w:w="3120" w:type="dxa"/>
          </w:tcPr>
          <w:p w:rsidR="73D56DD2" w:rsidP="7DA9FC50" w:rsidRDefault="73D56DD2" w14:paraId="2006C2CF" w14:textId="378E3906">
            <w:r w:rsidRPr="7DA9FC50">
              <w:rPr>
                <w:rFonts w:ascii="Arial" w:hAnsi="Arial" w:eastAsia="Arial" w:cs="Arial"/>
              </w:rPr>
              <w:t>Differentiate through design, affordability and customer experience</w:t>
            </w:r>
          </w:p>
        </w:tc>
      </w:tr>
    </w:tbl>
    <w:p w:rsidR="73D56DD2" w:rsidP="7DA9FC50" w:rsidRDefault="73D56DD2" w14:paraId="7EC0FF36" w14:textId="711AE7BA">
      <w:r w:rsidRPr="7DA9FC50">
        <w:rPr>
          <w:rFonts w:ascii="Arial" w:hAnsi="Arial" w:eastAsia="Arial" w:cs="Arial"/>
        </w:rPr>
        <w:t>Porter (1990).</w:t>
      </w:r>
    </w:p>
    <w:sectPr w:rsidR="73D56DD2">
      <w:headerReference w:type="default" r:id="rId31"/>
      <w:footerReference w:type="default" r:id="rId32"/>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F3B1F" w:rsidRDefault="000F3B1F" w14:paraId="714A498A" w14:textId="77777777">
      <w:pPr>
        <w:spacing w:after="0" w:line="240" w:lineRule="auto"/>
      </w:pPr>
      <w:r>
        <w:separator/>
      </w:r>
    </w:p>
  </w:endnote>
  <w:endnote w:type="continuationSeparator" w:id="0">
    <w:p w:rsidR="000F3B1F" w:rsidRDefault="000F3B1F" w14:paraId="3657138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7DA9FC50" w:rsidTr="7DA9FC50" w14:paraId="0B3114AD" w14:textId="77777777">
      <w:trPr>
        <w:trHeight w:val="300"/>
      </w:trPr>
      <w:tc>
        <w:tcPr>
          <w:tcW w:w="3120" w:type="dxa"/>
        </w:tcPr>
        <w:p w:rsidR="7DA9FC50" w:rsidP="7DA9FC50" w:rsidRDefault="7DA9FC50" w14:paraId="1518AE32" w14:textId="3C9A5C47">
          <w:pPr>
            <w:pStyle w:val="Header"/>
            <w:ind w:left="-115"/>
          </w:pPr>
        </w:p>
      </w:tc>
      <w:tc>
        <w:tcPr>
          <w:tcW w:w="3120" w:type="dxa"/>
        </w:tcPr>
        <w:p w:rsidR="7DA9FC50" w:rsidP="7DA9FC50" w:rsidRDefault="7DA9FC50" w14:paraId="7325068B" w14:textId="33C8E9DD">
          <w:pPr>
            <w:pStyle w:val="Header"/>
            <w:jc w:val="center"/>
          </w:pPr>
          <w:r>
            <w:fldChar w:fldCharType="begin"/>
          </w:r>
          <w:r>
            <w:instrText>PAGE</w:instrText>
          </w:r>
          <w:r>
            <w:fldChar w:fldCharType="separate"/>
          </w:r>
          <w:r>
            <w:fldChar w:fldCharType="end"/>
          </w:r>
        </w:p>
      </w:tc>
      <w:tc>
        <w:tcPr>
          <w:tcW w:w="3120" w:type="dxa"/>
        </w:tcPr>
        <w:p w:rsidR="7DA9FC50" w:rsidP="7DA9FC50" w:rsidRDefault="7DA9FC50" w14:paraId="31026E59" w14:textId="5903C2E2">
          <w:pPr>
            <w:pStyle w:val="Header"/>
            <w:ind w:right="-115"/>
            <w:jc w:val="right"/>
          </w:pPr>
        </w:p>
      </w:tc>
    </w:tr>
  </w:tbl>
  <w:p w:rsidR="7DA9FC50" w:rsidP="7DA9FC50" w:rsidRDefault="7DA9FC50" w14:paraId="717F9602" w14:textId="342498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F3B1F" w:rsidRDefault="000F3B1F" w14:paraId="491952DB" w14:textId="77777777">
      <w:pPr>
        <w:spacing w:after="0" w:line="240" w:lineRule="auto"/>
      </w:pPr>
      <w:r>
        <w:separator/>
      </w:r>
    </w:p>
  </w:footnote>
  <w:footnote w:type="continuationSeparator" w:id="0">
    <w:p w:rsidR="000F3B1F" w:rsidRDefault="000F3B1F" w14:paraId="0871E55B"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54A1BFA9" w:rsidTr="54A1BFA9" w14:paraId="70E4D86E" w14:textId="77777777">
      <w:trPr>
        <w:trHeight w:val="300"/>
      </w:trPr>
      <w:tc>
        <w:tcPr>
          <w:tcW w:w="3120" w:type="dxa"/>
        </w:tcPr>
        <w:p w:rsidR="54A1BFA9" w:rsidP="54A1BFA9" w:rsidRDefault="54A1BFA9" w14:paraId="23AFA167" w14:textId="033CF1FC">
          <w:pPr>
            <w:pStyle w:val="Header"/>
            <w:ind w:left="-115"/>
          </w:pPr>
        </w:p>
      </w:tc>
      <w:tc>
        <w:tcPr>
          <w:tcW w:w="3120" w:type="dxa"/>
        </w:tcPr>
        <w:p w:rsidR="54A1BFA9" w:rsidP="54A1BFA9" w:rsidRDefault="54A1BFA9" w14:paraId="2E13B6EA" w14:textId="0FA09DE6">
          <w:pPr>
            <w:pStyle w:val="Header"/>
            <w:jc w:val="center"/>
          </w:pPr>
        </w:p>
      </w:tc>
      <w:tc>
        <w:tcPr>
          <w:tcW w:w="3120" w:type="dxa"/>
        </w:tcPr>
        <w:p w:rsidR="54A1BFA9" w:rsidP="54A1BFA9" w:rsidRDefault="54A1BFA9" w14:paraId="305F8C35" w14:textId="7D5DAD9A">
          <w:pPr>
            <w:pStyle w:val="Header"/>
            <w:ind w:right="-115"/>
            <w:jc w:val="right"/>
          </w:pPr>
        </w:p>
      </w:tc>
    </w:tr>
  </w:tbl>
  <w:p w:rsidR="54A1BFA9" w:rsidP="54A1BFA9" w:rsidRDefault="54A1BFA9" w14:paraId="6360FE15" w14:textId="797E412D">
    <w:pPr>
      <w:pStyle w:val="Header"/>
    </w:pPr>
  </w:p>
</w:hdr>
</file>

<file path=word/intelligence2.xml><?xml version="1.0" encoding="utf-8"?>
<int2:intelligence xmlns:int2="http://schemas.microsoft.com/office/intelligence/2020/intelligence" xmlns:oel="http://schemas.microsoft.com/office/2019/extlst">
  <int2:observations>
    <int2:textHash int2:hashCode="Pwxxtk1Oaaejcq" int2:id="62g3nfvU">
      <int2:state int2:value="Rejected" int2:type="spell"/>
    </int2:textHash>
    <int2:textHash int2:hashCode="OnzOrKVd+c0H9u" int2:id="9Y5SvNYN">
      <int2:state int2:value="Rejected" int2:type="spell"/>
    </int2:textHash>
    <int2:textHash int2:hashCode="pDJXhGUUzWSYMm" int2:id="A6Q2ZhL3">
      <int2:state int2:value="Rejected" int2:type="spell"/>
    </int2:textHash>
    <int2:textHash int2:hashCode="m/C6mGJeQTWOW1" int2:id="ExOXXi9S">
      <int2:state int2:value="Rejected" int2:type="spell"/>
    </int2:textHash>
    <int2:textHash int2:hashCode="myznzXaQUePDzP" int2:id="FRDVAT1N">
      <int2:state int2:value="Rejected" int2:type="spell"/>
    </int2:textHash>
    <int2:textHash int2:hashCode="hyzUsinXqKiXek" int2:id="HCAnbTWu">
      <int2:state int2:value="Rejected" int2:type="spell"/>
    </int2:textHash>
    <int2:textHash int2:hashCode="hN6B5b8f/AaH/i" int2:id="RaMBOabD">
      <int2:state int2:value="Rejected" int2:type="spell"/>
    </int2:textHash>
    <int2:textHash int2:hashCode="WEVOQS+jLKkvoq" int2:id="WaUH78Ls">
      <int2:state int2:value="Rejected" int2:type="spell"/>
    </int2:textHash>
    <int2:textHash int2:hashCode="DfFG05gpKgeKun" int2:id="bjnniHmL">
      <int2:state int2:value="Rejected" int2:type="spell"/>
    </int2:textHash>
    <int2:textHash int2:hashCode="iQ6BpzCrlNO8r4" int2:id="bkTtWtlr">
      <int2:state int2:value="Rejected" int2:type="spell"/>
    </int2:textHash>
    <int2:textHash int2:hashCode="pz2QIEqb0rZQkg" int2:id="cJBS8dGX">
      <int2:state int2:value="Rejected" int2:type="spell"/>
    </int2:textHash>
    <int2:textHash int2:hashCode="7OmYag+MLKaTRs" int2:id="ciqiw6ex">
      <int2:state int2:value="Rejected" int2:type="spell"/>
    </int2:textHash>
    <int2:textHash int2:hashCode="v3jXqOAVqWKVSe" int2:id="dL8NuhVs">
      <int2:state int2:value="Rejected" int2:type="spell"/>
    </int2:textHash>
    <int2:textHash int2:hashCode="wmu2pvQDlSD0PN" int2:id="idrUxqtc">
      <int2:state int2:value="Rejected" int2:type="spell"/>
    </int2:textHash>
    <int2:textHash int2:hashCode="XSUiEPxXFZ9tOg" int2:id="tQGHtUaT">
      <int2:state int2:value="Rejected" int2:type="spell"/>
    </int2:textHash>
    <int2:textHash int2:hashCode="HEXtz+T4PyFSoL" int2:id="u82W5lqC">
      <int2:state int2:value="Rejected" int2:type="spell"/>
    </int2:textHash>
    <int2:textHash int2:hashCode="kByidkXaRxGvMx" int2:id="u8GcFoTL">
      <int2:state int2:value="Rejected" int2:type="spell"/>
    </int2:textHash>
    <int2:textHash int2:hashCode="kv4UVae7TQCfC0" int2:id="uqKHQh3N">
      <int2:state int2:value="Rejected" int2:type="spell"/>
    </int2:textHash>
    <int2:textHash int2:hashCode="doycEd9dSooA39" int2:id="vVGNil36">
      <int2:state int2:value="Rejected" int2:type="spell"/>
    </int2:textHash>
    <int2:textHash int2:hashCode="Dji+abMBs/wxDx" int2:id="wymqH7kA">
      <int2:state int2:value="Rejected" int2:type="spell"/>
    </int2:textHash>
    <int2:bookmark int2:bookmarkName="_Int_hqeIGNSe" int2:invalidationBookmarkName="" int2:hashCode="AWe79aqenAwAWy" int2:id="3OM21jm7">
      <int2:state int2:value="Rejected" int2:type="gram"/>
    </int2:bookmark>
    <int2:bookmark int2:bookmarkName="_Int_meBVQWHT" int2:invalidationBookmarkName="" int2:hashCode="0QjoM4bhmVVc4Q" int2:id="3RUuCcv5">
      <int2:state int2:value="Rejected" int2:type="style"/>
    </int2:bookmark>
    <int2:bookmark int2:bookmarkName="_Int_M1YZTrxg" int2:invalidationBookmarkName="" int2:hashCode="ZapfqWjAvioq3C" int2:id="3kKvEjzy">
      <int2:state int2:value="Rejected" int2:type="gram"/>
    </int2:bookmark>
    <int2:bookmark int2:bookmarkName="_Int_mW5Fgezw" int2:invalidationBookmarkName="" int2:hashCode="oRWLP8wx4RsE66" int2:id="53L6249E">
      <int2:state int2:value="Rejected" int2:type="gram"/>
    </int2:bookmark>
    <int2:bookmark int2:bookmarkName="_Int_VGxLZz1b" int2:invalidationBookmarkName="" int2:hashCode="ScLCCf+HTdWuIx" int2:id="EChkl9rb">
      <int2:state int2:value="Rejected" int2:type="gram"/>
    </int2:bookmark>
    <int2:bookmark int2:bookmarkName="_Int_EA8aSL8b" int2:invalidationBookmarkName="" int2:hashCode="D3sDNFM9NwKSv0" int2:id="FpKun1wZ">
      <int2:state int2:value="Rejected" int2:type="gram"/>
    </int2:bookmark>
    <int2:bookmark int2:bookmarkName="_Int_tndGhL9x" int2:invalidationBookmarkName="" int2:hashCode="051uur3qTsy1Ie" int2:id="LnK1s0vF">
      <int2:state int2:value="Rejected" int2:type="style"/>
    </int2:bookmark>
    <int2:bookmark int2:bookmarkName="_Int_Qn2Xl1xG" int2:invalidationBookmarkName="" int2:hashCode="9OkfPmVYUsHpLr" int2:id="TOnIXuxS">
      <int2:state int2:value="Rejected" int2:type="gram"/>
    </int2:bookmark>
    <int2:bookmark int2:bookmarkName="_Int_lxouwdo2" int2:invalidationBookmarkName="" int2:hashCode="eL5/+E7jqjQp+w" int2:id="Vdr8rcYD">
      <int2:state int2:value="Rejected" int2:type="gram"/>
    </int2:bookmark>
    <int2:bookmark int2:bookmarkName="_Int_buwi64F3" int2:invalidationBookmarkName="" int2:hashCode="IgRhb/VH14Qpkf" int2:id="eAf7FzNn">
      <int2:state int2:value="Rejected" int2:type="gram"/>
    </int2:bookmark>
    <int2:bookmark int2:bookmarkName="_Int_ukDZ9KCQ" int2:invalidationBookmarkName="" int2:hashCode="83U/G2umJoiD0h" int2:id="gdBsySW0">
      <int2:state int2:value="Rejected" int2:type="gram"/>
    </int2:bookmark>
    <int2:bookmark int2:bookmarkName="_Int_JCboMm7g" int2:invalidationBookmarkName="" int2:hashCode="xFh9d7Sz5wrx3t" int2:id="hdRYVY1T">
      <int2:state int2:value="Rejected" int2:type="gram"/>
    </int2:bookmark>
    <int2:bookmark int2:bookmarkName="_Int_z0Kc2M0R" int2:invalidationBookmarkName="" int2:hashCode="T/GPABdvDys65U" int2:id="hpMBX1SU">
      <int2:state int2:value="Rejected" int2:type="gram"/>
    </int2:bookmark>
    <int2:bookmark int2:bookmarkName="_Int_oQLB0kDu" int2:invalidationBookmarkName="" int2:hashCode="VzWlPJsi4HLGbj" int2:id="k95Ee6ao">
      <int2:state int2:value="Rejected" int2:type="gram"/>
    </int2:bookmark>
    <int2:bookmark int2:bookmarkName="_Int_9flokG7F" int2:invalidationBookmarkName="" int2:hashCode="WxPbFDb/1m/uP/" int2:id="m1oFxDlL">
      <int2:state int2:value="Rejected" int2:type="gram"/>
    </int2:bookmark>
    <int2:bookmark int2:bookmarkName="_Int_DNGmdy4h" int2:invalidationBookmarkName="" int2:hashCode="XKo8NsCIsZTgGZ" int2:id="oVPofwvv">
      <int2:state int2:value="Rejected" int2:type="gram"/>
    </int2:bookmark>
    <int2:bookmark int2:bookmarkName="_Int_Q6yEcmzS" int2:invalidationBookmarkName="" int2:hashCode="+OtSXSbhv8zyWG" int2:id="rJwbxN5A">
      <int2:state int2:value="Rejected" int2:type="gram"/>
    </int2:bookmark>
    <int2:bookmark int2:bookmarkName="_Int_1lSE6z3h" int2:invalidationBookmarkName="" int2:hashCode="+W2gKabapDIdcy" int2:id="sbvxqqOk">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BA438"/>
    <w:multiLevelType w:val="hybridMultilevel"/>
    <w:tmpl w:val="FFFFFFFF"/>
    <w:lvl w:ilvl="0" w:tplc="8632A8D0">
      <w:start w:val="1"/>
      <w:numFmt w:val="bullet"/>
      <w:lvlText w:val=""/>
      <w:lvlJc w:val="left"/>
      <w:pPr>
        <w:ind w:left="720" w:hanging="360"/>
      </w:pPr>
      <w:rPr>
        <w:rFonts w:hint="default" w:ascii="Symbol" w:hAnsi="Symbol"/>
      </w:rPr>
    </w:lvl>
    <w:lvl w:ilvl="1" w:tplc="ABCE7800">
      <w:start w:val="1"/>
      <w:numFmt w:val="bullet"/>
      <w:lvlText w:val="o"/>
      <w:lvlJc w:val="left"/>
      <w:pPr>
        <w:ind w:left="1440" w:hanging="360"/>
      </w:pPr>
      <w:rPr>
        <w:rFonts w:hint="default" w:ascii="Courier New" w:hAnsi="Courier New"/>
      </w:rPr>
    </w:lvl>
    <w:lvl w:ilvl="2" w:tplc="157A3D08">
      <w:start w:val="1"/>
      <w:numFmt w:val="bullet"/>
      <w:lvlText w:val=""/>
      <w:lvlJc w:val="left"/>
      <w:pPr>
        <w:ind w:left="2160" w:hanging="360"/>
      </w:pPr>
      <w:rPr>
        <w:rFonts w:hint="default" w:ascii="Wingdings" w:hAnsi="Wingdings"/>
      </w:rPr>
    </w:lvl>
    <w:lvl w:ilvl="3" w:tplc="E8940390">
      <w:start w:val="1"/>
      <w:numFmt w:val="bullet"/>
      <w:lvlText w:val=""/>
      <w:lvlJc w:val="left"/>
      <w:pPr>
        <w:ind w:left="2880" w:hanging="360"/>
      </w:pPr>
      <w:rPr>
        <w:rFonts w:hint="default" w:ascii="Symbol" w:hAnsi="Symbol"/>
      </w:rPr>
    </w:lvl>
    <w:lvl w:ilvl="4" w:tplc="089ED998">
      <w:start w:val="1"/>
      <w:numFmt w:val="bullet"/>
      <w:lvlText w:val="o"/>
      <w:lvlJc w:val="left"/>
      <w:pPr>
        <w:ind w:left="3600" w:hanging="360"/>
      </w:pPr>
      <w:rPr>
        <w:rFonts w:hint="default" w:ascii="Courier New" w:hAnsi="Courier New"/>
      </w:rPr>
    </w:lvl>
    <w:lvl w:ilvl="5" w:tplc="457E3F38">
      <w:start w:val="1"/>
      <w:numFmt w:val="bullet"/>
      <w:lvlText w:val=""/>
      <w:lvlJc w:val="left"/>
      <w:pPr>
        <w:ind w:left="4320" w:hanging="360"/>
      </w:pPr>
      <w:rPr>
        <w:rFonts w:hint="default" w:ascii="Wingdings" w:hAnsi="Wingdings"/>
      </w:rPr>
    </w:lvl>
    <w:lvl w:ilvl="6" w:tplc="B73CF904">
      <w:start w:val="1"/>
      <w:numFmt w:val="bullet"/>
      <w:lvlText w:val=""/>
      <w:lvlJc w:val="left"/>
      <w:pPr>
        <w:ind w:left="5040" w:hanging="360"/>
      </w:pPr>
      <w:rPr>
        <w:rFonts w:hint="default" w:ascii="Symbol" w:hAnsi="Symbol"/>
      </w:rPr>
    </w:lvl>
    <w:lvl w:ilvl="7" w:tplc="AEA80904">
      <w:start w:val="1"/>
      <w:numFmt w:val="bullet"/>
      <w:lvlText w:val="o"/>
      <w:lvlJc w:val="left"/>
      <w:pPr>
        <w:ind w:left="5760" w:hanging="360"/>
      </w:pPr>
      <w:rPr>
        <w:rFonts w:hint="default" w:ascii="Courier New" w:hAnsi="Courier New"/>
      </w:rPr>
    </w:lvl>
    <w:lvl w:ilvl="8" w:tplc="4C722AC4">
      <w:start w:val="1"/>
      <w:numFmt w:val="bullet"/>
      <w:lvlText w:val=""/>
      <w:lvlJc w:val="left"/>
      <w:pPr>
        <w:ind w:left="6480" w:hanging="360"/>
      </w:pPr>
      <w:rPr>
        <w:rFonts w:hint="default" w:ascii="Wingdings" w:hAnsi="Wingdings"/>
      </w:rPr>
    </w:lvl>
  </w:abstractNum>
  <w:abstractNum w:abstractNumId="1" w15:restartNumberingAfterBreak="0">
    <w:nsid w:val="0FA34CDB"/>
    <w:multiLevelType w:val="hybridMultilevel"/>
    <w:tmpl w:val="FFFFFFFF"/>
    <w:lvl w:ilvl="0" w:tplc="91644156">
      <w:start w:val="1"/>
      <w:numFmt w:val="bullet"/>
      <w:lvlText w:val=""/>
      <w:lvlJc w:val="left"/>
      <w:pPr>
        <w:ind w:left="720" w:hanging="360"/>
      </w:pPr>
      <w:rPr>
        <w:rFonts w:hint="default" w:ascii="Symbol" w:hAnsi="Symbol"/>
      </w:rPr>
    </w:lvl>
    <w:lvl w:ilvl="1" w:tplc="D9925750">
      <w:start w:val="1"/>
      <w:numFmt w:val="bullet"/>
      <w:lvlText w:val="o"/>
      <w:lvlJc w:val="left"/>
      <w:pPr>
        <w:ind w:left="1440" w:hanging="360"/>
      </w:pPr>
      <w:rPr>
        <w:rFonts w:hint="default" w:ascii="Courier New" w:hAnsi="Courier New"/>
      </w:rPr>
    </w:lvl>
    <w:lvl w:ilvl="2" w:tplc="1FCA10D0">
      <w:start w:val="1"/>
      <w:numFmt w:val="bullet"/>
      <w:lvlText w:val=""/>
      <w:lvlJc w:val="left"/>
      <w:pPr>
        <w:ind w:left="2160" w:hanging="360"/>
      </w:pPr>
      <w:rPr>
        <w:rFonts w:hint="default" w:ascii="Wingdings" w:hAnsi="Wingdings"/>
      </w:rPr>
    </w:lvl>
    <w:lvl w:ilvl="3" w:tplc="5CC2EC8E">
      <w:start w:val="1"/>
      <w:numFmt w:val="bullet"/>
      <w:lvlText w:val=""/>
      <w:lvlJc w:val="left"/>
      <w:pPr>
        <w:ind w:left="2880" w:hanging="360"/>
      </w:pPr>
      <w:rPr>
        <w:rFonts w:hint="default" w:ascii="Symbol" w:hAnsi="Symbol"/>
      </w:rPr>
    </w:lvl>
    <w:lvl w:ilvl="4" w:tplc="ADC88404">
      <w:start w:val="1"/>
      <w:numFmt w:val="bullet"/>
      <w:lvlText w:val="o"/>
      <w:lvlJc w:val="left"/>
      <w:pPr>
        <w:ind w:left="3600" w:hanging="360"/>
      </w:pPr>
      <w:rPr>
        <w:rFonts w:hint="default" w:ascii="Courier New" w:hAnsi="Courier New"/>
      </w:rPr>
    </w:lvl>
    <w:lvl w:ilvl="5" w:tplc="126066CE">
      <w:start w:val="1"/>
      <w:numFmt w:val="bullet"/>
      <w:lvlText w:val=""/>
      <w:lvlJc w:val="left"/>
      <w:pPr>
        <w:ind w:left="4320" w:hanging="360"/>
      </w:pPr>
      <w:rPr>
        <w:rFonts w:hint="default" w:ascii="Wingdings" w:hAnsi="Wingdings"/>
      </w:rPr>
    </w:lvl>
    <w:lvl w:ilvl="6" w:tplc="7ACA30D8">
      <w:start w:val="1"/>
      <w:numFmt w:val="bullet"/>
      <w:lvlText w:val=""/>
      <w:lvlJc w:val="left"/>
      <w:pPr>
        <w:ind w:left="5040" w:hanging="360"/>
      </w:pPr>
      <w:rPr>
        <w:rFonts w:hint="default" w:ascii="Symbol" w:hAnsi="Symbol"/>
      </w:rPr>
    </w:lvl>
    <w:lvl w:ilvl="7" w:tplc="4C527EE0">
      <w:start w:val="1"/>
      <w:numFmt w:val="bullet"/>
      <w:lvlText w:val="o"/>
      <w:lvlJc w:val="left"/>
      <w:pPr>
        <w:ind w:left="5760" w:hanging="360"/>
      </w:pPr>
      <w:rPr>
        <w:rFonts w:hint="default" w:ascii="Courier New" w:hAnsi="Courier New"/>
      </w:rPr>
    </w:lvl>
    <w:lvl w:ilvl="8" w:tplc="D7E4082E">
      <w:start w:val="1"/>
      <w:numFmt w:val="bullet"/>
      <w:lvlText w:val=""/>
      <w:lvlJc w:val="left"/>
      <w:pPr>
        <w:ind w:left="6480" w:hanging="360"/>
      </w:pPr>
      <w:rPr>
        <w:rFonts w:hint="default" w:ascii="Wingdings" w:hAnsi="Wingdings"/>
      </w:rPr>
    </w:lvl>
  </w:abstractNum>
  <w:abstractNum w:abstractNumId="2" w15:restartNumberingAfterBreak="0">
    <w:nsid w:val="1A6454BE"/>
    <w:multiLevelType w:val="hybridMultilevel"/>
    <w:tmpl w:val="FFFFFFFF"/>
    <w:lvl w:ilvl="0" w:tplc="A6AEE434">
      <w:start w:val="1"/>
      <w:numFmt w:val="bullet"/>
      <w:lvlText w:val=""/>
      <w:lvlJc w:val="left"/>
      <w:pPr>
        <w:ind w:left="720" w:hanging="360"/>
      </w:pPr>
      <w:rPr>
        <w:rFonts w:hint="default" w:ascii="Symbol" w:hAnsi="Symbol"/>
      </w:rPr>
    </w:lvl>
    <w:lvl w:ilvl="1" w:tplc="564CFADA">
      <w:start w:val="1"/>
      <w:numFmt w:val="bullet"/>
      <w:lvlText w:val="o"/>
      <w:lvlJc w:val="left"/>
      <w:pPr>
        <w:ind w:left="1440" w:hanging="360"/>
      </w:pPr>
      <w:rPr>
        <w:rFonts w:hint="default" w:ascii="Courier New" w:hAnsi="Courier New"/>
      </w:rPr>
    </w:lvl>
    <w:lvl w:ilvl="2" w:tplc="26529A7A">
      <w:start w:val="1"/>
      <w:numFmt w:val="bullet"/>
      <w:lvlText w:val=""/>
      <w:lvlJc w:val="left"/>
      <w:pPr>
        <w:ind w:left="2160" w:hanging="360"/>
      </w:pPr>
      <w:rPr>
        <w:rFonts w:hint="default" w:ascii="Wingdings" w:hAnsi="Wingdings"/>
      </w:rPr>
    </w:lvl>
    <w:lvl w:ilvl="3" w:tplc="CB703B16">
      <w:start w:val="1"/>
      <w:numFmt w:val="bullet"/>
      <w:lvlText w:val=""/>
      <w:lvlJc w:val="left"/>
      <w:pPr>
        <w:ind w:left="2880" w:hanging="360"/>
      </w:pPr>
      <w:rPr>
        <w:rFonts w:hint="default" w:ascii="Symbol" w:hAnsi="Symbol"/>
      </w:rPr>
    </w:lvl>
    <w:lvl w:ilvl="4" w:tplc="1D1C333C">
      <w:start w:val="1"/>
      <w:numFmt w:val="bullet"/>
      <w:lvlText w:val="o"/>
      <w:lvlJc w:val="left"/>
      <w:pPr>
        <w:ind w:left="3600" w:hanging="360"/>
      </w:pPr>
      <w:rPr>
        <w:rFonts w:hint="default" w:ascii="Courier New" w:hAnsi="Courier New"/>
      </w:rPr>
    </w:lvl>
    <w:lvl w:ilvl="5" w:tplc="CDCC964E">
      <w:start w:val="1"/>
      <w:numFmt w:val="bullet"/>
      <w:lvlText w:val=""/>
      <w:lvlJc w:val="left"/>
      <w:pPr>
        <w:ind w:left="4320" w:hanging="360"/>
      </w:pPr>
      <w:rPr>
        <w:rFonts w:hint="default" w:ascii="Wingdings" w:hAnsi="Wingdings"/>
      </w:rPr>
    </w:lvl>
    <w:lvl w:ilvl="6" w:tplc="959AC850">
      <w:start w:val="1"/>
      <w:numFmt w:val="bullet"/>
      <w:lvlText w:val=""/>
      <w:lvlJc w:val="left"/>
      <w:pPr>
        <w:ind w:left="5040" w:hanging="360"/>
      </w:pPr>
      <w:rPr>
        <w:rFonts w:hint="default" w:ascii="Symbol" w:hAnsi="Symbol"/>
      </w:rPr>
    </w:lvl>
    <w:lvl w:ilvl="7" w:tplc="5DACFEBA">
      <w:start w:val="1"/>
      <w:numFmt w:val="bullet"/>
      <w:lvlText w:val="o"/>
      <w:lvlJc w:val="left"/>
      <w:pPr>
        <w:ind w:left="5760" w:hanging="360"/>
      </w:pPr>
      <w:rPr>
        <w:rFonts w:hint="default" w:ascii="Courier New" w:hAnsi="Courier New"/>
      </w:rPr>
    </w:lvl>
    <w:lvl w:ilvl="8" w:tplc="B7C6C574">
      <w:start w:val="1"/>
      <w:numFmt w:val="bullet"/>
      <w:lvlText w:val=""/>
      <w:lvlJc w:val="left"/>
      <w:pPr>
        <w:ind w:left="6480" w:hanging="360"/>
      </w:pPr>
      <w:rPr>
        <w:rFonts w:hint="default" w:ascii="Wingdings" w:hAnsi="Wingdings"/>
      </w:rPr>
    </w:lvl>
  </w:abstractNum>
  <w:abstractNum w:abstractNumId="3" w15:restartNumberingAfterBreak="0">
    <w:nsid w:val="1CC5546C"/>
    <w:multiLevelType w:val="hybridMultilevel"/>
    <w:tmpl w:val="FFFFFFFF"/>
    <w:lvl w:ilvl="0" w:tplc="D8C82D8E">
      <w:start w:val="1"/>
      <w:numFmt w:val="bullet"/>
      <w:lvlText w:val=""/>
      <w:lvlJc w:val="left"/>
      <w:pPr>
        <w:ind w:left="720" w:hanging="360"/>
      </w:pPr>
      <w:rPr>
        <w:rFonts w:hint="default" w:ascii="Symbol" w:hAnsi="Symbol"/>
      </w:rPr>
    </w:lvl>
    <w:lvl w:ilvl="1" w:tplc="F15C0E2A">
      <w:start w:val="1"/>
      <w:numFmt w:val="bullet"/>
      <w:lvlText w:val="o"/>
      <w:lvlJc w:val="left"/>
      <w:pPr>
        <w:ind w:left="1440" w:hanging="360"/>
      </w:pPr>
      <w:rPr>
        <w:rFonts w:hint="default" w:ascii="Courier New" w:hAnsi="Courier New"/>
      </w:rPr>
    </w:lvl>
    <w:lvl w:ilvl="2" w:tplc="C91A9006">
      <w:start w:val="1"/>
      <w:numFmt w:val="bullet"/>
      <w:lvlText w:val=""/>
      <w:lvlJc w:val="left"/>
      <w:pPr>
        <w:ind w:left="2160" w:hanging="360"/>
      </w:pPr>
      <w:rPr>
        <w:rFonts w:hint="default" w:ascii="Wingdings" w:hAnsi="Wingdings"/>
      </w:rPr>
    </w:lvl>
    <w:lvl w:ilvl="3" w:tplc="A170BA4C">
      <w:start w:val="1"/>
      <w:numFmt w:val="bullet"/>
      <w:lvlText w:val=""/>
      <w:lvlJc w:val="left"/>
      <w:pPr>
        <w:ind w:left="2880" w:hanging="360"/>
      </w:pPr>
      <w:rPr>
        <w:rFonts w:hint="default" w:ascii="Symbol" w:hAnsi="Symbol"/>
      </w:rPr>
    </w:lvl>
    <w:lvl w:ilvl="4" w:tplc="8E40B666">
      <w:start w:val="1"/>
      <w:numFmt w:val="bullet"/>
      <w:lvlText w:val="o"/>
      <w:lvlJc w:val="left"/>
      <w:pPr>
        <w:ind w:left="3600" w:hanging="360"/>
      </w:pPr>
      <w:rPr>
        <w:rFonts w:hint="default" w:ascii="Courier New" w:hAnsi="Courier New"/>
      </w:rPr>
    </w:lvl>
    <w:lvl w:ilvl="5" w:tplc="FE407134">
      <w:start w:val="1"/>
      <w:numFmt w:val="bullet"/>
      <w:lvlText w:val=""/>
      <w:lvlJc w:val="left"/>
      <w:pPr>
        <w:ind w:left="4320" w:hanging="360"/>
      </w:pPr>
      <w:rPr>
        <w:rFonts w:hint="default" w:ascii="Wingdings" w:hAnsi="Wingdings"/>
      </w:rPr>
    </w:lvl>
    <w:lvl w:ilvl="6" w:tplc="60FAEBFE">
      <w:start w:val="1"/>
      <w:numFmt w:val="bullet"/>
      <w:lvlText w:val=""/>
      <w:lvlJc w:val="left"/>
      <w:pPr>
        <w:ind w:left="5040" w:hanging="360"/>
      </w:pPr>
      <w:rPr>
        <w:rFonts w:hint="default" w:ascii="Symbol" w:hAnsi="Symbol"/>
      </w:rPr>
    </w:lvl>
    <w:lvl w:ilvl="7" w:tplc="EE663EA8">
      <w:start w:val="1"/>
      <w:numFmt w:val="bullet"/>
      <w:lvlText w:val="o"/>
      <w:lvlJc w:val="left"/>
      <w:pPr>
        <w:ind w:left="5760" w:hanging="360"/>
      </w:pPr>
      <w:rPr>
        <w:rFonts w:hint="default" w:ascii="Courier New" w:hAnsi="Courier New"/>
      </w:rPr>
    </w:lvl>
    <w:lvl w:ilvl="8" w:tplc="28EC301A">
      <w:start w:val="1"/>
      <w:numFmt w:val="bullet"/>
      <w:lvlText w:val=""/>
      <w:lvlJc w:val="left"/>
      <w:pPr>
        <w:ind w:left="6480" w:hanging="360"/>
      </w:pPr>
      <w:rPr>
        <w:rFonts w:hint="default" w:ascii="Wingdings" w:hAnsi="Wingdings"/>
      </w:rPr>
    </w:lvl>
  </w:abstractNum>
  <w:abstractNum w:abstractNumId="4" w15:restartNumberingAfterBreak="0">
    <w:nsid w:val="1FBE762B"/>
    <w:multiLevelType w:val="hybridMultilevel"/>
    <w:tmpl w:val="FFFFFFFF"/>
    <w:lvl w:ilvl="0" w:tplc="AC8CF354">
      <w:start w:val="1"/>
      <w:numFmt w:val="bullet"/>
      <w:lvlText w:val=""/>
      <w:lvlJc w:val="left"/>
      <w:pPr>
        <w:ind w:left="720" w:hanging="360"/>
      </w:pPr>
      <w:rPr>
        <w:rFonts w:hint="default" w:ascii="Symbol" w:hAnsi="Symbol"/>
      </w:rPr>
    </w:lvl>
    <w:lvl w:ilvl="1" w:tplc="5E3EEB3A">
      <w:start w:val="1"/>
      <w:numFmt w:val="bullet"/>
      <w:lvlText w:val="o"/>
      <w:lvlJc w:val="left"/>
      <w:pPr>
        <w:ind w:left="1440" w:hanging="360"/>
      </w:pPr>
      <w:rPr>
        <w:rFonts w:hint="default" w:ascii="Courier New" w:hAnsi="Courier New"/>
      </w:rPr>
    </w:lvl>
    <w:lvl w:ilvl="2" w:tplc="91F4E274">
      <w:start w:val="1"/>
      <w:numFmt w:val="bullet"/>
      <w:lvlText w:val=""/>
      <w:lvlJc w:val="left"/>
      <w:pPr>
        <w:ind w:left="2160" w:hanging="360"/>
      </w:pPr>
      <w:rPr>
        <w:rFonts w:hint="default" w:ascii="Wingdings" w:hAnsi="Wingdings"/>
      </w:rPr>
    </w:lvl>
    <w:lvl w:ilvl="3" w:tplc="061E1496">
      <w:start w:val="1"/>
      <w:numFmt w:val="bullet"/>
      <w:lvlText w:val=""/>
      <w:lvlJc w:val="left"/>
      <w:pPr>
        <w:ind w:left="2880" w:hanging="360"/>
      </w:pPr>
      <w:rPr>
        <w:rFonts w:hint="default" w:ascii="Symbol" w:hAnsi="Symbol"/>
      </w:rPr>
    </w:lvl>
    <w:lvl w:ilvl="4" w:tplc="34D2CDE6">
      <w:start w:val="1"/>
      <w:numFmt w:val="bullet"/>
      <w:lvlText w:val="o"/>
      <w:lvlJc w:val="left"/>
      <w:pPr>
        <w:ind w:left="3600" w:hanging="360"/>
      </w:pPr>
      <w:rPr>
        <w:rFonts w:hint="default" w:ascii="Courier New" w:hAnsi="Courier New"/>
      </w:rPr>
    </w:lvl>
    <w:lvl w:ilvl="5" w:tplc="799E4084">
      <w:start w:val="1"/>
      <w:numFmt w:val="bullet"/>
      <w:lvlText w:val=""/>
      <w:lvlJc w:val="left"/>
      <w:pPr>
        <w:ind w:left="4320" w:hanging="360"/>
      </w:pPr>
      <w:rPr>
        <w:rFonts w:hint="default" w:ascii="Wingdings" w:hAnsi="Wingdings"/>
      </w:rPr>
    </w:lvl>
    <w:lvl w:ilvl="6" w:tplc="807EC542">
      <w:start w:val="1"/>
      <w:numFmt w:val="bullet"/>
      <w:lvlText w:val=""/>
      <w:lvlJc w:val="left"/>
      <w:pPr>
        <w:ind w:left="5040" w:hanging="360"/>
      </w:pPr>
      <w:rPr>
        <w:rFonts w:hint="default" w:ascii="Symbol" w:hAnsi="Symbol"/>
      </w:rPr>
    </w:lvl>
    <w:lvl w:ilvl="7" w:tplc="0944C3C0">
      <w:start w:val="1"/>
      <w:numFmt w:val="bullet"/>
      <w:lvlText w:val="o"/>
      <w:lvlJc w:val="left"/>
      <w:pPr>
        <w:ind w:left="5760" w:hanging="360"/>
      </w:pPr>
      <w:rPr>
        <w:rFonts w:hint="default" w:ascii="Courier New" w:hAnsi="Courier New"/>
      </w:rPr>
    </w:lvl>
    <w:lvl w:ilvl="8" w:tplc="5726E966">
      <w:start w:val="1"/>
      <w:numFmt w:val="bullet"/>
      <w:lvlText w:val=""/>
      <w:lvlJc w:val="left"/>
      <w:pPr>
        <w:ind w:left="6480" w:hanging="360"/>
      </w:pPr>
      <w:rPr>
        <w:rFonts w:hint="default" w:ascii="Wingdings" w:hAnsi="Wingdings"/>
      </w:rPr>
    </w:lvl>
  </w:abstractNum>
  <w:abstractNum w:abstractNumId="5" w15:restartNumberingAfterBreak="0">
    <w:nsid w:val="314BFEA4"/>
    <w:multiLevelType w:val="hybridMultilevel"/>
    <w:tmpl w:val="FFFFFFFF"/>
    <w:lvl w:ilvl="0" w:tplc="64663D58">
      <w:start w:val="1"/>
      <w:numFmt w:val="bullet"/>
      <w:lvlText w:val=""/>
      <w:lvlJc w:val="left"/>
      <w:pPr>
        <w:ind w:left="720" w:hanging="360"/>
      </w:pPr>
      <w:rPr>
        <w:rFonts w:hint="default" w:ascii="Symbol" w:hAnsi="Symbol"/>
      </w:rPr>
    </w:lvl>
    <w:lvl w:ilvl="1" w:tplc="ABE4D52A">
      <w:start w:val="1"/>
      <w:numFmt w:val="bullet"/>
      <w:lvlText w:val="o"/>
      <w:lvlJc w:val="left"/>
      <w:pPr>
        <w:ind w:left="1440" w:hanging="360"/>
      </w:pPr>
      <w:rPr>
        <w:rFonts w:hint="default" w:ascii="Courier New" w:hAnsi="Courier New"/>
      </w:rPr>
    </w:lvl>
    <w:lvl w:ilvl="2" w:tplc="5554FD98">
      <w:start w:val="1"/>
      <w:numFmt w:val="bullet"/>
      <w:lvlText w:val=""/>
      <w:lvlJc w:val="left"/>
      <w:pPr>
        <w:ind w:left="2160" w:hanging="360"/>
      </w:pPr>
      <w:rPr>
        <w:rFonts w:hint="default" w:ascii="Wingdings" w:hAnsi="Wingdings"/>
      </w:rPr>
    </w:lvl>
    <w:lvl w:ilvl="3" w:tplc="71AE96A8">
      <w:start w:val="1"/>
      <w:numFmt w:val="bullet"/>
      <w:lvlText w:val=""/>
      <w:lvlJc w:val="left"/>
      <w:pPr>
        <w:ind w:left="2880" w:hanging="360"/>
      </w:pPr>
      <w:rPr>
        <w:rFonts w:hint="default" w:ascii="Symbol" w:hAnsi="Symbol"/>
      </w:rPr>
    </w:lvl>
    <w:lvl w:ilvl="4" w:tplc="498E4CD2">
      <w:start w:val="1"/>
      <w:numFmt w:val="bullet"/>
      <w:lvlText w:val="o"/>
      <w:lvlJc w:val="left"/>
      <w:pPr>
        <w:ind w:left="3600" w:hanging="360"/>
      </w:pPr>
      <w:rPr>
        <w:rFonts w:hint="default" w:ascii="Courier New" w:hAnsi="Courier New"/>
      </w:rPr>
    </w:lvl>
    <w:lvl w:ilvl="5" w:tplc="90B8572C">
      <w:start w:val="1"/>
      <w:numFmt w:val="bullet"/>
      <w:lvlText w:val=""/>
      <w:lvlJc w:val="left"/>
      <w:pPr>
        <w:ind w:left="4320" w:hanging="360"/>
      </w:pPr>
      <w:rPr>
        <w:rFonts w:hint="default" w:ascii="Wingdings" w:hAnsi="Wingdings"/>
      </w:rPr>
    </w:lvl>
    <w:lvl w:ilvl="6" w:tplc="C376311E">
      <w:start w:val="1"/>
      <w:numFmt w:val="bullet"/>
      <w:lvlText w:val=""/>
      <w:lvlJc w:val="left"/>
      <w:pPr>
        <w:ind w:left="5040" w:hanging="360"/>
      </w:pPr>
      <w:rPr>
        <w:rFonts w:hint="default" w:ascii="Symbol" w:hAnsi="Symbol"/>
      </w:rPr>
    </w:lvl>
    <w:lvl w:ilvl="7" w:tplc="BE80C6D0">
      <w:start w:val="1"/>
      <w:numFmt w:val="bullet"/>
      <w:lvlText w:val="o"/>
      <w:lvlJc w:val="left"/>
      <w:pPr>
        <w:ind w:left="5760" w:hanging="360"/>
      </w:pPr>
      <w:rPr>
        <w:rFonts w:hint="default" w:ascii="Courier New" w:hAnsi="Courier New"/>
      </w:rPr>
    </w:lvl>
    <w:lvl w:ilvl="8" w:tplc="B3D47058">
      <w:start w:val="1"/>
      <w:numFmt w:val="bullet"/>
      <w:lvlText w:val=""/>
      <w:lvlJc w:val="left"/>
      <w:pPr>
        <w:ind w:left="6480" w:hanging="360"/>
      </w:pPr>
      <w:rPr>
        <w:rFonts w:hint="default" w:ascii="Wingdings" w:hAnsi="Wingdings"/>
      </w:rPr>
    </w:lvl>
  </w:abstractNum>
  <w:abstractNum w:abstractNumId="6" w15:restartNumberingAfterBreak="0">
    <w:nsid w:val="3DB77D48"/>
    <w:multiLevelType w:val="hybridMultilevel"/>
    <w:tmpl w:val="FFFFFFFF"/>
    <w:lvl w:ilvl="0" w:tplc="951A8FE4">
      <w:start w:val="1"/>
      <w:numFmt w:val="bullet"/>
      <w:lvlText w:val=""/>
      <w:lvlJc w:val="left"/>
      <w:pPr>
        <w:ind w:left="720" w:hanging="360"/>
      </w:pPr>
      <w:rPr>
        <w:rFonts w:hint="default" w:ascii="Symbol" w:hAnsi="Symbol"/>
      </w:rPr>
    </w:lvl>
    <w:lvl w:ilvl="1" w:tplc="890E873C">
      <w:start w:val="1"/>
      <w:numFmt w:val="bullet"/>
      <w:lvlText w:val="o"/>
      <w:lvlJc w:val="left"/>
      <w:pPr>
        <w:ind w:left="1440" w:hanging="360"/>
      </w:pPr>
      <w:rPr>
        <w:rFonts w:hint="default" w:ascii="Courier New" w:hAnsi="Courier New"/>
      </w:rPr>
    </w:lvl>
    <w:lvl w:ilvl="2" w:tplc="82881184">
      <w:start w:val="1"/>
      <w:numFmt w:val="bullet"/>
      <w:lvlText w:val=""/>
      <w:lvlJc w:val="left"/>
      <w:pPr>
        <w:ind w:left="2160" w:hanging="360"/>
      </w:pPr>
      <w:rPr>
        <w:rFonts w:hint="default" w:ascii="Wingdings" w:hAnsi="Wingdings"/>
      </w:rPr>
    </w:lvl>
    <w:lvl w:ilvl="3" w:tplc="5994048E">
      <w:start w:val="1"/>
      <w:numFmt w:val="bullet"/>
      <w:lvlText w:val=""/>
      <w:lvlJc w:val="left"/>
      <w:pPr>
        <w:ind w:left="2880" w:hanging="360"/>
      </w:pPr>
      <w:rPr>
        <w:rFonts w:hint="default" w:ascii="Symbol" w:hAnsi="Symbol"/>
      </w:rPr>
    </w:lvl>
    <w:lvl w:ilvl="4" w:tplc="29ECD172">
      <w:start w:val="1"/>
      <w:numFmt w:val="bullet"/>
      <w:lvlText w:val="o"/>
      <w:lvlJc w:val="left"/>
      <w:pPr>
        <w:ind w:left="3600" w:hanging="360"/>
      </w:pPr>
      <w:rPr>
        <w:rFonts w:hint="default" w:ascii="Courier New" w:hAnsi="Courier New"/>
      </w:rPr>
    </w:lvl>
    <w:lvl w:ilvl="5" w:tplc="C114BD22">
      <w:start w:val="1"/>
      <w:numFmt w:val="bullet"/>
      <w:lvlText w:val=""/>
      <w:lvlJc w:val="left"/>
      <w:pPr>
        <w:ind w:left="4320" w:hanging="360"/>
      </w:pPr>
      <w:rPr>
        <w:rFonts w:hint="default" w:ascii="Wingdings" w:hAnsi="Wingdings"/>
      </w:rPr>
    </w:lvl>
    <w:lvl w:ilvl="6" w:tplc="48FECA8C">
      <w:start w:val="1"/>
      <w:numFmt w:val="bullet"/>
      <w:lvlText w:val=""/>
      <w:lvlJc w:val="left"/>
      <w:pPr>
        <w:ind w:left="5040" w:hanging="360"/>
      </w:pPr>
      <w:rPr>
        <w:rFonts w:hint="default" w:ascii="Symbol" w:hAnsi="Symbol"/>
      </w:rPr>
    </w:lvl>
    <w:lvl w:ilvl="7" w:tplc="F8B279D8">
      <w:start w:val="1"/>
      <w:numFmt w:val="bullet"/>
      <w:lvlText w:val="o"/>
      <w:lvlJc w:val="left"/>
      <w:pPr>
        <w:ind w:left="5760" w:hanging="360"/>
      </w:pPr>
      <w:rPr>
        <w:rFonts w:hint="default" w:ascii="Courier New" w:hAnsi="Courier New"/>
      </w:rPr>
    </w:lvl>
    <w:lvl w:ilvl="8" w:tplc="B712AA8E">
      <w:start w:val="1"/>
      <w:numFmt w:val="bullet"/>
      <w:lvlText w:val=""/>
      <w:lvlJc w:val="left"/>
      <w:pPr>
        <w:ind w:left="6480" w:hanging="360"/>
      </w:pPr>
      <w:rPr>
        <w:rFonts w:hint="default" w:ascii="Wingdings" w:hAnsi="Wingdings"/>
      </w:rPr>
    </w:lvl>
  </w:abstractNum>
  <w:abstractNum w:abstractNumId="7" w15:restartNumberingAfterBreak="0">
    <w:nsid w:val="52257307"/>
    <w:multiLevelType w:val="hybridMultilevel"/>
    <w:tmpl w:val="FFFFFFFF"/>
    <w:lvl w:ilvl="0" w:tplc="815AB9A4">
      <w:start w:val="1"/>
      <w:numFmt w:val="bullet"/>
      <w:lvlText w:val=""/>
      <w:lvlJc w:val="left"/>
      <w:pPr>
        <w:ind w:left="720" w:hanging="360"/>
      </w:pPr>
      <w:rPr>
        <w:rFonts w:hint="default" w:ascii="Symbol" w:hAnsi="Symbol"/>
      </w:rPr>
    </w:lvl>
    <w:lvl w:ilvl="1" w:tplc="5B44CA1E">
      <w:start w:val="1"/>
      <w:numFmt w:val="bullet"/>
      <w:lvlText w:val="o"/>
      <w:lvlJc w:val="left"/>
      <w:pPr>
        <w:ind w:left="1440" w:hanging="360"/>
      </w:pPr>
      <w:rPr>
        <w:rFonts w:hint="default" w:ascii="Courier New" w:hAnsi="Courier New"/>
      </w:rPr>
    </w:lvl>
    <w:lvl w:ilvl="2" w:tplc="8F7E4168">
      <w:start w:val="1"/>
      <w:numFmt w:val="bullet"/>
      <w:lvlText w:val=""/>
      <w:lvlJc w:val="left"/>
      <w:pPr>
        <w:ind w:left="2160" w:hanging="360"/>
      </w:pPr>
      <w:rPr>
        <w:rFonts w:hint="default" w:ascii="Wingdings" w:hAnsi="Wingdings"/>
      </w:rPr>
    </w:lvl>
    <w:lvl w:ilvl="3" w:tplc="A14A3520">
      <w:start w:val="1"/>
      <w:numFmt w:val="bullet"/>
      <w:lvlText w:val=""/>
      <w:lvlJc w:val="left"/>
      <w:pPr>
        <w:ind w:left="2880" w:hanging="360"/>
      </w:pPr>
      <w:rPr>
        <w:rFonts w:hint="default" w:ascii="Symbol" w:hAnsi="Symbol"/>
      </w:rPr>
    </w:lvl>
    <w:lvl w:ilvl="4" w:tplc="73F01746">
      <w:start w:val="1"/>
      <w:numFmt w:val="bullet"/>
      <w:lvlText w:val="o"/>
      <w:lvlJc w:val="left"/>
      <w:pPr>
        <w:ind w:left="3600" w:hanging="360"/>
      </w:pPr>
      <w:rPr>
        <w:rFonts w:hint="default" w:ascii="Courier New" w:hAnsi="Courier New"/>
      </w:rPr>
    </w:lvl>
    <w:lvl w:ilvl="5" w:tplc="40E2787E">
      <w:start w:val="1"/>
      <w:numFmt w:val="bullet"/>
      <w:lvlText w:val=""/>
      <w:lvlJc w:val="left"/>
      <w:pPr>
        <w:ind w:left="4320" w:hanging="360"/>
      </w:pPr>
      <w:rPr>
        <w:rFonts w:hint="default" w:ascii="Wingdings" w:hAnsi="Wingdings"/>
      </w:rPr>
    </w:lvl>
    <w:lvl w:ilvl="6" w:tplc="19DEC7C4">
      <w:start w:val="1"/>
      <w:numFmt w:val="bullet"/>
      <w:lvlText w:val=""/>
      <w:lvlJc w:val="left"/>
      <w:pPr>
        <w:ind w:left="5040" w:hanging="360"/>
      </w:pPr>
      <w:rPr>
        <w:rFonts w:hint="default" w:ascii="Symbol" w:hAnsi="Symbol"/>
      </w:rPr>
    </w:lvl>
    <w:lvl w:ilvl="7" w:tplc="3878C2B2">
      <w:start w:val="1"/>
      <w:numFmt w:val="bullet"/>
      <w:lvlText w:val="o"/>
      <w:lvlJc w:val="left"/>
      <w:pPr>
        <w:ind w:left="5760" w:hanging="360"/>
      </w:pPr>
      <w:rPr>
        <w:rFonts w:hint="default" w:ascii="Courier New" w:hAnsi="Courier New"/>
      </w:rPr>
    </w:lvl>
    <w:lvl w:ilvl="8" w:tplc="D7626008">
      <w:start w:val="1"/>
      <w:numFmt w:val="bullet"/>
      <w:lvlText w:val=""/>
      <w:lvlJc w:val="left"/>
      <w:pPr>
        <w:ind w:left="6480" w:hanging="360"/>
      </w:pPr>
      <w:rPr>
        <w:rFonts w:hint="default" w:ascii="Wingdings" w:hAnsi="Wingdings"/>
      </w:rPr>
    </w:lvl>
  </w:abstractNum>
  <w:abstractNum w:abstractNumId="8" w15:restartNumberingAfterBreak="0">
    <w:nsid w:val="5535B9D3"/>
    <w:multiLevelType w:val="hybridMultilevel"/>
    <w:tmpl w:val="FFFFFFFF"/>
    <w:lvl w:ilvl="0" w:tplc="2346BB92">
      <w:start w:val="1"/>
      <w:numFmt w:val="bullet"/>
      <w:lvlText w:val=""/>
      <w:lvlJc w:val="left"/>
      <w:pPr>
        <w:ind w:left="720" w:hanging="360"/>
      </w:pPr>
      <w:rPr>
        <w:rFonts w:hint="default" w:ascii="Symbol" w:hAnsi="Symbol"/>
      </w:rPr>
    </w:lvl>
    <w:lvl w:ilvl="1" w:tplc="4880CF62">
      <w:start w:val="1"/>
      <w:numFmt w:val="bullet"/>
      <w:lvlText w:val="o"/>
      <w:lvlJc w:val="left"/>
      <w:pPr>
        <w:ind w:left="1440" w:hanging="360"/>
      </w:pPr>
      <w:rPr>
        <w:rFonts w:hint="default" w:ascii="Courier New" w:hAnsi="Courier New"/>
      </w:rPr>
    </w:lvl>
    <w:lvl w:ilvl="2" w:tplc="95D814AE">
      <w:start w:val="1"/>
      <w:numFmt w:val="bullet"/>
      <w:lvlText w:val=""/>
      <w:lvlJc w:val="left"/>
      <w:pPr>
        <w:ind w:left="2160" w:hanging="360"/>
      </w:pPr>
      <w:rPr>
        <w:rFonts w:hint="default" w:ascii="Wingdings" w:hAnsi="Wingdings"/>
      </w:rPr>
    </w:lvl>
    <w:lvl w:ilvl="3" w:tplc="A8925758">
      <w:start w:val="1"/>
      <w:numFmt w:val="bullet"/>
      <w:lvlText w:val=""/>
      <w:lvlJc w:val="left"/>
      <w:pPr>
        <w:ind w:left="2880" w:hanging="360"/>
      </w:pPr>
      <w:rPr>
        <w:rFonts w:hint="default" w:ascii="Symbol" w:hAnsi="Symbol"/>
      </w:rPr>
    </w:lvl>
    <w:lvl w:ilvl="4" w:tplc="4BEE6230">
      <w:start w:val="1"/>
      <w:numFmt w:val="bullet"/>
      <w:lvlText w:val="o"/>
      <w:lvlJc w:val="left"/>
      <w:pPr>
        <w:ind w:left="3600" w:hanging="360"/>
      </w:pPr>
      <w:rPr>
        <w:rFonts w:hint="default" w:ascii="Courier New" w:hAnsi="Courier New"/>
      </w:rPr>
    </w:lvl>
    <w:lvl w:ilvl="5" w:tplc="4E662938">
      <w:start w:val="1"/>
      <w:numFmt w:val="bullet"/>
      <w:lvlText w:val=""/>
      <w:lvlJc w:val="left"/>
      <w:pPr>
        <w:ind w:left="4320" w:hanging="360"/>
      </w:pPr>
      <w:rPr>
        <w:rFonts w:hint="default" w:ascii="Wingdings" w:hAnsi="Wingdings"/>
      </w:rPr>
    </w:lvl>
    <w:lvl w:ilvl="6" w:tplc="A62C7E70">
      <w:start w:val="1"/>
      <w:numFmt w:val="bullet"/>
      <w:lvlText w:val=""/>
      <w:lvlJc w:val="left"/>
      <w:pPr>
        <w:ind w:left="5040" w:hanging="360"/>
      </w:pPr>
      <w:rPr>
        <w:rFonts w:hint="default" w:ascii="Symbol" w:hAnsi="Symbol"/>
      </w:rPr>
    </w:lvl>
    <w:lvl w:ilvl="7" w:tplc="EC6A2E16">
      <w:start w:val="1"/>
      <w:numFmt w:val="bullet"/>
      <w:lvlText w:val="o"/>
      <w:lvlJc w:val="left"/>
      <w:pPr>
        <w:ind w:left="5760" w:hanging="360"/>
      </w:pPr>
      <w:rPr>
        <w:rFonts w:hint="default" w:ascii="Courier New" w:hAnsi="Courier New"/>
      </w:rPr>
    </w:lvl>
    <w:lvl w:ilvl="8" w:tplc="8306F4BA">
      <w:start w:val="1"/>
      <w:numFmt w:val="bullet"/>
      <w:lvlText w:val=""/>
      <w:lvlJc w:val="left"/>
      <w:pPr>
        <w:ind w:left="6480" w:hanging="360"/>
      </w:pPr>
      <w:rPr>
        <w:rFonts w:hint="default" w:ascii="Wingdings" w:hAnsi="Wingdings"/>
      </w:rPr>
    </w:lvl>
  </w:abstractNum>
  <w:abstractNum w:abstractNumId="9" w15:restartNumberingAfterBreak="0">
    <w:nsid w:val="58873C39"/>
    <w:multiLevelType w:val="hybridMultilevel"/>
    <w:tmpl w:val="FFFFFFFF"/>
    <w:lvl w:ilvl="0" w:tplc="1A349A4E">
      <w:start w:val="1"/>
      <w:numFmt w:val="bullet"/>
      <w:lvlText w:val=""/>
      <w:lvlJc w:val="left"/>
      <w:pPr>
        <w:ind w:left="720" w:hanging="360"/>
      </w:pPr>
      <w:rPr>
        <w:rFonts w:hint="default" w:ascii="Symbol" w:hAnsi="Symbol"/>
      </w:rPr>
    </w:lvl>
    <w:lvl w:ilvl="1" w:tplc="282C7B58">
      <w:start w:val="1"/>
      <w:numFmt w:val="bullet"/>
      <w:lvlText w:val="o"/>
      <w:lvlJc w:val="left"/>
      <w:pPr>
        <w:ind w:left="1440" w:hanging="360"/>
      </w:pPr>
      <w:rPr>
        <w:rFonts w:hint="default" w:ascii="Courier New" w:hAnsi="Courier New"/>
      </w:rPr>
    </w:lvl>
    <w:lvl w:ilvl="2" w:tplc="763A010E">
      <w:start w:val="1"/>
      <w:numFmt w:val="bullet"/>
      <w:lvlText w:val=""/>
      <w:lvlJc w:val="left"/>
      <w:pPr>
        <w:ind w:left="2160" w:hanging="360"/>
      </w:pPr>
      <w:rPr>
        <w:rFonts w:hint="default" w:ascii="Wingdings" w:hAnsi="Wingdings"/>
      </w:rPr>
    </w:lvl>
    <w:lvl w:ilvl="3" w:tplc="D5745D62">
      <w:start w:val="1"/>
      <w:numFmt w:val="bullet"/>
      <w:lvlText w:val=""/>
      <w:lvlJc w:val="left"/>
      <w:pPr>
        <w:ind w:left="2880" w:hanging="360"/>
      </w:pPr>
      <w:rPr>
        <w:rFonts w:hint="default" w:ascii="Symbol" w:hAnsi="Symbol"/>
      </w:rPr>
    </w:lvl>
    <w:lvl w:ilvl="4" w:tplc="072471C2">
      <w:start w:val="1"/>
      <w:numFmt w:val="bullet"/>
      <w:lvlText w:val="o"/>
      <w:lvlJc w:val="left"/>
      <w:pPr>
        <w:ind w:left="3600" w:hanging="360"/>
      </w:pPr>
      <w:rPr>
        <w:rFonts w:hint="default" w:ascii="Courier New" w:hAnsi="Courier New"/>
      </w:rPr>
    </w:lvl>
    <w:lvl w:ilvl="5" w:tplc="90B292FC">
      <w:start w:val="1"/>
      <w:numFmt w:val="bullet"/>
      <w:lvlText w:val=""/>
      <w:lvlJc w:val="left"/>
      <w:pPr>
        <w:ind w:left="4320" w:hanging="360"/>
      </w:pPr>
      <w:rPr>
        <w:rFonts w:hint="default" w:ascii="Wingdings" w:hAnsi="Wingdings"/>
      </w:rPr>
    </w:lvl>
    <w:lvl w:ilvl="6" w:tplc="3AA2DD04">
      <w:start w:val="1"/>
      <w:numFmt w:val="bullet"/>
      <w:lvlText w:val=""/>
      <w:lvlJc w:val="left"/>
      <w:pPr>
        <w:ind w:left="5040" w:hanging="360"/>
      </w:pPr>
      <w:rPr>
        <w:rFonts w:hint="default" w:ascii="Symbol" w:hAnsi="Symbol"/>
      </w:rPr>
    </w:lvl>
    <w:lvl w:ilvl="7" w:tplc="5FA6C8D6">
      <w:start w:val="1"/>
      <w:numFmt w:val="bullet"/>
      <w:lvlText w:val="o"/>
      <w:lvlJc w:val="left"/>
      <w:pPr>
        <w:ind w:left="5760" w:hanging="360"/>
      </w:pPr>
      <w:rPr>
        <w:rFonts w:hint="default" w:ascii="Courier New" w:hAnsi="Courier New"/>
      </w:rPr>
    </w:lvl>
    <w:lvl w:ilvl="8" w:tplc="58705618">
      <w:start w:val="1"/>
      <w:numFmt w:val="bullet"/>
      <w:lvlText w:val=""/>
      <w:lvlJc w:val="left"/>
      <w:pPr>
        <w:ind w:left="6480" w:hanging="360"/>
      </w:pPr>
      <w:rPr>
        <w:rFonts w:hint="default" w:ascii="Wingdings" w:hAnsi="Wingdings"/>
      </w:rPr>
    </w:lvl>
  </w:abstractNum>
  <w:abstractNum w:abstractNumId="10" w15:restartNumberingAfterBreak="0">
    <w:nsid w:val="6C504747"/>
    <w:multiLevelType w:val="hybridMultilevel"/>
    <w:tmpl w:val="FFFFFFFF"/>
    <w:lvl w:ilvl="0" w:tplc="1422CDF0">
      <w:start w:val="1"/>
      <w:numFmt w:val="bullet"/>
      <w:lvlText w:val=""/>
      <w:lvlJc w:val="left"/>
      <w:pPr>
        <w:ind w:left="720" w:hanging="360"/>
      </w:pPr>
      <w:rPr>
        <w:rFonts w:hint="default" w:ascii="Symbol" w:hAnsi="Symbol"/>
      </w:rPr>
    </w:lvl>
    <w:lvl w:ilvl="1" w:tplc="FFCE2AB0">
      <w:start w:val="1"/>
      <w:numFmt w:val="bullet"/>
      <w:lvlText w:val="o"/>
      <w:lvlJc w:val="left"/>
      <w:pPr>
        <w:ind w:left="1440" w:hanging="360"/>
      </w:pPr>
      <w:rPr>
        <w:rFonts w:hint="default" w:ascii="Courier New" w:hAnsi="Courier New"/>
      </w:rPr>
    </w:lvl>
    <w:lvl w:ilvl="2" w:tplc="F122287C">
      <w:start w:val="1"/>
      <w:numFmt w:val="bullet"/>
      <w:lvlText w:val=""/>
      <w:lvlJc w:val="left"/>
      <w:pPr>
        <w:ind w:left="2160" w:hanging="360"/>
      </w:pPr>
      <w:rPr>
        <w:rFonts w:hint="default" w:ascii="Wingdings" w:hAnsi="Wingdings"/>
      </w:rPr>
    </w:lvl>
    <w:lvl w:ilvl="3" w:tplc="7834C654">
      <w:start w:val="1"/>
      <w:numFmt w:val="bullet"/>
      <w:lvlText w:val=""/>
      <w:lvlJc w:val="left"/>
      <w:pPr>
        <w:ind w:left="2880" w:hanging="360"/>
      </w:pPr>
      <w:rPr>
        <w:rFonts w:hint="default" w:ascii="Symbol" w:hAnsi="Symbol"/>
      </w:rPr>
    </w:lvl>
    <w:lvl w:ilvl="4" w:tplc="1676F3EA">
      <w:start w:val="1"/>
      <w:numFmt w:val="bullet"/>
      <w:lvlText w:val="o"/>
      <w:lvlJc w:val="left"/>
      <w:pPr>
        <w:ind w:left="3600" w:hanging="360"/>
      </w:pPr>
      <w:rPr>
        <w:rFonts w:hint="default" w:ascii="Courier New" w:hAnsi="Courier New"/>
      </w:rPr>
    </w:lvl>
    <w:lvl w:ilvl="5" w:tplc="E8AEF278">
      <w:start w:val="1"/>
      <w:numFmt w:val="bullet"/>
      <w:lvlText w:val=""/>
      <w:lvlJc w:val="left"/>
      <w:pPr>
        <w:ind w:left="4320" w:hanging="360"/>
      </w:pPr>
      <w:rPr>
        <w:rFonts w:hint="default" w:ascii="Wingdings" w:hAnsi="Wingdings"/>
      </w:rPr>
    </w:lvl>
    <w:lvl w:ilvl="6" w:tplc="8BFEF41A">
      <w:start w:val="1"/>
      <w:numFmt w:val="bullet"/>
      <w:lvlText w:val=""/>
      <w:lvlJc w:val="left"/>
      <w:pPr>
        <w:ind w:left="5040" w:hanging="360"/>
      </w:pPr>
      <w:rPr>
        <w:rFonts w:hint="default" w:ascii="Symbol" w:hAnsi="Symbol"/>
      </w:rPr>
    </w:lvl>
    <w:lvl w:ilvl="7" w:tplc="3AB227C0">
      <w:start w:val="1"/>
      <w:numFmt w:val="bullet"/>
      <w:lvlText w:val="o"/>
      <w:lvlJc w:val="left"/>
      <w:pPr>
        <w:ind w:left="5760" w:hanging="360"/>
      </w:pPr>
      <w:rPr>
        <w:rFonts w:hint="default" w:ascii="Courier New" w:hAnsi="Courier New"/>
      </w:rPr>
    </w:lvl>
    <w:lvl w:ilvl="8" w:tplc="384AE81C">
      <w:start w:val="1"/>
      <w:numFmt w:val="bullet"/>
      <w:lvlText w:val=""/>
      <w:lvlJc w:val="left"/>
      <w:pPr>
        <w:ind w:left="6480" w:hanging="360"/>
      </w:pPr>
      <w:rPr>
        <w:rFonts w:hint="default" w:ascii="Wingdings" w:hAnsi="Wingdings"/>
      </w:rPr>
    </w:lvl>
  </w:abstractNum>
  <w:num w:numId="1" w16cid:durableId="117457648">
    <w:abstractNumId w:val="0"/>
  </w:num>
  <w:num w:numId="2" w16cid:durableId="799998526">
    <w:abstractNumId w:val="4"/>
  </w:num>
  <w:num w:numId="3" w16cid:durableId="1590770620">
    <w:abstractNumId w:val="7"/>
  </w:num>
  <w:num w:numId="4" w16cid:durableId="1796559829">
    <w:abstractNumId w:val="5"/>
  </w:num>
  <w:num w:numId="5" w16cid:durableId="1141078614">
    <w:abstractNumId w:val="2"/>
  </w:num>
  <w:num w:numId="6" w16cid:durableId="1127316607">
    <w:abstractNumId w:val="3"/>
  </w:num>
  <w:num w:numId="7" w16cid:durableId="1178616796">
    <w:abstractNumId w:val="10"/>
  </w:num>
  <w:num w:numId="8" w16cid:durableId="797265241">
    <w:abstractNumId w:val="1"/>
  </w:num>
  <w:num w:numId="9" w16cid:durableId="2005745131">
    <w:abstractNumId w:val="9"/>
  </w:num>
  <w:num w:numId="10" w16cid:durableId="1016466944">
    <w:abstractNumId w:val="8"/>
  </w:num>
  <w:num w:numId="11" w16cid:durableId="146500374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7ADEF11"/>
    <w:rsid w:val="00005538"/>
    <w:rsid w:val="000092B2"/>
    <w:rsid w:val="000344B3"/>
    <w:rsid w:val="000A5158"/>
    <w:rsid w:val="000E2DAE"/>
    <w:rsid w:val="000F3B1F"/>
    <w:rsid w:val="00146436"/>
    <w:rsid w:val="001A7895"/>
    <w:rsid w:val="001F15FB"/>
    <w:rsid w:val="00250FAC"/>
    <w:rsid w:val="00283A3A"/>
    <w:rsid w:val="002EA587"/>
    <w:rsid w:val="003D1D94"/>
    <w:rsid w:val="00417C39"/>
    <w:rsid w:val="004B5FEB"/>
    <w:rsid w:val="004C222E"/>
    <w:rsid w:val="00562D0F"/>
    <w:rsid w:val="008244C8"/>
    <w:rsid w:val="009B0383"/>
    <w:rsid w:val="009D3F54"/>
    <w:rsid w:val="00BBE875"/>
    <w:rsid w:val="00C024B2"/>
    <w:rsid w:val="00C0477C"/>
    <w:rsid w:val="00C61B22"/>
    <w:rsid w:val="00CB4540"/>
    <w:rsid w:val="00D0B46D"/>
    <w:rsid w:val="00E10E70"/>
    <w:rsid w:val="00E71C79"/>
    <w:rsid w:val="00F11082"/>
    <w:rsid w:val="00F7A654"/>
    <w:rsid w:val="01193737"/>
    <w:rsid w:val="0159E25F"/>
    <w:rsid w:val="01817CA3"/>
    <w:rsid w:val="01C8D9FC"/>
    <w:rsid w:val="02322E0C"/>
    <w:rsid w:val="02511E01"/>
    <w:rsid w:val="0290943D"/>
    <w:rsid w:val="02FD5976"/>
    <w:rsid w:val="034BA486"/>
    <w:rsid w:val="0389DA20"/>
    <w:rsid w:val="0398C998"/>
    <w:rsid w:val="03CDA940"/>
    <w:rsid w:val="03D53A11"/>
    <w:rsid w:val="04262DCD"/>
    <w:rsid w:val="043966CF"/>
    <w:rsid w:val="04AAABF2"/>
    <w:rsid w:val="04BF6E76"/>
    <w:rsid w:val="04E8984A"/>
    <w:rsid w:val="04EC1944"/>
    <w:rsid w:val="05122103"/>
    <w:rsid w:val="05195C17"/>
    <w:rsid w:val="05267AED"/>
    <w:rsid w:val="0552417B"/>
    <w:rsid w:val="0560C1F0"/>
    <w:rsid w:val="056A897B"/>
    <w:rsid w:val="0578DF92"/>
    <w:rsid w:val="05AE1B3B"/>
    <w:rsid w:val="06B0D02D"/>
    <w:rsid w:val="06BA13AB"/>
    <w:rsid w:val="086629A5"/>
    <w:rsid w:val="09459C7B"/>
    <w:rsid w:val="09981B74"/>
    <w:rsid w:val="09A7FC5F"/>
    <w:rsid w:val="09AF62E9"/>
    <w:rsid w:val="09FD216B"/>
    <w:rsid w:val="0A2D1C6E"/>
    <w:rsid w:val="0A2E53BE"/>
    <w:rsid w:val="0A47BB13"/>
    <w:rsid w:val="0A6ADCA6"/>
    <w:rsid w:val="0A82E5E3"/>
    <w:rsid w:val="0AD135A1"/>
    <w:rsid w:val="0AF882A6"/>
    <w:rsid w:val="0B42A69D"/>
    <w:rsid w:val="0BB6C672"/>
    <w:rsid w:val="0C1BEC8E"/>
    <w:rsid w:val="0C220BB4"/>
    <w:rsid w:val="0C22F5C6"/>
    <w:rsid w:val="0CD9006F"/>
    <w:rsid w:val="0CEE9A94"/>
    <w:rsid w:val="0D3547E8"/>
    <w:rsid w:val="0D8E74E4"/>
    <w:rsid w:val="0DE0DCA8"/>
    <w:rsid w:val="0DF87E99"/>
    <w:rsid w:val="0E20E135"/>
    <w:rsid w:val="0E4E0D05"/>
    <w:rsid w:val="0E4FA113"/>
    <w:rsid w:val="0EE12C27"/>
    <w:rsid w:val="0EF4C525"/>
    <w:rsid w:val="0F206C8D"/>
    <w:rsid w:val="0FBE9A83"/>
    <w:rsid w:val="0FF05385"/>
    <w:rsid w:val="100701A4"/>
    <w:rsid w:val="101137FD"/>
    <w:rsid w:val="10354162"/>
    <w:rsid w:val="10CBE550"/>
    <w:rsid w:val="11175A99"/>
    <w:rsid w:val="111AFC91"/>
    <w:rsid w:val="111F7FD4"/>
    <w:rsid w:val="11466211"/>
    <w:rsid w:val="11843AEC"/>
    <w:rsid w:val="118DE4CD"/>
    <w:rsid w:val="119BE661"/>
    <w:rsid w:val="11DEF0BF"/>
    <w:rsid w:val="1231F55F"/>
    <w:rsid w:val="1239F582"/>
    <w:rsid w:val="12702081"/>
    <w:rsid w:val="1270B7B2"/>
    <w:rsid w:val="1278DB7A"/>
    <w:rsid w:val="127C4B41"/>
    <w:rsid w:val="127F5525"/>
    <w:rsid w:val="12AC8BD0"/>
    <w:rsid w:val="12F177E9"/>
    <w:rsid w:val="13255AB0"/>
    <w:rsid w:val="13370D84"/>
    <w:rsid w:val="134517FF"/>
    <w:rsid w:val="13535E3D"/>
    <w:rsid w:val="1360AE31"/>
    <w:rsid w:val="14039DA4"/>
    <w:rsid w:val="1417D3E8"/>
    <w:rsid w:val="14503DFB"/>
    <w:rsid w:val="1460EDEC"/>
    <w:rsid w:val="14882C6A"/>
    <w:rsid w:val="14939477"/>
    <w:rsid w:val="14AB5155"/>
    <w:rsid w:val="14AD6212"/>
    <w:rsid w:val="1501CF7B"/>
    <w:rsid w:val="151D44F6"/>
    <w:rsid w:val="1525192E"/>
    <w:rsid w:val="1561436A"/>
    <w:rsid w:val="15B6AD4D"/>
    <w:rsid w:val="15BDFF72"/>
    <w:rsid w:val="15D1C2F5"/>
    <w:rsid w:val="15D8D4BD"/>
    <w:rsid w:val="1627E1E7"/>
    <w:rsid w:val="164CEA83"/>
    <w:rsid w:val="1652A6F3"/>
    <w:rsid w:val="1667084D"/>
    <w:rsid w:val="16C18A00"/>
    <w:rsid w:val="16C6125D"/>
    <w:rsid w:val="16EA949B"/>
    <w:rsid w:val="16FD0D54"/>
    <w:rsid w:val="17014A05"/>
    <w:rsid w:val="170D4E04"/>
    <w:rsid w:val="178FFD6D"/>
    <w:rsid w:val="187296E6"/>
    <w:rsid w:val="1892A732"/>
    <w:rsid w:val="18999377"/>
    <w:rsid w:val="18C566EF"/>
    <w:rsid w:val="19563F9F"/>
    <w:rsid w:val="197D3BAA"/>
    <w:rsid w:val="19B563ED"/>
    <w:rsid w:val="19E19892"/>
    <w:rsid w:val="19F189FD"/>
    <w:rsid w:val="1A24DB9D"/>
    <w:rsid w:val="1A2FB924"/>
    <w:rsid w:val="1A6EB17A"/>
    <w:rsid w:val="1A9E0AF5"/>
    <w:rsid w:val="1ADD2556"/>
    <w:rsid w:val="1AEACEC1"/>
    <w:rsid w:val="1AFD4308"/>
    <w:rsid w:val="1B0D7556"/>
    <w:rsid w:val="1B343BA0"/>
    <w:rsid w:val="1B42C0BC"/>
    <w:rsid w:val="1B6998F6"/>
    <w:rsid w:val="1B6D6B61"/>
    <w:rsid w:val="1BB8B1D5"/>
    <w:rsid w:val="1BEA25B7"/>
    <w:rsid w:val="1C0A51CE"/>
    <w:rsid w:val="1C63F6D4"/>
    <w:rsid w:val="1CAC7069"/>
    <w:rsid w:val="1CF45A65"/>
    <w:rsid w:val="1D33AE8F"/>
    <w:rsid w:val="1D497135"/>
    <w:rsid w:val="1D5A9CF0"/>
    <w:rsid w:val="1D84D239"/>
    <w:rsid w:val="1D867604"/>
    <w:rsid w:val="1DAA2D86"/>
    <w:rsid w:val="1DDFD799"/>
    <w:rsid w:val="1E32A419"/>
    <w:rsid w:val="1E538EA5"/>
    <w:rsid w:val="1E84177E"/>
    <w:rsid w:val="1E8521A2"/>
    <w:rsid w:val="1EB3B80C"/>
    <w:rsid w:val="1EC437A3"/>
    <w:rsid w:val="1ED73216"/>
    <w:rsid w:val="1F8DD162"/>
    <w:rsid w:val="1FBEA330"/>
    <w:rsid w:val="1FE27D94"/>
    <w:rsid w:val="20458519"/>
    <w:rsid w:val="20AFDDC5"/>
    <w:rsid w:val="20E7957A"/>
    <w:rsid w:val="21FF2622"/>
    <w:rsid w:val="223F6686"/>
    <w:rsid w:val="224FB256"/>
    <w:rsid w:val="22ECACC8"/>
    <w:rsid w:val="2323BD62"/>
    <w:rsid w:val="23331C6C"/>
    <w:rsid w:val="23AE077B"/>
    <w:rsid w:val="23BC9B81"/>
    <w:rsid w:val="23F4ED90"/>
    <w:rsid w:val="2403099B"/>
    <w:rsid w:val="24882C14"/>
    <w:rsid w:val="25176C98"/>
    <w:rsid w:val="25378EFB"/>
    <w:rsid w:val="253BC7F1"/>
    <w:rsid w:val="25CFB2A8"/>
    <w:rsid w:val="2632DDB6"/>
    <w:rsid w:val="2636374B"/>
    <w:rsid w:val="2663CDAD"/>
    <w:rsid w:val="267023E6"/>
    <w:rsid w:val="26771077"/>
    <w:rsid w:val="26921D84"/>
    <w:rsid w:val="26C21A30"/>
    <w:rsid w:val="26F42501"/>
    <w:rsid w:val="27070BFC"/>
    <w:rsid w:val="272F2D47"/>
    <w:rsid w:val="27418364"/>
    <w:rsid w:val="2744B5DB"/>
    <w:rsid w:val="2763EFE9"/>
    <w:rsid w:val="27867F70"/>
    <w:rsid w:val="288AFCFA"/>
    <w:rsid w:val="28A66E5E"/>
    <w:rsid w:val="28AB0EEB"/>
    <w:rsid w:val="28E12558"/>
    <w:rsid w:val="290BBAD3"/>
    <w:rsid w:val="2910EC3C"/>
    <w:rsid w:val="2923E22C"/>
    <w:rsid w:val="29612137"/>
    <w:rsid w:val="2972C6E0"/>
    <w:rsid w:val="2981BA63"/>
    <w:rsid w:val="298494D0"/>
    <w:rsid w:val="29F63B2C"/>
    <w:rsid w:val="2A1148DE"/>
    <w:rsid w:val="2A264B79"/>
    <w:rsid w:val="2A45264B"/>
    <w:rsid w:val="2A919336"/>
    <w:rsid w:val="2A94024C"/>
    <w:rsid w:val="2B14E576"/>
    <w:rsid w:val="2B25BC03"/>
    <w:rsid w:val="2B3E7B40"/>
    <w:rsid w:val="2B4A7669"/>
    <w:rsid w:val="2B576331"/>
    <w:rsid w:val="2B5D5F8E"/>
    <w:rsid w:val="2B9A0CA0"/>
    <w:rsid w:val="2BDFD74F"/>
    <w:rsid w:val="2C04BB88"/>
    <w:rsid w:val="2CACEC52"/>
    <w:rsid w:val="2CFB21B4"/>
    <w:rsid w:val="2D6EC8D8"/>
    <w:rsid w:val="2D875136"/>
    <w:rsid w:val="2D8C1A1C"/>
    <w:rsid w:val="2DAE0F53"/>
    <w:rsid w:val="2DF53405"/>
    <w:rsid w:val="2E1D0E2B"/>
    <w:rsid w:val="2E4C02CA"/>
    <w:rsid w:val="2E8F405C"/>
    <w:rsid w:val="2EC73571"/>
    <w:rsid w:val="2EE29146"/>
    <w:rsid w:val="2F6A49EB"/>
    <w:rsid w:val="2F6B5BC0"/>
    <w:rsid w:val="301D090F"/>
    <w:rsid w:val="30400B4A"/>
    <w:rsid w:val="308CEC72"/>
    <w:rsid w:val="3109A9A0"/>
    <w:rsid w:val="3124ABB9"/>
    <w:rsid w:val="3143E1F1"/>
    <w:rsid w:val="31CC0622"/>
    <w:rsid w:val="3220DA4A"/>
    <w:rsid w:val="32754192"/>
    <w:rsid w:val="32865D52"/>
    <w:rsid w:val="32AE79F4"/>
    <w:rsid w:val="32F7AF2A"/>
    <w:rsid w:val="330E9053"/>
    <w:rsid w:val="33646252"/>
    <w:rsid w:val="33B10654"/>
    <w:rsid w:val="33F94535"/>
    <w:rsid w:val="33FD917B"/>
    <w:rsid w:val="341548EC"/>
    <w:rsid w:val="34205BFA"/>
    <w:rsid w:val="342D2124"/>
    <w:rsid w:val="3440C3C5"/>
    <w:rsid w:val="344E575B"/>
    <w:rsid w:val="348662D0"/>
    <w:rsid w:val="34866A41"/>
    <w:rsid w:val="35150FF6"/>
    <w:rsid w:val="351EB472"/>
    <w:rsid w:val="3543C381"/>
    <w:rsid w:val="358449EC"/>
    <w:rsid w:val="358AFEA5"/>
    <w:rsid w:val="359AFE7D"/>
    <w:rsid w:val="35F7D57A"/>
    <w:rsid w:val="36121BD0"/>
    <w:rsid w:val="36297674"/>
    <w:rsid w:val="364061CE"/>
    <w:rsid w:val="36610E29"/>
    <w:rsid w:val="367F917F"/>
    <w:rsid w:val="368B3AB1"/>
    <w:rsid w:val="368BABD9"/>
    <w:rsid w:val="36ADEBB8"/>
    <w:rsid w:val="36B9E15D"/>
    <w:rsid w:val="374700F5"/>
    <w:rsid w:val="375953E6"/>
    <w:rsid w:val="37787E36"/>
    <w:rsid w:val="37849FFC"/>
    <w:rsid w:val="37961912"/>
    <w:rsid w:val="379EDD92"/>
    <w:rsid w:val="37ADEF11"/>
    <w:rsid w:val="37B03C5B"/>
    <w:rsid w:val="37BA0ECF"/>
    <w:rsid w:val="37DFB157"/>
    <w:rsid w:val="37F9A80E"/>
    <w:rsid w:val="38044B22"/>
    <w:rsid w:val="38B3E1E0"/>
    <w:rsid w:val="38EEF20A"/>
    <w:rsid w:val="38F6B2CC"/>
    <w:rsid w:val="39098C6E"/>
    <w:rsid w:val="390D649A"/>
    <w:rsid w:val="392CC404"/>
    <w:rsid w:val="3947592F"/>
    <w:rsid w:val="395C1530"/>
    <w:rsid w:val="39A09FA5"/>
    <w:rsid w:val="39DD2A08"/>
    <w:rsid w:val="3A2FDEE3"/>
    <w:rsid w:val="3A3F269A"/>
    <w:rsid w:val="3A7401AE"/>
    <w:rsid w:val="3A90A2DF"/>
    <w:rsid w:val="3A93EB2F"/>
    <w:rsid w:val="3A9E2B72"/>
    <w:rsid w:val="3AD0F8E6"/>
    <w:rsid w:val="3B09F294"/>
    <w:rsid w:val="3B0A0C75"/>
    <w:rsid w:val="3B1C70D2"/>
    <w:rsid w:val="3B206147"/>
    <w:rsid w:val="3B5A6088"/>
    <w:rsid w:val="3B8448B5"/>
    <w:rsid w:val="3BB17FD2"/>
    <w:rsid w:val="3BCFA52F"/>
    <w:rsid w:val="3BEC388A"/>
    <w:rsid w:val="3C146006"/>
    <w:rsid w:val="3C28F7BB"/>
    <w:rsid w:val="3C44C0DA"/>
    <w:rsid w:val="3C54B1C7"/>
    <w:rsid w:val="3C87CA6D"/>
    <w:rsid w:val="3CC96146"/>
    <w:rsid w:val="3CDB472F"/>
    <w:rsid w:val="3D62F2EF"/>
    <w:rsid w:val="3DFF3ECD"/>
    <w:rsid w:val="3E097E6D"/>
    <w:rsid w:val="3E2C3A33"/>
    <w:rsid w:val="3E355863"/>
    <w:rsid w:val="3E83561C"/>
    <w:rsid w:val="3FBCA28E"/>
    <w:rsid w:val="3FC2E754"/>
    <w:rsid w:val="3FDF6780"/>
    <w:rsid w:val="3FEE06FE"/>
    <w:rsid w:val="406EEF55"/>
    <w:rsid w:val="40CEF10A"/>
    <w:rsid w:val="40EE6725"/>
    <w:rsid w:val="41359230"/>
    <w:rsid w:val="413F51AF"/>
    <w:rsid w:val="417BAA98"/>
    <w:rsid w:val="41B71C69"/>
    <w:rsid w:val="41E3FA44"/>
    <w:rsid w:val="41FDA94C"/>
    <w:rsid w:val="42A8189E"/>
    <w:rsid w:val="4364E183"/>
    <w:rsid w:val="43A6EA8A"/>
    <w:rsid w:val="43EF9964"/>
    <w:rsid w:val="4464915F"/>
    <w:rsid w:val="44684040"/>
    <w:rsid w:val="44875AF8"/>
    <w:rsid w:val="4488CFD4"/>
    <w:rsid w:val="44A7B9E3"/>
    <w:rsid w:val="44ADA9E0"/>
    <w:rsid w:val="44DB2B03"/>
    <w:rsid w:val="44F4EEAB"/>
    <w:rsid w:val="44FC827F"/>
    <w:rsid w:val="45178E6A"/>
    <w:rsid w:val="45343C4E"/>
    <w:rsid w:val="4559CFB0"/>
    <w:rsid w:val="45FA940E"/>
    <w:rsid w:val="46B6690E"/>
    <w:rsid w:val="46F9E444"/>
    <w:rsid w:val="46FC252D"/>
    <w:rsid w:val="4711840D"/>
    <w:rsid w:val="472947CB"/>
    <w:rsid w:val="47A9006B"/>
    <w:rsid w:val="47E025AC"/>
    <w:rsid w:val="480D4C54"/>
    <w:rsid w:val="48116AD9"/>
    <w:rsid w:val="48310F5E"/>
    <w:rsid w:val="4893199C"/>
    <w:rsid w:val="48A7FD94"/>
    <w:rsid w:val="48B5C0AB"/>
    <w:rsid w:val="48CDAFB8"/>
    <w:rsid w:val="490145E2"/>
    <w:rsid w:val="490ED60C"/>
    <w:rsid w:val="497E6C86"/>
    <w:rsid w:val="499A750A"/>
    <w:rsid w:val="49DCB37B"/>
    <w:rsid w:val="4A0B7245"/>
    <w:rsid w:val="4A26B431"/>
    <w:rsid w:val="4AE06932"/>
    <w:rsid w:val="4B05175E"/>
    <w:rsid w:val="4B20C3F0"/>
    <w:rsid w:val="4B238DD1"/>
    <w:rsid w:val="4B7BD68A"/>
    <w:rsid w:val="4C1917E1"/>
    <w:rsid w:val="4C7A1018"/>
    <w:rsid w:val="4C834D6C"/>
    <w:rsid w:val="4D36AC04"/>
    <w:rsid w:val="4D3B4A51"/>
    <w:rsid w:val="4D4AA71C"/>
    <w:rsid w:val="4D579BFD"/>
    <w:rsid w:val="4DA57AE5"/>
    <w:rsid w:val="4E0CEED7"/>
    <w:rsid w:val="4E26FC45"/>
    <w:rsid w:val="4E35C1AD"/>
    <w:rsid w:val="4E39377F"/>
    <w:rsid w:val="4E48808D"/>
    <w:rsid w:val="4E50E2D4"/>
    <w:rsid w:val="4E9F65B6"/>
    <w:rsid w:val="4EB34329"/>
    <w:rsid w:val="4F2CFCF4"/>
    <w:rsid w:val="4F484999"/>
    <w:rsid w:val="4F4F3BC0"/>
    <w:rsid w:val="4F5316D6"/>
    <w:rsid w:val="4F866A8B"/>
    <w:rsid w:val="4FE20FED"/>
    <w:rsid w:val="50372FC6"/>
    <w:rsid w:val="506BEA3C"/>
    <w:rsid w:val="50CCD1F8"/>
    <w:rsid w:val="510718A5"/>
    <w:rsid w:val="5130ABC3"/>
    <w:rsid w:val="513C351A"/>
    <w:rsid w:val="5168858C"/>
    <w:rsid w:val="51A49947"/>
    <w:rsid w:val="51A6FFE9"/>
    <w:rsid w:val="51E27CE1"/>
    <w:rsid w:val="51F3E475"/>
    <w:rsid w:val="521E8F26"/>
    <w:rsid w:val="52D03807"/>
    <w:rsid w:val="5375C99B"/>
    <w:rsid w:val="5399F14D"/>
    <w:rsid w:val="53A7456C"/>
    <w:rsid w:val="54A1BFA9"/>
    <w:rsid w:val="5530143F"/>
    <w:rsid w:val="554236A6"/>
    <w:rsid w:val="5581B121"/>
    <w:rsid w:val="55EF309D"/>
    <w:rsid w:val="561D9DC9"/>
    <w:rsid w:val="561F5A6A"/>
    <w:rsid w:val="564CE8CA"/>
    <w:rsid w:val="5661A34D"/>
    <w:rsid w:val="5669D67C"/>
    <w:rsid w:val="566DD479"/>
    <w:rsid w:val="566E3B77"/>
    <w:rsid w:val="568B2714"/>
    <w:rsid w:val="56B1B902"/>
    <w:rsid w:val="56E7CC60"/>
    <w:rsid w:val="56FF751D"/>
    <w:rsid w:val="571A7171"/>
    <w:rsid w:val="5794444C"/>
    <w:rsid w:val="57B9B31D"/>
    <w:rsid w:val="57FB2343"/>
    <w:rsid w:val="5815DDD5"/>
    <w:rsid w:val="582D8947"/>
    <w:rsid w:val="58793A66"/>
    <w:rsid w:val="588EF2C2"/>
    <w:rsid w:val="588F472A"/>
    <w:rsid w:val="58FD4B3C"/>
    <w:rsid w:val="5929A072"/>
    <w:rsid w:val="595909D7"/>
    <w:rsid w:val="597CDF4C"/>
    <w:rsid w:val="5991E0EF"/>
    <w:rsid w:val="59D10FF7"/>
    <w:rsid w:val="5A0F6A3C"/>
    <w:rsid w:val="5A4EC1C7"/>
    <w:rsid w:val="5AEC7D06"/>
    <w:rsid w:val="5B376523"/>
    <w:rsid w:val="5B85145C"/>
    <w:rsid w:val="5B97CB24"/>
    <w:rsid w:val="5B9A2686"/>
    <w:rsid w:val="5BF764C8"/>
    <w:rsid w:val="5C1FE17E"/>
    <w:rsid w:val="5C369FF4"/>
    <w:rsid w:val="5C80DEAB"/>
    <w:rsid w:val="5CC3D629"/>
    <w:rsid w:val="5CFBCFA1"/>
    <w:rsid w:val="5D1598B5"/>
    <w:rsid w:val="5D2C6414"/>
    <w:rsid w:val="5D71A927"/>
    <w:rsid w:val="5D8A6C41"/>
    <w:rsid w:val="5DC08427"/>
    <w:rsid w:val="5DC7513A"/>
    <w:rsid w:val="5DD0C1FD"/>
    <w:rsid w:val="5E0C1CE9"/>
    <w:rsid w:val="5EE68560"/>
    <w:rsid w:val="5F0A895F"/>
    <w:rsid w:val="5F3D3E05"/>
    <w:rsid w:val="5F4E08ED"/>
    <w:rsid w:val="5F58573E"/>
    <w:rsid w:val="5F5ED969"/>
    <w:rsid w:val="5FC17942"/>
    <w:rsid w:val="5FD3979A"/>
    <w:rsid w:val="5FE1F533"/>
    <w:rsid w:val="5FEADDD5"/>
    <w:rsid w:val="6010D9F8"/>
    <w:rsid w:val="601A956E"/>
    <w:rsid w:val="601DA906"/>
    <w:rsid w:val="613868AF"/>
    <w:rsid w:val="61AC221D"/>
    <w:rsid w:val="61E54988"/>
    <w:rsid w:val="61FA32BF"/>
    <w:rsid w:val="6200CCF1"/>
    <w:rsid w:val="621164A4"/>
    <w:rsid w:val="62142DEC"/>
    <w:rsid w:val="62177532"/>
    <w:rsid w:val="62303116"/>
    <w:rsid w:val="62456AF2"/>
    <w:rsid w:val="626BDCD5"/>
    <w:rsid w:val="62CABDA5"/>
    <w:rsid w:val="62EA4B41"/>
    <w:rsid w:val="631DB00E"/>
    <w:rsid w:val="636C126C"/>
    <w:rsid w:val="639D0BE7"/>
    <w:rsid w:val="647B6BA4"/>
    <w:rsid w:val="647F591A"/>
    <w:rsid w:val="64EAFBAB"/>
    <w:rsid w:val="64FECCD2"/>
    <w:rsid w:val="65202734"/>
    <w:rsid w:val="65647AFD"/>
    <w:rsid w:val="6573186F"/>
    <w:rsid w:val="65C34A43"/>
    <w:rsid w:val="65DDD461"/>
    <w:rsid w:val="65E2670A"/>
    <w:rsid w:val="65EC791F"/>
    <w:rsid w:val="66107738"/>
    <w:rsid w:val="66186D8B"/>
    <w:rsid w:val="6675AE48"/>
    <w:rsid w:val="667E3FEA"/>
    <w:rsid w:val="66B24561"/>
    <w:rsid w:val="66F5AF12"/>
    <w:rsid w:val="6780FD05"/>
    <w:rsid w:val="67B49C31"/>
    <w:rsid w:val="67CD0CCD"/>
    <w:rsid w:val="67E3EC06"/>
    <w:rsid w:val="67EEAB5B"/>
    <w:rsid w:val="67F047F9"/>
    <w:rsid w:val="67FAA579"/>
    <w:rsid w:val="682101D6"/>
    <w:rsid w:val="6825D5BB"/>
    <w:rsid w:val="6850A1D0"/>
    <w:rsid w:val="6883486A"/>
    <w:rsid w:val="688587FA"/>
    <w:rsid w:val="6893C928"/>
    <w:rsid w:val="68CA6793"/>
    <w:rsid w:val="690F431D"/>
    <w:rsid w:val="691B2FF7"/>
    <w:rsid w:val="691EC0ED"/>
    <w:rsid w:val="692FF913"/>
    <w:rsid w:val="6932C53E"/>
    <w:rsid w:val="69504692"/>
    <w:rsid w:val="695642CE"/>
    <w:rsid w:val="6971E4F9"/>
    <w:rsid w:val="69F16734"/>
    <w:rsid w:val="69F93E73"/>
    <w:rsid w:val="6A3EB695"/>
    <w:rsid w:val="6A49B5C7"/>
    <w:rsid w:val="6AA90932"/>
    <w:rsid w:val="6ACB0CF7"/>
    <w:rsid w:val="6AE2D18E"/>
    <w:rsid w:val="6B319D94"/>
    <w:rsid w:val="6B488E62"/>
    <w:rsid w:val="6B799C21"/>
    <w:rsid w:val="6BFECFF8"/>
    <w:rsid w:val="6C0128FD"/>
    <w:rsid w:val="6C0928A7"/>
    <w:rsid w:val="6C99EC30"/>
    <w:rsid w:val="6C9D38F0"/>
    <w:rsid w:val="6CFF5541"/>
    <w:rsid w:val="6D454D3E"/>
    <w:rsid w:val="6D46729B"/>
    <w:rsid w:val="6D7908DC"/>
    <w:rsid w:val="6D83ADAA"/>
    <w:rsid w:val="6DF3DF96"/>
    <w:rsid w:val="6DFA758E"/>
    <w:rsid w:val="6E4821E7"/>
    <w:rsid w:val="6E6437C9"/>
    <w:rsid w:val="6E933208"/>
    <w:rsid w:val="6EA86887"/>
    <w:rsid w:val="6EB92A69"/>
    <w:rsid w:val="6F201F2B"/>
    <w:rsid w:val="6F336B1F"/>
    <w:rsid w:val="6F4F10D9"/>
    <w:rsid w:val="6FB20578"/>
    <w:rsid w:val="6FE4C0FA"/>
    <w:rsid w:val="709F8D2A"/>
    <w:rsid w:val="70CE0CC6"/>
    <w:rsid w:val="712660DC"/>
    <w:rsid w:val="712C396C"/>
    <w:rsid w:val="71B98E32"/>
    <w:rsid w:val="71CB942D"/>
    <w:rsid w:val="723741EB"/>
    <w:rsid w:val="72724727"/>
    <w:rsid w:val="72958AD6"/>
    <w:rsid w:val="72AD0329"/>
    <w:rsid w:val="72D1E8A2"/>
    <w:rsid w:val="72D31E0C"/>
    <w:rsid w:val="72E50F02"/>
    <w:rsid w:val="72F547DF"/>
    <w:rsid w:val="734C7D16"/>
    <w:rsid w:val="7364A3C8"/>
    <w:rsid w:val="73D56DD2"/>
    <w:rsid w:val="73DBF7A4"/>
    <w:rsid w:val="73E15942"/>
    <w:rsid w:val="74160D79"/>
    <w:rsid w:val="74273721"/>
    <w:rsid w:val="748411CB"/>
    <w:rsid w:val="74BEB188"/>
    <w:rsid w:val="74D0FF50"/>
    <w:rsid w:val="757B0A18"/>
    <w:rsid w:val="75C6CBCF"/>
    <w:rsid w:val="75D7029C"/>
    <w:rsid w:val="7613E188"/>
    <w:rsid w:val="763CCE1C"/>
    <w:rsid w:val="763D9B5A"/>
    <w:rsid w:val="764FE746"/>
    <w:rsid w:val="7655B987"/>
    <w:rsid w:val="766493BF"/>
    <w:rsid w:val="7671DE94"/>
    <w:rsid w:val="76B213FA"/>
    <w:rsid w:val="76CE35EB"/>
    <w:rsid w:val="76DAE041"/>
    <w:rsid w:val="76E7B84B"/>
    <w:rsid w:val="77312876"/>
    <w:rsid w:val="782628D2"/>
    <w:rsid w:val="783343C3"/>
    <w:rsid w:val="783C4B45"/>
    <w:rsid w:val="785FC99A"/>
    <w:rsid w:val="78989A81"/>
    <w:rsid w:val="79AF2A62"/>
    <w:rsid w:val="79B9C149"/>
    <w:rsid w:val="7A068648"/>
    <w:rsid w:val="7A3B04E0"/>
    <w:rsid w:val="7A919A0F"/>
    <w:rsid w:val="7AAED1E1"/>
    <w:rsid w:val="7AE0C04C"/>
    <w:rsid w:val="7B140022"/>
    <w:rsid w:val="7B1C7E25"/>
    <w:rsid w:val="7BDABA7F"/>
    <w:rsid w:val="7C8EB792"/>
    <w:rsid w:val="7C965D42"/>
    <w:rsid w:val="7CD455E4"/>
    <w:rsid w:val="7CD60DB0"/>
    <w:rsid w:val="7D1DB836"/>
    <w:rsid w:val="7D26D779"/>
    <w:rsid w:val="7D2E3DD0"/>
    <w:rsid w:val="7D7D61D5"/>
    <w:rsid w:val="7D818599"/>
    <w:rsid w:val="7DA9FC50"/>
    <w:rsid w:val="7DAB0D6E"/>
    <w:rsid w:val="7DE0417D"/>
    <w:rsid w:val="7E042767"/>
    <w:rsid w:val="7E56C25F"/>
    <w:rsid w:val="7E5C8724"/>
    <w:rsid w:val="7EEF141E"/>
    <w:rsid w:val="7F0F430E"/>
    <w:rsid w:val="7F2B7A36"/>
    <w:rsid w:val="7F3B01F3"/>
    <w:rsid w:val="7F449AD6"/>
    <w:rsid w:val="7FC7CCF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692D0"/>
  <w15:chartTrackingRefBased/>
  <w15:docId w15:val="{3483640F-EC84-4E9C-8C76-5F3007531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54A1BFA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54A1BFA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54A1BFA9"/>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54A1BFA9"/>
    <w:pPr>
      <w:tabs>
        <w:tab w:val="center" w:pos="4680"/>
        <w:tab w:val="right" w:pos="9360"/>
      </w:tabs>
      <w:spacing w:after="0" w:line="240" w:lineRule="auto"/>
    </w:pPr>
  </w:style>
  <w:style w:type="paragraph" w:styleId="Footer">
    <w:name w:val="footer"/>
    <w:basedOn w:val="Normal"/>
    <w:uiPriority w:val="99"/>
    <w:unhideWhenUsed/>
    <w:rsid w:val="54A1BFA9"/>
    <w:pPr>
      <w:tabs>
        <w:tab w:val="center" w:pos="4680"/>
        <w:tab w:val="right" w:pos="9360"/>
      </w:tabs>
      <w:spacing w:after="0" w:line="240" w:lineRule="auto"/>
    </w:pPr>
  </w:style>
  <w:style w:type="character" w:styleId="Hyperlink">
    <w:name w:val="Hyperlink"/>
    <w:basedOn w:val="DefaultParagraphFont"/>
    <w:uiPriority w:val="99"/>
    <w:unhideWhenUsed/>
    <w:rsid w:val="54A1BFA9"/>
    <w:rPr>
      <w:color w:val="467886"/>
      <w:u w:val="single"/>
    </w:rPr>
  </w:style>
  <w:style w:type="paragraph" w:styleId="TOC2">
    <w:name w:val="toc 2"/>
    <w:basedOn w:val="Normal"/>
    <w:next w:val="Normal"/>
    <w:uiPriority w:val="39"/>
    <w:unhideWhenUsed/>
    <w:rsid w:val="54A1BFA9"/>
    <w:pPr>
      <w:spacing w:after="100"/>
      <w:ind w:left="220"/>
    </w:pPr>
  </w:style>
  <w:style w:type="paragraph" w:styleId="ListParagraph">
    <w:name w:val="List Paragraph"/>
    <w:basedOn w:val="Normal"/>
    <w:uiPriority w:val="34"/>
    <w:qFormat/>
    <w:rsid w:val="54A1BFA9"/>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177/014920639101700108" TargetMode="External" Id="rId13" /><Relationship Type="http://schemas.openxmlformats.org/officeDocument/2006/relationships/hyperlink" Target="https://doi:10.4067/s0718-27242013000200004" TargetMode="External" Id="rId26" /><Relationship Type="http://schemas.openxmlformats.org/officeDocument/2006/relationships/settings" Target="settings.xml" Id="rId3" /><Relationship Type="http://schemas.openxmlformats.org/officeDocument/2006/relationships/hyperlink" Target="https://doi:10.1108/mbr-01-2013-0004" TargetMode="External" Id="rId21" /><Relationship Type="http://schemas.openxmlformats.org/officeDocument/2006/relationships/theme" Target="theme/theme1.xml" Id="rId34" /><Relationship Type="http://schemas.openxmlformats.org/officeDocument/2006/relationships/image" Target="media/image1.png" Id="rId7" /><Relationship Type="http://schemas.openxmlformats.org/officeDocument/2006/relationships/hyperlink" Target="https://papers.ssrn.com/sol3/papers.cfm?abstract_id=2354319" TargetMode="External" Id="rId12" /><Relationship Type="http://schemas.openxmlformats.org/officeDocument/2006/relationships/hyperlink" Target="https://grabon.com/blog/ikea-statistics/" TargetMode="External" Id="rId25" /><Relationship Type="http://schemas.openxmlformats.org/officeDocument/2006/relationships/fontTable" Target="fontTable.xml" Id="rId33" /><Relationship Type="http://schemas.openxmlformats.org/officeDocument/2006/relationships/styles" Target="styles.xml" Id="rId2" /><Relationship Type="http://schemas.openxmlformats.org/officeDocument/2006/relationships/hyperlink" Target="https://doi:10.1057/palgrave.jibs.8490891" TargetMode="External" Id="rId16" /><Relationship Type="http://schemas.openxmlformats.org/officeDocument/2006/relationships/hyperlink" Target="https://papers.ssrn.com/sol3/papers.cfm?abstract_id=1496220" TargetMode="Externa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hyperlink" Target="https://doi:10.1057/palgrave.jibs.8400073" TargetMode="External" Id="rId24" /><Relationship Type="http://schemas.openxmlformats.org/officeDocument/2006/relationships/footer" Target="footer1.xml" Id="rId32" /><Relationship Type="http://schemas.openxmlformats.org/officeDocument/2006/relationships/footnotes" Target="footnotes.xml" Id="rId5" /><Relationship Type="http://schemas.openxmlformats.org/officeDocument/2006/relationships/hyperlink" Target="https://doi:10.1057/palgrave.jibs.8400073" TargetMode="External" Id="rId23" /><Relationship Type="http://schemas.openxmlformats.org/officeDocument/2006/relationships/hyperlink" Target="https://doi:10.1002/jcaf.22600" TargetMode="External" Id="rId28" /><Relationship Type="http://schemas.openxmlformats.org/officeDocument/2006/relationships/image" Target="media/image4.png" Id="rId10" /><Relationship Type="http://schemas.openxmlformats.org/officeDocument/2006/relationships/hyperlink" Target="https://doi.org/10.1177/0018726702551004" TargetMode="External" Id="rId19" /><Relationship Type="http://schemas.openxmlformats.org/officeDocument/2006/relationships/header" Target="header1.xml" Id="rId31"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hyperlink" Target="https://brilliantmaps.com/ikea-stores-worldwide/" TargetMode="External" Id="rId14" /><Relationship Type="http://schemas.openxmlformats.org/officeDocument/2006/relationships/hyperlink" Target="https://www.reddit.com/r/MapPorn/comments/3h6ino/map_of_countries_with_ikea_stores_1425_x_625/" TargetMode="External" Id="rId22" /><Relationship Type="http://schemas.openxmlformats.org/officeDocument/2006/relationships/hyperlink" Target="https://doi:10.2307/256683" TargetMode="External" Id="rId30" /><Relationship Type="http://schemas.microsoft.com/office/2020/10/relationships/intelligence" Target="intelligence2.xml" Id="rId35" /><Relationship Type="http://schemas.openxmlformats.org/officeDocument/2006/relationships/image" Target="media/image2.png" Id="rId8" /><Relationship Type="http://schemas.openxmlformats.org/officeDocument/2006/relationships/hyperlink" Target="https://doi.org/10.1057/palgrave.jibs.8490372" TargetMode="External" Id="R11f3c9e723ea4b92" /><Relationship Type="http://schemas.openxmlformats.org/officeDocument/2006/relationships/hyperlink" Target="https://www.investopedia.com/terms/p/porter.asp" TargetMode="External" Id="Ra0df39a98dd741d9" /><Relationship Type="http://schemas.openxmlformats.org/officeDocument/2006/relationships/hyperlink" Target="https://encoded-592c9deb-987b-4562-aa3c-9fa3d37d83e9.uri/https%3a%2f%2fdoi%3a10.1002%2fsmj.4250090710" TargetMode="External" Id="Rebfa8a7a25e94081" /><Relationship Type="http://schemas.openxmlformats.org/officeDocument/2006/relationships/hyperlink" Target="https://www-proquest-com.uwtsd.idm.oclc.org/docview/212171407?accountid=130472&amp;sourcetype=Scholarly%20Journals" TargetMode="External" Id="R42c06ef177f94b2b" /><Relationship Type="http://schemas.openxmlformats.org/officeDocument/2006/relationships/hyperlink" Target="https://doi.org/10.1057/palgrave.jibs.8490676" TargetMode="External" Id="R05c0ab592d8f4a42" /><Relationship Type="http://schemas.openxmlformats.org/officeDocument/2006/relationships/hyperlink" Target="https://pestleanalysis.com/pestel-framework/" TargetMode="External" Id="Rca2bc664d4904ebf" /><Relationship Type="http://schemas.openxmlformats.org/officeDocument/2006/relationships/hyperlink" Target="https://isfcolombia.uniandes.edu.co/images/documentos/201119-ltf3.innovation_sand_box.pdf" TargetMode="External" Id="R5abdb91bc1a54031" /><Relationship Type="http://schemas.openxmlformats.org/officeDocument/2006/relationships/hyperlink" Target="https://isfcolombia.uniandes.edu.co/images/documentos/201119-ltf3.innovation_sand_box.pdf" TargetMode="External" Id="R614f8bcccdb84bdc" /><Relationship Type="http://schemas.openxmlformats.org/officeDocument/2006/relationships/hyperlink" Target="https://encoded-592c9deb-987b-4562-aa3c-9fa3d37d83e9.uri/https%3a%2f%2fdoi%3a10.1177%2f1056492607306333" TargetMode="External" Id="R24fd832b5b354da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Alicia Blake (2208796)</dc:creator>
  <keywords/>
  <dc:description/>
  <lastModifiedBy>Alicia Blake (2208796)</lastModifiedBy>
  <revision>8</revision>
  <dcterms:created xsi:type="dcterms:W3CDTF">2026-08-03T08:37:00.0000000Z</dcterms:created>
  <dcterms:modified xsi:type="dcterms:W3CDTF">2026-08-07T11:13:00.0567790Z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bf5c5107-6ff1-4c31-abff-e2edfee46a58</vt:lpwstr>
  </property>
</Properties>
</file>