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2.xml" ContentType="application/vnd.openxmlformats-officedocument.drawingml.chartshapes+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3.xml" ContentType="application/vnd.openxmlformats-officedocument.drawingml.chartshapes+xml"/>
  <Override PartName="/word/charts/chart8.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64363" w14:textId="6115AC6E" w:rsidR="00DE615E" w:rsidRPr="005B1C31" w:rsidRDefault="00917264" w:rsidP="000506B5">
      <w:pPr>
        <w:jc w:val="left"/>
      </w:pPr>
      <w:r w:rsidRPr="005B1C31">
        <w:drawing>
          <wp:inline distT="0" distB="0" distL="0" distR="0" wp14:anchorId="1784E5BC" wp14:editId="7DDF9247">
            <wp:extent cx="5759450" cy="63258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450" cy="6325870"/>
                    </a:xfrm>
                    <a:prstGeom prst="rect">
                      <a:avLst/>
                    </a:prstGeom>
                  </pic:spPr>
                </pic:pic>
              </a:graphicData>
            </a:graphic>
          </wp:inline>
        </w:drawing>
      </w:r>
    </w:p>
    <w:p w14:paraId="5D061A61" w14:textId="6BBF6A3E" w:rsidR="00DE615E" w:rsidRPr="005B1C31" w:rsidRDefault="00DE615E" w:rsidP="000506B5">
      <w:pPr>
        <w:jc w:val="left"/>
      </w:pPr>
    </w:p>
    <w:p w14:paraId="68FE998E" w14:textId="0A55C843" w:rsidR="00DE615E" w:rsidRPr="005B1C31" w:rsidRDefault="00DE615E" w:rsidP="000506B5">
      <w:pPr>
        <w:jc w:val="left"/>
      </w:pPr>
    </w:p>
    <w:p w14:paraId="17F0667E" w14:textId="7C98B36E" w:rsidR="00DE615E" w:rsidRPr="005B1C31" w:rsidRDefault="00DE615E" w:rsidP="000506B5">
      <w:pPr>
        <w:jc w:val="left"/>
      </w:pPr>
    </w:p>
    <w:p w14:paraId="3C207506" w14:textId="2D56705A" w:rsidR="00DE615E" w:rsidRPr="005B1C31" w:rsidRDefault="00DE615E" w:rsidP="000506B5">
      <w:pPr>
        <w:jc w:val="left"/>
      </w:pPr>
      <w:r w:rsidRPr="005B1C31">
        <w:tab/>
      </w:r>
    </w:p>
    <w:p w14:paraId="11BD2F2E" w14:textId="77777777" w:rsidR="001F7F4D" w:rsidRPr="005B1C31" w:rsidRDefault="001F7F4D" w:rsidP="000506B5">
      <w:pPr>
        <w:jc w:val="left"/>
      </w:pPr>
    </w:p>
    <w:p w14:paraId="47415967" w14:textId="66F086F4" w:rsidR="00917264" w:rsidRPr="005B1C31" w:rsidRDefault="00917264" w:rsidP="00917264">
      <w:pPr>
        <w:tabs>
          <w:tab w:val="left" w:pos="2225"/>
        </w:tabs>
      </w:pPr>
      <w:r w:rsidRPr="005B1C31">
        <w:tab/>
      </w:r>
    </w:p>
    <w:p w14:paraId="347639F9" w14:textId="77777777" w:rsidR="00917264" w:rsidRPr="005B1C31" w:rsidRDefault="00917264">
      <w:pPr>
        <w:spacing w:after="160" w:line="259" w:lineRule="auto"/>
        <w:jc w:val="left"/>
      </w:pPr>
      <w:r w:rsidRPr="005B1C31">
        <w:br w:type="page"/>
      </w:r>
    </w:p>
    <w:p w14:paraId="146FDC2B" w14:textId="7EC52782" w:rsidR="00917264" w:rsidRPr="005B1C31" w:rsidRDefault="00917264" w:rsidP="00917264">
      <w:pPr>
        <w:adjustRightInd w:val="0"/>
        <w:jc w:val="center"/>
        <w:rPr>
          <w:b/>
          <w:bCs/>
          <w:noProof w:val="0"/>
          <w:u w:val="single"/>
        </w:rPr>
      </w:pPr>
      <w:r w:rsidRPr="005B1C31">
        <w:rPr>
          <w:b/>
          <w:bCs/>
          <w:color w:val="000000"/>
        </w:rPr>
        <w:lastRenderedPageBreak/>
        <w:t xml:space="preserve">UWTSD MBA (May/Nov 2020 intakes) </w:t>
      </w:r>
      <w:r w:rsidRPr="005B1C31">
        <w:rPr>
          <w:b/>
          <w:bCs/>
          <w:color w:val="000000"/>
        </w:rPr>
        <w:br/>
        <w:t>HKBM7009 Global Business Challenges</w:t>
      </w:r>
    </w:p>
    <w:p w14:paraId="225E258E" w14:textId="77777777" w:rsidR="00917264" w:rsidRPr="005B1C31" w:rsidRDefault="00917264" w:rsidP="00225EE6"/>
    <w:p w14:paraId="10D37A73" w14:textId="0759C052" w:rsidR="00917264" w:rsidRPr="005B1C31" w:rsidRDefault="00917264" w:rsidP="00225EE6">
      <w:pPr>
        <w:rPr>
          <w:b/>
          <w:bCs/>
        </w:rPr>
      </w:pPr>
      <w:r w:rsidRPr="005B1C31">
        <w:rPr>
          <w:b/>
          <w:bCs/>
        </w:rPr>
        <w:t>Assignment Title: Analytical Report – Organisational Strategies in a COVID 19 World</w:t>
      </w:r>
    </w:p>
    <w:p w14:paraId="1C0D5AA8" w14:textId="457698B4" w:rsidR="00917264" w:rsidRPr="005B1C31" w:rsidRDefault="00917264" w:rsidP="00225EE6">
      <w:pPr>
        <w:rPr>
          <w:b/>
          <w:bCs/>
        </w:rPr>
      </w:pPr>
      <w:r w:rsidRPr="005B1C31">
        <w:rPr>
          <w:b/>
          <w:bCs/>
        </w:rPr>
        <w:t xml:space="preserve">Analytical Report </w:t>
      </w:r>
    </w:p>
    <w:p w14:paraId="475BA072" w14:textId="77777777" w:rsidR="00917264" w:rsidRPr="005B1C31" w:rsidRDefault="00917264" w:rsidP="00225EE6"/>
    <w:p w14:paraId="2126FED9" w14:textId="29C57E0F" w:rsidR="00917264" w:rsidRPr="005B1C31" w:rsidRDefault="00406F8A" w:rsidP="00225EE6">
      <w:r w:rsidRPr="005B1C31">
        <w:t>"</w:t>
      </w:r>
      <w:r w:rsidR="00917264" w:rsidRPr="005B1C31">
        <w:t>I, Ao Cheung TSUI, certify this work is the result of my own investigations, except where otherwise stated.  All references have been duly cited</w:t>
      </w:r>
      <w:r w:rsidRPr="005B1C31">
        <w:t>"</w:t>
      </w:r>
    </w:p>
    <w:p w14:paraId="700B7E9B" w14:textId="77777777" w:rsidR="00917264" w:rsidRPr="005B1C31" w:rsidRDefault="00917264" w:rsidP="00917264">
      <w:pPr>
        <w:rPr>
          <w:sz w:val="36"/>
          <w:szCs w:val="36"/>
        </w:rPr>
      </w:pPr>
    </w:p>
    <w:p w14:paraId="0404EDDC" w14:textId="77777777" w:rsidR="00917264" w:rsidRPr="005B1C31" w:rsidRDefault="00917264" w:rsidP="00917264">
      <w:pPr>
        <w:rPr>
          <w:szCs w:val="22"/>
        </w:rPr>
      </w:pPr>
    </w:p>
    <w:p w14:paraId="4C25B39D" w14:textId="77777777" w:rsidR="00917264" w:rsidRPr="005B1C31" w:rsidRDefault="00917264" w:rsidP="00917264"/>
    <w:p w14:paraId="5D686BB2" w14:textId="77777777" w:rsidR="00917264" w:rsidRPr="005B1C31" w:rsidRDefault="00917264" w:rsidP="00917264"/>
    <w:p w14:paraId="09F86774" w14:textId="77777777" w:rsidR="00917264" w:rsidRPr="005B1C31" w:rsidRDefault="00917264" w:rsidP="00917264"/>
    <w:p w14:paraId="19A5942D" w14:textId="77777777" w:rsidR="00917264" w:rsidRPr="005B1C31" w:rsidRDefault="00917264" w:rsidP="00917264">
      <w:pPr>
        <w:rPr>
          <w:b/>
        </w:rPr>
      </w:pPr>
    </w:p>
    <w:p w14:paraId="00323D52" w14:textId="77777777" w:rsidR="00917264" w:rsidRPr="005B1C31" w:rsidRDefault="00917264" w:rsidP="00917264">
      <w:r w:rsidRPr="005B1C31">
        <w:t>Signed: _____________________</w:t>
      </w:r>
    </w:p>
    <w:p w14:paraId="22672465" w14:textId="77777777" w:rsidR="00917264" w:rsidRPr="005B1C31" w:rsidRDefault="00917264" w:rsidP="00917264">
      <w:pPr>
        <w:rPr>
          <w:sz w:val="26"/>
        </w:rPr>
      </w:pPr>
    </w:p>
    <w:p w14:paraId="69EBF39B" w14:textId="77777777" w:rsidR="00917264" w:rsidRPr="005B1C31" w:rsidRDefault="00917264" w:rsidP="00917264">
      <w:pPr>
        <w:rPr>
          <w:sz w:val="26"/>
        </w:rPr>
      </w:pPr>
      <w:r w:rsidRPr="005B1C31">
        <w:rPr>
          <w:sz w:val="26"/>
        </w:rPr>
        <w:t xml:space="preserve">Date:  </w:t>
      </w:r>
    </w:p>
    <w:p w14:paraId="19EAFCCA" w14:textId="77777777" w:rsidR="00917264" w:rsidRPr="005B1C31" w:rsidRDefault="00917264" w:rsidP="00917264">
      <w:pPr>
        <w:tabs>
          <w:tab w:val="left" w:pos="2225"/>
        </w:tabs>
      </w:pPr>
    </w:p>
    <w:p w14:paraId="6489500E" w14:textId="38B66DA9" w:rsidR="00917264" w:rsidRPr="005B1C31" w:rsidRDefault="00917264" w:rsidP="00917264">
      <w:pPr>
        <w:tabs>
          <w:tab w:val="left" w:pos="2225"/>
        </w:tabs>
        <w:sectPr w:rsidR="00917264" w:rsidRPr="005B1C31" w:rsidSect="00DE615E">
          <w:headerReference w:type="even" r:id="rId9"/>
          <w:headerReference w:type="default" r:id="rId10"/>
          <w:footerReference w:type="even" r:id="rId11"/>
          <w:footerReference w:type="default" r:id="rId12"/>
          <w:headerReference w:type="first" r:id="rId13"/>
          <w:footerReference w:type="first" r:id="rId14"/>
          <w:pgSz w:w="11906" w:h="16838" w:code="9"/>
          <w:pgMar w:top="1418" w:right="1418" w:bottom="1418" w:left="1418" w:header="720" w:footer="720" w:gutter="0"/>
          <w:pgNumType w:fmt="lowerRoman" w:start="1"/>
          <w:cols w:space="720"/>
          <w:titlePg/>
          <w:docGrid w:linePitch="360"/>
        </w:sectPr>
      </w:pPr>
      <w:r w:rsidRPr="005B1C31">
        <w:tab/>
      </w:r>
    </w:p>
    <w:sdt>
      <w:sdtPr>
        <w:rPr>
          <w:rFonts w:ascii="Times New Roman" w:eastAsiaTheme="minorEastAsia" w:hAnsi="Times New Roman" w:cs="Times New Roman"/>
          <w:noProof/>
          <w:color w:val="auto"/>
          <w:sz w:val="24"/>
          <w:szCs w:val="24"/>
          <w:lang w:eastAsia="zh-TW"/>
        </w:rPr>
        <w:id w:val="1964850277"/>
        <w:docPartObj>
          <w:docPartGallery w:val="Table of Contents"/>
          <w:docPartUnique/>
        </w:docPartObj>
      </w:sdtPr>
      <w:sdtEndPr>
        <w:rPr>
          <w:b/>
          <w:bCs/>
        </w:rPr>
      </w:sdtEndPr>
      <w:sdtContent>
        <w:p w14:paraId="2210705A" w14:textId="78F8CDBF" w:rsidR="00A9547E" w:rsidRPr="005B1C31" w:rsidRDefault="00EA3293" w:rsidP="000506B5">
          <w:pPr>
            <w:pStyle w:val="TOCHeading"/>
            <w:rPr>
              <w:rFonts w:ascii="Times New Roman" w:hAnsi="Times New Roman" w:cs="Times New Roman"/>
              <w:b/>
              <w:bCs/>
              <w:color w:val="000000" w:themeColor="text1"/>
            </w:rPr>
          </w:pPr>
          <w:r w:rsidRPr="005B1C31">
            <w:rPr>
              <w:rFonts w:ascii="Times New Roman" w:hAnsi="Times New Roman" w:cs="Times New Roman"/>
              <w:b/>
              <w:bCs/>
              <w:color w:val="000000" w:themeColor="text1"/>
            </w:rPr>
            <w:t>Table and Contents</w:t>
          </w:r>
        </w:p>
        <w:p w14:paraId="2CE807E2" w14:textId="1F6AAA4D" w:rsidR="00A806F0" w:rsidRDefault="00A9547E">
          <w:pPr>
            <w:pStyle w:val="TOC1"/>
            <w:rPr>
              <w:rFonts w:asciiTheme="minorHAnsi" w:hAnsiTheme="minorHAnsi" w:cstheme="minorBidi"/>
              <w:sz w:val="22"/>
              <w:szCs w:val="22"/>
            </w:rPr>
          </w:pPr>
          <w:r w:rsidRPr="005B1C31">
            <w:fldChar w:fldCharType="begin"/>
          </w:r>
          <w:r w:rsidRPr="005B1C31">
            <w:instrText xml:space="preserve"> TOC \o "1-3" \h \z \u </w:instrText>
          </w:r>
          <w:r w:rsidRPr="005B1C31">
            <w:fldChar w:fldCharType="separate"/>
          </w:r>
          <w:hyperlink w:anchor="_Toc64840470" w:history="1">
            <w:r w:rsidR="00A806F0" w:rsidRPr="00EC20F0">
              <w:rPr>
                <w:rStyle w:val="Hyperlink"/>
              </w:rPr>
              <w:t>List of Tables</w:t>
            </w:r>
            <w:r w:rsidR="00A806F0">
              <w:rPr>
                <w:webHidden/>
              </w:rPr>
              <w:tab/>
            </w:r>
            <w:r w:rsidR="00A806F0">
              <w:rPr>
                <w:webHidden/>
              </w:rPr>
              <w:fldChar w:fldCharType="begin"/>
            </w:r>
            <w:r w:rsidR="00A806F0">
              <w:rPr>
                <w:webHidden/>
              </w:rPr>
              <w:instrText xml:space="preserve"> PAGEREF _Toc64840470 \h </w:instrText>
            </w:r>
            <w:r w:rsidR="00A806F0">
              <w:rPr>
                <w:webHidden/>
              </w:rPr>
            </w:r>
            <w:r w:rsidR="00A806F0">
              <w:rPr>
                <w:webHidden/>
              </w:rPr>
              <w:fldChar w:fldCharType="separate"/>
            </w:r>
            <w:r w:rsidR="00A806F0">
              <w:rPr>
                <w:webHidden/>
              </w:rPr>
              <w:t>- 2 -</w:t>
            </w:r>
            <w:r w:rsidR="00A806F0">
              <w:rPr>
                <w:webHidden/>
              </w:rPr>
              <w:fldChar w:fldCharType="end"/>
            </w:r>
          </w:hyperlink>
        </w:p>
        <w:p w14:paraId="5C833095" w14:textId="729AC7D6" w:rsidR="00A806F0" w:rsidRDefault="00A806F0">
          <w:pPr>
            <w:pStyle w:val="TOC1"/>
            <w:rPr>
              <w:rFonts w:asciiTheme="minorHAnsi" w:hAnsiTheme="minorHAnsi" w:cstheme="minorBidi"/>
              <w:sz w:val="22"/>
              <w:szCs w:val="22"/>
            </w:rPr>
          </w:pPr>
          <w:hyperlink w:anchor="_Toc64840471" w:history="1">
            <w:r w:rsidRPr="00EC20F0">
              <w:rPr>
                <w:rStyle w:val="Hyperlink"/>
              </w:rPr>
              <w:t>List of Figures</w:t>
            </w:r>
            <w:r>
              <w:rPr>
                <w:webHidden/>
              </w:rPr>
              <w:tab/>
            </w:r>
            <w:r>
              <w:rPr>
                <w:webHidden/>
              </w:rPr>
              <w:fldChar w:fldCharType="begin"/>
            </w:r>
            <w:r>
              <w:rPr>
                <w:webHidden/>
              </w:rPr>
              <w:instrText xml:space="preserve"> PAGEREF _Toc64840471 \h </w:instrText>
            </w:r>
            <w:r>
              <w:rPr>
                <w:webHidden/>
              </w:rPr>
            </w:r>
            <w:r>
              <w:rPr>
                <w:webHidden/>
              </w:rPr>
              <w:fldChar w:fldCharType="separate"/>
            </w:r>
            <w:r>
              <w:rPr>
                <w:webHidden/>
              </w:rPr>
              <w:t>- 2 -</w:t>
            </w:r>
            <w:r>
              <w:rPr>
                <w:webHidden/>
              </w:rPr>
              <w:fldChar w:fldCharType="end"/>
            </w:r>
          </w:hyperlink>
        </w:p>
        <w:p w14:paraId="2FEBA8E9" w14:textId="7545EEBE" w:rsidR="00A806F0" w:rsidRDefault="00A806F0">
          <w:pPr>
            <w:pStyle w:val="TOC1"/>
            <w:rPr>
              <w:rFonts w:asciiTheme="minorHAnsi" w:hAnsiTheme="minorHAnsi" w:cstheme="minorBidi"/>
              <w:sz w:val="22"/>
              <w:szCs w:val="22"/>
            </w:rPr>
          </w:pPr>
          <w:hyperlink w:anchor="_Toc64840472" w:history="1">
            <w:r w:rsidRPr="00EC20F0">
              <w:rPr>
                <w:rStyle w:val="Hyperlink"/>
              </w:rPr>
              <w:t>Synopsis</w:t>
            </w:r>
            <w:r>
              <w:rPr>
                <w:webHidden/>
              </w:rPr>
              <w:tab/>
            </w:r>
            <w:r>
              <w:rPr>
                <w:webHidden/>
              </w:rPr>
              <w:fldChar w:fldCharType="begin"/>
            </w:r>
            <w:r>
              <w:rPr>
                <w:webHidden/>
              </w:rPr>
              <w:instrText xml:space="preserve"> PAGEREF _Toc64840472 \h </w:instrText>
            </w:r>
            <w:r>
              <w:rPr>
                <w:webHidden/>
              </w:rPr>
            </w:r>
            <w:r>
              <w:rPr>
                <w:webHidden/>
              </w:rPr>
              <w:fldChar w:fldCharType="separate"/>
            </w:r>
            <w:r>
              <w:rPr>
                <w:webHidden/>
              </w:rPr>
              <w:t>- 3 -</w:t>
            </w:r>
            <w:r>
              <w:rPr>
                <w:webHidden/>
              </w:rPr>
              <w:fldChar w:fldCharType="end"/>
            </w:r>
          </w:hyperlink>
        </w:p>
        <w:p w14:paraId="7EBBB1E1" w14:textId="041C741D" w:rsidR="00A806F0" w:rsidRDefault="00A806F0">
          <w:pPr>
            <w:pStyle w:val="TOC1"/>
            <w:tabs>
              <w:tab w:val="left" w:pos="480"/>
            </w:tabs>
            <w:rPr>
              <w:rFonts w:asciiTheme="minorHAnsi" w:hAnsiTheme="minorHAnsi" w:cstheme="minorBidi"/>
              <w:sz w:val="22"/>
              <w:szCs w:val="22"/>
            </w:rPr>
          </w:pPr>
          <w:hyperlink w:anchor="_Toc64840473" w:history="1">
            <w:r w:rsidRPr="00EC20F0">
              <w:rPr>
                <w:rStyle w:val="Hyperlink"/>
              </w:rPr>
              <w:t>1.</w:t>
            </w:r>
            <w:r>
              <w:rPr>
                <w:rFonts w:asciiTheme="minorHAnsi" w:hAnsiTheme="minorHAnsi" w:cstheme="minorBidi"/>
                <w:sz w:val="22"/>
                <w:szCs w:val="22"/>
              </w:rPr>
              <w:tab/>
            </w:r>
            <w:r w:rsidRPr="00EC20F0">
              <w:rPr>
                <w:rStyle w:val="Hyperlink"/>
              </w:rPr>
              <w:t>Introduction</w:t>
            </w:r>
            <w:r>
              <w:rPr>
                <w:webHidden/>
              </w:rPr>
              <w:tab/>
            </w:r>
            <w:r>
              <w:rPr>
                <w:webHidden/>
              </w:rPr>
              <w:fldChar w:fldCharType="begin"/>
            </w:r>
            <w:r>
              <w:rPr>
                <w:webHidden/>
              </w:rPr>
              <w:instrText xml:space="preserve"> PAGEREF _Toc64840473 \h </w:instrText>
            </w:r>
            <w:r>
              <w:rPr>
                <w:webHidden/>
              </w:rPr>
            </w:r>
            <w:r>
              <w:rPr>
                <w:webHidden/>
              </w:rPr>
              <w:fldChar w:fldCharType="separate"/>
            </w:r>
            <w:r>
              <w:rPr>
                <w:webHidden/>
              </w:rPr>
              <w:t>- 4 -</w:t>
            </w:r>
            <w:r>
              <w:rPr>
                <w:webHidden/>
              </w:rPr>
              <w:fldChar w:fldCharType="end"/>
            </w:r>
          </w:hyperlink>
        </w:p>
        <w:p w14:paraId="01A410A2" w14:textId="5BE7A534" w:rsidR="00A806F0" w:rsidRDefault="00A806F0">
          <w:pPr>
            <w:pStyle w:val="TOC1"/>
            <w:tabs>
              <w:tab w:val="left" w:pos="480"/>
            </w:tabs>
            <w:rPr>
              <w:rFonts w:asciiTheme="minorHAnsi" w:hAnsiTheme="minorHAnsi" w:cstheme="minorBidi"/>
              <w:sz w:val="22"/>
              <w:szCs w:val="22"/>
            </w:rPr>
          </w:pPr>
          <w:hyperlink w:anchor="_Toc64840474" w:history="1">
            <w:r w:rsidRPr="00EC20F0">
              <w:rPr>
                <w:rStyle w:val="Hyperlink"/>
              </w:rPr>
              <w:t>2.</w:t>
            </w:r>
            <w:r>
              <w:rPr>
                <w:rFonts w:asciiTheme="minorHAnsi" w:hAnsiTheme="minorHAnsi" w:cstheme="minorBidi"/>
                <w:sz w:val="22"/>
                <w:szCs w:val="22"/>
              </w:rPr>
              <w:tab/>
            </w:r>
            <w:r w:rsidRPr="00EC20F0">
              <w:rPr>
                <w:rStyle w:val="Hyperlink"/>
              </w:rPr>
              <w:t>Company Background</w:t>
            </w:r>
            <w:r>
              <w:rPr>
                <w:webHidden/>
              </w:rPr>
              <w:tab/>
            </w:r>
            <w:r>
              <w:rPr>
                <w:webHidden/>
              </w:rPr>
              <w:fldChar w:fldCharType="begin"/>
            </w:r>
            <w:r>
              <w:rPr>
                <w:webHidden/>
              </w:rPr>
              <w:instrText xml:space="preserve"> PAGEREF _Toc64840474 \h </w:instrText>
            </w:r>
            <w:r>
              <w:rPr>
                <w:webHidden/>
              </w:rPr>
            </w:r>
            <w:r>
              <w:rPr>
                <w:webHidden/>
              </w:rPr>
              <w:fldChar w:fldCharType="separate"/>
            </w:r>
            <w:r>
              <w:rPr>
                <w:webHidden/>
              </w:rPr>
              <w:t>- 7 -</w:t>
            </w:r>
            <w:r>
              <w:rPr>
                <w:webHidden/>
              </w:rPr>
              <w:fldChar w:fldCharType="end"/>
            </w:r>
          </w:hyperlink>
        </w:p>
        <w:p w14:paraId="0E1ECF20" w14:textId="209EFA78" w:rsidR="00A806F0" w:rsidRDefault="00A806F0">
          <w:pPr>
            <w:pStyle w:val="TOC2"/>
            <w:tabs>
              <w:tab w:val="left" w:pos="880"/>
              <w:tab w:val="right" w:leader="hyphen" w:pos="9060"/>
            </w:tabs>
            <w:rPr>
              <w:rFonts w:asciiTheme="minorHAnsi" w:hAnsiTheme="minorHAnsi" w:cstheme="minorBidi"/>
              <w:sz w:val="22"/>
              <w:szCs w:val="22"/>
            </w:rPr>
          </w:pPr>
          <w:hyperlink w:anchor="_Toc64840475" w:history="1">
            <w:r w:rsidRPr="00EC20F0">
              <w:rPr>
                <w:rStyle w:val="Hyperlink"/>
              </w:rPr>
              <w:t>2.1</w:t>
            </w:r>
            <w:r>
              <w:rPr>
                <w:rFonts w:asciiTheme="minorHAnsi" w:hAnsiTheme="minorHAnsi" w:cstheme="minorBidi"/>
                <w:sz w:val="22"/>
                <w:szCs w:val="22"/>
              </w:rPr>
              <w:tab/>
            </w:r>
            <w:r w:rsidRPr="00EC20F0">
              <w:rPr>
                <w:rStyle w:val="Hyperlink"/>
              </w:rPr>
              <w:t>History in Hong Kong</w:t>
            </w:r>
            <w:r>
              <w:rPr>
                <w:webHidden/>
              </w:rPr>
              <w:tab/>
            </w:r>
            <w:r>
              <w:rPr>
                <w:webHidden/>
              </w:rPr>
              <w:fldChar w:fldCharType="begin"/>
            </w:r>
            <w:r>
              <w:rPr>
                <w:webHidden/>
              </w:rPr>
              <w:instrText xml:space="preserve"> PAGEREF _Toc64840475 \h </w:instrText>
            </w:r>
            <w:r>
              <w:rPr>
                <w:webHidden/>
              </w:rPr>
            </w:r>
            <w:r>
              <w:rPr>
                <w:webHidden/>
              </w:rPr>
              <w:fldChar w:fldCharType="separate"/>
            </w:r>
            <w:r>
              <w:rPr>
                <w:webHidden/>
              </w:rPr>
              <w:t>- 8 -</w:t>
            </w:r>
            <w:r>
              <w:rPr>
                <w:webHidden/>
              </w:rPr>
              <w:fldChar w:fldCharType="end"/>
            </w:r>
          </w:hyperlink>
        </w:p>
        <w:p w14:paraId="4EFCC1E9" w14:textId="1C232499" w:rsidR="00A806F0" w:rsidRDefault="00A806F0">
          <w:pPr>
            <w:pStyle w:val="TOC2"/>
            <w:tabs>
              <w:tab w:val="left" w:pos="880"/>
              <w:tab w:val="right" w:leader="hyphen" w:pos="9060"/>
            </w:tabs>
            <w:rPr>
              <w:rFonts w:asciiTheme="minorHAnsi" w:hAnsiTheme="minorHAnsi" w:cstheme="minorBidi"/>
              <w:sz w:val="22"/>
              <w:szCs w:val="22"/>
            </w:rPr>
          </w:pPr>
          <w:hyperlink w:anchor="_Toc64840476" w:history="1">
            <w:r w:rsidRPr="00EC20F0">
              <w:rPr>
                <w:rStyle w:val="Hyperlink"/>
              </w:rPr>
              <w:t>2.2</w:t>
            </w:r>
            <w:r>
              <w:rPr>
                <w:rFonts w:asciiTheme="minorHAnsi" w:hAnsiTheme="minorHAnsi" w:cstheme="minorBidi"/>
                <w:sz w:val="22"/>
                <w:szCs w:val="22"/>
              </w:rPr>
              <w:tab/>
            </w:r>
            <w:r w:rsidRPr="00EC20F0">
              <w:rPr>
                <w:rStyle w:val="Hyperlink"/>
              </w:rPr>
              <w:t>Product portfolio</w:t>
            </w:r>
            <w:r>
              <w:rPr>
                <w:webHidden/>
              </w:rPr>
              <w:tab/>
            </w:r>
            <w:r>
              <w:rPr>
                <w:webHidden/>
              </w:rPr>
              <w:fldChar w:fldCharType="begin"/>
            </w:r>
            <w:r>
              <w:rPr>
                <w:webHidden/>
              </w:rPr>
              <w:instrText xml:space="preserve"> PAGEREF _Toc64840476 \h </w:instrText>
            </w:r>
            <w:r>
              <w:rPr>
                <w:webHidden/>
              </w:rPr>
            </w:r>
            <w:r>
              <w:rPr>
                <w:webHidden/>
              </w:rPr>
              <w:fldChar w:fldCharType="separate"/>
            </w:r>
            <w:r>
              <w:rPr>
                <w:webHidden/>
              </w:rPr>
              <w:t>- 9 -</w:t>
            </w:r>
            <w:r>
              <w:rPr>
                <w:webHidden/>
              </w:rPr>
              <w:fldChar w:fldCharType="end"/>
            </w:r>
          </w:hyperlink>
        </w:p>
        <w:p w14:paraId="51A7F155" w14:textId="2F56D3F1" w:rsidR="00A806F0" w:rsidRDefault="00A806F0">
          <w:pPr>
            <w:pStyle w:val="TOC3"/>
            <w:tabs>
              <w:tab w:val="right" w:leader="hyphen" w:pos="9060"/>
            </w:tabs>
            <w:rPr>
              <w:rFonts w:asciiTheme="minorHAnsi" w:hAnsiTheme="minorHAnsi" w:cstheme="minorBidi"/>
              <w:sz w:val="22"/>
              <w:szCs w:val="22"/>
            </w:rPr>
          </w:pPr>
          <w:hyperlink w:anchor="_Toc64840477" w:history="1">
            <w:r w:rsidRPr="00EC20F0">
              <w:rPr>
                <w:rStyle w:val="Hyperlink"/>
              </w:rPr>
              <w:t>2.3 Revenue in China and Hong Kong</w:t>
            </w:r>
            <w:r>
              <w:rPr>
                <w:webHidden/>
              </w:rPr>
              <w:tab/>
            </w:r>
            <w:r>
              <w:rPr>
                <w:webHidden/>
              </w:rPr>
              <w:fldChar w:fldCharType="begin"/>
            </w:r>
            <w:r>
              <w:rPr>
                <w:webHidden/>
              </w:rPr>
              <w:instrText xml:space="preserve"> PAGEREF _Toc64840477 \h </w:instrText>
            </w:r>
            <w:r>
              <w:rPr>
                <w:webHidden/>
              </w:rPr>
            </w:r>
            <w:r>
              <w:rPr>
                <w:webHidden/>
              </w:rPr>
              <w:fldChar w:fldCharType="separate"/>
            </w:r>
            <w:r>
              <w:rPr>
                <w:webHidden/>
              </w:rPr>
              <w:t>- 10 -</w:t>
            </w:r>
            <w:r>
              <w:rPr>
                <w:webHidden/>
              </w:rPr>
              <w:fldChar w:fldCharType="end"/>
            </w:r>
          </w:hyperlink>
        </w:p>
        <w:p w14:paraId="32E21868" w14:textId="2DBEBD03" w:rsidR="00A806F0" w:rsidRDefault="00A806F0">
          <w:pPr>
            <w:pStyle w:val="TOC2"/>
            <w:tabs>
              <w:tab w:val="left" w:pos="880"/>
              <w:tab w:val="right" w:leader="hyphen" w:pos="9060"/>
            </w:tabs>
            <w:rPr>
              <w:rFonts w:asciiTheme="minorHAnsi" w:hAnsiTheme="minorHAnsi" w:cstheme="minorBidi"/>
              <w:sz w:val="22"/>
              <w:szCs w:val="22"/>
            </w:rPr>
          </w:pPr>
          <w:hyperlink w:anchor="_Toc64840478" w:history="1">
            <w:r w:rsidRPr="00EC20F0">
              <w:rPr>
                <w:rStyle w:val="Hyperlink"/>
              </w:rPr>
              <w:t>2.3</w:t>
            </w:r>
            <w:r>
              <w:rPr>
                <w:rFonts w:asciiTheme="minorHAnsi" w:hAnsiTheme="minorHAnsi" w:cstheme="minorBidi"/>
                <w:sz w:val="22"/>
                <w:szCs w:val="22"/>
              </w:rPr>
              <w:tab/>
            </w:r>
            <w:r w:rsidRPr="00EC20F0">
              <w:rPr>
                <w:rStyle w:val="Hyperlink"/>
              </w:rPr>
              <w:t>Industry competition</w:t>
            </w:r>
            <w:r>
              <w:rPr>
                <w:webHidden/>
              </w:rPr>
              <w:tab/>
            </w:r>
            <w:r>
              <w:rPr>
                <w:webHidden/>
              </w:rPr>
              <w:fldChar w:fldCharType="begin"/>
            </w:r>
            <w:r>
              <w:rPr>
                <w:webHidden/>
              </w:rPr>
              <w:instrText xml:space="preserve"> PAGEREF _Toc64840478 \h </w:instrText>
            </w:r>
            <w:r>
              <w:rPr>
                <w:webHidden/>
              </w:rPr>
            </w:r>
            <w:r>
              <w:rPr>
                <w:webHidden/>
              </w:rPr>
              <w:fldChar w:fldCharType="separate"/>
            </w:r>
            <w:r>
              <w:rPr>
                <w:webHidden/>
              </w:rPr>
              <w:t>- 12 -</w:t>
            </w:r>
            <w:r>
              <w:rPr>
                <w:webHidden/>
              </w:rPr>
              <w:fldChar w:fldCharType="end"/>
            </w:r>
          </w:hyperlink>
        </w:p>
        <w:p w14:paraId="26CF0F0C" w14:textId="0C279E03" w:rsidR="00A806F0" w:rsidRDefault="00A806F0">
          <w:pPr>
            <w:pStyle w:val="TOC1"/>
            <w:tabs>
              <w:tab w:val="left" w:pos="480"/>
            </w:tabs>
            <w:rPr>
              <w:rFonts w:asciiTheme="minorHAnsi" w:hAnsiTheme="minorHAnsi" w:cstheme="minorBidi"/>
              <w:sz w:val="22"/>
              <w:szCs w:val="22"/>
            </w:rPr>
          </w:pPr>
          <w:hyperlink w:anchor="_Toc64840479" w:history="1">
            <w:r w:rsidRPr="00EC20F0">
              <w:rPr>
                <w:rStyle w:val="Hyperlink"/>
              </w:rPr>
              <w:t>3.</w:t>
            </w:r>
            <w:r>
              <w:rPr>
                <w:rFonts w:asciiTheme="minorHAnsi" w:hAnsiTheme="minorHAnsi" w:cstheme="minorBidi"/>
                <w:sz w:val="22"/>
                <w:szCs w:val="22"/>
              </w:rPr>
              <w:tab/>
            </w:r>
            <w:r w:rsidRPr="00EC20F0">
              <w:rPr>
                <w:rStyle w:val="Hyperlink"/>
              </w:rPr>
              <w:t>Business Performance under COVID-19 outbreak</w:t>
            </w:r>
            <w:r>
              <w:rPr>
                <w:webHidden/>
              </w:rPr>
              <w:tab/>
            </w:r>
            <w:r>
              <w:rPr>
                <w:webHidden/>
              </w:rPr>
              <w:fldChar w:fldCharType="begin"/>
            </w:r>
            <w:r>
              <w:rPr>
                <w:webHidden/>
              </w:rPr>
              <w:instrText xml:space="preserve"> PAGEREF _Toc64840479 \h </w:instrText>
            </w:r>
            <w:r>
              <w:rPr>
                <w:webHidden/>
              </w:rPr>
            </w:r>
            <w:r>
              <w:rPr>
                <w:webHidden/>
              </w:rPr>
              <w:fldChar w:fldCharType="separate"/>
            </w:r>
            <w:r>
              <w:rPr>
                <w:webHidden/>
              </w:rPr>
              <w:t>- 14 -</w:t>
            </w:r>
            <w:r>
              <w:rPr>
                <w:webHidden/>
              </w:rPr>
              <w:fldChar w:fldCharType="end"/>
            </w:r>
          </w:hyperlink>
        </w:p>
        <w:p w14:paraId="7080FADA" w14:textId="6F9D91C4" w:rsidR="00A806F0" w:rsidRDefault="00A806F0">
          <w:pPr>
            <w:pStyle w:val="TOC2"/>
            <w:tabs>
              <w:tab w:val="left" w:pos="880"/>
              <w:tab w:val="right" w:leader="hyphen" w:pos="9060"/>
            </w:tabs>
            <w:rPr>
              <w:rFonts w:asciiTheme="minorHAnsi" w:hAnsiTheme="minorHAnsi" w:cstheme="minorBidi"/>
              <w:sz w:val="22"/>
              <w:szCs w:val="22"/>
            </w:rPr>
          </w:pPr>
          <w:hyperlink w:anchor="_Toc64840480" w:history="1">
            <w:r w:rsidRPr="00EC20F0">
              <w:rPr>
                <w:rStyle w:val="Hyperlink"/>
              </w:rPr>
              <w:t>3.1</w:t>
            </w:r>
            <w:r>
              <w:rPr>
                <w:rFonts w:asciiTheme="minorHAnsi" w:hAnsiTheme="minorHAnsi" w:cstheme="minorBidi"/>
                <w:sz w:val="22"/>
                <w:szCs w:val="22"/>
              </w:rPr>
              <w:tab/>
            </w:r>
            <w:r w:rsidRPr="00EC20F0">
              <w:rPr>
                <w:rStyle w:val="Hyperlink"/>
              </w:rPr>
              <w:t>Changes in cost structure</w:t>
            </w:r>
            <w:r>
              <w:rPr>
                <w:webHidden/>
              </w:rPr>
              <w:tab/>
            </w:r>
            <w:r>
              <w:rPr>
                <w:webHidden/>
              </w:rPr>
              <w:fldChar w:fldCharType="begin"/>
            </w:r>
            <w:r>
              <w:rPr>
                <w:webHidden/>
              </w:rPr>
              <w:instrText xml:space="preserve"> PAGEREF _Toc64840480 \h </w:instrText>
            </w:r>
            <w:r>
              <w:rPr>
                <w:webHidden/>
              </w:rPr>
            </w:r>
            <w:r>
              <w:rPr>
                <w:webHidden/>
              </w:rPr>
              <w:fldChar w:fldCharType="separate"/>
            </w:r>
            <w:r>
              <w:rPr>
                <w:webHidden/>
              </w:rPr>
              <w:t>- 14 -</w:t>
            </w:r>
            <w:r>
              <w:rPr>
                <w:webHidden/>
              </w:rPr>
              <w:fldChar w:fldCharType="end"/>
            </w:r>
          </w:hyperlink>
        </w:p>
        <w:p w14:paraId="1F245F94" w14:textId="6F256E1D" w:rsidR="00A806F0" w:rsidRDefault="00A806F0">
          <w:pPr>
            <w:pStyle w:val="TOC2"/>
            <w:tabs>
              <w:tab w:val="left" w:pos="880"/>
              <w:tab w:val="right" w:leader="hyphen" w:pos="9060"/>
            </w:tabs>
            <w:rPr>
              <w:rFonts w:asciiTheme="minorHAnsi" w:hAnsiTheme="minorHAnsi" w:cstheme="minorBidi"/>
              <w:sz w:val="22"/>
              <w:szCs w:val="22"/>
            </w:rPr>
          </w:pPr>
          <w:hyperlink w:anchor="_Toc64840481" w:history="1">
            <w:r w:rsidRPr="00EC20F0">
              <w:rPr>
                <w:rStyle w:val="Hyperlink"/>
              </w:rPr>
              <w:t>3.2</w:t>
            </w:r>
            <w:r>
              <w:rPr>
                <w:rFonts w:asciiTheme="minorHAnsi" w:hAnsiTheme="minorHAnsi" w:cstheme="minorBidi"/>
                <w:sz w:val="22"/>
                <w:szCs w:val="22"/>
              </w:rPr>
              <w:tab/>
            </w:r>
            <w:r w:rsidRPr="00EC20F0">
              <w:rPr>
                <w:rStyle w:val="Hyperlink"/>
              </w:rPr>
              <w:t>Changes in revenue structure</w:t>
            </w:r>
            <w:r>
              <w:rPr>
                <w:webHidden/>
              </w:rPr>
              <w:tab/>
            </w:r>
            <w:r>
              <w:rPr>
                <w:webHidden/>
              </w:rPr>
              <w:fldChar w:fldCharType="begin"/>
            </w:r>
            <w:r>
              <w:rPr>
                <w:webHidden/>
              </w:rPr>
              <w:instrText xml:space="preserve"> PAGEREF _Toc64840481 \h </w:instrText>
            </w:r>
            <w:r>
              <w:rPr>
                <w:webHidden/>
              </w:rPr>
            </w:r>
            <w:r>
              <w:rPr>
                <w:webHidden/>
              </w:rPr>
              <w:fldChar w:fldCharType="separate"/>
            </w:r>
            <w:r>
              <w:rPr>
                <w:webHidden/>
              </w:rPr>
              <w:t>- 17 -</w:t>
            </w:r>
            <w:r>
              <w:rPr>
                <w:webHidden/>
              </w:rPr>
              <w:fldChar w:fldCharType="end"/>
            </w:r>
          </w:hyperlink>
        </w:p>
        <w:p w14:paraId="51737746" w14:textId="79CF646B" w:rsidR="00A806F0" w:rsidRDefault="00A806F0">
          <w:pPr>
            <w:pStyle w:val="TOC2"/>
            <w:tabs>
              <w:tab w:val="left" w:pos="880"/>
              <w:tab w:val="right" w:leader="hyphen" w:pos="9060"/>
            </w:tabs>
            <w:rPr>
              <w:rFonts w:asciiTheme="minorHAnsi" w:hAnsiTheme="minorHAnsi" w:cstheme="minorBidi"/>
              <w:sz w:val="22"/>
              <w:szCs w:val="22"/>
            </w:rPr>
          </w:pPr>
          <w:hyperlink w:anchor="_Toc64840482" w:history="1">
            <w:r w:rsidRPr="00EC20F0">
              <w:rPr>
                <w:rStyle w:val="Hyperlink"/>
              </w:rPr>
              <w:t>3.3</w:t>
            </w:r>
            <w:r>
              <w:rPr>
                <w:rFonts w:asciiTheme="minorHAnsi" w:hAnsiTheme="minorHAnsi" w:cstheme="minorBidi"/>
                <w:sz w:val="22"/>
                <w:szCs w:val="22"/>
              </w:rPr>
              <w:tab/>
            </w:r>
            <w:r w:rsidRPr="00EC20F0">
              <w:rPr>
                <w:rStyle w:val="Hyperlink"/>
              </w:rPr>
              <w:t>Macroeconomic environment</w:t>
            </w:r>
            <w:r>
              <w:rPr>
                <w:webHidden/>
              </w:rPr>
              <w:tab/>
            </w:r>
            <w:r>
              <w:rPr>
                <w:webHidden/>
              </w:rPr>
              <w:fldChar w:fldCharType="begin"/>
            </w:r>
            <w:r>
              <w:rPr>
                <w:webHidden/>
              </w:rPr>
              <w:instrText xml:space="preserve"> PAGEREF _Toc64840482 \h </w:instrText>
            </w:r>
            <w:r>
              <w:rPr>
                <w:webHidden/>
              </w:rPr>
            </w:r>
            <w:r>
              <w:rPr>
                <w:webHidden/>
              </w:rPr>
              <w:fldChar w:fldCharType="separate"/>
            </w:r>
            <w:r>
              <w:rPr>
                <w:webHidden/>
              </w:rPr>
              <w:t>- 19 -</w:t>
            </w:r>
            <w:r>
              <w:rPr>
                <w:webHidden/>
              </w:rPr>
              <w:fldChar w:fldCharType="end"/>
            </w:r>
          </w:hyperlink>
        </w:p>
        <w:p w14:paraId="55B38F58" w14:textId="700CCF3C" w:rsidR="00A806F0" w:rsidRDefault="00A806F0">
          <w:pPr>
            <w:pStyle w:val="TOC1"/>
            <w:tabs>
              <w:tab w:val="left" w:pos="480"/>
            </w:tabs>
            <w:rPr>
              <w:rFonts w:asciiTheme="minorHAnsi" w:hAnsiTheme="minorHAnsi" w:cstheme="minorBidi"/>
              <w:sz w:val="22"/>
              <w:szCs w:val="22"/>
            </w:rPr>
          </w:pPr>
          <w:hyperlink w:anchor="_Toc64840483" w:history="1">
            <w:r w:rsidRPr="00EC20F0">
              <w:rPr>
                <w:rStyle w:val="Hyperlink"/>
              </w:rPr>
              <w:t>4.</w:t>
            </w:r>
            <w:r>
              <w:rPr>
                <w:rFonts w:asciiTheme="minorHAnsi" w:hAnsiTheme="minorHAnsi" w:cstheme="minorBidi"/>
                <w:sz w:val="22"/>
                <w:szCs w:val="22"/>
              </w:rPr>
              <w:tab/>
            </w:r>
            <w:r w:rsidRPr="00EC20F0">
              <w:rPr>
                <w:rStyle w:val="Hyperlink"/>
              </w:rPr>
              <w:t>Analysis and discussion</w:t>
            </w:r>
            <w:r>
              <w:rPr>
                <w:webHidden/>
              </w:rPr>
              <w:tab/>
            </w:r>
            <w:r>
              <w:rPr>
                <w:webHidden/>
              </w:rPr>
              <w:fldChar w:fldCharType="begin"/>
            </w:r>
            <w:r>
              <w:rPr>
                <w:webHidden/>
              </w:rPr>
              <w:instrText xml:space="preserve"> PAGEREF _Toc64840483 \h </w:instrText>
            </w:r>
            <w:r>
              <w:rPr>
                <w:webHidden/>
              </w:rPr>
            </w:r>
            <w:r>
              <w:rPr>
                <w:webHidden/>
              </w:rPr>
              <w:fldChar w:fldCharType="separate"/>
            </w:r>
            <w:r>
              <w:rPr>
                <w:webHidden/>
              </w:rPr>
              <w:t>- 23 -</w:t>
            </w:r>
            <w:r>
              <w:rPr>
                <w:webHidden/>
              </w:rPr>
              <w:fldChar w:fldCharType="end"/>
            </w:r>
          </w:hyperlink>
        </w:p>
        <w:p w14:paraId="648F17C8" w14:textId="759E462A" w:rsidR="00A806F0" w:rsidRDefault="00A806F0">
          <w:pPr>
            <w:pStyle w:val="TOC2"/>
            <w:tabs>
              <w:tab w:val="left" w:pos="880"/>
              <w:tab w:val="right" w:leader="hyphen" w:pos="9060"/>
            </w:tabs>
            <w:rPr>
              <w:rFonts w:asciiTheme="minorHAnsi" w:hAnsiTheme="minorHAnsi" w:cstheme="minorBidi"/>
              <w:sz w:val="22"/>
              <w:szCs w:val="22"/>
            </w:rPr>
          </w:pPr>
          <w:hyperlink w:anchor="_Toc64840484" w:history="1">
            <w:r w:rsidRPr="00EC20F0">
              <w:rPr>
                <w:rStyle w:val="Hyperlink"/>
              </w:rPr>
              <w:t>4.1</w:t>
            </w:r>
            <w:r>
              <w:rPr>
                <w:rFonts w:asciiTheme="minorHAnsi" w:hAnsiTheme="minorHAnsi" w:cstheme="minorBidi"/>
                <w:sz w:val="22"/>
                <w:szCs w:val="22"/>
              </w:rPr>
              <w:tab/>
            </w:r>
            <w:r w:rsidRPr="00EC20F0">
              <w:rPr>
                <w:rStyle w:val="Hyperlink"/>
              </w:rPr>
              <w:t>Challenges and opportunities facing the company</w:t>
            </w:r>
            <w:r>
              <w:rPr>
                <w:webHidden/>
              </w:rPr>
              <w:tab/>
            </w:r>
            <w:r>
              <w:rPr>
                <w:webHidden/>
              </w:rPr>
              <w:fldChar w:fldCharType="begin"/>
            </w:r>
            <w:r>
              <w:rPr>
                <w:webHidden/>
              </w:rPr>
              <w:instrText xml:space="preserve"> PAGEREF _Toc64840484 \h </w:instrText>
            </w:r>
            <w:r>
              <w:rPr>
                <w:webHidden/>
              </w:rPr>
            </w:r>
            <w:r>
              <w:rPr>
                <w:webHidden/>
              </w:rPr>
              <w:fldChar w:fldCharType="separate"/>
            </w:r>
            <w:r>
              <w:rPr>
                <w:webHidden/>
              </w:rPr>
              <w:t>- 23 -</w:t>
            </w:r>
            <w:r>
              <w:rPr>
                <w:webHidden/>
              </w:rPr>
              <w:fldChar w:fldCharType="end"/>
            </w:r>
          </w:hyperlink>
        </w:p>
        <w:p w14:paraId="60903450" w14:textId="763BC6CA" w:rsidR="00A806F0" w:rsidRDefault="00A806F0">
          <w:pPr>
            <w:pStyle w:val="TOC2"/>
            <w:tabs>
              <w:tab w:val="left" w:pos="880"/>
              <w:tab w:val="right" w:leader="hyphen" w:pos="9060"/>
            </w:tabs>
            <w:rPr>
              <w:rFonts w:asciiTheme="minorHAnsi" w:hAnsiTheme="minorHAnsi" w:cstheme="minorBidi"/>
              <w:sz w:val="22"/>
              <w:szCs w:val="22"/>
            </w:rPr>
          </w:pPr>
          <w:hyperlink w:anchor="_Toc64840485" w:history="1">
            <w:r w:rsidRPr="00EC20F0">
              <w:rPr>
                <w:rStyle w:val="Hyperlink"/>
              </w:rPr>
              <w:t>4.2</w:t>
            </w:r>
            <w:r>
              <w:rPr>
                <w:rFonts w:asciiTheme="minorHAnsi" w:hAnsiTheme="minorHAnsi" w:cstheme="minorBidi"/>
                <w:sz w:val="22"/>
                <w:szCs w:val="22"/>
              </w:rPr>
              <w:tab/>
            </w:r>
            <w:r w:rsidRPr="00EC20F0">
              <w:rPr>
                <w:rStyle w:val="Hyperlink"/>
              </w:rPr>
              <w:t>Business continuity plan</w:t>
            </w:r>
            <w:r>
              <w:rPr>
                <w:webHidden/>
              </w:rPr>
              <w:tab/>
            </w:r>
            <w:r>
              <w:rPr>
                <w:webHidden/>
              </w:rPr>
              <w:fldChar w:fldCharType="begin"/>
            </w:r>
            <w:r>
              <w:rPr>
                <w:webHidden/>
              </w:rPr>
              <w:instrText xml:space="preserve"> PAGEREF _Toc64840485 \h </w:instrText>
            </w:r>
            <w:r>
              <w:rPr>
                <w:webHidden/>
              </w:rPr>
            </w:r>
            <w:r>
              <w:rPr>
                <w:webHidden/>
              </w:rPr>
              <w:fldChar w:fldCharType="separate"/>
            </w:r>
            <w:r>
              <w:rPr>
                <w:webHidden/>
              </w:rPr>
              <w:t>- 26 -</w:t>
            </w:r>
            <w:r>
              <w:rPr>
                <w:webHidden/>
              </w:rPr>
              <w:fldChar w:fldCharType="end"/>
            </w:r>
          </w:hyperlink>
        </w:p>
        <w:p w14:paraId="1733C70B" w14:textId="47298B7B" w:rsidR="00A806F0" w:rsidRDefault="00A806F0">
          <w:pPr>
            <w:pStyle w:val="TOC1"/>
            <w:tabs>
              <w:tab w:val="left" w:pos="480"/>
            </w:tabs>
            <w:rPr>
              <w:rFonts w:asciiTheme="minorHAnsi" w:hAnsiTheme="minorHAnsi" w:cstheme="minorBidi"/>
              <w:sz w:val="22"/>
              <w:szCs w:val="22"/>
            </w:rPr>
          </w:pPr>
          <w:hyperlink w:anchor="_Toc64840486" w:history="1">
            <w:r w:rsidRPr="00EC20F0">
              <w:rPr>
                <w:rStyle w:val="Hyperlink"/>
              </w:rPr>
              <w:t>5.</w:t>
            </w:r>
            <w:r>
              <w:rPr>
                <w:rFonts w:asciiTheme="minorHAnsi" w:hAnsiTheme="minorHAnsi" w:cstheme="minorBidi"/>
                <w:sz w:val="22"/>
                <w:szCs w:val="22"/>
              </w:rPr>
              <w:tab/>
            </w:r>
            <w:r w:rsidRPr="00EC20F0">
              <w:rPr>
                <w:rStyle w:val="Hyperlink"/>
              </w:rPr>
              <w:t>Conclusion and recommendations</w:t>
            </w:r>
            <w:r>
              <w:rPr>
                <w:webHidden/>
              </w:rPr>
              <w:tab/>
            </w:r>
            <w:r>
              <w:rPr>
                <w:webHidden/>
              </w:rPr>
              <w:fldChar w:fldCharType="begin"/>
            </w:r>
            <w:r>
              <w:rPr>
                <w:webHidden/>
              </w:rPr>
              <w:instrText xml:space="preserve"> PAGEREF _Toc64840486 \h </w:instrText>
            </w:r>
            <w:r>
              <w:rPr>
                <w:webHidden/>
              </w:rPr>
            </w:r>
            <w:r>
              <w:rPr>
                <w:webHidden/>
              </w:rPr>
              <w:fldChar w:fldCharType="separate"/>
            </w:r>
            <w:r>
              <w:rPr>
                <w:webHidden/>
              </w:rPr>
              <w:t>- 26 -</w:t>
            </w:r>
            <w:r>
              <w:rPr>
                <w:webHidden/>
              </w:rPr>
              <w:fldChar w:fldCharType="end"/>
            </w:r>
          </w:hyperlink>
        </w:p>
        <w:p w14:paraId="3867ACA4" w14:textId="712EAAB0" w:rsidR="00A806F0" w:rsidRDefault="00A806F0">
          <w:pPr>
            <w:pStyle w:val="TOC2"/>
            <w:tabs>
              <w:tab w:val="left" w:pos="880"/>
              <w:tab w:val="right" w:leader="hyphen" w:pos="9060"/>
            </w:tabs>
            <w:rPr>
              <w:rFonts w:asciiTheme="minorHAnsi" w:hAnsiTheme="minorHAnsi" w:cstheme="minorBidi"/>
              <w:sz w:val="22"/>
              <w:szCs w:val="22"/>
            </w:rPr>
          </w:pPr>
          <w:hyperlink w:anchor="_Toc64840487" w:history="1">
            <w:r w:rsidRPr="00EC20F0">
              <w:rPr>
                <w:rStyle w:val="Hyperlink"/>
              </w:rPr>
              <w:t>5.1</w:t>
            </w:r>
            <w:r>
              <w:rPr>
                <w:rFonts w:asciiTheme="minorHAnsi" w:hAnsiTheme="minorHAnsi" w:cstheme="minorBidi"/>
                <w:sz w:val="22"/>
                <w:szCs w:val="22"/>
              </w:rPr>
              <w:tab/>
            </w:r>
            <w:r w:rsidRPr="00EC20F0">
              <w:rPr>
                <w:rStyle w:val="Hyperlink"/>
              </w:rPr>
              <w:t>Conclusion</w:t>
            </w:r>
            <w:r>
              <w:rPr>
                <w:webHidden/>
              </w:rPr>
              <w:tab/>
            </w:r>
            <w:r>
              <w:rPr>
                <w:webHidden/>
              </w:rPr>
              <w:fldChar w:fldCharType="begin"/>
            </w:r>
            <w:r>
              <w:rPr>
                <w:webHidden/>
              </w:rPr>
              <w:instrText xml:space="preserve"> PAGEREF _Toc64840487 \h </w:instrText>
            </w:r>
            <w:r>
              <w:rPr>
                <w:webHidden/>
              </w:rPr>
            </w:r>
            <w:r>
              <w:rPr>
                <w:webHidden/>
              </w:rPr>
              <w:fldChar w:fldCharType="separate"/>
            </w:r>
            <w:r>
              <w:rPr>
                <w:webHidden/>
              </w:rPr>
              <w:t>- 26 -</w:t>
            </w:r>
            <w:r>
              <w:rPr>
                <w:webHidden/>
              </w:rPr>
              <w:fldChar w:fldCharType="end"/>
            </w:r>
          </w:hyperlink>
        </w:p>
        <w:p w14:paraId="7C56D987" w14:textId="6E45266A" w:rsidR="00A806F0" w:rsidRDefault="00A806F0">
          <w:pPr>
            <w:pStyle w:val="TOC2"/>
            <w:tabs>
              <w:tab w:val="left" w:pos="880"/>
              <w:tab w:val="right" w:leader="hyphen" w:pos="9060"/>
            </w:tabs>
            <w:rPr>
              <w:rFonts w:asciiTheme="minorHAnsi" w:hAnsiTheme="minorHAnsi" w:cstheme="minorBidi"/>
              <w:sz w:val="22"/>
              <w:szCs w:val="22"/>
            </w:rPr>
          </w:pPr>
          <w:hyperlink w:anchor="_Toc64840488" w:history="1">
            <w:r w:rsidRPr="00EC20F0">
              <w:rPr>
                <w:rStyle w:val="Hyperlink"/>
              </w:rPr>
              <w:t>5.2</w:t>
            </w:r>
            <w:r>
              <w:rPr>
                <w:rFonts w:asciiTheme="minorHAnsi" w:hAnsiTheme="minorHAnsi" w:cstheme="minorBidi"/>
                <w:sz w:val="22"/>
                <w:szCs w:val="22"/>
              </w:rPr>
              <w:tab/>
            </w:r>
            <w:r w:rsidRPr="00EC20F0">
              <w:rPr>
                <w:rStyle w:val="Hyperlink"/>
              </w:rPr>
              <w:t>Recommendations</w:t>
            </w:r>
            <w:r>
              <w:rPr>
                <w:webHidden/>
              </w:rPr>
              <w:tab/>
            </w:r>
            <w:r>
              <w:rPr>
                <w:webHidden/>
              </w:rPr>
              <w:fldChar w:fldCharType="begin"/>
            </w:r>
            <w:r>
              <w:rPr>
                <w:webHidden/>
              </w:rPr>
              <w:instrText xml:space="preserve"> PAGEREF _Toc64840488 \h </w:instrText>
            </w:r>
            <w:r>
              <w:rPr>
                <w:webHidden/>
              </w:rPr>
            </w:r>
            <w:r>
              <w:rPr>
                <w:webHidden/>
              </w:rPr>
              <w:fldChar w:fldCharType="separate"/>
            </w:r>
            <w:r>
              <w:rPr>
                <w:webHidden/>
              </w:rPr>
              <w:t>- 27 -</w:t>
            </w:r>
            <w:r>
              <w:rPr>
                <w:webHidden/>
              </w:rPr>
              <w:fldChar w:fldCharType="end"/>
            </w:r>
          </w:hyperlink>
        </w:p>
        <w:p w14:paraId="2AE41AF6" w14:textId="501062BC" w:rsidR="00A806F0" w:rsidRDefault="00A806F0">
          <w:pPr>
            <w:pStyle w:val="TOC1"/>
            <w:tabs>
              <w:tab w:val="left" w:pos="480"/>
            </w:tabs>
            <w:rPr>
              <w:rFonts w:asciiTheme="minorHAnsi" w:hAnsiTheme="minorHAnsi" w:cstheme="minorBidi"/>
              <w:sz w:val="22"/>
              <w:szCs w:val="22"/>
            </w:rPr>
          </w:pPr>
          <w:hyperlink w:anchor="_Toc64840489" w:history="1">
            <w:r w:rsidRPr="00EC20F0">
              <w:rPr>
                <w:rStyle w:val="Hyperlink"/>
              </w:rPr>
              <w:t>6.</w:t>
            </w:r>
            <w:r>
              <w:rPr>
                <w:rFonts w:asciiTheme="minorHAnsi" w:hAnsiTheme="minorHAnsi" w:cstheme="minorBidi"/>
                <w:sz w:val="22"/>
                <w:szCs w:val="22"/>
              </w:rPr>
              <w:tab/>
            </w:r>
            <w:r w:rsidRPr="00EC20F0">
              <w:rPr>
                <w:rStyle w:val="Hyperlink"/>
              </w:rPr>
              <w:t>References</w:t>
            </w:r>
            <w:r>
              <w:rPr>
                <w:webHidden/>
              </w:rPr>
              <w:tab/>
            </w:r>
            <w:r>
              <w:rPr>
                <w:webHidden/>
              </w:rPr>
              <w:fldChar w:fldCharType="begin"/>
            </w:r>
            <w:r>
              <w:rPr>
                <w:webHidden/>
              </w:rPr>
              <w:instrText xml:space="preserve"> PAGEREF _Toc64840489 \h </w:instrText>
            </w:r>
            <w:r>
              <w:rPr>
                <w:webHidden/>
              </w:rPr>
            </w:r>
            <w:r>
              <w:rPr>
                <w:webHidden/>
              </w:rPr>
              <w:fldChar w:fldCharType="separate"/>
            </w:r>
            <w:r>
              <w:rPr>
                <w:webHidden/>
              </w:rPr>
              <w:t>- 30 -</w:t>
            </w:r>
            <w:r>
              <w:rPr>
                <w:webHidden/>
              </w:rPr>
              <w:fldChar w:fldCharType="end"/>
            </w:r>
          </w:hyperlink>
        </w:p>
        <w:p w14:paraId="6BB2E02B" w14:textId="0BEB2038" w:rsidR="00A9547E" w:rsidRPr="005B1C31" w:rsidRDefault="00A9547E" w:rsidP="00A36CD0">
          <w:pPr>
            <w:spacing w:line="240" w:lineRule="auto"/>
            <w:contextualSpacing/>
            <w:jc w:val="left"/>
          </w:pPr>
          <w:r w:rsidRPr="005B1C31">
            <w:fldChar w:fldCharType="end"/>
          </w:r>
        </w:p>
      </w:sdtContent>
    </w:sdt>
    <w:p w14:paraId="2A651023" w14:textId="77777777" w:rsidR="00917264" w:rsidRPr="005B1C31" w:rsidRDefault="00917264">
      <w:pPr>
        <w:spacing w:after="160" w:line="259" w:lineRule="auto"/>
        <w:jc w:val="left"/>
        <w:rPr>
          <w:rFonts w:eastAsiaTheme="majorEastAsia"/>
          <w:b/>
          <w:bCs/>
          <w:color w:val="000000" w:themeColor="text1"/>
        </w:rPr>
      </w:pPr>
      <w:r w:rsidRPr="005B1C31">
        <w:br w:type="page"/>
      </w:r>
    </w:p>
    <w:p w14:paraId="5A822878" w14:textId="6D1D6BF4" w:rsidR="00EA3293" w:rsidRDefault="00A9547E" w:rsidP="000506B5">
      <w:pPr>
        <w:pStyle w:val="Heading1"/>
        <w:numPr>
          <w:ilvl w:val="0"/>
          <w:numId w:val="0"/>
        </w:numPr>
        <w:ind w:left="360" w:hanging="360"/>
        <w:jc w:val="left"/>
      </w:pPr>
      <w:bookmarkStart w:id="0" w:name="_Toc64840470"/>
      <w:r w:rsidRPr="005B1C31">
        <w:lastRenderedPageBreak/>
        <w:t>List of Tables</w:t>
      </w:r>
      <w:bookmarkEnd w:id="0"/>
    </w:p>
    <w:p w14:paraId="380335B3" w14:textId="0BE038CE" w:rsidR="00A36CD0" w:rsidRPr="00A36CD0" w:rsidRDefault="009835DD">
      <w:pPr>
        <w:pStyle w:val="TableofFigures"/>
        <w:tabs>
          <w:tab w:val="right" w:pos="9060"/>
        </w:tabs>
        <w:rPr>
          <w:rFonts w:asciiTheme="minorHAnsi" w:hAnsiTheme="minorHAnsi" w:cstheme="minorBidi"/>
          <w:sz w:val="20"/>
          <w:szCs w:val="20"/>
        </w:rPr>
      </w:pPr>
      <w:r w:rsidRPr="00A36CD0">
        <w:rPr>
          <w:sz w:val="22"/>
          <w:szCs w:val="22"/>
        </w:rPr>
        <w:fldChar w:fldCharType="begin"/>
      </w:r>
      <w:r w:rsidRPr="00A36CD0">
        <w:rPr>
          <w:sz w:val="22"/>
          <w:szCs w:val="22"/>
        </w:rPr>
        <w:instrText xml:space="preserve"> TOC \h \z \c "Table" </w:instrText>
      </w:r>
      <w:r w:rsidRPr="00A36CD0">
        <w:rPr>
          <w:sz w:val="22"/>
          <w:szCs w:val="22"/>
        </w:rPr>
        <w:fldChar w:fldCharType="separate"/>
      </w:r>
      <w:hyperlink w:anchor="_Toc63295415" w:history="1">
        <w:r w:rsidR="00A36CD0" w:rsidRPr="00A36CD0">
          <w:rPr>
            <w:rStyle w:val="Hyperlink"/>
            <w:sz w:val="22"/>
            <w:szCs w:val="22"/>
          </w:rPr>
          <w:t>Table 1: Financial performance between 2011 and 2020</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_Toc63295415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- 11 -</w:t>
        </w:r>
        <w:r w:rsidR="00A36CD0" w:rsidRPr="00A36CD0">
          <w:rPr>
            <w:webHidden/>
            <w:sz w:val="22"/>
            <w:szCs w:val="22"/>
          </w:rPr>
          <w:fldChar w:fldCharType="end"/>
        </w:r>
      </w:hyperlink>
    </w:p>
    <w:p w14:paraId="6E2FD690" w14:textId="37B37E1F" w:rsidR="00A36CD0" w:rsidRPr="00A36CD0" w:rsidRDefault="00F05610">
      <w:pPr>
        <w:pStyle w:val="TableofFigures"/>
        <w:tabs>
          <w:tab w:val="right" w:pos="9060"/>
        </w:tabs>
        <w:rPr>
          <w:rFonts w:asciiTheme="minorHAnsi" w:hAnsiTheme="minorHAnsi" w:cstheme="minorBidi"/>
          <w:sz w:val="20"/>
          <w:szCs w:val="20"/>
        </w:rPr>
      </w:pPr>
      <w:hyperlink w:anchor="_Toc63295416" w:history="1">
        <w:r w:rsidR="00A36CD0" w:rsidRPr="00A36CD0">
          <w:rPr>
            <w:rStyle w:val="Hyperlink"/>
            <w:sz w:val="22"/>
            <w:szCs w:val="22"/>
          </w:rPr>
          <w:t>Table 2: CTFJ's SSSG</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_Toc63295416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- 12 -</w:t>
        </w:r>
        <w:r w:rsidR="00A36CD0" w:rsidRPr="00A36CD0">
          <w:rPr>
            <w:webHidden/>
            <w:sz w:val="22"/>
            <w:szCs w:val="22"/>
          </w:rPr>
          <w:fldChar w:fldCharType="end"/>
        </w:r>
      </w:hyperlink>
    </w:p>
    <w:p w14:paraId="3C47378B" w14:textId="4CA97486" w:rsidR="00A36CD0" w:rsidRPr="00A36CD0" w:rsidRDefault="00F05610">
      <w:pPr>
        <w:pStyle w:val="TableofFigures"/>
        <w:tabs>
          <w:tab w:val="right" w:pos="9060"/>
        </w:tabs>
        <w:rPr>
          <w:rFonts w:asciiTheme="minorHAnsi" w:hAnsiTheme="minorHAnsi" w:cstheme="minorBidi"/>
          <w:sz w:val="20"/>
          <w:szCs w:val="20"/>
        </w:rPr>
      </w:pPr>
      <w:hyperlink w:anchor="_Toc63295417" w:history="1">
        <w:r w:rsidR="00A36CD0" w:rsidRPr="00A36CD0">
          <w:rPr>
            <w:rStyle w:val="Hyperlink"/>
            <w:sz w:val="22"/>
            <w:szCs w:val="22"/>
          </w:rPr>
          <w:t>Table 3: Revenue of the top 10 companies in Hong Kong under the Watch &amp; Jewellery industry</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_Toc63295417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- 14 -</w:t>
        </w:r>
        <w:r w:rsidR="00A36CD0" w:rsidRPr="00A36CD0">
          <w:rPr>
            <w:webHidden/>
            <w:sz w:val="22"/>
            <w:szCs w:val="22"/>
          </w:rPr>
          <w:fldChar w:fldCharType="end"/>
        </w:r>
      </w:hyperlink>
    </w:p>
    <w:p w14:paraId="132A9243" w14:textId="20D904B9" w:rsidR="00A36CD0" w:rsidRPr="00A36CD0" w:rsidRDefault="00F05610">
      <w:pPr>
        <w:pStyle w:val="TableofFigures"/>
        <w:tabs>
          <w:tab w:val="right" w:pos="9060"/>
        </w:tabs>
        <w:rPr>
          <w:rFonts w:asciiTheme="minorHAnsi" w:hAnsiTheme="minorHAnsi" w:cstheme="minorBidi"/>
          <w:sz w:val="20"/>
          <w:szCs w:val="20"/>
        </w:rPr>
      </w:pPr>
      <w:hyperlink w:anchor="_Toc63295418" w:history="1">
        <w:r w:rsidR="00A36CD0" w:rsidRPr="00A36CD0">
          <w:rPr>
            <w:rStyle w:val="Hyperlink"/>
            <w:sz w:val="22"/>
            <w:szCs w:val="22"/>
          </w:rPr>
          <w:t>Table 4: Revenue by Region</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_Toc63295418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- 14 -</w:t>
        </w:r>
        <w:r w:rsidR="00A36CD0" w:rsidRPr="00A36CD0">
          <w:rPr>
            <w:webHidden/>
            <w:sz w:val="22"/>
            <w:szCs w:val="22"/>
          </w:rPr>
          <w:fldChar w:fldCharType="end"/>
        </w:r>
      </w:hyperlink>
    </w:p>
    <w:p w14:paraId="6339C1BF" w14:textId="3D85FA3A" w:rsidR="00A36CD0" w:rsidRPr="00A36CD0" w:rsidRDefault="00F05610">
      <w:pPr>
        <w:pStyle w:val="TableofFigures"/>
        <w:tabs>
          <w:tab w:val="right" w:pos="9060"/>
        </w:tabs>
        <w:rPr>
          <w:rFonts w:asciiTheme="minorHAnsi" w:hAnsiTheme="minorHAnsi" w:cstheme="minorBidi"/>
          <w:sz w:val="20"/>
          <w:szCs w:val="20"/>
        </w:rPr>
      </w:pPr>
      <w:hyperlink w:anchor="_Toc63295419" w:history="1">
        <w:r w:rsidR="00A36CD0" w:rsidRPr="00A36CD0">
          <w:rPr>
            <w:rStyle w:val="Hyperlink"/>
            <w:sz w:val="22"/>
            <w:szCs w:val="22"/>
          </w:rPr>
          <w:t>Table 5: Non-Current Assets Breakdown by Region as of FY2019</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_Toc63295419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- 15 -</w:t>
        </w:r>
        <w:r w:rsidR="00A36CD0" w:rsidRPr="00A36CD0">
          <w:rPr>
            <w:webHidden/>
            <w:sz w:val="22"/>
            <w:szCs w:val="22"/>
          </w:rPr>
          <w:fldChar w:fldCharType="end"/>
        </w:r>
      </w:hyperlink>
    </w:p>
    <w:p w14:paraId="39CA9913" w14:textId="12E4E76E" w:rsidR="00A36CD0" w:rsidRPr="00A36CD0" w:rsidRDefault="00F05610">
      <w:pPr>
        <w:pStyle w:val="TableofFigures"/>
        <w:tabs>
          <w:tab w:val="right" w:pos="9060"/>
        </w:tabs>
        <w:rPr>
          <w:rFonts w:asciiTheme="minorHAnsi" w:hAnsiTheme="minorHAnsi" w:cstheme="minorBidi"/>
          <w:sz w:val="20"/>
          <w:szCs w:val="20"/>
        </w:rPr>
      </w:pPr>
      <w:hyperlink w:anchor="_Toc63295420" w:history="1">
        <w:r w:rsidR="00A36CD0" w:rsidRPr="00A36CD0">
          <w:rPr>
            <w:rStyle w:val="Hyperlink"/>
            <w:sz w:val="22"/>
            <w:szCs w:val="22"/>
          </w:rPr>
          <w:t>Table 6: CTFJ's COGS</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_Toc63295420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- 18 -</w:t>
        </w:r>
        <w:r w:rsidR="00A36CD0" w:rsidRPr="00A36CD0">
          <w:rPr>
            <w:webHidden/>
            <w:sz w:val="22"/>
            <w:szCs w:val="22"/>
          </w:rPr>
          <w:fldChar w:fldCharType="end"/>
        </w:r>
      </w:hyperlink>
    </w:p>
    <w:p w14:paraId="2C5F3BD4" w14:textId="5A3CB04E" w:rsidR="00A36CD0" w:rsidRPr="00A36CD0" w:rsidRDefault="00F05610">
      <w:pPr>
        <w:pStyle w:val="TableofFigures"/>
        <w:tabs>
          <w:tab w:val="right" w:pos="9060"/>
        </w:tabs>
        <w:rPr>
          <w:rFonts w:asciiTheme="minorHAnsi" w:hAnsiTheme="minorHAnsi" w:cstheme="minorBidi"/>
          <w:sz w:val="20"/>
          <w:szCs w:val="20"/>
        </w:rPr>
      </w:pPr>
      <w:hyperlink w:anchor="_Toc63295421" w:history="1">
        <w:r w:rsidR="00A36CD0" w:rsidRPr="00A36CD0">
          <w:rPr>
            <w:rStyle w:val="Hyperlink"/>
            <w:sz w:val="22"/>
            <w:szCs w:val="22"/>
          </w:rPr>
          <w:t>Table 7: CTFJ's SG&amp;A</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_Toc63295421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- 18 -</w:t>
        </w:r>
        <w:r w:rsidR="00A36CD0" w:rsidRPr="00A36CD0">
          <w:rPr>
            <w:webHidden/>
            <w:sz w:val="22"/>
            <w:szCs w:val="22"/>
          </w:rPr>
          <w:fldChar w:fldCharType="end"/>
        </w:r>
      </w:hyperlink>
    </w:p>
    <w:p w14:paraId="5C870A42" w14:textId="5D2271B8" w:rsidR="00A36CD0" w:rsidRPr="00A36CD0" w:rsidRDefault="00F05610">
      <w:pPr>
        <w:pStyle w:val="TableofFigures"/>
        <w:tabs>
          <w:tab w:val="right" w:pos="9060"/>
        </w:tabs>
        <w:rPr>
          <w:rFonts w:asciiTheme="minorHAnsi" w:hAnsiTheme="minorHAnsi" w:cstheme="minorBidi"/>
          <w:sz w:val="20"/>
          <w:szCs w:val="20"/>
        </w:rPr>
      </w:pPr>
      <w:hyperlink w:anchor="_Toc63295422" w:history="1">
        <w:r w:rsidR="00A36CD0" w:rsidRPr="00A36CD0">
          <w:rPr>
            <w:rStyle w:val="Hyperlink"/>
            <w:sz w:val="22"/>
            <w:szCs w:val="22"/>
          </w:rPr>
          <w:t>Table 8: CTFJ's revenue structure</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_Toc63295422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- 19 -</w:t>
        </w:r>
        <w:r w:rsidR="00A36CD0" w:rsidRPr="00A36CD0">
          <w:rPr>
            <w:webHidden/>
            <w:sz w:val="22"/>
            <w:szCs w:val="22"/>
          </w:rPr>
          <w:fldChar w:fldCharType="end"/>
        </w:r>
      </w:hyperlink>
    </w:p>
    <w:p w14:paraId="43A16270" w14:textId="3AB075C4" w:rsidR="00A36CD0" w:rsidRPr="00A36CD0" w:rsidRDefault="00F05610">
      <w:pPr>
        <w:pStyle w:val="TableofFigures"/>
        <w:tabs>
          <w:tab w:val="right" w:pos="9060"/>
        </w:tabs>
        <w:rPr>
          <w:rFonts w:asciiTheme="minorHAnsi" w:hAnsiTheme="minorHAnsi" w:cstheme="minorBidi"/>
          <w:sz w:val="20"/>
          <w:szCs w:val="20"/>
        </w:rPr>
      </w:pPr>
      <w:hyperlink w:anchor="_Toc63295423" w:history="1">
        <w:r w:rsidR="00A36CD0" w:rsidRPr="00A36CD0">
          <w:rPr>
            <w:rStyle w:val="Hyperlink"/>
            <w:sz w:val="22"/>
            <w:szCs w:val="22"/>
          </w:rPr>
          <w:t>Table 9: Index of retail sales value of jewellery, watches and clocks, and valuable gifts in 2020</w:t>
        </w:r>
        <w:r w:rsidR="00A36CD0" w:rsidRPr="00A36CD0">
          <w:rPr>
            <w:webHidden/>
            <w:sz w:val="22"/>
            <w:szCs w:val="22"/>
          </w:rPr>
          <w:tab/>
        </w:r>
        <w:r w:rsidR="00A36CD0" w:rsidRPr="00A36CD0">
          <w:rPr>
            <w:webHidden/>
            <w:sz w:val="22"/>
            <w:szCs w:val="22"/>
          </w:rPr>
          <w:fldChar w:fldCharType="begin"/>
        </w:r>
        <w:r w:rsidR="00A36CD0" w:rsidRPr="00A36CD0">
          <w:rPr>
            <w:webHidden/>
            <w:sz w:val="22"/>
            <w:szCs w:val="22"/>
          </w:rPr>
          <w:instrText xml:space="preserve"> PAGEREF _Toc63295423 \h </w:instrText>
        </w:r>
        <w:r w:rsidR="00A36CD0" w:rsidRPr="00A36CD0">
          <w:rPr>
            <w:webHidden/>
            <w:sz w:val="22"/>
            <w:szCs w:val="22"/>
          </w:rPr>
        </w:r>
        <w:r w:rsidR="00A36CD0" w:rsidRPr="00A36CD0">
          <w:rPr>
            <w:webHidden/>
            <w:sz w:val="22"/>
            <w:szCs w:val="22"/>
          </w:rPr>
          <w:fldChar w:fldCharType="separate"/>
        </w:r>
        <w:r w:rsidR="00A36CD0" w:rsidRPr="00A36CD0">
          <w:rPr>
            <w:webHidden/>
            <w:sz w:val="22"/>
            <w:szCs w:val="22"/>
          </w:rPr>
          <w:t>- 21 -</w:t>
        </w:r>
        <w:r w:rsidR="00A36CD0" w:rsidRPr="00A36CD0">
          <w:rPr>
            <w:webHidden/>
            <w:sz w:val="22"/>
            <w:szCs w:val="22"/>
          </w:rPr>
          <w:fldChar w:fldCharType="end"/>
        </w:r>
      </w:hyperlink>
    </w:p>
    <w:p w14:paraId="04991267" w14:textId="214A4213" w:rsidR="009835DD" w:rsidRDefault="009835DD" w:rsidP="009835DD">
      <w:r w:rsidRPr="00A36CD0">
        <w:rPr>
          <w:sz w:val="22"/>
          <w:szCs w:val="22"/>
        </w:rPr>
        <w:fldChar w:fldCharType="end"/>
      </w:r>
    </w:p>
    <w:p w14:paraId="4FD402D6" w14:textId="48022C48" w:rsidR="00A36CD0" w:rsidRDefault="00A36CD0" w:rsidP="00A36CD0">
      <w:pPr>
        <w:pStyle w:val="Heading1"/>
        <w:numPr>
          <w:ilvl w:val="0"/>
          <w:numId w:val="0"/>
        </w:numPr>
        <w:ind w:left="360" w:hanging="360"/>
        <w:jc w:val="left"/>
      </w:pPr>
      <w:bookmarkStart w:id="1" w:name="_Toc64840471"/>
      <w:r w:rsidRPr="005B1C31">
        <w:t>List of Figures</w:t>
      </w:r>
      <w:bookmarkEnd w:id="1"/>
    </w:p>
    <w:p w14:paraId="2494039A" w14:textId="62CE78A3" w:rsidR="00DC0F1D" w:rsidRPr="00DC0F1D" w:rsidRDefault="00DC0F1D">
      <w:pPr>
        <w:pStyle w:val="TableofFigures"/>
        <w:tabs>
          <w:tab w:val="right" w:pos="9060"/>
        </w:tabs>
        <w:rPr>
          <w:rFonts w:asciiTheme="minorHAnsi" w:hAnsiTheme="minorHAnsi" w:cstheme="minorBidi"/>
          <w:sz w:val="20"/>
          <w:szCs w:val="20"/>
        </w:rPr>
      </w:pPr>
      <w:r w:rsidRPr="00DC0F1D">
        <w:rPr>
          <w:sz w:val="18"/>
          <w:szCs w:val="18"/>
        </w:rPr>
        <w:fldChar w:fldCharType="begin"/>
      </w:r>
      <w:r w:rsidRPr="00DC0F1D">
        <w:rPr>
          <w:sz w:val="18"/>
          <w:szCs w:val="18"/>
        </w:rPr>
        <w:instrText xml:space="preserve"> TOC \h \z \c "Figure" </w:instrText>
      </w:r>
      <w:r w:rsidRPr="00DC0F1D">
        <w:rPr>
          <w:sz w:val="18"/>
          <w:szCs w:val="18"/>
        </w:rPr>
        <w:fldChar w:fldCharType="separate"/>
      </w:r>
      <w:hyperlink w:anchor="_Toc63295627" w:history="1">
        <w:r w:rsidRPr="00DC0F1D">
          <w:rPr>
            <w:rStyle w:val="Hyperlink"/>
            <w:sz w:val="22"/>
            <w:szCs w:val="22"/>
          </w:rPr>
          <w:t>Figure 1: CTFJ's ownership hierarchy</w:t>
        </w:r>
        <w:r w:rsidRPr="00DC0F1D">
          <w:rPr>
            <w:webHidden/>
            <w:sz w:val="22"/>
            <w:szCs w:val="22"/>
          </w:rPr>
          <w:tab/>
        </w:r>
        <w:r w:rsidRPr="00DC0F1D">
          <w:rPr>
            <w:webHidden/>
            <w:sz w:val="22"/>
            <w:szCs w:val="22"/>
          </w:rPr>
          <w:fldChar w:fldCharType="begin"/>
        </w:r>
        <w:r w:rsidRPr="00DC0F1D">
          <w:rPr>
            <w:webHidden/>
            <w:sz w:val="22"/>
            <w:szCs w:val="22"/>
          </w:rPr>
          <w:instrText xml:space="preserve"> PAGEREF _Toc63295627 \h </w:instrText>
        </w:r>
        <w:r w:rsidRPr="00DC0F1D">
          <w:rPr>
            <w:webHidden/>
            <w:sz w:val="22"/>
            <w:szCs w:val="22"/>
          </w:rPr>
        </w:r>
        <w:r w:rsidRPr="00DC0F1D">
          <w:rPr>
            <w:webHidden/>
            <w:sz w:val="22"/>
            <w:szCs w:val="22"/>
          </w:rPr>
          <w:fldChar w:fldCharType="separate"/>
        </w:r>
        <w:r w:rsidRPr="00DC0F1D">
          <w:rPr>
            <w:webHidden/>
            <w:sz w:val="22"/>
            <w:szCs w:val="22"/>
          </w:rPr>
          <w:t>- 9 -</w:t>
        </w:r>
        <w:r w:rsidRPr="00DC0F1D">
          <w:rPr>
            <w:webHidden/>
            <w:sz w:val="22"/>
            <w:szCs w:val="22"/>
          </w:rPr>
          <w:fldChar w:fldCharType="end"/>
        </w:r>
      </w:hyperlink>
    </w:p>
    <w:p w14:paraId="5D5AE444" w14:textId="5F5B4DE9" w:rsidR="00DC0F1D" w:rsidRPr="00DC0F1D" w:rsidRDefault="00F05610">
      <w:pPr>
        <w:pStyle w:val="TableofFigures"/>
        <w:tabs>
          <w:tab w:val="right" w:pos="9060"/>
        </w:tabs>
        <w:rPr>
          <w:rFonts w:asciiTheme="minorHAnsi" w:hAnsiTheme="minorHAnsi" w:cstheme="minorBidi"/>
          <w:sz w:val="20"/>
          <w:szCs w:val="20"/>
        </w:rPr>
      </w:pPr>
      <w:hyperlink w:anchor="_Toc63295628" w:history="1">
        <w:r w:rsidR="00DC0F1D" w:rsidRPr="00DC0F1D">
          <w:rPr>
            <w:rStyle w:val="Hyperlink"/>
            <w:sz w:val="22"/>
            <w:szCs w:val="22"/>
          </w:rPr>
          <w:t>Figure 2: Revenue by product portfolio in FY2020</w:t>
        </w:r>
        <w:r w:rsidR="00DC0F1D" w:rsidRPr="00DC0F1D">
          <w:rPr>
            <w:webHidden/>
            <w:sz w:val="22"/>
            <w:szCs w:val="22"/>
          </w:rPr>
          <w:tab/>
        </w:r>
        <w:r w:rsidR="00DC0F1D" w:rsidRPr="00DC0F1D">
          <w:rPr>
            <w:webHidden/>
            <w:sz w:val="22"/>
            <w:szCs w:val="22"/>
          </w:rPr>
          <w:fldChar w:fldCharType="begin"/>
        </w:r>
        <w:r w:rsidR="00DC0F1D" w:rsidRPr="00DC0F1D">
          <w:rPr>
            <w:webHidden/>
            <w:sz w:val="22"/>
            <w:szCs w:val="22"/>
          </w:rPr>
          <w:instrText xml:space="preserve"> PAGEREF _Toc63295628 \h </w:instrText>
        </w:r>
        <w:r w:rsidR="00DC0F1D" w:rsidRPr="00DC0F1D">
          <w:rPr>
            <w:webHidden/>
            <w:sz w:val="22"/>
            <w:szCs w:val="22"/>
          </w:rPr>
        </w:r>
        <w:r w:rsidR="00DC0F1D" w:rsidRPr="00DC0F1D">
          <w:rPr>
            <w:webHidden/>
            <w:sz w:val="22"/>
            <w:szCs w:val="22"/>
          </w:rPr>
          <w:fldChar w:fldCharType="separate"/>
        </w:r>
        <w:r w:rsidR="00DC0F1D" w:rsidRPr="00DC0F1D">
          <w:rPr>
            <w:webHidden/>
            <w:sz w:val="22"/>
            <w:szCs w:val="22"/>
          </w:rPr>
          <w:t>- 10 -</w:t>
        </w:r>
        <w:r w:rsidR="00DC0F1D" w:rsidRPr="00DC0F1D">
          <w:rPr>
            <w:webHidden/>
            <w:sz w:val="22"/>
            <w:szCs w:val="22"/>
          </w:rPr>
          <w:fldChar w:fldCharType="end"/>
        </w:r>
      </w:hyperlink>
    </w:p>
    <w:p w14:paraId="02F3DCD3" w14:textId="1A48957A" w:rsidR="00DC0F1D" w:rsidRPr="00DC0F1D" w:rsidRDefault="00F05610">
      <w:pPr>
        <w:pStyle w:val="TableofFigures"/>
        <w:tabs>
          <w:tab w:val="right" w:pos="9060"/>
        </w:tabs>
        <w:rPr>
          <w:rFonts w:asciiTheme="minorHAnsi" w:hAnsiTheme="minorHAnsi" w:cstheme="minorBidi"/>
          <w:sz w:val="20"/>
          <w:szCs w:val="20"/>
        </w:rPr>
      </w:pPr>
      <w:hyperlink w:anchor="_Toc63295629" w:history="1">
        <w:r w:rsidR="00DC0F1D" w:rsidRPr="00DC0F1D">
          <w:rPr>
            <w:rStyle w:val="Hyperlink"/>
            <w:sz w:val="22"/>
            <w:szCs w:val="22"/>
          </w:rPr>
          <w:t>Figure 3: CTFJ's quarterly SSSG by geography</w:t>
        </w:r>
        <w:r w:rsidR="00DC0F1D" w:rsidRPr="00DC0F1D">
          <w:rPr>
            <w:webHidden/>
            <w:sz w:val="22"/>
            <w:szCs w:val="22"/>
          </w:rPr>
          <w:tab/>
        </w:r>
        <w:r w:rsidR="00DC0F1D" w:rsidRPr="00DC0F1D">
          <w:rPr>
            <w:webHidden/>
            <w:sz w:val="22"/>
            <w:szCs w:val="22"/>
          </w:rPr>
          <w:fldChar w:fldCharType="begin"/>
        </w:r>
        <w:r w:rsidR="00DC0F1D" w:rsidRPr="00DC0F1D">
          <w:rPr>
            <w:webHidden/>
            <w:sz w:val="22"/>
            <w:szCs w:val="22"/>
          </w:rPr>
          <w:instrText xml:space="preserve"> PAGEREF _Toc63295629 \h </w:instrText>
        </w:r>
        <w:r w:rsidR="00DC0F1D" w:rsidRPr="00DC0F1D">
          <w:rPr>
            <w:webHidden/>
            <w:sz w:val="22"/>
            <w:szCs w:val="22"/>
          </w:rPr>
        </w:r>
        <w:r w:rsidR="00DC0F1D" w:rsidRPr="00DC0F1D">
          <w:rPr>
            <w:webHidden/>
            <w:sz w:val="22"/>
            <w:szCs w:val="22"/>
          </w:rPr>
          <w:fldChar w:fldCharType="separate"/>
        </w:r>
        <w:r w:rsidR="00DC0F1D" w:rsidRPr="00DC0F1D">
          <w:rPr>
            <w:webHidden/>
            <w:sz w:val="22"/>
            <w:szCs w:val="22"/>
          </w:rPr>
          <w:t>- 12 -</w:t>
        </w:r>
        <w:r w:rsidR="00DC0F1D" w:rsidRPr="00DC0F1D">
          <w:rPr>
            <w:webHidden/>
            <w:sz w:val="22"/>
            <w:szCs w:val="22"/>
          </w:rPr>
          <w:fldChar w:fldCharType="end"/>
        </w:r>
      </w:hyperlink>
    </w:p>
    <w:p w14:paraId="606B2F24" w14:textId="7E02DD7E" w:rsidR="00DC0F1D" w:rsidRPr="00DC0F1D" w:rsidRDefault="00F05610">
      <w:pPr>
        <w:pStyle w:val="TableofFigures"/>
        <w:tabs>
          <w:tab w:val="right" w:pos="9060"/>
        </w:tabs>
        <w:rPr>
          <w:rFonts w:asciiTheme="minorHAnsi" w:hAnsiTheme="minorHAnsi" w:cstheme="minorBidi"/>
          <w:sz w:val="20"/>
          <w:szCs w:val="20"/>
        </w:rPr>
      </w:pPr>
      <w:hyperlink w:anchor="_Toc63295630" w:history="1">
        <w:r w:rsidR="00DC0F1D" w:rsidRPr="00DC0F1D">
          <w:rPr>
            <w:rStyle w:val="Hyperlink"/>
            <w:sz w:val="22"/>
            <w:szCs w:val="22"/>
          </w:rPr>
          <w:t>Figure 4: Market cap of the top 10 Watch and Jewellery companies in Hong Kong</w:t>
        </w:r>
        <w:r w:rsidR="00DC0F1D" w:rsidRPr="00DC0F1D">
          <w:rPr>
            <w:webHidden/>
            <w:sz w:val="22"/>
            <w:szCs w:val="22"/>
          </w:rPr>
          <w:tab/>
        </w:r>
        <w:r w:rsidR="00DC0F1D" w:rsidRPr="00DC0F1D">
          <w:rPr>
            <w:webHidden/>
            <w:sz w:val="22"/>
            <w:szCs w:val="22"/>
          </w:rPr>
          <w:fldChar w:fldCharType="begin"/>
        </w:r>
        <w:r w:rsidR="00DC0F1D" w:rsidRPr="00DC0F1D">
          <w:rPr>
            <w:webHidden/>
            <w:sz w:val="22"/>
            <w:szCs w:val="22"/>
          </w:rPr>
          <w:instrText xml:space="preserve"> PAGEREF _Toc63295630 \h </w:instrText>
        </w:r>
        <w:r w:rsidR="00DC0F1D" w:rsidRPr="00DC0F1D">
          <w:rPr>
            <w:webHidden/>
            <w:sz w:val="22"/>
            <w:szCs w:val="22"/>
          </w:rPr>
        </w:r>
        <w:r w:rsidR="00DC0F1D" w:rsidRPr="00DC0F1D">
          <w:rPr>
            <w:webHidden/>
            <w:sz w:val="22"/>
            <w:szCs w:val="22"/>
          </w:rPr>
          <w:fldChar w:fldCharType="separate"/>
        </w:r>
        <w:r w:rsidR="00DC0F1D" w:rsidRPr="00DC0F1D">
          <w:rPr>
            <w:webHidden/>
            <w:sz w:val="22"/>
            <w:szCs w:val="22"/>
          </w:rPr>
          <w:t>- 13 -</w:t>
        </w:r>
        <w:r w:rsidR="00DC0F1D" w:rsidRPr="00DC0F1D">
          <w:rPr>
            <w:webHidden/>
            <w:sz w:val="22"/>
            <w:szCs w:val="22"/>
          </w:rPr>
          <w:fldChar w:fldCharType="end"/>
        </w:r>
      </w:hyperlink>
    </w:p>
    <w:p w14:paraId="0AFC6388" w14:textId="4BC98891" w:rsidR="00DC0F1D" w:rsidRPr="00DC0F1D" w:rsidRDefault="00F05610">
      <w:pPr>
        <w:pStyle w:val="TableofFigures"/>
        <w:tabs>
          <w:tab w:val="right" w:pos="9060"/>
        </w:tabs>
        <w:rPr>
          <w:rFonts w:asciiTheme="minorHAnsi" w:hAnsiTheme="minorHAnsi" w:cstheme="minorBidi"/>
          <w:sz w:val="20"/>
          <w:szCs w:val="20"/>
        </w:rPr>
      </w:pPr>
      <w:hyperlink w:anchor="_Toc63295631" w:history="1">
        <w:r w:rsidR="00DC0F1D" w:rsidRPr="00DC0F1D">
          <w:rPr>
            <w:rStyle w:val="Hyperlink"/>
            <w:sz w:val="22"/>
            <w:szCs w:val="22"/>
          </w:rPr>
          <w:t>Figure 5: Gold price per ounce in HKD between 2019 and 2020</w:t>
        </w:r>
        <w:r w:rsidR="00DC0F1D" w:rsidRPr="00DC0F1D">
          <w:rPr>
            <w:webHidden/>
            <w:sz w:val="22"/>
            <w:szCs w:val="22"/>
          </w:rPr>
          <w:tab/>
        </w:r>
        <w:r w:rsidR="00DC0F1D" w:rsidRPr="00DC0F1D">
          <w:rPr>
            <w:webHidden/>
            <w:sz w:val="22"/>
            <w:szCs w:val="22"/>
          </w:rPr>
          <w:fldChar w:fldCharType="begin"/>
        </w:r>
        <w:r w:rsidR="00DC0F1D" w:rsidRPr="00DC0F1D">
          <w:rPr>
            <w:webHidden/>
            <w:sz w:val="22"/>
            <w:szCs w:val="22"/>
          </w:rPr>
          <w:instrText xml:space="preserve"> PAGEREF _Toc63295631 \h </w:instrText>
        </w:r>
        <w:r w:rsidR="00DC0F1D" w:rsidRPr="00DC0F1D">
          <w:rPr>
            <w:webHidden/>
            <w:sz w:val="22"/>
            <w:szCs w:val="22"/>
          </w:rPr>
        </w:r>
        <w:r w:rsidR="00DC0F1D" w:rsidRPr="00DC0F1D">
          <w:rPr>
            <w:webHidden/>
            <w:sz w:val="22"/>
            <w:szCs w:val="22"/>
          </w:rPr>
          <w:fldChar w:fldCharType="separate"/>
        </w:r>
        <w:r w:rsidR="00DC0F1D" w:rsidRPr="00DC0F1D">
          <w:rPr>
            <w:webHidden/>
            <w:sz w:val="22"/>
            <w:szCs w:val="22"/>
          </w:rPr>
          <w:t>- 16 -</w:t>
        </w:r>
        <w:r w:rsidR="00DC0F1D" w:rsidRPr="00DC0F1D">
          <w:rPr>
            <w:webHidden/>
            <w:sz w:val="22"/>
            <w:szCs w:val="22"/>
          </w:rPr>
          <w:fldChar w:fldCharType="end"/>
        </w:r>
      </w:hyperlink>
    </w:p>
    <w:p w14:paraId="354B1397" w14:textId="0F830EA8" w:rsidR="00A9547E" w:rsidRPr="005B1C31" w:rsidRDefault="00DC0F1D" w:rsidP="00EA3293">
      <w:pPr>
        <w:pStyle w:val="Heading1"/>
        <w:numPr>
          <w:ilvl w:val="0"/>
          <w:numId w:val="0"/>
        </w:numPr>
        <w:jc w:val="left"/>
      </w:pPr>
      <w:r w:rsidRPr="00DC0F1D">
        <w:rPr>
          <w:rFonts w:eastAsiaTheme="minorEastAsia"/>
          <w:color w:val="auto"/>
          <w:sz w:val="18"/>
          <w:szCs w:val="18"/>
        </w:rPr>
        <w:fldChar w:fldCharType="end"/>
      </w:r>
      <w:r w:rsidR="00A9547E" w:rsidRPr="005B1C31">
        <w:br w:type="page"/>
      </w:r>
    </w:p>
    <w:p w14:paraId="69ACFFC6" w14:textId="593C4592" w:rsidR="001F7F4D" w:rsidRPr="009835DD" w:rsidRDefault="00917264" w:rsidP="00B841DB">
      <w:pPr>
        <w:pStyle w:val="Heading1"/>
        <w:numPr>
          <w:ilvl w:val="0"/>
          <w:numId w:val="0"/>
        </w:numPr>
        <w:ind w:left="360" w:hanging="360"/>
      </w:pPr>
      <w:bookmarkStart w:id="2" w:name="_Toc64840472"/>
      <w:r w:rsidRPr="009835DD">
        <w:lastRenderedPageBreak/>
        <w:t>Synopsis</w:t>
      </w:r>
      <w:bookmarkEnd w:id="2"/>
    </w:p>
    <w:p w14:paraId="47320C7E" w14:textId="38D7F2E2" w:rsidR="00F47D48" w:rsidRDefault="00F47D48" w:rsidP="00E06F3B">
      <w:r>
        <w:t>This report studied the impact of COVID-19 on Chow Tai Fook Jewellery</w:t>
      </w:r>
      <w:r w:rsidR="004C53C7">
        <w:t xml:space="preserve"> and identified its </w:t>
      </w:r>
      <w:r w:rsidR="009A5E3F">
        <w:t>key</w:t>
      </w:r>
      <w:r w:rsidR="004C53C7">
        <w:t xml:space="preserve"> challenges during the virus outbreak</w:t>
      </w:r>
      <w:r>
        <w:t xml:space="preserve">. </w:t>
      </w:r>
      <w:r w:rsidR="004C53C7">
        <w:t xml:space="preserve">Assuming that the pandemic will be stable soon, we recommended </w:t>
      </w:r>
      <w:r w:rsidR="009A5E3F">
        <w:t>the firm adopt short-</w:t>
      </w:r>
      <w:r w:rsidR="004C53C7">
        <w:t xml:space="preserve"> to mid-term business strategies to overcome the current challenges and </w:t>
      </w:r>
      <w:r>
        <w:t xml:space="preserve">ensure its business continuity. We have analyzed the firm's </w:t>
      </w:r>
      <w:r w:rsidR="004C53C7">
        <w:t>supply</w:t>
      </w:r>
      <w:r w:rsidR="009A5E3F">
        <w:t>-</w:t>
      </w:r>
      <w:r w:rsidR="004C53C7">
        <w:t>side</w:t>
      </w:r>
      <w:r>
        <w:t xml:space="preserve"> through its business performance, product types, pric</w:t>
      </w:r>
      <w:r w:rsidR="004C53C7">
        <w:t>ing</w:t>
      </w:r>
      <w:r>
        <w:t xml:space="preserve"> strategies, and </w:t>
      </w:r>
      <w:r w:rsidR="004C53C7">
        <w:t>possib</w:t>
      </w:r>
      <w:r w:rsidR="009A5E3F">
        <w:t>i</w:t>
      </w:r>
      <w:r w:rsidR="004C53C7">
        <w:t xml:space="preserve">lities changes </w:t>
      </w:r>
      <w:r w:rsidR="00F05610">
        <w:t>o</w:t>
      </w:r>
      <w:r w:rsidR="004C53C7">
        <w:t xml:space="preserve">n </w:t>
      </w:r>
      <w:r w:rsidR="009A5E3F">
        <w:t xml:space="preserve">the </w:t>
      </w:r>
      <w:r w:rsidR="004C53C7">
        <w:t>demand side</w:t>
      </w:r>
      <w:r>
        <w:t>. We recommended the firm</w:t>
      </w:r>
      <w:r w:rsidR="004C53C7">
        <w:t xml:space="preserve"> not to reduce the fixed cost in production capacity</w:t>
      </w:r>
      <w:r w:rsidR="009A5E3F">
        <w:t>. Simultaneously, revenge buying behavior started in China, possibly spreading to Hong Kong once the border is opened.</w:t>
      </w:r>
      <w:r w:rsidR="0030654E">
        <w:t xml:space="preserve"> CTFJ</w:t>
      </w:r>
      <w:r w:rsidR="004C53C7">
        <w:t xml:space="preserve"> </w:t>
      </w:r>
      <w:r w:rsidR="001221EA">
        <w:t>shall</w:t>
      </w:r>
      <w:r w:rsidR="004C53C7">
        <w:t xml:space="preserve"> focus</w:t>
      </w:r>
      <w:r>
        <w:t xml:space="preserve"> on its omnichannel, implement various marketing campaigns in phrases aiming to drive online purchases back to </w:t>
      </w:r>
      <w:r w:rsidR="00F05610">
        <w:t>their</w:t>
      </w:r>
      <w:r>
        <w:t xml:space="preserve"> retails for a new in-store experience and upselling</w:t>
      </w:r>
      <w:r w:rsidR="0030654E">
        <w:t xml:space="preserve">. </w:t>
      </w:r>
      <w:r>
        <w:t xml:space="preserve"> </w:t>
      </w:r>
    </w:p>
    <w:p w14:paraId="7AFEB7E6" w14:textId="7EAA2470" w:rsidR="002E04F9" w:rsidRDefault="002E04F9">
      <w:pPr>
        <w:spacing w:after="160" w:line="259" w:lineRule="auto"/>
        <w:jc w:val="left"/>
      </w:pPr>
      <w:r>
        <w:br w:type="page"/>
      </w:r>
    </w:p>
    <w:p w14:paraId="4BF6CB9C" w14:textId="56ACE6BF" w:rsidR="00E06F3B" w:rsidRPr="005B1C31" w:rsidRDefault="00917264" w:rsidP="00E94FE7">
      <w:pPr>
        <w:pStyle w:val="Heading1"/>
      </w:pPr>
      <w:bookmarkStart w:id="3" w:name="_Toc64840473"/>
      <w:r w:rsidRPr="005B1C31">
        <w:lastRenderedPageBreak/>
        <w:t>Introduction</w:t>
      </w:r>
      <w:bookmarkEnd w:id="3"/>
      <w:r w:rsidR="00790118" w:rsidRPr="005B1C31">
        <w:t xml:space="preserve"> </w:t>
      </w:r>
    </w:p>
    <w:p w14:paraId="4098B8C1" w14:textId="765E706B" w:rsidR="00B35CD6" w:rsidRDefault="00B841DB" w:rsidP="00B97C33">
      <w:r w:rsidRPr="005B1C31">
        <w:t xml:space="preserve">This report describes </w:t>
      </w:r>
      <w:r>
        <w:t xml:space="preserve">the potential challenges facing </w:t>
      </w:r>
      <w:r w:rsidRPr="005B1C31">
        <w:t xml:space="preserve">Chow Tai Fook Jewellery Group Limited </w:t>
      </w:r>
      <w:r w:rsidR="00F47D48">
        <w:t>(</w:t>
      </w:r>
      <w:r w:rsidRPr="005B1C31">
        <w:t>"CTFJ"</w:t>
      </w:r>
      <w:r w:rsidR="00F47D48">
        <w:t>)</w:t>
      </w:r>
      <w:r w:rsidRPr="005B1C31">
        <w:t xml:space="preserve"> amid the economic disruption due to the COVID-19 outbreak</w:t>
      </w:r>
      <w:r>
        <w:t xml:space="preserve"> and</w:t>
      </w:r>
      <w:r w:rsidRPr="005B1C31">
        <w:t xml:space="preserve"> analyz</w:t>
      </w:r>
      <w:r>
        <w:t>es</w:t>
      </w:r>
      <w:r w:rsidR="00F47D48">
        <w:t xml:space="preserve"> its business's growth prospect</w:t>
      </w:r>
      <w:r w:rsidRPr="005B1C31">
        <w:t xml:space="preserve">s. Many companies </w:t>
      </w:r>
      <w:r>
        <w:t xml:space="preserve">have been </w:t>
      </w:r>
      <w:r w:rsidRPr="005B1C31">
        <w:t>focus</w:t>
      </w:r>
      <w:r>
        <w:t>ing</w:t>
      </w:r>
      <w:r w:rsidRPr="005B1C31">
        <w:t xml:space="preserve"> on cost-containment during the virus pandemic</w:t>
      </w:r>
      <w:r w:rsidR="004C53C7">
        <w:t>, and s</w:t>
      </w:r>
      <w:r w:rsidRPr="005B1C31">
        <w:t>ome firms are in their retrenchment exercises</w:t>
      </w:r>
      <w:r>
        <w:t xml:space="preserve"> or even</w:t>
      </w:r>
      <w:r w:rsidRPr="005B6050">
        <w:t xml:space="preserve"> ceased operation because of not making profits</w:t>
      </w:r>
      <w:r w:rsidR="00B35CD6">
        <w:t xml:space="preserve">. </w:t>
      </w:r>
      <w:r w:rsidR="004C53C7">
        <w:t xml:space="preserve">The retail sector started </w:t>
      </w:r>
      <w:r w:rsidR="001221EA">
        <w:t>shrinking from</w:t>
      </w:r>
      <w:r w:rsidR="004C53C7">
        <w:t xml:space="preserve"> the anti-government activities in 2019</w:t>
      </w:r>
      <w:r w:rsidR="009A5E3F">
        <w:t>,</w:t>
      </w:r>
      <w:r w:rsidR="004C53C7">
        <w:t xml:space="preserve"> foll</w:t>
      </w:r>
      <w:r w:rsidR="009A5E3F">
        <w:t>o</w:t>
      </w:r>
      <w:r w:rsidR="004C53C7">
        <w:t xml:space="preserve">wed by the COVID-19 pandemic in 2020. The value index of retail sales for </w:t>
      </w:r>
      <w:r w:rsidR="009A5E3F">
        <w:t xml:space="preserve">the </w:t>
      </w:r>
      <w:r w:rsidR="004C53C7">
        <w:t>jewellery industry dropped 54% in 2020 (Table 1).</w:t>
      </w:r>
    </w:p>
    <w:p w14:paraId="11CA7871" w14:textId="77777777" w:rsidR="00A82950" w:rsidRDefault="00A82950" w:rsidP="00B97C33">
      <w:pPr>
        <w:pStyle w:val="Caption"/>
        <w:keepNext/>
        <w:contextualSpacing/>
        <w:jc w:val="both"/>
        <w:rPr>
          <w:sz w:val="24"/>
          <w:szCs w:val="24"/>
        </w:rPr>
      </w:pPr>
    </w:p>
    <w:p w14:paraId="67AA5E51" w14:textId="3AF97A9A" w:rsidR="00B35CD6" w:rsidRDefault="00B35CD6" w:rsidP="00B97C33">
      <w:pPr>
        <w:pStyle w:val="Caption"/>
        <w:keepNext/>
        <w:contextualSpacing/>
        <w:jc w:val="both"/>
        <w:rPr>
          <w:sz w:val="24"/>
          <w:szCs w:val="24"/>
        </w:rPr>
      </w:pPr>
      <w:r w:rsidRPr="00B35CD6">
        <w:rPr>
          <w:sz w:val="24"/>
          <w:szCs w:val="24"/>
        </w:rPr>
        <w:t xml:space="preserve">Table </w:t>
      </w:r>
      <w:r w:rsidR="00FE6E9E">
        <w:rPr>
          <w:sz w:val="24"/>
          <w:szCs w:val="24"/>
        </w:rPr>
        <w:fldChar w:fldCharType="begin"/>
      </w:r>
      <w:r w:rsidR="00FE6E9E">
        <w:rPr>
          <w:sz w:val="24"/>
          <w:szCs w:val="24"/>
        </w:rPr>
        <w:instrText xml:space="preserve"> SEQ Table \* ARABIC </w:instrText>
      </w:r>
      <w:r w:rsidR="00FE6E9E">
        <w:rPr>
          <w:sz w:val="24"/>
          <w:szCs w:val="24"/>
        </w:rPr>
        <w:fldChar w:fldCharType="separate"/>
      </w:r>
      <w:r w:rsidR="00A806F0">
        <w:rPr>
          <w:sz w:val="24"/>
          <w:szCs w:val="24"/>
        </w:rPr>
        <w:t>1</w:t>
      </w:r>
      <w:r w:rsidR="00FE6E9E">
        <w:rPr>
          <w:sz w:val="24"/>
          <w:szCs w:val="24"/>
        </w:rPr>
        <w:fldChar w:fldCharType="end"/>
      </w:r>
      <w:r w:rsidRPr="00B35CD6">
        <w:rPr>
          <w:sz w:val="24"/>
          <w:szCs w:val="24"/>
        </w:rPr>
        <w:t xml:space="preserve">: </w:t>
      </w:r>
      <w:r>
        <w:rPr>
          <w:sz w:val="24"/>
          <w:szCs w:val="24"/>
        </w:rPr>
        <w:t xml:space="preserve">Value index of retail sales in </w:t>
      </w:r>
      <w:r w:rsidR="00A82950">
        <w:rPr>
          <w:sz w:val="24"/>
          <w:szCs w:val="24"/>
        </w:rPr>
        <w:t>between 2016 and 2020</w:t>
      </w:r>
    </w:p>
    <w:tbl>
      <w:tblPr>
        <w:tblW w:w="5000" w:type="pct"/>
        <w:tblLook w:val="04A0" w:firstRow="1" w:lastRow="0" w:firstColumn="1" w:lastColumn="0" w:noHBand="0" w:noVBand="1"/>
      </w:tblPr>
      <w:tblGrid>
        <w:gridCol w:w="1511"/>
        <w:gridCol w:w="1510"/>
        <w:gridCol w:w="1510"/>
        <w:gridCol w:w="1510"/>
        <w:gridCol w:w="1510"/>
        <w:gridCol w:w="1514"/>
      </w:tblGrid>
      <w:tr w:rsidR="00A82950" w:rsidRPr="00A82950" w14:paraId="4F1B2877" w14:textId="77777777" w:rsidTr="004C53C7">
        <w:trPr>
          <w:trHeight w:val="435"/>
        </w:trPr>
        <w:tc>
          <w:tcPr>
            <w:tcW w:w="833" w:type="pct"/>
            <w:tcBorders>
              <w:top w:val="nil"/>
              <w:left w:val="nil"/>
              <w:bottom w:val="nil"/>
              <w:right w:val="nil"/>
            </w:tcBorders>
            <w:shd w:val="clear" w:color="auto" w:fill="auto"/>
            <w:noWrap/>
            <w:vAlign w:val="bottom"/>
            <w:hideMark/>
          </w:tcPr>
          <w:p w14:paraId="7FB33604" w14:textId="77777777" w:rsidR="00A82950" w:rsidRPr="00A82950" w:rsidRDefault="00A82950" w:rsidP="00A82950">
            <w:pPr>
              <w:spacing w:line="240" w:lineRule="auto"/>
              <w:jc w:val="left"/>
              <w:rPr>
                <w:rFonts w:eastAsia="Times New Roman"/>
                <w:noProof w:val="0"/>
                <w:sz w:val="18"/>
                <w:szCs w:val="18"/>
              </w:rPr>
            </w:pPr>
          </w:p>
        </w:tc>
        <w:tc>
          <w:tcPr>
            <w:tcW w:w="4167" w:type="pct"/>
            <w:gridSpan w:val="5"/>
            <w:tcBorders>
              <w:top w:val="single" w:sz="4" w:space="0" w:color="auto"/>
              <w:left w:val="single" w:sz="4" w:space="0" w:color="auto"/>
              <w:bottom w:val="single" w:sz="4" w:space="0" w:color="auto"/>
              <w:right w:val="single" w:sz="4" w:space="0" w:color="auto"/>
            </w:tcBorders>
            <w:shd w:val="clear" w:color="auto" w:fill="auto"/>
            <w:vAlign w:val="center"/>
            <w:hideMark/>
          </w:tcPr>
          <w:p w14:paraId="192C2F31" w14:textId="34E4D2F9" w:rsidR="00A82950" w:rsidRPr="00A82950" w:rsidRDefault="00A82950" w:rsidP="00A82950">
            <w:pPr>
              <w:spacing w:line="240" w:lineRule="auto"/>
              <w:jc w:val="right"/>
              <w:rPr>
                <w:rFonts w:eastAsia="Times New Roman"/>
                <w:noProof w:val="0"/>
                <w:color w:val="000000"/>
                <w:sz w:val="18"/>
                <w:szCs w:val="18"/>
              </w:rPr>
            </w:pPr>
            <w:r w:rsidRPr="00A82950">
              <w:rPr>
                <w:rFonts w:eastAsia="Times New Roman"/>
                <w:noProof w:val="0"/>
                <w:color w:val="000000"/>
                <w:sz w:val="18"/>
                <w:szCs w:val="18"/>
              </w:rPr>
              <w:t xml:space="preserve">Value index of retail sales for jewellery, watches and clocks, and valuable gifts </w:t>
            </w:r>
            <w:r w:rsidRPr="00A82950">
              <w:rPr>
                <w:rFonts w:eastAsia="Times New Roman"/>
                <w:noProof w:val="0"/>
                <w:color w:val="000000"/>
                <w:sz w:val="18"/>
                <w:szCs w:val="18"/>
              </w:rPr>
              <w:br/>
              <w:t>(y-o-y % growth)</w:t>
            </w:r>
          </w:p>
        </w:tc>
      </w:tr>
      <w:tr w:rsidR="00A82950" w:rsidRPr="00A82950" w14:paraId="18556FC6" w14:textId="77777777" w:rsidTr="00A82950">
        <w:trPr>
          <w:trHeight w:val="255"/>
        </w:trPr>
        <w:tc>
          <w:tcPr>
            <w:tcW w:w="833" w:type="pct"/>
            <w:tcBorders>
              <w:top w:val="nil"/>
              <w:left w:val="nil"/>
              <w:bottom w:val="nil"/>
              <w:right w:val="nil"/>
            </w:tcBorders>
            <w:shd w:val="clear" w:color="auto" w:fill="auto"/>
            <w:noWrap/>
            <w:vAlign w:val="bottom"/>
            <w:hideMark/>
          </w:tcPr>
          <w:p w14:paraId="5FEC49E0" w14:textId="77777777" w:rsidR="00A82950" w:rsidRPr="00A82950" w:rsidRDefault="00A82950" w:rsidP="00A82950">
            <w:pPr>
              <w:spacing w:line="240" w:lineRule="auto"/>
              <w:jc w:val="right"/>
              <w:rPr>
                <w:rFonts w:eastAsia="Times New Roman"/>
                <w:noProof w:val="0"/>
                <w:color w:val="000000"/>
                <w:sz w:val="18"/>
                <w:szCs w:val="18"/>
              </w:rPr>
            </w:pPr>
          </w:p>
        </w:tc>
        <w:tc>
          <w:tcPr>
            <w:tcW w:w="833" w:type="pct"/>
            <w:tcBorders>
              <w:top w:val="nil"/>
              <w:left w:val="single" w:sz="4" w:space="0" w:color="auto"/>
              <w:bottom w:val="single" w:sz="4" w:space="0" w:color="auto"/>
              <w:right w:val="single" w:sz="4" w:space="0" w:color="auto"/>
            </w:tcBorders>
            <w:shd w:val="clear" w:color="auto" w:fill="auto"/>
            <w:vAlign w:val="center"/>
            <w:hideMark/>
          </w:tcPr>
          <w:p w14:paraId="06DAFEC1"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2016</w:t>
            </w:r>
          </w:p>
        </w:tc>
        <w:tc>
          <w:tcPr>
            <w:tcW w:w="833" w:type="pct"/>
            <w:tcBorders>
              <w:top w:val="nil"/>
              <w:left w:val="nil"/>
              <w:bottom w:val="single" w:sz="4" w:space="0" w:color="auto"/>
              <w:right w:val="single" w:sz="4" w:space="0" w:color="auto"/>
            </w:tcBorders>
            <w:shd w:val="clear" w:color="auto" w:fill="auto"/>
            <w:vAlign w:val="center"/>
            <w:hideMark/>
          </w:tcPr>
          <w:p w14:paraId="1A6BE691"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2017</w:t>
            </w:r>
          </w:p>
        </w:tc>
        <w:tc>
          <w:tcPr>
            <w:tcW w:w="833" w:type="pct"/>
            <w:tcBorders>
              <w:top w:val="nil"/>
              <w:left w:val="nil"/>
              <w:bottom w:val="single" w:sz="4" w:space="0" w:color="auto"/>
              <w:right w:val="single" w:sz="4" w:space="0" w:color="auto"/>
            </w:tcBorders>
            <w:shd w:val="clear" w:color="auto" w:fill="auto"/>
            <w:vAlign w:val="center"/>
            <w:hideMark/>
          </w:tcPr>
          <w:p w14:paraId="387901D9"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2018</w:t>
            </w:r>
          </w:p>
        </w:tc>
        <w:tc>
          <w:tcPr>
            <w:tcW w:w="833" w:type="pct"/>
            <w:tcBorders>
              <w:top w:val="nil"/>
              <w:left w:val="nil"/>
              <w:bottom w:val="single" w:sz="4" w:space="0" w:color="auto"/>
              <w:right w:val="single" w:sz="4" w:space="0" w:color="auto"/>
            </w:tcBorders>
            <w:shd w:val="clear" w:color="auto" w:fill="auto"/>
            <w:vAlign w:val="center"/>
            <w:hideMark/>
          </w:tcPr>
          <w:p w14:paraId="1548AC04"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2019</w:t>
            </w:r>
          </w:p>
        </w:tc>
        <w:tc>
          <w:tcPr>
            <w:tcW w:w="833" w:type="pct"/>
            <w:tcBorders>
              <w:top w:val="nil"/>
              <w:left w:val="nil"/>
              <w:bottom w:val="single" w:sz="4" w:space="0" w:color="auto"/>
              <w:right w:val="single" w:sz="4" w:space="0" w:color="auto"/>
            </w:tcBorders>
            <w:shd w:val="clear" w:color="auto" w:fill="auto"/>
            <w:vAlign w:val="center"/>
            <w:hideMark/>
          </w:tcPr>
          <w:p w14:paraId="1FFBC230"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2020</w:t>
            </w:r>
          </w:p>
        </w:tc>
      </w:tr>
      <w:tr w:rsidR="00A82950" w:rsidRPr="00A82950" w14:paraId="1905082C" w14:textId="77777777" w:rsidTr="004C53C7">
        <w:trPr>
          <w:trHeight w:val="354"/>
        </w:trPr>
        <w:tc>
          <w:tcPr>
            <w:tcW w:w="833"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ADCB95"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Jan</w:t>
            </w:r>
          </w:p>
        </w:tc>
        <w:tc>
          <w:tcPr>
            <w:tcW w:w="833" w:type="pct"/>
            <w:tcBorders>
              <w:top w:val="nil"/>
              <w:left w:val="nil"/>
              <w:bottom w:val="single" w:sz="4" w:space="0" w:color="auto"/>
              <w:right w:val="single" w:sz="4" w:space="0" w:color="auto"/>
            </w:tcBorders>
            <w:shd w:val="clear" w:color="auto" w:fill="auto"/>
            <w:vAlign w:val="center"/>
            <w:hideMark/>
          </w:tcPr>
          <w:p w14:paraId="4667E600"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100.7</w:t>
            </w:r>
            <w:r w:rsidRPr="00A82950">
              <w:rPr>
                <w:rFonts w:eastAsia="Times New Roman"/>
                <w:noProof w:val="0"/>
                <w:color w:val="000000"/>
                <w:sz w:val="18"/>
                <w:szCs w:val="18"/>
              </w:rPr>
              <w:br/>
              <w:t>(-16.4%)</w:t>
            </w:r>
          </w:p>
        </w:tc>
        <w:tc>
          <w:tcPr>
            <w:tcW w:w="833" w:type="pct"/>
            <w:tcBorders>
              <w:top w:val="nil"/>
              <w:left w:val="nil"/>
              <w:bottom w:val="single" w:sz="4" w:space="0" w:color="auto"/>
              <w:right w:val="single" w:sz="4" w:space="0" w:color="auto"/>
            </w:tcBorders>
            <w:shd w:val="clear" w:color="auto" w:fill="auto"/>
            <w:vAlign w:val="center"/>
            <w:hideMark/>
          </w:tcPr>
          <w:p w14:paraId="1AEF63C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96.6</w:t>
            </w:r>
            <w:r w:rsidRPr="00A82950">
              <w:rPr>
                <w:rFonts w:eastAsia="Times New Roman"/>
                <w:noProof w:val="0"/>
                <w:color w:val="000000"/>
                <w:sz w:val="18"/>
                <w:szCs w:val="18"/>
              </w:rPr>
              <w:br/>
              <w:t>(-4.1%)</w:t>
            </w:r>
          </w:p>
        </w:tc>
        <w:tc>
          <w:tcPr>
            <w:tcW w:w="833" w:type="pct"/>
            <w:tcBorders>
              <w:top w:val="nil"/>
              <w:left w:val="nil"/>
              <w:bottom w:val="single" w:sz="4" w:space="0" w:color="auto"/>
              <w:right w:val="single" w:sz="4" w:space="0" w:color="auto"/>
            </w:tcBorders>
            <w:shd w:val="clear" w:color="auto" w:fill="auto"/>
            <w:vAlign w:val="center"/>
            <w:hideMark/>
          </w:tcPr>
          <w:p w14:paraId="6CD43BC2"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106.9</w:t>
            </w:r>
            <w:r w:rsidRPr="00A82950">
              <w:rPr>
                <w:rFonts w:eastAsia="Times New Roman"/>
                <w:noProof w:val="0"/>
                <w:color w:val="000000"/>
                <w:sz w:val="18"/>
                <w:szCs w:val="18"/>
              </w:rPr>
              <w:br/>
              <w:t>(+10.7%)</w:t>
            </w:r>
          </w:p>
        </w:tc>
        <w:tc>
          <w:tcPr>
            <w:tcW w:w="833" w:type="pct"/>
            <w:tcBorders>
              <w:top w:val="nil"/>
              <w:left w:val="nil"/>
              <w:bottom w:val="single" w:sz="4" w:space="0" w:color="auto"/>
              <w:right w:val="single" w:sz="4" w:space="0" w:color="auto"/>
            </w:tcBorders>
            <w:shd w:val="clear" w:color="auto" w:fill="auto"/>
            <w:vAlign w:val="center"/>
            <w:hideMark/>
          </w:tcPr>
          <w:p w14:paraId="25057997"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111.3</w:t>
            </w:r>
            <w:r w:rsidRPr="00A82950">
              <w:rPr>
                <w:rFonts w:eastAsia="Times New Roman"/>
                <w:noProof w:val="0"/>
                <w:color w:val="000000"/>
                <w:sz w:val="18"/>
                <w:szCs w:val="18"/>
              </w:rPr>
              <w:br/>
              <w:t>(+4.1%)</w:t>
            </w:r>
          </w:p>
        </w:tc>
        <w:tc>
          <w:tcPr>
            <w:tcW w:w="833" w:type="pct"/>
            <w:tcBorders>
              <w:top w:val="nil"/>
              <w:left w:val="nil"/>
              <w:bottom w:val="single" w:sz="4" w:space="0" w:color="auto"/>
              <w:right w:val="single" w:sz="4" w:space="0" w:color="auto"/>
            </w:tcBorders>
            <w:shd w:val="clear" w:color="auto" w:fill="auto"/>
            <w:vAlign w:val="center"/>
            <w:hideMark/>
          </w:tcPr>
          <w:p w14:paraId="5E164FE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65.2</w:t>
            </w:r>
            <w:r w:rsidRPr="00A82950">
              <w:rPr>
                <w:rFonts w:eastAsia="Times New Roman"/>
                <w:noProof w:val="0"/>
                <w:color w:val="000000"/>
                <w:sz w:val="18"/>
                <w:szCs w:val="18"/>
              </w:rPr>
              <w:br/>
              <w:t>(-41.5%)</w:t>
            </w:r>
          </w:p>
        </w:tc>
      </w:tr>
      <w:tr w:rsidR="00A82950" w:rsidRPr="00A82950" w14:paraId="6DF76CDE" w14:textId="77777777" w:rsidTr="004C53C7">
        <w:trPr>
          <w:trHeight w:val="390"/>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711747FD"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Feb</w:t>
            </w:r>
          </w:p>
        </w:tc>
        <w:tc>
          <w:tcPr>
            <w:tcW w:w="833" w:type="pct"/>
            <w:tcBorders>
              <w:top w:val="nil"/>
              <w:left w:val="nil"/>
              <w:bottom w:val="single" w:sz="4" w:space="0" w:color="auto"/>
              <w:right w:val="single" w:sz="4" w:space="0" w:color="auto"/>
            </w:tcBorders>
            <w:shd w:val="clear" w:color="auto" w:fill="auto"/>
            <w:vAlign w:val="center"/>
            <w:hideMark/>
          </w:tcPr>
          <w:p w14:paraId="2531A41B"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89.0</w:t>
            </w:r>
            <w:r w:rsidRPr="00A82950">
              <w:rPr>
                <w:rFonts w:eastAsia="Times New Roman"/>
                <w:noProof w:val="0"/>
                <w:color w:val="000000"/>
                <w:sz w:val="18"/>
                <w:szCs w:val="18"/>
              </w:rPr>
              <w:br/>
              <w:t>(-24.2%)</w:t>
            </w:r>
          </w:p>
        </w:tc>
        <w:tc>
          <w:tcPr>
            <w:tcW w:w="833" w:type="pct"/>
            <w:tcBorders>
              <w:top w:val="nil"/>
              <w:left w:val="nil"/>
              <w:bottom w:val="single" w:sz="4" w:space="0" w:color="auto"/>
              <w:right w:val="single" w:sz="4" w:space="0" w:color="auto"/>
            </w:tcBorders>
            <w:shd w:val="clear" w:color="auto" w:fill="auto"/>
            <w:vAlign w:val="center"/>
            <w:hideMark/>
          </w:tcPr>
          <w:p w14:paraId="7C716890"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87.9</w:t>
            </w:r>
            <w:r w:rsidRPr="00A82950">
              <w:rPr>
                <w:rFonts w:eastAsia="Times New Roman"/>
                <w:noProof w:val="0"/>
                <w:color w:val="000000"/>
                <w:sz w:val="18"/>
                <w:szCs w:val="18"/>
              </w:rPr>
              <w:br/>
              <w:t>(-1.2%)</w:t>
            </w:r>
          </w:p>
        </w:tc>
        <w:tc>
          <w:tcPr>
            <w:tcW w:w="833" w:type="pct"/>
            <w:tcBorders>
              <w:top w:val="nil"/>
              <w:left w:val="nil"/>
              <w:bottom w:val="single" w:sz="4" w:space="0" w:color="auto"/>
              <w:right w:val="single" w:sz="4" w:space="0" w:color="auto"/>
            </w:tcBorders>
            <w:shd w:val="clear" w:color="auto" w:fill="auto"/>
            <w:vAlign w:val="center"/>
            <w:hideMark/>
          </w:tcPr>
          <w:p w14:paraId="25C54477"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106.5</w:t>
            </w:r>
            <w:r w:rsidRPr="00A82950">
              <w:rPr>
                <w:rFonts w:eastAsia="Times New Roman"/>
                <w:noProof w:val="0"/>
                <w:color w:val="000000"/>
                <w:sz w:val="18"/>
                <w:szCs w:val="18"/>
              </w:rPr>
              <w:br/>
              <w:t>(-21.2%)</w:t>
            </w:r>
          </w:p>
        </w:tc>
        <w:tc>
          <w:tcPr>
            <w:tcW w:w="833" w:type="pct"/>
            <w:tcBorders>
              <w:top w:val="nil"/>
              <w:left w:val="nil"/>
              <w:bottom w:val="single" w:sz="4" w:space="0" w:color="auto"/>
              <w:right w:val="single" w:sz="4" w:space="0" w:color="auto"/>
            </w:tcBorders>
            <w:shd w:val="clear" w:color="auto" w:fill="auto"/>
            <w:vAlign w:val="center"/>
            <w:hideMark/>
          </w:tcPr>
          <w:p w14:paraId="1BE04F4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103.5</w:t>
            </w:r>
            <w:r w:rsidRPr="00A82950">
              <w:rPr>
                <w:rFonts w:eastAsia="Times New Roman"/>
                <w:noProof w:val="0"/>
                <w:color w:val="000000"/>
                <w:sz w:val="18"/>
                <w:szCs w:val="18"/>
              </w:rPr>
              <w:br/>
              <w:t>(-2.8%)</w:t>
            </w:r>
          </w:p>
        </w:tc>
        <w:tc>
          <w:tcPr>
            <w:tcW w:w="833" w:type="pct"/>
            <w:tcBorders>
              <w:top w:val="nil"/>
              <w:left w:val="nil"/>
              <w:bottom w:val="single" w:sz="4" w:space="0" w:color="auto"/>
              <w:right w:val="single" w:sz="4" w:space="0" w:color="auto"/>
            </w:tcBorders>
            <w:shd w:val="clear" w:color="auto" w:fill="auto"/>
            <w:vAlign w:val="center"/>
            <w:hideMark/>
          </w:tcPr>
          <w:p w14:paraId="074E9D5B"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42.8</w:t>
            </w:r>
            <w:r w:rsidRPr="00A82950">
              <w:rPr>
                <w:rFonts w:eastAsia="Times New Roman"/>
                <w:noProof w:val="0"/>
                <w:color w:val="000000"/>
                <w:sz w:val="18"/>
                <w:szCs w:val="18"/>
              </w:rPr>
              <w:br/>
              <w:t>(-58.7%)</w:t>
            </w:r>
          </w:p>
        </w:tc>
      </w:tr>
      <w:tr w:rsidR="00A82950" w:rsidRPr="00A82950" w14:paraId="22B5275D" w14:textId="77777777" w:rsidTr="004C53C7">
        <w:trPr>
          <w:trHeight w:val="228"/>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4818856C"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Mar</w:t>
            </w:r>
          </w:p>
        </w:tc>
        <w:tc>
          <w:tcPr>
            <w:tcW w:w="833" w:type="pct"/>
            <w:tcBorders>
              <w:top w:val="nil"/>
              <w:left w:val="nil"/>
              <w:bottom w:val="single" w:sz="4" w:space="0" w:color="auto"/>
              <w:right w:val="single" w:sz="4" w:space="0" w:color="auto"/>
            </w:tcBorders>
            <w:shd w:val="clear" w:color="auto" w:fill="auto"/>
            <w:vAlign w:val="center"/>
            <w:hideMark/>
          </w:tcPr>
          <w:p w14:paraId="6FC354F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67.8</w:t>
            </w:r>
            <w:r w:rsidRPr="00A82950">
              <w:rPr>
                <w:rFonts w:eastAsia="Times New Roman"/>
                <w:noProof w:val="0"/>
                <w:color w:val="000000"/>
                <w:sz w:val="18"/>
                <w:szCs w:val="18"/>
              </w:rPr>
              <w:br/>
              <w:t xml:space="preserve"> (-20.4%)</w:t>
            </w:r>
          </w:p>
        </w:tc>
        <w:tc>
          <w:tcPr>
            <w:tcW w:w="833" w:type="pct"/>
            <w:tcBorders>
              <w:top w:val="nil"/>
              <w:left w:val="nil"/>
              <w:bottom w:val="single" w:sz="4" w:space="0" w:color="auto"/>
              <w:right w:val="single" w:sz="4" w:space="0" w:color="auto"/>
            </w:tcBorders>
            <w:shd w:val="clear" w:color="auto" w:fill="auto"/>
            <w:vAlign w:val="center"/>
            <w:hideMark/>
          </w:tcPr>
          <w:p w14:paraId="339FE55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73.4</w:t>
            </w:r>
            <w:r w:rsidRPr="00A82950">
              <w:rPr>
                <w:rFonts w:eastAsia="Times New Roman"/>
                <w:noProof w:val="0"/>
                <w:color w:val="000000"/>
                <w:sz w:val="18"/>
                <w:szCs w:val="18"/>
              </w:rPr>
              <w:br/>
              <w:t xml:space="preserve"> (+8.3%)</w:t>
            </w:r>
          </w:p>
        </w:tc>
        <w:tc>
          <w:tcPr>
            <w:tcW w:w="833" w:type="pct"/>
            <w:tcBorders>
              <w:top w:val="nil"/>
              <w:left w:val="nil"/>
              <w:bottom w:val="single" w:sz="4" w:space="0" w:color="auto"/>
              <w:right w:val="single" w:sz="4" w:space="0" w:color="auto"/>
            </w:tcBorders>
            <w:shd w:val="clear" w:color="auto" w:fill="auto"/>
            <w:vAlign w:val="center"/>
            <w:hideMark/>
          </w:tcPr>
          <w:p w14:paraId="182F2C6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90.9</w:t>
            </w:r>
            <w:r w:rsidRPr="00A82950">
              <w:rPr>
                <w:rFonts w:eastAsia="Times New Roman"/>
                <w:noProof w:val="0"/>
                <w:color w:val="000000"/>
                <w:sz w:val="18"/>
                <w:szCs w:val="18"/>
              </w:rPr>
              <w:br/>
              <w:t xml:space="preserve"> (+23.8%)</w:t>
            </w:r>
          </w:p>
        </w:tc>
        <w:tc>
          <w:tcPr>
            <w:tcW w:w="833" w:type="pct"/>
            <w:tcBorders>
              <w:top w:val="nil"/>
              <w:left w:val="nil"/>
              <w:bottom w:val="single" w:sz="4" w:space="0" w:color="auto"/>
              <w:right w:val="single" w:sz="4" w:space="0" w:color="auto"/>
            </w:tcBorders>
            <w:shd w:val="clear" w:color="auto" w:fill="auto"/>
            <w:vAlign w:val="center"/>
            <w:hideMark/>
          </w:tcPr>
          <w:p w14:paraId="64C647E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88.3</w:t>
            </w:r>
            <w:r w:rsidRPr="00A82950">
              <w:rPr>
                <w:rFonts w:eastAsia="Times New Roman"/>
                <w:noProof w:val="0"/>
                <w:color w:val="000000"/>
                <w:sz w:val="18"/>
                <w:szCs w:val="18"/>
              </w:rPr>
              <w:br/>
              <w:t xml:space="preserve"> (-2.9%)</w:t>
            </w:r>
          </w:p>
        </w:tc>
        <w:tc>
          <w:tcPr>
            <w:tcW w:w="833" w:type="pct"/>
            <w:tcBorders>
              <w:top w:val="nil"/>
              <w:left w:val="nil"/>
              <w:bottom w:val="single" w:sz="4" w:space="0" w:color="auto"/>
              <w:right w:val="single" w:sz="4" w:space="0" w:color="auto"/>
            </w:tcBorders>
            <w:shd w:val="clear" w:color="auto" w:fill="auto"/>
            <w:vAlign w:val="center"/>
            <w:hideMark/>
          </w:tcPr>
          <w:p w14:paraId="25C21BE7"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21.8</w:t>
            </w:r>
            <w:r w:rsidRPr="00A82950">
              <w:rPr>
                <w:rFonts w:eastAsia="Times New Roman"/>
                <w:noProof w:val="0"/>
                <w:color w:val="000000"/>
                <w:sz w:val="18"/>
                <w:szCs w:val="18"/>
              </w:rPr>
              <w:br/>
              <w:t>(-75.3%)</w:t>
            </w:r>
          </w:p>
        </w:tc>
      </w:tr>
      <w:tr w:rsidR="00A82950" w:rsidRPr="00A82950" w14:paraId="7A738EC9" w14:textId="77777777" w:rsidTr="004C53C7">
        <w:trPr>
          <w:trHeight w:val="75"/>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1AB3E857"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Apr</w:t>
            </w:r>
          </w:p>
        </w:tc>
        <w:tc>
          <w:tcPr>
            <w:tcW w:w="833" w:type="pct"/>
            <w:tcBorders>
              <w:top w:val="nil"/>
              <w:left w:val="nil"/>
              <w:bottom w:val="single" w:sz="4" w:space="0" w:color="auto"/>
              <w:right w:val="single" w:sz="4" w:space="0" w:color="auto"/>
            </w:tcBorders>
            <w:shd w:val="clear" w:color="auto" w:fill="auto"/>
            <w:vAlign w:val="center"/>
            <w:hideMark/>
          </w:tcPr>
          <w:p w14:paraId="02E50503"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70.0</w:t>
            </w:r>
            <w:r w:rsidRPr="00A82950">
              <w:rPr>
                <w:rFonts w:eastAsia="Times New Roman"/>
                <w:noProof w:val="0"/>
                <w:color w:val="000000"/>
                <w:sz w:val="18"/>
                <w:szCs w:val="18"/>
              </w:rPr>
              <w:br/>
              <w:t>(-16.5%)</w:t>
            </w:r>
          </w:p>
        </w:tc>
        <w:tc>
          <w:tcPr>
            <w:tcW w:w="833" w:type="pct"/>
            <w:tcBorders>
              <w:top w:val="nil"/>
              <w:left w:val="nil"/>
              <w:bottom w:val="single" w:sz="4" w:space="0" w:color="auto"/>
              <w:right w:val="single" w:sz="4" w:space="0" w:color="auto"/>
            </w:tcBorders>
            <w:shd w:val="clear" w:color="auto" w:fill="auto"/>
            <w:vAlign w:val="center"/>
            <w:hideMark/>
          </w:tcPr>
          <w:p w14:paraId="26FDE86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70.2</w:t>
            </w:r>
            <w:r w:rsidRPr="00A82950">
              <w:rPr>
                <w:rFonts w:eastAsia="Times New Roman"/>
                <w:noProof w:val="0"/>
                <w:color w:val="000000"/>
                <w:sz w:val="18"/>
                <w:szCs w:val="18"/>
              </w:rPr>
              <w:br/>
              <w:t>(+0.2%)</w:t>
            </w:r>
          </w:p>
        </w:tc>
        <w:tc>
          <w:tcPr>
            <w:tcW w:w="833" w:type="pct"/>
            <w:tcBorders>
              <w:top w:val="nil"/>
              <w:left w:val="nil"/>
              <w:bottom w:val="single" w:sz="4" w:space="0" w:color="auto"/>
              <w:right w:val="single" w:sz="4" w:space="0" w:color="auto"/>
            </w:tcBorders>
            <w:shd w:val="clear" w:color="auto" w:fill="auto"/>
            <w:vAlign w:val="center"/>
            <w:hideMark/>
          </w:tcPr>
          <w:p w14:paraId="75CAA179"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87.4</w:t>
            </w:r>
            <w:r w:rsidRPr="00A82950">
              <w:rPr>
                <w:rFonts w:eastAsia="Times New Roman"/>
                <w:noProof w:val="0"/>
                <w:color w:val="000000"/>
                <w:sz w:val="18"/>
                <w:szCs w:val="18"/>
              </w:rPr>
              <w:br/>
              <w:t>(+24.5%)</w:t>
            </w:r>
          </w:p>
        </w:tc>
        <w:tc>
          <w:tcPr>
            <w:tcW w:w="833" w:type="pct"/>
            <w:tcBorders>
              <w:top w:val="nil"/>
              <w:left w:val="nil"/>
              <w:bottom w:val="single" w:sz="4" w:space="0" w:color="auto"/>
              <w:right w:val="single" w:sz="4" w:space="0" w:color="auto"/>
            </w:tcBorders>
            <w:shd w:val="clear" w:color="auto" w:fill="auto"/>
            <w:vAlign w:val="center"/>
            <w:hideMark/>
          </w:tcPr>
          <w:p w14:paraId="79A183C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77.0</w:t>
            </w:r>
            <w:r w:rsidRPr="00A82950">
              <w:rPr>
                <w:rFonts w:eastAsia="Times New Roman"/>
                <w:noProof w:val="0"/>
                <w:color w:val="000000"/>
                <w:sz w:val="18"/>
                <w:szCs w:val="18"/>
              </w:rPr>
              <w:br/>
              <w:t>(-11.8%)</w:t>
            </w:r>
          </w:p>
        </w:tc>
        <w:tc>
          <w:tcPr>
            <w:tcW w:w="833" w:type="pct"/>
            <w:tcBorders>
              <w:top w:val="nil"/>
              <w:left w:val="nil"/>
              <w:bottom w:val="single" w:sz="4" w:space="0" w:color="auto"/>
              <w:right w:val="single" w:sz="4" w:space="0" w:color="auto"/>
            </w:tcBorders>
            <w:shd w:val="clear" w:color="auto" w:fill="auto"/>
            <w:vAlign w:val="center"/>
            <w:hideMark/>
          </w:tcPr>
          <w:p w14:paraId="444A88E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18</w:t>
            </w:r>
            <w:r w:rsidRPr="00A82950">
              <w:rPr>
                <w:rFonts w:eastAsia="Times New Roman"/>
                <w:noProof w:val="0"/>
                <w:color w:val="000000"/>
                <w:sz w:val="18"/>
                <w:szCs w:val="18"/>
              </w:rPr>
              <w:br/>
              <w:t>(-76.7%)</w:t>
            </w:r>
          </w:p>
        </w:tc>
      </w:tr>
      <w:tr w:rsidR="00A82950" w:rsidRPr="00A82950" w14:paraId="4B3FD880" w14:textId="77777777" w:rsidTr="004C53C7">
        <w:trPr>
          <w:trHeight w:val="102"/>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3E39B90B"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May</w:t>
            </w:r>
          </w:p>
        </w:tc>
        <w:tc>
          <w:tcPr>
            <w:tcW w:w="833" w:type="pct"/>
            <w:tcBorders>
              <w:top w:val="nil"/>
              <w:left w:val="nil"/>
              <w:bottom w:val="single" w:sz="4" w:space="0" w:color="auto"/>
              <w:right w:val="single" w:sz="4" w:space="0" w:color="auto"/>
            </w:tcBorders>
            <w:shd w:val="clear" w:color="auto" w:fill="auto"/>
            <w:vAlign w:val="center"/>
            <w:hideMark/>
          </w:tcPr>
          <w:p w14:paraId="477CB6E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72.7</w:t>
            </w:r>
            <w:r w:rsidRPr="00A82950">
              <w:rPr>
                <w:rFonts w:eastAsia="Times New Roman"/>
                <w:noProof w:val="0"/>
                <w:color w:val="000000"/>
                <w:sz w:val="18"/>
                <w:szCs w:val="18"/>
              </w:rPr>
              <w:br/>
              <w:t>(-18.6%)</w:t>
            </w:r>
          </w:p>
        </w:tc>
        <w:tc>
          <w:tcPr>
            <w:tcW w:w="833" w:type="pct"/>
            <w:tcBorders>
              <w:top w:val="nil"/>
              <w:left w:val="nil"/>
              <w:bottom w:val="single" w:sz="4" w:space="0" w:color="auto"/>
              <w:right w:val="single" w:sz="4" w:space="0" w:color="auto"/>
            </w:tcBorders>
            <w:shd w:val="clear" w:color="auto" w:fill="auto"/>
            <w:vAlign w:val="center"/>
            <w:hideMark/>
          </w:tcPr>
          <w:p w14:paraId="1682C3C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73.5</w:t>
            </w:r>
            <w:r w:rsidRPr="00A82950">
              <w:rPr>
                <w:rFonts w:eastAsia="Times New Roman"/>
                <w:noProof w:val="0"/>
                <w:color w:val="000000"/>
                <w:sz w:val="18"/>
                <w:szCs w:val="18"/>
              </w:rPr>
              <w:br/>
              <w:t>(+1%)</w:t>
            </w:r>
          </w:p>
        </w:tc>
        <w:tc>
          <w:tcPr>
            <w:tcW w:w="833" w:type="pct"/>
            <w:tcBorders>
              <w:top w:val="nil"/>
              <w:left w:val="nil"/>
              <w:bottom w:val="single" w:sz="4" w:space="0" w:color="auto"/>
              <w:right w:val="single" w:sz="4" w:space="0" w:color="auto"/>
            </w:tcBorders>
            <w:shd w:val="clear" w:color="auto" w:fill="auto"/>
            <w:vAlign w:val="center"/>
            <w:hideMark/>
          </w:tcPr>
          <w:p w14:paraId="319E1BD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90.9</w:t>
            </w:r>
            <w:r w:rsidRPr="00A82950">
              <w:rPr>
                <w:rFonts w:eastAsia="Times New Roman"/>
                <w:noProof w:val="0"/>
                <w:color w:val="000000"/>
                <w:sz w:val="18"/>
                <w:szCs w:val="18"/>
              </w:rPr>
              <w:br/>
              <w:t>(+23.8%)</w:t>
            </w:r>
          </w:p>
        </w:tc>
        <w:tc>
          <w:tcPr>
            <w:tcW w:w="833" w:type="pct"/>
            <w:tcBorders>
              <w:top w:val="nil"/>
              <w:left w:val="nil"/>
              <w:bottom w:val="single" w:sz="4" w:space="0" w:color="auto"/>
              <w:right w:val="single" w:sz="4" w:space="0" w:color="auto"/>
            </w:tcBorders>
            <w:shd w:val="clear" w:color="auto" w:fill="auto"/>
            <w:vAlign w:val="center"/>
            <w:hideMark/>
          </w:tcPr>
          <w:p w14:paraId="199EB97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88.3</w:t>
            </w:r>
            <w:r w:rsidRPr="00A82950">
              <w:rPr>
                <w:rFonts w:eastAsia="Times New Roman"/>
                <w:noProof w:val="0"/>
                <w:color w:val="000000"/>
                <w:sz w:val="18"/>
                <w:szCs w:val="18"/>
              </w:rPr>
              <w:br/>
              <w:t>(-2.9%)</w:t>
            </w:r>
          </w:p>
        </w:tc>
        <w:tc>
          <w:tcPr>
            <w:tcW w:w="833" w:type="pct"/>
            <w:tcBorders>
              <w:top w:val="nil"/>
              <w:left w:val="nil"/>
              <w:bottom w:val="single" w:sz="4" w:space="0" w:color="auto"/>
              <w:right w:val="single" w:sz="4" w:space="0" w:color="auto"/>
            </w:tcBorders>
            <w:shd w:val="clear" w:color="auto" w:fill="auto"/>
            <w:vAlign w:val="center"/>
            <w:hideMark/>
          </w:tcPr>
          <w:p w14:paraId="793D99BD"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26.5</w:t>
            </w:r>
            <w:r w:rsidRPr="00A82950">
              <w:rPr>
                <w:rFonts w:eastAsia="Times New Roman"/>
                <w:noProof w:val="0"/>
                <w:color w:val="000000"/>
                <w:sz w:val="18"/>
                <w:szCs w:val="18"/>
              </w:rPr>
              <w:br/>
              <w:t>(-69.9%)</w:t>
            </w:r>
          </w:p>
        </w:tc>
      </w:tr>
      <w:tr w:rsidR="00A82950" w:rsidRPr="00A82950" w14:paraId="56A5EF20" w14:textId="77777777" w:rsidTr="004C53C7">
        <w:trPr>
          <w:trHeight w:val="219"/>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6B61959E"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Jun</w:t>
            </w:r>
          </w:p>
        </w:tc>
        <w:tc>
          <w:tcPr>
            <w:tcW w:w="833" w:type="pct"/>
            <w:tcBorders>
              <w:top w:val="nil"/>
              <w:left w:val="nil"/>
              <w:bottom w:val="single" w:sz="4" w:space="0" w:color="auto"/>
              <w:right w:val="single" w:sz="4" w:space="0" w:color="auto"/>
            </w:tcBorders>
            <w:shd w:val="clear" w:color="auto" w:fill="auto"/>
            <w:vAlign w:val="center"/>
            <w:hideMark/>
          </w:tcPr>
          <w:p w14:paraId="19B5B68D"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72.3</w:t>
            </w:r>
            <w:r w:rsidRPr="00A82950">
              <w:rPr>
                <w:rFonts w:eastAsia="Times New Roman"/>
                <w:noProof w:val="0"/>
                <w:color w:val="000000"/>
                <w:sz w:val="18"/>
                <w:szCs w:val="18"/>
              </w:rPr>
              <w:br/>
              <w:t>(-20.4%)</w:t>
            </w:r>
          </w:p>
        </w:tc>
        <w:tc>
          <w:tcPr>
            <w:tcW w:w="833" w:type="pct"/>
            <w:tcBorders>
              <w:top w:val="nil"/>
              <w:left w:val="nil"/>
              <w:bottom w:val="single" w:sz="4" w:space="0" w:color="auto"/>
              <w:right w:val="single" w:sz="4" w:space="0" w:color="auto"/>
            </w:tcBorders>
            <w:shd w:val="clear" w:color="auto" w:fill="auto"/>
            <w:vAlign w:val="center"/>
            <w:hideMark/>
          </w:tcPr>
          <w:p w14:paraId="6B290547"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71.7</w:t>
            </w:r>
            <w:r w:rsidRPr="00A82950">
              <w:rPr>
                <w:rFonts w:eastAsia="Times New Roman"/>
                <w:noProof w:val="0"/>
                <w:color w:val="000000"/>
                <w:sz w:val="18"/>
                <w:szCs w:val="18"/>
              </w:rPr>
              <w:br/>
              <w:t>(-0.8%)</w:t>
            </w:r>
          </w:p>
        </w:tc>
        <w:tc>
          <w:tcPr>
            <w:tcW w:w="833" w:type="pct"/>
            <w:tcBorders>
              <w:top w:val="nil"/>
              <w:left w:val="nil"/>
              <w:bottom w:val="single" w:sz="4" w:space="0" w:color="auto"/>
              <w:right w:val="single" w:sz="4" w:space="0" w:color="auto"/>
            </w:tcBorders>
            <w:shd w:val="clear" w:color="auto" w:fill="auto"/>
            <w:vAlign w:val="center"/>
            <w:hideMark/>
          </w:tcPr>
          <w:p w14:paraId="1FBC6EA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91.7</w:t>
            </w:r>
            <w:r w:rsidRPr="00A82950">
              <w:rPr>
                <w:rFonts w:eastAsia="Times New Roman"/>
                <w:noProof w:val="0"/>
                <w:color w:val="000000"/>
                <w:sz w:val="18"/>
                <w:szCs w:val="18"/>
              </w:rPr>
              <w:br/>
              <w:t>(+27.8%)</w:t>
            </w:r>
          </w:p>
        </w:tc>
        <w:tc>
          <w:tcPr>
            <w:tcW w:w="833" w:type="pct"/>
            <w:tcBorders>
              <w:top w:val="nil"/>
              <w:left w:val="nil"/>
              <w:bottom w:val="single" w:sz="4" w:space="0" w:color="auto"/>
              <w:right w:val="single" w:sz="4" w:space="0" w:color="auto"/>
            </w:tcBorders>
            <w:shd w:val="clear" w:color="auto" w:fill="auto"/>
            <w:vAlign w:val="center"/>
            <w:hideMark/>
          </w:tcPr>
          <w:p w14:paraId="1AECD774"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76.0</w:t>
            </w:r>
            <w:r w:rsidRPr="00A82950">
              <w:rPr>
                <w:rFonts w:eastAsia="Times New Roman"/>
                <w:noProof w:val="0"/>
                <w:color w:val="000000"/>
                <w:sz w:val="18"/>
                <w:szCs w:val="18"/>
              </w:rPr>
              <w:br/>
              <w:t>(-17.1%)</w:t>
            </w:r>
          </w:p>
        </w:tc>
        <w:tc>
          <w:tcPr>
            <w:tcW w:w="833" w:type="pct"/>
            <w:tcBorders>
              <w:top w:val="nil"/>
              <w:left w:val="nil"/>
              <w:bottom w:val="single" w:sz="4" w:space="0" w:color="auto"/>
              <w:right w:val="single" w:sz="4" w:space="0" w:color="auto"/>
            </w:tcBorders>
            <w:shd w:val="clear" w:color="auto" w:fill="auto"/>
            <w:vAlign w:val="center"/>
            <w:hideMark/>
          </w:tcPr>
          <w:p w14:paraId="0B12432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33.2</w:t>
            </w:r>
            <w:r w:rsidRPr="00A82950">
              <w:rPr>
                <w:rFonts w:eastAsia="Times New Roman"/>
                <w:noProof w:val="0"/>
                <w:color w:val="000000"/>
                <w:sz w:val="18"/>
                <w:szCs w:val="18"/>
              </w:rPr>
              <w:br/>
              <w:t>(-56.4%)</w:t>
            </w:r>
          </w:p>
        </w:tc>
      </w:tr>
      <w:tr w:rsidR="00A82950" w:rsidRPr="00A82950" w14:paraId="4EAEC014" w14:textId="77777777" w:rsidTr="004C53C7">
        <w:trPr>
          <w:trHeight w:val="66"/>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36D389EC"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Jul</w:t>
            </w:r>
          </w:p>
        </w:tc>
        <w:tc>
          <w:tcPr>
            <w:tcW w:w="833" w:type="pct"/>
            <w:tcBorders>
              <w:top w:val="nil"/>
              <w:left w:val="nil"/>
              <w:bottom w:val="single" w:sz="4" w:space="0" w:color="auto"/>
              <w:right w:val="single" w:sz="4" w:space="0" w:color="auto"/>
            </w:tcBorders>
            <w:shd w:val="clear" w:color="auto" w:fill="auto"/>
            <w:vAlign w:val="center"/>
            <w:hideMark/>
          </w:tcPr>
          <w:p w14:paraId="6C5F00C4"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72.5</w:t>
            </w:r>
            <w:r w:rsidRPr="00A82950">
              <w:rPr>
                <w:rFonts w:eastAsia="Times New Roman"/>
                <w:noProof w:val="0"/>
                <w:color w:val="000000"/>
                <w:sz w:val="18"/>
                <w:szCs w:val="18"/>
              </w:rPr>
              <w:br/>
              <w:t>(-26.2%)</w:t>
            </w:r>
          </w:p>
        </w:tc>
        <w:tc>
          <w:tcPr>
            <w:tcW w:w="833" w:type="pct"/>
            <w:tcBorders>
              <w:top w:val="nil"/>
              <w:left w:val="nil"/>
              <w:bottom w:val="single" w:sz="4" w:space="0" w:color="auto"/>
              <w:right w:val="single" w:sz="4" w:space="0" w:color="auto"/>
            </w:tcBorders>
            <w:shd w:val="clear" w:color="auto" w:fill="auto"/>
            <w:vAlign w:val="center"/>
            <w:hideMark/>
          </w:tcPr>
          <w:p w14:paraId="13AD5DD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82.1</w:t>
            </w:r>
            <w:r w:rsidRPr="00A82950">
              <w:rPr>
                <w:rFonts w:eastAsia="Times New Roman"/>
                <w:noProof w:val="0"/>
                <w:color w:val="000000"/>
                <w:sz w:val="18"/>
                <w:szCs w:val="18"/>
              </w:rPr>
              <w:br/>
              <w:t>(+13.3%)</w:t>
            </w:r>
          </w:p>
        </w:tc>
        <w:tc>
          <w:tcPr>
            <w:tcW w:w="833" w:type="pct"/>
            <w:tcBorders>
              <w:top w:val="nil"/>
              <w:left w:val="nil"/>
              <w:bottom w:val="single" w:sz="4" w:space="0" w:color="auto"/>
              <w:right w:val="single" w:sz="4" w:space="0" w:color="auto"/>
            </w:tcBorders>
            <w:shd w:val="clear" w:color="auto" w:fill="auto"/>
            <w:vAlign w:val="center"/>
            <w:hideMark/>
          </w:tcPr>
          <w:p w14:paraId="7CF58D5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96.0</w:t>
            </w:r>
            <w:r w:rsidRPr="00A82950">
              <w:rPr>
                <w:rFonts w:eastAsia="Times New Roman"/>
                <w:noProof w:val="0"/>
                <w:color w:val="000000"/>
                <w:sz w:val="18"/>
                <w:szCs w:val="18"/>
              </w:rPr>
              <w:br/>
              <w:t>(+17%)</w:t>
            </w:r>
          </w:p>
        </w:tc>
        <w:tc>
          <w:tcPr>
            <w:tcW w:w="833" w:type="pct"/>
            <w:tcBorders>
              <w:top w:val="nil"/>
              <w:left w:val="nil"/>
              <w:bottom w:val="single" w:sz="4" w:space="0" w:color="auto"/>
              <w:right w:val="single" w:sz="4" w:space="0" w:color="auto"/>
            </w:tcBorders>
            <w:shd w:val="clear" w:color="auto" w:fill="auto"/>
            <w:vAlign w:val="center"/>
            <w:hideMark/>
          </w:tcPr>
          <w:p w14:paraId="733B4D9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72.7</w:t>
            </w:r>
            <w:r w:rsidRPr="00A82950">
              <w:rPr>
                <w:rFonts w:eastAsia="Times New Roman"/>
                <w:noProof w:val="0"/>
                <w:color w:val="000000"/>
                <w:sz w:val="18"/>
                <w:szCs w:val="18"/>
              </w:rPr>
              <w:br/>
              <w:t>(-24.3%)</w:t>
            </w:r>
          </w:p>
        </w:tc>
        <w:tc>
          <w:tcPr>
            <w:tcW w:w="833" w:type="pct"/>
            <w:tcBorders>
              <w:top w:val="nil"/>
              <w:left w:val="nil"/>
              <w:bottom w:val="single" w:sz="4" w:space="0" w:color="auto"/>
              <w:right w:val="single" w:sz="4" w:space="0" w:color="auto"/>
            </w:tcBorders>
            <w:shd w:val="clear" w:color="auto" w:fill="auto"/>
            <w:vAlign w:val="center"/>
            <w:hideMark/>
          </w:tcPr>
          <w:p w14:paraId="451B984E"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33.3</w:t>
            </w:r>
            <w:r w:rsidRPr="00A82950">
              <w:rPr>
                <w:rFonts w:eastAsia="Times New Roman"/>
                <w:noProof w:val="0"/>
                <w:color w:val="000000"/>
                <w:sz w:val="18"/>
                <w:szCs w:val="18"/>
              </w:rPr>
              <w:br/>
              <w:t>(-54.3%)</w:t>
            </w:r>
          </w:p>
        </w:tc>
      </w:tr>
      <w:tr w:rsidR="00A82950" w:rsidRPr="00A82950" w14:paraId="51FB1440" w14:textId="77777777" w:rsidTr="004C53C7">
        <w:trPr>
          <w:trHeight w:val="174"/>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210B8DA5"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Aug</w:t>
            </w:r>
          </w:p>
        </w:tc>
        <w:tc>
          <w:tcPr>
            <w:tcW w:w="833" w:type="pct"/>
            <w:tcBorders>
              <w:top w:val="nil"/>
              <w:left w:val="nil"/>
              <w:bottom w:val="single" w:sz="4" w:space="0" w:color="auto"/>
              <w:right w:val="single" w:sz="4" w:space="0" w:color="auto"/>
            </w:tcBorders>
            <w:shd w:val="clear" w:color="auto" w:fill="auto"/>
            <w:vAlign w:val="center"/>
            <w:hideMark/>
          </w:tcPr>
          <w:p w14:paraId="5345A644"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76.2</w:t>
            </w:r>
            <w:r w:rsidRPr="00A82950">
              <w:rPr>
                <w:rFonts w:eastAsia="Times New Roman"/>
                <w:noProof w:val="0"/>
                <w:color w:val="000000"/>
                <w:sz w:val="18"/>
                <w:szCs w:val="18"/>
              </w:rPr>
              <w:br/>
              <w:t>(-26.5%)</w:t>
            </w:r>
          </w:p>
        </w:tc>
        <w:tc>
          <w:tcPr>
            <w:tcW w:w="833" w:type="pct"/>
            <w:tcBorders>
              <w:top w:val="nil"/>
              <w:left w:val="nil"/>
              <w:bottom w:val="single" w:sz="4" w:space="0" w:color="auto"/>
              <w:right w:val="single" w:sz="4" w:space="0" w:color="auto"/>
            </w:tcBorders>
            <w:shd w:val="clear" w:color="auto" w:fill="auto"/>
            <w:vAlign w:val="center"/>
            <w:hideMark/>
          </w:tcPr>
          <w:p w14:paraId="320868CE"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81.8</w:t>
            </w:r>
            <w:r w:rsidRPr="00A82950">
              <w:rPr>
                <w:rFonts w:eastAsia="Times New Roman"/>
                <w:noProof w:val="0"/>
                <w:color w:val="000000"/>
                <w:sz w:val="18"/>
                <w:szCs w:val="18"/>
              </w:rPr>
              <w:br/>
              <w:t>(+7.4%)</w:t>
            </w:r>
          </w:p>
        </w:tc>
        <w:tc>
          <w:tcPr>
            <w:tcW w:w="833" w:type="pct"/>
            <w:tcBorders>
              <w:top w:val="nil"/>
              <w:left w:val="nil"/>
              <w:bottom w:val="single" w:sz="4" w:space="0" w:color="auto"/>
              <w:right w:val="single" w:sz="4" w:space="0" w:color="auto"/>
            </w:tcBorders>
            <w:shd w:val="clear" w:color="auto" w:fill="auto"/>
            <w:vAlign w:val="center"/>
            <w:hideMark/>
          </w:tcPr>
          <w:p w14:paraId="07A9621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98.8</w:t>
            </w:r>
            <w:r w:rsidRPr="00A82950">
              <w:rPr>
                <w:rFonts w:eastAsia="Times New Roman"/>
                <w:noProof w:val="0"/>
                <w:color w:val="000000"/>
                <w:sz w:val="18"/>
                <w:szCs w:val="18"/>
              </w:rPr>
              <w:br/>
              <w:t>(+20.8%)</w:t>
            </w:r>
          </w:p>
        </w:tc>
        <w:tc>
          <w:tcPr>
            <w:tcW w:w="833" w:type="pct"/>
            <w:tcBorders>
              <w:top w:val="nil"/>
              <w:left w:val="nil"/>
              <w:bottom w:val="single" w:sz="4" w:space="0" w:color="auto"/>
              <w:right w:val="single" w:sz="4" w:space="0" w:color="auto"/>
            </w:tcBorders>
            <w:shd w:val="clear" w:color="auto" w:fill="auto"/>
            <w:vAlign w:val="center"/>
            <w:hideMark/>
          </w:tcPr>
          <w:p w14:paraId="0825734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52.2</w:t>
            </w:r>
            <w:r w:rsidRPr="00A82950">
              <w:rPr>
                <w:rFonts w:eastAsia="Times New Roman"/>
                <w:noProof w:val="0"/>
                <w:color w:val="000000"/>
                <w:sz w:val="18"/>
                <w:szCs w:val="18"/>
              </w:rPr>
              <w:br/>
              <w:t>(-47.1%)</w:t>
            </w:r>
          </w:p>
        </w:tc>
        <w:tc>
          <w:tcPr>
            <w:tcW w:w="833" w:type="pct"/>
            <w:tcBorders>
              <w:top w:val="nil"/>
              <w:left w:val="nil"/>
              <w:bottom w:val="single" w:sz="4" w:space="0" w:color="auto"/>
              <w:right w:val="single" w:sz="4" w:space="0" w:color="auto"/>
            </w:tcBorders>
            <w:shd w:val="clear" w:color="auto" w:fill="auto"/>
            <w:vAlign w:val="center"/>
            <w:hideMark/>
          </w:tcPr>
          <w:p w14:paraId="1FC48A5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32.7</w:t>
            </w:r>
            <w:r w:rsidRPr="00A82950">
              <w:rPr>
                <w:rFonts w:eastAsia="Times New Roman"/>
                <w:noProof w:val="0"/>
                <w:color w:val="000000"/>
                <w:sz w:val="18"/>
                <w:szCs w:val="18"/>
              </w:rPr>
              <w:br/>
              <w:t>(-37.4%)</w:t>
            </w:r>
          </w:p>
        </w:tc>
      </w:tr>
      <w:tr w:rsidR="00A82950" w:rsidRPr="00A82950" w14:paraId="017BBE7F" w14:textId="77777777" w:rsidTr="004C53C7">
        <w:trPr>
          <w:trHeight w:val="219"/>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2844B863"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Sep</w:t>
            </w:r>
          </w:p>
        </w:tc>
        <w:tc>
          <w:tcPr>
            <w:tcW w:w="833" w:type="pct"/>
            <w:tcBorders>
              <w:top w:val="nil"/>
              <w:left w:val="nil"/>
              <w:bottom w:val="single" w:sz="4" w:space="0" w:color="auto"/>
              <w:right w:val="single" w:sz="4" w:space="0" w:color="auto"/>
            </w:tcBorders>
            <w:shd w:val="clear" w:color="auto" w:fill="auto"/>
            <w:vAlign w:val="center"/>
            <w:hideMark/>
          </w:tcPr>
          <w:p w14:paraId="6F627F5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69.3</w:t>
            </w:r>
            <w:r w:rsidRPr="00A82950">
              <w:rPr>
                <w:rFonts w:eastAsia="Times New Roman"/>
                <w:noProof w:val="0"/>
                <w:color w:val="000000"/>
                <w:sz w:val="18"/>
                <w:szCs w:val="18"/>
              </w:rPr>
              <w:br/>
              <w:t>(-12.3%)</w:t>
            </w:r>
          </w:p>
        </w:tc>
        <w:tc>
          <w:tcPr>
            <w:tcW w:w="833" w:type="pct"/>
            <w:tcBorders>
              <w:top w:val="nil"/>
              <w:left w:val="nil"/>
              <w:bottom w:val="single" w:sz="4" w:space="0" w:color="auto"/>
              <w:right w:val="single" w:sz="4" w:space="0" w:color="auto"/>
            </w:tcBorders>
            <w:shd w:val="clear" w:color="auto" w:fill="auto"/>
            <w:vAlign w:val="center"/>
            <w:hideMark/>
          </w:tcPr>
          <w:p w14:paraId="30BBEA1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79.5</w:t>
            </w:r>
            <w:r w:rsidRPr="00A82950">
              <w:rPr>
                <w:rFonts w:eastAsia="Times New Roman"/>
                <w:noProof w:val="0"/>
                <w:color w:val="000000"/>
                <w:sz w:val="18"/>
                <w:szCs w:val="18"/>
              </w:rPr>
              <w:br/>
              <w:t>(+14.8%)</w:t>
            </w:r>
          </w:p>
        </w:tc>
        <w:tc>
          <w:tcPr>
            <w:tcW w:w="833" w:type="pct"/>
            <w:tcBorders>
              <w:top w:val="nil"/>
              <w:left w:val="nil"/>
              <w:bottom w:val="single" w:sz="4" w:space="0" w:color="auto"/>
              <w:right w:val="single" w:sz="4" w:space="0" w:color="auto"/>
            </w:tcBorders>
            <w:shd w:val="clear" w:color="auto" w:fill="auto"/>
            <w:vAlign w:val="center"/>
            <w:hideMark/>
          </w:tcPr>
          <w:p w14:paraId="3411860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81.0</w:t>
            </w:r>
            <w:r w:rsidRPr="00A82950">
              <w:rPr>
                <w:rFonts w:eastAsia="Times New Roman"/>
                <w:noProof w:val="0"/>
                <w:color w:val="000000"/>
                <w:sz w:val="18"/>
                <w:szCs w:val="18"/>
              </w:rPr>
              <w:br/>
              <w:t>(+1.9%)</w:t>
            </w:r>
          </w:p>
        </w:tc>
        <w:tc>
          <w:tcPr>
            <w:tcW w:w="833" w:type="pct"/>
            <w:tcBorders>
              <w:top w:val="nil"/>
              <w:left w:val="nil"/>
              <w:bottom w:val="single" w:sz="4" w:space="0" w:color="auto"/>
              <w:right w:val="single" w:sz="4" w:space="0" w:color="auto"/>
            </w:tcBorders>
            <w:shd w:val="clear" w:color="auto" w:fill="auto"/>
            <w:vAlign w:val="center"/>
            <w:hideMark/>
          </w:tcPr>
          <w:p w14:paraId="1F504B95"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48.6</w:t>
            </w:r>
            <w:r w:rsidRPr="00A82950">
              <w:rPr>
                <w:rFonts w:eastAsia="Times New Roman"/>
                <w:noProof w:val="0"/>
                <w:color w:val="000000"/>
                <w:sz w:val="18"/>
                <w:szCs w:val="18"/>
              </w:rPr>
              <w:br/>
              <w:t>(-40%)</w:t>
            </w:r>
          </w:p>
        </w:tc>
        <w:tc>
          <w:tcPr>
            <w:tcW w:w="833" w:type="pct"/>
            <w:tcBorders>
              <w:top w:val="nil"/>
              <w:left w:val="nil"/>
              <w:bottom w:val="single" w:sz="4" w:space="0" w:color="auto"/>
              <w:right w:val="single" w:sz="4" w:space="0" w:color="auto"/>
            </w:tcBorders>
            <w:shd w:val="clear" w:color="auto" w:fill="auto"/>
            <w:vAlign w:val="center"/>
            <w:hideMark/>
          </w:tcPr>
          <w:p w14:paraId="66706912"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36.2</w:t>
            </w:r>
            <w:r w:rsidRPr="00A82950">
              <w:rPr>
                <w:rFonts w:eastAsia="Times New Roman"/>
                <w:noProof w:val="0"/>
                <w:color w:val="000000"/>
                <w:sz w:val="18"/>
                <w:szCs w:val="18"/>
              </w:rPr>
              <w:br/>
              <w:t>(-25.6%)</w:t>
            </w:r>
          </w:p>
        </w:tc>
      </w:tr>
      <w:tr w:rsidR="00A82950" w:rsidRPr="00A82950" w14:paraId="76C42B1E" w14:textId="77777777" w:rsidTr="004C53C7">
        <w:trPr>
          <w:trHeight w:val="57"/>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0347B148"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Oct</w:t>
            </w:r>
          </w:p>
        </w:tc>
        <w:tc>
          <w:tcPr>
            <w:tcW w:w="833" w:type="pct"/>
            <w:tcBorders>
              <w:top w:val="nil"/>
              <w:left w:val="nil"/>
              <w:bottom w:val="single" w:sz="4" w:space="0" w:color="auto"/>
              <w:right w:val="single" w:sz="4" w:space="0" w:color="auto"/>
            </w:tcBorders>
            <w:shd w:val="clear" w:color="auto" w:fill="auto"/>
            <w:vAlign w:val="center"/>
            <w:hideMark/>
          </w:tcPr>
          <w:p w14:paraId="7068D1E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81.0</w:t>
            </w:r>
            <w:r w:rsidRPr="00A82950">
              <w:rPr>
                <w:rFonts w:eastAsia="Times New Roman"/>
                <w:noProof w:val="0"/>
                <w:color w:val="000000"/>
                <w:sz w:val="18"/>
                <w:szCs w:val="18"/>
              </w:rPr>
              <w:br/>
              <w:t>(+0%)</w:t>
            </w:r>
          </w:p>
        </w:tc>
        <w:tc>
          <w:tcPr>
            <w:tcW w:w="833" w:type="pct"/>
            <w:tcBorders>
              <w:top w:val="nil"/>
              <w:left w:val="nil"/>
              <w:bottom w:val="single" w:sz="4" w:space="0" w:color="auto"/>
              <w:right w:val="single" w:sz="4" w:space="0" w:color="auto"/>
            </w:tcBorders>
            <w:shd w:val="clear" w:color="auto" w:fill="auto"/>
            <w:vAlign w:val="center"/>
            <w:hideMark/>
          </w:tcPr>
          <w:p w14:paraId="0049597B"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87.8</w:t>
            </w:r>
            <w:r w:rsidRPr="00A82950">
              <w:rPr>
                <w:rFonts w:eastAsia="Times New Roman"/>
                <w:noProof w:val="0"/>
                <w:color w:val="000000"/>
                <w:sz w:val="18"/>
                <w:szCs w:val="18"/>
              </w:rPr>
              <w:br/>
              <w:t>(+8.5%)</w:t>
            </w:r>
          </w:p>
        </w:tc>
        <w:tc>
          <w:tcPr>
            <w:tcW w:w="833" w:type="pct"/>
            <w:tcBorders>
              <w:top w:val="nil"/>
              <w:left w:val="nil"/>
              <w:bottom w:val="single" w:sz="4" w:space="0" w:color="auto"/>
              <w:right w:val="single" w:sz="4" w:space="0" w:color="auto"/>
            </w:tcBorders>
            <w:shd w:val="clear" w:color="auto" w:fill="auto"/>
            <w:vAlign w:val="center"/>
            <w:hideMark/>
          </w:tcPr>
          <w:p w14:paraId="18FA84A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90.7</w:t>
            </w:r>
            <w:r w:rsidRPr="00A82950">
              <w:rPr>
                <w:rFonts w:eastAsia="Times New Roman"/>
                <w:noProof w:val="0"/>
                <w:color w:val="000000"/>
                <w:sz w:val="18"/>
                <w:szCs w:val="18"/>
              </w:rPr>
              <w:br/>
              <w:t>(+3.2%)</w:t>
            </w:r>
          </w:p>
        </w:tc>
        <w:tc>
          <w:tcPr>
            <w:tcW w:w="833" w:type="pct"/>
            <w:tcBorders>
              <w:top w:val="nil"/>
              <w:left w:val="nil"/>
              <w:bottom w:val="single" w:sz="4" w:space="0" w:color="auto"/>
              <w:right w:val="single" w:sz="4" w:space="0" w:color="auto"/>
            </w:tcBorders>
            <w:shd w:val="clear" w:color="auto" w:fill="auto"/>
            <w:vAlign w:val="center"/>
            <w:hideMark/>
          </w:tcPr>
          <w:p w14:paraId="5DBF9A4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51.7</w:t>
            </w:r>
            <w:r w:rsidRPr="00A82950">
              <w:rPr>
                <w:rFonts w:eastAsia="Times New Roman"/>
                <w:noProof w:val="0"/>
                <w:color w:val="000000"/>
                <w:sz w:val="18"/>
                <w:szCs w:val="18"/>
              </w:rPr>
              <w:br/>
              <w:t>(-43%)</w:t>
            </w:r>
          </w:p>
        </w:tc>
        <w:tc>
          <w:tcPr>
            <w:tcW w:w="833" w:type="pct"/>
            <w:tcBorders>
              <w:top w:val="nil"/>
              <w:left w:val="nil"/>
              <w:bottom w:val="single" w:sz="4" w:space="0" w:color="auto"/>
              <w:right w:val="single" w:sz="4" w:space="0" w:color="auto"/>
            </w:tcBorders>
            <w:shd w:val="clear" w:color="auto" w:fill="auto"/>
            <w:vAlign w:val="center"/>
            <w:hideMark/>
          </w:tcPr>
          <w:p w14:paraId="1A8EE3C1"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37.8</w:t>
            </w:r>
            <w:r w:rsidRPr="00A82950">
              <w:rPr>
                <w:rFonts w:eastAsia="Times New Roman"/>
                <w:noProof w:val="0"/>
                <w:color w:val="000000"/>
                <w:sz w:val="18"/>
                <w:szCs w:val="18"/>
              </w:rPr>
              <w:br/>
              <w:t>(-26.8%)</w:t>
            </w:r>
          </w:p>
        </w:tc>
      </w:tr>
      <w:tr w:rsidR="00A82950" w:rsidRPr="00A82950" w14:paraId="6C45B5B9" w14:textId="77777777" w:rsidTr="004C53C7">
        <w:trPr>
          <w:trHeight w:val="50"/>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5EB70D17"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Nov</w:t>
            </w:r>
          </w:p>
        </w:tc>
        <w:tc>
          <w:tcPr>
            <w:tcW w:w="833" w:type="pct"/>
            <w:tcBorders>
              <w:top w:val="nil"/>
              <w:left w:val="nil"/>
              <w:bottom w:val="single" w:sz="4" w:space="0" w:color="auto"/>
              <w:right w:val="single" w:sz="4" w:space="0" w:color="auto"/>
            </w:tcBorders>
            <w:shd w:val="clear" w:color="auto" w:fill="auto"/>
            <w:vAlign w:val="center"/>
            <w:hideMark/>
          </w:tcPr>
          <w:p w14:paraId="2F7E1A7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74.9</w:t>
            </w:r>
            <w:r w:rsidRPr="00A82950">
              <w:rPr>
                <w:rFonts w:eastAsia="Times New Roman"/>
                <w:noProof w:val="0"/>
                <w:color w:val="000000"/>
                <w:sz w:val="18"/>
                <w:szCs w:val="18"/>
              </w:rPr>
              <w:br/>
              <w:t>(-14.5%)</w:t>
            </w:r>
          </w:p>
        </w:tc>
        <w:tc>
          <w:tcPr>
            <w:tcW w:w="833" w:type="pct"/>
            <w:tcBorders>
              <w:top w:val="nil"/>
              <w:left w:val="nil"/>
              <w:bottom w:val="single" w:sz="4" w:space="0" w:color="auto"/>
              <w:right w:val="single" w:sz="4" w:space="0" w:color="auto"/>
            </w:tcBorders>
            <w:shd w:val="clear" w:color="auto" w:fill="auto"/>
            <w:vAlign w:val="center"/>
            <w:hideMark/>
          </w:tcPr>
          <w:p w14:paraId="13CA7C1C"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80.8</w:t>
            </w:r>
            <w:r w:rsidRPr="00A82950">
              <w:rPr>
                <w:rFonts w:eastAsia="Times New Roman"/>
                <w:noProof w:val="0"/>
                <w:color w:val="000000"/>
                <w:sz w:val="18"/>
                <w:szCs w:val="18"/>
              </w:rPr>
              <w:br/>
              <w:t>(+7.9%)</w:t>
            </w:r>
          </w:p>
        </w:tc>
        <w:tc>
          <w:tcPr>
            <w:tcW w:w="833" w:type="pct"/>
            <w:tcBorders>
              <w:top w:val="nil"/>
              <w:left w:val="nil"/>
              <w:bottom w:val="single" w:sz="4" w:space="0" w:color="auto"/>
              <w:right w:val="single" w:sz="4" w:space="0" w:color="auto"/>
            </w:tcBorders>
            <w:shd w:val="clear" w:color="auto" w:fill="auto"/>
            <w:vAlign w:val="center"/>
            <w:hideMark/>
          </w:tcPr>
          <w:p w14:paraId="5A080414"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78.1</w:t>
            </w:r>
            <w:r w:rsidRPr="00A82950">
              <w:rPr>
                <w:rFonts w:eastAsia="Times New Roman"/>
                <w:noProof w:val="0"/>
                <w:color w:val="000000"/>
                <w:sz w:val="18"/>
                <w:szCs w:val="18"/>
              </w:rPr>
              <w:br/>
              <w:t>(-3.4%)</w:t>
            </w:r>
          </w:p>
        </w:tc>
        <w:tc>
          <w:tcPr>
            <w:tcW w:w="833" w:type="pct"/>
            <w:tcBorders>
              <w:top w:val="nil"/>
              <w:left w:val="nil"/>
              <w:bottom w:val="single" w:sz="4" w:space="0" w:color="auto"/>
              <w:right w:val="single" w:sz="4" w:space="0" w:color="auto"/>
            </w:tcBorders>
            <w:shd w:val="clear" w:color="auto" w:fill="auto"/>
            <w:vAlign w:val="center"/>
            <w:hideMark/>
          </w:tcPr>
          <w:p w14:paraId="00915F2B"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43.7</w:t>
            </w:r>
            <w:r w:rsidRPr="00A82950">
              <w:rPr>
                <w:rFonts w:eastAsia="Times New Roman"/>
                <w:noProof w:val="0"/>
                <w:color w:val="000000"/>
                <w:sz w:val="18"/>
                <w:szCs w:val="18"/>
              </w:rPr>
              <w:br/>
              <w:t>(-44%)</w:t>
            </w:r>
          </w:p>
        </w:tc>
        <w:tc>
          <w:tcPr>
            <w:tcW w:w="833" w:type="pct"/>
            <w:tcBorders>
              <w:top w:val="nil"/>
              <w:left w:val="nil"/>
              <w:bottom w:val="single" w:sz="4" w:space="0" w:color="auto"/>
              <w:right w:val="single" w:sz="4" w:space="0" w:color="auto"/>
            </w:tcBorders>
            <w:shd w:val="clear" w:color="auto" w:fill="auto"/>
            <w:vAlign w:val="center"/>
            <w:hideMark/>
          </w:tcPr>
          <w:p w14:paraId="63FC9750"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36.6</w:t>
            </w:r>
            <w:r w:rsidRPr="00A82950">
              <w:rPr>
                <w:rFonts w:eastAsia="Times New Roman"/>
                <w:noProof w:val="0"/>
                <w:color w:val="000000"/>
                <w:sz w:val="18"/>
                <w:szCs w:val="18"/>
              </w:rPr>
              <w:br/>
              <w:t>(-16.2%)</w:t>
            </w:r>
          </w:p>
        </w:tc>
      </w:tr>
      <w:tr w:rsidR="00A82950" w:rsidRPr="00A82950" w14:paraId="32A748C5" w14:textId="77777777" w:rsidTr="004C53C7">
        <w:trPr>
          <w:trHeight w:val="165"/>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49596175"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Dec</w:t>
            </w:r>
          </w:p>
        </w:tc>
        <w:tc>
          <w:tcPr>
            <w:tcW w:w="833" w:type="pct"/>
            <w:tcBorders>
              <w:top w:val="nil"/>
              <w:left w:val="nil"/>
              <w:bottom w:val="single" w:sz="4" w:space="0" w:color="auto"/>
              <w:right w:val="single" w:sz="4" w:space="0" w:color="auto"/>
            </w:tcBorders>
            <w:shd w:val="clear" w:color="auto" w:fill="auto"/>
            <w:vAlign w:val="center"/>
            <w:hideMark/>
          </w:tcPr>
          <w:p w14:paraId="04FCAB09"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108.2</w:t>
            </w:r>
            <w:r w:rsidRPr="00A82950">
              <w:rPr>
                <w:rFonts w:eastAsia="Times New Roman"/>
                <w:noProof w:val="0"/>
                <w:color w:val="000000"/>
                <w:sz w:val="18"/>
                <w:szCs w:val="18"/>
              </w:rPr>
              <w:br/>
              <w:t>(+2.3%)</w:t>
            </w:r>
          </w:p>
        </w:tc>
        <w:tc>
          <w:tcPr>
            <w:tcW w:w="833" w:type="pct"/>
            <w:tcBorders>
              <w:top w:val="nil"/>
              <w:left w:val="nil"/>
              <w:bottom w:val="single" w:sz="4" w:space="0" w:color="auto"/>
              <w:right w:val="single" w:sz="4" w:space="0" w:color="auto"/>
            </w:tcBorders>
            <w:shd w:val="clear" w:color="auto" w:fill="auto"/>
            <w:vAlign w:val="center"/>
            <w:hideMark/>
          </w:tcPr>
          <w:p w14:paraId="6C3A3077"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115.0</w:t>
            </w:r>
            <w:r w:rsidRPr="00A82950">
              <w:rPr>
                <w:rFonts w:eastAsia="Times New Roman"/>
                <w:noProof w:val="0"/>
                <w:color w:val="000000"/>
                <w:sz w:val="18"/>
                <w:szCs w:val="18"/>
              </w:rPr>
              <w:br/>
              <w:t>(+6.3%)</w:t>
            </w:r>
          </w:p>
        </w:tc>
        <w:tc>
          <w:tcPr>
            <w:tcW w:w="833" w:type="pct"/>
            <w:tcBorders>
              <w:top w:val="nil"/>
              <w:left w:val="nil"/>
              <w:bottom w:val="single" w:sz="4" w:space="0" w:color="auto"/>
              <w:right w:val="single" w:sz="4" w:space="0" w:color="auto"/>
            </w:tcBorders>
            <w:shd w:val="clear" w:color="auto" w:fill="auto"/>
            <w:vAlign w:val="center"/>
            <w:hideMark/>
          </w:tcPr>
          <w:p w14:paraId="0F6227E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109.3</w:t>
            </w:r>
            <w:r w:rsidRPr="00A82950">
              <w:rPr>
                <w:rFonts w:eastAsia="Times New Roman"/>
                <w:noProof w:val="0"/>
                <w:color w:val="000000"/>
                <w:sz w:val="18"/>
                <w:szCs w:val="18"/>
              </w:rPr>
              <w:br/>
              <w:t>(-4.9%)</w:t>
            </w:r>
          </w:p>
        </w:tc>
        <w:tc>
          <w:tcPr>
            <w:tcW w:w="833" w:type="pct"/>
            <w:tcBorders>
              <w:top w:val="nil"/>
              <w:left w:val="nil"/>
              <w:bottom w:val="single" w:sz="4" w:space="0" w:color="auto"/>
              <w:right w:val="single" w:sz="4" w:space="0" w:color="auto"/>
            </w:tcBorders>
            <w:shd w:val="clear" w:color="auto" w:fill="auto"/>
            <w:vAlign w:val="center"/>
            <w:hideMark/>
          </w:tcPr>
          <w:p w14:paraId="43A1F807"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68.9</w:t>
            </w:r>
            <w:r w:rsidRPr="00A82950">
              <w:rPr>
                <w:rFonts w:eastAsia="Times New Roman"/>
                <w:noProof w:val="0"/>
                <w:color w:val="000000"/>
                <w:sz w:val="18"/>
                <w:szCs w:val="18"/>
              </w:rPr>
              <w:br/>
              <w:t>(-36.7%)</w:t>
            </w:r>
          </w:p>
        </w:tc>
        <w:tc>
          <w:tcPr>
            <w:tcW w:w="833" w:type="pct"/>
            <w:tcBorders>
              <w:top w:val="nil"/>
              <w:left w:val="nil"/>
              <w:bottom w:val="single" w:sz="4" w:space="0" w:color="auto"/>
              <w:right w:val="single" w:sz="4" w:space="0" w:color="auto"/>
            </w:tcBorders>
            <w:shd w:val="clear" w:color="auto" w:fill="auto"/>
            <w:vAlign w:val="center"/>
            <w:hideMark/>
          </w:tcPr>
          <w:p w14:paraId="37B4EAFA"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40.9</w:t>
            </w:r>
            <w:r w:rsidRPr="00A82950">
              <w:rPr>
                <w:rFonts w:eastAsia="Times New Roman"/>
                <w:noProof w:val="0"/>
                <w:color w:val="000000"/>
                <w:sz w:val="18"/>
                <w:szCs w:val="18"/>
              </w:rPr>
              <w:br/>
              <w:t>(-40.8%)</w:t>
            </w:r>
          </w:p>
        </w:tc>
      </w:tr>
      <w:tr w:rsidR="00A82950" w:rsidRPr="00A82950" w14:paraId="5596F26B" w14:textId="77777777" w:rsidTr="004C53C7">
        <w:trPr>
          <w:trHeight w:val="50"/>
        </w:trPr>
        <w:tc>
          <w:tcPr>
            <w:tcW w:w="833" w:type="pct"/>
            <w:tcBorders>
              <w:top w:val="nil"/>
              <w:left w:val="single" w:sz="4" w:space="0" w:color="auto"/>
              <w:bottom w:val="single" w:sz="4" w:space="0" w:color="auto"/>
              <w:right w:val="single" w:sz="4" w:space="0" w:color="auto"/>
            </w:tcBorders>
            <w:shd w:val="clear" w:color="auto" w:fill="auto"/>
            <w:vAlign w:val="center"/>
            <w:hideMark/>
          </w:tcPr>
          <w:p w14:paraId="569F8023" w14:textId="77777777" w:rsidR="00A82950" w:rsidRPr="00A82950" w:rsidRDefault="00A82950" w:rsidP="00A82950">
            <w:pPr>
              <w:spacing w:line="240" w:lineRule="auto"/>
              <w:jc w:val="center"/>
              <w:rPr>
                <w:rFonts w:eastAsia="Times New Roman"/>
                <w:b/>
                <w:bCs/>
                <w:noProof w:val="0"/>
                <w:color w:val="000000"/>
                <w:sz w:val="18"/>
                <w:szCs w:val="18"/>
              </w:rPr>
            </w:pPr>
            <w:r w:rsidRPr="00A82950">
              <w:rPr>
                <w:rFonts w:eastAsia="Times New Roman"/>
                <w:b/>
                <w:bCs/>
                <w:noProof w:val="0"/>
                <w:color w:val="000000"/>
                <w:sz w:val="18"/>
                <w:szCs w:val="18"/>
              </w:rPr>
              <w:t>Overall</w:t>
            </w:r>
          </w:p>
        </w:tc>
        <w:tc>
          <w:tcPr>
            <w:tcW w:w="833" w:type="pct"/>
            <w:tcBorders>
              <w:top w:val="nil"/>
              <w:left w:val="nil"/>
              <w:bottom w:val="single" w:sz="4" w:space="0" w:color="auto"/>
              <w:right w:val="single" w:sz="4" w:space="0" w:color="auto"/>
            </w:tcBorders>
            <w:shd w:val="clear" w:color="auto" w:fill="auto"/>
            <w:vAlign w:val="center"/>
            <w:hideMark/>
          </w:tcPr>
          <w:p w14:paraId="40039EF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78.6</w:t>
            </w:r>
            <w:r w:rsidRPr="00A82950">
              <w:rPr>
                <w:rFonts w:eastAsia="Times New Roman"/>
                <w:noProof w:val="0"/>
                <w:color w:val="000000"/>
                <w:sz w:val="18"/>
                <w:szCs w:val="18"/>
              </w:rPr>
              <w:br/>
              <w:t>(-17.2%)</w:t>
            </w:r>
          </w:p>
        </w:tc>
        <w:tc>
          <w:tcPr>
            <w:tcW w:w="833" w:type="pct"/>
            <w:tcBorders>
              <w:top w:val="nil"/>
              <w:left w:val="nil"/>
              <w:bottom w:val="single" w:sz="4" w:space="0" w:color="auto"/>
              <w:right w:val="single" w:sz="4" w:space="0" w:color="auto"/>
            </w:tcBorders>
            <w:shd w:val="clear" w:color="auto" w:fill="auto"/>
            <w:vAlign w:val="center"/>
            <w:hideMark/>
          </w:tcPr>
          <w:p w14:paraId="65F78622"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82.6</w:t>
            </w:r>
            <w:r w:rsidRPr="00A82950">
              <w:rPr>
                <w:rFonts w:eastAsia="Times New Roman"/>
                <w:noProof w:val="0"/>
                <w:color w:val="000000"/>
                <w:sz w:val="18"/>
                <w:szCs w:val="18"/>
              </w:rPr>
              <w:br/>
              <w:t>(+5.2%)</w:t>
            </w:r>
          </w:p>
        </w:tc>
        <w:tc>
          <w:tcPr>
            <w:tcW w:w="833" w:type="pct"/>
            <w:tcBorders>
              <w:top w:val="nil"/>
              <w:left w:val="nil"/>
              <w:bottom w:val="single" w:sz="4" w:space="0" w:color="auto"/>
              <w:right w:val="single" w:sz="4" w:space="0" w:color="auto"/>
            </w:tcBorders>
            <w:shd w:val="clear" w:color="auto" w:fill="auto"/>
            <w:vAlign w:val="center"/>
            <w:hideMark/>
          </w:tcPr>
          <w:p w14:paraId="63E1BCF6"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94.0</w:t>
            </w:r>
            <w:r w:rsidRPr="00A82950">
              <w:rPr>
                <w:rFonts w:eastAsia="Times New Roman"/>
                <w:noProof w:val="0"/>
                <w:color w:val="000000"/>
                <w:sz w:val="18"/>
                <w:szCs w:val="18"/>
              </w:rPr>
              <w:br/>
              <w:t>(+13.7%)</w:t>
            </w:r>
          </w:p>
        </w:tc>
        <w:tc>
          <w:tcPr>
            <w:tcW w:w="833" w:type="pct"/>
            <w:tcBorders>
              <w:top w:val="nil"/>
              <w:left w:val="nil"/>
              <w:bottom w:val="single" w:sz="4" w:space="0" w:color="auto"/>
              <w:right w:val="single" w:sz="4" w:space="0" w:color="auto"/>
            </w:tcBorders>
            <w:shd w:val="clear" w:color="auto" w:fill="auto"/>
            <w:vAlign w:val="center"/>
            <w:hideMark/>
          </w:tcPr>
          <w:p w14:paraId="661B17CF"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72.9</w:t>
            </w:r>
            <w:r w:rsidRPr="00A82950">
              <w:rPr>
                <w:rFonts w:eastAsia="Times New Roman"/>
                <w:noProof w:val="0"/>
                <w:color w:val="000000"/>
                <w:sz w:val="18"/>
                <w:szCs w:val="18"/>
              </w:rPr>
              <w:br/>
              <w:t>(-22.4%)</w:t>
            </w:r>
          </w:p>
        </w:tc>
        <w:tc>
          <w:tcPr>
            <w:tcW w:w="833" w:type="pct"/>
            <w:tcBorders>
              <w:top w:val="nil"/>
              <w:left w:val="nil"/>
              <w:bottom w:val="single" w:sz="4" w:space="0" w:color="auto"/>
              <w:right w:val="single" w:sz="4" w:space="0" w:color="auto"/>
            </w:tcBorders>
            <w:shd w:val="clear" w:color="auto" w:fill="auto"/>
            <w:vAlign w:val="center"/>
            <w:hideMark/>
          </w:tcPr>
          <w:p w14:paraId="386D565D" w14:textId="77777777" w:rsidR="00A82950" w:rsidRPr="00A82950" w:rsidRDefault="00A82950" w:rsidP="00A82950">
            <w:pPr>
              <w:spacing w:line="240" w:lineRule="auto"/>
              <w:jc w:val="center"/>
              <w:rPr>
                <w:rFonts w:eastAsia="Times New Roman"/>
                <w:noProof w:val="0"/>
                <w:color w:val="000000"/>
                <w:sz w:val="18"/>
                <w:szCs w:val="18"/>
              </w:rPr>
            </w:pPr>
            <w:r w:rsidRPr="00A82950">
              <w:rPr>
                <w:rFonts w:eastAsia="Times New Roman"/>
                <w:noProof w:val="0"/>
                <w:color w:val="000000"/>
                <w:sz w:val="18"/>
                <w:szCs w:val="18"/>
              </w:rPr>
              <w:t>33.5</w:t>
            </w:r>
            <w:r w:rsidRPr="00A82950">
              <w:rPr>
                <w:rFonts w:eastAsia="Times New Roman"/>
                <w:noProof w:val="0"/>
                <w:color w:val="000000"/>
                <w:sz w:val="18"/>
                <w:szCs w:val="18"/>
              </w:rPr>
              <w:br/>
              <w:t>(-54.0%)</w:t>
            </w:r>
          </w:p>
        </w:tc>
      </w:tr>
    </w:tbl>
    <w:p w14:paraId="17E61725" w14:textId="5ED20E4B" w:rsidR="00B35CD6" w:rsidRPr="00B35CD6" w:rsidRDefault="00B35CD6" w:rsidP="00B97C33">
      <w:pPr>
        <w:spacing w:line="240" w:lineRule="auto"/>
        <w:contextualSpacing/>
        <w:rPr>
          <w:sz w:val="18"/>
          <w:szCs w:val="18"/>
        </w:rPr>
      </w:pPr>
      <w:r w:rsidRPr="00B35CD6">
        <w:rPr>
          <w:sz w:val="18"/>
          <w:szCs w:val="18"/>
        </w:rPr>
        <w:t xml:space="preserve">Source: </w:t>
      </w:r>
      <w:sdt>
        <w:sdtPr>
          <w:rPr>
            <w:sz w:val="18"/>
            <w:szCs w:val="18"/>
          </w:rPr>
          <w:id w:val="1179932797"/>
          <w:citation/>
        </w:sdtPr>
        <w:sdtContent>
          <w:r w:rsidRPr="00B35CD6">
            <w:rPr>
              <w:sz w:val="18"/>
              <w:szCs w:val="18"/>
            </w:rPr>
            <w:fldChar w:fldCharType="begin"/>
          </w:r>
          <w:r w:rsidRPr="00B35CD6">
            <w:rPr>
              <w:sz w:val="18"/>
              <w:szCs w:val="18"/>
            </w:rPr>
            <w:instrText xml:space="preserve">CITATION Cen212 \l 1033 </w:instrText>
          </w:r>
          <w:r w:rsidRPr="00B35CD6">
            <w:rPr>
              <w:sz w:val="18"/>
              <w:szCs w:val="18"/>
            </w:rPr>
            <w:fldChar w:fldCharType="separate"/>
          </w:r>
          <w:r w:rsidRPr="00B35CD6">
            <w:rPr>
              <w:sz w:val="18"/>
              <w:szCs w:val="18"/>
            </w:rPr>
            <w:t>(Census and Statistics Department, 2020)</w:t>
          </w:r>
          <w:r w:rsidRPr="00B35CD6">
            <w:rPr>
              <w:sz w:val="18"/>
              <w:szCs w:val="18"/>
            </w:rPr>
            <w:fldChar w:fldCharType="end"/>
          </w:r>
        </w:sdtContent>
      </w:sdt>
    </w:p>
    <w:p w14:paraId="57FE9768" w14:textId="04B91371" w:rsidR="00B35CD6" w:rsidRDefault="00B35CD6" w:rsidP="00B97C33"/>
    <w:p w14:paraId="01AFE10E" w14:textId="30717F14" w:rsidR="00A82950" w:rsidRDefault="00A82950" w:rsidP="00B97C33">
      <w:r>
        <w:t xml:space="preserve">Although </w:t>
      </w:r>
      <w:r w:rsidR="004C53C7">
        <w:t>many macr</w:t>
      </w:r>
      <w:r w:rsidR="009A5E3F">
        <w:t>oeco</w:t>
      </w:r>
      <w:r w:rsidR="004C53C7">
        <w:t xml:space="preserve">nomic variables affected the industry, the value index </w:t>
      </w:r>
      <w:r w:rsidR="001221EA">
        <w:t>for jewellery products grew</w:t>
      </w:r>
      <w:r>
        <w:t xml:space="preserve"> </w:t>
      </w:r>
      <w:r w:rsidR="004C53C7">
        <w:t>slowly since April</w:t>
      </w:r>
      <w:r>
        <w:t xml:space="preserve"> 2020. It shows that there are consumer demands for jewellery products despite the impact of the virus outbreak. </w:t>
      </w:r>
      <w:r w:rsidR="009A5E3F">
        <w:t>T</w:t>
      </w:r>
      <w:r w:rsidR="004C53C7">
        <w:t>his research recomm</w:t>
      </w:r>
      <w:r w:rsidR="009A5E3F">
        <w:t>en</w:t>
      </w:r>
      <w:r w:rsidR="004C53C7">
        <w:t>d</w:t>
      </w:r>
      <w:r w:rsidR="009A5E3F">
        <w:t>ed</w:t>
      </w:r>
      <w:r w:rsidR="004C53C7">
        <w:t xml:space="preserve"> CTFJ adopt new marketing strategies to boost its sales and prepare for the possibilities of having consumer </w:t>
      </w:r>
      <w:r w:rsidR="004C53C7">
        <w:lastRenderedPageBreak/>
        <w:t>revenge buying behavior</w:t>
      </w:r>
      <w:r w:rsidR="001221EA">
        <w:t xml:space="preserve">, which has already happened in China </w:t>
      </w:r>
      <w:sdt>
        <w:sdtPr>
          <w:id w:val="-1288195254"/>
          <w:citation/>
        </w:sdtPr>
        <w:sdtContent>
          <w:r w:rsidR="001221EA">
            <w:fldChar w:fldCharType="begin"/>
          </w:r>
          <w:r w:rsidR="001221EA">
            <w:instrText xml:space="preserve"> CITATION Yiu20 \l 1033 </w:instrText>
          </w:r>
          <w:r w:rsidR="001221EA">
            <w:fldChar w:fldCharType="separate"/>
          </w:r>
          <w:r w:rsidR="001221EA" w:rsidRPr="001221EA">
            <w:t>(Yiu, 2020)</w:t>
          </w:r>
          <w:r w:rsidR="001221EA">
            <w:fldChar w:fldCharType="end"/>
          </w:r>
        </w:sdtContent>
      </w:sdt>
      <w:r w:rsidR="009A5E3F">
        <w:t xml:space="preserve"> and potentially spreading to Hong Kong once the border is open for tourists. </w:t>
      </w:r>
    </w:p>
    <w:p w14:paraId="2F3291A4" w14:textId="77777777" w:rsidR="00A82950" w:rsidRDefault="00A82950" w:rsidP="00B97C33"/>
    <w:p w14:paraId="6A98853B" w14:textId="43C8427A" w:rsidR="004C53C7" w:rsidRDefault="00B35CD6" w:rsidP="00B97C33">
      <w:r>
        <w:t>CTFJ</w:t>
      </w:r>
      <w:r w:rsidRPr="005B1C31">
        <w:t xml:space="preserve"> </w:t>
      </w:r>
      <w:r w:rsidR="004C53C7">
        <w:t>announced</w:t>
      </w:r>
      <w:r w:rsidRPr="005B1C31">
        <w:t xml:space="preserve"> in early 2020 </w:t>
      </w:r>
      <w:r>
        <w:t xml:space="preserve">for </w:t>
      </w:r>
      <w:r w:rsidRPr="005B1C31">
        <w:t xml:space="preserve">not </w:t>
      </w:r>
      <w:r>
        <w:t>renewing</w:t>
      </w:r>
      <w:r w:rsidRPr="005B1C31">
        <w:t xml:space="preserve"> their retail shops located in the tourist districts in Hong Kong </w:t>
      </w:r>
      <w:sdt>
        <w:sdtPr>
          <w:id w:val="1046333433"/>
          <w:citation/>
        </w:sdtPr>
        <w:sdtContent>
          <w:r w:rsidRPr="005B1C31">
            <w:fldChar w:fldCharType="begin"/>
          </w:r>
          <w:r w:rsidRPr="005B1C31">
            <w:instrText xml:space="preserve"> CITATION Liu201 \l 1033 </w:instrText>
          </w:r>
          <w:r w:rsidRPr="005B1C31">
            <w:fldChar w:fldCharType="separate"/>
          </w:r>
          <w:r w:rsidRPr="005B1C31">
            <w:t>(Liu, 2020)</w:t>
          </w:r>
          <w:r w:rsidRPr="005B1C31">
            <w:fldChar w:fldCharType="end"/>
          </w:r>
        </w:sdtContent>
      </w:sdt>
      <w:r w:rsidRPr="005B1C31">
        <w:t xml:space="preserve">. </w:t>
      </w:r>
      <w:r w:rsidR="00B841DB" w:rsidRPr="006F5808">
        <w:t>In recent years</w:t>
      </w:r>
      <w:r w:rsidR="00B841DB">
        <w:t>,</w:t>
      </w:r>
      <w:r w:rsidR="00B841DB" w:rsidRPr="006F5808">
        <w:t xml:space="preserve"> </w:t>
      </w:r>
      <w:r w:rsidR="00B841DB">
        <w:t>we noticed that CTFJ has been scaling down its operation in Hong Kong while focusing on the Mainland China market</w:t>
      </w:r>
      <w:r w:rsidR="00852F70">
        <w:t>. I</w:t>
      </w:r>
      <w:r w:rsidR="00B841DB">
        <w:t xml:space="preserve">t has shifted a substantial business from </w:t>
      </w:r>
      <w:r w:rsidR="00B841DB" w:rsidRPr="00BD7B75">
        <w:t xml:space="preserve">brick-and-mortar </w:t>
      </w:r>
      <w:r w:rsidR="00B841DB">
        <w:t>shops to an e-commerce platform to boost its revenue</w:t>
      </w:r>
      <w:r w:rsidR="004C53C7">
        <w:t>. Figure 1 illustrates t</w:t>
      </w:r>
      <w:r>
        <w:t xml:space="preserve">he same-store sales growth ("SSSG") in Hong Kong </w:t>
      </w:r>
      <w:r w:rsidR="004C53C7">
        <w:t xml:space="preserve">and China, where Hong Kong </w:t>
      </w:r>
      <w:r>
        <w:t xml:space="preserve">used to be </w:t>
      </w:r>
      <w:r w:rsidR="00F05610">
        <w:t>greater</w:t>
      </w:r>
      <w:r>
        <w:t xml:space="preserve"> until 3QFY2019. Since then, the SSSG in China has </w:t>
      </w:r>
      <w:r w:rsidR="00F05610">
        <w:t>taken over</w:t>
      </w:r>
      <w:r w:rsidR="004C53C7">
        <w:t xml:space="preserve">. </w:t>
      </w:r>
      <w:r w:rsidR="00B97C33">
        <w:t>Simultaneously, the macroeconomic environment variable</w:t>
      </w:r>
      <w:r w:rsidR="004C53C7">
        <w:t>s</w:t>
      </w:r>
      <w:r w:rsidR="00B97C33">
        <w:t xml:space="preserve"> continue to impact </w:t>
      </w:r>
      <w:r>
        <w:t xml:space="preserve">Hong Kong's </w:t>
      </w:r>
      <w:r w:rsidR="00B97C33">
        <w:t xml:space="preserve">business, </w:t>
      </w:r>
      <w:r w:rsidR="00F05610">
        <w:t>led</w:t>
      </w:r>
      <w:r w:rsidR="00B97C33">
        <w:t xml:space="preserve"> the SSSG </w:t>
      </w:r>
      <w:r w:rsidR="00F05610">
        <w:t>to recor</w:t>
      </w:r>
      <w:r w:rsidR="00B97C33">
        <w:t xml:space="preserve">d a 65.7% drop in 1HF2021 </w:t>
      </w:r>
      <w:sdt>
        <w:sdtPr>
          <w:rPr>
            <w:rStyle w:val="IntenseReference"/>
            <w:rFonts w:ascii="Times New Roman" w:hAnsi="Times New Roman"/>
            <w:color w:val="000000" w:themeColor="text1"/>
            <w:sz w:val="24"/>
            <w:szCs w:val="36"/>
          </w:rPr>
          <w:id w:val="-1020936708"/>
          <w:citation/>
        </w:sdtPr>
        <w:sdtContent>
          <w:r w:rsidR="00B97C33" w:rsidRPr="00B97C33">
            <w:rPr>
              <w:rStyle w:val="IntenseReference"/>
              <w:rFonts w:ascii="Times New Roman" w:hAnsi="Times New Roman"/>
              <w:color w:val="000000" w:themeColor="text1"/>
              <w:sz w:val="24"/>
              <w:szCs w:val="36"/>
            </w:rPr>
            <w:fldChar w:fldCharType="begin"/>
          </w:r>
          <w:r w:rsidR="00B97C33" w:rsidRPr="00B97C33">
            <w:rPr>
              <w:rStyle w:val="IntenseReference"/>
              <w:rFonts w:ascii="Times New Roman" w:hAnsi="Times New Roman"/>
              <w:color w:val="000000" w:themeColor="text1"/>
              <w:sz w:val="24"/>
              <w:szCs w:val="36"/>
            </w:rPr>
            <w:instrText xml:space="preserve">CITATION Cho202 \p 14 \l 1033 </w:instrText>
          </w:r>
          <w:r w:rsidR="00B97C33" w:rsidRPr="00B97C33">
            <w:rPr>
              <w:rStyle w:val="IntenseReference"/>
              <w:rFonts w:ascii="Times New Roman" w:hAnsi="Times New Roman"/>
              <w:color w:val="000000" w:themeColor="text1"/>
              <w:sz w:val="24"/>
              <w:szCs w:val="36"/>
            </w:rPr>
            <w:fldChar w:fldCharType="separate"/>
          </w:r>
          <w:r w:rsidR="00B97C33" w:rsidRPr="00B97C33">
            <w:rPr>
              <w:color w:val="000000" w:themeColor="text1"/>
              <w:spacing w:val="5"/>
              <w:szCs w:val="36"/>
            </w:rPr>
            <w:t>(Chow Tai Fook, 2021b, p. 14)</w:t>
          </w:r>
          <w:r w:rsidR="00B97C33" w:rsidRPr="00B97C33">
            <w:rPr>
              <w:rStyle w:val="IntenseReference"/>
              <w:rFonts w:ascii="Times New Roman" w:hAnsi="Times New Roman"/>
              <w:color w:val="000000" w:themeColor="text1"/>
              <w:sz w:val="24"/>
              <w:szCs w:val="36"/>
            </w:rPr>
            <w:fldChar w:fldCharType="end"/>
          </w:r>
        </w:sdtContent>
      </w:sdt>
      <w:r w:rsidR="00B97C33">
        <w:t>.</w:t>
      </w:r>
    </w:p>
    <w:p w14:paraId="0076F8E0" w14:textId="77777777" w:rsidR="004C53C7" w:rsidRDefault="004C53C7" w:rsidP="00B97C33"/>
    <w:p w14:paraId="783C27E2" w14:textId="51D49A25" w:rsidR="004C53C7" w:rsidRPr="008C7D1F" w:rsidRDefault="008C7D1F" w:rsidP="008C7D1F">
      <w:pPr>
        <w:pStyle w:val="Caption"/>
        <w:jc w:val="both"/>
        <w:rPr>
          <w:sz w:val="24"/>
          <w:szCs w:val="24"/>
        </w:rPr>
      </w:pPr>
      <w:r w:rsidRPr="008C7D1F">
        <w:rPr>
          <w:sz w:val="24"/>
          <w:szCs w:val="24"/>
        </w:rPr>
        <w:t xml:space="preserve">Figure </w:t>
      </w:r>
      <w:r w:rsidRPr="008C7D1F">
        <w:rPr>
          <w:sz w:val="24"/>
          <w:szCs w:val="24"/>
        </w:rPr>
        <w:fldChar w:fldCharType="begin"/>
      </w:r>
      <w:r w:rsidRPr="008C7D1F">
        <w:rPr>
          <w:sz w:val="24"/>
          <w:szCs w:val="24"/>
        </w:rPr>
        <w:instrText xml:space="preserve"> SEQ Figure \* ARABIC </w:instrText>
      </w:r>
      <w:r w:rsidRPr="008C7D1F">
        <w:rPr>
          <w:sz w:val="24"/>
          <w:szCs w:val="24"/>
        </w:rPr>
        <w:fldChar w:fldCharType="separate"/>
      </w:r>
      <w:r w:rsidR="00A806F0">
        <w:rPr>
          <w:sz w:val="24"/>
          <w:szCs w:val="24"/>
        </w:rPr>
        <w:t>1</w:t>
      </w:r>
      <w:r w:rsidRPr="008C7D1F">
        <w:rPr>
          <w:sz w:val="24"/>
          <w:szCs w:val="24"/>
        </w:rPr>
        <w:fldChar w:fldCharType="end"/>
      </w:r>
      <w:r w:rsidRPr="008C7D1F">
        <w:rPr>
          <w:sz w:val="24"/>
          <w:szCs w:val="24"/>
        </w:rPr>
        <w:t xml:space="preserve">: </w:t>
      </w:r>
      <w:r w:rsidR="004C53C7" w:rsidRPr="008C7D1F">
        <w:rPr>
          <w:sz w:val="24"/>
          <w:szCs w:val="24"/>
        </w:rPr>
        <w:t xml:space="preserve">CTFJ's quarterly SSSG by geography </w:t>
      </w:r>
    </w:p>
    <w:p w14:paraId="36D3082E" w14:textId="77777777" w:rsidR="004C53C7" w:rsidRDefault="004C53C7" w:rsidP="004C53C7">
      <w:pPr>
        <w:spacing w:line="240" w:lineRule="auto"/>
        <w:contextualSpacing/>
      </w:pPr>
      <w:r>
        <w:drawing>
          <wp:inline distT="0" distB="0" distL="0" distR="0" wp14:anchorId="30773CC2" wp14:editId="0A39378C">
            <wp:extent cx="5759450" cy="3882887"/>
            <wp:effectExtent l="0" t="0" r="12700" b="3810"/>
            <wp:docPr id="7" name="Chart 7">
              <a:extLst xmlns:a="http://schemas.openxmlformats.org/drawingml/2006/main">
                <a:ext uri="{FF2B5EF4-FFF2-40B4-BE49-F238E27FC236}">
                  <a16:creationId xmlns:a16="http://schemas.microsoft.com/office/drawing/2014/main" id="{99A92041-77E5-441D-AE5B-B6D5239754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5B1C31">
        <w:t xml:space="preserve"> </w:t>
      </w:r>
    </w:p>
    <w:p w14:paraId="0A2F60D8" w14:textId="1E9121C5" w:rsidR="004C53C7" w:rsidRDefault="004C53C7" w:rsidP="00B915E9">
      <w:pPr>
        <w:pBdr>
          <w:top w:val="nil"/>
          <w:left w:val="nil"/>
          <w:bottom w:val="nil"/>
          <w:right w:val="nil"/>
          <w:between w:val="nil"/>
        </w:pBdr>
        <w:spacing w:line="240" w:lineRule="auto"/>
        <w:contextualSpacing/>
        <w:jc w:val="left"/>
        <w:rPr>
          <w:rStyle w:val="IntenseReference"/>
          <w:rFonts w:ascii="Times New Roman" w:hAnsi="Times New Roman"/>
          <w:color w:val="000000" w:themeColor="text1"/>
          <w:sz w:val="20"/>
          <w:szCs w:val="20"/>
        </w:rPr>
      </w:pPr>
      <w:r w:rsidRPr="00FE6E9E">
        <w:rPr>
          <w:rStyle w:val="IntenseReference"/>
          <w:rFonts w:ascii="Times New Roman" w:hAnsi="Times New Roman"/>
          <w:color w:val="000000" w:themeColor="text1"/>
          <w:sz w:val="20"/>
          <w:szCs w:val="20"/>
        </w:rPr>
        <w:t>Source: consolidated data of CTFJ from various annual reports</w:t>
      </w:r>
    </w:p>
    <w:p w14:paraId="5CA7D510" w14:textId="74AB1B2F" w:rsidR="008C7D1F" w:rsidRDefault="001221EA" w:rsidP="008C7D1F">
      <w:r>
        <w:lastRenderedPageBreak/>
        <w:t xml:space="preserve">While the business in Hong Kong used to be stronger than </w:t>
      </w:r>
      <w:r w:rsidR="00B915E9">
        <w:t xml:space="preserve">in </w:t>
      </w:r>
      <w:r>
        <w:t>China, there is a possibility that the demand in Hong Kong persist</w:t>
      </w:r>
      <w:r w:rsidR="00B915E9">
        <w:t>s</w:t>
      </w:r>
      <w:r>
        <w:t xml:space="preserve"> and may bounce back.</w:t>
      </w:r>
      <w:r w:rsidR="008C7D1F">
        <w:t xml:space="preserve"> The stock price of CTFJ experienced an upward trend between 2020 and the present, despite any possible downside effect from the macroeconomic variables (Figure 2). For investors, </w:t>
      </w:r>
      <w:r w:rsidR="008C7D1F" w:rsidRPr="008C7D1F">
        <w:t>CTFJ may not necessarily bring in huge returns in a short period. Still, over the long run, the firm is highly valued as determined by the stock market, where investors will reward by the consistent dividend payouts.</w:t>
      </w:r>
    </w:p>
    <w:p w14:paraId="0E63A19F" w14:textId="77777777" w:rsidR="008C7D1F" w:rsidRDefault="008C7D1F" w:rsidP="008C7D1F">
      <w:pPr>
        <w:spacing w:line="240" w:lineRule="auto"/>
      </w:pPr>
    </w:p>
    <w:p w14:paraId="1F3C0789" w14:textId="3C8F3828" w:rsidR="008C7D1F" w:rsidRPr="008C7D1F" w:rsidRDefault="008C7D1F" w:rsidP="008C7D1F">
      <w:pPr>
        <w:pStyle w:val="Caption"/>
        <w:jc w:val="both"/>
        <w:rPr>
          <w:sz w:val="24"/>
          <w:szCs w:val="24"/>
        </w:rPr>
      </w:pPr>
      <w:r w:rsidRPr="008C7D1F">
        <w:rPr>
          <w:sz w:val="24"/>
          <w:szCs w:val="24"/>
        </w:rPr>
        <w:t xml:space="preserve">Figure </w:t>
      </w:r>
      <w:r w:rsidRPr="008C7D1F">
        <w:rPr>
          <w:sz w:val="24"/>
          <w:szCs w:val="24"/>
        </w:rPr>
        <w:fldChar w:fldCharType="begin"/>
      </w:r>
      <w:r w:rsidRPr="008C7D1F">
        <w:rPr>
          <w:sz w:val="24"/>
          <w:szCs w:val="24"/>
        </w:rPr>
        <w:instrText xml:space="preserve"> SEQ Figure \* ARABIC </w:instrText>
      </w:r>
      <w:r w:rsidRPr="008C7D1F">
        <w:rPr>
          <w:sz w:val="24"/>
          <w:szCs w:val="24"/>
        </w:rPr>
        <w:fldChar w:fldCharType="separate"/>
      </w:r>
      <w:r w:rsidR="00A806F0">
        <w:rPr>
          <w:sz w:val="24"/>
          <w:szCs w:val="24"/>
        </w:rPr>
        <w:t>2</w:t>
      </w:r>
      <w:r w:rsidRPr="008C7D1F">
        <w:rPr>
          <w:sz w:val="24"/>
          <w:szCs w:val="24"/>
        </w:rPr>
        <w:fldChar w:fldCharType="end"/>
      </w:r>
      <w:r w:rsidRPr="008C7D1F">
        <w:rPr>
          <w:sz w:val="24"/>
          <w:szCs w:val="24"/>
        </w:rPr>
        <w:t>: Chow Tai Fook Jewellery Daily Line Fit Plot</w:t>
      </w:r>
    </w:p>
    <w:p w14:paraId="5CF9E424" w14:textId="77777777" w:rsidR="008C7D1F" w:rsidRDefault="008C7D1F" w:rsidP="008C7D1F">
      <w:pPr>
        <w:spacing w:line="240" w:lineRule="auto"/>
      </w:pPr>
      <w:r>
        <w:drawing>
          <wp:inline distT="0" distB="0" distL="0" distR="0" wp14:anchorId="47CD53BC" wp14:editId="2619C63F">
            <wp:extent cx="5759450" cy="2637182"/>
            <wp:effectExtent l="0" t="0" r="12700" b="10795"/>
            <wp:docPr id="176" name="Chart 176">
              <a:extLst xmlns:a="http://schemas.openxmlformats.org/drawingml/2006/main">
                <a:ext uri="{FF2B5EF4-FFF2-40B4-BE49-F238E27FC236}">
                  <a16:creationId xmlns:a16="http://schemas.microsoft.com/office/drawing/2014/main" id="{BCCA6619-B6DC-41E1-8894-DC88880100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B21CF4" w14:textId="77777777" w:rsidR="008C7D1F" w:rsidRPr="008C7D1F" w:rsidRDefault="008C7D1F" w:rsidP="008C7D1F">
      <w:pPr>
        <w:spacing w:line="240" w:lineRule="auto"/>
        <w:rPr>
          <w:sz w:val="20"/>
          <w:szCs w:val="20"/>
        </w:rPr>
      </w:pPr>
      <w:r w:rsidRPr="008C7D1F">
        <w:rPr>
          <w:sz w:val="20"/>
          <w:szCs w:val="20"/>
        </w:rPr>
        <w:t xml:space="preserve">Source: </w:t>
      </w:r>
      <w:sdt>
        <w:sdtPr>
          <w:rPr>
            <w:sz w:val="20"/>
            <w:szCs w:val="20"/>
          </w:rPr>
          <w:id w:val="1183941373"/>
          <w:citation/>
        </w:sdtPr>
        <w:sdtContent>
          <w:r w:rsidRPr="008C7D1F">
            <w:rPr>
              <w:sz w:val="20"/>
              <w:szCs w:val="20"/>
            </w:rPr>
            <w:fldChar w:fldCharType="begin"/>
          </w:r>
          <w:r w:rsidRPr="008C7D1F">
            <w:rPr>
              <w:sz w:val="20"/>
              <w:szCs w:val="20"/>
            </w:rPr>
            <w:instrText xml:space="preserve"> CITATION Yah1b \l 1033 </w:instrText>
          </w:r>
          <w:r w:rsidRPr="008C7D1F">
            <w:rPr>
              <w:sz w:val="20"/>
              <w:szCs w:val="20"/>
            </w:rPr>
            <w:fldChar w:fldCharType="separate"/>
          </w:r>
          <w:r w:rsidRPr="008C7D1F">
            <w:rPr>
              <w:sz w:val="20"/>
              <w:szCs w:val="20"/>
            </w:rPr>
            <w:t>(Yahoo Finance, 2021b)</w:t>
          </w:r>
          <w:r w:rsidRPr="008C7D1F">
            <w:rPr>
              <w:sz w:val="20"/>
              <w:szCs w:val="20"/>
            </w:rPr>
            <w:fldChar w:fldCharType="end"/>
          </w:r>
        </w:sdtContent>
      </w:sdt>
    </w:p>
    <w:p w14:paraId="410DC1B7" w14:textId="77777777" w:rsidR="008C7D1F" w:rsidRDefault="008C7D1F" w:rsidP="008C7D1F">
      <w:pPr>
        <w:spacing w:line="240" w:lineRule="auto"/>
      </w:pPr>
    </w:p>
    <w:p w14:paraId="780CD124" w14:textId="524EC59A" w:rsidR="008C7D1F" w:rsidRDefault="008C7D1F" w:rsidP="00B97C33"/>
    <w:p w14:paraId="6CDB2048" w14:textId="22B6F3AA" w:rsidR="00067C5C" w:rsidRPr="005B1C31" w:rsidRDefault="008C7D1F" w:rsidP="001221EA">
      <w:pPr>
        <w:rPr>
          <w:color w:val="FF0000"/>
        </w:rPr>
      </w:pPr>
      <w:r>
        <w:t>W</w:t>
      </w:r>
      <w:r w:rsidR="009A5E3F">
        <w:t xml:space="preserve">e collected </w:t>
      </w:r>
      <w:r>
        <w:t xml:space="preserve">secondary </w:t>
      </w:r>
      <w:r w:rsidR="009A5E3F">
        <w:t>data and</w:t>
      </w:r>
      <w:r w:rsidR="00B841DB" w:rsidRPr="00AC40B1">
        <w:t xml:space="preserve"> </w:t>
      </w:r>
      <w:r w:rsidR="00B841DB">
        <w:t>analy</w:t>
      </w:r>
      <w:r w:rsidR="00B35CD6">
        <w:t>z</w:t>
      </w:r>
      <w:r w:rsidR="00B841DB">
        <w:t>e</w:t>
      </w:r>
      <w:r>
        <w:t>d</w:t>
      </w:r>
      <w:r w:rsidR="00B841DB">
        <w:t xml:space="preserve"> </w:t>
      </w:r>
      <w:r w:rsidR="00B841DB" w:rsidRPr="00AC40B1">
        <w:t>the empirical facts from the company</w:t>
      </w:r>
      <w:r w:rsidR="00F47D48">
        <w:t>'</w:t>
      </w:r>
      <w:r w:rsidR="00B841DB" w:rsidRPr="00AC40B1">
        <w:t>s annual reports and related official statistics</w:t>
      </w:r>
      <w:r w:rsidR="00B841DB">
        <w:t xml:space="preserve">. </w:t>
      </w:r>
      <w:r w:rsidR="00B35CD6" w:rsidRPr="005B1C31">
        <w:t xml:space="preserve">This report </w:t>
      </w:r>
      <w:r w:rsidR="009A5E3F">
        <w:t>covered</w:t>
      </w:r>
      <w:r w:rsidR="00B35CD6" w:rsidRPr="005B1C31">
        <w:t xml:space="preserve"> the firm's current performance</w:t>
      </w:r>
      <w:r w:rsidR="009A5E3F">
        <w:t xml:space="preserve">, </w:t>
      </w:r>
      <w:r w:rsidR="00B35CD6">
        <w:t>identif</w:t>
      </w:r>
      <w:r w:rsidR="009A5E3F">
        <w:t>ied</w:t>
      </w:r>
      <w:r w:rsidR="00B35CD6">
        <w:t xml:space="preserve"> </w:t>
      </w:r>
      <w:r w:rsidR="00B35CD6" w:rsidRPr="005B1C31">
        <w:t>shortfalls</w:t>
      </w:r>
      <w:r w:rsidR="009A5E3F">
        <w:t>,</w:t>
      </w:r>
      <w:r w:rsidR="00B35CD6" w:rsidRPr="005B1C31">
        <w:t xml:space="preserve"> </w:t>
      </w:r>
      <w:r w:rsidR="00B35CD6">
        <w:t>and provide</w:t>
      </w:r>
      <w:r w:rsidR="009A5E3F">
        <w:t>d</w:t>
      </w:r>
      <w:r w:rsidR="00B35CD6">
        <w:t xml:space="preserve"> </w:t>
      </w:r>
      <w:r w:rsidR="00B35CD6" w:rsidRPr="004D1361">
        <w:t>appropriate recommendations</w:t>
      </w:r>
      <w:r w:rsidR="00B35CD6">
        <w:t xml:space="preserve"> </w:t>
      </w:r>
      <w:r w:rsidR="00B35CD6" w:rsidRPr="005B1C31">
        <w:t xml:space="preserve">for improvement. </w:t>
      </w:r>
      <w:r w:rsidR="001221EA">
        <w:t>We recommended the firm not to reduce the fixed cost in production capacity</w:t>
      </w:r>
      <w:r w:rsidR="00F05610">
        <w:t xml:space="preserve">. The revenge buying behavior benefits CTFJ's revenue in China; </w:t>
      </w:r>
      <w:r w:rsidR="001221EA">
        <w:t xml:space="preserve">CTFJ shall focus on its omnichannel, implement various marketing campaigns </w:t>
      </w:r>
      <w:r w:rsidR="00F05610">
        <w:t>in Hong Kong</w:t>
      </w:r>
      <w:r w:rsidR="001221EA">
        <w:t xml:space="preserve"> </w:t>
      </w:r>
      <w:r w:rsidR="00F05610">
        <w:t>to drive online purchases back to its retails for a new in-store experience</w:t>
      </w:r>
      <w:r w:rsidR="001221EA">
        <w:t xml:space="preserve"> upselling.  </w:t>
      </w:r>
    </w:p>
    <w:p w14:paraId="3948D36A" w14:textId="7A3EEBAC" w:rsidR="009B12BC" w:rsidRPr="005B1C31" w:rsidRDefault="00702543" w:rsidP="00804CF4">
      <w:pPr>
        <w:pStyle w:val="Heading1"/>
      </w:pPr>
      <w:bookmarkStart w:id="4" w:name="_Toc64840474"/>
      <w:r w:rsidRPr="005B1C31">
        <w:lastRenderedPageBreak/>
        <w:t>Company Background</w:t>
      </w:r>
      <w:bookmarkEnd w:id="4"/>
    </w:p>
    <w:p w14:paraId="494A4B31" w14:textId="107AAFF7" w:rsidR="00406F8A" w:rsidRPr="005B1C31" w:rsidRDefault="00804CF4" w:rsidP="00406F8A">
      <w:r w:rsidRPr="005B1C31">
        <w:t xml:space="preserve">CTFJ is a well-known </w:t>
      </w:r>
      <w:r w:rsidR="009B12BC" w:rsidRPr="005B1C31">
        <w:t>jewellery</w:t>
      </w:r>
      <w:r w:rsidRPr="005B1C31">
        <w:t xml:space="preserve"> brand in the Chinese-speaking community</w:t>
      </w:r>
      <w:r w:rsidR="009B12BC" w:rsidRPr="005B1C31">
        <w:t>, and they have</w:t>
      </w:r>
      <w:r w:rsidRPr="005B1C31">
        <w:t xml:space="preserve"> </w:t>
      </w:r>
      <w:r w:rsidR="009B12BC" w:rsidRPr="005B1C31">
        <w:t xml:space="preserve">a solid branding with an excellent reputation in the market. It has </w:t>
      </w:r>
      <w:r w:rsidRPr="005B1C31">
        <w:t xml:space="preserve">90+ years of track record that covers high-end to mass luxury </w:t>
      </w:r>
      <w:r w:rsidR="009B12BC" w:rsidRPr="005B1C31">
        <w:t>jewellery</w:t>
      </w:r>
      <w:r w:rsidRPr="005B1C31">
        <w:t xml:space="preserve">. It is Chinese's top-ranked </w:t>
      </w:r>
      <w:r w:rsidR="00470D0D" w:rsidRPr="005B1C31">
        <w:t>j</w:t>
      </w:r>
      <w:r w:rsidR="009B12BC" w:rsidRPr="005B1C31">
        <w:t>ewellery</w:t>
      </w:r>
      <w:r w:rsidRPr="005B1C31">
        <w:t xml:space="preserve"> retailer </w:t>
      </w:r>
      <w:sdt>
        <w:sdtPr>
          <w:id w:val="880217782"/>
          <w:citation/>
        </w:sdtPr>
        <w:sdtContent>
          <w:r w:rsidRPr="005B1C31">
            <w:fldChar w:fldCharType="begin"/>
          </w:r>
          <w:r w:rsidRPr="005B1C31">
            <w:instrText xml:space="preserve">CITATION Yiu15 \l 1033 </w:instrText>
          </w:r>
          <w:r w:rsidRPr="005B1C31">
            <w:fldChar w:fldCharType="separate"/>
          </w:r>
          <w:r w:rsidRPr="005B1C31">
            <w:t>(Yiu, 2015)</w:t>
          </w:r>
          <w:r w:rsidRPr="005B1C31">
            <w:fldChar w:fldCharType="end"/>
          </w:r>
        </w:sdtContent>
      </w:sdt>
      <w:r w:rsidRPr="005B1C31">
        <w:t xml:space="preserve">, and the </w:t>
      </w:r>
      <w:r w:rsidR="009B12BC" w:rsidRPr="005B1C31">
        <w:t>second-</w:t>
      </w:r>
      <w:r w:rsidRPr="005B1C31">
        <w:t xml:space="preserve">largest in the globe </w:t>
      </w:r>
      <w:sdt>
        <w:sdtPr>
          <w:id w:val="242693175"/>
          <w:citation/>
        </w:sdtPr>
        <w:sdtContent>
          <w:r w:rsidRPr="005B1C31">
            <w:fldChar w:fldCharType="begin"/>
          </w:r>
          <w:r w:rsidRPr="005B1C31">
            <w:instrText xml:space="preserve"> CITATION Mag20 \l 1033 </w:instrText>
          </w:r>
          <w:r w:rsidRPr="005B1C31">
            <w:fldChar w:fldCharType="separate"/>
          </w:r>
          <w:r w:rsidRPr="005B1C31">
            <w:t>(Magramo, 2020)</w:t>
          </w:r>
          <w:r w:rsidRPr="005B1C31">
            <w:fldChar w:fldCharType="end"/>
          </w:r>
        </w:sdtContent>
      </w:sdt>
      <w:r w:rsidRPr="005B1C31">
        <w:t>. It owns a vertically integrated business model, from raw materials procurement, design, production to marketing &amp; sales, which provides practical and tight control on quality and costs, allowing CTFJ to better adapt to the market trends</w:t>
      </w:r>
      <w:sdt>
        <w:sdtPr>
          <w:id w:val="692189862"/>
          <w:citation/>
        </w:sdtPr>
        <w:sdtContent>
          <w:r w:rsidRPr="005B1C31">
            <w:fldChar w:fldCharType="begin"/>
          </w:r>
          <w:r w:rsidRPr="005B1C31">
            <w:instrText xml:space="preserve">CITATION Cho19 \p 111 \l 1033 </w:instrText>
          </w:r>
          <w:r w:rsidRPr="005B1C31">
            <w:fldChar w:fldCharType="separate"/>
          </w:r>
          <w:r w:rsidRPr="005B1C31">
            <w:t xml:space="preserve"> (Chow Tai Fook, 2019, p. 111)</w:t>
          </w:r>
          <w:r w:rsidRPr="005B1C31">
            <w:fldChar w:fldCharType="end"/>
          </w:r>
        </w:sdtContent>
      </w:sdt>
      <w:r w:rsidRPr="005B1C31">
        <w:t xml:space="preserve">. </w:t>
      </w:r>
    </w:p>
    <w:p w14:paraId="1AF17619" w14:textId="77777777" w:rsidR="009B12BC" w:rsidRPr="005B1C31" w:rsidRDefault="009B12BC" w:rsidP="00406F8A"/>
    <w:p w14:paraId="7E3CE6DA" w14:textId="7B9E9664" w:rsidR="009B12BC" w:rsidRDefault="00804CF4" w:rsidP="00804CF4">
      <w:r w:rsidRPr="005B1C31">
        <w:t xml:space="preserve">The firm was established in 1929 in Guangzhou by </w:t>
      </w:r>
      <w:r w:rsidR="009B12BC" w:rsidRPr="005B1C31">
        <w:t xml:space="preserve">the late </w:t>
      </w:r>
      <w:r w:rsidRPr="005B1C31">
        <w:t xml:space="preserve">Chow Chi-Yuen as a goldsmith and had its first retail opened in Macau in 1938, followed by Hong Kong in 1939 </w:t>
      </w:r>
      <w:sdt>
        <w:sdtPr>
          <w:id w:val="-1014300175"/>
          <w:citation/>
        </w:sdtPr>
        <w:sdtContent>
          <w:r w:rsidRPr="005B1C31">
            <w:fldChar w:fldCharType="begin"/>
          </w:r>
          <w:r w:rsidRPr="005B1C31">
            <w:instrText xml:space="preserve"> CITATION Lor21 \l 1033 </w:instrText>
          </w:r>
          <w:r w:rsidRPr="005B1C31">
            <w:fldChar w:fldCharType="separate"/>
          </w:r>
          <w:r w:rsidRPr="005B1C31">
            <w:t>(Lord, 2021)</w:t>
          </w:r>
          <w:r w:rsidRPr="005B1C31">
            <w:fldChar w:fldCharType="end"/>
          </w:r>
        </w:sdtContent>
      </w:sdt>
      <w:r w:rsidRPr="005B1C31">
        <w:t xml:space="preserve">. </w:t>
      </w:r>
      <w:r w:rsidR="009B12BC" w:rsidRPr="005B1C31">
        <w:t>CTFJ is listed since 15 Dec</w:t>
      </w:r>
      <w:r w:rsidR="00B35CD6">
        <w:t>ember</w:t>
      </w:r>
      <w:r w:rsidR="009B12BC" w:rsidRPr="005B1C31">
        <w:t xml:space="preserve"> 2011 on HKEx under stock code 1929, which raised HK$15.26 billion to back its </w:t>
      </w:r>
      <w:r w:rsidR="00B97C33">
        <w:t>G</w:t>
      </w:r>
      <w:r w:rsidR="009B12BC" w:rsidRPr="005B1C31">
        <w:t xml:space="preserve">rowth in China </w:t>
      </w:r>
      <w:sdt>
        <w:sdtPr>
          <w:id w:val="-1808457507"/>
          <w:citation/>
        </w:sdtPr>
        <w:sdtContent>
          <w:r w:rsidR="009B12BC" w:rsidRPr="005B1C31">
            <w:fldChar w:fldCharType="begin"/>
          </w:r>
          <w:r w:rsidR="009B12BC" w:rsidRPr="005B1C31">
            <w:instrText xml:space="preserve"> CITATION Reu11 \l 1033 </w:instrText>
          </w:r>
          <w:r w:rsidR="009B12BC" w:rsidRPr="005B1C31">
            <w:fldChar w:fldCharType="separate"/>
          </w:r>
          <w:r w:rsidR="009B12BC" w:rsidRPr="005B1C31">
            <w:t>(Reuters, 2011)</w:t>
          </w:r>
          <w:r w:rsidR="009B12BC" w:rsidRPr="005B1C31">
            <w:fldChar w:fldCharType="end"/>
          </w:r>
        </w:sdtContent>
      </w:sdt>
      <w:r w:rsidR="00D96A0F">
        <w:t>.</w:t>
      </w:r>
      <w:r w:rsidR="009B12BC" w:rsidRPr="005B1C31">
        <w:t xml:space="preserve"> </w:t>
      </w:r>
      <w:r w:rsidR="00B35CD6">
        <w:t xml:space="preserve">The fiscal year is 31 March. </w:t>
      </w:r>
      <w:r w:rsidR="00D96A0F">
        <w:t>I</w:t>
      </w:r>
      <w:r w:rsidR="009B12BC" w:rsidRPr="005B1C31">
        <w:t>t has a strong market capitalization</w:t>
      </w:r>
      <w:r w:rsidR="00B35281">
        <w:t xml:space="preserve"> (</w:t>
      </w:r>
      <w:r w:rsidR="00B35281" w:rsidRPr="005B1C31">
        <w:t>"</w:t>
      </w:r>
      <w:r w:rsidR="00B35281">
        <w:t>market cap</w:t>
      </w:r>
      <w:r w:rsidR="00B35281" w:rsidRPr="005B1C31">
        <w:t>"</w:t>
      </w:r>
      <w:r w:rsidR="00B35281">
        <w:t>)</w:t>
      </w:r>
      <w:r w:rsidR="009B12BC" w:rsidRPr="005B1C31">
        <w:t xml:space="preserve"> of HK$79.4 billion in FY2019 and HK$54.9 billion in FY2020 </w:t>
      </w:r>
      <w:sdt>
        <w:sdtPr>
          <w:id w:val="-179512297"/>
          <w:citation/>
        </w:sdtPr>
        <w:sdtContent>
          <w:r w:rsidR="009B12BC" w:rsidRPr="005B1C31">
            <w:fldChar w:fldCharType="begin"/>
          </w:r>
          <w:r w:rsidR="009B12BC" w:rsidRPr="005B1C31">
            <w:instrText xml:space="preserve">CITATION Cho201 \p 125 \l 1033 </w:instrText>
          </w:r>
          <w:r w:rsidR="009B12BC" w:rsidRPr="005B1C31">
            <w:fldChar w:fldCharType="separate"/>
          </w:r>
          <w:r w:rsidR="009B12BC" w:rsidRPr="005B1C31">
            <w:t>(Chow Tai Fook, 2020, p. 125)</w:t>
          </w:r>
          <w:r w:rsidR="009B12BC" w:rsidRPr="005B1C31">
            <w:fldChar w:fldCharType="end"/>
          </w:r>
        </w:sdtContent>
      </w:sdt>
      <w:r w:rsidR="009B12BC" w:rsidRPr="005B1C31">
        <w:t xml:space="preserve">.  </w:t>
      </w:r>
    </w:p>
    <w:p w14:paraId="7890340E" w14:textId="30D441B9" w:rsidR="00FE6E9E" w:rsidRDefault="00FE6E9E" w:rsidP="00804CF4"/>
    <w:p w14:paraId="59EA29D3" w14:textId="4564AC29" w:rsidR="00B35281" w:rsidRDefault="00B35281" w:rsidP="00804CF4">
      <w:r>
        <w:t xml:space="preserve">We understand that CTFJ has a strong foothold in Hong Kong, and they are the industry leader. However, their revenue experienced a profound decrease in 2020, and its market cap has dropped HK$24.5 billion in one year. </w:t>
      </w:r>
      <w:r w:rsidR="00A82950">
        <w:t xml:space="preserve">While the virus outbreak is more stable right now, the firm shall focus on </w:t>
      </w:r>
      <w:r w:rsidR="001C62BE">
        <w:t xml:space="preserve">implementing </w:t>
      </w:r>
      <w:r w:rsidR="00A82950">
        <w:t xml:space="preserve">recovery strategies to replenishing the lost revenue. </w:t>
      </w:r>
    </w:p>
    <w:p w14:paraId="1E813C6D" w14:textId="65A4A8E0" w:rsidR="008C7D1F" w:rsidRDefault="008C7D1F">
      <w:pPr>
        <w:spacing w:after="160" w:line="259" w:lineRule="auto"/>
        <w:jc w:val="left"/>
      </w:pPr>
    </w:p>
    <w:p w14:paraId="78EF99A6" w14:textId="443E2635" w:rsidR="00F05610" w:rsidRDefault="00F05610">
      <w:pPr>
        <w:spacing w:after="160" w:line="259" w:lineRule="auto"/>
        <w:jc w:val="left"/>
      </w:pPr>
      <w:r>
        <w:br w:type="page"/>
      </w:r>
    </w:p>
    <w:p w14:paraId="740E8727" w14:textId="05E7303E" w:rsidR="00702543" w:rsidRPr="005B1C31" w:rsidRDefault="00702543" w:rsidP="00702543">
      <w:pPr>
        <w:pStyle w:val="Heading2"/>
      </w:pPr>
      <w:bookmarkStart w:id="5" w:name="_Toc64840475"/>
      <w:r w:rsidRPr="005B1C31">
        <w:lastRenderedPageBreak/>
        <w:t>History in Hong Kong</w:t>
      </w:r>
      <w:bookmarkEnd w:id="5"/>
    </w:p>
    <w:p w14:paraId="53CB7C7F" w14:textId="3BB827EC" w:rsidR="008D12E8" w:rsidRDefault="00804CF4" w:rsidP="002843EF">
      <w:r w:rsidRPr="005B1C31">
        <w:t xml:space="preserve">When </w:t>
      </w:r>
      <w:r w:rsidR="009B12BC" w:rsidRPr="005B1C31">
        <w:t xml:space="preserve">CTFJ </w:t>
      </w:r>
      <w:r w:rsidRPr="005B1C31">
        <w:t xml:space="preserve">started its business in the 1940s, it was a commodity-driven market; there was little craftmanship, and the demand for </w:t>
      </w:r>
      <w:r w:rsidR="009B12BC" w:rsidRPr="005B1C31">
        <w:t xml:space="preserve">jewellery </w:t>
      </w:r>
      <w:r w:rsidRPr="005B1C31">
        <w:t xml:space="preserve">products was a lot lower than now. The firm had a monopoly of diamond supply after </w:t>
      </w:r>
      <w:r w:rsidR="009B12BC" w:rsidRPr="005B1C31">
        <w:t>acquiring</w:t>
      </w:r>
      <w:r w:rsidRPr="005B1C31">
        <w:t xml:space="preserve"> a license from De Beers in the 1960s; it catered 30% of the imported diamonds in Hong Kong by the 1970s </w:t>
      </w:r>
      <w:sdt>
        <w:sdtPr>
          <w:id w:val="1904709849"/>
          <w:citation/>
        </w:sdtPr>
        <w:sdtContent>
          <w:r w:rsidRPr="005B1C31">
            <w:fldChar w:fldCharType="begin"/>
          </w:r>
          <w:r w:rsidRPr="005B1C31">
            <w:instrText xml:space="preserve"> CITATION Lor21 \l 1033 </w:instrText>
          </w:r>
          <w:r w:rsidRPr="005B1C31">
            <w:fldChar w:fldCharType="separate"/>
          </w:r>
          <w:r w:rsidRPr="005B1C31">
            <w:t>(Lord, 2021)</w:t>
          </w:r>
          <w:r w:rsidRPr="005B1C31">
            <w:fldChar w:fldCharType="end"/>
          </w:r>
        </w:sdtContent>
      </w:sdt>
      <w:r w:rsidRPr="005B1C31">
        <w:t>.</w:t>
      </w:r>
    </w:p>
    <w:p w14:paraId="2D95BCBC" w14:textId="3FCFEDBE" w:rsidR="002843EF" w:rsidRDefault="00804CF4" w:rsidP="002843EF">
      <w:r w:rsidRPr="005B1C31">
        <w:t xml:space="preserve">Today, </w:t>
      </w:r>
      <w:r w:rsidR="009B12BC" w:rsidRPr="005B1C31">
        <w:t>CTFJ has</w:t>
      </w:r>
      <w:r w:rsidR="002843EF" w:rsidRPr="005B1C31">
        <w:t xml:space="preserve"> an extensive retail network of </w:t>
      </w:r>
      <w:r w:rsidR="0069455E" w:rsidRPr="005B1C31">
        <w:t>4,</w:t>
      </w:r>
      <w:r w:rsidR="009835DD">
        <w:t>442</w:t>
      </w:r>
      <w:r w:rsidR="002843EF" w:rsidRPr="005B1C31">
        <w:t xml:space="preserve"> retail outlets </w:t>
      </w:r>
      <w:r w:rsidR="009835DD">
        <w:t xml:space="preserve">as of 31 December 2020 </w:t>
      </w:r>
      <w:sdt>
        <w:sdtPr>
          <w:id w:val="1130672759"/>
          <w:citation/>
        </w:sdtPr>
        <w:sdtContent>
          <w:r w:rsidR="009835DD">
            <w:fldChar w:fldCharType="begin"/>
          </w:r>
          <w:r w:rsidR="00DC0F1D">
            <w:instrText xml:space="preserve">CITATION Cho202 \p 4 \l 1033 </w:instrText>
          </w:r>
          <w:r w:rsidR="009835DD">
            <w:fldChar w:fldCharType="separate"/>
          </w:r>
          <w:r w:rsidR="00DC0F1D" w:rsidRPr="00DC0F1D">
            <w:t>(Chow Tai Fook, 2021b, p. 4)</w:t>
          </w:r>
          <w:r w:rsidR="009835DD">
            <w:fldChar w:fldCharType="end"/>
          </w:r>
        </w:sdtContent>
      </w:sdt>
      <w:r w:rsidR="009835DD">
        <w:t xml:space="preserve"> </w:t>
      </w:r>
      <w:r w:rsidR="002843EF" w:rsidRPr="005B1C31">
        <w:t xml:space="preserve">in China, Hong Kong, Malaysia, Singapore, Malaysia, and the United States; under </w:t>
      </w:r>
      <w:r w:rsidRPr="005B1C31">
        <w:t xml:space="preserve">serval brands of its own, including </w:t>
      </w:r>
      <w:r w:rsidR="002843EF" w:rsidRPr="005B1C31">
        <w:t>Chow Tai Fook, Hearts on Fire</w:t>
      </w:r>
      <w:r w:rsidRPr="005B1C31">
        <w:t>, T Mark Diamond,</w:t>
      </w:r>
      <w:r w:rsidR="002843EF" w:rsidRPr="005B1C31">
        <w:t xml:space="preserve"> and various brands</w:t>
      </w:r>
      <w:r w:rsidRPr="005B1C31">
        <w:t>;</w:t>
      </w:r>
      <w:r w:rsidR="002843EF" w:rsidRPr="005B1C31">
        <w:t xml:space="preserve"> coupled with a fast-growing e-retail network through its owned and </w:t>
      </w:r>
      <w:r w:rsidRPr="005B1C31">
        <w:t>different</w:t>
      </w:r>
      <w:r w:rsidR="002843EF" w:rsidRPr="005B1C31">
        <w:t xml:space="preserve"> online platforms.  More than 95% of the retail outlets are based in China, and the remaining outlets are largely in Hong Kong &amp; Macau.  </w:t>
      </w:r>
      <w:r w:rsidR="00596EE6" w:rsidRPr="005B1C31">
        <w:t>The firm's total</w:t>
      </w:r>
      <w:r w:rsidR="002843EF" w:rsidRPr="005B1C31">
        <w:t xml:space="preserve"> number of employees employed</w:t>
      </w:r>
      <w:r w:rsidR="0069455E" w:rsidRPr="005B1C31">
        <w:t xml:space="preserve"> as of 30 Sep</w:t>
      </w:r>
      <w:r w:rsidR="00B35CD6">
        <w:t>tember</w:t>
      </w:r>
      <w:r w:rsidR="0069455E" w:rsidRPr="005B1C31">
        <w:t xml:space="preserve"> 2020 </w:t>
      </w:r>
      <w:r w:rsidR="002843EF" w:rsidRPr="005B1C31">
        <w:t xml:space="preserve">is </w:t>
      </w:r>
      <w:r w:rsidR="0069455E" w:rsidRPr="005B1C31">
        <w:t>28</w:t>
      </w:r>
      <w:r w:rsidR="002843EF" w:rsidRPr="005B1C31">
        <w:t>,</w:t>
      </w:r>
      <w:r w:rsidR="0069455E" w:rsidRPr="005B1C31">
        <w:t>1</w:t>
      </w:r>
      <w:r w:rsidR="002843EF" w:rsidRPr="005B1C31">
        <w:t xml:space="preserve">00 </w:t>
      </w:r>
      <w:sdt>
        <w:sdtPr>
          <w:id w:val="1549953394"/>
          <w:citation/>
        </w:sdtPr>
        <w:sdtContent>
          <w:r w:rsidR="0069455E" w:rsidRPr="005B1C31">
            <w:fldChar w:fldCharType="begin"/>
          </w:r>
          <w:r w:rsidR="00DC0F1D">
            <w:instrText xml:space="preserve">CITATION Cho20 \p 3 \l 1033 </w:instrText>
          </w:r>
          <w:r w:rsidR="0069455E" w:rsidRPr="005B1C31">
            <w:fldChar w:fldCharType="separate"/>
          </w:r>
          <w:r w:rsidR="00DC0F1D" w:rsidRPr="00DC0F1D">
            <w:t>(Chow Tai Fook, 2021a, p. 3)</w:t>
          </w:r>
          <w:r w:rsidR="0069455E" w:rsidRPr="005B1C31">
            <w:fldChar w:fldCharType="end"/>
          </w:r>
        </w:sdtContent>
      </w:sdt>
      <w:r w:rsidRPr="005B1C31">
        <w:t>.</w:t>
      </w:r>
    </w:p>
    <w:p w14:paraId="26E079F3" w14:textId="0CB336A6" w:rsidR="00B35281" w:rsidRDefault="00B35281" w:rsidP="002843EF"/>
    <w:p w14:paraId="524429D6" w14:textId="766D916B" w:rsidR="00B35281" w:rsidRDefault="00B35281" w:rsidP="002843EF">
      <w:r>
        <w:t xml:space="preserve">While the firm enlarged its establishment in China and shifted some of its sales to online platforms, the retail operation in Hong Kong might continue to shrink. </w:t>
      </w:r>
      <w:r w:rsidR="001221EA">
        <w:t xml:space="preserve">However, the virus pandemic is a short-term impact, </w:t>
      </w:r>
      <w:r w:rsidR="00B915E9">
        <w:t>similar</w:t>
      </w:r>
      <w:r w:rsidR="001221EA">
        <w:t xml:space="preserve"> to the impact from SARS in 20</w:t>
      </w:r>
      <w:r w:rsidR="009A5E3F">
        <w:t>0</w:t>
      </w:r>
      <w:r w:rsidR="001221EA">
        <w:t>3</w:t>
      </w:r>
      <w:r w:rsidR="00B915E9">
        <w:t>.</w:t>
      </w:r>
      <w:r w:rsidR="001221EA">
        <w:t xml:space="preserve"> CTFJ shall not reduce the fixed cost in production capacity</w:t>
      </w:r>
      <w:r w:rsidR="00B915E9">
        <w:t>. Simultaneously, revenge buying behavior</w:t>
      </w:r>
      <w:r w:rsidR="001221EA">
        <w:t xml:space="preserve"> started in China</w:t>
      </w:r>
      <w:r w:rsidR="00B915E9">
        <w:t>;</w:t>
      </w:r>
      <w:r w:rsidR="001221EA">
        <w:t xml:space="preserve"> CTFJ shall </w:t>
      </w:r>
      <w:r>
        <w:t xml:space="preserve">prepare a business continuity plan to drive Hong Kong sales </w:t>
      </w:r>
      <w:r w:rsidR="009A5E3F">
        <w:t>short to mid-term</w:t>
      </w:r>
      <w:r w:rsidR="001221EA">
        <w:t xml:space="preserve">. </w:t>
      </w:r>
    </w:p>
    <w:p w14:paraId="64709BFF" w14:textId="42D2054D" w:rsidR="00F05610" w:rsidRDefault="00F05610" w:rsidP="002843EF"/>
    <w:p w14:paraId="0E222501" w14:textId="57E207AB" w:rsidR="00F05610" w:rsidRDefault="00F05610">
      <w:pPr>
        <w:spacing w:after="160" w:line="259" w:lineRule="auto"/>
        <w:jc w:val="left"/>
      </w:pPr>
      <w:r>
        <w:br w:type="page"/>
      </w:r>
    </w:p>
    <w:p w14:paraId="32A938D1" w14:textId="70DEDF2A" w:rsidR="00702543" w:rsidRPr="005B1C31" w:rsidRDefault="00702543" w:rsidP="00702543">
      <w:pPr>
        <w:pStyle w:val="Heading2"/>
      </w:pPr>
      <w:bookmarkStart w:id="6" w:name="_Toc64840476"/>
      <w:r w:rsidRPr="005B1C31">
        <w:lastRenderedPageBreak/>
        <w:t>Product portfolio</w:t>
      </w:r>
      <w:bookmarkEnd w:id="6"/>
      <w:r w:rsidR="00A20963">
        <w:t xml:space="preserve"> </w:t>
      </w:r>
    </w:p>
    <w:p w14:paraId="3D3374C4" w14:textId="5AF971B4" w:rsidR="00B915E9" w:rsidRDefault="00EE3085" w:rsidP="00B915E9">
      <w:r w:rsidRPr="005B1C31">
        <w:t>CTFJ</w:t>
      </w:r>
      <w:r w:rsidR="00406F8A" w:rsidRPr="005B1C31">
        <w:t>'</w:t>
      </w:r>
      <w:r w:rsidRPr="005B1C31">
        <w:t xml:space="preserve">s major products include gold </w:t>
      </w:r>
      <w:r w:rsidR="00B915E9">
        <w:t>products,</w:t>
      </w:r>
      <w:r w:rsidRPr="005B1C31">
        <w:t xml:space="preserve"> platinum products, gem-set </w:t>
      </w:r>
      <w:r w:rsidR="00470D0D" w:rsidRPr="005B1C31">
        <w:t>j</w:t>
      </w:r>
      <w:r w:rsidR="009B12BC" w:rsidRPr="005B1C31">
        <w:t>ewellery</w:t>
      </w:r>
      <w:r w:rsidR="00B915E9">
        <w:t>,</w:t>
      </w:r>
      <w:r w:rsidRPr="005B1C31">
        <w:t xml:space="preserve"> and watches</w:t>
      </w:r>
      <w:r w:rsidR="001B22ED">
        <w:t>.</w:t>
      </w:r>
      <w:r w:rsidR="00B97C33">
        <w:t xml:space="preserve"> </w:t>
      </w:r>
      <w:r w:rsidR="00B915E9">
        <w:t>G</w:t>
      </w:r>
      <w:r w:rsidR="00B97C33">
        <w:t xml:space="preserve">old products </w:t>
      </w:r>
      <w:r w:rsidR="00F05610">
        <w:t>are the key</w:t>
      </w:r>
      <w:r w:rsidR="00B97C33">
        <w:t xml:space="preserve"> revenue</w:t>
      </w:r>
      <w:r w:rsidR="00F05610">
        <w:t xml:space="preserve"> contributor</w:t>
      </w:r>
      <w:r w:rsidR="00B915E9">
        <w:t xml:space="preserve">. Over the last ten years, CTFJ's product distribution percentage had been steady as a pattern, which was not affected by any potential changes in consumers' demands. Although </w:t>
      </w:r>
      <w:r w:rsidR="00F05610">
        <w:t>product segmentation is stable</w:t>
      </w:r>
      <w:r w:rsidR="00B915E9">
        <w:t xml:space="preserve">, the revenue fluctuated significantly (Table 2). </w:t>
      </w:r>
    </w:p>
    <w:p w14:paraId="672E73D2" w14:textId="77777777" w:rsidR="00F05610" w:rsidRDefault="00F05610" w:rsidP="00B915E9"/>
    <w:p w14:paraId="232D4387" w14:textId="13195AC5" w:rsidR="00B35CD6" w:rsidRPr="00B35CD6" w:rsidRDefault="00FE6E9E" w:rsidP="00FE6E9E">
      <w:pPr>
        <w:pStyle w:val="Caption"/>
        <w:jc w:val="left"/>
        <w:rPr>
          <w:sz w:val="24"/>
          <w:szCs w:val="24"/>
        </w:rPr>
      </w:pPr>
      <w:r w:rsidRPr="00FE6E9E">
        <w:rPr>
          <w:sz w:val="24"/>
          <w:szCs w:val="24"/>
        </w:rPr>
        <w:t xml:space="preserve">Table </w:t>
      </w:r>
      <w:r w:rsidRPr="00FE6E9E">
        <w:rPr>
          <w:sz w:val="24"/>
          <w:szCs w:val="24"/>
        </w:rPr>
        <w:fldChar w:fldCharType="begin"/>
      </w:r>
      <w:r w:rsidRPr="00FE6E9E">
        <w:rPr>
          <w:sz w:val="24"/>
          <w:szCs w:val="24"/>
        </w:rPr>
        <w:instrText xml:space="preserve"> SEQ Table \* ARABIC </w:instrText>
      </w:r>
      <w:r w:rsidRPr="00FE6E9E">
        <w:rPr>
          <w:sz w:val="24"/>
          <w:szCs w:val="24"/>
        </w:rPr>
        <w:fldChar w:fldCharType="separate"/>
      </w:r>
      <w:r w:rsidR="00A806F0">
        <w:rPr>
          <w:sz w:val="24"/>
          <w:szCs w:val="24"/>
        </w:rPr>
        <w:t>2</w:t>
      </w:r>
      <w:r w:rsidRPr="00FE6E9E">
        <w:rPr>
          <w:sz w:val="24"/>
          <w:szCs w:val="24"/>
        </w:rPr>
        <w:fldChar w:fldCharType="end"/>
      </w:r>
      <w:r w:rsidRPr="00FE6E9E">
        <w:rPr>
          <w:sz w:val="24"/>
          <w:szCs w:val="24"/>
        </w:rPr>
        <w:t>:</w:t>
      </w:r>
      <w:r w:rsidR="00B35CD6" w:rsidRPr="00FE6E9E">
        <w:rPr>
          <w:sz w:val="36"/>
          <w:szCs w:val="36"/>
        </w:rPr>
        <w:t xml:space="preserve"> </w:t>
      </w:r>
      <w:r w:rsidR="00B35CD6" w:rsidRPr="00FE6E9E">
        <w:rPr>
          <w:sz w:val="24"/>
          <w:szCs w:val="24"/>
        </w:rPr>
        <w:t xml:space="preserve">Revenue </w:t>
      </w:r>
      <w:r w:rsidR="00671178">
        <w:rPr>
          <w:sz w:val="24"/>
          <w:szCs w:val="24"/>
        </w:rPr>
        <w:t>by</w:t>
      </w:r>
      <w:r w:rsidR="00B35CD6" w:rsidRPr="00FE6E9E">
        <w:rPr>
          <w:sz w:val="24"/>
          <w:szCs w:val="24"/>
        </w:rPr>
        <w:t xml:space="preserve"> </w:t>
      </w:r>
      <w:r w:rsidRPr="00FE6E9E">
        <w:rPr>
          <w:sz w:val="24"/>
          <w:szCs w:val="24"/>
        </w:rPr>
        <w:t>prod</w:t>
      </w:r>
      <w:r>
        <w:rPr>
          <w:sz w:val="24"/>
          <w:szCs w:val="24"/>
        </w:rPr>
        <w:t>uc</w:t>
      </w:r>
      <w:r w:rsidRPr="00FE6E9E">
        <w:rPr>
          <w:sz w:val="24"/>
          <w:szCs w:val="24"/>
        </w:rPr>
        <w:t xml:space="preserve">t </w:t>
      </w:r>
      <w:r w:rsidR="00B35CD6" w:rsidRPr="00FE6E9E">
        <w:rPr>
          <w:sz w:val="24"/>
          <w:szCs w:val="24"/>
        </w:rPr>
        <w:t xml:space="preserve">segment </w:t>
      </w:r>
    </w:p>
    <w:tbl>
      <w:tblPr>
        <w:tblW w:w="5000" w:type="pct"/>
        <w:tblLook w:val="04A0" w:firstRow="1" w:lastRow="0" w:firstColumn="1" w:lastColumn="0" w:noHBand="0" w:noVBand="1"/>
      </w:tblPr>
      <w:tblGrid>
        <w:gridCol w:w="1420"/>
        <w:gridCol w:w="764"/>
        <w:gridCol w:w="764"/>
        <w:gridCol w:w="765"/>
        <w:gridCol w:w="765"/>
        <w:gridCol w:w="765"/>
        <w:gridCol w:w="765"/>
        <w:gridCol w:w="765"/>
        <w:gridCol w:w="765"/>
        <w:gridCol w:w="765"/>
        <w:gridCol w:w="757"/>
      </w:tblGrid>
      <w:tr w:rsidR="00FE6E9E" w:rsidRPr="00FE6E9E" w14:paraId="204D76EB" w14:textId="77777777" w:rsidTr="008C7D1F">
        <w:trPr>
          <w:trHeight w:val="272"/>
        </w:trPr>
        <w:tc>
          <w:tcPr>
            <w:tcW w:w="784" w:type="pct"/>
            <w:tcBorders>
              <w:top w:val="nil"/>
              <w:left w:val="nil"/>
              <w:bottom w:val="nil"/>
              <w:right w:val="nil"/>
            </w:tcBorders>
            <w:shd w:val="clear" w:color="auto" w:fill="auto"/>
            <w:noWrap/>
            <w:vAlign w:val="bottom"/>
            <w:hideMark/>
          </w:tcPr>
          <w:p w14:paraId="5EBF93BE" w14:textId="77777777" w:rsidR="00FE6E9E" w:rsidRPr="00FE6E9E" w:rsidRDefault="00FE6E9E" w:rsidP="00FE6E9E">
            <w:pPr>
              <w:spacing w:line="240" w:lineRule="auto"/>
              <w:jc w:val="left"/>
              <w:rPr>
                <w:rFonts w:eastAsia="Times New Roman"/>
                <w:noProof w:val="0"/>
                <w:sz w:val="20"/>
                <w:szCs w:val="20"/>
              </w:rPr>
            </w:pPr>
          </w:p>
        </w:tc>
        <w:tc>
          <w:tcPr>
            <w:tcW w:w="4216" w:type="pct"/>
            <w:gridSpan w:val="10"/>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693D489" w14:textId="52947D60" w:rsidR="00FE6E9E" w:rsidRPr="00FE6E9E" w:rsidRDefault="00FE6E9E" w:rsidP="00FE6E9E">
            <w:pPr>
              <w:spacing w:line="240" w:lineRule="auto"/>
              <w:jc w:val="right"/>
              <w:rPr>
                <w:rFonts w:eastAsia="Times New Roman"/>
                <w:b/>
                <w:bCs/>
                <w:noProof w:val="0"/>
                <w:color w:val="000000"/>
                <w:sz w:val="18"/>
                <w:szCs w:val="18"/>
              </w:rPr>
            </w:pPr>
            <w:proofErr w:type="spellStart"/>
            <w:r w:rsidRPr="00FE6E9E">
              <w:rPr>
                <w:rFonts w:eastAsia="Times New Roman"/>
                <w:b/>
                <w:bCs/>
                <w:noProof w:val="0"/>
                <w:color w:val="000000"/>
                <w:sz w:val="16"/>
                <w:szCs w:val="16"/>
              </w:rPr>
              <w:t>HK$'million</w:t>
            </w:r>
            <w:proofErr w:type="spellEnd"/>
            <w:r>
              <w:rPr>
                <w:rFonts w:eastAsia="Times New Roman"/>
                <w:b/>
                <w:bCs/>
                <w:noProof w:val="0"/>
                <w:color w:val="000000"/>
                <w:sz w:val="16"/>
                <w:szCs w:val="16"/>
              </w:rPr>
              <w:t xml:space="preserve"> (product segment %)</w:t>
            </w:r>
          </w:p>
        </w:tc>
      </w:tr>
      <w:tr w:rsidR="00FE6E9E" w:rsidRPr="00FE6E9E" w14:paraId="03E236EC" w14:textId="77777777" w:rsidTr="008C7D1F">
        <w:trPr>
          <w:trHeight w:val="324"/>
        </w:trPr>
        <w:tc>
          <w:tcPr>
            <w:tcW w:w="784" w:type="pct"/>
            <w:tcBorders>
              <w:top w:val="nil"/>
              <w:left w:val="nil"/>
              <w:bottom w:val="nil"/>
              <w:right w:val="nil"/>
            </w:tcBorders>
            <w:shd w:val="clear" w:color="auto" w:fill="auto"/>
            <w:noWrap/>
            <w:vAlign w:val="center"/>
            <w:hideMark/>
          </w:tcPr>
          <w:p w14:paraId="56D7E59E" w14:textId="77777777" w:rsidR="00FE6E9E" w:rsidRPr="00FE6E9E" w:rsidRDefault="00FE6E9E" w:rsidP="00FE6E9E">
            <w:pPr>
              <w:spacing w:line="240" w:lineRule="auto"/>
              <w:jc w:val="center"/>
              <w:rPr>
                <w:rFonts w:eastAsia="Times New Roman"/>
                <w:b/>
                <w:bCs/>
                <w:noProof w:val="0"/>
                <w:color w:val="000000"/>
                <w:sz w:val="18"/>
                <w:szCs w:val="18"/>
              </w:rPr>
            </w:pPr>
          </w:p>
        </w:tc>
        <w:tc>
          <w:tcPr>
            <w:tcW w:w="422" w:type="pct"/>
            <w:tcBorders>
              <w:top w:val="nil"/>
              <w:left w:val="single" w:sz="8" w:space="0" w:color="auto"/>
              <w:bottom w:val="single" w:sz="8" w:space="0" w:color="auto"/>
              <w:right w:val="single" w:sz="8" w:space="0" w:color="auto"/>
            </w:tcBorders>
            <w:shd w:val="clear" w:color="auto" w:fill="auto"/>
            <w:noWrap/>
            <w:vAlign w:val="center"/>
            <w:hideMark/>
          </w:tcPr>
          <w:p w14:paraId="3390CCD8"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FY2011</w:t>
            </w:r>
          </w:p>
        </w:tc>
        <w:tc>
          <w:tcPr>
            <w:tcW w:w="422" w:type="pct"/>
            <w:tcBorders>
              <w:top w:val="nil"/>
              <w:left w:val="nil"/>
              <w:bottom w:val="single" w:sz="8" w:space="0" w:color="auto"/>
              <w:right w:val="single" w:sz="8" w:space="0" w:color="auto"/>
            </w:tcBorders>
            <w:shd w:val="clear" w:color="auto" w:fill="auto"/>
            <w:vAlign w:val="center"/>
            <w:hideMark/>
          </w:tcPr>
          <w:p w14:paraId="550F4A44"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FY2012</w:t>
            </w:r>
          </w:p>
        </w:tc>
        <w:tc>
          <w:tcPr>
            <w:tcW w:w="422" w:type="pct"/>
            <w:tcBorders>
              <w:top w:val="nil"/>
              <w:left w:val="nil"/>
              <w:bottom w:val="single" w:sz="8" w:space="0" w:color="auto"/>
              <w:right w:val="nil"/>
            </w:tcBorders>
            <w:shd w:val="clear" w:color="auto" w:fill="auto"/>
            <w:noWrap/>
            <w:vAlign w:val="center"/>
            <w:hideMark/>
          </w:tcPr>
          <w:p w14:paraId="46A0FDB3"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FY2013</w:t>
            </w:r>
          </w:p>
        </w:tc>
        <w:tc>
          <w:tcPr>
            <w:tcW w:w="422" w:type="pct"/>
            <w:tcBorders>
              <w:top w:val="nil"/>
              <w:left w:val="single" w:sz="8" w:space="0" w:color="auto"/>
              <w:bottom w:val="single" w:sz="8" w:space="0" w:color="auto"/>
              <w:right w:val="nil"/>
            </w:tcBorders>
            <w:shd w:val="clear" w:color="auto" w:fill="auto"/>
            <w:noWrap/>
            <w:vAlign w:val="center"/>
            <w:hideMark/>
          </w:tcPr>
          <w:p w14:paraId="2931A48E"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FY2014</w:t>
            </w:r>
          </w:p>
        </w:tc>
        <w:tc>
          <w:tcPr>
            <w:tcW w:w="422" w:type="pct"/>
            <w:tcBorders>
              <w:top w:val="nil"/>
              <w:left w:val="single" w:sz="8" w:space="0" w:color="auto"/>
              <w:bottom w:val="single" w:sz="8" w:space="0" w:color="auto"/>
              <w:right w:val="nil"/>
            </w:tcBorders>
            <w:shd w:val="clear" w:color="auto" w:fill="auto"/>
            <w:noWrap/>
            <w:vAlign w:val="center"/>
            <w:hideMark/>
          </w:tcPr>
          <w:p w14:paraId="70829DF8"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FY2015</w:t>
            </w:r>
          </w:p>
        </w:tc>
        <w:tc>
          <w:tcPr>
            <w:tcW w:w="422" w:type="pct"/>
            <w:tcBorders>
              <w:top w:val="nil"/>
              <w:left w:val="single" w:sz="8" w:space="0" w:color="auto"/>
              <w:bottom w:val="single" w:sz="8" w:space="0" w:color="auto"/>
              <w:right w:val="nil"/>
            </w:tcBorders>
            <w:shd w:val="clear" w:color="auto" w:fill="auto"/>
            <w:noWrap/>
            <w:vAlign w:val="center"/>
            <w:hideMark/>
          </w:tcPr>
          <w:p w14:paraId="5DF330BF"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FY2016</w:t>
            </w:r>
          </w:p>
        </w:tc>
        <w:tc>
          <w:tcPr>
            <w:tcW w:w="422" w:type="pct"/>
            <w:tcBorders>
              <w:top w:val="nil"/>
              <w:left w:val="single" w:sz="8" w:space="0" w:color="auto"/>
              <w:bottom w:val="single" w:sz="8" w:space="0" w:color="auto"/>
              <w:right w:val="single" w:sz="8" w:space="0" w:color="auto"/>
            </w:tcBorders>
            <w:shd w:val="clear" w:color="auto" w:fill="auto"/>
            <w:vAlign w:val="center"/>
            <w:hideMark/>
          </w:tcPr>
          <w:p w14:paraId="55A200C1"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FY2017</w:t>
            </w:r>
          </w:p>
        </w:tc>
        <w:tc>
          <w:tcPr>
            <w:tcW w:w="422" w:type="pct"/>
            <w:tcBorders>
              <w:top w:val="nil"/>
              <w:left w:val="nil"/>
              <w:bottom w:val="single" w:sz="8" w:space="0" w:color="auto"/>
              <w:right w:val="single" w:sz="8" w:space="0" w:color="auto"/>
            </w:tcBorders>
            <w:shd w:val="clear" w:color="auto" w:fill="auto"/>
            <w:noWrap/>
            <w:vAlign w:val="center"/>
            <w:hideMark/>
          </w:tcPr>
          <w:p w14:paraId="4303BF22"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FY2018</w:t>
            </w:r>
          </w:p>
        </w:tc>
        <w:tc>
          <w:tcPr>
            <w:tcW w:w="422" w:type="pct"/>
            <w:tcBorders>
              <w:top w:val="nil"/>
              <w:left w:val="nil"/>
              <w:bottom w:val="single" w:sz="8" w:space="0" w:color="auto"/>
              <w:right w:val="single" w:sz="8" w:space="0" w:color="auto"/>
            </w:tcBorders>
            <w:shd w:val="clear" w:color="auto" w:fill="auto"/>
            <w:noWrap/>
            <w:vAlign w:val="center"/>
            <w:hideMark/>
          </w:tcPr>
          <w:p w14:paraId="01C85F16"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FY2019</w:t>
            </w:r>
          </w:p>
        </w:tc>
        <w:tc>
          <w:tcPr>
            <w:tcW w:w="422" w:type="pct"/>
            <w:tcBorders>
              <w:top w:val="nil"/>
              <w:left w:val="nil"/>
              <w:bottom w:val="single" w:sz="8" w:space="0" w:color="auto"/>
              <w:right w:val="single" w:sz="8" w:space="0" w:color="auto"/>
            </w:tcBorders>
            <w:shd w:val="clear" w:color="auto" w:fill="auto"/>
            <w:noWrap/>
            <w:vAlign w:val="center"/>
            <w:hideMark/>
          </w:tcPr>
          <w:p w14:paraId="7EF47966" w14:textId="77777777" w:rsidR="00FE6E9E" w:rsidRPr="00FE6E9E" w:rsidRDefault="00FE6E9E" w:rsidP="00FE6E9E">
            <w:pPr>
              <w:spacing w:line="240" w:lineRule="auto"/>
              <w:jc w:val="center"/>
              <w:rPr>
                <w:rFonts w:eastAsia="Times New Roman"/>
                <w:b/>
                <w:bCs/>
                <w:noProof w:val="0"/>
                <w:color w:val="000000"/>
                <w:sz w:val="16"/>
                <w:szCs w:val="16"/>
              </w:rPr>
            </w:pPr>
            <w:r w:rsidRPr="00FE6E9E">
              <w:rPr>
                <w:rFonts w:eastAsia="Times New Roman"/>
                <w:b/>
                <w:bCs/>
                <w:noProof w:val="0"/>
                <w:color w:val="000000"/>
                <w:sz w:val="16"/>
                <w:szCs w:val="16"/>
              </w:rPr>
              <w:t>FY2020</w:t>
            </w:r>
          </w:p>
        </w:tc>
      </w:tr>
      <w:tr w:rsidR="00B915E9" w:rsidRPr="00FE6E9E" w14:paraId="4055056E" w14:textId="77777777" w:rsidTr="008C7D1F">
        <w:trPr>
          <w:trHeight w:val="312"/>
        </w:trPr>
        <w:tc>
          <w:tcPr>
            <w:tcW w:w="784" w:type="pct"/>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8619F54" w14:textId="77777777" w:rsidR="00B915E9" w:rsidRPr="008C7D1F" w:rsidRDefault="00B915E9" w:rsidP="00B915E9">
            <w:pPr>
              <w:spacing w:line="240" w:lineRule="auto"/>
              <w:jc w:val="center"/>
              <w:rPr>
                <w:rFonts w:eastAsia="Times New Roman"/>
                <w:noProof w:val="0"/>
                <w:color w:val="000000"/>
                <w:sz w:val="20"/>
                <w:szCs w:val="20"/>
              </w:rPr>
            </w:pPr>
            <w:r w:rsidRPr="008C7D1F">
              <w:rPr>
                <w:rFonts w:eastAsia="Times New Roman"/>
                <w:noProof w:val="0"/>
                <w:color w:val="000000"/>
                <w:sz w:val="20"/>
                <w:szCs w:val="20"/>
              </w:rPr>
              <w:t>Gem-set jewellery</w:t>
            </w:r>
          </w:p>
        </w:tc>
        <w:tc>
          <w:tcPr>
            <w:tcW w:w="422" w:type="pct"/>
            <w:tcBorders>
              <w:top w:val="nil"/>
              <w:left w:val="nil"/>
              <w:bottom w:val="nil"/>
              <w:right w:val="single" w:sz="8" w:space="0" w:color="auto"/>
            </w:tcBorders>
            <w:shd w:val="clear" w:color="auto" w:fill="auto"/>
            <w:vAlign w:val="center"/>
            <w:hideMark/>
          </w:tcPr>
          <w:p w14:paraId="742A17B4" w14:textId="1A81718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8,962.9</w:t>
            </w:r>
          </w:p>
        </w:tc>
        <w:tc>
          <w:tcPr>
            <w:tcW w:w="422" w:type="pct"/>
            <w:tcBorders>
              <w:top w:val="nil"/>
              <w:left w:val="nil"/>
              <w:bottom w:val="nil"/>
              <w:right w:val="single" w:sz="8" w:space="0" w:color="auto"/>
            </w:tcBorders>
            <w:shd w:val="clear" w:color="auto" w:fill="auto"/>
            <w:noWrap/>
            <w:vAlign w:val="center"/>
            <w:hideMark/>
          </w:tcPr>
          <w:p w14:paraId="0DDC4B74" w14:textId="1B5FB556"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15,378.1</w:t>
            </w:r>
          </w:p>
        </w:tc>
        <w:tc>
          <w:tcPr>
            <w:tcW w:w="422" w:type="pct"/>
            <w:tcBorders>
              <w:top w:val="nil"/>
              <w:left w:val="nil"/>
              <w:bottom w:val="nil"/>
              <w:right w:val="nil"/>
            </w:tcBorders>
            <w:shd w:val="clear" w:color="auto" w:fill="auto"/>
            <w:noWrap/>
            <w:vAlign w:val="center"/>
            <w:hideMark/>
          </w:tcPr>
          <w:p w14:paraId="57476CBE" w14:textId="72A3325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13,164.8</w:t>
            </w:r>
          </w:p>
        </w:tc>
        <w:tc>
          <w:tcPr>
            <w:tcW w:w="422" w:type="pct"/>
            <w:tcBorders>
              <w:top w:val="nil"/>
              <w:left w:val="single" w:sz="8" w:space="0" w:color="auto"/>
              <w:bottom w:val="nil"/>
              <w:right w:val="nil"/>
            </w:tcBorders>
            <w:shd w:val="clear" w:color="auto" w:fill="auto"/>
            <w:noWrap/>
            <w:vAlign w:val="center"/>
            <w:hideMark/>
          </w:tcPr>
          <w:p w14:paraId="6A23996D" w14:textId="0072A6F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16,332.2</w:t>
            </w:r>
          </w:p>
        </w:tc>
        <w:tc>
          <w:tcPr>
            <w:tcW w:w="422" w:type="pct"/>
            <w:tcBorders>
              <w:top w:val="nil"/>
              <w:left w:val="single" w:sz="8" w:space="0" w:color="auto"/>
              <w:bottom w:val="nil"/>
              <w:right w:val="nil"/>
            </w:tcBorders>
            <w:shd w:val="clear" w:color="auto" w:fill="auto"/>
            <w:noWrap/>
            <w:vAlign w:val="center"/>
            <w:hideMark/>
          </w:tcPr>
          <w:p w14:paraId="72C1D3B8" w14:textId="273C3C9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17,378.9</w:t>
            </w:r>
          </w:p>
        </w:tc>
        <w:tc>
          <w:tcPr>
            <w:tcW w:w="422" w:type="pct"/>
            <w:tcBorders>
              <w:top w:val="nil"/>
              <w:left w:val="single" w:sz="8" w:space="0" w:color="auto"/>
              <w:bottom w:val="nil"/>
              <w:right w:val="nil"/>
            </w:tcBorders>
            <w:shd w:val="clear" w:color="auto" w:fill="auto"/>
            <w:vAlign w:val="center"/>
            <w:hideMark/>
          </w:tcPr>
          <w:p w14:paraId="10E433FB" w14:textId="25590171"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13,167.4</w:t>
            </w:r>
          </w:p>
        </w:tc>
        <w:tc>
          <w:tcPr>
            <w:tcW w:w="422" w:type="pct"/>
            <w:tcBorders>
              <w:top w:val="nil"/>
              <w:left w:val="single" w:sz="8" w:space="0" w:color="auto"/>
              <w:bottom w:val="nil"/>
              <w:right w:val="single" w:sz="8" w:space="0" w:color="auto"/>
            </w:tcBorders>
            <w:shd w:val="clear" w:color="auto" w:fill="auto"/>
            <w:noWrap/>
            <w:vAlign w:val="center"/>
            <w:hideMark/>
          </w:tcPr>
          <w:p w14:paraId="1DAADAA9" w14:textId="27BCD41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11,075.6</w:t>
            </w:r>
          </w:p>
        </w:tc>
        <w:tc>
          <w:tcPr>
            <w:tcW w:w="422" w:type="pct"/>
            <w:tcBorders>
              <w:top w:val="nil"/>
              <w:left w:val="nil"/>
              <w:bottom w:val="nil"/>
              <w:right w:val="single" w:sz="8" w:space="0" w:color="auto"/>
            </w:tcBorders>
            <w:shd w:val="clear" w:color="auto" w:fill="auto"/>
            <w:noWrap/>
            <w:vAlign w:val="center"/>
            <w:hideMark/>
          </w:tcPr>
          <w:p w14:paraId="3E933AE5" w14:textId="2B7D1EB7"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11,659.1</w:t>
            </w:r>
          </w:p>
        </w:tc>
        <w:tc>
          <w:tcPr>
            <w:tcW w:w="422" w:type="pct"/>
            <w:tcBorders>
              <w:top w:val="nil"/>
              <w:left w:val="nil"/>
              <w:bottom w:val="nil"/>
              <w:right w:val="single" w:sz="8" w:space="0" w:color="auto"/>
            </w:tcBorders>
            <w:shd w:val="clear" w:color="auto" w:fill="auto"/>
            <w:noWrap/>
            <w:vAlign w:val="center"/>
            <w:hideMark/>
          </w:tcPr>
          <w:p w14:paraId="31473131" w14:textId="559024D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12,187.7</w:t>
            </w:r>
          </w:p>
        </w:tc>
        <w:tc>
          <w:tcPr>
            <w:tcW w:w="422" w:type="pct"/>
            <w:tcBorders>
              <w:top w:val="nil"/>
              <w:left w:val="nil"/>
              <w:bottom w:val="nil"/>
              <w:right w:val="single" w:sz="8" w:space="0" w:color="auto"/>
            </w:tcBorders>
            <w:shd w:val="clear" w:color="auto" w:fill="auto"/>
            <w:noWrap/>
            <w:vAlign w:val="center"/>
            <w:hideMark/>
          </w:tcPr>
          <w:p w14:paraId="13370204" w14:textId="351511E7"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9,346.8</w:t>
            </w:r>
          </w:p>
        </w:tc>
      </w:tr>
      <w:tr w:rsidR="00B915E9" w:rsidRPr="00FE6E9E" w14:paraId="147E2E5B" w14:textId="77777777" w:rsidTr="008C7D1F">
        <w:trPr>
          <w:trHeight w:val="312"/>
        </w:trPr>
        <w:tc>
          <w:tcPr>
            <w:tcW w:w="784" w:type="pct"/>
            <w:vMerge/>
            <w:tcBorders>
              <w:top w:val="single" w:sz="8" w:space="0" w:color="auto"/>
              <w:left w:val="single" w:sz="8" w:space="0" w:color="auto"/>
              <w:bottom w:val="single" w:sz="8" w:space="0" w:color="000000"/>
              <w:right w:val="single" w:sz="8" w:space="0" w:color="auto"/>
            </w:tcBorders>
            <w:vAlign w:val="center"/>
            <w:hideMark/>
          </w:tcPr>
          <w:p w14:paraId="18BE2CB9" w14:textId="77777777" w:rsidR="00B915E9" w:rsidRPr="008C7D1F" w:rsidRDefault="00B915E9" w:rsidP="00B915E9">
            <w:pPr>
              <w:spacing w:line="240" w:lineRule="auto"/>
              <w:jc w:val="left"/>
              <w:rPr>
                <w:rFonts w:eastAsia="Times New Roman"/>
                <w:noProof w:val="0"/>
                <w:color w:val="000000"/>
                <w:sz w:val="20"/>
                <w:szCs w:val="20"/>
              </w:rPr>
            </w:pPr>
          </w:p>
        </w:tc>
        <w:tc>
          <w:tcPr>
            <w:tcW w:w="422" w:type="pct"/>
            <w:tcBorders>
              <w:top w:val="nil"/>
              <w:left w:val="nil"/>
              <w:bottom w:val="single" w:sz="8" w:space="0" w:color="auto"/>
              <w:right w:val="single" w:sz="8" w:space="0" w:color="auto"/>
            </w:tcBorders>
            <w:shd w:val="clear" w:color="auto" w:fill="auto"/>
            <w:vAlign w:val="center"/>
            <w:hideMark/>
          </w:tcPr>
          <w:p w14:paraId="52C66DED" w14:textId="6FB3C8F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25.6%</w:t>
            </w:r>
          </w:p>
        </w:tc>
        <w:tc>
          <w:tcPr>
            <w:tcW w:w="422" w:type="pct"/>
            <w:tcBorders>
              <w:top w:val="nil"/>
              <w:left w:val="nil"/>
              <w:bottom w:val="single" w:sz="8" w:space="0" w:color="auto"/>
              <w:right w:val="single" w:sz="8" w:space="0" w:color="auto"/>
            </w:tcBorders>
            <w:shd w:val="clear" w:color="auto" w:fill="auto"/>
            <w:noWrap/>
            <w:vAlign w:val="center"/>
            <w:hideMark/>
          </w:tcPr>
          <w:p w14:paraId="21740A32" w14:textId="03D9491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27.2%</w:t>
            </w:r>
          </w:p>
        </w:tc>
        <w:tc>
          <w:tcPr>
            <w:tcW w:w="422" w:type="pct"/>
            <w:tcBorders>
              <w:top w:val="nil"/>
              <w:left w:val="nil"/>
              <w:bottom w:val="single" w:sz="8" w:space="0" w:color="auto"/>
              <w:right w:val="nil"/>
            </w:tcBorders>
            <w:shd w:val="clear" w:color="auto" w:fill="auto"/>
            <w:noWrap/>
            <w:vAlign w:val="center"/>
            <w:hideMark/>
          </w:tcPr>
          <w:p w14:paraId="7BB7E59F" w14:textId="585364A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22.9%</w:t>
            </w:r>
          </w:p>
        </w:tc>
        <w:tc>
          <w:tcPr>
            <w:tcW w:w="422" w:type="pct"/>
            <w:tcBorders>
              <w:top w:val="nil"/>
              <w:left w:val="single" w:sz="8" w:space="0" w:color="auto"/>
              <w:bottom w:val="single" w:sz="8" w:space="0" w:color="auto"/>
              <w:right w:val="nil"/>
            </w:tcBorders>
            <w:shd w:val="clear" w:color="auto" w:fill="auto"/>
            <w:noWrap/>
            <w:vAlign w:val="center"/>
            <w:hideMark/>
          </w:tcPr>
          <w:p w14:paraId="58F0ED36" w14:textId="280C96B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21.1%</w:t>
            </w:r>
          </w:p>
        </w:tc>
        <w:tc>
          <w:tcPr>
            <w:tcW w:w="422" w:type="pct"/>
            <w:tcBorders>
              <w:top w:val="nil"/>
              <w:left w:val="single" w:sz="8" w:space="0" w:color="auto"/>
              <w:bottom w:val="single" w:sz="8" w:space="0" w:color="auto"/>
              <w:right w:val="nil"/>
            </w:tcBorders>
            <w:shd w:val="clear" w:color="auto" w:fill="auto"/>
            <w:noWrap/>
            <w:vAlign w:val="center"/>
            <w:hideMark/>
          </w:tcPr>
          <w:p w14:paraId="2DC9128D" w14:textId="6E7AE1C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27.0%</w:t>
            </w:r>
          </w:p>
        </w:tc>
        <w:tc>
          <w:tcPr>
            <w:tcW w:w="422" w:type="pct"/>
            <w:tcBorders>
              <w:top w:val="nil"/>
              <w:left w:val="single" w:sz="8" w:space="0" w:color="auto"/>
              <w:bottom w:val="single" w:sz="8" w:space="0" w:color="auto"/>
              <w:right w:val="nil"/>
            </w:tcBorders>
            <w:shd w:val="clear" w:color="auto" w:fill="auto"/>
            <w:vAlign w:val="center"/>
            <w:hideMark/>
          </w:tcPr>
          <w:p w14:paraId="15D96E36" w14:textId="018A03F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27.2%</w:t>
            </w:r>
          </w:p>
        </w:tc>
        <w:tc>
          <w:tcPr>
            <w:tcW w:w="422" w:type="pct"/>
            <w:tcBorders>
              <w:top w:val="nil"/>
              <w:left w:val="single" w:sz="8" w:space="0" w:color="auto"/>
              <w:bottom w:val="single" w:sz="8" w:space="0" w:color="auto"/>
              <w:right w:val="single" w:sz="8" w:space="0" w:color="auto"/>
            </w:tcBorders>
            <w:shd w:val="clear" w:color="auto" w:fill="auto"/>
            <w:noWrap/>
            <w:vAlign w:val="center"/>
            <w:hideMark/>
          </w:tcPr>
          <w:p w14:paraId="5165CFEE" w14:textId="1905CE47"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25.4%</w:t>
            </w:r>
          </w:p>
        </w:tc>
        <w:tc>
          <w:tcPr>
            <w:tcW w:w="422" w:type="pct"/>
            <w:tcBorders>
              <w:top w:val="nil"/>
              <w:left w:val="nil"/>
              <w:bottom w:val="single" w:sz="8" w:space="0" w:color="auto"/>
              <w:right w:val="single" w:sz="8" w:space="0" w:color="auto"/>
            </w:tcBorders>
            <w:shd w:val="clear" w:color="auto" w:fill="auto"/>
            <w:noWrap/>
            <w:vAlign w:val="center"/>
            <w:hideMark/>
          </w:tcPr>
          <w:p w14:paraId="49E6ADC9" w14:textId="0B8381C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23.9%</w:t>
            </w:r>
          </w:p>
        </w:tc>
        <w:tc>
          <w:tcPr>
            <w:tcW w:w="422" w:type="pct"/>
            <w:tcBorders>
              <w:top w:val="nil"/>
              <w:left w:val="nil"/>
              <w:bottom w:val="single" w:sz="8" w:space="0" w:color="auto"/>
              <w:right w:val="single" w:sz="8" w:space="0" w:color="auto"/>
            </w:tcBorders>
            <w:shd w:val="clear" w:color="auto" w:fill="auto"/>
            <w:noWrap/>
            <w:vAlign w:val="center"/>
            <w:hideMark/>
          </w:tcPr>
          <w:p w14:paraId="31A5C712" w14:textId="1E9EB6F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22.8%</w:t>
            </w:r>
          </w:p>
        </w:tc>
        <w:tc>
          <w:tcPr>
            <w:tcW w:w="422" w:type="pct"/>
            <w:tcBorders>
              <w:top w:val="nil"/>
              <w:left w:val="nil"/>
              <w:bottom w:val="single" w:sz="8" w:space="0" w:color="auto"/>
              <w:right w:val="single" w:sz="8" w:space="0" w:color="auto"/>
            </w:tcBorders>
            <w:shd w:val="clear" w:color="auto" w:fill="auto"/>
            <w:noWrap/>
            <w:vAlign w:val="center"/>
            <w:hideMark/>
          </w:tcPr>
          <w:p w14:paraId="3FD2C938" w14:textId="083960E6"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22.4%</w:t>
            </w:r>
          </w:p>
        </w:tc>
      </w:tr>
      <w:tr w:rsidR="00B915E9" w:rsidRPr="00FE6E9E" w14:paraId="159971F4" w14:textId="77777777" w:rsidTr="008C7D1F">
        <w:trPr>
          <w:trHeight w:val="312"/>
        </w:trPr>
        <w:tc>
          <w:tcPr>
            <w:tcW w:w="784" w:type="pct"/>
            <w:vMerge w:val="restart"/>
            <w:tcBorders>
              <w:top w:val="nil"/>
              <w:left w:val="single" w:sz="8" w:space="0" w:color="auto"/>
              <w:bottom w:val="single" w:sz="8" w:space="0" w:color="000000"/>
              <w:right w:val="single" w:sz="8" w:space="0" w:color="auto"/>
            </w:tcBorders>
            <w:shd w:val="clear" w:color="auto" w:fill="auto"/>
            <w:vAlign w:val="center"/>
            <w:hideMark/>
          </w:tcPr>
          <w:p w14:paraId="47C517B3" w14:textId="77777777" w:rsidR="00B915E9" w:rsidRPr="008C7D1F" w:rsidRDefault="00B915E9" w:rsidP="00B915E9">
            <w:pPr>
              <w:spacing w:line="240" w:lineRule="auto"/>
              <w:jc w:val="center"/>
              <w:rPr>
                <w:rFonts w:eastAsia="Times New Roman"/>
                <w:noProof w:val="0"/>
                <w:color w:val="000000"/>
                <w:sz w:val="20"/>
                <w:szCs w:val="20"/>
              </w:rPr>
            </w:pPr>
            <w:r w:rsidRPr="008C7D1F">
              <w:rPr>
                <w:rFonts w:eastAsia="Times New Roman"/>
                <w:noProof w:val="0"/>
                <w:color w:val="000000"/>
                <w:sz w:val="20"/>
                <w:szCs w:val="20"/>
              </w:rPr>
              <w:t>Gold products</w:t>
            </w:r>
          </w:p>
        </w:tc>
        <w:tc>
          <w:tcPr>
            <w:tcW w:w="422" w:type="pct"/>
            <w:tcBorders>
              <w:top w:val="nil"/>
              <w:left w:val="nil"/>
              <w:bottom w:val="nil"/>
              <w:right w:val="single" w:sz="8" w:space="0" w:color="auto"/>
            </w:tcBorders>
            <w:shd w:val="clear" w:color="auto" w:fill="auto"/>
            <w:vAlign w:val="center"/>
            <w:hideMark/>
          </w:tcPr>
          <w:p w14:paraId="6F2B022B" w14:textId="6B28F2F7"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18,724.7</w:t>
            </w:r>
          </w:p>
        </w:tc>
        <w:tc>
          <w:tcPr>
            <w:tcW w:w="422" w:type="pct"/>
            <w:tcBorders>
              <w:top w:val="nil"/>
              <w:left w:val="nil"/>
              <w:bottom w:val="nil"/>
              <w:right w:val="single" w:sz="8" w:space="0" w:color="auto"/>
            </w:tcBorders>
            <w:shd w:val="clear" w:color="auto" w:fill="auto"/>
            <w:noWrap/>
            <w:vAlign w:val="center"/>
            <w:hideMark/>
          </w:tcPr>
          <w:p w14:paraId="5FFF2B26" w14:textId="534D6AC7"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29,742.1</w:t>
            </w:r>
          </w:p>
        </w:tc>
        <w:tc>
          <w:tcPr>
            <w:tcW w:w="422" w:type="pct"/>
            <w:tcBorders>
              <w:top w:val="nil"/>
              <w:left w:val="nil"/>
              <w:bottom w:val="nil"/>
              <w:right w:val="nil"/>
            </w:tcBorders>
            <w:shd w:val="clear" w:color="auto" w:fill="auto"/>
            <w:noWrap/>
            <w:vAlign w:val="center"/>
            <w:hideMark/>
          </w:tcPr>
          <w:p w14:paraId="5B2730A3" w14:textId="73AEC553"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32,954.6</w:t>
            </w:r>
          </w:p>
        </w:tc>
        <w:tc>
          <w:tcPr>
            <w:tcW w:w="422" w:type="pct"/>
            <w:tcBorders>
              <w:top w:val="nil"/>
              <w:left w:val="single" w:sz="8" w:space="0" w:color="auto"/>
              <w:bottom w:val="nil"/>
              <w:right w:val="nil"/>
            </w:tcBorders>
            <w:shd w:val="clear" w:color="auto" w:fill="auto"/>
            <w:noWrap/>
            <w:vAlign w:val="center"/>
            <w:hideMark/>
          </w:tcPr>
          <w:p w14:paraId="0981C345" w14:textId="0D23D9F4"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47,359.6</w:t>
            </w:r>
          </w:p>
        </w:tc>
        <w:tc>
          <w:tcPr>
            <w:tcW w:w="422" w:type="pct"/>
            <w:tcBorders>
              <w:top w:val="nil"/>
              <w:left w:val="single" w:sz="8" w:space="0" w:color="auto"/>
              <w:bottom w:val="nil"/>
              <w:right w:val="nil"/>
            </w:tcBorders>
            <w:shd w:val="clear" w:color="auto" w:fill="auto"/>
            <w:noWrap/>
            <w:vAlign w:val="center"/>
            <w:hideMark/>
          </w:tcPr>
          <w:p w14:paraId="522CF0AD" w14:textId="7DB0EB5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34,214.2</w:t>
            </w:r>
          </w:p>
        </w:tc>
        <w:tc>
          <w:tcPr>
            <w:tcW w:w="422" w:type="pct"/>
            <w:tcBorders>
              <w:top w:val="nil"/>
              <w:left w:val="single" w:sz="8" w:space="0" w:color="auto"/>
              <w:bottom w:val="nil"/>
              <w:right w:val="nil"/>
            </w:tcBorders>
            <w:shd w:val="clear" w:color="auto" w:fill="auto"/>
            <w:vAlign w:val="center"/>
            <w:hideMark/>
          </w:tcPr>
          <w:p w14:paraId="211A090C" w14:textId="4C2BC25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26,136.7</w:t>
            </w:r>
          </w:p>
        </w:tc>
        <w:tc>
          <w:tcPr>
            <w:tcW w:w="422" w:type="pct"/>
            <w:tcBorders>
              <w:top w:val="nil"/>
              <w:left w:val="single" w:sz="8" w:space="0" w:color="auto"/>
              <w:bottom w:val="nil"/>
              <w:right w:val="single" w:sz="8" w:space="0" w:color="auto"/>
            </w:tcBorders>
            <w:shd w:val="clear" w:color="auto" w:fill="auto"/>
            <w:noWrap/>
            <w:vAlign w:val="center"/>
            <w:hideMark/>
          </w:tcPr>
          <w:p w14:paraId="7ED9CFEC" w14:textId="31494BC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24,524.0</w:t>
            </w:r>
          </w:p>
        </w:tc>
        <w:tc>
          <w:tcPr>
            <w:tcW w:w="422" w:type="pct"/>
            <w:tcBorders>
              <w:top w:val="nil"/>
              <w:left w:val="nil"/>
              <w:bottom w:val="nil"/>
              <w:right w:val="single" w:sz="8" w:space="0" w:color="auto"/>
            </w:tcBorders>
            <w:shd w:val="clear" w:color="auto" w:fill="auto"/>
            <w:noWrap/>
            <w:vAlign w:val="center"/>
            <w:hideMark/>
          </w:tcPr>
          <w:p w14:paraId="050A8447" w14:textId="1F119E4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28,159.3</w:t>
            </w:r>
          </w:p>
        </w:tc>
        <w:tc>
          <w:tcPr>
            <w:tcW w:w="422" w:type="pct"/>
            <w:tcBorders>
              <w:top w:val="nil"/>
              <w:left w:val="nil"/>
              <w:bottom w:val="nil"/>
              <w:right w:val="single" w:sz="8" w:space="0" w:color="auto"/>
            </w:tcBorders>
            <w:shd w:val="clear" w:color="auto" w:fill="auto"/>
            <w:noWrap/>
            <w:vAlign w:val="center"/>
            <w:hideMark/>
          </w:tcPr>
          <w:p w14:paraId="7F814EDD" w14:textId="19628CD6"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31,892.3</w:t>
            </w:r>
          </w:p>
        </w:tc>
        <w:tc>
          <w:tcPr>
            <w:tcW w:w="422" w:type="pct"/>
            <w:tcBorders>
              <w:top w:val="nil"/>
              <w:left w:val="nil"/>
              <w:bottom w:val="nil"/>
              <w:right w:val="single" w:sz="8" w:space="0" w:color="auto"/>
            </w:tcBorders>
            <w:shd w:val="clear" w:color="auto" w:fill="auto"/>
            <w:noWrap/>
            <w:vAlign w:val="center"/>
            <w:hideMark/>
          </w:tcPr>
          <w:p w14:paraId="1EBB6188" w14:textId="44192118"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24,003.4</w:t>
            </w:r>
          </w:p>
        </w:tc>
      </w:tr>
      <w:tr w:rsidR="00B915E9" w:rsidRPr="00FE6E9E" w14:paraId="219B6F65" w14:textId="77777777" w:rsidTr="008C7D1F">
        <w:trPr>
          <w:trHeight w:val="312"/>
        </w:trPr>
        <w:tc>
          <w:tcPr>
            <w:tcW w:w="784" w:type="pct"/>
            <w:vMerge/>
            <w:tcBorders>
              <w:top w:val="nil"/>
              <w:left w:val="single" w:sz="8" w:space="0" w:color="auto"/>
              <w:bottom w:val="single" w:sz="8" w:space="0" w:color="000000"/>
              <w:right w:val="single" w:sz="8" w:space="0" w:color="auto"/>
            </w:tcBorders>
            <w:vAlign w:val="center"/>
            <w:hideMark/>
          </w:tcPr>
          <w:p w14:paraId="3AB5656C" w14:textId="77777777" w:rsidR="00B915E9" w:rsidRPr="008C7D1F" w:rsidRDefault="00B915E9" w:rsidP="00B915E9">
            <w:pPr>
              <w:spacing w:line="240" w:lineRule="auto"/>
              <w:jc w:val="left"/>
              <w:rPr>
                <w:rFonts w:eastAsia="Times New Roman"/>
                <w:noProof w:val="0"/>
                <w:color w:val="000000"/>
                <w:sz w:val="20"/>
                <w:szCs w:val="20"/>
              </w:rPr>
            </w:pPr>
          </w:p>
        </w:tc>
        <w:tc>
          <w:tcPr>
            <w:tcW w:w="422" w:type="pct"/>
            <w:tcBorders>
              <w:top w:val="nil"/>
              <w:left w:val="nil"/>
              <w:bottom w:val="single" w:sz="8" w:space="0" w:color="auto"/>
              <w:right w:val="single" w:sz="8" w:space="0" w:color="auto"/>
            </w:tcBorders>
            <w:shd w:val="clear" w:color="auto" w:fill="auto"/>
            <w:vAlign w:val="center"/>
            <w:hideMark/>
          </w:tcPr>
          <w:p w14:paraId="5C00BA86" w14:textId="07197BDD"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53.4%</w:t>
            </w:r>
          </w:p>
        </w:tc>
        <w:tc>
          <w:tcPr>
            <w:tcW w:w="422" w:type="pct"/>
            <w:tcBorders>
              <w:top w:val="nil"/>
              <w:left w:val="nil"/>
              <w:bottom w:val="single" w:sz="8" w:space="0" w:color="auto"/>
              <w:right w:val="single" w:sz="8" w:space="0" w:color="auto"/>
            </w:tcBorders>
            <w:shd w:val="clear" w:color="auto" w:fill="auto"/>
            <w:noWrap/>
            <w:vAlign w:val="center"/>
            <w:hideMark/>
          </w:tcPr>
          <w:p w14:paraId="23007BCD" w14:textId="701E4514"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52.6%</w:t>
            </w:r>
          </w:p>
        </w:tc>
        <w:tc>
          <w:tcPr>
            <w:tcW w:w="422" w:type="pct"/>
            <w:tcBorders>
              <w:top w:val="nil"/>
              <w:left w:val="nil"/>
              <w:bottom w:val="single" w:sz="8" w:space="0" w:color="auto"/>
              <w:right w:val="nil"/>
            </w:tcBorders>
            <w:shd w:val="clear" w:color="auto" w:fill="auto"/>
            <w:noWrap/>
            <w:vAlign w:val="center"/>
            <w:hideMark/>
          </w:tcPr>
          <w:p w14:paraId="649A2822" w14:textId="287B400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57.4%</w:t>
            </w:r>
          </w:p>
        </w:tc>
        <w:tc>
          <w:tcPr>
            <w:tcW w:w="422" w:type="pct"/>
            <w:tcBorders>
              <w:top w:val="nil"/>
              <w:left w:val="single" w:sz="8" w:space="0" w:color="auto"/>
              <w:bottom w:val="single" w:sz="8" w:space="0" w:color="auto"/>
              <w:right w:val="nil"/>
            </w:tcBorders>
            <w:shd w:val="clear" w:color="auto" w:fill="auto"/>
            <w:noWrap/>
            <w:vAlign w:val="center"/>
            <w:hideMark/>
          </w:tcPr>
          <w:p w14:paraId="09029731" w14:textId="5DD6C17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61.2%</w:t>
            </w:r>
          </w:p>
        </w:tc>
        <w:tc>
          <w:tcPr>
            <w:tcW w:w="422" w:type="pct"/>
            <w:tcBorders>
              <w:top w:val="nil"/>
              <w:left w:val="single" w:sz="8" w:space="0" w:color="auto"/>
              <w:bottom w:val="single" w:sz="8" w:space="0" w:color="auto"/>
              <w:right w:val="nil"/>
            </w:tcBorders>
            <w:shd w:val="clear" w:color="auto" w:fill="auto"/>
            <w:noWrap/>
            <w:vAlign w:val="center"/>
            <w:hideMark/>
          </w:tcPr>
          <w:p w14:paraId="436EE96C" w14:textId="65EF208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53.2%</w:t>
            </w:r>
          </w:p>
        </w:tc>
        <w:tc>
          <w:tcPr>
            <w:tcW w:w="422" w:type="pct"/>
            <w:tcBorders>
              <w:top w:val="nil"/>
              <w:left w:val="single" w:sz="8" w:space="0" w:color="auto"/>
              <w:bottom w:val="single" w:sz="8" w:space="0" w:color="auto"/>
              <w:right w:val="nil"/>
            </w:tcBorders>
            <w:shd w:val="clear" w:color="auto" w:fill="auto"/>
            <w:vAlign w:val="center"/>
            <w:hideMark/>
          </w:tcPr>
          <w:p w14:paraId="10FDBE09" w14:textId="67034803"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54.1%</w:t>
            </w:r>
          </w:p>
        </w:tc>
        <w:tc>
          <w:tcPr>
            <w:tcW w:w="422" w:type="pct"/>
            <w:tcBorders>
              <w:top w:val="nil"/>
              <w:left w:val="single" w:sz="8" w:space="0" w:color="auto"/>
              <w:bottom w:val="single" w:sz="8" w:space="0" w:color="auto"/>
              <w:right w:val="single" w:sz="8" w:space="0" w:color="auto"/>
            </w:tcBorders>
            <w:shd w:val="clear" w:color="auto" w:fill="auto"/>
            <w:noWrap/>
            <w:vAlign w:val="center"/>
            <w:hideMark/>
          </w:tcPr>
          <w:p w14:paraId="71702506" w14:textId="6EF175A8"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56.2%</w:t>
            </w:r>
          </w:p>
        </w:tc>
        <w:tc>
          <w:tcPr>
            <w:tcW w:w="422" w:type="pct"/>
            <w:tcBorders>
              <w:top w:val="nil"/>
              <w:left w:val="nil"/>
              <w:bottom w:val="single" w:sz="8" w:space="0" w:color="auto"/>
              <w:right w:val="single" w:sz="8" w:space="0" w:color="auto"/>
            </w:tcBorders>
            <w:shd w:val="clear" w:color="auto" w:fill="auto"/>
            <w:noWrap/>
            <w:vAlign w:val="center"/>
            <w:hideMark/>
          </w:tcPr>
          <w:p w14:paraId="76495B80" w14:textId="487ED4D3"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57.8%</w:t>
            </w:r>
          </w:p>
        </w:tc>
        <w:tc>
          <w:tcPr>
            <w:tcW w:w="422" w:type="pct"/>
            <w:tcBorders>
              <w:top w:val="nil"/>
              <w:left w:val="nil"/>
              <w:bottom w:val="single" w:sz="8" w:space="0" w:color="auto"/>
              <w:right w:val="single" w:sz="8" w:space="0" w:color="auto"/>
            </w:tcBorders>
            <w:shd w:val="clear" w:color="auto" w:fill="auto"/>
            <w:noWrap/>
            <w:vAlign w:val="center"/>
            <w:hideMark/>
          </w:tcPr>
          <w:p w14:paraId="7748354F" w14:textId="4BA8FC8B"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59.6%</w:t>
            </w:r>
          </w:p>
        </w:tc>
        <w:tc>
          <w:tcPr>
            <w:tcW w:w="422" w:type="pct"/>
            <w:tcBorders>
              <w:top w:val="nil"/>
              <w:left w:val="nil"/>
              <w:bottom w:val="single" w:sz="8" w:space="0" w:color="auto"/>
              <w:right w:val="single" w:sz="8" w:space="0" w:color="auto"/>
            </w:tcBorders>
            <w:shd w:val="clear" w:color="auto" w:fill="auto"/>
            <w:noWrap/>
            <w:vAlign w:val="center"/>
            <w:hideMark/>
          </w:tcPr>
          <w:p w14:paraId="283202A0" w14:textId="24CC9C71"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57.6%</w:t>
            </w:r>
          </w:p>
        </w:tc>
      </w:tr>
      <w:tr w:rsidR="00B915E9" w:rsidRPr="00FE6E9E" w14:paraId="1040C0F8" w14:textId="77777777" w:rsidTr="008C7D1F">
        <w:trPr>
          <w:trHeight w:val="312"/>
        </w:trPr>
        <w:tc>
          <w:tcPr>
            <w:tcW w:w="784" w:type="pct"/>
            <w:vMerge w:val="restart"/>
            <w:tcBorders>
              <w:top w:val="nil"/>
              <w:left w:val="single" w:sz="8" w:space="0" w:color="auto"/>
              <w:bottom w:val="single" w:sz="8" w:space="0" w:color="000000"/>
              <w:right w:val="single" w:sz="8" w:space="0" w:color="auto"/>
            </w:tcBorders>
            <w:shd w:val="clear" w:color="auto" w:fill="auto"/>
            <w:vAlign w:val="center"/>
            <w:hideMark/>
          </w:tcPr>
          <w:p w14:paraId="630D432A" w14:textId="77777777" w:rsidR="00B915E9" w:rsidRPr="008C7D1F" w:rsidRDefault="00B915E9" w:rsidP="00B915E9">
            <w:pPr>
              <w:spacing w:line="240" w:lineRule="auto"/>
              <w:jc w:val="center"/>
              <w:rPr>
                <w:rFonts w:eastAsia="Times New Roman"/>
                <w:noProof w:val="0"/>
                <w:color w:val="000000"/>
                <w:sz w:val="20"/>
                <w:szCs w:val="20"/>
              </w:rPr>
            </w:pPr>
            <w:r w:rsidRPr="008C7D1F">
              <w:rPr>
                <w:rFonts w:eastAsia="Times New Roman"/>
                <w:noProof w:val="0"/>
                <w:color w:val="000000"/>
                <w:sz w:val="20"/>
                <w:szCs w:val="20"/>
              </w:rPr>
              <w:t>Platinum/karat gold products</w:t>
            </w:r>
          </w:p>
        </w:tc>
        <w:tc>
          <w:tcPr>
            <w:tcW w:w="422" w:type="pct"/>
            <w:tcBorders>
              <w:top w:val="nil"/>
              <w:left w:val="nil"/>
              <w:bottom w:val="nil"/>
              <w:right w:val="single" w:sz="8" w:space="0" w:color="auto"/>
            </w:tcBorders>
            <w:shd w:val="clear" w:color="auto" w:fill="auto"/>
            <w:vAlign w:val="center"/>
            <w:hideMark/>
          </w:tcPr>
          <w:p w14:paraId="0ED69B6C" w14:textId="3469EFB4"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4,869.4</w:t>
            </w:r>
          </w:p>
        </w:tc>
        <w:tc>
          <w:tcPr>
            <w:tcW w:w="422" w:type="pct"/>
            <w:tcBorders>
              <w:top w:val="nil"/>
              <w:left w:val="nil"/>
              <w:bottom w:val="nil"/>
              <w:right w:val="single" w:sz="8" w:space="0" w:color="auto"/>
            </w:tcBorders>
            <w:shd w:val="clear" w:color="auto" w:fill="auto"/>
            <w:noWrap/>
            <w:vAlign w:val="center"/>
            <w:hideMark/>
          </w:tcPr>
          <w:p w14:paraId="5A1526B2" w14:textId="10A14A0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7,813.4</w:t>
            </w:r>
          </w:p>
        </w:tc>
        <w:tc>
          <w:tcPr>
            <w:tcW w:w="422" w:type="pct"/>
            <w:tcBorders>
              <w:top w:val="nil"/>
              <w:left w:val="nil"/>
              <w:bottom w:val="nil"/>
              <w:right w:val="nil"/>
            </w:tcBorders>
            <w:shd w:val="clear" w:color="auto" w:fill="auto"/>
            <w:noWrap/>
            <w:vAlign w:val="center"/>
            <w:hideMark/>
          </w:tcPr>
          <w:p w14:paraId="787A57CC" w14:textId="6F5C373B"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8,339.0</w:t>
            </w:r>
          </w:p>
        </w:tc>
        <w:tc>
          <w:tcPr>
            <w:tcW w:w="422" w:type="pct"/>
            <w:tcBorders>
              <w:top w:val="nil"/>
              <w:left w:val="single" w:sz="8" w:space="0" w:color="auto"/>
              <w:bottom w:val="nil"/>
              <w:right w:val="nil"/>
            </w:tcBorders>
            <w:shd w:val="clear" w:color="auto" w:fill="auto"/>
            <w:noWrap/>
            <w:vAlign w:val="center"/>
            <w:hideMark/>
          </w:tcPr>
          <w:p w14:paraId="088724D9" w14:textId="3954932D"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10,358.3</w:t>
            </w:r>
          </w:p>
        </w:tc>
        <w:tc>
          <w:tcPr>
            <w:tcW w:w="422" w:type="pct"/>
            <w:tcBorders>
              <w:top w:val="nil"/>
              <w:left w:val="single" w:sz="8" w:space="0" w:color="auto"/>
              <w:bottom w:val="nil"/>
              <w:right w:val="nil"/>
            </w:tcBorders>
            <w:shd w:val="clear" w:color="auto" w:fill="auto"/>
            <w:noWrap/>
            <w:vAlign w:val="center"/>
            <w:hideMark/>
          </w:tcPr>
          <w:p w14:paraId="439D5680" w14:textId="7B5A3E7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9,256.3</w:t>
            </w:r>
          </w:p>
        </w:tc>
        <w:tc>
          <w:tcPr>
            <w:tcW w:w="422" w:type="pct"/>
            <w:tcBorders>
              <w:top w:val="nil"/>
              <w:left w:val="single" w:sz="8" w:space="0" w:color="auto"/>
              <w:bottom w:val="nil"/>
              <w:right w:val="nil"/>
            </w:tcBorders>
            <w:shd w:val="clear" w:color="auto" w:fill="auto"/>
            <w:vAlign w:val="center"/>
            <w:hideMark/>
          </w:tcPr>
          <w:p w14:paraId="060C32C9" w14:textId="53CF137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6,235.9</w:t>
            </w:r>
          </w:p>
        </w:tc>
        <w:tc>
          <w:tcPr>
            <w:tcW w:w="422" w:type="pct"/>
            <w:tcBorders>
              <w:top w:val="nil"/>
              <w:left w:val="single" w:sz="8" w:space="0" w:color="auto"/>
              <w:bottom w:val="nil"/>
              <w:right w:val="single" w:sz="8" w:space="0" w:color="auto"/>
            </w:tcBorders>
            <w:shd w:val="clear" w:color="auto" w:fill="auto"/>
            <w:noWrap/>
            <w:vAlign w:val="center"/>
            <w:hideMark/>
          </w:tcPr>
          <w:p w14:paraId="1D050B09" w14:textId="43B99A04"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5,098.8</w:t>
            </w:r>
          </w:p>
        </w:tc>
        <w:tc>
          <w:tcPr>
            <w:tcW w:w="422" w:type="pct"/>
            <w:tcBorders>
              <w:top w:val="nil"/>
              <w:left w:val="nil"/>
              <w:bottom w:val="nil"/>
              <w:right w:val="single" w:sz="8" w:space="0" w:color="auto"/>
            </w:tcBorders>
            <w:shd w:val="clear" w:color="auto" w:fill="auto"/>
            <w:noWrap/>
            <w:vAlign w:val="center"/>
            <w:hideMark/>
          </w:tcPr>
          <w:p w14:paraId="65850CB8" w14:textId="075EE116"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5,463.2</w:t>
            </w:r>
          </w:p>
        </w:tc>
        <w:tc>
          <w:tcPr>
            <w:tcW w:w="422" w:type="pct"/>
            <w:tcBorders>
              <w:top w:val="nil"/>
              <w:left w:val="nil"/>
              <w:bottom w:val="nil"/>
              <w:right w:val="single" w:sz="8" w:space="0" w:color="auto"/>
            </w:tcBorders>
            <w:shd w:val="clear" w:color="auto" w:fill="auto"/>
            <w:noWrap/>
            <w:vAlign w:val="center"/>
            <w:hideMark/>
          </w:tcPr>
          <w:p w14:paraId="3C45CE61" w14:textId="0421FC3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5,756.6</w:t>
            </w:r>
          </w:p>
        </w:tc>
        <w:tc>
          <w:tcPr>
            <w:tcW w:w="422" w:type="pct"/>
            <w:tcBorders>
              <w:top w:val="nil"/>
              <w:left w:val="nil"/>
              <w:bottom w:val="nil"/>
              <w:right w:val="single" w:sz="8" w:space="0" w:color="auto"/>
            </w:tcBorders>
            <w:shd w:val="clear" w:color="auto" w:fill="auto"/>
            <w:noWrap/>
            <w:vAlign w:val="center"/>
            <w:hideMark/>
          </w:tcPr>
          <w:p w14:paraId="5D0B296A" w14:textId="121C754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4,908.0</w:t>
            </w:r>
          </w:p>
        </w:tc>
      </w:tr>
      <w:tr w:rsidR="00B915E9" w:rsidRPr="00FE6E9E" w14:paraId="5640441D" w14:textId="77777777" w:rsidTr="008C7D1F">
        <w:trPr>
          <w:trHeight w:val="312"/>
        </w:trPr>
        <w:tc>
          <w:tcPr>
            <w:tcW w:w="784" w:type="pct"/>
            <w:vMerge/>
            <w:tcBorders>
              <w:top w:val="nil"/>
              <w:left w:val="single" w:sz="8" w:space="0" w:color="auto"/>
              <w:bottom w:val="single" w:sz="8" w:space="0" w:color="000000"/>
              <w:right w:val="single" w:sz="8" w:space="0" w:color="auto"/>
            </w:tcBorders>
            <w:vAlign w:val="center"/>
            <w:hideMark/>
          </w:tcPr>
          <w:p w14:paraId="1F37AE6E" w14:textId="77777777" w:rsidR="00B915E9" w:rsidRPr="008C7D1F" w:rsidRDefault="00B915E9" w:rsidP="00B915E9">
            <w:pPr>
              <w:spacing w:line="240" w:lineRule="auto"/>
              <w:jc w:val="left"/>
              <w:rPr>
                <w:rFonts w:eastAsia="Times New Roman"/>
                <w:noProof w:val="0"/>
                <w:color w:val="000000"/>
                <w:sz w:val="20"/>
                <w:szCs w:val="20"/>
              </w:rPr>
            </w:pPr>
          </w:p>
        </w:tc>
        <w:tc>
          <w:tcPr>
            <w:tcW w:w="422" w:type="pct"/>
            <w:tcBorders>
              <w:top w:val="nil"/>
              <w:left w:val="nil"/>
              <w:bottom w:val="single" w:sz="8" w:space="0" w:color="auto"/>
              <w:right w:val="single" w:sz="8" w:space="0" w:color="auto"/>
            </w:tcBorders>
            <w:shd w:val="clear" w:color="auto" w:fill="auto"/>
            <w:vAlign w:val="center"/>
            <w:hideMark/>
          </w:tcPr>
          <w:p w14:paraId="362B7E9D" w14:textId="793B8D3F"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13.9%</w:t>
            </w:r>
          </w:p>
        </w:tc>
        <w:tc>
          <w:tcPr>
            <w:tcW w:w="422" w:type="pct"/>
            <w:tcBorders>
              <w:top w:val="nil"/>
              <w:left w:val="nil"/>
              <w:bottom w:val="single" w:sz="8" w:space="0" w:color="auto"/>
              <w:right w:val="single" w:sz="8" w:space="0" w:color="auto"/>
            </w:tcBorders>
            <w:shd w:val="clear" w:color="auto" w:fill="auto"/>
            <w:noWrap/>
            <w:vAlign w:val="center"/>
            <w:hideMark/>
          </w:tcPr>
          <w:p w14:paraId="3DA51FE8" w14:textId="2131222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13.8%</w:t>
            </w:r>
          </w:p>
        </w:tc>
        <w:tc>
          <w:tcPr>
            <w:tcW w:w="422" w:type="pct"/>
            <w:tcBorders>
              <w:top w:val="nil"/>
              <w:left w:val="nil"/>
              <w:bottom w:val="single" w:sz="8" w:space="0" w:color="auto"/>
              <w:right w:val="nil"/>
            </w:tcBorders>
            <w:shd w:val="clear" w:color="auto" w:fill="auto"/>
            <w:noWrap/>
            <w:vAlign w:val="center"/>
            <w:hideMark/>
          </w:tcPr>
          <w:p w14:paraId="02C5DD14" w14:textId="0212EFF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14.5%</w:t>
            </w:r>
          </w:p>
        </w:tc>
        <w:tc>
          <w:tcPr>
            <w:tcW w:w="422" w:type="pct"/>
            <w:tcBorders>
              <w:top w:val="nil"/>
              <w:left w:val="single" w:sz="8" w:space="0" w:color="auto"/>
              <w:bottom w:val="single" w:sz="8" w:space="0" w:color="auto"/>
              <w:right w:val="nil"/>
            </w:tcBorders>
            <w:shd w:val="clear" w:color="auto" w:fill="auto"/>
            <w:noWrap/>
            <w:vAlign w:val="center"/>
            <w:hideMark/>
          </w:tcPr>
          <w:p w14:paraId="7BBEFAEA" w14:textId="70282914"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13.4%</w:t>
            </w:r>
          </w:p>
        </w:tc>
        <w:tc>
          <w:tcPr>
            <w:tcW w:w="422" w:type="pct"/>
            <w:tcBorders>
              <w:top w:val="nil"/>
              <w:left w:val="single" w:sz="8" w:space="0" w:color="auto"/>
              <w:bottom w:val="single" w:sz="8" w:space="0" w:color="auto"/>
              <w:right w:val="nil"/>
            </w:tcBorders>
            <w:shd w:val="clear" w:color="auto" w:fill="auto"/>
            <w:noWrap/>
            <w:vAlign w:val="center"/>
            <w:hideMark/>
          </w:tcPr>
          <w:p w14:paraId="68ACDB1E" w14:textId="1C1A06D4"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14.4%</w:t>
            </w:r>
          </w:p>
        </w:tc>
        <w:tc>
          <w:tcPr>
            <w:tcW w:w="422" w:type="pct"/>
            <w:tcBorders>
              <w:top w:val="nil"/>
              <w:left w:val="single" w:sz="8" w:space="0" w:color="auto"/>
              <w:bottom w:val="single" w:sz="8" w:space="0" w:color="auto"/>
              <w:right w:val="nil"/>
            </w:tcBorders>
            <w:shd w:val="clear" w:color="auto" w:fill="auto"/>
            <w:vAlign w:val="center"/>
            <w:hideMark/>
          </w:tcPr>
          <w:p w14:paraId="4A5F0542" w14:textId="5871F93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12.9%</w:t>
            </w:r>
          </w:p>
        </w:tc>
        <w:tc>
          <w:tcPr>
            <w:tcW w:w="422" w:type="pct"/>
            <w:tcBorders>
              <w:top w:val="nil"/>
              <w:left w:val="single" w:sz="8" w:space="0" w:color="auto"/>
              <w:bottom w:val="single" w:sz="8" w:space="0" w:color="auto"/>
              <w:right w:val="single" w:sz="8" w:space="0" w:color="auto"/>
            </w:tcBorders>
            <w:shd w:val="clear" w:color="auto" w:fill="auto"/>
            <w:noWrap/>
            <w:vAlign w:val="center"/>
            <w:hideMark/>
          </w:tcPr>
          <w:p w14:paraId="3A599C61" w14:textId="7F665B1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11.7%</w:t>
            </w:r>
          </w:p>
        </w:tc>
        <w:tc>
          <w:tcPr>
            <w:tcW w:w="422" w:type="pct"/>
            <w:tcBorders>
              <w:top w:val="nil"/>
              <w:left w:val="nil"/>
              <w:bottom w:val="single" w:sz="8" w:space="0" w:color="auto"/>
              <w:right w:val="single" w:sz="8" w:space="0" w:color="auto"/>
            </w:tcBorders>
            <w:shd w:val="clear" w:color="auto" w:fill="auto"/>
            <w:noWrap/>
            <w:vAlign w:val="center"/>
            <w:hideMark/>
          </w:tcPr>
          <w:p w14:paraId="1AD10231" w14:textId="074DE7B6"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11.2%</w:t>
            </w:r>
          </w:p>
        </w:tc>
        <w:tc>
          <w:tcPr>
            <w:tcW w:w="422" w:type="pct"/>
            <w:tcBorders>
              <w:top w:val="nil"/>
              <w:left w:val="nil"/>
              <w:bottom w:val="single" w:sz="8" w:space="0" w:color="auto"/>
              <w:right w:val="single" w:sz="8" w:space="0" w:color="auto"/>
            </w:tcBorders>
            <w:shd w:val="clear" w:color="auto" w:fill="auto"/>
            <w:noWrap/>
            <w:vAlign w:val="center"/>
            <w:hideMark/>
          </w:tcPr>
          <w:p w14:paraId="5F4DDA2E" w14:textId="7ECA9E9B"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10.8%</w:t>
            </w:r>
          </w:p>
        </w:tc>
        <w:tc>
          <w:tcPr>
            <w:tcW w:w="422" w:type="pct"/>
            <w:tcBorders>
              <w:top w:val="nil"/>
              <w:left w:val="nil"/>
              <w:bottom w:val="single" w:sz="8" w:space="0" w:color="auto"/>
              <w:right w:val="single" w:sz="8" w:space="0" w:color="auto"/>
            </w:tcBorders>
            <w:shd w:val="clear" w:color="auto" w:fill="auto"/>
            <w:noWrap/>
            <w:vAlign w:val="center"/>
            <w:hideMark/>
          </w:tcPr>
          <w:p w14:paraId="48B80262" w14:textId="5BEF86C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11.8%</w:t>
            </w:r>
          </w:p>
        </w:tc>
      </w:tr>
      <w:tr w:rsidR="00B915E9" w:rsidRPr="00FE6E9E" w14:paraId="39A4DE99" w14:textId="77777777" w:rsidTr="008C7D1F">
        <w:trPr>
          <w:trHeight w:val="312"/>
        </w:trPr>
        <w:tc>
          <w:tcPr>
            <w:tcW w:w="784" w:type="pct"/>
            <w:vMerge w:val="restart"/>
            <w:tcBorders>
              <w:top w:val="nil"/>
              <w:left w:val="single" w:sz="8" w:space="0" w:color="auto"/>
              <w:bottom w:val="single" w:sz="8" w:space="0" w:color="000000"/>
              <w:right w:val="single" w:sz="8" w:space="0" w:color="auto"/>
            </w:tcBorders>
            <w:shd w:val="clear" w:color="auto" w:fill="auto"/>
            <w:vAlign w:val="center"/>
            <w:hideMark/>
          </w:tcPr>
          <w:p w14:paraId="7A81F68E" w14:textId="77777777" w:rsidR="00B915E9" w:rsidRPr="008C7D1F" w:rsidRDefault="00B915E9" w:rsidP="00B915E9">
            <w:pPr>
              <w:spacing w:line="240" w:lineRule="auto"/>
              <w:jc w:val="center"/>
              <w:rPr>
                <w:rFonts w:eastAsia="Times New Roman"/>
                <w:noProof w:val="0"/>
                <w:color w:val="000000"/>
                <w:sz w:val="20"/>
                <w:szCs w:val="20"/>
              </w:rPr>
            </w:pPr>
            <w:r w:rsidRPr="008C7D1F">
              <w:rPr>
                <w:rFonts w:eastAsia="Times New Roman"/>
                <w:noProof w:val="0"/>
                <w:color w:val="000000"/>
                <w:sz w:val="20"/>
                <w:szCs w:val="20"/>
              </w:rPr>
              <w:t>Watches</w:t>
            </w:r>
          </w:p>
        </w:tc>
        <w:tc>
          <w:tcPr>
            <w:tcW w:w="422" w:type="pct"/>
            <w:tcBorders>
              <w:top w:val="nil"/>
              <w:left w:val="nil"/>
              <w:bottom w:val="nil"/>
              <w:right w:val="single" w:sz="8" w:space="0" w:color="auto"/>
            </w:tcBorders>
            <w:shd w:val="clear" w:color="auto" w:fill="auto"/>
            <w:vAlign w:val="center"/>
            <w:hideMark/>
          </w:tcPr>
          <w:p w14:paraId="66DCA69C" w14:textId="608B678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2,485.5</w:t>
            </w:r>
          </w:p>
        </w:tc>
        <w:tc>
          <w:tcPr>
            <w:tcW w:w="422" w:type="pct"/>
            <w:tcBorders>
              <w:top w:val="nil"/>
              <w:left w:val="nil"/>
              <w:bottom w:val="nil"/>
              <w:right w:val="single" w:sz="8" w:space="0" w:color="auto"/>
            </w:tcBorders>
            <w:shd w:val="clear" w:color="auto" w:fill="auto"/>
            <w:noWrap/>
            <w:vAlign w:val="center"/>
            <w:hideMark/>
          </w:tcPr>
          <w:p w14:paraId="39F0A6C8" w14:textId="04C04B6A"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3,637.5</w:t>
            </w:r>
          </w:p>
        </w:tc>
        <w:tc>
          <w:tcPr>
            <w:tcW w:w="422" w:type="pct"/>
            <w:tcBorders>
              <w:top w:val="nil"/>
              <w:left w:val="nil"/>
              <w:bottom w:val="nil"/>
              <w:right w:val="nil"/>
            </w:tcBorders>
            <w:shd w:val="clear" w:color="auto" w:fill="auto"/>
            <w:noWrap/>
            <w:vAlign w:val="center"/>
            <w:hideMark/>
          </w:tcPr>
          <w:p w14:paraId="603B2703" w14:textId="58F5C5C3"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2,975.5</w:t>
            </w:r>
          </w:p>
        </w:tc>
        <w:tc>
          <w:tcPr>
            <w:tcW w:w="422" w:type="pct"/>
            <w:tcBorders>
              <w:top w:val="nil"/>
              <w:left w:val="single" w:sz="8" w:space="0" w:color="auto"/>
              <w:bottom w:val="nil"/>
              <w:right w:val="nil"/>
            </w:tcBorders>
            <w:shd w:val="clear" w:color="auto" w:fill="auto"/>
            <w:noWrap/>
            <w:vAlign w:val="center"/>
            <w:hideMark/>
          </w:tcPr>
          <w:p w14:paraId="58548E8E" w14:textId="00DCE0D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3,357.0</w:t>
            </w:r>
          </w:p>
        </w:tc>
        <w:tc>
          <w:tcPr>
            <w:tcW w:w="422" w:type="pct"/>
            <w:tcBorders>
              <w:top w:val="nil"/>
              <w:left w:val="single" w:sz="8" w:space="0" w:color="auto"/>
              <w:bottom w:val="nil"/>
              <w:right w:val="nil"/>
            </w:tcBorders>
            <w:shd w:val="clear" w:color="auto" w:fill="auto"/>
            <w:noWrap/>
            <w:vAlign w:val="center"/>
            <w:hideMark/>
          </w:tcPr>
          <w:p w14:paraId="3EEDD014" w14:textId="1E37D861"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3,427.6</w:t>
            </w:r>
          </w:p>
        </w:tc>
        <w:tc>
          <w:tcPr>
            <w:tcW w:w="422" w:type="pct"/>
            <w:tcBorders>
              <w:top w:val="nil"/>
              <w:left w:val="single" w:sz="8" w:space="0" w:color="auto"/>
              <w:bottom w:val="nil"/>
              <w:right w:val="nil"/>
            </w:tcBorders>
            <w:shd w:val="clear" w:color="auto" w:fill="auto"/>
            <w:vAlign w:val="center"/>
            <w:hideMark/>
          </w:tcPr>
          <w:p w14:paraId="445457B9" w14:textId="1F9120B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2,785.5</w:t>
            </w:r>
          </w:p>
        </w:tc>
        <w:tc>
          <w:tcPr>
            <w:tcW w:w="422" w:type="pct"/>
            <w:tcBorders>
              <w:top w:val="nil"/>
              <w:left w:val="single" w:sz="8" w:space="0" w:color="auto"/>
              <w:bottom w:val="nil"/>
              <w:right w:val="single" w:sz="8" w:space="0" w:color="auto"/>
            </w:tcBorders>
            <w:shd w:val="clear" w:color="auto" w:fill="auto"/>
            <w:noWrap/>
            <w:vAlign w:val="center"/>
            <w:hideMark/>
          </w:tcPr>
          <w:p w14:paraId="72B6207B" w14:textId="150000A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2,914.5</w:t>
            </w:r>
          </w:p>
        </w:tc>
        <w:tc>
          <w:tcPr>
            <w:tcW w:w="422" w:type="pct"/>
            <w:tcBorders>
              <w:top w:val="nil"/>
              <w:left w:val="nil"/>
              <w:bottom w:val="nil"/>
              <w:right w:val="single" w:sz="8" w:space="0" w:color="auto"/>
            </w:tcBorders>
            <w:shd w:val="clear" w:color="auto" w:fill="auto"/>
            <w:noWrap/>
            <w:vAlign w:val="center"/>
            <w:hideMark/>
          </w:tcPr>
          <w:p w14:paraId="50090B70" w14:textId="2AF0C63D"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3,447.3</w:t>
            </w:r>
          </w:p>
        </w:tc>
        <w:tc>
          <w:tcPr>
            <w:tcW w:w="422" w:type="pct"/>
            <w:tcBorders>
              <w:top w:val="nil"/>
              <w:left w:val="nil"/>
              <w:bottom w:val="nil"/>
              <w:right w:val="single" w:sz="8" w:space="0" w:color="auto"/>
            </w:tcBorders>
            <w:shd w:val="clear" w:color="auto" w:fill="auto"/>
            <w:noWrap/>
            <w:vAlign w:val="center"/>
            <w:hideMark/>
          </w:tcPr>
          <w:p w14:paraId="0608B22A" w14:textId="67E679F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3,645.4</w:t>
            </w:r>
          </w:p>
        </w:tc>
        <w:tc>
          <w:tcPr>
            <w:tcW w:w="422" w:type="pct"/>
            <w:tcBorders>
              <w:top w:val="nil"/>
              <w:left w:val="nil"/>
              <w:bottom w:val="nil"/>
              <w:right w:val="single" w:sz="8" w:space="0" w:color="auto"/>
            </w:tcBorders>
            <w:shd w:val="clear" w:color="auto" w:fill="auto"/>
            <w:noWrap/>
            <w:vAlign w:val="center"/>
            <w:hideMark/>
          </w:tcPr>
          <w:p w14:paraId="16A7AD02" w14:textId="5AF7F43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3,413.1</w:t>
            </w:r>
          </w:p>
        </w:tc>
      </w:tr>
      <w:tr w:rsidR="00B915E9" w:rsidRPr="00FE6E9E" w14:paraId="0D6849DE" w14:textId="77777777" w:rsidTr="008C7D1F">
        <w:trPr>
          <w:trHeight w:val="312"/>
        </w:trPr>
        <w:tc>
          <w:tcPr>
            <w:tcW w:w="784" w:type="pct"/>
            <w:vMerge/>
            <w:tcBorders>
              <w:top w:val="nil"/>
              <w:left w:val="single" w:sz="8" w:space="0" w:color="auto"/>
              <w:bottom w:val="single" w:sz="8" w:space="0" w:color="000000"/>
              <w:right w:val="single" w:sz="8" w:space="0" w:color="auto"/>
            </w:tcBorders>
            <w:vAlign w:val="center"/>
            <w:hideMark/>
          </w:tcPr>
          <w:p w14:paraId="04FC6841" w14:textId="77777777" w:rsidR="00B915E9" w:rsidRPr="008C7D1F" w:rsidRDefault="00B915E9" w:rsidP="00B915E9">
            <w:pPr>
              <w:spacing w:line="240" w:lineRule="auto"/>
              <w:jc w:val="left"/>
              <w:rPr>
                <w:rFonts w:eastAsia="Times New Roman"/>
                <w:noProof w:val="0"/>
                <w:color w:val="000000"/>
                <w:sz w:val="20"/>
                <w:szCs w:val="20"/>
              </w:rPr>
            </w:pPr>
          </w:p>
        </w:tc>
        <w:tc>
          <w:tcPr>
            <w:tcW w:w="422" w:type="pct"/>
            <w:tcBorders>
              <w:top w:val="nil"/>
              <w:left w:val="nil"/>
              <w:bottom w:val="single" w:sz="8" w:space="0" w:color="auto"/>
              <w:right w:val="single" w:sz="8" w:space="0" w:color="auto"/>
            </w:tcBorders>
            <w:shd w:val="clear" w:color="auto" w:fill="auto"/>
            <w:vAlign w:val="center"/>
            <w:hideMark/>
          </w:tcPr>
          <w:p w14:paraId="623842D4" w14:textId="10FCED1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7.1%</w:t>
            </w:r>
          </w:p>
        </w:tc>
        <w:tc>
          <w:tcPr>
            <w:tcW w:w="422" w:type="pct"/>
            <w:tcBorders>
              <w:top w:val="nil"/>
              <w:left w:val="nil"/>
              <w:bottom w:val="single" w:sz="8" w:space="0" w:color="auto"/>
              <w:right w:val="single" w:sz="8" w:space="0" w:color="auto"/>
            </w:tcBorders>
            <w:shd w:val="clear" w:color="auto" w:fill="auto"/>
            <w:noWrap/>
            <w:vAlign w:val="center"/>
            <w:hideMark/>
          </w:tcPr>
          <w:p w14:paraId="2368A838" w14:textId="4831A09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6.4%</w:t>
            </w:r>
          </w:p>
        </w:tc>
        <w:tc>
          <w:tcPr>
            <w:tcW w:w="422" w:type="pct"/>
            <w:tcBorders>
              <w:top w:val="nil"/>
              <w:left w:val="nil"/>
              <w:bottom w:val="single" w:sz="8" w:space="0" w:color="auto"/>
              <w:right w:val="nil"/>
            </w:tcBorders>
            <w:shd w:val="clear" w:color="auto" w:fill="auto"/>
            <w:noWrap/>
            <w:vAlign w:val="center"/>
            <w:hideMark/>
          </w:tcPr>
          <w:p w14:paraId="010A20B9" w14:textId="15DD5C7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5.2%</w:t>
            </w:r>
          </w:p>
        </w:tc>
        <w:tc>
          <w:tcPr>
            <w:tcW w:w="422" w:type="pct"/>
            <w:tcBorders>
              <w:top w:val="nil"/>
              <w:left w:val="single" w:sz="8" w:space="0" w:color="auto"/>
              <w:bottom w:val="single" w:sz="8" w:space="0" w:color="auto"/>
              <w:right w:val="nil"/>
            </w:tcBorders>
            <w:shd w:val="clear" w:color="auto" w:fill="auto"/>
            <w:noWrap/>
            <w:vAlign w:val="center"/>
            <w:hideMark/>
          </w:tcPr>
          <w:p w14:paraId="7C960B68" w14:textId="12D8CEB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4.3%</w:t>
            </w:r>
          </w:p>
        </w:tc>
        <w:tc>
          <w:tcPr>
            <w:tcW w:w="422" w:type="pct"/>
            <w:tcBorders>
              <w:top w:val="nil"/>
              <w:left w:val="single" w:sz="8" w:space="0" w:color="auto"/>
              <w:bottom w:val="single" w:sz="8" w:space="0" w:color="auto"/>
              <w:right w:val="nil"/>
            </w:tcBorders>
            <w:shd w:val="clear" w:color="auto" w:fill="auto"/>
            <w:noWrap/>
            <w:vAlign w:val="center"/>
            <w:hideMark/>
          </w:tcPr>
          <w:p w14:paraId="23408973" w14:textId="5661774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5.3%</w:t>
            </w:r>
          </w:p>
        </w:tc>
        <w:tc>
          <w:tcPr>
            <w:tcW w:w="422" w:type="pct"/>
            <w:tcBorders>
              <w:top w:val="nil"/>
              <w:left w:val="single" w:sz="8" w:space="0" w:color="auto"/>
              <w:bottom w:val="single" w:sz="8" w:space="0" w:color="auto"/>
              <w:right w:val="nil"/>
            </w:tcBorders>
            <w:shd w:val="clear" w:color="auto" w:fill="auto"/>
            <w:vAlign w:val="center"/>
            <w:hideMark/>
          </w:tcPr>
          <w:p w14:paraId="7DE5B8BF" w14:textId="1B75AFC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5.8%</w:t>
            </w:r>
          </w:p>
        </w:tc>
        <w:tc>
          <w:tcPr>
            <w:tcW w:w="422" w:type="pct"/>
            <w:tcBorders>
              <w:top w:val="nil"/>
              <w:left w:val="single" w:sz="8" w:space="0" w:color="auto"/>
              <w:bottom w:val="single" w:sz="8" w:space="0" w:color="auto"/>
              <w:right w:val="single" w:sz="8" w:space="0" w:color="auto"/>
            </w:tcBorders>
            <w:shd w:val="clear" w:color="auto" w:fill="auto"/>
            <w:noWrap/>
            <w:vAlign w:val="center"/>
            <w:hideMark/>
          </w:tcPr>
          <w:p w14:paraId="70ED6B86" w14:textId="6C111D5D"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6.7%</w:t>
            </w:r>
          </w:p>
        </w:tc>
        <w:tc>
          <w:tcPr>
            <w:tcW w:w="422" w:type="pct"/>
            <w:tcBorders>
              <w:top w:val="nil"/>
              <w:left w:val="nil"/>
              <w:bottom w:val="single" w:sz="8" w:space="0" w:color="auto"/>
              <w:right w:val="single" w:sz="8" w:space="0" w:color="auto"/>
            </w:tcBorders>
            <w:shd w:val="clear" w:color="auto" w:fill="auto"/>
            <w:noWrap/>
            <w:vAlign w:val="center"/>
            <w:hideMark/>
          </w:tcPr>
          <w:p w14:paraId="5F42E27F" w14:textId="10EFA37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7.1%</w:t>
            </w:r>
          </w:p>
        </w:tc>
        <w:tc>
          <w:tcPr>
            <w:tcW w:w="422" w:type="pct"/>
            <w:tcBorders>
              <w:top w:val="nil"/>
              <w:left w:val="nil"/>
              <w:bottom w:val="single" w:sz="8" w:space="0" w:color="auto"/>
              <w:right w:val="single" w:sz="8" w:space="0" w:color="auto"/>
            </w:tcBorders>
            <w:shd w:val="clear" w:color="auto" w:fill="auto"/>
            <w:noWrap/>
            <w:vAlign w:val="center"/>
            <w:hideMark/>
          </w:tcPr>
          <w:p w14:paraId="23F814DB" w14:textId="2B4471B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6.8%</w:t>
            </w:r>
          </w:p>
        </w:tc>
        <w:tc>
          <w:tcPr>
            <w:tcW w:w="422" w:type="pct"/>
            <w:tcBorders>
              <w:top w:val="nil"/>
              <w:left w:val="nil"/>
              <w:bottom w:val="single" w:sz="8" w:space="0" w:color="auto"/>
              <w:right w:val="single" w:sz="8" w:space="0" w:color="auto"/>
            </w:tcBorders>
            <w:shd w:val="clear" w:color="auto" w:fill="auto"/>
            <w:noWrap/>
            <w:vAlign w:val="center"/>
            <w:hideMark/>
          </w:tcPr>
          <w:p w14:paraId="7F44CC8D" w14:textId="24A0B803"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8.2%</w:t>
            </w:r>
          </w:p>
        </w:tc>
      </w:tr>
      <w:tr w:rsidR="00B915E9" w:rsidRPr="00FE6E9E" w14:paraId="74F2118E" w14:textId="77777777" w:rsidTr="008C7D1F">
        <w:trPr>
          <w:trHeight w:val="312"/>
        </w:trPr>
        <w:tc>
          <w:tcPr>
            <w:tcW w:w="784" w:type="pct"/>
            <w:vMerge w:val="restart"/>
            <w:tcBorders>
              <w:top w:val="nil"/>
              <w:left w:val="single" w:sz="8" w:space="0" w:color="auto"/>
              <w:bottom w:val="single" w:sz="8" w:space="0" w:color="000000"/>
              <w:right w:val="single" w:sz="8" w:space="0" w:color="auto"/>
            </w:tcBorders>
            <w:shd w:val="clear" w:color="auto" w:fill="auto"/>
            <w:vAlign w:val="center"/>
            <w:hideMark/>
          </w:tcPr>
          <w:p w14:paraId="74E67AE0" w14:textId="77777777" w:rsidR="00B915E9" w:rsidRPr="008C7D1F" w:rsidRDefault="00B915E9" w:rsidP="00B915E9">
            <w:pPr>
              <w:spacing w:line="240" w:lineRule="auto"/>
              <w:jc w:val="center"/>
              <w:rPr>
                <w:rFonts w:eastAsia="Times New Roman"/>
                <w:noProof w:val="0"/>
                <w:color w:val="000000"/>
                <w:sz w:val="20"/>
                <w:szCs w:val="20"/>
              </w:rPr>
            </w:pPr>
            <w:r w:rsidRPr="008C7D1F">
              <w:rPr>
                <w:rFonts w:eastAsia="Times New Roman"/>
                <w:noProof w:val="0"/>
                <w:color w:val="000000"/>
                <w:sz w:val="20"/>
                <w:szCs w:val="20"/>
              </w:rPr>
              <w:t>Total</w:t>
            </w:r>
          </w:p>
        </w:tc>
        <w:tc>
          <w:tcPr>
            <w:tcW w:w="422" w:type="pct"/>
            <w:tcBorders>
              <w:top w:val="nil"/>
              <w:left w:val="nil"/>
              <w:bottom w:val="nil"/>
              <w:right w:val="single" w:sz="8" w:space="0" w:color="auto"/>
            </w:tcBorders>
            <w:shd w:val="clear" w:color="auto" w:fill="auto"/>
            <w:vAlign w:val="center"/>
            <w:hideMark/>
          </w:tcPr>
          <w:p w14:paraId="4904CA2D" w14:textId="188F649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35,042.5</w:t>
            </w:r>
          </w:p>
        </w:tc>
        <w:tc>
          <w:tcPr>
            <w:tcW w:w="422" w:type="pct"/>
            <w:tcBorders>
              <w:top w:val="nil"/>
              <w:left w:val="nil"/>
              <w:bottom w:val="nil"/>
              <w:right w:val="single" w:sz="8" w:space="0" w:color="auto"/>
            </w:tcBorders>
            <w:shd w:val="clear" w:color="auto" w:fill="auto"/>
            <w:vAlign w:val="center"/>
            <w:hideMark/>
          </w:tcPr>
          <w:p w14:paraId="57CD0247" w14:textId="59D86436"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56,571.1</w:t>
            </w:r>
          </w:p>
        </w:tc>
        <w:tc>
          <w:tcPr>
            <w:tcW w:w="422" w:type="pct"/>
            <w:tcBorders>
              <w:top w:val="nil"/>
              <w:left w:val="nil"/>
              <w:bottom w:val="nil"/>
              <w:right w:val="single" w:sz="8" w:space="0" w:color="auto"/>
            </w:tcBorders>
            <w:shd w:val="clear" w:color="auto" w:fill="auto"/>
            <w:vAlign w:val="center"/>
            <w:hideMark/>
          </w:tcPr>
          <w:p w14:paraId="6EDD4724" w14:textId="7703A21F"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57,433.9</w:t>
            </w:r>
          </w:p>
        </w:tc>
        <w:tc>
          <w:tcPr>
            <w:tcW w:w="422" w:type="pct"/>
            <w:tcBorders>
              <w:top w:val="nil"/>
              <w:left w:val="nil"/>
              <w:bottom w:val="nil"/>
              <w:right w:val="single" w:sz="8" w:space="0" w:color="auto"/>
            </w:tcBorders>
            <w:shd w:val="clear" w:color="auto" w:fill="auto"/>
            <w:vAlign w:val="center"/>
            <w:hideMark/>
          </w:tcPr>
          <w:p w14:paraId="39FF18C1" w14:textId="0A6BED28"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77,407.1</w:t>
            </w:r>
          </w:p>
        </w:tc>
        <w:tc>
          <w:tcPr>
            <w:tcW w:w="422" w:type="pct"/>
            <w:tcBorders>
              <w:top w:val="nil"/>
              <w:left w:val="nil"/>
              <w:bottom w:val="nil"/>
              <w:right w:val="single" w:sz="8" w:space="0" w:color="auto"/>
            </w:tcBorders>
            <w:shd w:val="clear" w:color="auto" w:fill="auto"/>
            <w:vAlign w:val="center"/>
            <w:hideMark/>
          </w:tcPr>
          <w:p w14:paraId="0A657484" w14:textId="6935E3A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64,277.0</w:t>
            </w:r>
          </w:p>
        </w:tc>
        <w:tc>
          <w:tcPr>
            <w:tcW w:w="422" w:type="pct"/>
            <w:tcBorders>
              <w:top w:val="nil"/>
              <w:left w:val="nil"/>
              <w:bottom w:val="nil"/>
              <w:right w:val="single" w:sz="8" w:space="0" w:color="auto"/>
            </w:tcBorders>
            <w:shd w:val="clear" w:color="auto" w:fill="auto"/>
            <w:vAlign w:val="center"/>
            <w:hideMark/>
          </w:tcPr>
          <w:p w14:paraId="71339B9B" w14:textId="670C1AFD"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48,325.5</w:t>
            </w:r>
          </w:p>
        </w:tc>
        <w:tc>
          <w:tcPr>
            <w:tcW w:w="422" w:type="pct"/>
            <w:tcBorders>
              <w:top w:val="nil"/>
              <w:left w:val="nil"/>
              <w:bottom w:val="nil"/>
              <w:right w:val="single" w:sz="8" w:space="0" w:color="auto"/>
            </w:tcBorders>
            <w:shd w:val="clear" w:color="auto" w:fill="auto"/>
            <w:vAlign w:val="center"/>
            <w:hideMark/>
          </w:tcPr>
          <w:p w14:paraId="63E5773A" w14:textId="4558603D"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43,612.9</w:t>
            </w:r>
          </w:p>
        </w:tc>
        <w:tc>
          <w:tcPr>
            <w:tcW w:w="422" w:type="pct"/>
            <w:tcBorders>
              <w:top w:val="nil"/>
              <w:left w:val="nil"/>
              <w:bottom w:val="nil"/>
              <w:right w:val="single" w:sz="8" w:space="0" w:color="auto"/>
            </w:tcBorders>
            <w:shd w:val="clear" w:color="auto" w:fill="auto"/>
            <w:vAlign w:val="center"/>
            <w:hideMark/>
          </w:tcPr>
          <w:p w14:paraId="751BD7E4" w14:textId="066EDE4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48,728.9</w:t>
            </w:r>
          </w:p>
        </w:tc>
        <w:tc>
          <w:tcPr>
            <w:tcW w:w="422" w:type="pct"/>
            <w:tcBorders>
              <w:top w:val="nil"/>
              <w:left w:val="nil"/>
              <w:bottom w:val="nil"/>
              <w:right w:val="single" w:sz="8" w:space="0" w:color="auto"/>
            </w:tcBorders>
            <w:shd w:val="clear" w:color="auto" w:fill="auto"/>
            <w:vAlign w:val="center"/>
            <w:hideMark/>
          </w:tcPr>
          <w:p w14:paraId="48362E47" w14:textId="699D9742"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53,482.0</w:t>
            </w:r>
          </w:p>
        </w:tc>
        <w:tc>
          <w:tcPr>
            <w:tcW w:w="422" w:type="pct"/>
            <w:tcBorders>
              <w:top w:val="nil"/>
              <w:left w:val="nil"/>
              <w:bottom w:val="nil"/>
              <w:right w:val="single" w:sz="8" w:space="0" w:color="auto"/>
            </w:tcBorders>
            <w:shd w:val="clear" w:color="auto" w:fill="auto"/>
            <w:vAlign w:val="center"/>
            <w:hideMark/>
          </w:tcPr>
          <w:p w14:paraId="619A3BB9" w14:textId="428226C7"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41,671.3</w:t>
            </w:r>
          </w:p>
        </w:tc>
      </w:tr>
      <w:tr w:rsidR="00B915E9" w:rsidRPr="00FE6E9E" w14:paraId="07C52DEF" w14:textId="77777777" w:rsidTr="008C7D1F">
        <w:trPr>
          <w:trHeight w:val="312"/>
        </w:trPr>
        <w:tc>
          <w:tcPr>
            <w:tcW w:w="784" w:type="pct"/>
            <w:vMerge/>
            <w:tcBorders>
              <w:top w:val="nil"/>
              <w:left w:val="single" w:sz="8" w:space="0" w:color="auto"/>
              <w:bottom w:val="single" w:sz="8" w:space="0" w:color="000000"/>
              <w:right w:val="single" w:sz="8" w:space="0" w:color="auto"/>
            </w:tcBorders>
            <w:vAlign w:val="center"/>
            <w:hideMark/>
          </w:tcPr>
          <w:p w14:paraId="05985D44" w14:textId="77777777" w:rsidR="00B915E9" w:rsidRPr="00FE6E9E" w:rsidRDefault="00B915E9" w:rsidP="00B915E9">
            <w:pPr>
              <w:spacing w:line="240" w:lineRule="auto"/>
              <w:jc w:val="left"/>
              <w:rPr>
                <w:rFonts w:eastAsia="Times New Roman"/>
                <w:noProof w:val="0"/>
                <w:color w:val="000000"/>
                <w:sz w:val="18"/>
                <w:szCs w:val="18"/>
              </w:rPr>
            </w:pPr>
          </w:p>
        </w:tc>
        <w:tc>
          <w:tcPr>
            <w:tcW w:w="422" w:type="pct"/>
            <w:tcBorders>
              <w:top w:val="nil"/>
              <w:left w:val="nil"/>
              <w:bottom w:val="single" w:sz="8" w:space="0" w:color="auto"/>
              <w:right w:val="single" w:sz="8" w:space="0" w:color="auto"/>
            </w:tcBorders>
            <w:shd w:val="clear" w:color="auto" w:fill="auto"/>
            <w:vAlign w:val="center"/>
            <w:hideMark/>
          </w:tcPr>
          <w:p w14:paraId="413EA3BD" w14:textId="7594F053"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1B1C5FAE" w14:textId="1040FE6F"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2A8F5DC5" w14:textId="1043D60B"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590D13F3" w14:textId="1727F379"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65C332C2" w14:textId="052C038C"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0C7F2262" w14:textId="43002E1E"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0456BE48" w14:textId="13E7EB98"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0ECE77DF" w14:textId="6841E468"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21D963D4" w14:textId="4AFA3150"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c>
          <w:tcPr>
            <w:tcW w:w="422" w:type="pct"/>
            <w:tcBorders>
              <w:top w:val="nil"/>
              <w:left w:val="nil"/>
              <w:bottom w:val="single" w:sz="8" w:space="0" w:color="auto"/>
              <w:right w:val="single" w:sz="8" w:space="0" w:color="auto"/>
            </w:tcBorders>
            <w:shd w:val="clear" w:color="auto" w:fill="auto"/>
            <w:vAlign w:val="center"/>
            <w:hideMark/>
          </w:tcPr>
          <w:p w14:paraId="2BD7903D" w14:textId="4526B725" w:rsidR="00B915E9" w:rsidRPr="00FE6E9E" w:rsidRDefault="00B915E9" w:rsidP="00B915E9">
            <w:pPr>
              <w:spacing w:line="240" w:lineRule="auto"/>
              <w:jc w:val="center"/>
              <w:rPr>
                <w:rFonts w:eastAsia="Times New Roman"/>
                <w:noProof w:val="0"/>
                <w:color w:val="000000"/>
                <w:sz w:val="15"/>
                <w:szCs w:val="15"/>
              </w:rPr>
            </w:pPr>
            <w:r>
              <w:rPr>
                <w:color w:val="000000"/>
                <w:sz w:val="15"/>
                <w:szCs w:val="15"/>
              </w:rPr>
              <w:t>100%</w:t>
            </w:r>
          </w:p>
        </w:tc>
      </w:tr>
    </w:tbl>
    <w:p w14:paraId="504777C7" w14:textId="77777777" w:rsidR="00B35CD6" w:rsidRPr="00FE6E9E" w:rsidRDefault="00B35CD6" w:rsidP="00B35CD6">
      <w:pPr>
        <w:pBdr>
          <w:top w:val="nil"/>
          <w:left w:val="nil"/>
          <w:bottom w:val="nil"/>
          <w:right w:val="nil"/>
          <w:between w:val="nil"/>
        </w:pBdr>
        <w:spacing w:line="240" w:lineRule="auto"/>
        <w:jc w:val="left"/>
        <w:rPr>
          <w:sz w:val="20"/>
          <w:szCs w:val="20"/>
        </w:rPr>
      </w:pPr>
      <w:r w:rsidRPr="00FE6E9E">
        <w:rPr>
          <w:rStyle w:val="IntenseReference"/>
          <w:rFonts w:ascii="Times New Roman" w:hAnsi="Times New Roman"/>
          <w:color w:val="000000" w:themeColor="text1"/>
          <w:sz w:val="20"/>
          <w:szCs w:val="20"/>
        </w:rPr>
        <w:t>Source: consolidated data from various CTFJ's annual report</w:t>
      </w:r>
    </w:p>
    <w:p w14:paraId="55B3B6C0" w14:textId="7F14F407" w:rsidR="00EE3085" w:rsidRDefault="00EE3085" w:rsidP="00B97C33">
      <w:pPr>
        <w:pBdr>
          <w:top w:val="nil"/>
          <w:left w:val="nil"/>
          <w:bottom w:val="nil"/>
          <w:right w:val="nil"/>
          <w:between w:val="nil"/>
        </w:pBdr>
        <w:spacing w:after="200" w:line="240" w:lineRule="auto"/>
        <w:rPr>
          <w:rStyle w:val="IntenseReference"/>
          <w:rFonts w:ascii="Times New Roman" w:hAnsi="Times New Roman"/>
          <w:color w:val="000000" w:themeColor="text1"/>
        </w:rPr>
      </w:pPr>
    </w:p>
    <w:p w14:paraId="0CCB2582" w14:textId="77777777" w:rsidR="008C7D1F" w:rsidRDefault="008C7D1F" w:rsidP="00F7064D"/>
    <w:p w14:paraId="61E2BD42" w14:textId="1CF8F10F" w:rsidR="00B915E9" w:rsidRDefault="00F05610" w:rsidP="00F7064D">
      <w:r>
        <w:t>The</w:t>
      </w:r>
      <w:r w:rsidR="00F7064D">
        <w:t xml:space="preserve"> gold products are the key revenues</w:t>
      </w:r>
      <w:r>
        <w:t xml:space="preserve">, but the net profit is fluctuated along with </w:t>
      </w:r>
      <w:r w:rsidR="00F7064D">
        <w:t>the gold price</w:t>
      </w:r>
      <w:r>
        <w:t>, which</w:t>
      </w:r>
      <w:r w:rsidR="00F7064D">
        <w:t xml:space="preserve"> may directly impact </w:t>
      </w:r>
      <w:r w:rsidR="008C40F1">
        <w:t>consumers' demand</w:t>
      </w:r>
      <w:r w:rsidR="00F7064D">
        <w:t xml:space="preserve">. Indeed, </w:t>
      </w:r>
      <w:r w:rsidR="008C40F1">
        <w:t xml:space="preserve">the gold price increased </w:t>
      </w:r>
      <w:r>
        <w:t>during</w:t>
      </w:r>
      <w:r w:rsidR="008C40F1">
        <w:t xml:space="preserve"> the period of </w:t>
      </w:r>
      <w:r w:rsidR="00F7064D">
        <w:t xml:space="preserve">the COVID-19 pandemic. The price per ounce experienced a steady rose between 2019 and 2020 </w:t>
      </w:r>
      <w:sdt>
        <w:sdtPr>
          <w:id w:val="2016724073"/>
          <w:citation/>
        </w:sdtPr>
        <w:sdtContent>
          <w:r w:rsidR="00F7064D">
            <w:fldChar w:fldCharType="begin"/>
          </w:r>
          <w:r w:rsidR="00F7064D">
            <w:instrText xml:space="preserve"> CITATION Kic21 \l 1033 </w:instrText>
          </w:r>
          <w:r w:rsidR="00F7064D">
            <w:fldChar w:fldCharType="separate"/>
          </w:r>
          <w:r w:rsidR="00F7064D" w:rsidRPr="00EC6085">
            <w:t>(Kicto Metals Inc., 2021)</w:t>
          </w:r>
          <w:r w:rsidR="00F7064D">
            <w:fldChar w:fldCharType="end"/>
          </w:r>
        </w:sdtContent>
      </w:sdt>
      <w:r w:rsidR="00F7064D">
        <w:t xml:space="preserve">; </w:t>
      </w:r>
      <w:r>
        <w:t>it peaked at HKD15719.44 on 7 August 2020 and remained high</w:t>
      </w:r>
      <w:r w:rsidR="008C40F1">
        <w:t xml:space="preserve"> today</w:t>
      </w:r>
      <w:r w:rsidR="00F7064D">
        <w:t xml:space="preserve"> (Figure </w:t>
      </w:r>
      <w:r>
        <w:t>3</w:t>
      </w:r>
      <w:r w:rsidR="00F7064D">
        <w:t xml:space="preserve">). </w:t>
      </w:r>
      <w:r w:rsidR="008C40F1">
        <w:t xml:space="preserve">The </w:t>
      </w:r>
      <w:r w:rsidR="00B915E9">
        <w:t xml:space="preserve">gold price does not </w:t>
      </w:r>
      <w:r w:rsidR="00F7064D">
        <w:t>directly affect the firm</w:t>
      </w:r>
      <w:r w:rsidR="008C40F1">
        <w:t>'s cost structure</w:t>
      </w:r>
      <w:r w:rsidR="00F7064D">
        <w:t xml:space="preserve"> because it is </w:t>
      </w:r>
      <w:r w:rsidR="008C40F1">
        <w:t xml:space="preserve">directly </w:t>
      </w:r>
      <w:r w:rsidR="00B915E9">
        <w:t>chargeable to the consumers</w:t>
      </w:r>
      <w:r>
        <w:t>;</w:t>
      </w:r>
      <w:r w:rsidR="00B915E9">
        <w:t xml:space="preserve"> </w:t>
      </w:r>
      <w:r>
        <w:t>however</w:t>
      </w:r>
      <w:r w:rsidR="00B915E9">
        <w:t xml:space="preserve">, gold's price elasticity </w:t>
      </w:r>
      <w:r w:rsidR="008C40F1">
        <w:t>impacts</w:t>
      </w:r>
      <w:r w:rsidR="00B915E9">
        <w:t xml:space="preserve"> customers' demands.</w:t>
      </w:r>
    </w:p>
    <w:p w14:paraId="7E720CF8" w14:textId="686AA6D1" w:rsidR="00B915E9" w:rsidRDefault="00B915E9" w:rsidP="00B97C33">
      <w:pPr>
        <w:pBdr>
          <w:top w:val="nil"/>
          <w:left w:val="nil"/>
          <w:bottom w:val="nil"/>
          <w:right w:val="nil"/>
          <w:between w:val="nil"/>
        </w:pBdr>
        <w:spacing w:after="200" w:line="240" w:lineRule="auto"/>
        <w:rPr>
          <w:rStyle w:val="IntenseReference"/>
          <w:rFonts w:ascii="Times New Roman" w:hAnsi="Times New Roman"/>
          <w:color w:val="000000" w:themeColor="text1"/>
        </w:rPr>
      </w:pPr>
    </w:p>
    <w:p w14:paraId="5E8EA1C6" w14:textId="77777777" w:rsidR="008C7D1F" w:rsidRDefault="008C7D1F" w:rsidP="00B97C33">
      <w:pPr>
        <w:pBdr>
          <w:top w:val="nil"/>
          <w:left w:val="nil"/>
          <w:bottom w:val="nil"/>
          <w:right w:val="nil"/>
          <w:between w:val="nil"/>
        </w:pBdr>
        <w:spacing w:after="200" w:line="240" w:lineRule="auto"/>
        <w:rPr>
          <w:rStyle w:val="IntenseReference"/>
          <w:rFonts w:ascii="Times New Roman" w:hAnsi="Times New Roman"/>
          <w:color w:val="000000" w:themeColor="text1"/>
        </w:rPr>
      </w:pPr>
    </w:p>
    <w:p w14:paraId="4745F32F" w14:textId="5C784D16" w:rsidR="00B915E9" w:rsidRPr="00B915E9" w:rsidRDefault="00B915E9" w:rsidP="00B915E9">
      <w:pPr>
        <w:pStyle w:val="Caption"/>
        <w:jc w:val="left"/>
        <w:rPr>
          <w:sz w:val="24"/>
          <w:szCs w:val="24"/>
        </w:rPr>
      </w:pPr>
      <w:bookmarkStart w:id="7" w:name="_Toc63295615"/>
      <w:bookmarkStart w:id="8" w:name="_Toc63295631"/>
      <w:r w:rsidRPr="00B915E9">
        <w:rPr>
          <w:sz w:val="24"/>
          <w:szCs w:val="24"/>
        </w:rPr>
        <w:lastRenderedPageBreak/>
        <w:t xml:space="preserve">Figure </w:t>
      </w:r>
      <w:r w:rsidR="00F7064D">
        <w:rPr>
          <w:sz w:val="24"/>
          <w:szCs w:val="24"/>
        </w:rPr>
        <w:fldChar w:fldCharType="begin"/>
      </w:r>
      <w:r w:rsidR="00F7064D">
        <w:rPr>
          <w:sz w:val="24"/>
          <w:szCs w:val="24"/>
        </w:rPr>
        <w:instrText xml:space="preserve"> SEQ Figure \* ARABIC </w:instrText>
      </w:r>
      <w:r w:rsidR="00F7064D">
        <w:rPr>
          <w:sz w:val="24"/>
          <w:szCs w:val="24"/>
        </w:rPr>
        <w:fldChar w:fldCharType="separate"/>
      </w:r>
      <w:r w:rsidR="00A806F0">
        <w:rPr>
          <w:sz w:val="24"/>
          <w:szCs w:val="24"/>
        </w:rPr>
        <w:t>3</w:t>
      </w:r>
      <w:r w:rsidR="00F7064D">
        <w:rPr>
          <w:sz w:val="24"/>
          <w:szCs w:val="24"/>
        </w:rPr>
        <w:fldChar w:fldCharType="end"/>
      </w:r>
      <w:r w:rsidRPr="00B915E9">
        <w:rPr>
          <w:sz w:val="24"/>
          <w:szCs w:val="24"/>
        </w:rPr>
        <w:t>: Gold price per ounce in HKD between 2019 and 2020</w:t>
      </w:r>
      <w:bookmarkEnd w:id="7"/>
      <w:bookmarkEnd w:id="8"/>
    </w:p>
    <w:p w14:paraId="618F30B5" w14:textId="77777777" w:rsidR="00B915E9" w:rsidRDefault="00B915E9" w:rsidP="00B915E9">
      <w:pPr>
        <w:spacing w:line="240" w:lineRule="auto"/>
        <w:jc w:val="left"/>
      </w:pPr>
      <w:r>
        <w:drawing>
          <wp:inline distT="0" distB="0" distL="0" distR="0" wp14:anchorId="09DA429B" wp14:editId="0FF9FDF6">
            <wp:extent cx="5695950" cy="2673350"/>
            <wp:effectExtent l="0" t="0" r="0" b="12700"/>
            <wp:docPr id="16" name="Chart 16">
              <a:extLst xmlns:a="http://schemas.openxmlformats.org/drawingml/2006/main">
                <a:ext uri="{FF2B5EF4-FFF2-40B4-BE49-F238E27FC236}">
                  <a16:creationId xmlns:a16="http://schemas.microsoft.com/office/drawing/2014/main" id="{B6CAC600-7B39-4BB0-A6B4-0562832759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D4C7967" w14:textId="243DE4D4" w:rsidR="00B915E9" w:rsidRDefault="00B915E9" w:rsidP="00B915E9">
      <w:pPr>
        <w:spacing w:line="240" w:lineRule="auto"/>
        <w:jc w:val="left"/>
        <w:rPr>
          <w:rStyle w:val="IntenseReference"/>
          <w:rFonts w:ascii="Times New Roman" w:hAnsi="Times New Roman"/>
          <w:color w:val="000000" w:themeColor="text1"/>
        </w:rPr>
      </w:pPr>
      <w:r w:rsidRPr="005B1C31">
        <w:rPr>
          <w:rStyle w:val="IntenseReference"/>
          <w:rFonts w:ascii="Times New Roman" w:hAnsi="Times New Roman"/>
          <w:color w:val="000000" w:themeColor="text1"/>
        </w:rPr>
        <w:t>Source: consolidated data from</w:t>
      </w:r>
      <w:r>
        <w:rPr>
          <w:rStyle w:val="IntenseReference"/>
          <w:rFonts w:ascii="Times New Roman" w:hAnsi="Times New Roman"/>
          <w:color w:val="000000" w:themeColor="text1"/>
        </w:rPr>
        <w:t xml:space="preserve"> Kicto Metal Inc. </w:t>
      </w:r>
      <w:sdt>
        <w:sdtPr>
          <w:rPr>
            <w:rStyle w:val="IntenseReference"/>
            <w:rFonts w:ascii="Times New Roman" w:hAnsi="Times New Roman"/>
            <w:color w:val="000000" w:themeColor="text1"/>
          </w:rPr>
          <w:id w:val="764890615"/>
          <w:citation/>
        </w:sdtPr>
        <w:sdtContent>
          <w:r>
            <w:rPr>
              <w:rStyle w:val="IntenseReference"/>
              <w:rFonts w:ascii="Times New Roman" w:hAnsi="Times New Roman"/>
              <w:color w:val="000000" w:themeColor="text1"/>
            </w:rPr>
            <w:fldChar w:fldCharType="begin"/>
          </w:r>
          <w:r>
            <w:rPr>
              <w:rStyle w:val="IntenseReference"/>
              <w:rFonts w:ascii="Times New Roman" w:hAnsi="Times New Roman"/>
              <w:color w:val="000000" w:themeColor="text1"/>
            </w:rPr>
            <w:instrText xml:space="preserve"> CITATION Kic21 \l 1033 </w:instrText>
          </w:r>
          <w:r>
            <w:rPr>
              <w:rStyle w:val="IntenseReference"/>
              <w:rFonts w:ascii="Times New Roman" w:hAnsi="Times New Roman"/>
              <w:color w:val="000000" w:themeColor="text1"/>
            </w:rPr>
            <w:fldChar w:fldCharType="separate"/>
          </w:r>
          <w:r w:rsidRPr="00EC6085">
            <w:rPr>
              <w:color w:val="000000" w:themeColor="text1"/>
              <w:spacing w:val="5"/>
              <w:sz w:val="18"/>
            </w:rPr>
            <w:t>(Kicto Metals Inc., 2021)</w:t>
          </w:r>
          <w:r>
            <w:rPr>
              <w:rStyle w:val="IntenseReference"/>
              <w:rFonts w:ascii="Times New Roman" w:hAnsi="Times New Roman"/>
              <w:color w:val="000000" w:themeColor="text1"/>
            </w:rPr>
            <w:fldChar w:fldCharType="end"/>
          </w:r>
        </w:sdtContent>
      </w:sdt>
    </w:p>
    <w:p w14:paraId="578F2D86" w14:textId="77777777" w:rsidR="008C7D1F" w:rsidRDefault="008C7D1F" w:rsidP="00F7064D"/>
    <w:p w14:paraId="3159CC31" w14:textId="58EEADD2" w:rsidR="00B97C33" w:rsidRDefault="008C40F1" w:rsidP="00F7064D">
      <w:r>
        <w:t xml:space="preserve">Investors may want to invest in safe assets amid concerns throughout </w:t>
      </w:r>
      <w:r w:rsidR="00F7064D">
        <w:t>economic uncertainty</w:t>
      </w:r>
      <w:r>
        <w:t>,</w:t>
      </w:r>
      <w:r w:rsidR="00F7064D">
        <w:t xml:space="preserve"> </w:t>
      </w:r>
      <w:r>
        <w:t xml:space="preserve">which </w:t>
      </w:r>
      <w:r w:rsidR="00F7064D">
        <w:t>ultimately increased the demand for gold</w:t>
      </w:r>
      <w:r>
        <w:t>, so the</w:t>
      </w:r>
      <w:r w:rsidR="00F7064D">
        <w:t xml:space="preserve"> price rose. However, not all customer</w:t>
      </w:r>
      <w:r>
        <w:t xml:space="preserve">s </w:t>
      </w:r>
      <w:r w:rsidR="00F7064D">
        <w:t xml:space="preserve">may afford the premium price if the gold price keep growing. </w:t>
      </w:r>
      <w:r w:rsidR="00B915E9">
        <w:t xml:space="preserve">CTFJ may need to have more product innovation by using lighter gold materials to reduce the product price, implementing different price strategies to diverse the consumers for other product segments when the demands for gold products have changed.  </w:t>
      </w:r>
    </w:p>
    <w:p w14:paraId="0E80B46A" w14:textId="77777777" w:rsidR="00F7064D" w:rsidRPr="00F7064D" w:rsidRDefault="00F7064D" w:rsidP="00F7064D">
      <w:pPr>
        <w:rPr>
          <w:rStyle w:val="IntenseReference"/>
          <w:rFonts w:ascii="Times New Roman" w:hAnsi="Times New Roman"/>
          <w:bCs w:val="0"/>
          <w:color w:val="auto"/>
          <w:spacing w:val="0"/>
          <w:sz w:val="24"/>
        </w:rPr>
      </w:pPr>
    </w:p>
    <w:p w14:paraId="58CBD7A6" w14:textId="58DAE48C" w:rsidR="00B97C33" w:rsidRDefault="00B97C33" w:rsidP="00B97C33">
      <w:pPr>
        <w:pStyle w:val="Heading3"/>
        <w:rPr>
          <w:rStyle w:val="IntenseReference"/>
          <w:rFonts w:ascii="Times New Roman" w:hAnsi="Times New Roman"/>
          <w:color w:val="000000" w:themeColor="text1"/>
        </w:rPr>
      </w:pPr>
      <w:bookmarkStart w:id="9" w:name="_Toc64840477"/>
      <w:r>
        <w:t>2.3 Revenue in China and Hong Kong</w:t>
      </w:r>
      <w:bookmarkEnd w:id="9"/>
      <w:r>
        <w:t xml:space="preserve"> </w:t>
      </w:r>
    </w:p>
    <w:p w14:paraId="3B131973" w14:textId="20E120D1" w:rsidR="009B12BC" w:rsidRDefault="001900B1" w:rsidP="009B12BC">
      <w:r>
        <w:t xml:space="preserve">CTFJ's revenue comes from its sales channels, including its self-operated retail shops, franchised POS, e-commerce, and retail partners. </w:t>
      </w:r>
      <w:r w:rsidR="001B22ED" w:rsidRPr="005B1C31">
        <w:t xml:space="preserve">The firm's balance sheet in FY2020 is solid, with a substantial asset of HK$65.24 billion </w:t>
      </w:r>
      <w:sdt>
        <w:sdtPr>
          <w:id w:val="904031933"/>
          <w:citation/>
        </w:sdtPr>
        <w:sdtContent>
          <w:r w:rsidR="001B22ED" w:rsidRPr="005B1C31">
            <w:fldChar w:fldCharType="begin"/>
          </w:r>
          <w:r w:rsidR="001B22ED" w:rsidRPr="005B1C31">
            <w:instrText xml:space="preserve">CITATION Cho201 \p 213 \l 1033 </w:instrText>
          </w:r>
          <w:r w:rsidR="001B22ED" w:rsidRPr="005B1C31">
            <w:fldChar w:fldCharType="separate"/>
          </w:r>
          <w:r w:rsidR="001B22ED" w:rsidRPr="005B1C31">
            <w:t>(Chow Tai Fook, 2020, p. 213)</w:t>
          </w:r>
          <w:r w:rsidR="001B22ED" w:rsidRPr="005B1C31">
            <w:fldChar w:fldCharType="end"/>
          </w:r>
        </w:sdtContent>
      </w:sdt>
      <w:r w:rsidR="001B22ED" w:rsidRPr="005B1C31">
        <w:t xml:space="preserve"> and equity of HK$26.99 billion </w:t>
      </w:r>
      <w:sdt>
        <w:sdtPr>
          <w:id w:val="-1649971394"/>
          <w:citation/>
        </w:sdtPr>
        <w:sdtContent>
          <w:r w:rsidR="001B22ED" w:rsidRPr="005B1C31">
            <w:fldChar w:fldCharType="begin"/>
          </w:r>
          <w:r w:rsidR="001B22ED" w:rsidRPr="005B1C31">
            <w:instrText xml:space="preserve">CITATION Cho201 \p 72 \l 1033 </w:instrText>
          </w:r>
          <w:r w:rsidR="001B22ED" w:rsidRPr="005B1C31">
            <w:fldChar w:fldCharType="separate"/>
          </w:r>
          <w:r w:rsidR="001B22ED" w:rsidRPr="005B1C31">
            <w:t>(Chow Tai Fook, 2020, p. 72)</w:t>
          </w:r>
          <w:r w:rsidR="001B22ED" w:rsidRPr="005B1C31">
            <w:fldChar w:fldCharType="end"/>
          </w:r>
        </w:sdtContent>
      </w:sdt>
      <w:r w:rsidR="001B22ED" w:rsidRPr="005B1C31">
        <w:t xml:space="preserve">. </w:t>
      </w:r>
      <w:r w:rsidR="00B97C33" w:rsidRPr="005B1C31">
        <w:t xml:space="preserve">CTFJ has a profitable and healthy financial track record even during slower years in the retail sector </w:t>
      </w:r>
      <w:r w:rsidR="00B97C33">
        <w:t>between 2015 and 2017</w:t>
      </w:r>
      <w:r>
        <w:t>. I</w:t>
      </w:r>
      <w:r w:rsidR="00B97C33">
        <w:t xml:space="preserve">ts growth rate was still gradually increasing, </w:t>
      </w:r>
      <w:r w:rsidR="00B97C33" w:rsidRPr="005B1C31">
        <w:t xml:space="preserve">reflecting its resilience during down cycles. </w:t>
      </w:r>
      <w:r w:rsidR="001B22ED">
        <w:t>However, t</w:t>
      </w:r>
      <w:r w:rsidR="001B22ED" w:rsidRPr="005B1C31">
        <w:t>he COVID-19 virus epidemic and the unstable macro</w:t>
      </w:r>
      <w:r w:rsidR="001B22ED">
        <w:t xml:space="preserve"> </w:t>
      </w:r>
      <w:r w:rsidR="001B22ED" w:rsidRPr="005B1C31">
        <w:t xml:space="preserve">environment inevitably affected both the </w:t>
      </w:r>
      <w:r w:rsidR="001B22ED" w:rsidRPr="005B1C31">
        <w:lastRenderedPageBreak/>
        <w:t xml:space="preserve">business regions in Mainland China and Hong Kong &amp; Macau, leading to a significant decline in </w:t>
      </w:r>
      <w:r w:rsidR="00B97C33">
        <w:t>its revenue</w:t>
      </w:r>
      <w:r w:rsidR="001B22ED" w:rsidRPr="005B1C31">
        <w:t>, especially during FY2020</w:t>
      </w:r>
      <w:r w:rsidR="001B22ED">
        <w:t xml:space="preserve"> that had dropped </w:t>
      </w:r>
      <w:r w:rsidR="00B97C33">
        <w:t>15%</w:t>
      </w:r>
      <w:r w:rsidR="001B22ED">
        <w:t xml:space="preserve"> (Table 3)</w:t>
      </w:r>
      <w:r w:rsidR="001B22ED" w:rsidRPr="005B1C31">
        <w:t>.</w:t>
      </w:r>
      <w:r w:rsidR="001B22ED">
        <w:t xml:space="preserve"> </w:t>
      </w:r>
    </w:p>
    <w:p w14:paraId="77B4BD60" w14:textId="77777777" w:rsidR="008C7D1F" w:rsidRDefault="008C7D1F" w:rsidP="009B12BC"/>
    <w:p w14:paraId="60D75712" w14:textId="1DC2AE0B" w:rsidR="00B97C33" w:rsidRPr="00B35CD6" w:rsidRDefault="00B97C33" w:rsidP="00B97C33">
      <w:pPr>
        <w:pStyle w:val="Caption"/>
        <w:jc w:val="both"/>
        <w:rPr>
          <w:sz w:val="24"/>
          <w:szCs w:val="24"/>
        </w:rPr>
      </w:pPr>
      <w:bookmarkStart w:id="10" w:name="_Toc63295005"/>
      <w:bookmarkStart w:id="11" w:name="_Toc63295415"/>
      <w:r w:rsidRPr="00B35CD6">
        <w:rPr>
          <w:sz w:val="24"/>
          <w:szCs w:val="24"/>
        </w:rPr>
        <w:t xml:space="preserve">Table </w:t>
      </w:r>
      <w:r>
        <w:rPr>
          <w:sz w:val="24"/>
          <w:szCs w:val="24"/>
        </w:rPr>
        <w:fldChar w:fldCharType="begin"/>
      </w:r>
      <w:r>
        <w:rPr>
          <w:sz w:val="24"/>
          <w:szCs w:val="24"/>
        </w:rPr>
        <w:instrText xml:space="preserve"> SEQ Table \* ARABIC </w:instrText>
      </w:r>
      <w:r>
        <w:rPr>
          <w:sz w:val="24"/>
          <w:szCs w:val="24"/>
        </w:rPr>
        <w:fldChar w:fldCharType="separate"/>
      </w:r>
      <w:r w:rsidR="00A806F0">
        <w:rPr>
          <w:sz w:val="24"/>
          <w:szCs w:val="24"/>
        </w:rPr>
        <w:t>3</w:t>
      </w:r>
      <w:r>
        <w:rPr>
          <w:sz w:val="24"/>
          <w:szCs w:val="24"/>
        </w:rPr>
        <w:fldChar w:fldCharType="end"/>
      </w:r>
      <w:r w:rsidRPr="00B35CD6">
        <w:rPr>
          <w:sz w:val="24"/>
          <w:szCs w:val="24"/>
        </w:rPr>
        <w:t xml:space="preserve">: </w:t>
      </w:r>
      <w:r>
        <w:rPr>
          <w:sz w:val="24"/>
          <w:szCs w:val="24"/>
        </w:rPr>
        <w:t>Revenue y-o-y growth</w:t>
      </w:r>
      <w:r w:rsidRPr="00B35CD6">
        <w:rPr>
          <w:sz w:val="24"/>
          <w:szCs w:val="24"/>
        </w:rPr>
        <w:t xml:space="preserve"> </w:t>
      </w:r>
      <w:r>
        <w:rPr>
          <w:sz w:val="24"/>
          <w:szCs w:val="24"/>
        </w:rPr>
        <w:t xml:space="preserve">rate </w:t>
      </w:r>
      <w:r w:rsidRPr="00B35CD6">
        <w:rPr>
          <w:sz w:val="24"/>
          <w:szCs w:val="24"/>
        </w:rPr>
        <w:t xml:space="preserve">between </w:t>
      </w:r>
      <w:r w:rsidR="00CD2FB4">
        <w:rPr>
          <w:sz w:val="24"/>
          <w:szCs w:val="24"/>
        </w:rPr>
        <w:t>FY</w:t>
      </w:r>
      <w:r w:rsidRPr="00B35CD6">
        <w:rPr>
          <w:sz w:val="24"/>
          <w:szCs w:val="24"/>
        </w:rPr>
        <w:t xml:space="preserve">2011 and </w:t>
      </w:r>
      <w:r w:rsidR="00CD2FB4">
        <w:rPr>
          <w:sz w:val="24"/>
          <w:szCs w:val="24"/>
        </w:rPr>
        <w:t>FY</w:t>
      </w:r>
      <w:r w:rsidRPr="00B35CD6">
        <w:rPr>
          <w:sz w:val="24"/>
          <w:szCs w:val="24"/>
        </w:rPr>
        <w:t>2020</w:t>
      </w:r>
      <w:bookmarkEnd w:id="10"/>
      <w:bookmarkEnd w:id="11"/>
    </w:p>
    <w:tbl>
      <w:tblPr>
        <w:tblW w:w="0" w:type="auto"/>
        <w:tblLayout w:type="fixed"/>
        <w:tblLook w:val="04A0" w:firstRow="1" w:lastRow="0" w:firstColumn="1" w:lastColumn="0" w:noHBand="0" w:noVBand="1"/>
      </w:tblPr>
      <w:tblGrid>
        <w:gridCol w:w="3013"/>
        <w:gridCol w:w="3014"/>
        <w:gridCol w:w="3014"/>
      </w:tblGrid>
      <w:tr w:rsidR="00B97C33" w:rsidRPr="00B97C33" w14:paraId="42C875F4" w14:textId="77777777" w:rsidTr="006E7802">
        <w:trPr>
          <w:trHeight w:val="398"/>
        </w:trPr>
        <w:tc>
          <w:tcPr>
            <w:tcW w:w="301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0344400" w14:textId="77777777" w:rsidR="00B97C33" w:rsidRPr="009A5E3F" w:rsidRDefault="00B97C33" w:rsidP="00671178">
            <w:pPr>
              <w:spacing w:line="240" w:lineRule="auto"/>
              <w:jc w:val="center"/>
              <w:rPr>
                <w:rFonts w:eastAsia="Times New Roman"/>
                <w:b/>
                <w:bCs/>
                <w:noProof w:val="0"/>
                <w:color w:val="000000"/>
                <w:sz w:val="20"/>
                <w:szCs w:val="20"/>
              </w:rPr>
            </w:pPr>
            <w:r w:rsidRPr="009A5E3F">
              <w:rPr>
                <w:rFonts w:eastAsia="Times New Roman"/>
                <w:b/>
                <w:bCs/>
                <w:noProof w:val="0"/>
                <w:color w:val="000000"/>
                <w:sz w:val="20"/>
                <w:szCs w:val="20"/>
              </w:rPr>
              <w:t>Fiscal Year</w:t>
            </w:r>
          </w:p>
        </w:tc>
        <w:tc>
          <w:tcPr>
            <w:tcW w:w="3014" w:type="dxa"/>
            <w:tcBorders>
              <w:top w:val="single" w:sz="8" w:space="0" w:color="auto"/>
              <w:left w:val="nil"/>
              <w:bottom w:val="single" w:sz="8" w:space="0" w:color="auto"/>
              <w:right w:val="single" w:sz="8" w:space="0" w:color="auto"/>
            </w:tcBorders>
            <w:shd w:val="clear" w:color="auto" w:fill="auto"/>
            <w:vAlign w:val="center"/>
            <w:hideMark/>
          </w:tcPr>
          <w:p w14:paraId="30219482" w14:textId="7724568C" w:rsidR="00B97C33" w:rsidRPr="009A5E3F" w:rsidRDefault="00B97C33" w:rsidP="00671178">
            <w:pPr>
              <w:spacing w:line="240" w:lineRule="auto"/>
              <w:jc w:val="center"/>
              <w:rPr>
                <w:rFonts w:eastAsia="Times New Roman"/>
                <w:b/>
                <w:bCs/>
                <w:noProof w:val="0"/>
                <w:color w:val="000000"/>
                <w:sz w:val="20"/>
                <w:szCs w:val="20"/>
              </w:rPr>
            </w:pPr>
            <w:r w:rsidRPr="009A5E3F">
              <w:rPr>
                <w:rFonts w:eastAsia="Times New Roman"/>
                <w:b/>
                <w:bCs/>
                <w:noProof w:val="0"/>
                <w:color w:val="000000"/>
                <w:sz w:val="20"/>
                <w:szCs w:val="20"/>
              </w:rPr>
              <w:t>Revenue</w:t>
            </w:r>
            <w:r w:rsidR="004C53C7" w:rsidRPr="009A5E3F">
              <w:rPr>
                <w:rFonts w:eastAsia="Times New Roman"/>
                <w:b/>
                <w:bCs/>
                <w:noProof w:val="0"/>
                <w:color w:val="000000"/>
                <w:sz w:val="20"/>
                <w:szCs w:val="20"/>
              </w:rPr>
              <w:t xml:space="preserve"> </w:t>
            </w:r>
            <w:r w:rsidRPr="009A5E3F">
              <w:rPr>
                <w:rFonts w:eastAsia="Times New Roman"/>
                <w:b/>
                <w:bCs/>
                <w:noProof w:val="0"/>
                <w:color w:val="000000"/>
                <w:sz w:val="20"/>
                <w:szCs w:val="20"/>
              </w:rPr>
              <w:t>(</w:t>
            </w:r>
            <w:proofErr w:type="spellStart"/>
            <w:r w:rsidRPr="009A5E3F">
              <w:rPr>
                <w:rFonts w:eastAsia="Times New Roman"/>
                <w:b/>
                <w:bCs/>
                <w:noProof w:val="0"/>
                <w:color w:val="000000"/>
                <w:sz w:val="20"/>
                <w:szCs w:val="20"/>
              </w:rPr>
              <w:t>HK$'million</w:t>
            </w:r>
            <w:proofErr w:type="spellEnd"/>
            <w:r w:rsidRPr="009A5E3F">
              <w:rPr>
                <w:rFonts w:eastAsia="Times New Roman"/>
                <w:b/>
                <w:bCs/>
                <w:noProof w:val="0"/>
                <w:color w:val="000000"/>
                <w:sz w:val="20"/>
                <w:szCs w:val="20"/>
              </w:rPr>
              <w:t>)</w:t>
            </w:r>
          </w:p>
        </w:tc>
        <w:tc>
          <w:tcPr>
            <w:tcW w:w="3014" w:type="dxa"/>
            <w:tcBorders>
              <w:top w:val="single" w:sz="8" w:space="0" w:color="auto"/>
              <w:left w:val="nil"/>
              <w:bottom w:val="single" w:sz="8" w:space="0" w:color="auto"/>
              <w:right w:val="single" w:sz="8" w:space="0" w:color="auto"/>
            </w:tcBorders>
            <w:shd w:val="clear" w:color="auto" w:fill="auto"/>
            <w:noWrap/>
            <w:vAlign w:val="center"/>
            <w:hideMark/>
          </w:tcPr>
          <w:p w14:paraId="134B1745" w14:textId="1A6A6893" w:rsidR="00B97C33" w:rsidRPr="009A5E3F" w:rsidRDefault="00B97C33" w:rsidP="00671178">
            <w:pPr>
              <w:spacing w:line="240" w:lineRule="auto"/>
              <w:jc w:val="center"/>
              <w:rPr>
                <w:rFonts w:eastAsia="Times New Roman"/>
                <w:b/>
                <w:bCs/>
                <w:noProof w:val="0"/>
                <w:color w:val="000000"/>
                <w:sz w:val="20"/>
                <w:szCs w:val="20"/>
              </w:rPr>
            </w:pPr>
            <w:r w:rsidRPr="009A5E3F">
              <w:rPr>
                <w:rFonts w:eastAsia="Times New Roman"/>
                <w:b/>
                <w:bCs/>
                <w:noProof w:val="0"/>
                <w:color w:val="000000"/>
                <w:sz w:val="20"/>
                <w:szCs w:val="20"/>
              </w:rPr>
              <w:t xml:space="preserve">y-o-y </w:t>
            </w:r>
            <w:r w:rsidR="004C53C7" w:rsidRPr="009A5E3F">
              <w:rPr>
                <w:rFonts w:eastAsia="Times New Roman"/>
                <w:b/>
                <w:bCs/>
                <w:noProof w:val="0"/>
                <w:color w:val="000000"/>
                <w:sz w:val="20"/>
                <w:szCs w:val="20"/>
              </w:rPr>
              <w:t>g</w:t>
            </w:r>
            <w:r w:rsidRPr="009A5E3F">
              <w:rPr>
                <w:rFonts w:eastAsia="Times New Roman"/>
                <w:b/>
                <w:bCs/>
                <w:noProof w:val="0"/>
                <w:color w:val="000000"/>
                <w:sz w:val="20"/>
                <w:szCs w:val="20"/>
              </w:rPr>
              <w:t>rowth</w:t>
            </w:r>
            <w:r w:rsidR="004C53C7" w:rsidRPr="009A5E3F">
              <w:rPr>
                <w:rFonts w:eastAsia="Times New Roman"/>
                <w:b/>
                <w:bCs/>
                <w:noProof w:val="0"/>
                <w:color w:val="000000"/>
                <w:sz w:val="20"/>
                <w:szCs w:val="20"/>
              </w:rPr>
              <w:t xml:space="preserve"> rate</w:t>
            </w:r>
          </w:p>
        </w:tc>
      </w:tr>
      <w:tr w:rsidR="00B97C33" w:rsidRPr="00B97C33" w14:paraId="71425FFC"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1F61DAD9"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2011</w:t>
            </w:r>
          </w:p>
        </w:tc>
        <w:tc>
          <w:tcPr>
            <w:tcW w:w="3014" w:type="dxa"/>
            <w:tcBorders>
              <w:top w:val="nil"/>
              <w:left w:val="nil"/>
              <w:bottom w:val="single" w:sz="8" w:space="0" w:color="auto"/>
              <w:right w:val="single" w:sz="8" w:space="0" w:color="auto"/>
            </w:tcBorders>
            <w:shd w:val="clear" w:color="auto" w:fill="auto"/>
            <w:noWrap/>
            <w:vAlign w:val="center"/>
            <w:hideMark/>
          </w:tcPr>
          <w:p w14:paraId="08157C12"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35,043</w:t>
            </w:r>
          </w:p>
        </w:tc>
        <w:tc>
          <w:tcPr>
            <w:tcW w:w="3014" w:type="dxa"/>
            <w:tcBorders>
              <w:top w:val="nil"/>
              <w:left w:val="nil"/>
              <w:bottom w:val="single" w:sz="8" w:space="0" w:color="auto"/>
              <w:right w:val="single" w:sz="8" w:space="0" w:color="auto"/>
            </w:tcBorders>
            <w:shd w:val="clear" w:color="auto" w:fill="auto"/>
            <w:noWrap/>
            <w:vAlign w:val="center"/>
            <w:hideMark/>
          </w:tcPr>
          <w:p w14:paraId="3B456BB9"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N/A</w:t>
            </w:r>
          </w:p>
        </w:tc>
      </w:tr>
      <w:tr w:rsidR="00B97C33" w:rsidRPr="00B97C33" w14:paraId="6BD1E874"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1A694734"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2012</w:t>
            </w:r>
          </w:p>
        </w:tc>
        <w:tc>
          <w:tcPr>
            <w:tcW w:w="3014" w:type="dxa"/>
            <w:tcBorders>
              <w:top w:val="nil"/>
              <w:left w:val="nil"/>
              <w:bottom w:val="single" w:sz="8" w:space="0" w:color="auto"/>
              <w:right w:val="single" w:sz="8" w:space="0" w:color="auto"/>
            </w:tcBorders>
            <w:shd w:val="clear" w:color="auto" w:fill="auto"/>
            <w:noWrap/>
            <w:vAlign w:val="center"/>
            <w:hideMark/>
          </w:tcPr>
          <w:p w14:paraId="53DD44B8"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56,571</w:t>
            </w:r>
          </w:p>
        </w:tc>
        <w:tc>
          <w:tcPr>
            <w:tcW w:w="3014" w:type="dxa"/>
            <w:tcBorders>
              <w:top w:val="nil"/>
              <w:left w:val="nil"/>
              <w:bottom w:val="single" w:sz="8" w:space="0" w:color="auto"/>
              <w:right w:val="single" w:sz="8" w:space="0" w:color="auto"/>
            </w:tcBorders>
            <w:shd w:val="clear" w:color="auto" w:fill="auto"/>
            <w:noWrap/>
            <w:vAlign w:val="center"/>
            <w:hideMark/>
          </w:tcPr>
          <w:p w14:paraId="6AA234D6"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61%</w:t>
            </w:r>
          </w:p>
        </w:tc>
      </w:tr>
      <w:tr w:rsidR="00B97C33" w:rsidRPr="00B97C33" w14:paraId="3B6ABC80"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6ECFADDD"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2013</w:t>
            </w:r>
          </w:p>
        </w:tc>
        <w:tc>
          <w:tcPr>
            <w:tcW w:w="3014" w:type="dxa"/>
            <w:tcBorders>
              <w:top w:val="nil"/>
              <w:left w:val="nil"/>
              <w:bottom w:val="single" w:sz="8" w:space="0" w:color="auto"/>
              <w:right w:val="single" w:sz="8" w:space="0" w:color="auto"/>
            </w:tcBorders>
            <w:shd w:val="clear" w:color="auto" w:fill="auto"/>
            <w:noWrap/>
            <w:vAlign w:val="center"/>
            <w:hideMark/>
          </w:tcPr>
          <w:p w14:paraId="304DDDB7"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57,434</w:t>
            </w:r>
          </w:p>
        </w:tc>
        <w:tc>
          <w:tcPr>
            <w:tcW w:w="3014" w:type="dxa"/>
            <w:tcBorders>
              <w:top w:val="nil"/>
              <w:left w:val="nil"/>
              <w:bottom w:val="single" w:sz="8" w:space="0" w:color="auto"/>
              <w:right w:val="single" w:sz="8" w:space="0" w:color="auto"/>
            </w:tcBorders>
            <w:shd w:val="clear" w:color="auto" w:fill="auto"/>
            <w:noWrap/>
            <w:vAlign w:val="center"/>
            <w:hideMark/>
          </w:tcPr>
          <w:p w14:paraId="363F74A5"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w:t>
            </w:r>
          </w:p>
        </w:tc>
      </w:tr>
      <w:tr w:rsidR="00B97C33" w:rsidRPr="00B97C33" w14:paraId="50FAD14D"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08CE5D2F"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2014</w:t>
            </w:r>
          </w:p>
        </w:tc>
        <w:tc>
          <w:tcPr>
            <w:tcW w:w="3014" w:type="dxa"/>
            <w:tcBorders>
              <w:top w:val="nil"/>
              <w:left w:val="nil"/>
              <w:bottom w:val="single" w:sz="8" w:space="0" w:color="auto"/>
              <w:right w:val="single" w:sz="8" w:space="0" w:color="auto"/>
            </w:tcBorders>
            <w:shd w:val="clear" w:color="auto" w:fill="auto"/>
            <w:noWrap/>
            <w:vAlign w:val="center"/>
            <w:hideMark/>
          </w:tcPr>
          <w:p w14:paraId="6FD99004"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77,407</w:t>
            </w:r>
          </w:p>
        </w:tc>
        <w:tc>
          <w:tcPr>
            <w:tcW w:w="3014" w:type="dxa"/>
            <w:tcBorders>
              <w:top w:val="nil"/>
              <w:left w:val="nil"/>
              <w:bottom w:val="single" w:sz="8" w:space="0" w:color="auto"/>
              <w:right w:val="single" w:sz="8" w:space="0" w:color="auto"/>
            </w:tcBorders>
            <w:shd w:val="clear" w:color="auto" w:fill="auto"/>
            <w:noWrap/>
            <w:vAlign w:val="center"/>
            <w:hideMark/>
          </w:tcPr>
          <w:p w14:paraId="0876CF49"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35%</w:t>
            </w:r>
          </w:p>
        </w:tc>
      </w:tr>
      <w:tr w:rsidR="00B97C33" w:rsidRPr="00B97C33" w14:paraId="793E7DD6"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413C5023"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2015</w:t>
            </w:r>
          </w:p>
        </w:tc>
        <w:tc>
          <w:tcPr>
            <w:tcW w:w="3014" w:type="dxa"/>
            <w:tcBorders>
              <w:top w:val="nil"/>
              <w:left w:val="nil"/>
              <w:bottom w:val="single" w:sz="8" w:space="0" w:color="auto"/>
              <w:right w:val="single" w:sz="8" w:space="0" w:color="auto"/>
            </w:tcBorders>
            <w:shd w:val="clear" w:color="auto" w:fill="auto"/>
            <w:noWrap/>
            <w:vAlign w:val="center"/>
            <w:hideMark/>
          </w:tcPr>
          <w:p w14:paraId="41DB2E66"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64,277</w:t>
            </w:r>
          </w:p>
        </w:tc>
        <w:tc>
          <w:tcPr>
            <w:tcW w:w="3014" w:type="dxa"/>
            <w:tcBorders>
              <w:top w:val="nil"/>
              <w:left w:val="nil"/>
              <w:bottom w:val="single" w:sz="8" w:space="0" w:color="auto"/>
              <w:right w:val="single" w:sz="8" w:space="0" w:color="auto"/>
            </w:tcBorders>
            <w:shd w:val="clear" w:color="auto" w:fill="auto"/>
            <w:noWrap/>
            <w:vAlign w:val="center"/>
            <w:hideMark/>
          </w:tcPr>
          <w:p w14:paraId="108FD72C"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-17%</w:t>
            </w:r>
          </w:p>
        </w:tc>
      </w:tr>
      <w:tr w:rsidR="00B97C33" w:rsidRPr="00B97C33" w14:paraId="41D59DD0"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6D6E6630"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2016</w:t>
            </w:r>
          </w:p>
        </w:tc>
        <w:tc>
          <w:tcPr>
            <w:tcW w:w="3014" w:type="dxa"/>
            <w:tcBorders>
              <w:top w:val="nil"/>
              <w:left w:val="nil"/>
              <w:bottom w:val="single" w:sz="8" w:space="0" w:color="auto"/>
              <w:right w:val="single" w:sz="8" w:space="0" w:color="auto"/>
            </w:tcBorders>
            <w:shd w:val="clear" w:color="auto" w:fill="auto"/>
            <w:noWrap/>
            <w:vAlign w:val="center"/>
            <w:hideMark/>
          </w:tcPr>
          <w:p w14:paraId="3F532B8F"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56,592</w:t>
            </w:r>
          </w:p>
        </w:tc>
        <w:tc>
          <w:tcPr>
            <w:tcW w:w="3014" w:type="dxa"/>
            <w:tcBorders>
              <w:top w:val="nil"/>
              <w:left w:val="nil"/>
              <w:bottom w:val="single" w:sz="8" w:space="0" w:color="auto"/>
              <w:right w:val="single" w:sz="8" w:space="0" w:color="auto"/>
            </w:tcBorders>
            <w:shd w:val="clear" w:color="auto" w:fill="auto"/>
            <w:noWrap/>
            <w:vAlign w:val="center"/>
            <w:hideMark/>
          </w:tcPr>
          <w:p w14:paraId="74BAEAFB"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-12%</w:t>
            </w:r>
          </w:p>
        </w:tc>
      </w:tr>
      <w:tr w:rsidR="00B97C33" w:rsidRPr="00B97C33" w14:paraId="3423392E"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3B140D81"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2017</w:t>
            </w:r>
          </w:p>
        </w:tc>
        <w:tc>
          <w:tcPr>
            <w:tcW w:w="3014" w:type="dxa"/>
            <w:tcBorders>
              <w:top w:val="nil"/>
              <w:left w:val="nil"/>
              <w:bottom w:val="single" w:sz="8" w:space="0" w:color="auto"/>
              <w:right w:val="single" w:sz="8" w:space="0" w:color="auto"/>
            </w:tcBorders>
            <w:shd w:val="clear" w:color="auto" w:fill="auto"/>
            <w:noWrap/>
            <w:vAlign w:val="center"/>
            <w:hideMark/>
          </w:tcPr>
          <w:p w14:paraId="0B56D8A5"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51,246</w:t>
            </w:r>
          </w:p>
        </w:tc>
        <w:tc>
          <w:tcPr>
            <w:tcW w:w="3014" w:type="dxa"/>
            <w:tcBorders>
              <w:top w:val="nil"/>
              <w:left w:val="nil"/>
              <w:bottom w:val="single" w:sz="8" w:space="0" w:color="auto"/>
              <w:right w:val="single" w:sz="8" w:space="0" w:color="auto"/>
            </w:tcBorders>
            <w:shd w:val="clear" w:color="auto" w:fill="auto"/>
            <w:noWrap/>
            <w:vAlign w:val="center"/>
            <w:hideMark/>
          </w:tcPr>
          <w:p w14:paraId="1DC1F00F"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-9%</w:t>
            </w:r>
          </w:p>
        </w:tc>
      </w:tr>
      <w:tr w:rsidR="00B97C33" w:rsidRPr="00B97C33" w14:paraId="10CB09C8"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4655695C"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2018</w:t>
            </w:r>
          </w:p>
        </w:tc>
        <w:tc>
          <w:tcPr>
            <w:tcW w:w="3014" w:type="dxa"/>
            <w:tcBorders>
              <w:top w:val="nil"/>
              <w:left w:val="nil"/>
              <w:bottom w:val="single" w:sz="8" w:space="0" w:color="auto"/>
              <w:right w:val="single" w:sz="8" w:space="0" w:color="auto"/>
            </w:tcBorders>
            <w:shd w:val="clear" w:color="auto" w:fill="auto"/>
            <w:noWrap/>
            <w:vAlign w:val="center"/>
            <w:hideMark/>
          </w:tcPr>
          <w:p w14:paraId="55B7CB7B"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59,156</w:t>
            </w:r>
          </w:p>
        </w:tc>
        <w:tc>
          <w:tcPr>
            <w:tcW w:w="3014" w:type="dxa"/>
            <w:tcBorders>
              <w:top w:val="nil"/>
              <w:left w:val="nil"/>
              <w:bottom w:val="single" w:sz="8" w:space="0" w:color="auto"/>
              <w:right w:val="single" w:sz="8" w:space="0" w:color="auto"/>
            </w:tcBorders>
            <w:shd w:val="clear" w:color="auto" w:fill="auto"/>
            <w:noWrap/>
            <w:vAlign w:val="center"/>
            <w:hideMark/>
          </w:tcPr>
          <w:p w14:paraId="07061E74"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15%</w:t>
            </w:r>
          </w:p>
        </w:tc>
      </w:tr>
      <w:tr w:rsidR="00B97C33" w:rsidRPr="00B97C33" w14:paraId="78C74D6D"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5842F5A0"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2019</w:t>
            </w:r>
          </w:p>
        </w:tc>
        <w:tc>
          <w:tcPr>
            <w:tcW w:w="3014" w:type="dxa"/>
            <w:tcBorders>
              <w:top w:val="nil"/>
              <w:left w:val="nil"/>
              <w:bottom w:val="single" w:sz="8" w:space="0" w:color="auto"/>
              <w:right w:val="single" w:sz="8" w:space="0" w:color="auto"/>
            </w:tcBorders>
            <w:shd w:val="clear" w:color="auto" w:fill="auto"/>
            <w:noWrap/>
            <w:vAlign w:val="center"/>
            <w:hideMark/>
          </w:tcPr>
          <w:p w14:paraId="1BD5EF44"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66,661</w:t>
            </w:r>
          </w:p>
        </w:tc>
        <w:tc>
          <w:tcPr>
            <w:tcW w:w="3014" w:type="dxa"/>
            <w:tcBorders>
              <w:top w:val="nil"/>
              <w:left w:val="nil"/>
              <w:bottom w:val="single" w:sz="8" w:space="0" w:color="auto"/>
              <w:right w:val="single" w:sz="8" w:space="0" w:color="auto"/>
            </w:tcBorders>
            <w:shd w:val="clear" w:color="auto" w:fill="auto"/>
            <w:noWrap/>
            <w:vAlign w:val="center"/>
            <w:hideMark/>
          </w:tcPr>
          <w:p w14:paraId="7948CC01"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13%</w:t>
            </w:r>
          </w:p>
        </w:tc>
      </w:tr>
      <w:tr w:rsidR="00B97C33" w:rsidRPr="00B97C33" w14:paraId="48CA6479"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10F25399"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2020</w:t>
            </w:r>
          </w:p>
        </w:tc>
        <w:tc>
          <w:tcPr>
            <w:tcW w:w="3014" w:type="dxa"/>
            <w:tcBorders>
              <w:top w:val="nil"/>
              <w:left w:val="nil"/>
              <w:bottom w:val="single" w:sz="8" w:space="0" w:color="auto"/>
              <w:right w:val="single" w:sz="8" w:space="0" w:color="auto"/>
            </w:tcBorders>
            <w:shd w:val="clear" w:color="auto" w:fill="auto"/>
            <w:noWrap/>
            <w:vAlign w:val="center"/>
            <w:hideMark/>
          </w:tcPr>
          <w:p w14:paraId="3B7DD7F1"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56,751</w:t>
            </w:r>
          </w:p>
        </w:tc>
        <w:tc>
          <w:tcPr>
            <w:tcW w:w="3014" w:type="dxa"/>
            <w:tcBorders>
              <w:top w:val="nil"/>
              <w:left w:val="nil"/>
              <w:bottom w:val="single" w:sz="8" w:space="0" w:color="auto"/>
              <w:right w:val="single" w:sz="8" w:space="0" w:color="auto"/>
            </w:tcBorders>
            <w:shd w:val="clear" w:color="auto" w:fill="auto"/>
            <w:noWrap/>
            <w:vAlign w:val="center"/>
            <w:hideMark/>
          </w:tcPr>
          <w:p w14:paraId="65D21DB4" w14:textId="77777777" w:rsidR="00B97C33" w:rsidRPr="009A5E3F" w:rsidRDefault="00B97C33" w:rsidP="00671178">
            <w:pPr>
              <w:spacing w:line="240" w:lineRule="auto"/>
              <w:jc w:val="center"/>
              <w:rPr>
                <w:rFonts w:eastAsia="Times New Roman"/>
                <w:noProof w:val="0"/>
                <w:color w:val="000000"/>
                <w:sz w:val="20"/>
                <w:szCs w:val="20"/>
              </w:rPr>
            </w:pPr>
            <w:r w:rsidRPr="009A5E3F">
              <w:rPr>
                <w:rFonts w:eastAsia="Times New Roman"/>
                <w:noProof w:val="0"/>
                <w:color w:val="000000"/>
                <w:sz w:val="20"/>
                <w:szCs w:val="20"/>
              </w:rPr>
              <w:t>-15%</w:t>
            </w:r>
          </w:p>
        </w:tc>
      </w:tr>
    </w:tbl>
    <w:p w14:paraId="177D46E2" w14:textId="77777777" w:rsidR="00B97C33" w:rsidRPr="001B22ED" w:rsidRDefault="00B97C33" w:rsidP="00B97C33">
      <w:pPr>
        <w:pBdr>
          <w:top w:val="nil"/>
          <w:left w:val="nil"/>
          <w:bottom w:val="nil"/>
          <w:right w:val="nil"/>
          <w:between w:val="nil"/>
        </w:pBdr>
        <w:spacing w:after="200" w:line="240" w:lineRule="auto"/>
        <w:jc w:val="left"/>
        <w:rPr>
          <w:rStyle w:val="IntenseReference"/>
          <w:rFonts w:ascii="Times New Roman" w:hAnsi="Times New Roman"/>
          <w:bCs w:val="0"/>
          <w:color w:val="auto"/>
          <w:spacing w:val="0"/>
          <w:sz w:val="28"/>
          <w:szCs w:val="28"/>
        </w:rPr>
      </w:pPr>
      <w:r w:rsidRPr="00FE6E9E">
        <w:rPr>
          <w:rStyle w:val="IntenseReference"/>
          <w:rFonts w:ascii="Times New Roman" w:hAnsi="Times New Roman"/>
          <w:color w:val="000000" w:themeColor="text1"/>
          <w:sz w:val="20"/>
          <w:szCs w:val="28"/>
        </w:rPr>
        <w:t>Source: consolidated data from various CTFJ's annual report</w:t>
      </w:r>
    </w:p>
    <w:p w14:paraId="54C21D54" w14:textId="77777777" w:rsidR="00B97C33" w:rsidRDefault="00B97C33" w:rsidP="009B12BC"/>
    <w:p w14:paraId="4D1074A8" w14:textId="77777777" w:rsidR="00F7064D" w:rsidRDefault="00B97C33" w:rsidP="00B97C33">
      <w:r>
        <w:t>Although CTFJ adopted</w:t>
      </w:r>
      <w:r w:rsidR="001B22ED" w:rsidRPr="005B1C31">
        <w:t xml:space="preserve"> </w:t>
      </w:r>
      <w:r>
        <w:t xml:space="preserve">a </w:t>
      </w:r>
      <w:r w:rsidR="001B22ED" w:rsidRPr="005B1C31">
        <w:t xml:space="preserve">fast expansion to Mainland China </w:t>
      </w:r>
      <w:r>
        <w:t xml:space="preserve">that </w:t>
      </w:r>
      <w:r w:rsidR="001B22ED" w:rsidRPr="005B1C31">
        <w:t>provide</w:t>
      </w:r>
      <w:r>
        <w:t>d</w:t>
      </w:r>
      <w:r w:rsidR="001B22ED" w:rsidRPr="005B1C31">
        <w:t xml:space="preserve"> </w:t>
      </w:r>
      <w:r>
        <w:t xml:space="preserve">a </w:t>
      </w:r>
      <w:r w:rsidR="001B22ED" w:rsidRPr="005B1C31">
        <w:t>revenue diversification to its traditional Hong Kong and Macau markets</w:t>
      </w:r>
      <w:r>
        <w:t>, it was still affected by the COVID-19 situation</w:t>
      </w:r>
      <w:r w:rsidR="001B22ED" w:rsidRPr="005B1C31">
        <w:t>.</w:t>
      </w:r>
      <w:r w:rsidR="001B22ED">
        <w:t xml:space="preserve"> </w:t>
      </w:r>
      <w:r w:rsidR="00A86D26" w:rsidRPr="005B1C31">
        <w:t xml:space="preserve">The </w:t>
      </w:r>
      <w:r w:rsidR="009B12BC" w:rsidRPr="005B1C31">
        <w:t xml:space="preserve">Same-Store Sales Growth </w:t>
      </w:r>
      <w:r w:rsidR="00674BD8">
        <w:t>(</w:t>
      </w:r>
      <w:r w:rsidR="009B12BC" w:rsidRPr="005B1C31">
        <w:t>"SSSG"</w:t>
      </w:r>
      <w:r w:rsidR="00674BD8">
        <w:t>)</w:t>
      </w:r>
      <w:r w:rsidR="009B12BC" w:rsidRPr="005B1C31">
        <w:t xml:space="preserve"> in </w:t>
      </w:r>
      <w:r w:rsidR="00A86D26" w:rsidRPr="005B1C31">
        <w:t xml:space="preserve">Mainland China for </w:t>
      </w:r>
      <w:r w:rsidR="009B12BC" w:rsidRPr="005B1C31">
        <w:t xml:space="preserve">the first nine months of </w:t>
      </w:r>
      <w:r w:rsidR="008619EE" w:rsidRPr="005B1C31">
        <w:t xml:space="preserve"> </w:t>
      </w:r>
      <w:r w:rsidR="009B12BC" w:rsidRPr="005B1C31">
        <w:t>FY2020 stayed positive at 2.3%</w:t>
      </w:r>
      <w:r w:rsidR="008B2F4C" w:rsidRPr="005B1C31">
        <w:t>,</w:t>
      </w:r>
      <w:r w:rsidR="009B12BC" w:rsidRPr="005B1C31">
        <w:t xml:space="preserve"> while it plummeted to negative 49.5% in 4QFY2020 (Figure </w:t>
      </w:r>
      <w:r w:rsidR="00A20963">
        <w:t>1</w:t>
      </w:r>
      <w:r w:rsidR="009B12BC" w:rsidRPr="005B1C31">
        <w:t>). As a result, SSS</w:t>
      </w:r>
      <w:r w:rsidR="00A86D26" w:rsidRPr="005B1C31">
        <w:t>G</w:t>
      </w:r>
      <w:r w:rsidR="009B12BC" w:rsidRPr="005B1C31">
        <w:t xml:space="preserve"> in </w:t>
      </w:r>
      <w:r w:rsidR="0090265E" w:rsidRPr="005B1C31">
        <w:t>Mainland</w:t>
      </w:r>
      <w:r w:rsidR="009B12BC" w:rsidRPr="005B1C31">
        <w:t xml:space="preserve"> China dropped by 15.1% </w:t>
      </w:r>
      <w:sdt>
        <w:sdtPr>
          <w:id w:val="-1996018193"/>
          <w:citation/>
        </w:sdtPr>
        <w:sdtContent>
          <w:r w:rsidR="00A86D26" w:rsidRPr="005B1C31">
            <w:fldChar w:fldCharType="begin"/>
          </w:r>
          <w:r w:rsidR="00A86D26" w:rsidRPr="005B1C31">
            <w:instrText xml:space="preserve">CITATION Cho201 \p 5 \l 1033 </w:instrText>
          </w:r>
          <w:r w:rsidR="00A86D26" w:rsidRPr="005B1C31">
            <w:fldChar w:fldCharType="separate"/>
          </w:r>
          <w:r w:rsidR="00A86D26" w:rsidRPr="005B1C31">
            <w:t>(Chow Tai Fook, 2020, p. 5)</w:t>
          </w:r>
          <w:r w:rsidR="00A86D26" w:rsidRPr="005B1C31">
            <w:fldChar w:fldCharType="end"/>
          </w:r>
        </w:sdtContent>
      </w:sdt>
      <w:r w:rsidR="00A86D26" w:rsidRPr="005B1C31">
        <w:t xml:space="preserve"> </w:t>
      </w:r>
      <w:r w:rsidR="009B12BC" w:rsidRPr="005B1C31">
        <w:t xml:space="preserve">during FY2020. Yet, </w:t>
      </w:r>
      <w:r w:rsidR="00A86D26" w:rsidRPr="005B1C31">
        <w:t xml:space="preserve">the </w:t>
      </w:r>
      <w:r w:rsidR="009B12BC" w:rsidRPr="005B1C31">
        <w:t xml:space="preserve">Same Store </w:t>
      </w:r>
      <w:r w:rsidR="0052038F" w:rsidRPr="005B1C31">
        <w:t>A</w:t>
      </w:r>
      <w:r w:rsidR="009B12BC" w:rsidRPr="005B1C31">
        <w:t xml:space="preserve">verage </w:t>
      </w:r>
      <w:r w:rsidR="0052038F" w:rsidRPr="005B1C31">
        <w:t>S</w:t>
      </w:r>
      <w:r w:rsidR="009B12BC" w:rsidRPr="005B1C31">
        <w:t xml:space="preserve">elling </w:t>
      </w:r>
      <w:r w:rsidR="0052038F" w:rsidRPr="005B1C31">
        <w:t>P</w:t>
      </w:r>
      <w:r w:rsidR="009B12BC" w:rsidRPr="005B1C31">
        <w:t xml:space="preserve">rice </w:t>
      </w:r>
      <w:r w:rsidR="00674BD8">
        <w:t>(</w:t>
      </w:r>
      <w:r w:rsidR="009B12BC" w:rsidRPr="005B1C31">
        <w:t>"ASP"</w:t>
      </w:r>
      <w:r w:rsidR="00674BD8">
        <w:t>)</w:t>
      </w:r>
      <w:r w:rsidR="009B12BC" w:rsidRPr="005B1C31">
        <w:t xml:space="preserve"> stayed on a favorable trend with </w:t>
      </w:r>
      <w:r w:rsidR="008B2F4C" w:rsidRPr="005B1C31">
        <w:t xml:space="preserve">an </w:t>
      </w:r>
      <w:r w:rsidR="009B12BC" w:rsidRPr="005B1C31">
        <w:t xml:space="preserve">11.7% increment in FY2020. Including e-commerce business, </w:t>
      </w:r>
      <w:r w:rsidR="0090265E" w:rsidRPr="005B1C31">
        <w:t>Mainland</w:t>
      </w:r>
      <w:r w:rsidR="009B12BC" w:rsidRPr="005B1C31">
        <w:t xml:space="preserve"> China SSS dropped approximately 14.0%, with SSS volume declined by 21.0%</w:t>
      </w:r>
      <w:r w:rsidR="00A86D26" w:rsidRPr="005B1C31">
        <w:t xml:space="preserve"> </w:t>
      </w:r>
      <w:sdt>
        <w:sdtPr>
          <w:id w:val="-2090066427"/>
          <w:citation/>
        </w:sdtPr>
        <w:sdtContent>
          <w:r w:rsidR="00A86D26" w:rsidRPr="005B1C31">
            <w:fldChar w:fldCharType="begin"/>
          </w:r>
          <w:r w:rsidR="00A86D26" w:rsidRPr="005B1C31">
            <w:instrText xml:space="preserve">CITATION Cho201 \p 44 \l 1033 </w:instrText>
          </w:r>
          <w:r w:rsidR="00A86D26" w:rsidRPr="005B1C31">
            <w:fldChar w:fldCharType="separate"/>
          </w:r>
          <w:r w:rsidR="00A86D26" w:rsidRPr="005B1C31">
            <w:t>(Chow Tai Fook, 2020, p. 44)</w:t>
          </w:r>
          <w:r w:rsidR="00A86D26" w:rsidRPr="005B1C31">
            <w:fldChar w:fldCharType="end"/>
          </w:r>
        </w:sdtContent>
      </w:sdt>
      <w:r w:rsidR="009B12BC" w:rsidRPr="005B1C31">
        <w:t xml:space="preserve">. </w:t>
      </w:r>
      <w:r>
        <w:t>Still, the SSSG in China was advanced than Hong Kong by one quarter and had bounced back to a positive level in 2QFY21</w:t>
      </w:r>
      <w:r w:rsidR="00F7064D">
        <w:t xml:space="preserve"> (Figure 1)</w:t>
      </w:r>
      <w:r>
        <w:t xml:space="preserve">. </w:t>
      </w:r>
    </w:p>
    <w:p w14:paraId="50F5B8BC" w14:textId="77777777" w:rsidR="00F7064D" w:rsidRDefault="00F7064D" w:rsidP="00B97C33"/>
    <w:p w14:paraId="5C7895C6" w14:textId="153BEF51" w:rsidR="00B97C33" w:rsidRDefault="00B97C33" w:rsidP="00B97C33">
      <w:r w:rsidRPr="005B1C31">
        <w:t xml:space="preserve">In </w:t>
      </w:r>
      <w:r>
        <w:t>contrast</w:t>
      </w:r>
      <w:r w:rsidRPr="005B1C31">
        <w:t>,</w:t>
      </w:r>
      <w:r>
        <w:t xml:space="preserve"> Hong Kong's business performance was further shadowed by the sluggish business environment, resulted in</w:t>
      </w:r>
      <w:r w:rsidRPr="005B1C31">
        <w:t xml:space="preserve"> a decrease of 38.7% in SSSG during FY2020 </w:t>
      </w:r>
      <w:sdt>
        <w:sdtPr>
          <w:id w:val="-1226826435"/>
          <w:citation/>
        </w:sdtPr>
        <w:sdtContent>
          <w:r w:rsidRPr="005B1C31">
            <w:fldChar w:fldCharType="begin"/>
          </w:r>
          <w:r w:rsidRPr="005B1C31">
            <w:instrText xml:space="preserve">CITATION Cho201 \p 5 \l 1033 </w:instrText>
          </w:r>
          <w:r w:rsidRPr="005B1C31">
            <w:fldChar w:fldCharType="separate"/>
          </w:r>
          <w:r w:rsidRPr="005B1C31">
            <w:t xml:space="preserve">(Chow Tai Fook, 2020, </w:t>
          </w:r>
          <w:r w:rsidRPr="005B1C31">
            <w:lastRenderedPageBreak/>
            <w:t>p. 5)</w:t>
          </w:r>
          <w:r w:rsidRPr="005B1C31">
            <w:fldChar w:fldCharType="end"/>
          </w:r>
        </w:sdtContent>
      </w:sdt>
      <w:r w:rsidRPr="005B1C31">
        <w:t xml:space="preserve">. SSSG was down by </w:t>
      </w:r>
      <w:r>
        <w:t>75.5</w:t>
      </w:r>
      <w:r w:rsidRPr="005B1C31">
        <w:t xml:space="preserve">% during </w:t>
      </w:r>
      <w:r>
        <w:t>1QFY</w:t>
      </w:r>
      <w:r w:rsidRPr="005B1C31">
        <w:t>2021 as customer traffic remained stagnant (</w:t>
      </w:r>
      <w:r>
        <w:t>Figure</w:t>
      </w:r>
      <w:r w:rsidR="00F7064D">
        <w:t xml:space="preserve"> 1</w:t>
      </w:r>
      <w:r w:rsidRPr="005B1C31">
        <w:t>). In fact, SSSG decline narrowed in 2QFY2021 thanks to a lower base of comparison.</w:t>
      </w:r>
    </w:p>
    <w:p w14:paraId="3758B298" w14:textId="77777777" w:rsidR="008C7D1F" w:rsidRDefault="008C7D1F" w:rsidP="00B97C33"/>
    <w:p w14:paraId="35BF7DB3" w14:textId="4DC4D7EC" w:rsidR="00702543" w:rsidRPr="005B1C31" w:rsidRDefault="00702543" w:rsidP="00702543">
      <w:pPr>
        <w:pStyle w:val="Heading2"/>
      </w:pPr>
      <w:bookmarkStart w:id="12" w:name="_Toc64840478"/>
      <w:r w:rsidRPr="005B1C31">
        <w:t>Industry competition</w:t>
      </w:r>
      <w:bookmarkEnd w:id="12"/>
    </w:p>
    <w:p w14:paraId="5E66C2E8" w14:textId="77777777" w:rsidR="00F7064D" w:rsidRDefault="0015749B" w:rsidP="00F7064D">
      <w:r w:rsidRPr="005B1C31">
        <w:t xml:space="preserve">CTFJ is leading far beyond its competitors in terms of the market cap </w:t>
      </w:r>
      <w:r w:rsidR="00B97C33">
        <w:t xml:space="preserve">at 74% </w:t>
      </w:r>
      <w:r w:rsidR="00B97C33" w:rsidRPr="005B1C31">
        <w:t xml:space="preserve">(Figure </w:t>
      </w:r>
      <w:r w:rsidR="00B97C33">
        <w:t>3</w:t>
      </w:r>
      <w:r w:rsidR="00B97C33" w:rsidRPr="005B1C31">
        <w:t>)</w:t>
      </w:r>
      <w:r w:rsidRPr="005B1C31">
        <w:t>. It shows CTFJ is the major player in the industry</w:t>
      </w:r>
      <w:r w:rsidR="001900B1">
        <w:t xml:space="preserve"> and indeed an oligopoly competition. </w:t>
      </w:r>
      <w:r w:rsidR="00F7064D" w:rsidRPr="005B1C31">
        <w:t xml:space="preserve">Its massive foothold in China attributes CTFJ's strong performance, represents 63.7% of its total revenue in FY2019 </w:t>
      </w:r>
      <w:sdt>
        <w:sdtPr>
          <w:id w:val="-1007982936"/>
          <w:citation/>
        </w:sdtPr>
        <w:sdtContent>
          <w:r w:rsidR="00F7064D" w:rsidRPr="005B1C31">
            <w:fldChar w:fldCharType="begin"/>
          </w:r>
          <w:r w:rsidR="00F7064D" w:rsidRPr="005B1C31">
            <w:instrText xml:space="preserve">CITATION Cho19 \p 228 \l 1033 </w:instrText>
          </w:r>
          <w:r w:rsidR="00F7064D" w:rsidRPr="005B1C31">
            <w:fldChar w:fldCharType="separate"/>
          </w:r>
          <w:r w:rsidR="00F7064D" w:rsidRPr="005B1C31">
            <w:t>(Chow Tai Fook, 2019, p. 228)</w:t>
          </w:r>
          <w:r w:rsidR="00F7064D" w:rsidRPr="005B1C31">
            <w:fldChar w:fldCharType="end"/>
          </w:r>
        </w:sdtContent>
      </w:sdt>
      <w:r w:rsidR="00F7064D" w:rsidRPr="005B1C31">
        <w:t xml:space="preserve">. Compared to Look Fuk and Tse Sui Luen, who are gradually growing in China. Overall, the </w:t>
      </w:r>
      <w:r w:rsidR="00F7064D">
        <w:t>revenue generated from the Hong Kong market</w:t>
      </w:r>
      <w:r w:rsidR="00F7064D" w:rsidRPr="005B1C31">
        <w:t xml:space="preserve"> is declining within the </w:t>
      </w:r>
      <w:r w:rsidR="00F7064D">
        <w:t xml:space="preserve">jewellery </w:t>
      </w:r>
      <w:r w:rsidR="00F7064D" w:rsidRPr="005B1C31">
        <w:t xml:space="preserve">industry </w:t>
      </w:r>
      <w:r w:rsidR="00F7064D">
        <w:t xml:space="preserve">between 2017 and 2019. It is further reducing in 2020 due to the COVID-19 pandemic. </w:t>
      </w:r>
    </w:p>
    <w:p w14:paraId="6E635206" w14:textId="27503592" w:rsidR="0015749B" w:rsidRDefault="0015749B" w:rsidP="0015749B"/>
    <w:p w14:paraId="2FA0CF13" w14:textId="2C0DAD94" w:rsidR="008619EE" w:rsidRPr="005B1C31" w:rsidRDefault="009835DD" w:rsidP="00B97C33">
      <w:pPr>
        <w:pStyle w:val="Caption"/>
        <w:jc w:val="left"/>
      </w:pPr>
      <w:bookmarkStart w:id="13" w:name="_Toc63295614"/>
      <w:bookmarkStart w:id="14" w:name="_Toc63295630"/>
      <w:r w:rsidRPr="00B97C33">
        <w:rPr>
          <w:sz w:val="24"/>
          <w:szCs w:val="24"/>
        </w:rPr>
        <w:t xml:space="preserve">Figure </w:t>
      </w:r>
      <w:r w:rsidR="00F7064D">
        <w:rPr>
          <w:sz w:val="24"/>
          <w:szCs w:val="24"/>
        </w:rPr>
        <w:fldChar w:fldCharType="begin"/>
      </w:r>
      <w:r w:rsidR="00F7064D">
        <w:rPr>
          <w:sz w:val="24"/>
          <w:szCs w:val="24"/>
        </w:rPr>
        <w:instrText xml:space="preserve"> SEQ Figure \* ARABIC </w:instrText>
      </w:r>
      <w:r w:rsidR="00F7064D">
        <w:rPr>
          <w:sz w:val="24"/>
          <w:szCs w:val="24"/>
        </w:rPr>
        <w:fldChar w:fldCharType="separate"/>
      </w:r>
      <w:r w:rsidR="00A806F0">
        <w:rPr>
          <w:sz w:val="24"/>
          <w:szCs w:val="24"/>
        </w:rPr>
        <w:t>4</w:t>
      </w:r>
      <w:r w:rsidR="00F7064D">
        <w:rPr>
          <w:sz w:val="24"/>
          <w:szCs w:val="24"/>
        </w:rPr>
        <w:fldChar w:fldCharType="end"/>
      </w:r>
      <w:r w:rsidRPr="00B97C33">
        <w:rPr>
          <w:sz w:val="24"/>
          <w:szCs w:val="24"/>
        </w:rPr>
        <w:t xml:space="preserve">: </w:t>
      </w:r>
      <w:r w:rsidR="009711D9">
        <w:rPr>
          <w:sz w:val="24"/>
          <w:szCs w:val="24"/>
        </w:rPr>
        <w:t>T</w:t>
      </w:r>
      <w:r w:rsidR="008619EE" w:rsidRPr="00B97C33">
        <w:rPr>
          <w:sz w:val="24"/>
          <w:szCs w:val="24"/>
        </w:rPr>
        <w:t xml:space="preserve">op 10 </w:t>
      </w:r>
      <w:r w:rsidR="009711D9">
        <w:rPr>
          <w:sz w:val="24"/>
          <w:szCs w:val="24"/>
        </w:rPr>
        <w:t>Market Cap of Hong Kong</w:t>
      </w:r>
      <w:r w:rsidR="00B97C33">
        <w:rPr>
          <w:sz w:val="24"/>
          <w:szCs w:val="24"/>
        </w:rPr>
        <w:t xml:space="preserve"> </w:t>
      </w:r>
      <w:r w:rsidR="00A36CD0" w:rsidRPr="00B97C33">
        <w:rPr>
          <w:sz w:val="24"/>
          <w:szCs w:val="24"/>
        </w:rPr>
        <w:t xml:space="preserve">Watch and Jewellery </w:t>
      </w:r>
      <w:r w:rsidR="008619EE" w:rsidRPr="00B97C33">
        <w:rPr>
          <w:sz w:val="24"/>
          <w:szCs w:val="24"/>
        </w:rPr>
        <w:t xml:space="preserve">companies </w:t>
      </w:r>
      <w:r w:rsidR="00EE2C5C" w:rsidRPr="00B97C33">
        <w:rPr>
          <w:sz w:val="24"/>
          <w:szCs w:val="24"/>
        </w:rPr>
        <w:t xml:space="preserve">in </w:t>
      </w:r>
      <w:bookmarkEnd w:id="13"/>
      <w:bookmarkEnd w:id="14"/>
      <w:r w:rsidR="00B97C33">
        <w:rPr>
          <w:sz w:val="24"/>
          <w:szCs w:val="24"/>
        </w:rPr>
        <w:t>2020</w:t>
      </w:r>
    </w:p>
    <w:p w14:paraId="6DC5FDCB" w14:textId="6D45E864" w:rsidR="008619EE" w:rsidRPr="005B1C31" w:rsidRDefault="00B97C33" w:rsidP="00E621DF">
      <w:pPr>
        <w:snapToGrid w:val="0"/>
        <w:spacing w:line="240" w:lineRule="auto"/>
        <w:jc w:val="center"/>
      </w:pPr>
      <w:r>
        <w:drawing>
          <wp:inline distT="0" distB="0" distL="0" distR="0" wp14:anchorId="2DF13C71" wp14:editId="4B6849D4">
            <wp:extent cx="5759450" cy="4194313"/>
            <wp:effectExtent l="0" t="0" r="12700" b="15875"/>
            <wp:docPr id="5" name="Chart 5">
              <a:extLst xmlns:a="http://schemas.openxmlformats.org/drawingml/2006/main">
                <a:ext uri="{FF2B5EF4-FFF2-40B4-BE49-F238E27FC236}">
                  <a16:creationId xmlns:a16="http://schemas.microsoft.com/office/drawing/2014/main" id="{33EC6537-A421-46C5-9DCF-A760B354F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5C295E7" w14:textId="06F0B27B" w:rsidR="008619EE" w:rsidRPr="005B1C31" w:rsidRDefault="008619EE" w:rsidP="00B97C33">
      <w:pPr>
        <w:pBdr>
          <w:top w:val="nil"/>
          <w:left w:val="nil"/>
          <w:bottom w:val="nil"/>
          <w:right w:val="nil"/>
          <w:between w:val="nil"/>
        </w:pBdr>
        <w:snapToGrid w:val="0"/>
        <w:spacing w:after="200" w:line="240" w:lineRule="auto"/>
        <w:jc w:val="left"/>
        <w:rPr>
          <w:rStyle w:val="IntenseReference"/>
          <w:rFonts w:ascii="Times New Roman" w:hAnsi="Times New Roman"/>
          <w:color w:val="000000" w:themeColor="text1"/>
        </w:rPr>
      </w:pPr>
      <w:r w:rsidRPr="005B1C31">
        <w:rPr>
          <w:rStyle w:val="IntenseReference"/>
          <w:rFonts w:ascii="Times New Roman" w:hAnsi="Times New Roman"/>
          <w:color w:val="000000" w:themeColor="text1"/>
        </w:rPr>
        <w:t xml:space="preserve">Source: </w:t>
      </w:r>
      <w:sdt>
        <w:sdtPr>
          <w:rPr>
            <w:rStyle w:val="IntenseReference"/>
            <w:rFonts w:ascii="Times New Roman" w:hAnsi="Times New Roman"/>
            <w:color w:val="000000" w:themeColor="text1"/>
          </w:rPr>
          <w:id w:val="-587152348"/>
          <w:citation/>
        </w:sdtPr>
        <w:sdtContent>
          <w:r w:rsidRPr="005B1C31">
            <w:rPr>
              <w:rStyle w:val="IntenseReference"/>
              <w:rFonts w:ascii="Times New Roman" w:hAnsi="Times New Roman"/>
              <w:color w:val="000000" w:themeColor="text1"/>
            </w:rPr>
            <w:fldChar w:fldCharType="begin"/>
          </w:r>
          <w:r w:rsidRPr="005B1C31">
            <w:rPr>
              <w:rStyle w:val="IntenseReference"/>
              <w:rFonts w:ascii="Times New Roman" w:hAnsi="Times New Roman"/>
              <w:color w:val="000000" w:themeColor="text1"/>
            </w:rPr>
            <w:instrText xml:space="preserve"> CITATION AAS21 \l 1033 </w:instrText>
          </w:r>
          <w:r w:rsidRPr="005B1C31">
            <w:rPr>
              <w:rStyle w:val="IntenseReference"/>
              <w:rFonts w:ascii="Times New Roman" w:hAnsi="Times New Roman"/>
              <w:color w:val="000000" w:themeColor="text1"/>
            </w:rPr>
            <w:fldChar w:fldCharType="separate"/>
          </w:r>
          <w:r w:rsidRPr="005B1C31">
            <w:rPr>
              <w:color w:val="000000" w:themeColor="text1"/>
              <w:spacing w:val="5"/>
              <w:sz w:val="18"/>
            </w:rPr>
            <w:t>(AASTOCKS, 2021)</w:t>
          </w:r>
          <w:r w:rsidRPr="005B1C31">
            <w:rPr>
              <w:rStyle w:val="IntenseReference"/>
              <w:rFonts w:ascii="Times New Roman" w:hAnsi="Times New Roman"/>
              <w:color w:val="000000" w:themeColor="text1"/>
            </w:rPr>
            <w:fldChar w:fldCharType="end"/>
          </w:r>
        </w:sdtContent>
      </w:sdt>
    </w:p>
    <w:p w14:paraId="65805F85" w14:textId="51E7B348" w:rsidR="002843EF" w:rsidRPr="005B1C31" w:rsidRDefault="002843EF" w:rsidP="002843EF">
      <w:r w:rsidRPr="005B1C31">
        <w:lastRenderedPageBreak/>
        <w:t xml:space="preserve">CTFJ being the largest Asia </w:t>
      </w:r>
      <w:r w:rsidR="0015749B" w:rsidRPr="005B1C31">
        <w:t>j</w:t>
      </w:r>
      <w:r w:rsidR="009B12BC" w:rsidRPr="005B1C31">
        <w:t>ewellery</w:t>
      </w:r>
      <w:r w:rsidRPr="005B1C31">
        <w:t xml:space="preserve"> retailer, generate</w:t>
      </w:r>
      <w:r w:rsidR="002E6E4C" w:rsidRPr="005B1C31">
        <w:t>d</w:t>
      </w:r>
      <w:r w:rsidRPr="005B1C31">
        <w:t xml:space="preserve"> robust revenue at </w:t>
      </w:r>
      <w:r w:rsidR="00892F0D" w:rsidRPr="005B1C31">
        <w:t>56</w:t>
      </w:r>
      <w:r w:rsidRPr="005B1C31">
        <w:t>.</w:t>
      </w:r>
      <w:r w:rsidR="00892F0D" w:rsidRPr="005B1C31">
        <w:t>75</w:t>
      </w:r>
      <w:r w:rsidRPr="005B1C31">
        <w:t xml:space="preserve"> billion</w:t>
      </w:r>
      <w:r w:rsidR="00892F0D" w:rsidRPr="005B1C31">
        <w:t xml:space="preserve"> </w:t>
      </w:r>
      <w:r w:rsidR="002E6E4C" w:rsidRPr="005B1C31">
        <w:t xml:space="preserve">in FY2020 </w:t>
      </w:r>
      <w:sdt>
        <w:sdtPr>
          <w:id w:val="-1074038579"/>
          <w:citation/>
        </w:sdtPr>
        <w:sdtContent>
          <w:r w:rsidR="00892F0D" w:rsidRPr="005B1C31">
            <w:fldChar w:fldCharType="begin"/>
          </w:r>
          <w:r w:rsidR="00892F0D" w:rsidRPr="005B1C31">
            <w:instrText xml:space="preserve">CITATION Cho201 \p 4 \l 1033 </w:instrText>
          </w:r>
          <w:r w:rsidR="00892F0D" w:rsidRPr="005B1C31">
            <w:fldChar w:fldCharType="separate"/>
          </w:r>
          <w:r w:rsidR="00892F0D" w:rsidRPr="005B1C31">
            <w:t>(Chow Tai Fook, 2020, p. 4)</w:t>
          </w:r>
          <w:r w:rsidR="00892F0D" w:rsidRPr="005B1C31">
            <w:fldChar w:fldCharType="end"/>
          </w:r>
        </w:sdtContent>
      </w:sdt>
      <w:r w:rsidRPr="005B1C31">
        <w:t xml:space="preserve">, leading its peers by </w:t>
      </w:r>
      <w:r w:rsidR="00892F0D" w:rsidRPr="005B1C31">
        <w:t>3</w:t>
      </w:r>
      <w:r w:rsidRPr="005B1C31">
        <w:t>.</w:t>
      </w:r>
      <w:r w:rsidR="00892F0D" w:rsidRPr="005B1C31">
        <w:t>19</w:t>
      </w:r>
      <w:r w:rsidRPr="005B1C31">
        <w:t xml:space="preserve">X from </w:t>
      </w:r>
      <w:r w:rsidR="00892F0D" w:rsidRPr="005B1C31">
        <w:t>Chow Sang Sang</w:t>
      </w:r>
      <w:r w:rsidRPr="005B1C31">
        <w:t xml:space="preserve">, and </w:t>
      </w:r>
      <w:r w:rsidR="00892F0D" w:rsidRPr="005B1C31">
        <w:t>5</w:t>
      </w:r>
      <w:r w:rsidRPr="005B1C31">
        <w:t>.</w:t>
      </w:r>
      <w:r w:rsidR="00892F0D" w:rsidRPr="005B1C31">
        <w:t>05</w:t>
      </w:r>
      <w:r w:rsidRPr="005B1C31">
        <w:t xml:space="preserve">X from </w:t>
      </w:r>
      <w:r w:rsidR="00892F0D" w:rsidRPr="005B1C31">
        <w:t>Luk Fook Holdings (Table</w:t>
      </w:r>
      <w:r w:rsidR="00F7064D">
        <w:t xml:space="preserve"> </w:t>
      </w:r>
      <w:r w:rsidR="001900B1">
        <w:t>5</w:t>
      </w:r>
      <w:r w:rsidR="00892F0D" w:rsidRPr="005B1C31">
        <w:t>)</w:t>
      </w:r>
      <w:r w:rsidRPr="005B1C31">
        <w:t xml:space="preserve">. </w:t>
      </w:r>
      <w:r w:rsidR="00892F0D" w:rsidRPr="005B1C31">
        <w:t>Although the m</w:t>
      </w:r>
      <w:r w:rsidRPr="005B1C31">
        <w:t>arket share is not publicly available</w:t>
      </w:r>
      <w:r w:rsidR="00892F0D" w:rsidRPr="005B1C31">
        <w:t>, we may assume CTFJ is the</w:t>
      </w:r>
      <w:r w:rsidR="00B95931" w:rsidRPr="005B1C31">
        <w:t xml:space="preserve"> </w:t>
      </w:r>
      <w:r w:rsidR="00892F0D" w:rsidRPr="005B1C31">
        <w:t xml:space="preserve">market leader in terms of its revenue in FY2020. </w:t>
      </w:r>
    </w:p>
    <w:p w14:paraId="28F83042" w14:textId="77777777" w:rsidR="00B95931" w:rsidRPr="005B1C31" w:rsidRDefault="00B95931" w:rsidP="002843EF"/>
    <w:p w14:paraId="447CB81A" w14:textId="1C874C4E" w:rsidR="009711D9" w:rsidRPr="005B1C31" w:rsidRDefault="009835DD" w:rsidP="009711D9">
      <w:pPr>
        <w:pStyle w:val="Caption"/>
        <w:jc w:val="left"/>
      </w:pPr>
      <w:bookmarkStart w:id="15" w:name="_Toc63295007"/>
      <w:bookmarkStart w:id="16" w:name="_Toc63295417"/>
      <w:r w:rsidRPr="009711D9">
        <w:rPr>
          <w:sz w:val="24"/>
          <w:szCs w:val="24"/>
        </w:rPr>
        <w:t xml:space="preserve">Table </w:t>
      </w:r>
      <w:r w:rsidR="00FE6E9E" w:rsidRPr="009711D9">
        <w:rPr>
          <w:sz w:val="24"/>
          <w:szCs w:val="24"/>
        </w:rPr>
        <w:fldChar w:fldCharType="begin"/>
      </w:r>
      <w:r w:rsidR="00FE6E9E" w:rsidRPr="009711D9">
        <w:rPr>
          <w:sz w:val="24"/>
          <w:szCs w:val="24"/>
        </w:rPr>
        <w:instrText xml:space="preserve"> SEQ Table \* ARABIC </w:instrText>
      </w:r>
      <w:r w:rsidR="00FE6E9E" w:rsidRPr="009711D9">
        <w:rPr>
          <w:sz w:val="24"/>
          <w:szCs w:val="24"/>
        </w:rPr>
        <w:fldChar w:fldCharType="separate"/>
      </w:r>
      <w:r w:rsidR="00A806F0">
        <w:rPr>
          <w:sz w:val="24"/>
          <w:szCs w:val="24"/>
        </w:rPr>
        <w:t>4</w:t>
      </w:r>
      <w:r w:rsidR="00FE6E9E" w:rsidRPr="009711D9">
        <w:rPr>
          <w:sz w:val="24"/>
          <w:szCs w:val="24"/>
        </w:rPr>
        <w:fldChar w:fldCharType="end"/>
      </w:r>
      <w:r w:rsidRPr="009711D9">
        <w:rPr>
          <w:sz w:val="24"/>
          <w:szCs w:val="24"/>
        </w:rPr>
        <w:t xml:space="preserve">: </w:t>
      </w:r>
      <w:bookmarkEnd w:id="15"/>
      <w:bookmarkEnd w:id="16"/>
      <w:r w:rsidR="009711D9">
        <w:rPr>
          <w:sz w:val="24"/>
          <w:szCs w:val="24"/>
        </w:rPr>
        <w:t>T</w:t>
      </w:r>
      <w:r w:rsidR="009711D9" w:rsidRPr="00B97C33">
        <w:rPr>
          <w:sz w:val="24"/>
          <w:szCs w:val="24"/>
        </w:rPr>
        <w:t xml:space="preserve">op 10 </w:t>
      </w:r>
      <w:r w:rsidR="009711D9">
        <w:rPr>
          <w:sz w:val="24"/>
          <w:szCs w:val="24"/>
        </w:rPr>
        <w:t xml:space="preserve">Revenue of Hong Kong </w:t>
      </w:r>
      <w:r w:rsidR="009711D9" w:rsidRPr="00B97C33">
        <w:rPr>
          <w:sz w:val="24"/>
          <w:szCs w:val="24"/>
        </w:rPr>
        <w:t xml:space="preserve">Watch and Jewellery companies in </w:t>
      </w:r>
      <w:r w:rsidR="009711D9">
        <w:rPr>
          <w:sz w:val="24"/>
          <w:szCs w:val="24"/>
        </w:rPr>
        <w:t>2020</w:t>
      </w:r>
    </w:p>
    <w:tbl>
      <w:tblPr>
        <w:tblW w:w="8995" w:type="dxa"/>
        <w:tblLayout w:type="fixed"/>
        <w:tblLook w:val="04A0" w:firstRow="1" w:lastRow="0" w:firstColumn="1" w:lastColumn="0" w:noHBand="0" w:noVBand="1"/>
      </w:tblPr>
      <w:tblGrid>
        <w:gridCol w:w="4497"/>
        <w:gridCol w:w="4498"/>
      </w:tblGrid>
      <w:tr w:rsidR="009711D9" w:rsidRPr="005B1C31" w14:paraId="7D93931C" w14:textId="77777777" w:rsidTr="009711D9">
        <w:trPr>
          <w:trHeight w:val="552"/>
        </w:trPr>
        <w:tc>
          <w:tcPr>
            <w:tcW w:w="4497" w:type="dxa"/>
            <w:tcBorders>
              <w:top w:val="single" w:sz="4" w:space="0" w:color="000000"/>
              <w:left w:val="single" w:sz="4" w:space="0" w:color="000000"/>
              <w:bottom w:val="single" w:sz="4" w:space="0" w:color="000000"/>
              <w:right w:val="single" w:sz="4" w:space="0" w:color="auto"/>
            </w:tcBorders>
            <w:shd w:val="clear" w:color="auto" w:fill="auto"/>
            <w:vAlign w:val="center"/>
            <w:hideMark/>
          </w:tcPr>
          <w:p w14:paraId="4903BF29" w14:textId="77777777" w:rsidR="009711D9" w:rsidRPr="005B1C31" w:rsidRDefault="009711D9" w:rsidP="00385BCB">
            <w:pPr>
              <w:spacing w:line="240" w:lineRule="auto"/>
              <w:contextualSpacing/>
              <w:jc w:val="center"/>
              <w:rPr>
                <w:rFonts w:eastAsia="Times New Roman"/>
                <w:b/>
                <w:bCs/>
                <w:noProof w:val="0"/>
                <w:color w:val="000000"/>
                <w:sz w:val="20"/>
                <w:szCs w:val="20"/>
              </w:rPr>
            </w:pPr>
            <w:r w:rsidRPr="005B1C31">
              <w:rPr>
                <w:rFonts w:eastAsia="Times New Roman"/>
                <w:b/>
                <w:bCs/>
                <w:noProof w:val="0"/>
                <w:color w:val="000000"/>
                <w:sz w:val="20"/>
                <w:szCs w:val="20"/>
              </w:rPr>
              <w:t>Company</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C96E53" w14:textId="77777777" w:rsidR="009711D9" w:rsidRPr="005B1C31" w:rsidRDefault="009711D9" w:rsidP="00385BCB">
            <w:pPr>
              <w:spacing w:line="240" w:lineRule="auto"/>
              <w:contextualSpacing/>
              <w:jc w:val="center"/>
              <w:rPr>
                <w:rFonts w:eastAsia="Times New Roman"/>
                <w:b/>
                <w:bCs/>
                <w:noProof w:val="0"/>
                <w:color w:val="000000"/>
                <w:sz w:val="20"/>
                <w:szCs w:val="20"/>
              </w:rPr>
            </w:pPr>
            <w:r w:rsidRPr="005B1C31">
              <w:rPr>
                <w:rFonts w:eastAsia="Times New Roman"/>
                <w:b/>
                <w:bCs/>
                <w:noProof w:val="0"/>
                <w:color w:val="000000"/>
                <w:sz w:val="20"/>
                <w:szCs w:val="20"/>
              </w:rPr>
              <w:t>Revenue</w:t>
            </w:r>
            <w:r w:rsidRPr="005B1C31">
              <w:rPr>
                <w:rFonts w:eastAsia="Times New Roman"/>
                <w:b/>
                <w:bCs/>
                <w:noProof w:val="0"/>
                <w:color w:val="000000"/>
                <w:sz w:val="20"/>
                <w:szCs w:val="20"/>
              </w:rPr>
              <w:br/>
              <w:t>(</w:t>
            </w:r>
            <w:proofErr w:type="spellStart"/>
            <w:r w:rsidRPr="005B1C31">
              <w:rPr>
                <w:rFonts w:eastAsia="Times New Roman"/>
                <w:b/>
                <w:bCs/>
                <w:noProof w:val="0"/>
                <w:color w:val="000000"/>
                <w:sz w:val="20"/>
                <w:szCs w:val="20"/>
              </w:rPr>
              <w:t>HK$'billion</w:t>
            </w:r>
            <w:proofErr w:type="spellEnd"/>
            <w:r w:rsidRPr="005B1C31">
              <w:rPr>
                <w:rFonts w:eastAsia="Times New Roman"/>
                <w:b/>
                <w:bCs/>
                <w:noProof w:val="0"/>
                <w:color w:val="000000"/>
                <w:sz w:val="20"/>
                <w:szCs w:val="20"/>
              </w:rPr>
              <w:t>)</w:t>
            </w:r>
          </w:p>
        </w:tc>
      </w:tr>
      <w:tr w:rsidR="009711D9" w:rsidRPr="005B1C31" w14:paraId="52306D8E"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217FA657"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CHOW TAI FOOK</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91D132D"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56.75</w:t>
            </w:r>
          </w:p>
        </w:tc>
      </w:tr>
      <w:tr w:rsidR="009711D9" w:rsidRPr="005B1C31" w14:paraId="43543DFA"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26E7B0E9"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 xml:space="preserve">CHOW SANG </w:t>
            </w:r>
            <w:proofErr w:type="spellStart"/>
            <w:r w:rsidRPr="005B1C31">
              <w:rPr>
                <w:rFonts w:eastAsia="Times New Roman"/>
                <w:noProof w:val="0"/>
                <w:color w:val="000000"/>
                <w:sz w:val="20"/>
                <w:szCs w:val="20"/>
              </w:rPr>
              <w:t>SANG</w:t>
            </w:r>
            <w:proofErr w:type="spellEnd"/>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17AA9B2"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17.74</w:t>
            </w:r>
          </w:p>
        </w:tc>
      </w:tr>
      <w:tr w:rsidR="009711D9" w:rsidRPr="005B1C31" w14:paraId="7F7FA250"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11DA84E7"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LUK FOOK HOLD</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72946AC"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11.23</w:t>
            </w:r>
          </w:p>
        </w:tc>
      </w:tr>
      <w:tr w:rsidR="009711D9" w:rsidRPr="005B1C31" w14:paraId="0B5D0BA1"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5E82D205"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EMPEROR WATCH&amp;J</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BBFE680"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4.11</w:t>
            </w:r>
          </w:p>
        </w:tc>
      </w:tr>
      <w:tr w:rsidR="009711D9" w:rsidRPr="005B1C31" w14:paraId="793199B9"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0B93D5AA"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TSE SUI LUEN</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1789ABF"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2.91</w:t>
            </w:r>
          </w:p>
        </w:tc>
      </w:tr>
      <w:tr w:rsidR="009711D9" w:rsidRPr="005B1C31" w14:paraId="72284FBC"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7EE334A1"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CITYCHAMP</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D671061"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2.72</w:t>
            </w:r>
          </w:p>
        </w:tc>
      </w:tr>
      <w:tr w:rsidR="009711D9" w:rsidRPr="005B1C31" w14:paraId="36E053AF"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0F87C474"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HENGDELI</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6885202"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2.7</w:t>
            </w:r>
          </w:p>
        </w:tc>
      </w:tr>
      <w:tr w:rsidR="009711D9" w:rsidRPr="005B1C31" w14:paraId="6B1CA9F9"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56F73265"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ORIENTAL WATCH</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4553404"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2.35</w:t>
            </w:r>
          </w:p>
        </w:tc>
      </w:tr>
      <w:tr w:rsidR="009711D9" w:rsidRPr="005B1C31" w14:paraId="16B16755"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45B1A0C1"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TIME WATCH</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A70EA26"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1.73</w:t>
            </w:r>
          </w:p>
        </w:tc>
      </w:tr>
      <w:tr w:rsidR="009711D9" w:rsidRPr="005B1C31" w14:paraId="7FFDC5B8"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2ED5E4B9"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CSMALL</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EB45390"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1.4</w:t>
            </w:r>
          </w:p>
        </w:tc>
      </w:tr>
      <w:tr w:rsidR="009711D9" w:rsidRPr="005B1C31" w14:paraId="1753B043"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45972A1D"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STELUX HOLDINGS</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337878E" w14:textId="77777777" w:rsidR="009711D9" w:rsidRPr="005B1C31" w:rsidRDefault="009711D9" w:rsidP="00385BCB">
            <w:pPr>
              <w:spacing w:line="240" w:lineRule="auto"/>
              <w:contextualSpacing/>
              <w:jc w:val="center"/>
              <w:rPr>
                <w:rFonts w:eastAsia="Times New Roman"/>
                <w:noProof w:val="0"/>
                <w:color w:val="000000"/>
                <w:sz w:val="20"/>
                <w:szCs w:val="20"/>
              </w:rPr>
            </w:pPr>
            <w:r w:rsidRPr="005B1C31">
              <w:rPr>
                <w:rFonts w:eastAsia="Times New Roman"/>
                <w:noProof w:val="0"/>
                <w:color w:val="000000"/>
                <w:sz w:val="20"/>
                <w:szCs w:val="20"/>
              </w:rPr>
              <w:t>1.03</w:t>
            </w:r>
          </w:p>
        </w:tc>
      </w:tr>
    </w:tbl>
    <w:p w14:paraId="009DB563" w14:textId="77777777" w:rsidR="00892F0D" w:rsidRPr="005B1C31" w:rsidRDefault="00892F0D" w:rsidP="009711D9">
      <w:pPr>
        <w:spacing w:line="240" w:lineRule="auto"/>
        <w:contextualSpacing/>
        <w:jc w:val="left"/>
        <w:rPr>
          <w:rStyle w:val="IntenseReference"/>
          <w:rFonts w:ascii="Times New Roman" w:hAnsi="Times New Roman"/>
          <w:color w:val="000000" w:themeColor="text1"/>
        </w:rPr>
      </w:pPr>
      <w:r w:rsidRPr="005B1C31">
        <w:rPr>
          <w:rStyle w:val="IntenseReference"/>
          <w:rFonts w:ascii="Times New Roman" w:hAnsi="Times New Roman"/>
          <w:color w:val="000000" w:themeColor="text1"/>
        </w:rPr>
        <w:t xml:space="preserve">Source: </w:t>
      </w:r>
      <w:sdt>
        <w:sdtPr>
          <w:rPr>
            <w:rStyle w:val="IntenseReference"/>
            <w:rFonts w:ascii="Times New Roman" w:hAnsi="Times New Roman"/>
            <w:color w:val="000000" w:themeColor="text1"/>
          </w:rPr>
          <w:id w:val="1440722318"/>
          <w:citation/>
        </w:sdtPr>
        <w:sdtContent>
          <w:r w:rsidRPr="005B1C31">
            <w:rPr>
              <w:rStyle w:val="IntenseReference"/>
              <w:rFonts w:ascii="Times New Roman" w:hAnsi="Times New Roman"/>
              <w:color w:val="000000" w:themeColor="text1"/>
            </w:rPr>
            <w:fldChar w:fldCharType="begin"/>
          </w:r>
          <w:r w:rsidRPr="005B1C31">
            <w:rPr>
              <w:rStyle w:val="IntenseReference"/>
              <w:rFonts w:ascii="Times New Roman" w:hAnsi="Times New Roman"/>
              <w:color w:val="000000" w:themeColor="text1"/>
            </w:rPr>
            <w:instrText xml:space="preserve"> CITATION AAS21 \l 1033 </w:instrText>
          </w:r>
          <w:r w:rsidRPr="005B1C31">
            <w:rPr>
              <w:rStyle w:val="IntenseReference"/>
              <w:rFonts w:ascii="Times New Roman" w:hAnsi="Times New Roman"/>
              <w:color w:val="000000" w:themeColor="text1"/>
            </w:rPr>
            <w:fldChar w:fldCharType="separate"/>
          </w:r>
          <w:r w:rsidRPr="005B1C31">
            <w:rPr>
              <w:color w:val="000000" w:themeColor="text1"/>
              <w:spacing w:val="5"/>
              <w:sz w:val="18"/>
            </w:rPr>
            <w:t>(AASTOCKS, 2021)</w:t>
          </w:r>
          <w:r w:rsidRPr="005B1C31">
            <w:rPr>
              <w:rStyle w:val="IntenseReference"/>
              <w:rFonts w:ascii="Times New Roman" w:hAnsi="Times New Roman"/>
              <w:color w:val="000000" w:themeColor="text1"/>
            </w:rPr>
            <w:fldChar w:fldCharType="end"/>
          </w:r>
        </w:sdtContent>
      </w:sdt>
    </w:p>
    <w:p w14:paraId="46915838" w14:textId="77777777" w:rsidR="008C7D1F" w:rsidRPr="005B1C31" w:rsidRDefault="008C7D1F" w:rsidP="002843EF"/>
    <w:p w14:paraId="671534F4" w14:textId="24AFD8A4" w:rsidR="00997449" w:rsidRPr="005B1C31" w:rsidRDefault="001900B1" w:rsidP="00997449">
      <w:r>
        <w:t xml:space="preserve">Although the </w:t>
      </w:r>
      <w:r w:rsidR="00F7064D">
        <w:t xml:space="preserve">CTFJ is the market leader and the firm has substantial competitive advantages in its assets and equity, the jewellery </w:t>
      </w:r>
      <w:r>
        <w:t xml:space="preserve">industry </w:t>
      </w:r>
      <w:r w:rsidR="00F7064D">
        <w:t xml:space="preserve">in Hong Kong </w:t>
      </w:r>
      <w:r>
        <w:t>is under an oligopoly competitio</w:t>
      </w:r>
      <w:r w:rsidR="00F7064D">
        <w:t xml:space="preserve">n. Any pricing strategy changes from any competitors will lead to a big rival reaction. CTFJ may consider implementing different marketing campaigns that involve non-price strategies by aiming to enhance the customers' in-store experience that is different from the competitors. </w:t>
      </w:r>
    </w:p>
    <w:p w14:paraId="3E36C6D8" w14:textId="77777777" w:rsidR="00997449" w:rsidRPr="005B1C31" w:rsidRDefault="00997449" w:rsidP="00997449">
      <w:pPr>
        <w:snapToGrid w:val="0"/>
        <w:spacing w:line="240" w:lineRule="auto"/>
        <w:jc w:val="left"/>
      </w:pPr>
    </w:p>
    <w:p w14:paraId="4B78745F" w14:textId="23A9211E" w:rsidR="00997449" w:rsidRPr="005B1C31" w:rsidRDefault="00997449" w:rsidP="00466B1B">
      <w:pPr>
        <w:spacing w:after="160" w:line="259" w:lineRule="auto"/>
        <w:jc w:val="left"/>
      </w:pPr>
      <w:r w:rsidRPr="005B1C31">
        <w:br w:type="page"/>
      </w:r>
    </w:p>
    <w:p w14:paraId="3969039B" w14:textId="3D623352" w:rsidR="002843EF" w:rsidRPr="005B1C31" w:rsidRDefault="00535E07" w:rsidP="00997449">
      <w:pPr>
        <w:pStyle w:val="Heading1"/>
      </w:pPr>
      <w:bookmarkStart w:id="17" w:name="_Toc64840479"/>
      <w:r>
        <w:lastRenderedPageBreak/>
        <w:t xml:space="preserve">Business Performance under </w:t>
      </w:r>
      <w:r w:rsidR="00AC6E44">
        <w:t>COVID-19 outbreak</w:t>
      </w:r>
      <w:bookmarkEnd w:id="17"/>
      <w:r w:rsidR="00997449" w:rsidRPr="005B1C31">
        <w:t xml:space="preserve"> </w:t>
      </w:r>
    </w:p>
    <w:p w14:paraId="50B7E7A7" w14:textId="5E7DCE75" w:rsidR="00BF6FE8" w:rsidRDefault="00AC6E44" w:rsidP="00BF6FE8">
      <w:r>
        <w:t xml:space="preserve">We </w:t>
      </w:r>
      <w:r w:rsidR="00F7064D">
        <w:t>analyze</w:t>
      </w:r>
      <w:r w:rsidR="009A5E3F">
        <w:t>d</w:t>
      </w:r>
      <w:r w:rsidR="00F7064D">
        <w:t xml:space="preserve"> the collected data </w:t>
      </w:r>
      <w:r w:rsidR="00BF6FE8">
        <w:t xml:space="preserve">on CTFJ's business performance amid the economic disruption during the COVID-19 pandemic by taking the macro-environment impact into account. We noticed there are not many changes to its cost structure; however, the revenue structure might have shifted a bit within the Hong Kong region caused by various macroeconomic variables. </w:t>
      </w:r>
    </w:p>
    <w:p w14:paraId="0DD2F228" w14:textId="77777777" w:rsidR="00F7064D" w:rsidRDefault="00F7064D" w:rsidP="00596EE6"/>
    <w:p w14:paraId="76E2ADCA" w14:textId="71724D85" w:rsidR="00925F32" w:rsidRDefault="008C40F1" w:rsidP="00925F32">
      <w:pPr>
        <w:pStyle w:val="Heading2"/>
      </w:pPr>
      <w:bookmarkStart w:id="18" w:name="_Toc64840480"/>
      <w:r>
        <w:t>Changes in c</w:t>
      </w:r>
      <w:r w:rsidR="00925F32" w:rsidRPr="00925F32">
        <w:t>ost structure</w:t>
      </w:r>
      <w:bookmarkEnd w:id="18"/>
    </w:p>
    <w:p w14:paraId="01501A75" w14:textId="5677ED1E" w:rsidR="009835DD" w:rsidRDefault="009E42F0" w:rsidP="00F7064D">
      <w:r>
        <w:t>CTFJ owns a vertical</w:t>
      </w:r>
      <w:r w:rsidR="00A806F0">
        <w:t>ly</w:t>
      </w:r>
      <w:r>
        <w:t xml:space="preserve"> integrated business model</w:t>
      </w:r>
      <w:r w:rsidR="00A806F0">
        <w:t>, and its production cost is low due to capital intensive.</w:t>
      </w:r>
      <w:r>
        <w:t xml:space="preserve"> </w:t>
      </w:r>
      <w:r w:rsidR="00A806F0">
        <w:t>T</w:t>
      </w:r>
      <w:r>
        <w:t xml:space="preserve">he fixed costs and variable costs come from </w:t>
      </w:r>
      <w:r w:rsidR="009A5E3F">
        <w:t>fiance costs</w:t>
      </w:r>
      <w:r w:rsidR="00F7064D">
        <w:t xml:space="preserve">, </w:t>
      </w:r>
      <w:r w:rsidR="009A5E3F">
        <w:t>staff costs</w:t>
      </w:r>
      <w:r w:rsidR="00F7064D">
        <w:t xml:space="preserve">, and </w:t>
      </w:r>
      <w:r w:rsidR="009A5E3F">
        <w:t>rental</w:t>
      </w:r>
      <w:r w:rsidR="00F7064D">
        <w:t xml:space="preserve"> </w:t>
      </w:r>
      <w:r w:rsidR="009A5E3F">
        <w:t>expenses</w:t>
      </w:r>
      <w:r w:rsidR="00F7064D">
        <w:t xml:space="preserve">. </w:t>
      </w:r>
    </w:p>
    <w:p w14:paraId="61B81790" w14:textId="77777777" w:rsidR="009A5E3F" w:rsidRDefault="009A5E3F" w:rsidP="00F7064D"/>
    <w:p w14:paraId="76448EFF" w14:textId="76D36309" w:rsidR="00F7064D" w:rsidRDefault="009A5E3F" w:rsidP="00F7064D">
      <w:r>
        <w:t>Firstly, f</w:t>
      </w:r>
      <w:r w:rsidR="00F7064D">
        <w:t>inance costs on bank borrowing decreased in 1HFY2021 due to a relatively lower interest rate. China's taxation increased from 74% of its financial costs to 85% in 1HFY2021 due to the increased profit from the China segment.</w:t>
      </w:r>
      <w:r w:rsidR="008C40F1">
        <w:t xml:space="preserve"> The proportion of finance costs haven't been changed much before and during the pandemic outbreak.</w:t>
      </w:r>
    </w:p>
    <w:p w14:paraId="27AE5F83" w14:textId="77777777" w:rsidR="009A5E3F" w:rsidRDefault="009A5E3F" w:rsidP="00F7064D"/>
    <w:p w14:paraId="757B66E4" w14:textId="61D71FE1" w:rsidR="00F7064D" w:rsidRPr="00F7064D" w:rsidRDefault="00F7064D" w:rsidP="00F7064D">
      <w:pPr>
        <w:pStyle w:val="Caption"/>
        <w:keepNext/>
        <w:jc w:val="both"/>
        <w:rPr>
          <w:sz w:val="24"/>
          <w:szCs w:val="24"/>
        </w:rPr>
      </w:pPr>
      <w:r w:rsidRPr="00F7064D">
        <w:rPr>
          <w:sz w:val="24"/>
          <w:szCs w:val="24"/>
        </w:rPr>
        <w:t xml:space="preserve">Figure </w:t>
      </w:r>
      <w:r w:rsidRPr="00F7064D">
        <w:rPr>
          <w:sz w:val="24"/>
          <w:szCs w:val="24"/>
        </w:rPr>
        <w:fldChar w:fldCharType="begin"/>
      </w:r>
      <w:r w:rsidRPr="00F7064D">
        <w:rPr>
          <w:sz w:val="24"/>
          <w:szCs w:val="24"/>
        </w:rPr>
        <w:instrText xml:space="preserve"> SEQ Figure \* ARABIC </w:instrText>
      </w:r>
      <w:r w:rsidRPr="00F7064D">
        <w:rPr>
          <w:sz w:val="24"/>
          <w:szCs w:val="24"/>
        </w:rPr>
        <w:fldChar w:fldCharType="separate"/>
      </w:r>
      <w:r w:rsidR="00A806F0">
        <w:rPr>
          <w:sz w:val="24"/>
          <w:szCs w:val="24"/>
        </w:rPr>
        <w:t>5</w:t>
      </w:r>
      <w:r w:rsidRPr="00F7064D">
        <w:rPr>
          <w:sz w:val="24"/>
          <w:szCs w:val="24"/>
        </w:rPr>
        <w:fldChar w:fldCharType="end"/>
      </w:r>
      <w:r>
        <w:rPr>
          <w:sz w:val="24"/>
          <w:szCs w:val="24"/>
        </w:rPr>
        <w:t>: Finance costs changes during the period of COVID-19</w:t>
      </w:r>
    </w:p>
    <w:p w14:paraId="49B27A57" w14:textId="7D62C4DC" w:rsidR="00F7064D" w:rsidRDefault="00F7064D" w:rsidP="00F7064D">
      <w:pPr>
        <w:spacing w:line="240" w:lineRule="auto"/>
        <w:rPr>
          <w:rStyle w:val="IntenseReference"/>
          <w:rFonts w:ascii="Times New Roman" w:hAnsi="Times New Roman"/>
          <w:color w:val="000000" w:themeColor="text1"/>
        </w:rPr>
      </w:pPr>
      <w:r>
        <w:drawing>
          <wp:inline distT="0" distB="0" distL="0" distR="0" wp14:anchorId="51271A97" wp14:editId="324709F0">
            <wp:extent cx="5664200" cy="2862331"/>
            <wp:effectExtent l="0" t="0" r="12700" b="14605"/>
            <wp:docPr id="12" name="Chart 12">
              <a:extLst xmlns:a="http://schemas.openxmlformats.org/drawingml/2006/main">
                <a:ext uri="{FF2B5EF4-FFF2-40B4-BE49-F238E27FC236}">
                  <a16:creationId xmlns:a16="http://schemas.microsoft.com/office/drawing/2014/main" id="{796E4D56-E748-439D-A9DC-843C5C56DE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1132BB0" w14:textId="409C9A38" w:rsidR="009835DD" w:rsidRPr="00A806F0" w:rsidRDefault="00F7064D" w:rsidP="00F7064D">
      <w:pPr>
        <w:spacing w:line="240" w:lineRule="auto"/>
        <w:rPr>
          <w:bCs/>
          <w:color w:val="000000" w:themeColor="text1"/>
          <w:spacing w:val="5"/>
          <w:sz w:val="20"/>
          <w:szCs w:val="28"/>
        </w:rPr>
      </w:pPr>
      <w:r w:rsidRPr="00A806F0">
        <w:rPr>
          <w:rStyle w:val="IntenseReference"/>
          <w:rFonts w:ascii="Times New Roman" w:hAnsi="Times New Roman"/>
          <w:color w:val="000000" w:themeColor="text1"/>
          <w:sz w:val="20"/>
          <w:szCs w:val="28"/>
        </w:rPr>
        <w:t>Source: (Chow Tai Fook, 2021a, p. 50)</w:t>
      </w:r>
    </w:p>
    <w:p w14:paraId="02F72D68" w14:textId="4A951887" w:rsidR="009835DD" w:rsidRDefault="009A5E3F" w:rsidP="009835DD">
      <w:r>
        <w:lastRenderedPageBreak/>
        <w:t>Secondly</w:t>
      </w:r>
      <w:r w:rsidR="00F7064D">
        <w:t>,</w:t>
      </w:r>
      <w:r w:rsidR="009835DD">
        <w:t xml:space="preserve"> staff costs and re</w:t>
      </w:r>
      <w:r w:rsidR="00F7064D">
        <w:t>la</w:t>
      </w:r>
      <w:r w:rsidR="009835DD">
        <w:t>ted expenses were down by 3</w:t>
      </w:r>
      <w:r w:rsidR="00F7064D">
        <w:t>1.9%, from 719 million in FY2019 to 489 million in 1HFY2020.</w:t>
      </w:r>
      <w:r w:rsidR="009835DD">
        <w:t xml:space="preserve"> </w:t>
      </w:r>
      <w:r w:rsidR="00F7064D">
        <w:t xml:space="preserve">The overall staff-related expenses </w:t>
      </w:r>
      <w:r>
        <w:t>lowered</w:t>
      </w:r>
      <w:r w:rsidR="00F7064D">
        <w:t xml:space="preserve"> in 2020</w:t>
      </w:r>
      <w:r>
        <w:t xml:space="preserve"> be</w:t>
      </w:r>
      <w:r w:rsidR="008C40F1">
        <w:t>cau</w:t>
      </w:r>
      <w:r>
        <w:t xml:space="preserve">se </w:t>
      </w:r>
      <w:r w:rsidR="00F7064D">
        <w:t xml:space="preserve">the </w:t>
      </w:r>
      <w:r w:rsidR="009835DD">
        <w:t xml:space="preserve">firm received HK$107 million of </w:t>
      </w:r>
      <w:r w:rsidR="00F7064D">
        <w:t xml:space="preserve">COVID-19 </w:t>
      </w:r>
      <w:r w:rsidR="009835DD">
        <w:t>relief funding from the government</w:t>
      </w:r>
      <w:r w:rsidR="00F7064D">
        <w:t>.</w:t>
      </w:r>
    </w:p>
    <w:p w14:paraId="6CBDE540" w14:textId="77777777" w:rsidR="00F7064D" w:rsidRDefault="00F7064D" w:rsidP="009835DD"/>
    <w:p w14:paraId="6C8655A9" w14:textId="3CB20DE2" w:rsidR="00F7064D" w:rsidRDefault="00F7064D" w:rsidP="00F7064D">
      <w:pPr>
        <w:pStyle w:val="Caption"/>
        <w:keepNext/>
        <w:jc w:val="both"/>
      </w:pPr>
      <w:r w:rsidRPr="00F7064D">
        <w:rPr>
          <w:sz w:val="24"/>
          <w:szCs w:val="24"/>
        </w:rPr>
        <w:t xml:space="preserve">Figure </w:t>
      </w:r>
      <w:r w:rsidRPr="00F7064D">
        <w:rPr>
          <w:sz w:val="24"/>
          <w:szCs w:val="24"/>
        </w:rPr>
        <w:fldChar w:fldCharType="begin"/>
      </w:r>
      <w:r w:rsidRPr="00F7064D">
        <w:rPr>
          <w:sz w:val="24"/>
          <w:szCs w:val="24"/>
        </w:rPr>
        <w:instrText xml:space="preserve"> SEQ Figure \* ARABIC </w:instrText>
      </w:r>
      <w:r w:rsidRPr="00F7064D">
        <w:rPr>
          <w:sz w:val="24"/>
          <w:szCs w:val="24"/>
        </w:rPr>
        <w:fldChar w:fldCharType="separate"/>
      </w:r>
      <w:r w:rsidR="00A806F0">
        <w:rPr>
          <w:sz w:val="24"/>
          <w:szCs w:val="24"/>
        </w:rPr>
        <w:t>6</w:t>
      </w:r>
      <w:r w:rsidRPr="00F7064D">
        <w:rPr>
          <w:sz w:val="24"/>
          <w:szCs w:val="24"/>
        </w:rPr>
        <w:fldChar w:fldCharType="end"/>
      </w:r>
      <w:r>
        <w:rPr>
          <w:sz w:val="24"/>
          <w:szCs w:val="24"/>
        </w:rPr>
        <w:t>: Staff costs and related expenses during the period of COVID-19</w:t>
      </w:r>
    </w:p>
    <w:p w14:paraId="342C98F2" w14:textId="10838392" w:rsidR="00F7064D" w:rsidRDefault="00D53DA9" w:rsidP="00F7064D">
      <w:pPr>
        <w:spacing w:line="240" w:lineRule="auto"/>
        <w:rPr>
          <w:sz w:val="20"/>
          <w:szCs w:val="20"/>
        </w:rPr>
      </w:pPr>
      <w:r>
        <w:drawing>
          <wp:inline distT="0" distB="0" distL="0" distR="0" wp14:anchorId="205B1F3B" wp14:editId="3B10FDE3">
            <wp:extent cx="5744210" cy="4366591"/>
            <wp:effectExtent l="0" t="0" r="8890" b="15240"/>
            <wp:docPr id="173" name="Chart 173">
              <a:extLst xmlns:a="http://schemas.openxmlformats.org/drawingml/2006/main">
                <a:ext uri="{FF2B5EF4-FFF2-40B4-BE49-F238E27FC236}">
                  <a16:creationId xmlns:a16="http://schemas.microsoft.com/office/drawing/2014/main" id="{796E4D56-E748-439D-A9DC-843C5C56DE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F7064D" w:rsidRPr="00F7064D">
        <w:rPr>
          <w:sz w:val="20"/>
          <w:szCs w:val="20"/>
        </w:rPr>
        <w:t xml:space="preserve"> </w:t>
      </w:r>
    </w:p>
    <w:p w14:paraId="603E865A" w14:textId="52020FFF" w:rsidR="00F7064D" w:rsidRPr="00F7064D" w:rsidRDefault="00F7064D" w:rsidP="00F7064D">
      <w:pPr>
        <w:spacing w:line="240" w:lineRule="auto"/>
        <w:rPr>
          <w:sz w:val="20"/>
          <w:szCs w:val="20"/>
        </w:rPr>
      </w:pPr>
      <w:r w:rsidRPr="00F7064D">
        <w:rPr>
          <w:sz w:val="20"/>
          <w:szCs w:val="20"/>
        </w:rPr>
        <w:t xml:space="preserve">Source: </w:t>
      </w:r>
      <w:sdt>
        <w:sdtPr>
          <w:rPr>
            <w:sz w:val="20"/>
            <w:szCs w:val="20"/>
          </w:rPr>
          <w:id w:val="585346565"/>
          <w:citation/>
        </w:sdtPr>
        <w:sdtContent>
          <w:r w:rsidRPr="00F7064D">
            <w:rPr>
              <w:sz w:val="20"/>
              <w:szCs w:val="20"/>
            </w:rPr>
            <w:fldChar w:fldCharType="begin"/>
          </w:r>
          <w:r w:rsidRPr="00F7064D">
            <w:rPr>
              <w:sz w:val="20"/>
              <w:szCs w:val="20"/>
            </w:rPr>
            <w:instrText xml:space="preserve">CITATION Cho20 \p 47 \l 1033 </w:instrText>
          </w:r>
          <w:r w:rsidRPr="00F7064D">
            <w:rPr>
              <w:sz w:val="20"/>
              <w:szCs w:val="20"/>
            </w:rPr>
            <w:fldChar w:fldCharType="separate"/>
          </w:r>
          <w:r w:rsidRPr="00F7064D">
            <w:rPr>
              <w:sz w:val="20"/>
              <w:szCs w:val="20"/>
            </w:rPr>
            <w:t>(Chow Tai Fook, 2021a, p. 47)</w:t>
          </w:r>
          <w:r w:rsidRPr="00F7064D">
            <w:rPr>
              <w:sz w:val="20"/>
              <w:szCs w:val="20"/>
            </w:rPr>
            <w:fldChar w:fldCharType="end"/>
          </w:r>
        </w:sdtContent>
      </w:sdt>
    </w:p>
    <w:p w14:paraId="6DC9A3A3" w14:textId="3D3A1F33" w:rsidR="009835DD" w:rsidRDefault="009835DD" w:rsidP="009835DD"/>
    <w:p w14:paraId="66137A7C" w14:textId="61674A46" w:rsidR="009A5E3F" w:rsidRDefault="00F7064D" w:rsidP="009835DD">
      <w:r>
        <w:t xml:space="preserve">The COVID-19 impact on the staff cost </w:t>
      </w:r>
      <w:r w:rsidR="009A5E3F">
        <w:t xml:space="preserve">and related expenses </w:t>
      </w:r>
      <w:r>
        <w:t>is minimal, and not m</w:t>
      </w:r>
      <w:r w:rsidR="008C40F1">
        <w:t>any</w:t>
      </w:r>
      <w:r>
        <w:t xml:space="preserve"> </w:t>
      </w:r>
      <w:r w:rsidR="008C40F1">
        <w:t>changes i</w:t>
      </w:r>
      <w:r>
        <w:t xml:space="preserve">n the total number of employees, only a 4.3% dropped in 1HFY2021 </w:t>
      </w:r>
      <w:r w:rsidRPr="00F7064D">
        <w:t>(Chow Tai Fook, 2021a, p. 47)</w:t>
      </w:r>
      <w:r>
        <w:t>.</w:t>
      </w:r>
    </w:p>
    <w:p w14:paraId="1535452F" w14:textId="77777777" w:rsidR="009A5E3F" w:rsidRDefault="009A5E3F">
      <w:pPr>
        <w:spacing w:after="160" w:line="259" w:lineRule="auto"/>
        <w:jc w:val="left"/>
      </w:pPr>
    </w:p>
    <w:p w14:paraId="61ED9DFF" w14:textId="4D6B972B" w:rsidR="009A5E3F" w:rsidRDefault="009A5E3F" w:rsidP="009A5E3F">
      <w:r>
        <w:t xml:space="preserve">Lastly, for the lease-related expenses, the rental cost reduced from 561 million to 440 million in 1HFY2020, a 21.5% cut. It is due to 5 retail stores in Hong Kong were not renewed after the </w:t>
      </w:r>
      <w:r>
        <w:lastRenderedPageBreak/>
        <w:t xml:space="preserve">lease completion. Moreover, the firm received a 76 million rent concession from the government due to the COVID-19 pandemic. </w:t>
      </w:r>
    </w:p>
    <w:p w14:paraId="33933081" w14:textId="77777777" w:rsidR="008C7D1F" w:rsidRPr="009A5E3F" w:rsidRDefault="008C7D1F" w:rsidP="009A5E3F"/>
    <w:p w14:paraId="7372E8BF" w14:textId="023BD718" w:rsidR="009A5E3F" w:rsidRPr="009A5E3F" w:rsidRDefault="009A5E3F" w:rsidP="009A5E3F">
      <w:pPr>
        <w:pStyle w:val="Caption"/>
        <w:keepNext/>
        <w:jc w:val="both"/>
        <w:rPr>
          <w:sz w:val="24"/>
          <w:szCs w:val="24"/>
        </w:rPr>
      </w:pPr>
      <w:r w:rsidRPr="009A5E3F">
        <w:rPr>
          <w:sz w:val="24"/>
          <w:szCs w:val="24"/>
        </w:rPr>
        <w:t xml:space="preserve">Figure </w:t>
      </w:r>
      <w:r w:rsidRPr="009A5E3F">
        <w:rPr>
          <w:sz w:val="24"/>
          <w:szCs w:val="24"/>
        </w:rPr>
        <w:fldChar w:fldCharType="begin"/>
      </w:r>
      <w:r w:rsidRPr="009A5E3F">
        <w:rPr>
          <w:sz w:val="24"/>
          <w:szCs w:val="24"/>
        </w:rPr>
        <w:instrText xml:space="preserve"> SEQ Figure \* ARABIC </w:instrText>
      </w:r>
      <w:r w:rsidRPr="009A5E3F">
        <w:rPr>
          <w:sz w:val="24"/>
          <w:szCs w:val="24"/>
        </w:rPr>
        <w:fldChar w:fldCharType="separate"/>
      </w:r>
      <w:r w:rsidR="00A806F0">
        <w:rPr>
          <w:sz w:val="24"/>
          <w:szCs w:val="24"/>
        </w:rPr>
        <w:t>7</w:t>
      </w:r>
      <w:r w:rsidRPr="009A5E3F">
        <w:rPr>
          <w:sz w:val="24"/>
          <w:szCs w:val="24"/>
        </w:rPr>
        <w:fldChar w:fldCharType="end"/>
      </w:r>
      <w:r w:rsidRPr="009A5E3F">
        <w:rPr>
          <w:sz w:val="24"/>
          <w:szCs w:val="24"/>
        </w:rPr>
        <w:t xml:space="preserve">: </w:t>
      </w:r>
      <w:r>
        <w:rPr>
          <w:sz w:val="24"/>
          <w:szCs w:val="24"/>
        </w:rPr>
        <w:t>Lease-</w:t>
      </w:r>
      <w:r w:rsidRPr="009A5E3F">
        <w:rPr>
          <w:sz w:val="24"/>
          <w:szCs w:val="24"/>
        </w:rPr>
        <w:t>related expenses during the period of COVID-19</w:t>
      </w:r>
    </w:p>
    <w:p w14:paraId="17C8CFEC" w14:textId="2433E4A1" w:rsidR="009A5E3F" w:rsidRDefault="000463D9" w:rsidP="009A5E3F">
      <w:pPr>
        <w:spacing w:line="240" w:lineRule="auto"/>
      </w:pPr>
      <w:r>
        <mc:AlternateContent>
          <mc:Choice Requires="wps">
            <w:drawing>
              <wp:anchor distT="45720" distB="45720" distL="114300" distR="114300" simplePos="0" relativeHeight="251663360" behindDoc="0" locked="0" layoutInCell="1" allowOverlap="1" wp14:anchorId="283F392D" wp14:editId="0503E418">
                <wp:simplePos x="0" y="0"/>
                <wp:positionH relativeFrom="column">
                  <wp:posOffset>4168775</wp:posOffset>
                </wp:positionH>
                <wp:positionV relativeFrom="paragraph">
                  <wp:posOffset>3219367</wp:posOffset>
                </wp:positionV>
                <wp:extent cx="1265556" cy="328086"/>
                <wp:effectExtent l="0" t="0" r="0" b="0"/>
                <wp:wrapNone/>
                <wp:docPr id="1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5556" cy="328086"/>
                        </a:xfrm>
                        <a:prstGeom prst="rect">
                          <a:avLst/>
                        </a:prstGeom>
                        <a:noFill/>
                        <a:ln w="9525">
                          <a:noFill/>
                          <a:miter lim="800000"/>
                          <a:headEnd/>
                          <a:tailEnd/>
                        </a:ln>
                      </wps:spPr>
                      <wps:txbx>
                        <w:txbxContent>
                          <w:p w14:paraId="4A8E6D60" w14:textId="40282A63" w:rsidR="00F05610" w:rsidRPr="000463D9" w:rsidRDefault="00F05610" w:rsidP="000463D9">
                            <w:pPr>
                              <w:rPr>
                                <w:rFonts w:asciiTheme="minorHAnsi" w:hAnsiTheme="minorHAnsi" w:cstheme="minorHAnsi"/>
                                <w:sz w:val="16"/>
                                <w:szCs w:val="16"/>
                              </w:rPr>
                            </w:pPr>
                            <w:r w:rsidRPr="000463D9">
                              <w:rPr>
                                <w:rFonts w:asciiTheme="minorHAnsi" w:hAnsiTheme="minorHAnsi" w:cstheme="minorHAnsi"/>
                                <w:sz w:val="16"/>
                                <w:szCs w:val="16"/>
                              </w:rPr>
                              <w:t>Six months ended 30 Sep</w:t>
                            </w:r>
                          </w:p>
                          <w:p w14:paraId="5506E1A0" w14:textId="77777777" w:rsidR="00F05610" w:rsidRPr="000463D9" w:rsidRDefault="00F05610">
                            <w:pPr>
                              <w:rPr>
                                <w:rFonts w:asciiTheme="minorHAnsi" w:hAnsiTheme="minorHAnsi" w:cstheme="minorHAnsi"/>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3F392D" id="_x0000_t202" coordsize="21600,21600" o:spt="202" path="m,l,21600r21600,l21600,xe">
                <v:stroke joinstyle="miter"/>
                <v:path gradientshapeok="t" o:connecttype="rect"/>
              </v:shapetype>
              <v:shape id="Text Box 2" o:spid="_x0000_s1026" type="#_x0000_t202" style="position:absolute;left:0;text-align:left;margin-left:328.25pt;margin-top:253.5pt;width:99.65pt;height:25.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" filled="f" stroked="f">
                <v:textbox>
                  <w:txbxContent>
                    <w:p w14:paraId="4A8E6D60" w14:textId="40282A63" w:rsidR="00F05610" w:rsidRPr="000463D9" w:rsidRDefault="00F05610" w:rsidP="000463D9">
                      <w:pPr>
                        <w:rPr>
                          <w:rFonts w:asciiTheme="minorHAnsi" w:hAnsiTheme="minorHAnsi" w:cstheme="minorHAnsi"/>
                          <w:sz w:val="16"/>
                          <w:szCs w:val="16"/>
                        </w:rPr>
                      </w:pPr>
                      <w:r w:rsidRPr="000463D9">
                        <w:rPr>
                          <w:rFonts w:asciiTheme="minorHAnsi" w:hAnsiTheme="minorHAnsi" w:cstheme="minorHAnsi"/>
                          <w:sz w:val="16"/>
                          <w:szCs w:val="16"/>
                        </w:rPr>
                        <w:t>Six months ended 30 Sep</w:t>
                      </w:r>
                    </w:p>
                    <w:p w14:paraId="5506E1A0" w14:textId="77777777" w:rsidR="00F05610" w:rsidRPr="000463D9" w:rsidRDefault="00F05610">
                      <w:pPr>
                        <w:rPr>
                          <w:rFonts w:asciiTheme="minorHAnsi" w:hAnsiTheme="minorHAnsi" w:cstheme="minorHAnsi"/>
                          <w:sz w:val="22"/>
                          <w:szCs w:val="22"/>
                        </w:rPr>
                      </w:pPr>
                    </w:p>
                  </w:txbxContent>
                </v:textbox>
              </v:shape>
            </w:pict>
          </mc:Fallback>
        </mc:AlternateContent>
      </w:r>
      <w:r>
        <w:drawing>
          <wp:inline distT="0" distB="0" distL="0" distR="0" wp14:anchorId="1FD43EFD" wp14:editId="5A81B153">
            <wp:extent cx="5777865" cy="3326296"/>
            <wp:effectExtent l="0" t="0" r="13335" b="7620"/>
            <wp:docPr id="168" name="Chart 168">
              <a:extLst xmlns:a="http://schemas.openxmlformats.org/drawingml/2006/main">
                <a:ext uri="{FF2B5EF4-FFF2-40B4-BE49-F238E27FC236}">
                  <a16:creationId xmlns:a16="http://schemas.microsoft.com/office/drawing/2014/main" id="{985378FF-DFAD-430B-B653-9142DE7DC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9A5E3F">
        <w:t xml:space="preserve"> </w:t>
      </w:r>
    </w:p>
    <w:p w14:paraId="21ED7821" w14:textId="0ED41D40" w:rsidR="009A5E3F" w:rsidRPr="00F7064D" w:rsidRDefault="009A5E3F" w:rsidP="009A5E3F">
      <w:pPr>
        <w:spacing w:line="240" w:lineRule="auto"/>
        <w:rPr>
          <w:sz w:val="20"/>
          <w:szCs w:val="20"/>
        </w:rPr>
      </w:pPr>
      <w:r w:rsidRPr="00F7064D">
        <w:rPr>
          <w:sz w:val="20"/>
          <w:szCs w:val="20"/>
        </w:rPr>
        <w:t xml:space="preserve">Source: </w:t>
      </w:r>
      <w:sdt>
        <w:sdtPr>
          <w:rPr>
            <w:sz w:val="20"/>
            <w:szCs w:val="20"/>
          </w:rPr>
          <w:id w:val="465237834"/>
          <w:citation/>
        </w:sdtPr>
        <w:sdtContent>
          <w:r w:rsidRPr="00F7064D">
            <w:rPr>
              <w:sz w:val="20"/>
              <w:szCs w:val="20"/>
            </w:rPr>
            <w:fldChar w:fldCharType="begin"/>
          </w:r>
          <w:r>
            <w:rPr>
              <w:sz w:val="20"/>
              <w:szCs w:val="20"/>
            </w:rPr>
            <w:instrText xml:space="preserve">CITATION Cho20 \p 48 \l 1033 </w:instrText>
          </w:r>
          <w:r w:rsidRPr="00F7064D">
            <w:rPr>
              <w:sz w:val="20"/>
              <w:szCs w:val="20"/>
            </w:rPr>
            <w:fldChar w:fldCharType="separate"/>
          </w:r>
          <w:r w:rsidRPr="009A5E3F">
            <w:rPr>
              <w:sz w:val="20"/>
              <w:szCs w:val="20"/>
            </w:rPr>
            <w:t>(Chow Tai Fook, 2021a, p. 48)</w:t>
          </w:r>
          <w:r w:rsidRPr="00F7064D">
            <w:rPr>
              <w:sz w:val="20"/>
              <w:szCs w:val="20"/>
            </w:rPr>
            <w:fldChar w:fldCharType="end"/>
          </w:r>
        </w:sdtContent>
      </w:sdt>
    </w:p>
    <w:p w14:paraId="7C8FB87E" w14:textId="77777777" w:rsidR="009A5E3F" w:rsidRDefault="009A5E3F" w:rsidP="009A5E3F"/>
    <w:p w14:paraId="76663FA9" w14:textId="606F7647" w:rsidR="009A5E3F" w:rsidRDefault="008C40F1" w:rsidP="009A5E3F">
      <w:r>
        <w:t>By reviewing the</w:t>
      </w:r>
      <w:r w:rsidR="009A5E3F">
        <w:t xml:space="preserve"> data collected</w:t>
      </w:r>
      <w:r>
        <w:t xml:space="preserve"> for its fiance costs, staff costs, and rental expenses</w:t>
      </w:r>
      <w:r w:rsidR="009A5E3F">
        <w:t xml:space="preserve">, </w:t>
      </w:r>
      <w:r w:rsidR="00F05610">
        <w:t xml:space="preserve">its cost structure changes minimal </w:t>
      </w:r>
      <w:r w:rsidR="009A5E3F">
        <w:t xml:space="preserve">during </w:t>
      </w:r>
      <w:r>
        <w:t>the virus pandemic period</w:t>
      </w:r>
      <w:r w:rsidR="009A5E3F">
        <w:t xml:space="preserve">. </w:t>
      </w:r>
      <w:r>
        <w:t>T</w:t>
      </w:r>
      <w:r w:rsidR="009A5E3F">
        <w:t xml:space="preserve">here </w:t>
      </w:r>
      <w:r>
        <w:t>was</w:t>
      </w:r>
      <w:r w:rsidR="009A5E3F">
        <w:t xml:space="preserve"> also relief funding from the government, which balanced </w:t>
      </w:r>
      <w:r>
        <w:t>any possible</w:t>
      </w:r>
      <w:r w:rsidR="009A5E3F">
        <w:t xml:space="preserve"> cost pressures. </w:t>
      </w:r>
    </w:p>
    <w:p w14:paraId="5B1E5C93" w14:textId="36D24EAA" w:rsidR="008C40F1" w:rsidRDefault="008C40F1" w:rsidP="009A5E3F"/>
    <w:p w14:paraId="3D20B2BD" w14:textId="2077DFA6" w:rsidR="008C40F1" w:rsidRDefault="008C40F1" w:rsidP="009A5E3F">
      <w:r>
        <w:t xml:space="preserve">While CTFJ has its substantial capital and fixed assets, together with the lower interest rate, the firm may not need to worry about </w:t>
      </w:r>
      <w:r w:rsidR="00F05610">
        <w:t>any</w:t>
      </w:r>
      <w:r>
        <w:t xml:space="preserve"> short-term impact</w:t>
      </w:r>
      <w:r w:rsidR="00F05610">
        <w:t>s</w:t>
      </w:r>
      <w:r>
        <w:t xml:space="preserve"> </w:t>
      </w:r>
      <w:r w:rsidR="00F05610">
        <w:t>amid</w:t>
      </w:r>
      <w:r>
        <w:t xml:space="preserve"> the COVID-19</w:t>
      </w:r>
      <w:r w:rsidR="00F05610">
        <w:t xml:space="preserve"> pandemic</w:t>
      </w:r>
      <w:r>
        <w:t xml:space="preserve">. CTFJ may continue to </w:t>
      </w:r>
      <w:r w:rsidR="00844330">
        <w:t xml:space="preserve">invest and </w:t>
      </w:r>
      <w:r>
        <w:t>expand, especially within the China region. The demand</w:t>
      </w:r>
      <w:r w:rsidR="00F05610">
        <w:t>-side</w:t>
      </w:r>
      <w:r>
        <w:t xml:space="preserve"> </w:t>
      </w:r>
      <w:r w:rsidR="00F05610">
        <w:t xml:space="preserve">in China is recovered due to </w:t>
      </w:r>
      <w:r>
        <w:t>the consumers' revenge buying behavior</w:t>
      </w:r>
      <w:r w:rsidR="00F05610">
        <w:t xml:space="preserve">, </w:t>
      </w:r>
      <w:r>
        <w:t xml:space="preserve">and potentially the same </w:t>
      </w:r>
      <w:r w:rsidR="00F05610">
        <w:t>will apply to</w:t>
      </w:r>
      <w:r>
        <w:t xml:space="preserve"> Hong Kong after the border is opened. </w:t>
      </w:r>
    </w:p>
    <w:p w14:paraId="7132270D" w14:textId="00685103" w:rsidR="00925F32" w:rsidRDefault="008C40F1" w:rsidP="00925F32">
      <w:pPr>
        <w:pStyle w:val="Heading2"/>
      </w:pPr>
      <w:bookmarkStart w:id="19" w:name="_Toc64840481"/>
      <w:r>
        <w:lastRenderedPageBreak/>
        <w:t>Changes in r</w:t>
      </w:r>
      <w:r w:rsidR="00925F32" w:rsidRPr="005B1C31">
        <w:t>evenue structure</w:t>
      </w:r>
      <w:bookmarkEnd w:id="19"/>
    </w:p>
    <w:p w14:paraId="7A8E357F" w14:textId="01522C90" w:rsidR="009835DD" w:rsidRDefault="00025B05" w:rsidP="00844330">
      <w:r>
        <w:t xml:space="preserve">Sames-store sales growth ("SSSG") was still under pressure in 1HFY2021, i.e., Mar to Sep 2020. </w:t>
      </w:r>
      <w:r w:rsidR="00D53DA9">
        <w:t>The COVID-19 pandemic heavily impacted two of the CTFJ's major products</w:t>
      </w:r>
      <w:r w:rsidR="00844330">
        <w:t xml:space="preserve">. Gem-set jewellery experienced a sharp </w:t>
      </w:r>
      <w:r w:rsidR="000463D9">
        <w:t>decline</w:t>
      </w:r>
      <w:r w:rsidR="00844330">
        <w:t xml:space="preserve"> since 2Q2019, while gold products started their downward trend in 3Q2019 (Table 5). </w:t>
      </w:r>
    </w:p>
    <w:p w14:paraId="48843A7F" w14:textId="77777777" w:rsidR="008C7D1F" w:rsidRPr="00844330" w:rsidRDefault="008C7D1F" w:rsidP="00844330"/>
    <w:p w14:paraId="722B05A4" w14:textId="16C5D8B2" w:rsidR="00CD2FB4" w:rsidRDefault="00CD2FB4" w:rsidP="00CD2FB4">
      <w:pPr>
        <w:pStyle w:val="Caption"/>
        <w:keepNext/>
        <w:jc w:val="left"/>
        <w:rPr>
          <w:sz w:val="24"/>
          <w:szCs w:val="24"/>
        </w:rPr>
      </w:pPr>
      <w:r w:rsidRPr="00CD2FB4">
        <w:rPr>
          <w:sz w:val="24"/>
          <w:szCs w:val="24"/>
        </w:rPr>
        <w:t xml:space="preserve">Table </w:t>
      </w:r>
      <w:r w:rsidRPr="00CD2FB4">
        <w:rPr>
          <w:sz w:val="24"/>
          <w:szCs w:val="24"/>
        </w:rPr>
        <w:fldChar w:fldCharType="begin"/>
      </w:r>
      <w:r w:rsidRPr="00CD2FB4">
        <w:rPr>
          <w:sz w:val="24"/>
          <w:szCs w:val="24"/>
        </w:rPr>
        <w:instrText xml:space="preserve"> SEQ Table \* ARABIC </w:instrText>
      </w:r>
      <w:r w:rsidRPr="00CD2FB4">
        <w:rPr>
          <w:sz w:val="24"/>
          <w:szCs w:val="24"/>
        </w:rPr>
        <w:fldChar w:fldCharType="separate"/>
      </w:r>
      <w:r w:rsidR="00A806F0">
        <w:rPr>
          <w:sz w:val="24"/>
          <w:szCs w:val="24"/>
        </w:rPr>
        <w:t>5</w:t>
      </w:r>
      <w:r w:rsidRPr="00CD2FB4">
        <w:rPr>
          <w:sz w:val="24"/>
          <w:szCs w:val="24"/>
        </w:rPr>
        <w:fldChar w:fldCharType="end"/>
      </w:r>
      <w:r w:rsidRPr="00CD2FB4">
        <w:rPr>
          <w:sz w:val="24"/>
          <w:szCs w:val="24"/>
        </w:rPr>
        <w:t>: Same-store sales growth of major products between FY2017 and FY2020</w:t>
      </w:r>
    </w:p>
    <w:bookmarkStart w:id="20" w:name="_MON_1675405586"/>
    <w:bookmarkEnd w:id="20"/>
    <w:p w14:paraId="7212593C" w14:textId="0ED4ABC5" w:rsidR="00DD3480" w:rsidRPr="00DD3480" w:rsidRDefault="00D53DA9" w:rsidP="00676FBE">
      <w:pPr>
        <w:spacing w:line="240" w:lineRule="auto"/>
      </w:pPr>
      <w:r>
        <w:object w:dxaOrig="8831" w:dyaOrig="6902" w14:anchorId="3006EB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4.5pt;height:344.85pt" o:ole="">
            <v:imagedata r:id="rId22" o:title=""/>
          </v:shape>
          <o:OLEObject Type="Embed" ProgID="Excel.Sheet.12" ShapeID="_x0000_i1025" DrawAspect="Content" ObjectID="_1675456540" r:id="rId23"/>
        </w:object>
      </w:r>
    </w:p>
    <w:p w14:paraId="6344B919" w14:textId="3BFBAD1B" w:rsidR="008C40F1" w:rsidRPr="00676FBE" w:rsidRDefault="00CD2FB4" w:rsidP="00676FBE">
      <w:pPr>
        <w:spacing w:line="240" w:lineRule="auto"/>
        <w:rPr>
          <w:sz w:val="20"/>
          <w:szCs w:val="20"/>
        </w:rPr>
      </w:pPr>
      <w:bookmarkStart w:id="21" w:name="_MON_1675403283"/>
      <w:bookmarkEnd w:id="21"/>
      <w:r w:rsidRPr="00676FBE">
        <w:rPr>
          <w:sz w:val="20"/>
          <w:szCs w:val="20"/>
        </w:rPr>
        <w:t xml:space="preserve">Source: </w:t>
      </w:r>
      <w:r w:rsidR="00025B05">
        <w:rPr>
          <w:sz w:val="20"/>
          <w:szCs w:val="20"/>
        </w:rPr>
        <w:t>CTFJ's</w:t>
      </w:r>
      <w:r w:rsidRPr="00676FBE">
        <w:rPr>
          <w:sz w:val="20"/>
          <w:szCs w:val="20"/>
        </w:rPr>
        <w:t xml:space="preserve"> annual report (2018, p. 50; 20</w:t>
      </w:r>
      <w:r w:rsidR="00676FBE" w:rsidRPr="00676FBE">
        <w:rPr>
          <w:sz w:val="20"/>
          <w:szCs w:val="20"/>
        </w:rPr>
        <w:t>20</w:t>
      </w:r>
      <w:r w:rsidRPr="00676FBE">
        <w:rPr>
          <w:sz w:val="20"/>
          <w:szCs w:val="20"/>
        </w:rPr>
        <w:t>, p. 61)</w:t>
      </w:r>
      <w:r w:rsidR="00676FBE" w:rsidRPr="00676FBE">
        <w:rPr>
          <w:sz w:val="20"/>
          <w:szCs w:val="20"/>
        </w:rPr>
        <w:t>, interim report (2021, p. 45)</w:t>
      </w:r>
    </w:p>
    <w:p w14:paraId="5173E78B" w14:textId="36E33BE3" w:rsidR="00CD2FB4" w:rsidRDefault="00CD2FB4" w:rsidP="00CD2FB4">
      <w:pPr>
        <w:spacing w:line="240" w:lineRule="auto"/>
      </w:pPr>
    </w:p>
    <w:p w14:paraId="0787FD51" w14:textId="77777777" w:rsidR="00D53DA9" w:rsidRDefault="00D53DA9" w:rsidP="00D53DA9"/>
    <w:p w14:paraId="0C02E422" w14:textId="77777777" w:rsidR="008C7D1F" w:rsidRDefault="008C7D1F" w:rsidP="00D53DA9"/>
    <w:p w14:paraId="3FD76B47" w14:textId="77777777" w:rsidR="008C7D1F" w:rsidRDefault="008C7D1F" w:rsidP="00D53DA9"/>
    <w:p w14:paraId="6C0D5F2A" w14:textId="77777777" w:rsidR="008C7D1F" w:rsidRDefault="008C7D1F" w:rsidP="00D53DA9"/>
    <w:p w14:paraId="231ADBC9" w14:textId="29C84EE0" w:rsidR="000463D9" w:rsidRDefault="00D53DA9" w:rsidP="00D53DA9">
      <w:r>
        <w:lastRenderedPageBreak/>
        <w:t xml:space="preserve">Overall, the firm's SSSG and SSS volume growth dropped </w:t>
      </w:r>
      <w:r w:rsidR="00F05610">
        <w:t xml:space="preserve">sharply </w:t>
      </w:r>
      <w:r>
        <w:t xml:space="preserve">in FY2020, until a slight improvement in 1HFY2021 thanks to a lower comparison base y-o-y changes (Table 6). </w:t>
      </w:r>
    </w:p>
    <w:p w14:paraId="5ED94EEE" w14:textId="2F800EF0" w:rsidR="00844330" w:rsidRDefault="00844330" w:rsidP="00CD2FB4">
      <w:pPr>
        <w:spacing w:line="240" w:lineRule="auto"/>
      </w:pPr>
    </w:p>
    <w:p w14:paraId="5EC9D5DE" w14:textId="77777777" w:rsidR="008C7D1F" w:rsidRDefault="008C7D1F" w:rsidP="00CD2FB4">
      <w:pPr>
        <w:spacing w:line="240" w:lineRule="auto"/>
      </w:pPr>
    </w:p>
    <w:p w14:paraId="4124BEBA" w14:textId="65DAAF03" w:rsidR="000463D9" w:rsidRPr="000463D9" w:rsidRDefault="000463D9" w:rsidP="000463D9">
      <w:pPr>
        <w:pStyle w:val="Caption"/>
        <w:keepNext/>
        <w:jc w:val="both"/>
        <w:rPr>
          <w:sz w:val="24"/>
          <w:szCs w:val="24"/>
        </w:rPr>
      </w:pPr>
      <w:r w:rsidRPr="000463D9">
        <w:rPr>
          <w:sz w:val="24"/>
          <w:szCs w:val="24"/>
        </w:rPr>
        <w:t xml:space="preserve">Table </w:t>
      </w:r>
      <w:r w:rsidRPr="000463D9">
        <w:rPr>
          <w:sz w:val="24"/>
          <w:szCs w:val="24"/>
        </w:rPr>
        <w:fldChar w:fldCharType="begin"/>
      </w:r>
      <w:r w:rsidRPr="000463D9">
        <w:rPr>
          <w:sz w:val="24"/>
          <w:szCs w:val="24"/>
        </w:rPr>
        <w:instrText xml:space="preserve"> SEQ Table \* ARABIC </w:instrText>
      </w:r>
      <w:r w:rsidRPr="000463D9">
        <w:rPr>
          <w:sz w:val="24"/>
          <w:szCs w:val="24"/>
        </w:rPr>
        <w:fldChar w:fldCharType="separate"/>
      </w:r>
      <w:r w:rsidR="00A806F0">
        <w:rPr>
          <w:sz w:val="24"/>
          <w:szCs w:val="24"/>
        </w:rPr>
        <w:t>6</w:t>
      </w:r>
      <w:r w:rsidRPr="000463D9">
        <w:rPr>
          <w:sz w:val="24"/>
          <w:szCs w:val="24"/>
        </w:rPr>
        <w:fldChar w:fldCharType="end"/>
      </w:r>
      <w:r w:rsidRPr="000463D9">
        <w:rPr>
          <w:sz w:val="24"/>
          <w:szCs w:val="24"/>
        </w:rPr>
        <w:t>:</w:t>
      </w:r>
      <w:r>
        <w:rPr>
          <w:sz w:val="24"/>
          <w:szCs w:val="24"/>
        </w:rPr>
        <w:t xml:space="preserve"> Same-store sales growth and Same-store volume growth</w:t>
      </w:r>
    </w:p>
    <w:bookmarkStart w:id="22" w:name="_MON_1675414437"/>
    <w:bookmarkEnd w:id="22"/>
    <w:p w14:paraId="4C2503DF" w14:textId="5E1B3395" w:rsidR="000463D9" w:rsidRDefault="000463D9" w:rsidP="00CD2FB4">
      <w:pPr>
        <w:spacing w:line="240" w:lineRule="auto"/>
      </w:pPr>
      <w:r>
        <w:object w:dxaOrig="9043" w:dyaOrig="2358" w14:anchorId="43A8BA99">
          <v:shape id="_x0000_i1026" type="#_x0000_t75" style="width:452.35pt;height:117.9pt" o:ole="">
            <v:imagedata r:id="rId24" o:title=""/>
          </v:shape>
          <o:OLEObject Type="Embed" ProgID="Excel.Sheet.12" ShapeID="_x0000_i1026" DrawAspect="Content" ObjectID="_1675456541" r:id="rId25"/>
        </w:object>
      </w:r>
    </w:p>
    <w:p w14:paraId="2E19752B" w14:textId="3CC2E5E4" w:rsidR="000463D9" w:rsidRPr="00676FBE" w:rsidRDefault="000463D9" w:rsidP="000463D9">
      <w:pPr>
        <w:spacing w:line="240" w:lineRule="auto"/>
        <w:rPr>
          <w:sz w:val="20"/>
          <w:szCs w:val="20"/>
        </w:rPr>
      </w:pPr>
      <w:r w:rsidRPr="00676FBE">
        <w:rPr>
          <w:sz w:val="20"/>
          <w:szCs w:val="20"/>
        </w:rPr>
        <w:t xml:space="preserve">Source: </w:t>
      </w:r>
      <w:r>
        <w:rPr>
          <w:sz w:val="20"/>
          <w:szCs w:val="20"/>
        </w:rPr>
        <w:t>CTFJ's</w:t>
      </w:r>
      <w:r w:rsidRPr="00676FBE">
        <w:rPr>
          <w:sz w:val="20"/>
          <w:szCs w:val="20"/>
        </w:rPr>
        <w:t xml:space="preserve"> annual report (2020, p. </w:t>
      </w:r>
      <w:r>
        <w:rPr>
          <w:sz w:val="20"/>
          <w:szCs w:val="20"/>
        </w:rPr>
        <w:t>7</w:t>
      </w:r>
      <w:r w:rsidRPr="00676FBE">
        <w:rPr>
          <w:sz w:val="20"/>
          <w:szCs w:val="20"/>
        </w:rPr>
        <w:t>), interim report (2021, p. 4</w:t>
      </w:r>
      <w:r>
        <w:rPr>
          <w:sz w:val="20"/>
          <w:szCs w:val="20"/>
        </w:rPr>
        <w:t>8</w:t>
      </w:r>
      <w:r w:rsidRPr="00676FBE">
        <w:rPr>
          <w:sz w:val="20"/>
          <w:szCs w:val="20"/>
        </w:rPr>
        <w:t>)</w:t>
      </w:r>
    </w:p>
    <w:p w14:paraId="04AEC37C" w14:textId="73A66473" w:rsidR="000463D9" w:rsidRDefault="000463D9" w:rsidP="000463D9">
      <w:pPr>
        <w:spacing w:after="160" w:line="259" w:lineRule="auto"/>
        <w:jc w:val="left"/>
      </w:pPr>
    </w:p>
    <w:p w14:paraId="516875E7" w14:textId="77777777" w:rsidR="008C7D1F" w:rsidRDefault="008C7D1F" w:rsidP="000463D9">
      <w:pPr>
        <w:spacing w:after="160" w:line="259" w:lineRule="auto"/>
        <w:jc w:val="left"/>
      </w:pPr>
    </w:p>
    <w:p w14:paraId="467D4AE8" w14:textId="4AFCC955" w:rsidR="00844330" w:rsidRDefault="000463D9" w:rsidP="000463D9">
      <w:r>
        <w:t xml:space="preserve">The primary reasons </w:t>
      </w:r>
      <w:r w:rsidR="00F05610">
        <w:t>caused</w:t>
      </w:r>
      <w:r>
        <w:t xml:space="preserve"> </w:t>
      </w:r>
      <w:r w:rsidR="00F05610">
        <w:t>for</w:t>
      </w:r>
      <w:r>
        <w:t xml:space="preserve"> the drop in Hong Kong's sales were</w:t>
      </w:r>
      <w:r w:rsidR="00844330">
        <w:t xml:space="preserve"> </w:t>
      </w:r>
      <w:r>
        <w:t xml:space="preserve">lesser customer traffic at its points of sales ("POS") and the limited number of Mainland Chinese consumers. Customer traffic in Hong Kong </w:t>
      </w:r>
      <w:r w:rsidR="00F05610">
        <w:t>shrank</w:t>
      </w:r>
      <w:r>
        <w:t xml:space="preserve"> by 32.1% y-o-y in FY2020. With a rapid decline in Mainland visitor arrivals amid the situation in Hong Kong and cross-border restrictions to tackle the epidemic, the percentage of RSV settled by China Union Pay, Alipay, WeChat Pay, or RMB to the total RSV of Hong Kong market, a proxy for sales contribution from Mainland tourists lowered from 46.5% in FY2019 o 3.9% in FY2020</w:t>
      </w:r>
      <w:r w:rsidR="00C35DC6">
        <w:t xml:space="preserve"> (Table 7).</w:t>
      </w:r>
    </w:p>
    <w:p w14:paraId="526A0033" w14:textId="479691EC" w:rsidR="00844330" w:rsidRDefault="00844330" w:rsidP="00CD2FB4">
      <w:pPr>
        <w:spacing w:line="240" w:lineRule="auto"/>
      </w:pPr>
    </w:p>
    <w:p w14:paraId="38F975B7" w14:textId="236167A3" w:rsidR="000463D9" w:rsidRPr="000463D9" w:rsidRDefault="000463D9" w:rsidP="000463D9">
      <w:pPr>
        <w:pStyle w:val="Caption"/>
        <w:keepNext/>
        <w:jc w:val="both"/>
        <w:rPr>
          <w:sz w:val="24"/>
          <w:szCs w:val="24"/>
        </w:rPr>
      </w:pPr>
      <w:r w:rsidRPr="000463D9">
        <w:rPr>
          <w:sz w:val="24"/>
          <w:szCs w:val="24"/>
        </w:rPr>
        <w:t xml:space="preserve">Table </w:t>
      </w:r>
      <w:r w:rsidRPr="000463D9">
        <w:rPr>
          <w:sz w:val="24"/>
          <w:szCs w:val="24"/>
        </w:rPr>
        <w:fldChar w:fldCharType="begin"/>
      </w:r>
      <w:r w:rsidRPr="000463D9">
        <w:rPr>
          <w:sz w:val="24"/>
          <w:szCs w:val="24"/>
        </w:rPr>
        <w:instrText xml:space="preserve"> SEQ Table \* ARABIC </w:instrText>
      </w:r>
      <w:r w:rsidRPr="000463D9">
        <w:rPr>
          <w:sz w:val="24"/>
          <w:szCs w:val="24"/>
        </w:rPr>
        <w:fldChar w:fldCharType="separate"/>
      </w:r>
      <w:r w:rsidR="00A806F0">
        <w:rPr>
          <w:sz w:val="24"/>
          <w:szCs w:val="24"/>
        </w:rPr>
        <w:t>7</w:t>
      </w:r>
      <w:r w:rsidRPr="000463D9">
        <w:rPr>
          <w:sz w:val="24"/>
          <w:szCs w:val="24"/>
        </w:rPr>
        <w:fldChar w:fldCharType="end"/>
      </w:r>
      <w:r w:rsidRPr="000463D9">
        <w:rPr>
          <w:sz w:val="24"/>
          <w:szCs w:val="24"/>
        </w:rPr>
        <w:t xml:space="preserve">: </w:t>
      </w:r>
      <w:r>
        <w:rPr>
          <w:sz w:val="24"/>
          <w:szCs w:val="24"/>
        </w:rPr>
        <w:t>y-o-y changes in c</w:t>
      </w:r>
      <w:r w:rsidRPr="000463D9">
        <w:rPr>
          <w:sz w:val="24"/>
          <w:szCs w:val="24"/>
        </w:rPr>
        <w:t xml:space="preserve">ustomer traffic </w:t>
      </w:r>
      <w:r>
        <w:rPr>
          <w:sz w:val="24"/>
          <w:szCs w:val="24"/>
        </w:rPr>
        <w:t xml:space="preserve">at POS, </w:t>
      </w:r>
      <w:r w:rsidRPr="000463D9">
        <w:rPr>
          <w:sz w:val="24"/>
          <w:szCs w:val="24"/>
        </w:rPr>
        <w:t>and RSV settled by Mainland Chinese</w:t>
      </w:r>
      <w:r>
        <w:rPr>
          <w:sz w:val="24"/>
          <w:szCs w:val="24"/>
        </w:rPr>
        <w:t xml:space="preserve"> </w:t>
      </w:r>
    </w:p>
    <w:bookmarkStart w:id="23" w:name="_MON_1675410228"/>
    <w:bookmarkEnd w:id="23"/>
    <w:p w14:paraId="7668EC10" w14:textId="7BF31089" w:rsidR="00844330" w:rsidRDefault="00D53DA9" w:rsidP="00CD2FB4">
      <w:pPr>
        <w:spacing w:line="240" w:lineRule="auto"/>
      </w:pPr>
      <w:r>
        <w:object w:dxaOrig="9057" w:dyaOrig="2255" w14:anchorId="2FC2D108">
          <v:shape id="_x0000_i1027" type="#_x0000_t75" style="width:452.85pt;height:112.7pt" o:ole="">
            <v:imagedata r:id="rId26" o:title=""/>
          </v:shape>
          <o:OLEObject Type="Embed" ProgID="Excel.Sheet.12" ShapeID="_x0000_i1027" DrawAspect="Content" ObjectID="_1675456542" r:id="rId27"/>
        </w:object>
      </w:r>
    </w:p>
    <w:p w14:paraId="065D3672" w14:textId="3B8F2F66" w:rsidR="000463D9" w:rsidRPr="000463D9" w:rsidRDefault="000463D9" w:rsidP="00CD2FB4">
      <w:pPr>
        <w:spacing w:line="240" w:lineRule="auto"/>
        <w:rPr>
          <w:sz w:val="20"/>
          <w:szCs w:val="20"/>
        </w:rPr>
      </w:pPr>
      <w:r w:rsidRPr="000463D9">
        <w:rPr>
          <w:sz w:val="20"/>
          <w:szCs w:val="20"/>
        </w:rPr>
        <w:t xml:space="preserve">Source: </w:t>
      </w:r>
      <w:r>
        <w:rPr>
          <w:sz w:val="20"/>
          <w:szCs w:val="20"/>
        </w:rPr>
        <w:t>CTFJ annual report (2017, p. 38; 2018, p. 57; 2019, p. 60; 2020, p. 66)</w:t>
      </w:r>
      <w:r w:rsidR="00D53DA9">
        <w:rPr>
          <w:sz w:val="20"/>
          <w:szCs w:val="20"/>
        </w:rPr>
        <w:t xml:space="preserve">, </w:t>
      </w:r>
      <w:r w:rsidR="00D53DA9" w:rsidRPr="00676FBE">
        <w:rPr>
          <w:sz w:val="20"/>
          <w:szCs w:val="20"/>
        </w:rPr>
        <w:t xml:space="preserve">interim report (2021, p. </w:t>
      </w:r>
      <w:r w:rsidR="00D53DA9">
        <w:rPr>
          <w:sz w:val="20"/>
          <w:szCs w:val="20"/>
        </w:rPr>
        <w:t>31</w:t>
      </w:r>
      <w:r w:rsidR="00D53DA9" w:rsidRPr="00676FBE">
        <w:rPr>
          <w:sz w:val="20"/>
          <w:szCs w:val="20"/>
        </w:rPr>
        <w:t>)</w:t>
      </w:r>
    </w:p>
    <w:p w14:paraId="1AAD989E" w14:textId="77777777" w:rsidR="00844330" w:rsidRPr="009835DD" w:rsidRDefault="00844330" w:rsidP="00CD2FB4">
      <w:pPr>
        <w:spacing w:line="240" w:lineRule="auto"/>
      </w:pPr>
    </w:p>
    <w:p w14:paraId="4A11243C" w14:textId="06C8BBBD" w:rsidR="000463D9" w:rsidRDefault="000463D9" w:rsidP="00D53DA9"/>
    <w:p w14:paraId="5FD21111" w14:textId="77777777" w:rsidR="008C7D1F" w:rsidRDefault="008C7D1F" w:rsidP="00D53DA9"/>
    <w:p w14:paraId="3E704225" w14:textId="77777777" w:rsidR="008C7D1F" w:rsidRDefault="008C7D1F" w:rsidP="00D53DA9"/>
    <w:p w14:paraId="5DD70193" w14:textId="2EE1C2B3" w:rsidR="00D53DA9" w:rsidRDefault="00D53DA9" w:rsidP="00D53DA9">
      <w:r>
        <w:lastRenderedPageBreak/>
        <w:t xml:space="preserve">While the customer traffic from its POS dropped, the firm benefited </w:t>
      </w:r>
      <w:r w:rsidR="00F05610">
        <w:t>from</w:t>
      </w:r>
      <w:r>
        <w:t xml:space="preserve"> the customers' shopping behavior changes via its E-commerce business performance</w:t>
      </w:r>
      <w:r w:rsidR="00C35DC6">
        <w:t xml:space="preserve"> (Table 8).</w:t>
      </w:r>
    </w:p>
    <w:p w14:paraId="07807B91" w14:textId="77777777" w:rsidR="00C35DC6" w:rsidRDefault="00C35DC6" w:rsidP="00D53DA9"/>
    <w:p w14:paraId="3CC36FEA" w14:textId="378D4EE8" w:rsidR="00D53DA9" w:rsidRPr="00D53DA9" w:rsidRDefault="00D53DA9" w:rsidP="00D53DA9">
      <w:pPr>
        <w:pStyle w:val="Caption"/>
        <w:keepNext/>
        <w:jc w:val="both"/>
        <w:rPr>
          <w:sz w:val="24"/>
          <w:szCs w:val="24"/>
        </w:rPr>
      </w:pPr>
      <w:r w:rsidRPr="00D53DA9">
        <w:rPr>
          <w:sz w:val="24"/>
          <w:szCs w:val="24"/>
        </w:rPr>
        <w:t xml:space="preserve">Table </w:t>
      </w:r>
      <w:r w:rsidRPr="00D53DA9">
        <w:rPr>
          <w:sz w:val="24"/>
          <w:szCs w:val="24"/>
        </w:rPr>
        <w:fldChar w:fldCharType="begin"/>
      </w:r>
      <w:r w:rsidRPr="00D53DA9">
        <w:rPr>
          <w:sz w:val="24"/>
          <w:szCs w:val="24"/>
        </w:rPr>
        <w:instrText xml:space="preserve"> SEQ Table \* ARABIC </w:instrText>
      </w:r>
      <w:r w:rsidRPr="00D53DA9">
        <w:rPr>
          <w:sz w:val="24"/>
          <w:szCs w:val="24"/>
        </w:rPr>
        <w:fldChar w:fldCharType="separate"/>
      </w:r>
      <w:r w:rsidR="00A806F0">
        <w:rPr>
          <w:sz w:val="24"/>
          <w:szCs w:val="24"/>
        </w:rPr>
        <w:t>8</w:t>
      </w:r>
      <w:r w:rsidRPr="00D53DA9">
        <w:rPr>
          <w:sz w:val="24"/>
          <w:szCs w:val="24"/>
        </w:rPr>
        <w:fldChar w:fldCharType="end"/>
      </w:r>
      <w:r>
        <w:rPr>
          <w:sz w:val="24"/>
          <w:szCs w:val="24"/>
        </w:rPr>
        <w:t>: y-o-y changes in Retails Sales Value from E-commerce platforms</w:t>
      </w:r>
    </w:p>
    <w:bookmarkStart w:id="24" w:name="_MON_1675422802"/>
    <w:bookmarkEnd w:id="24"/>
    <w:p w14:paraId="7A7B2FAC" w14:textId="4C606552" w:rsidR="00D53DA9" w:rsidRDefault="00D53DA9" w:rsidP="00D53DA9">
      <w:pPr>
        <w:spacing w:line="240" w:lineRule="auto"/>
      </w:pPr>
      <w:r>
        <w:object w:dxaOrig="8982" w:dyaOrig="1013" w14:anchorId="564D6A7C">
          <v:shape id="_x0000_i1028" type="#_x0000_t75" style="width:449.2pt;height:50.6pt" o:ole="">
            <v:imagedata r:id="rId28" o:title=""/>
          </v:shape>
          <o:OLEObject Type="Embed" ProgID="Excel.Sheet.12" ShapeID="_x0000_i1028" DrawAspect="Content" ObjectID="_1675456543" r:id="rId29"/>
        </w:object>
      </w:r>
    </w:p>
    <w:p w14:paraId="51CDC1AF" w14:textId="09995D1B" w:rsidR="00D53DA9" w:rsidRPr="000463D9" w:rsidRDefault="00D53DA9" w:rsidP="00D53DA9">
      <w:pPr>
        <w:spacing w:line="240" w:lineRule="auto"/>
        <w:rPr>
          <w:sz w:val="20"/>
          <w:szCs w:val="20"/>
        </w:rPr>
      </w:pPr>
      <w:r w:rsidRPr="000463D9">
        <w:rPr>
          <w:sz w:val="20"/>
          <w:szCs w:val="20"/>
        </w:rPr>
        <w:t xml:space="preserve">Source: </w:t>
      </w:r>
      <w:r>
        <w:rPr>
          <w:sz w:val="20"/>
          <w:szCs w:val="20"/>
        </w:rPr>
        <w:t xml:space="preserve">CTFJ annual report (2017, p. 35; 2018, p. 55; 2019, p. 58; 2020, p. 59), </w:t>
      </w:r>
      <w:r w:rsidRPr="00676FBE">
        <w:rPr>
          <w:sz w:val="20"/>
          <w:szCs w:val="20"/>
        </w:rPr>
        <w:t xml:space="preserve">interim report (2021, p. </w:t>
      </w:r>
      <w:r>
        <w:rPr>
          <w:sz w:val="20"/>
          <w:szCs w:val="20"/>
        </w:rPr>
        <w:t>26</w:t>
      </w:r>
      <w:r w:rsidRPr="00676FBE">
        <w:rPr>
          <w:sz w:val="20"/>
          <w:szCs w:val="20"/>
        </w:rPr>
        <w:t>)</w:t>
      </w:r>
    </w:p>
    <w:p w14:paraId="785403D7" w14:textId="001E86D6" w:rsidR="00D53DA9" w:rsidRDefault="00D53DA9" w:rsidP="00D53DA9"/>
    <w:p w14:paraId="2E276369" w14:textId="77777777" w:rsidR="008C7D1F" w:rsidRDefault="008C7D1F" w:rsidP="00D53DA9"/>
    <w:p w14:paraId="3C651FCF" w14:textId="32F7ACA5" w:rsidR="00C35DC6" w:rsidRDefault="00C35DC6" w:rsidP="00D53DA9">
      <w:r>
        <w:t xml:space="preserve">During the virus pandemic period, the downside is </w:t>
      </w:r>
      <w:r w:rsidR="00F05610">
        <w:t xml:space="preserve">having </w:t>
      </w:r>
      <w:r w:rsidR="008C7D1F">
        <w:t>fewer</w:t>
      </w:r>
      <w:r>
        <w:t xml:space="preserve"> Mainland Chinese consumers </w:t>
      </w:r>
      <w:r w:rsidR="008C7D1F">
        <w:t>visited the POS in Hong Kong. T</w:t>
      </w:r>
      <w:r>
        <w:t xml:space="preserve">he </w:t>
      </w:r>
      <w:r w:rsidR="00F05610">
        <w:t>valuable</w:t>
      </w:r>
      <w:r w:rsidR="008C7D1F">
        <w:t xml:space="preserve"> part</w:t>
      </w:r>
      <w:r>
        <w:t xml:space="preserve"> is increasing RSV on the E-commerce platform</w:t>
      </w:r>
      <w:r w:rsidR="008C7D1F">
        <w:t>;</w:t>
      </w:r>
      <w:r w:rsidR="00CE1E4A">
        <w:t xml:space="preserve"> </w:t>
      </w:r>
      <w:r w:rsidR="00F05610">
        <w:t>there are just slight shifts in</w:t>
      </w:r>
      <w:r>
        <w:t xml:space="preserve"> </w:t>
      </w:r>
      <w:r w:rsidR="008C7D1F">
        <w:t>revenue structure changes</w:t>
      </w:r>
      <w:r w:rsidR="00CE1E4A">
        <w:t>. A</w:t>
      </w:r>
      <w:r>
        <w:t>ssuming the COVID-19 impact is short-term, CTFJ may focus on its competitive advantages and get ready for the post-COVID-19 business performance bounce back.</w:t>
      </w:r>
    </w:p>
    <w:p w14:paraId="5D9D234C" w14:textId="77777777" w:rsidR="008C7D1F" w:rsidRDefault="008C7D1F" w:rsidP="00D53DA9"/>
    <w:p w14:paraId="1051F2D1" w14:textId="689F807D" w:rsidR="00925F32" w:rsidRDefault="00925F32" w:rsidP="00925F32">
      <w:pPr>
        <w:pStyle w:val="Heading2"/>
      </w:pPr>
      <w:bookmarkStart w:id="25" w:name="_Toc64840482"/>
      <w:r w:rsidRPr="00925F32">
        <w:t>Macroeconomic environment</w:t>
      </w:r>
      <w:bookmarkEnd w:id="25"/>
    </w:p>
    <w:p w14:paraId="0A5FD4E9" w14:textId="5D94200A" w:rsidR="008C7D1F" w:rsidRDefault="00925F32" w:rsidP="000463D9">
      <w:r w:rsidRPr="005B1C31">
        <w:t xml:space="preserve">Although CTFJ reflected its healthy financial status in FY2020, the macroeconomic environment </w:t>
      </w:r>
      <w:r w:rsidR="008C7D1F">
        <w:t>may affect CTFJ's business strategies' prospects</w:t>
      </w:r>
      <w:r w:rsidRPr="005B1C31">
        <w:t xml:space="preserve">. </w:t>
      </w:r>
      <w:r w:rsidR="004C53C7">
        <w:t>SSSG in Hong Kong continue</w:t>
      </w:r>
      <w:r w:rsidR="00F05610">
        <w:t>d</w:t>
      </w:r>
      <w:r w:rsidR="004C53C7">
        <w:t xml:space="preserve"> to drop </w:t>
      </w:r>
      <w:r w:rsidR="00F05610">
        <w:t xml:space="preserve">in FY2020, which </w:t>
      </w:r>
      <w:r w:rsidR="004C53C7">
        <w:t>correlated to the macroeconomic variables</w:t>
      </w:r>
      <w:r w:rsidR="004C53C7" w:rsidRPr="005B1C31">
        <w:t xml:space="preserve">. </w:t>
      </w:r>
    </w:p>
    <w:p w14:paraId="2005F4BE" w14:textId="77777777" w:rsidR="008C7D1F" w:rsidRDefault="008C7D1F" w:rsidP="000463D9"/>
    <w:p w14:paraId="4E4DC12C" w14:textId="69596128" w:rsidR="008C7D1F" w:rsidRDefault="008C7D1F" w:rsidP="008C7D1F">
      <w:r>
        <w:t xml:space="preserve">Firstly, Hong Kong's </w:t>
      </w:r>
      <w:r w:rsidR="004C53C7" w:rsidRPr="005B1C31">
        <w:t xml:space="preserve">Gross Domestic Product </w:t>
      </w:r>
      <w:r w:rsidR="004C53C7">
        <w:t>(</w:t>
      </w:r>
      <w:r w:rsidR="004C53C7" w:rsidRPr="005B1C31">
        <w:t>"GDP"</w:t>
      </w:r>
      <w:r w:rsidR="004C53C7">
        <w:t>)</w:t>
      </w:r>
      <w:r w:rsidR="004C53C7" w:rsidRPr="005B1C31">
        <w:t xml:space="preserve"> </w:t>
      </w:r>
      <w:r w:rsidR="004C53C7">
        <w:t>in</w:t>
      </w:r>
      <w:r w:rsidR="004C53C7" w:rsidRPr="005B1C31">
        <w:t xml:space="preserve"> 1Q2020 </w:t>
      </w:r>
      <w:r w:rsidRPr="005B1C31">
        <w:t>y-o-y change</w:t>
      </w:r>
      <w:r>
        <w:t xml:space="preserve"> suffered a sharp drop</w:t>
      </w:r>
      <w:r w:rsidR="004C53C7" w:rsidRPr="005B1C31">
        <w:t xml:space="preserve"> </w:t>
      </w:r>
      <w:r>
        <w:t>to</w:t>
      </w:r>
      <w:r w:rsidR="004C53C7" w:rsidRPr="005B1C31">
        <w:t xml:space="preserve"> </w:t>
      </w:r>
      <w:r>
        <w:t>-</w:t>
      </w:r>
      <w:r w:rsidR="004C53C7" w:rsidRPr="005B1C31">
        <w:t xml:space="preserve">9.1%, followed by -9.0% </w:t>
      </w:r>
      <w:r w:rsidR="004C53C7">
        <w:t xml:space="preserve">at 2Q, </w:t>
      </w:r>
      <w:r w:rsidR="004C53C7" w:rsidRPr="005B1C31">
        <w:t xml:space="preserve">and -3.6% at 3Q2020 </w:t>
      </w:r>
      <w:sdt>
        <w:sdtPr>
          <w:id w:val="-1965890023"/>
          <w:citation/>
        </w:sdtPr>
        <w:sdtContent>
          <w:r w:rsidR="004C53C7" w:rsidRPr="005B1C31">
            <w:fldChar w:fldCharType="begin"/>
          </w:r>
          <w:r w:rsidR="004C53C7">
            <w:instrText xml:space="preserve">CITATION Cen21 \l 1033 </w:instrText>
          </w:r>
          <w:r w:rsidR="004C53C7" w:rsidRPr="005B1C31">
            <w:fldChar w:fldCharType="separate"/>
          </w:r>
          <w:r w:rsidR="004C53C7" w:rsidRPr="00B35CD6">
            <w:t>(Census and Statistics Department, 2021b)</w:t>
          </w:r>
          <w:r w:rsidR="004C53C7" w:rsidRPr="005B1C31">
            <w:fldChar w:fldCharType="end"/>
          </w:r>
        </w:sdtContent>
      </w:sdt>
      <w:r w:rsidR="004C53C7" w:rsidRPr="005B1C31">
        <w:t xml:space="preserve">. </w:t>
      </w:r>
      <w:r>
        <w:t xml:space="preserve">Although the weakened economy resulted in a lower GDP, there was a steady improvement throughout 2020. Indeed, the global economy is projected to rise by 5.5% in 2021 and 4.2% in 2022 </w:t>
      </w:r>
      <w:sdt>
        <w:sdtPr>
          <w:id w:val="-1176879921"/>
          <w:citation/>
        </w:sdtPr>
        <w:sdtContent>
          <w:r>
            <w:fldChar w:fldCharType="begin"/>
          </w:r>
          <w:r>
            <w:instrText xml:space="preserve"> CITATION IMF21 \l 1033 </w:instrText>
          </w:r>
          <w:r>
            <w:fldChar w:fldCharType="separate"/>
          </w:r>
          <w:r w:rsidRPr="008C7D1F">
            <w:t>(IMF, 2021)</w:t>
          </w:r>
          <w:r>
            <w:fldChar w:fldCharType="end"/>
          </w:r>
        </w:sdtContent>
      </w:sdt>
      <w:r>
        <w:t xml:space="preserve">. The recovery's strength varies significantly across countries, depending on access to medical interventions, policy support effectiveness, exposure </w:t>
      </w:r>
      <w:r>
        <w:lastRenderedPageBreak/>
        <w:t>to cross-country spillovers, and structural characteristics entering the crisis. The world economic outlook has an optimistic projection in 2021 and 2022 (Figure 8).</w:t>
      </w:r>
    </w:p>
    <w:p w14:paraId="31D85EE4" w14:textId="6AA30FA2" w:rsidR="008C7D1F" w:rsidRDefault="008C7D1F" w:rsidP="000463D9"/>
    <w:p w14:paraId="67B73C08" w14:textId="3E0F3AEF" w:rsidR="008C7D1F" w:rsidRPr="008C7D1F" w:rsidRDefault="008C7D1F" w:rsidP="008C7D1F">
      <w:pPr>
        <w:pStyle w:val="Caption"/>
        <w:keepNext/>
        <w:jc w:val="both"/>
        <w:rPr>
          <w:sz w:val="28"/>
          <w:szCs w:val="28"/>
        </w:rPr>
      </w:pPr>
      <w:r w:rsidRPr="008C7D1F">
        <w:rPr>
          <w:sz w:val="24"/>
          <w:szCs w:val="24"/>
        </w:rPr>
        <w:t xml:space="preserve">Figure </w:t>
      </w:r>
      <w:r w:rsidRPr="008C7D1F">
        <w:rPr>
          <w:sz w:val="24"/>
          <w:szCs w:val="24"/>
        </w:rPr>
        <w:fldChar w:fldCharType="begin"/>
      </w:r>
      <w:r w:rsidRPr="008C7D1F">
        <w:rPr>
          <w:sz w:val="24"/>
          <w:szCs w:val="24"/>
        </w:rPr>
        <w:instrText xml:space="preserve"> SEQ Figure \* ARABIC </w:instrText>
      </w:r>
      <w:r w:rsidRPr="008C7D1F">
        <w:rPr>
          <w:sz w:val="24"/>
          <w:szCs w:val="24"/>
        </w:rPr>
        <w:fldChar w:fldCharType="separate"/>
      </w:r>
      <w:r w:rsidR="00A806F0">
        <w:rPr>
          <w:sz w:val="24"/>
          <w:szCs w:val="24"/>
        </w:rPr>
        <w:t>8</w:t>
      </w:r>
      <w:r w:rsidRPr="008C7D1F">
        <w:rPr>
          <w:sz w:val="24"/>
          <w:szCs w:val="24"/>
        </w:rPr>
        <w:fldChar w:fldCharType="end"/>
      </w:r>
      <w:r>
        <w:rPr>
          <w:sz w:val="24"/>
          <w:szCs w:val="24"/>
        </w:rPr>
        <w:t xml:space="preserve">: World Economic Outlook y-o-y GDP Projections  </w:t>
      </w:r>
    </w:p>
    <w:tbl>
      <w:tblPr>
        <w:tblW w:w="5000" w:type="pct"/>
        <w:tblLook w:val="04A0" w:firstRow="1" w:lastRow="0" w:firstColumn="1" w:lastColumn="0" w:noHBand="0" w:noVBand="1"/>
      </w:tblPr>
      <w:tblGrid>
        <w:gridCol w:w="4495"/>
        <w:gridCol w:w="1142"/>
        <w:gridCol w:w="1142"/>
        <w:gridCol w:w="1142"/>
        <w:gridCol w:w="1144"/>
      </w:tblGrid>
      <w:tr w:rsidR="008C7D1F" w:rsidRPr="008C7D1F" w14:paraId="370A4A3B" w14:textId="77777777" w:rsidTr="008C7D1F">
        <w:trPr>
          <w:trHeight w:val="312"/>
        </w:trPr>
        <w:tc>
          <w:tcPr>
            <w:tcW w:w="2479" w:type="pct"/>
            <w:tcBorders>
              <w:top w:val="nil"/>
              <w:left w:val="nil"/>
              <w:bottom w:val="nil"/>
              <w:right w:val="nil"/>
            </w:tcBorders>
            <w:shd w:val="clear" w:color="auto" w:fill="auto"/>
            <w:noWrap/>
            <w:vAlign w:val="bottom"/>
            <w:hideMark/>
          </w:tcPr>
          <w:p w14:paraId="4F625F46" w14:textId="77777777" w:rsidR="008C7D1F" w:rsidRPr="008C7D1F" w:rsidRDefault="008C7D1F" w:rsidP="008C7D1F">
            <w:pPr>
              <w:spacing w:line="240" w:lineRule="auto"/>
              <w:jc w:val="left"/>
              <w:rPr>
                <w:rFonts w:eastAsia="Times New Roman"/>
                <w:noProof w:val="0"/>
                <w:sz w:val="20"/>
                <w:szCs w:val="20"/>
              </w:rPr>
            </w:pPr>
          </w:p>
        </w:tc>
        <w:tc>
          <w:tcPr>
            <w:tcW w:w="126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EDE67C" w14:textId="77777777" w:rsidR="008C7D1F" w:rsidRPr="008C7D1F" w:rsidRDefault="008C7D1F" w:rsidP="008C7D1F">
            <w:pPr>
              <w:spacing w:line="240" w:lineRule="auto"/>
              <w:jc w:val="center"/>
              <w:rPr>
                <w:rFonts w:eastAsia="Times New Roman"/>
                <w:b/>
                <w:bCs/>
                <w:noProof w:val="0"/>
                <w:color w:val="000000"/>
                <w:sz w:val="22"/>
                <w:szCs w:val="22"/>
              </w:rPr>
            </w:pPr>
            <w:r w:rsidRPr="008C7D1F">
              <w:rPr>
                <w:rFonts w:eastAsia="Times New Roman"/>
                <w:b/>
                <w:bCs/>
                <w:noProof w:val="0"/>
                <w:color w:val="000000"/>
                <w:sz w:val="22"/>
                <w:szCs w:val="22"/>
              </w:rPr>
              <w:t>Estimate</w:t>
            </w:r>
          </w:p>
        </w:tc>
        <w:tc>
          <w:tcPr>
            <w:tcW w:w="1261" w:type="pct"/>
            <w:gridSpan w:val="2"/>
            <w:tcBorders>
              <w:top w:val="single" w:sz="4" w:space="0" w:color="auto"/>
              <w:left w:val="nil"/>
              <w:bottom w:val="single" w:sz="4" w:space="0" w:color="auto"/>
              <w:right w:val="single" w:sz="4" w:space="0" w:color="auto"/>
            </w:tcBorders>
            <w:shd w:val="clear" w:color="auto" w:fill="auto"/>
            <w:noWrap/>
            <w:vAlign w:val="bottom"/>
            <w:hideMark/>
          </w:tcPr>
          <w:p w14:paraId="40AFE5A9" w14:textId="77777777" w:rsidR="008C7D1F" w:rsidRPr="008C7D1F" w:rsidRDefault="008C7D1F" w:rsidP="008C7D1F">
            <w:pPr>
              <w:spacing w:line="240" w:lineRule="auto"/>
              <w:jc w:val="center"/>
              <w:rPr>
                <w:rFonts w:eastAsia="Times New Roman"/>
                <w:b/>
                <w:bCs/>
                <w:noProof w:val="0"/>
                <w:color w:val="000000"/>
                <w:sz w:val="22"/>
                <w:szCs w:val="22"/>
              </w:rPr>
            </w:pPr>
            <w:r w:rsidRPr="008C7D1F">
              <w:rPr>
                <w:rFonts w:eastAsia="Times New Roman"/>
                <w:b/>
                <w:bCs/>
                <w:noProof w:val="0"/>
                <w:color w:val="000000"/>
                <w:sz w:val="22"/>
                <w:szCs w:val="22"/>
              </w:rPr>
              <w:t>Projections</w:t>
            </w:r>
          </w:p>
        </w:tc>
      </w:tr>
      <w:tr w:rsidR="008C7D1F" w:rsidRPr="008C7D1F" w14:paraId="5EEE92DD" w14:textId="77777777" w:rsidTr="008C7D1F">
        <w:trPr>
          <w:trHeight w:val="312"/>
        </w:trPr>
        <w:tc>
          <w:tcPr>
            <w:tcW w:w="2479" w:type="pct"/>
            <w:tcBorders>
              <w:top w:val="nil"/>
              <w:left w:val="nil"/>
              <w:bottom w:val="nil"/>
              <w:right w:val="nil"/>
            </w:tcBorders>
            <w:shd w:val="clear" w:color="auto" w:fill="auto"/>
            <w:noWrap/>
            <w:vAlign w:val="bottom"/>
            <w:hideMark/>
          </w:tcPr>
          <w:p w14:paraId="20CE7800" w14:textId="77777777" w:rsidR="008C7D1F" w:rsidRPr="008C7D1F" w:rsidRDefault="008C7D1F" w:rsidP="008C7D1F">
            <w:pPr>
              <w:spacing w:line="240" w:lineRule="auto"/>
              <w:jc w:val="center"/>
              <w:rPr>
                <w:rFonts w:eastAsia="Times New Roman"/>
                <w:b/>
                <w:bCs/>
                <w:noProof w:val="0"/>
                <w:color w:val="000000"/>
              </w:rPr>
            </w:pPr>
          </w:p>
        </w:tc>
        <w:tc>
          <w:tcPr>
            <w:tcW w:w="630" w:type="pct"/>
            <w:tcBorders>
              <w:top w:val="nil"/>
              <w:left w:val="single" w:sz="4" w:space="0" w:color="auto"/>
              <w:bottom w:val="single" w:sz="4" w:space="0" w:color="auto"/>
              <w:right w:val="single" w:sz="4" w:space="0" w:color="auto"/>
            </w:tcBorders>
            <w:shd w:val="clear" w:color="auto" w:fill="auto"/>
            <w:noWrap/>
            <w:vAlign w:val="bottom"/>
            <w:hideMark/>
          </w:tcPr>
          <w:p w14:paraId="2BDE652D" w14:textId="77777777" w:rsidR="008C7D1F" w:rsidRPr="008C7D1F" w:rsidRDefault="008C7D1F" w:rsidP="008C7D1F">
            <w:pPr>
              <w:spacing w:line="240" w:lineRule="auto"/>
              <w:jc w:val="center"/>
              <w:rPr>
                <w:rFonts w:eastAsia="Times New Roman"/>
                <w:b/>
                <w:bCs/>
                <w:noProof w:val="0"/>
                <w:color w:val="000000"/>
                <w:sz w:val="22"/>
                <w:szCs w:val="22"/>
              </w:rPr>
            </w:pPr>
            <w:r w:rsidRPr="008C7D1F">
              <w:rPr>
                <w:rFonts w:eastAsia="Times New Roman"/>
                <w:b/>
                <w:bCs/>
                <w:noProof w:val="0"/>
                <w:color w:val="000000"/>
                <w:sz w:val="22"/>
                <w:szCs w:val="22"/>
              </w:rPr>
              <w:t>2019</w:t>
            </w:r>
          </w:p>
        </w:tc>
        <w:tc>
          <w:tcPr>
            <w:tcW w:w="630" w:type="pct"/>
            <w:tcBorders>
              <w:top w:val="nil"/>
              <w:left w:val="nil"/>
              <w:bottom w:val="single" w:sz="4" w:space="0" w:color="auto"/>
              <w:right w:val="single" w:sz="4" w:space="0" w:color="auto"/>
            </w:tcBorders>
            <w:shd w:val="clear" w:color="auto" w:fill="auto"/>
            <w:noWrap/>
            <w:vAlign w:val="bottom"/>
            <w:hideMark/>
          </w:tcPr>
          <w:p w14:paraId="0DDC4CA3" w14:textId="77777777" w:rsidR="008C7D1F" w:rsidRPr="008C7D1F" w:rsidRDefault="008C7D1F" w:rsidP="008C7D1F">
            <w:pPr>
              <w:spacing w:line="240" w:lineRule="auto"/>
              <w:jc w:val="center"/>
              <w:rPr>
                <w:rFonts w:eastAsia="Times New Roman"/>
                <w:b/>
                <w:bCs/>
                <w:noProof w:val="0"/>
                <w:color w:val="000000"/>
                <w:sz w:val="22"/>
                <w:szCs w:val="22"/>
              </w:rPr>
            </w:pPr>
            <w:r w:rsidRPr="008C7D1F">
              <w:rPr>
                <w:rFonts w:eastAsia="Times New Roman"/>
                <w:b/>
                <w:bCs/>
                <w:noProof w:val="0"/>
                <w:color w:val="000000"/>
                <w:sz w:val="22"/>
                <w:szCs w:val="22"/>
              </w:rPr>
              <w:t>2020</w:t>
            </w:r>
          </w:p>
        </w:tc>
        <w:tc>
          <w:tcPr>
            <w:tcW w:w="630" w:type="pct"/>
            <w:tcBorders>
              <w:top w:val="nil"/>
              <w:left w:val="nil"/>
              <w:bottom w:val="single" w:sz="4" w:space="0" w:color="auto"/>
              <w:right w:val="single" w:sz="4" w:space="0" w:color="auto"/>
            </w:tcBorders>
            <w:shd w:val="clear" w:color="auto" w:fill="auto"/>
            <w:noWrap/>
            <w:vAlign w:val="bottom"/>
            <w:hideMark/>
          </w:tcPr>
          <w:p w14:paraId="5774C229" w14:textId="77777777" w:rsidR="008C7D1F" w:rsidRPr="008C7D1F" w:rsidRDefault="008C7D1F" w:rsidP="008C7D1F">
            <w:pPr>
              <w:spacing w:line="240" w:lineRule="auto"/>
              <w:jc w:val="center"/>
              <w:rPr>
                <w:rFonts w:eastAsia="Times New Roman"/>
                <w:b/>
                <w:bCs/>
                <w:noProof w:val="0"/>
                <w:color w:val="000000"/>
                <w:sz w:val="22"/>
                <w:szCs w:val="22"/>
              </w:rPr>
            </w:pPr>
            <w:r w:rsidRPr="008C7D1F">
              <w:rPr>
                <w:rFonts w:eastAsia="Times New Roman"/>
                <w:b/>
                <w:bCs/>
                <w:noProof w:val="0"/>
                <w:color w:val="000000"/>
                <w:sz w:val="22"/>
                <w:szCs w:val="22"/>
              </w:rPr>
              <w:t>2021</w:t>
            </w:r>
          </w:p>
        </w:tc>
        <w:tc>
          <w:tcPr>
            <w:tcW w:w="630" w:type="pct"/>
            <w:tcBorders>
              <w:top w:val="nil"/>
              <w:left w:val="nil"/>
              <w:bottom w:val="single" w:sz="4" w:space="0" w:color="auto"/>
              <w:right w:val="single" w:sz="4" w:space="0" w:color="auto"/>
            </w:tcBorders>
            <w:shd w:val="clear" w:color="auto" w:fill="auto"/>
            <w:noWrap/>
            <w:vAlign w:val="bottom"/>
            <w:hideMark/>
          </w:tcPr>
          <w:p w14:paraId="35497A88" w14:textId="77777777" w:rsidR="008C7D1F" w:rsidRPr="008C7D1F" w:rsidRDefault="008C7D1F" w:rsidP="008C7D1F">
            <w:pPr>
              <w:spacing w:line="240" w:lineRule="auto"/>
              <w:jc w:val="center"/>
              <w:rPr>
                <w:rFonts w:eastAsia="Times New Roman"/>
                <w:b/>
                <w:bCs/>
                <w:noProof w:val="0"/>
                <w:color w:val="000000"/>
                <w:sz w:val="22"/>
                <w:szCs w:val="22"/>
              </w:rPr>
            </w:pPr>
            <w:r w:rsidRPr="008C7D1F">
              <w:rPr>
                <w:rFonts w:eastAsia="Times New Roman"/>
                <w:b/>
                <w:bCs/>
                <w:noProof w:val="0"/>
                <w:color w:val="000000"/>
                <w:sz w:val="22"/>
                <w:szCs w:val="22"/>
              </w:rPr>
              <w:t>2022</w:t>
            </w:r>
          </w:p>
        </w:tc>
      </w:tr>
      <w:tr w:rsidR="008C7D1F" w:rsidRPr="008C7D1F" w14:paraId="50C69841" w14:textId="77777777" w:rsidTr="008C7D1F">
        <w:trPr>
          <w:trHeight w:val="312"/>
        </w:trPr>
        <w:tc>
          <w:tcPr>
            <w:tcW w:w="247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8511DD"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 xml:space="preserve">World Output </w:t>
            </w:r>
          </w:p>
        </w:tc>
        <w:tc>
          <w:tcPr>
            <w:tcW w:w="630" w:type="pct"/>
            <w:tcBorders>
              <w:top w:val="nil"/>
              <w:left w:val="nil"/>
              <w:bottom w:val="single" w:sz="4" w:space="0" w:color="auto"/>
              <w:right w:val="single" w:sz="4" w:space="0" w:color="auto"/>
            </w:tcBorders>
            <w:shd w:val="clear" w:color="auto" w:fill="auto"/>
            <w:noWrap/>
            <w:vAlign w:val="bottom"/>
            <w:hideMark/>
          </w:tcPr>
          <w:p w14:paraId="690AFC23"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2.8</w:t>
            </w:r>
          </w:p>
        </w:tc>
        <w:tc>
          <w:tcPr>
            <w:tcW w:w="630" w:type="pct"/>
            <w:tcBorders>
              <w:top w:val="nil"/>
              <w:left w:val="nil"/>
              <w:bottom w:val="single" w:sz="4" w:space="0" w:color="auto"/>
              <w:right w:val="single" w:sz="4" w:space="0" w:color="auto"/>
            </w:tcBorders>
            <w:shd w:val="clear" w:color="auto" w:fill="auto"/>
            <w:noWrap/>
            <w:vAlign w:val="bottom"/>
            <w:hideMark/>
          </w:tcPr>
          <w:p w14:paraId="6577B50A"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-3.5</w:t>
            </w:r>
          </w:p>
        </w:tc>
        <w:tc>
          <w:tcPr>
            <w:tcW w:w="630" w:type="pct"/>
            <w:tcBorders>
              <w:top w:val="nil"/>
              <w:left w:val="nil"/>
              <w:bottom w:val="single" w:sz="4" w:space="0" w:color="auto"/>
              <w:right w:val="single" w:sz="4" w:space="0" w:color="auto"/>
            </w:tcBorders>
            <w:shd w:val="clear" w:color="auto" w:fill="auto"/>
            <w:noWrap/>
            <w:vAlign w:val="bottom"/>
            <w:hideMark/>
          </w:tcPr>
          <w:p w14:paraId="3C691C45"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5.5</w:t>
            </w:r>
          </w:p>
        </w:tc>
        <w:tc>
          <w:tcPr>
            <w:tcW w:w="630" w:type="pct"/>
            <w:tcBorders>
              <w:top w:val="nil"/>
              <w:left w:val="nil"/>
              <w:bottom w:val="single" w:sz="4" w:space="0" w:color="auto"/>
              <w:right w:val="single" w:sz="4" w:space="0" w:color="auto"/>
            </w:tcBorders>
            <w:shd w:val="clear" w:color="auto" w:fill="auto"/>
            <w:noWrap/>
            <w:vAlign w:val="bottom"/>
            <w:hideMark/>
          </w:tcPr>
          <w:p w14:paraId="276E6287"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4.2</w:t>
            </w:r>
          </w:p>
        </w:tc>
      </w:tr>
      <w:tr w:rsidR="008C7D1F" w:rsidRPr="008C7D1F" w14:paraId="41931D9D"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6DCBCCD4"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Advanced Economies</w:t>
            </w:r>
          </w:p>
        </w:tc>
        <w:tc>
          <w:tcPr>
            <w:tcW w:w="630" w:type="pct"/>
            <w:tcBorders>
              <w:top w:val="nil"/>
              <w:left w:val="nil"/>
              <w:bottom w:val="single" w:sz="4" w:space="0" w:color="auto"/>
              <w:right w:val="single" w:sz="4" w:space="0" w:color="auto"/>
            </w:tcBorders>
            <w:shd w:val="clear" w:color="auto" w:fill="auto"/>
            <w:noWrap/>
            <w:vAlign w:val="bottom"/>
            <w:hideMark/>
          </w:tcPr>
          <w:p w14:paraId="3E7DCB57"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1.6</w:t>
            </w:r>
          </w:p>
        </w:tc>
        <w:tc>
          <w:tcPr>
            <w:tcW w:w="630" w:type="pct"/>
            <w:tcBorders>
              <w:top w:val="nil"/>
              <w:left w:val="nil"/>
              <w:bottom w:val="single" w:sz="4" w:space="0" w:color="auto"/>
              <w:right w:val="single" w:sz="4" w:space="0" w:color="auto"/>
            </w:tcBorders>
            <w:shd w:val="clear" w:color="auto" w:fill="auto"/>
            <w:noWrap/>
            <w:vAlign w:val="bottom"/>
            <w:hideMark/>
          </w:tcPr>
          <w:p w14:paraId="7AEE98DA"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-4.9</w:t>
            </w:r>
          </w:p>
        </w:tc>
        <w:tc>
          <w:tcPr>
            <w:tcW w:w="630" w:type="pct"/>
            <w:tcBorders>
              <w:top w:val="nil"/>
              <w:left w:val="nil"/>
              <w:bottom w:val="single" w:sz="4" w:space="0" w:color="auto"/>
              <w:right w:val="single" w:sz="4" w:space="0" w:color="auto"/>
            </w:tcBorders>
            <w:shd w:val="clear" w:color="auto" w:fill="auto"/>
            <w:noWrap/>
            <w:vAlign w:val="bottom"/>
            <w:hideMark/>
          </w:tcPr>
          <w:p w14:paraId="2E6AD1A4"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4.3</w:t>
            </w:r>
          </w:p>
        </w:tc>
        <w:tc>
          <w:tcPr>
            <w:tcW w:w="630" w:type="pct"/>
            <w:tcBorders>
              <w:top w:val="nil"/>
              <w:left w:val="nil"/>
              <w:bottom w:val="single" w:sz="4" w:space="0" w:color="auto"/>
              <w:right w:val="single" w:sz="4" w:space="0" w:color="auto"/>
            </w:tcBorders>
            <w:shd w:val="clear" w:color="auto" w:fill="auto"/>
            <w:noWrap/>
            <w:vAlign w:val="bottom"/>
            <w:hideMark/>
          </w:tcPr>
          <w:p w14:paraId="52F95087"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3.1</w:t>
            </w:r>
          </w:p>
        </w:tc>
      </w:tr>
      <w:tr w:rsidR="008C7D1F" w:rsidRPr="008C7D1F" w14:paraId="3FB6735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3E3F051"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 xml:space="preserve">United States </w:t>
            </w:r>
          </w:p>
        </w:tc>
        <w:tc>
          <w:tcPr>
            <w:tcW w:w="630" w:type="pct"/>
            <w:tcBorders>
              <w:top w:val="nil"/>
              <w:left w:val="nil"/>
              <w:bottom w:val="single" w:sz="4" w:space="0" w:color="auto"/>
              <w:right w:val="single" w:sz="4" w:space="0" w:color="auto"/>
            </w:tcBorders>
            <w:shd w:val="clear" w:color="auto" w:fill="auto"/>
            <w:noWrap/>
            <w:vAlign w:val="bottom"/>
            <w:hideMark/>
          </w:tcPr>
          <w:p w14:paraId="1A873CED"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2.2</w:t>
            </w:r>
          </w:p>
        </w:tc>
        <w:tc>
          <w:tcPr>
            <w:tcW w:w="630" w:type="pct"/>
            <w:tcBorders>
              <w:top w:val="nil"/>
              <w:left w:val="nil"/>
              <w:bottom w:val="single" w:sz="4" w:space="0" w:color="auto"/>
              <w:right w:val="single" w:sz="4" w:space="0" w:color="auto"/>
            </w:tcBorders>
            <w:shd w:val="clear" w:color="auto" w:fill="auto"/>
            <w:noWrap/>
            <w:vAlign w:val="bottom"/>
            <w:hideMark/>
          </w:tcPr>
          <w:p w14:paraId="51392058"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-3.4</w:t>
            </w:r>
          </w:p>
        </w:tc>
        <w:tc>
          <w:tcPr>
            <w:tcW w:w="630" w:type="pct"/>
            <w:tcBorders>
              <w:top w:val="nil"/>
              <w:left w:val="nil"/>
              <w:bottom w:val="single" w:sz="4" w:space="0" w:color="auto"/>
              <w:right w:val="single" w:sz="4" w:space="0" w:color="auto"/>
            </w:tcBorders>
            <w:shd w:val="clear" w:color="auto" w:fill="auto"/>
            <w:noWrap/>
            <w:vAlign w:val="bottom"/>
            <w:hideMark/>
          </w:tcPr>
          <w:p w14:paraId="179ABE6A"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5.1</w:t>
            </w:r>
          </w:p>
        </w:tc>
        <w:tc>
          <w:tcPr>
            <w:tcW w:w="630" w:type="pct"/>
            <w:tcBorders>
              <w:top w:val="nil"/>
              <w:left w:val="nil"/>
              <w:bottom w:val="single" w:sz="4" w:space="0" w:color="auto"/>
              <w:right w:val="single" w:sz="4" w:space="0" w:color="auto"/>
            </w:tcBorders>
            <w:shd w:val="clear" w:color="auto" w:fill="auto"/>
            <w:noWrap/>
            <w:vAlign w:val="bottom"/>
            <w:hideMark/>
          </w:tcPr>
          <w:p w14:paraId="2687B84F"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2.5</w:t>
            </w:r>
          </w:p>
        </w:tc>
      </w:tr>
      <w:tr w:rsidR="008C7D1F" w:rsidRPr="008C7D1F" w14:paraId="0B581204"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55736C67"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Euro Area</w:t>
            </w:r>
          </w:p>
        </w:tc>
        <w:tc>
          <w:tcPr>
            <w:tcW w:w="630" w:type="pct"/>
            <w:tcBorders>
              <w:top w:val="nil"/>
              <w:left w:val="nil"/>
              <w:bottom w:val="single" w:sz="4" w:space="0" w:color="auto"/>
              <w:right w:val="single" w:sz="4" w:space="0" w:color="auto"/>
            </w:tcBorders>
            <w:shd w:val="clear" w:color="auto" w:fill="auto"/>
            <w:noWrap/>
            <w:vAlign w:val="bottom"/>
            <w:hideMark/>
          </w:tcPr>
          <w:p w14:paraId="4812942B"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1.3</w:t>
            </w:r>
          </w:p>
        </w:tc>
        <w:tc>
          <w:tcPr>
            <w:tcW w:w="630" w:type="pct"/>
            <w:tcBorders>
              <w:top w:val="nil"/>
              <w:left w:val="nil"/>
              <w:bottom w:val="single" w:sz="4" w:space="0" w:color="auto"/>
              <w:right w:val="single" w:sz="4" w:space="0" w:color="auto"/>
            </w:tcBorders>
            <w:shd w:val="clear" w:color="auto" w:fill="auto"/>
            <w:noWrap/>
            <w:vAlign w:val="bottom"/>
            <w:hideMark/>
          </w:tcPr>
          <w:p w14:paraId="0BCB0CEB"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-7.2</w:t>
            </w:r>
          </w:p>
        </w:tc>
        <w:tc>
          <w:tcPr>
            <w:tcW w:w="630" w:type="pct"/>
            <w:tcBorders>
              <w:top w:val="nil"/>
              <w:left w:val="nil"/>
              <w:bottom w:val="single" w:sz="4" w:space="0" w:color="auto"/>
              <w:right w:val="single" w:sz="4" w:space="0" w:color="auto"/>
            </w:tcBorders>
            <w:shd w:val="clear" w:color="auto" w:fill="auto"/>
            <w:noWrap/>
            <w:vAlign w:val="bottom"/>
            <w:hideMark/>
          </w:tcPr>
          <w:p w14:paraId="07BB37F1"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4.2</w:t>
            </w:r>
          </w:p>
        </w:tc>
        <w:tc>
          <w:tcPr>
            <w:tcW w:w="630" w:type="pct"/>
            <w:tcBorders>
              <w:top w:val="nil"/>
              <w:left w:val="nil"/>
              <w:bottom w:val="single" w:sz="4" w:space="0" w:color="auto"/>
              <w:right w:val="single" w:sz="4" w:space="0" w:color="auto"/>
            </w:tcBorders>
            <w:shd w:val="clear" w:color="auto" w:fill="auto"/>
            <w:noWrap/>
            <w:vAlign w:val="bottom"/>
            <w:hideMark/>
          </w:tcPr>
          <w:p w14:paraId="345DBE3E"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3.6</w:t>
            </w:r>
          </w:p>
        </w:tc>
      </w:tr>
      <w:tr w:rsidR="008C7D1F" w:rsidRPr="008C7D1F" w14:paraId="46D3C921"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CB7CD7D"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Japan</w:t>
            </w:r>
          </w:p>
        </w:tc>
        <w:tc>
          <w:tcPr>
            <w:tcW w:w="630" w:type="pct"/>
            <w:tcBorders>
              <w:top w:val="nil"/>
              <w:left w:val="nil"/>
              <w:bottom w:val="single" w:sz="4" w:space="0" w:color="auto"/>
              <w:right w:val="single" w:sz="4" w:space="0" w:color="auto"/>
            </w:tcBorders>
            <w:shd w:val="clear" w:color="auto" w:fill="auto"/>
            <w:noWrap/>
            <w:vAlign w:val="bottom"/>
            <w:hideMark/>
          </w:tcPr>
          <w:p w14:paraId="42530A6E"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0.3</w:t>
            </w:r>
          </w:p>
        </w:tc>
        <w:tc>
          <w:tcPr>
            <w:tcW w:w="630" w:type="pct"/>
            <w:tcBorders>
              <w:top w:val="nil"/>
              <w:left w:val="nil"/>
              <w:bottom w:val="single" w:sz="4" w:space="0" w:color="auto"/>
              <w:right w:val="single" w:sz="4" w:space="0" w:color="auto"/>
            </w:tcBorders>
            <w:shd w:val="clear" w:color="auto" w:fill="auto"/>
            <w:noWrap/>
            <w:vAlign w:val="bottom"/>
            <w:hideMark/>
          </w:tcPr>
          <w:p w14:paraId="06C3E585"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-5.1</w:t>
            </w:r>
          </w:p>
        </w:tc>
        <w:tc>
          <w:tcPr>
            <w:tcW w:w="630" w:type="pct"/>
            <w:tcBorders>
              <w:top w:val="nil"/>
              <w:left w:val="nil"/>
              <w:bottom w:val="single" w:sz="4" w:space="0" w:color="auto"/>
              <w:right w:val="single" w:sz="4" w:space="0" w:color="auto"/>
            </w:tcBorders>
            <w:shd w:val="clear" w:color="auto" w:fill="auto"/>
            <w:noWrap/>
            <w:vAlign w:val="bottom"/>
            <w:hideMark/>
          </w:tcPr>
          <w:p w14:paraId="2448E4B4"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3.1</w:t>
            </w:r>
          </w:p>
        </w:tc>
        <w:tc>
          <w:tcPr>
            <w:tcW w:w="630" w:type="pct"/>
            <w:tcBorders>
              <w:top w:val="nil"/>
              <w:left w:val="nil"/>
              <w:bottom w:val="single" w:sz="4" w:space="0" w:color="auto"/>
              <w:right w:val="single" w:sz="4" w:space="0" w:color="auto"/>
            </w:tcBorders>
            <w:shd w:val="clear" w:color="auto" w:fill="auto"/>
            <w:noWrap/>
            <w:vAlign w:val="bottom"/>
            <w:hideMark/>
          </w:tcPr>
          <w:p w14:paraId="1B7A8883"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2.4</w:t>
            </w:r>
          </w:p>
        </w:tc>
      </w:tr>
      <w:tr w:rsidR="008C7D1F" w:rsidRPr="008C7D1F" w14:paraId="4E0027C6"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5D7D207"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United Kingdom</w:t>
            </w:r>
          </w:p>
        </w:tc>
        <w:tc>
          <w:tcPr>
            <w:tcW w:w="630" w:type="pct"/>
            <w:tcBorders>
              <w:top w:val="nil"/>
              <w:left w:val="nil"/>
              <w:bottom w:val="single" w:sz="4" w:space="0" w:color="auto"/>
              <w:right w:val="single" w:sz="4" w:space="0" w:color="auto"/>
            </w:tcBorders>
            <w:shd w:val="clear" w:color="auto" w:fill="auto"/>
            <w:noWrap/>
            <w:vAlign w:val="bottom"/>
            <w:hideMark/>
          </w:tcPr>
          <w:p w14:paraId="03A1249F"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1.4</w:t>
            </w:r>
          </w:p>
        </w:tc>
        <w:tc>
          <w:tcPr>
            <w:tcW w:w="630" w:type="pct"/>
            <w:tcBorders>
              <w:top w:val="nil"/>
              <w:left w:val="nil"/>
              <w:bottom w:val="single" w:sz="4" w:space="0" w:color="auto"/>
              <w:right w:val="single" w:sz="4" w:space="0" w:color="auto"/>
            </w:tcBorders>
            <w:shd w:val="clear" w:color="auto" w:fill="auto"/>
            <w:noWrap/>
            <w:vAlign w:val="bottom"/>
            <w:hideMark/>
          </w:tcPr>
          <w:p w14:paraId="5806A594"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-10.0</w:t>
            </w:r>
          </w:p>
        </w:tc>
        <w:tc>
          <w:tcPr>
            <w:tcW w:w="630" w:type="pct"/>
            <w:tcBorders>
              <w:top w:val="nil"/>
              <w:left w:val="nil"/>
              <w:bottom w:val="single" w:sz="4" w:space="0" w:color="auto"/>
              <w:right w:val="single" w:sz="4" w:space="0" w:color="auto"/>
            </w:tcBorders>
            <w:shd w:val="clear" w:color="auto" w:fill="auto"/>
            <w:noWrap/>
            <w:vAlign w:val="bottom"/>
            <w:hideMark/>
          </w:tcPr>
          <w:p w14:paraId="120AF2FD"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4.5</w:t>
            </w:r>
          </w:p>
        </w:tc>
        <w:tc>
          <w:tcPr>
            <w:tcW w:w="630" w:type="pct"/>
            <w:tcBorders>
              <w:top w:val="nil"/>
              <w:left w:val="nil"/>
              <w:bottom w:val="single" w:sz="4" w:space="0" w:color="auto"/>
              <w:right w:val="single" w:sz="4" w:space="0" w:color="auto"/>
            </w:tcBorders>
            <w:shd w:val="clear" w:color="auto" w:fill="auto"/>
            <w:noWrap/>
            <w:vAlign w:val="bottom"/>
            <w:hideMark/>
          </w:tcPr>
          <w:p w14:paraId="49188DAE"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5.0</w:t>
            </w:r>
          </w:p>
        </w:tc>
      </w:tr>
      <w:tr w:rsidR="008C7D1F" w:rsidRPr="008C7D1F" w14:paraId="185F932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7702AF6B"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Canada</w:t>
            </w:r>
          </w:p>
        </w:tc>
        <w:tc>
          <w:tcPr>
            <w:tcW w:w="630" w:type="pct"/>
            <w:tcBorders>
              <w:top w:val="nil"/>
              <w:left w:val="nil"/>
              <w:bottom w:val="single" w:sz="4" w:space="0" w:color="auto"/>
              <w:right w:val="single" w:sz="4" w:space="0" w:color="auto"/>
            </w:tcBorders>
            <w:shd w:val="clear" w:color="auto" w:fill="auto"/>
            <w:noWrap/>
            <w:vAlign w:val="bottom"/>
            <w:hideMark/>
          </w:tcPr>
          <w:p w14:paraId="3D108991"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1.9</w:t>
            </w:r>
          </w:p>
        </w:tc>
        <w:tc>
          <w:tcPr>
            <w:tcW w:w="630" w:type="pct"/>
            <w:tcBorders>
              <w:top w:val="nil"/>
              <w:left w:val="nil"/>
              <w:bottom w:val="single" w:sz="4" w:space="0" w:color="auto"/>
              <w:right w:val="single" w:sz="4" w:space="0" w:color="auto"/>
            </w:tcBorders>
            <w:shd w:val="clear" w:color="auto" w:fill="auto"/>
            <w:noWrap/>
            <w:vAlign w:val="bottom"/>
            <w:hideMark/>
          </w:tcPr>
          <w:p w14:paraId="3E7A5685"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-5.5</w:t>
            </w:r>
          </w:p>
        </w:tc>
        <w:tc>
          <w:tcPr>
            <w:tcW w:w="630" w:type="pct"/>
            <w:tcBorders>
              <w:top w:val="nil"/>
              <w:left w:val="nil"/>
              <w:bottom w:val="single" w:sz="4" w:space="0" w:color="auto"/>
              <w:right w:val="single" w:sz="4" w:space="0" w:color="auto"/>
            </w:tcBorders>
            <w:shd w:val="clear" w:color="auto" w:fill="auto"/>
            <w:noWrap/>
            <w:vAlign w:val="bottom"/>
            <w:hideMark/>
          </w:tcPr>
          <w:p w14:paraId="7655F3CC"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3.6</w:t>
            </w:r>
          </w:p>
        </w:tc>
        <w:tc>
          <w:tcPr>
            <w:tcW w:w="630" w:type="pct"/>
            <w:tcBorders>
              <w:top w:val="nil"/>
              <w:left w:val="nil"/>
              <w:bottom w:val="single" w:sz="4" w:space="0" w:color="auto"/>
              <w:right w:val="single" w:sz="4" w:space="0" w:color="auto"/>
            </w:tcBorders>
            <w:shd w:val="clear" w:color="auto" w:fill="auto"/>
            <w:noWrap/>
            <w:vAlign w:val="bottom"/>
            <w:hideMark/>
          </w:tcPr>
          <w:p w14:paraId="5A76BDE3"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4.1</w:t>
            </w:r>
          </w:p>
        </w:tc>
      </w:tr>
      <w:tr w:rsidR="008C7D1F" w:rsidRPr="008C7D1F" w14:paraId="156B374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259CB894"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Emerging Market and Developing Economies</w:t>
            </w:r>
          </w:p>
        </w:tc>
        <w:tc>
          <w:tcPr>
            <w:tcW w:w="630" w:type="pct"/>
            <w:tcBorders>
              <w:top w:val="nil"/>
              <w:left w:val="nil"/>
              <w:bottom w:val="single" w:sz="4" w:space="0" w:color="auto"/>
              <w:right w:val="single" w:sz="4" w:space="0" w:color="auto"/>
            </w:tcBorders>
            <w:shd w:val="clear" w:color="auto" w:fill="auto"/>
            <w:noWrap/>
            <w:vAlign w:val="bottom"/>
            <w:hideMark/>
          </w:tcPr>
          <w:p w14:paraId="0861B9D8"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3.6</w:t>
            </w:r>
          </w:p>
        </w:tc>
        <w:tc>
          <w:tcPr>
            <w:tcW w:w="630" w:type="pct"/>
            <w:tcBorders>
              <w:top w:val="nil"/>
              <w:left w:val="nil"/>
              <w:bottom w:val="single" w:sz="4" w:space="0" w:color="auto"/>
              <w:right w:val="single" w:sz="4" w:space="0" w:color="auto"/>
            </w:tcBorders>
            <w:shd w:val="clear" w:color="auto" w:fill="auto"/>
            <w:noWrap/>
            <w:vAlign w:val="bottom"/>
            <w:hideMark/>
          </w:tcPr>
          <w:p w14:paraId="2823502A"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-2.4</w:t>
            </w:r>
          </w:p>
        </w:tc>
        <w:tc>
          <w:tcPr>
            <w:tcW w:w="630" w:type="pct"/>
            <w:tcBorders>
              <w:top w:val="nil"/>
              <w:left w:val="nil"/>
              <w:bottom w:val="single" w:sz="4" w:space="0" w:color="auto"/>
              <w:right w:val="single" w:sz="4" w:space="0" w:color="auto"/>
            </w:tcBorders>
            <w:shd w:val="clear" w:color="auto" w:fill="auto"/>
            <w:noWrap/>
            <w:vAlign w:val="bottom"/>
            <w:hideMark/>
          </w:tcPr>
          <w:p w14:paraId="6DC713AD"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6.3</w:t>
            </w:r>
          </w:p>
        </w:tc>
        <w:tc>
          <w:tcPr>
            <w:tcW w:w="630" w:type="pct"/>
            <w:tcBorders>
              <w:top w:val="nil"/>
              <w:left w:val="nil"/>
              <w:bottom w:val="single" w:sz="4" w:space="0" w:color="auto"/>
              <w:right w:val="single" w:sz="4" w:space="0" w:color="auto"/>
            </w:tcBorders>
            <w:shd w:val="clear" w:color="auto" w:fill="auto"/>
            <w:noWrap/>
            <w:vAlign w:val="bottom"/>
            <w:hideMark/>
          </w:tcPr>
          <w:p w14:paraId="094ACB70"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5.0</w:t>
            </w:r>
          </w:p>
        </w:tc>
      </w:tr>
      <w:tr w:rsidR="008C7D1F" w:rsidRPr="008C7D1F" w14:paraId="17F8E751"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D3412A7"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Emerging and Developing Asia</w:t>
            </w:r>
          </w:p>
        </w:tc>
        <w:tc>
          <w:tcPr>
            <w:tcW w:w="630" w:type="pct"/>
            <w:tcBorders>
              <w:top w:val="nil"/>
              <w:left w:val="nil"/>
              <w:bottom w:val="single" w:sz="4" w:space="0" w:color="auto"/>
              <w:right w:val="single" w:sz="4" w:space="0" w:color="auto"/>
            </w:tcBorders>
            <w:shd w:val="clear" w:color="auto" w:fill="auto"/>
            <w:noWrap/>
            <w:vAlign w:val="bottom"/>
            <w:hideMark/>
          </w:tcPr>
          <w:p w14:paraId="61BC8089"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5.4</w:t>
            </w:r>
          </w:p>
        </w:tc>
        <w:tc>
          <w:tcPr>
            <w:tcW w:w="630" w:type="pct"/>
            <w:tcBorders>
              <w:top w:val="nil"/>
              <w:left w:val="nil"/>
              <w:bottom w:val="single" w:sz="4" w:space="0" w:color="auto"/>
              <w:right w:val="single" w:sz="4" w:space="0" w:color="auto"/>
            </w:tcBorders>
            <w:shd w:val="clear" w:color="auto" w:fill="auto"/>
            <w:noWrap/>
            <w:vAlign w:val="bottom"/>
            <w:hideMark/>
          </w:tcPr>
          <w:p w14:paraId="179BE8E1"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-1.1</w:t>
            </w:r>
          </w:p>
        </w:tc>
        <w:tc>
          <w:tcPr>
            <w:tcW w:w="630" w:type="pct"/>
            <w:tcBorders>
              <w:top w:val="nil"/>
              <w:left w:val="nil"/>
              <w:bottom w:val="single" w:sz="4" w:space="0" w:color="auto"/>
              <w:right w:val="single" w:sz="4" w:space="0" w:color="auto"/>
            </w:tcBorders>
            <w:shd w:val="clear" w:color="auto" w:fill="auto"/>
            <w:noWrap/>
            <w:vAlign w:val="bottom"/>
            <w:hideMark/>
          </w:tcPr>
          <w:p w14:paraId="5341C2CC"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8.3</w:t>
            </w:r>
          </w:p>
        </w:tc>
        <w:tc>
          <w:tcPr>
            <w:tcW w:w="630" w:type="pct"/>
            <w:tcBorders>
              <w:top w:val="nil"/>
              <w:left w:val="nil"/>
              <w:bottom w:val="single" w:sz="4" w:space="0" w:color="auto"/>
              <w:right w:val="single" w:sz="4" w:space="0" w:color="auto"/>
            </w:tcBorders>
            <w:shd w:val="clear" w:color="auto" w:fill="auto"/>
            <w:noWrap/>
            <w:vAlign w:val="bottom"/>
            <w:hideMark/>
          </w:tcPr>
          <w:p w14:paraId="1CDAFBC1"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5.9</w:t>
            </w:r>
          </w:p>
        </w:tc>
      </w:tr>
      <w:tr w:rsidR="008C7D1F" w:rsidRPr="008C7D1F" w14:paraId="7C2C97F6"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2CEDDDA"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China</w:t>
            </w:r>
          </w:p>
        </w:tc>
        <w:tc>
          <w:tcPr>
            <w:tcW w:w="630" w:type="pct"/>
            <w:tcBorders>
              <w:top w:val="nil"/>
              <w:left w:val="nil"/>
              <w:bottom w:val="single" w:sz="4" w:space="0" w:color="auto"/>
              <w:right w:val="single" w:sz="4" w:space="0" w:color="auto"/>
            </w:tcBorders>
            <w:shd w:val="clear" w:color="auto" w:fill="auto"/>
            <w:noWrap/>
            <w:vAlign w:val="bottom"/>
            <w:hideMark/>
          </w:tcPr>
          <w:p w14:paraId="1521BC5B"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6.0</w:t>
            </w:r>
          </w:p>
        </w:tc>
        <w:tc>
          <w:tcPr>
            <w:tcW w:w="630" w:type="pct"/>
            <w:tcBorders>
              <w:top w:val="nil"/>
              <w:left w:val="nil"/>
              <w:bottom w:val="single" w:sz="4" w:space="0" w:color="auto"/>
              <w:right w:val="single" w:sz="4" w:space="0" w:color="auto"/>
            </w:tcBorders>
            <w:shd w:val="clear" w:color="auto" w:fill="auto"/>
            <w:noWrap/>
            <w:vAlign w:val="bottom"/>
            <w:hideMark/>
          </w:tcPr>
          <w:p w14:paraId="4A439F76"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2.3</w:t>
            </w:r>
          </w:p>
        </w:tc>
        <w:tc>
          <w:tcPr>
            <w:tcW w:w="630" w:type="pct"/>
            <w:tcBorders>
              <w:top w:val="nil"/>
              <w:left w:val="nil"/>
              <w:bottom w:val="single" w:sz="4" w:space="0" w:color="auto"/>
              <w:right w:val="single" w:sz="4" w:space="0" w:color="auto"/>
            </w:tcBorders>
            <w:shd w:val="clear" w:color="auto" w:fill="auto"/>
            <w:noWrap/>
            <w:vAlign w:val="bottom"/>
            <w:hideMark/>
          </w:tcPr>
          <w:p w14:paraId="1F4958BF"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8.1</w:t>
            </w:r>
          </w:p>
        </w:tc>
        <w:tc>
          <w:tcPr>
            <w:tcW w:w="630" w:type="pct"/>
            <w:tcBorders>
              <w:top w:val="nil"/>
              <w:left w:val="nil"/>
              <w:bottom w:val="single" w:sz="4" w:space="0" w:color="auto"/>
              <w:right w:val="single" w:sz="4" w:space="0" w:color="auto"/>
            </w:tcBorders>
            <w:shd w:val="clear" w:color="auto" w:fill="auto"/>
            <w:noWrap/>
            <w:vAlign w:val="bottom"/>
            <w:hideMark/>
          </w:tcPr>
          <w:p w14:paraId="5BDE59EC"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5.6</w:t>
            </w:r>
          </w:p>
        </w:tc>
      </w:tr>
      <w:tr w:rsidR="008C7D1F" w:rsidRPr="008C7D1F" w14:paraId="28E3CC99"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55CEA16A"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India</w:t>
            </w:r>
          </w:p>
        </w:tc>
        <w:tc>
          <w:tcPr>
            <w:tcW w:w="630" w:type="pct"/>
            <w:tcBorders>
              <w:top w:val="nil"/>
              <w:left w:val="nil"/>
              <w:bottom w:val="single" w:sz="4" w:space="0" w:color="auto"/>
              <w:right w:val="single" w:sz="4" w:space="0" w:color="auto"/>
            </w:tcBorders>
            <w:shd w:val="clear" w:color="auto" w:fill="auto"/>
            <w:noWrap/>
            <w:vAlign w:val="bottom"/>
            <w:hideMark/>
          </w:tcPr>
          <w:p w14:paraId="731352D2"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4.2</w:t>
            </w:r>
          </w:p>
        </w:tc>
        <w:tc>
          <w:tcPr>
            <w:tcW w:w="630" w:type="pct"/>
            <w:tcBorders>
              <w:top w:val="nil"/>
              <w:left w:val="nil"/>
              <w:bottom w:val="single" w:sz="4" w:space="0" w:color="auto"/>
              <w:right w:val="single" w:sz="4" w:space="0" w:color="auto"/>
            </w:tcBorders>
            <w:shd w:val="clear" w:color="auto" w:fill="auto"/>
            <w:noWrap/>
            <w:vAlign w:val="bottom"/>
            <w:hideMark/>
          </w:tcPr>
          <w:p w14:paraId="475D3108"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-8.0</w:t>
            </w:r>
          </w:p>
        </w:tc>
        <w:tc>
          <w:tcPr>
            <w:tcW w:w="630" w:type="pct"/>
            <w:tcBorders>
              <w:top w:val="nil"/>
              <w:left w:val="nil"/>
              <w:bottom w:val="single" w:sz="4" w:space="0" w:color="auto"/>
              <w:right w:val="single" w:sz="4" w:space="0" w:color="auto"/>
            </w:tcBorders>
            <w:shd w:val="clear" w:color="auto" w:fill="auto"/>
            <w:noWrap/>
            <w:vAlign w:val="bottom"/>
            <w:hideMark/>
          </w:tcPr>
          <w:p w14:paraId="5D2EEBBA"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11.5</w:t>
            </w:r>
          </w:p>
        </w:tc>
        <w:tc>
          <w:tcPr>
            <w:tcW w:w="630" w:type="pct"/>
            <w:tcBorders>
              <w:top w:val="nil"/>
              <w:left w:val="nil"/>
              <w:bottom w:val="single" w:sz="4" w:space="0" w:color="auto"/>
              <w:right w:val="single" w:sz="4" w:space="0" w:color="auto"/>
            </w:tcBorders>
            <w:shd w:val="clear" w:color="auto" w:fill="auto"/>
            <w:noWrap/>
            <w:vAlign w:val="bottom"/>
            <w:hideMark/>
          </w:tcPr>
          <w:p w14:paraId="6C162705"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6.8</w:t>
            </w:r>
          </w:p>
        </w:tc>
      </w:tr>
      <w:tr w:rsidR="008C7D1F" w:rsidRPr="008C7D1F" w14:paraId="041F8FEF"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62CE512"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Emerging and Developing Europe</w:t>
            </w:r>
          </w:p>
        </w:tc>
        <w:tc>
          <w:tcPr>
            <w:tcW w:w="630" w:type="pct"/>
            <w:tcBorders>
              <w:top w:val="nil"/>
              <w:left w:val="nil"/>
              <w:bottom w:val="single" w:sz="4" w:space="0" w:color="auto"/>
              <w:right w:val="single" w:sz="4" w:space="0" w:color="auto"/>
            </w:tcBorders>
            <w:shd w:val="clear" w:color="auto" w:fill="auto"/>
            <w:noWrap/>
            <w:vAlign w:val="bottom"/>
            <w:hideMark/>
          </w:tcPr>
          <w:p w14:paraId="435CB510"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2.2</w:t>
            </w:r>
          </w:p>
        </w:tc>
        <w:tc>
          <w:tcPr>
            <w:tcW w:w="630" w:type="pct"/>
            <w:tcBorders>
              <w:top w:val="nil"/>
              <w:left w:val="nil"/>
              <w:bottom w:val="single" w:sz="4" w:space="0" w:color="auto"/>
              <w:right w:val="single" w:sz="4" w:space="0" w:color="auto"/>
            </w:tcBorders>
            <w:shd w:val="clear" w:color="auto" w:fill="auto"/>
            <w:noWrap/>
            <w:vAlign w:val="bottom"/>
            <w:hideMark/>
          </w:tcPr>
          <w:p w14:paraId="569AF244"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-2.8</w:t>
            </w:r>
          </w:p>
        </w:tc>
        <w:tc>
          <w:tcPr>
            <w:tcW w:w="630" w:type="pct"/>
            <w:tcBorders>
              <w:top w:val="nil"/>
              <w:left w:val="nil"/>
              <w:bottom w:val="single" w:sz="4" w:space="0" w:color="auto"/>
              <w:right w:val="single" w:sz="4" w:space="0" w:color="auto"/>
            </w:tcBorders>
            <w:shd w:val="clear" w:color="auto" w:fill="auto"/>
            <w:noWrap/>
            <w:vAlign w:val="bottom"/>
            <w:hideMark/>
          </w:tcPr>
          <w:p w14:paraId="114CF12C"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4.0</w:t>
            </w:r>
          </w:p>
        </w:tc>
        <w:tc>
          <w:tcPr>
            <w:tcW w:w="630" w:type="pct"/>
            <w:tcBorders>
              <w:top w:val="nil"/>
              <w:left w:val="nil"/>
              <w:bottom w:val="single" w:sz="4" w:space="0" w:color="auto"/>
              <w:right w:val="single" w:sz="4" w:space="0" w:color="auto"/>
            </w:tcBorders>
            <w:shd w:val="clear" w:color="auto" w:fill="auto"/>
            <w:noWrap/>
            <w:vAlign w:val="bottom"/>
            <w:hideMark/>
          </w:tcPr>
          <w:p w14:paraId="4FCCEFFD"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3.9</w:t>
            </w:r>
          </w:p>
        </w:tc>
      </w:tr>
      <w:tr w:rsidR="008C7D1F" w:rsidRPr="008C7D1F" w14:paraId="3D0ADCD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9E18131"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 xml:space="preserve">Latin America and the Caribbean </w:t>
            </w:r>
          </w:p>
        </w:tc>
        <w:tc>
          <w:tcPr>
            <w:tcW w:w="630" w:type="pct"/>
            <w:tcBorders>
              <w:top w:val="nil"/>
              <w:left w:val="nil"/>
              <w:bottom w:val="single" w:sz="4" w:space="0" w:color="auto"/>
              <w:right w:val="single" w:sz="4" w:space="0" w:color="auto"/>
            </w:tcBorders>
            <w:shd w:val="clear" w:color="auto" w:fill="auto"/>
            <w:noWrap/>
            <w:vAlign w:val="bottom"/>
            <w:hideMark/>
          </w:tcPr>
          <w:p w14:paraId="6B260592"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0.2</w:t>
            </w:r>
          </w:p>
        </w:tc>
        <w:tc>
          <w:tcPr>
            <w:tcW w:w="630" w:type="pct"/>
            <w:tcBorders>
              <w:top w:val="nil"/>
              <w:left w:val="nil"/>
              <w:bottom w:val="single" w:sz="4" w:space="0" w:color="auto"/>
              <w:right w:val="single" w:sz="4" w:space="0" w:color="auto"/>
            </w:tcBorders>
            <w:shd w:val="clear" w:color="auto" w:fill="auto"/>
            <w:noWrap/>
            <w:vAlign w:val="bottom"/>
            <w:hideMark/>
          </w:tcPr>
          <w:p w14:paraId="2CB0AAE6"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-7.4</w:t>
            </w:r>
          </w:p>
        </w:tc>
        <w:tc>
          <w:tcPr>
            <w:tcW w:w="630" w:type="pct"/>
            <w:tcBorders>
              <w:top w:val="nil"/>
              <w:left w:val="nil"/>
              <w:bottom w:val="single" w:sz="4" w:space="0" w:color="auto"/>
              <w:right w:val="single" w:sz="4" w:space="0" w:color="auto"/>
            </w:tcBorders>
            <w:shd w:val="clear" w:color="auto" w:fill="auto"/>
            <w:noWrap/>
            <w:vAlign w:val="bottom"/>
            <w:hideMark/>
          </w:tcPr>
          <w:p w14:paraId="109912F3"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4.1</w:t>
            </w:r>
          </w:p>
        </w:tc>
        <w:tc>
          <w:tcPr>
            <w:tcW w:w="630" w:type="pct"/>
            <w:tcBorders>
              <w:top w:val="nil"/>
              <w:left w:val="nil"/>
              <w:bottom w:val="single" w:sz="4" w:space="0" w:color="auto"/>
              <w:right w:val="single" w:sz="4" w:space="0" w:color="auto"/>
            </w:tcBorders>
            <w:shd w:val="clear" w:color="auto" w:fill="auto"/>
            <w:noWrap/>
            <w:vAlign w:val="bottom"/>
            <w:hideMark/>
          </w:tcPr>
          <w:p w14:paraId="5B789C23"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2.9</w:t>
            </w:r>
          </w:p>
        </w:tc>
      </w:tr>
      <w:tr w:rsidR="008C7D1F" w:rsidRPr="008C7D1F" w14:paraId="6D9CCC28"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64C6A35B"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Middle East and Central Asia</w:t>
            </w:r>
          </w:p>
        </w:tc>
        <w:tc>
          <w:tcPr>
            <w:tcW w:w="630" w:type="pct"/>
            <w:tcBorders>
              <w:top w:val="nil"/>
              <w:left w:val="nil"/>
              <w:bottom w:val="single" w:sz="4" w:space="0" w:color="auto"/>
              <w:right w:val="single" w:sz="4" w:space="0" w:color="auto"/>
            </w:tcBorders>
            <w:shd w:val="clear" w:color="auto" w:fill="auto"/>
            <w:noWrap/>
            <w:vAlign w:val="bottom"/>
            <w:hideMark/>
          </w:tcPr>
          <w:p w14:paraId="3375BAF1"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1.4</w:t>
            </w:r>
          </w:p>
        </w:tc>
        <w:tc>
          <w:tcPr>
            <w:tcW w:w="630" w:type="pct"/>
            <w:tcBorders>
              <w:top w:val="nil"/>
              <w:left w:val="nil"/>
              <w:bottom w:val="single" w:sz="4" w:space="0" w:color="auto"/>
              <w:right w:val="single" w:sz="4" w:space="0" w:color="auto"/>
            </w:tcBorders>
            <w:shd w:val="clear" w:color="auto" w:fill="auto"/>
            <w:noWrap/>
            <w:vAlign w:val="bottom"/>
            <w:hideMark/>
          </w:tcPr>
          <w:p w14:paraId="46918412"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-3.2</w:t>
            </w:r>
          </w:p>
        </w:tc>
        <w:tc>
          <w:tcPr>
            <w:tcW w:w="630" w:type="pct"/>
            <w:tcBorders>
              <w:top w:val="nil"/>
              <w:left w:val="nil"/>
              <w:bottom w:val="single" w:sz="4" w:space="0" w:color="auto"/>
              <w:right w:val="single" w:sz="4" w:space="0" w:color="auto"/>
            </w:tcBorders>
            <w:shd w:val="clear" w:color="auto" w:fill="auto"/>
            <w:noWrap/>
            <w:vAlign w:val="bottom"/>
            <w:hideMark/>
          </w:tcPr>
          <w:p w14:paraId="57847C2E"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3.0</w:t>
            </w:r>
          </w:p>
        </w:tc>
        <w:tc>
          <w:tcPr>
            <w:tcW w:w="630" w:type="pct"/>
            <w:tcBorders>
              <w:top w:val="nil"/>
              <w:left w:val="nil"/>
              <w:bottom w:val="single" w:sz="4" w:space="0" w:color="auto"/>
              <w:right w:val="single" w:sz="4" w:space="0" w:color="auto"/>
            </w:tcBorders>
            <w:shd w:val="clear" w:color="auto" w:fill="auto"/>
            <w:noWrap/>
            <w:vAlign w:val="bottom"/>
            <w:hideMark/>
          </w:tcPr>
          <w:p w14:paraId="109CE228"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4.2</w:t>
            </w:r>
          </w:p>
        </w:tc>
      </w:tr>
      <w:tr w:rsidR="008C7D1F" w:rsidRPr="008C7D1F" w14:paraId="511814C0"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3350FA24" w14:textId="77777777" w:rsidR="008C7D1F" w:rsidRPr="008C7D1F" w:rsidRDefault="008C7D1F" w:rsidP="008C7D1F">
            <w:pPr>
              <w:spacing w:line="240" w:lineRule="auto"/>
              <w:jc w:val="left"/>
              <w:rPr>
                <w:rFonts w:eastAsia="Times New Roman"/>
                <w:b/>
                <w:bCs/>
                <w:noProof w:val="0"/>
                <w:color w:val="000000"/>
                <w:sz w:val="22"/>
                <w:szCs w:val="22"/>
              </w:rPr>
            </w:pPr>
            <w:r w:rsidRPr="008C7D1F">
              <w:rPr>
                <w:rFonts w:eastAsia="Times New Roman"/>
                <w:b/>
                <w:bCs/>
                <w:noProof w:val="0"/>
                <w:color w:val="000000"/>
                <w:sz w:val="22"/>
                <w:szCs w:val="22"/>
              </w:rPr>
              <w:t xml:space="preserve">Sub-Saharan Africa </w:t>
            </w:r>
          </w:p>
        </w:tc>
        <w:tc>
          <w:tcPr>
            <w:tcW w:w="630" w:type="pct"/>
            <w:tcBorders>
              <w:top w:val="nil"/>
              <w:left w:val="nil"/>
              <w:bottom w:val="single" w:sz="4" w:space="0" w:color="auto"/>
              <w:right w:val="single" w:sz="4" w:space="0" w:color="auto"/>
            </w:tcBorders>
            <w:shd w:val="clear" w:color="auto" w:fill="auto"/>
            <w:noWrap/>
            <w:vAlign w:val="bottom"/>
            <w:hideMark/>
          </w:tcPr>
          <w:p w14:paraId="4499083A"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3.2</w:t>
            </w:r>
          </w:p>
        </w:tc>
        <w:tc>
          <w:tcPr>
            <w:tcW w:w="630" w:type="pct"/>
            <w:tcBorders>
              <w:top w:val="nil"/>
              <w:left w:val="nil"/>
              <w:bottom w:val="single" w:sz="4" w:space="0" w:color="auto"/>
              <w:right w:val="single" w:sz="4" w:space="0" w:color="auto"/>
            </w:tcBorders>
            <w:shd w:val="clear" w:color="auto" w:fill="auto"/>
            <w:noWrap/>
            <w:vAlign w:val="bottom"/>
            <w:hideMark/>
          </w:tcPr>
          <w:p w14:paraId="3DDD680C"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-2.6</w:t>
            </w:r>
          </w:p>
        </w:tc>
        <w:tc>
          <w:tcPr>
            <w:tcW w:w="630" w:type="pct"/>
            <w:tcBorders>
              <w:top w:val="nil"/>
              <w:left w:val="nil"/>
              <w:bottom w:val="single" w:sz="4" w:space="0" w:color="auto"/>
              <w:right w:val="single" w:sz="4" w:space="0" w:color="auto"/>
            </w:tcBorders>
            <w:shd w:val="clear" w:color="auto" w:fill="auto"/>
            <w:noWrap/>
            <w:vAlign w:val="bottom"/>
            <w:hideMark/>
          </w:tcPr>
          <w:p w14:paraId="71ED5911"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3.2</w:t>
            </w:r>
          </w:p>
        </w:tc>
        <w:tc>
          <w:tcPr>
            <w:tcW w:w="630" w:type="pct"/>
            <w:tcBorders>
              <w:top w:val="nil"/>
              <w:left w:val="nil"/>
              <w:bottom w:val="single" w:sz="4" w:space="0" w:color="auto"/>
              <w:right w:val="single" w:sz="4" w:space="0" w:color="auto"/>
            </w:tcBorders>
            <w:shd w:val="clear" w:color="auto" w:fill="auto"/>
            <w:noWrap/>
            <w:vAlign w:val="bottom"/>
            <w:hideMark/>
          </w:tcPr>
          <w:p w14:paraId="397ED0AB" w14:textId="77777777" w:rsidR="008C7D1F" w:rsidRPr="008C7D1F" w:rsidRDefault="008C7D1F" w:rsidP="008C7D1F">
            <w:pPr>
              <w:spacing w:line="240" w:lineRule="auto"/>
              <w:jc w:val="center"/>
              <w:rPr>
                <w:rFonts w:eastAsia="Times New Roman"/>
                <w:noProof w:val="0"/>
                <w:color w:val="000000"/>
                <w:sz w:val="22"/>
                <w:szCs w:val="22"/>
              </w:rPr>
            </w:pPr>
            <w:r w:rsidRPr="008C7D1F">
              <w:rPr>
                <w:rFonts w:eastAsia="Times New Roman"/>
                <w:noProof w:val="0"/>
                <w:color w:val="000000"/>
                <w:sz w:val="22"/>
                <w:szCs w:val="22"/>
              </w:rPr>
              <w:t>3.9</w:t>
            </w:r>
          </w:p>
        </w:tc>
      </w:tr>
    </w:tbl>
    <w:p w14:paraId="0C9BA288" w14:textId="104C0490" w:rsidR="008C7D1F" w:rsidRPr="008C7D1F" w:rsidRDefault="008C7D1F" w:rsidP="000463D9">
      <w:pPr>
        <w:rPr>
          <w:sz w:val="20"/>
          <w:szCs w:val="20"/>
        </w:rPr>
      </w:pPr>
      <w:r w:rsidRPr="008C7D1F">
        <w:rPr>
          <w:sz w:val="20"/>
          <w:szCs w:val="20"/>
        </w:rPr>
        <w:t xml:space="preserve">Source: </w:t>
      </w:r>
      <w:sdt>
        <w:sdtPr>
          <w:rPr>
            <w:sz w:val="20"/>
            <w:szCs w:val="20"/>
          </w:rPr>
          <w:id w:val="-1847236282"/>
          <w:citation/>
        </w:sdtPr>
        <w:sdtContent>
          <w:r w:rsidRPr="008C7D1F">
            <w:rPr>
              <w:sz w:val="20"/>
              <w:szCs w:val="20"/>
            </w:rPr>
            <w:fldChar w:fldCharType="begin"/>
          </w:r>
          <w:r w:rsidRPr="008C7D1F">
            <w:rPr>
              <w:sz w:val="20"/>
              <w:szCs w:val="20"/>
            </w:rPr>
            <w:instrText xml:space="preserve"> CITATION IMF21 \l 1033 </w:instrText>
          </w:r>
          <w:r w:rsidRPr="008C7D1F">
            <w:rPr>
              <w:sz w:val="20"/>
              <w:szCs w:val="20"/>
            </w:rPr>
            <w:fldChar w:fldCharType="separate"/>
          </w:r>
          <w:r w:rsidRPr="008C7D1F">
            <w:rPr>
              <w:sz w:val="20"/>
              <w:szCs w:val="20"/>
            </w:rPr>
            <w:t>(IMF, 2021)</w:t>
          </w:r>
          <w:r w:rsidRPr="008C7D1F">
            <w:rPr>
              <w:sz w:val="20"/>
              <w:szCs w:val="20"/>
            </w:rPr>
            <w:fldChar w:fldCharType="end"/>
          </w:r>
        </w:sdtContent>
      </w:sdt>
    </w:p>
    <w:p w14:paraId="2AF70564" w14:textId="7484FD9A" w:rsidR="008C7D1F" w:rsidRDefault="008C7D1F" w:rsidP="000463D9"/>
    <w:p w14:paraId="7E87547D" w14:textId="6D959DE2" w:rsidR="008C7D1F" w:rsidRDefault="008C7D1F" w:rsidP="008C7D1F">
      <w:r>
        <w:t>Secondly, t</w:t>
      </w:r>
      <w:r w:rsidR="004C53C7">
        <w:t>he u</w:t>
      </w:r>
      <w:r w:rsidR="004C53C7" w:rsidRPr="005B1C31">
        <w:t xml:space="preserve">nemployment rate </w:t>
      </w:r>
      <w:r w:rsidR="00F05610">
        <w:t xml:space="preserve">was </w:t>
      </w:r>
      <w:r w:rsidR="004C53C7" w:rsidRPr="005B1C31">
        <w:t xml:space="preserve">at c3% throughout 2020 </w:t>
      </w:r>
      <w:sdt>
        <w:sdtPr>
          <w:id w:val="-1439287250"/>
          <w:citation/>
        </w:sdtPr>
        <w:sdtContent>
          <w:r w:rsidR="004C53C7">
            <w:fldChar w:fldCharType="begin"/>
          </w:r>
          <w:r w:rsidR="004C53C7">
            <w:instrText xml:space="preserve">CITATION Cen211 \l 1033 </w:instrText>
          </w:r>
          <w:r w:rsidR="004C53C7">
            <w:fldChar w:fldCharType="separate"/>
          </w:r>
          <w:r w:rsidR="004C53C7" w:rsidRPr="00B35CD6">
            <w:t>(Census and Statistics Department, 2021a)</w:t>
          </w:r>
          <w:r w:rsidR="004C53C7">
            <w:fldChar w:fldCharType="end"/>
          </w:r>
        </w:sdtContent>
      </w:sdt>
      <w:r w:rsidR="004C53C7">
        <w:t xml:space="preserve">. </w:t>
      </w:r>
      <w:r>
        <w:t xml:space="preserve">The latest unemployment rate </w:t>
      </w:r>
      <w:r w:rsidR="00F05610">
        <w:t xml:space="preserve">was </w:t>
      </w:r>
      <w:r>
        <w:t>at 6.6% in 4Q2020</w:t>
      </w:r>
      <w:r w:rsidR="00F05610">
        <w:t xml:space="preserve">, </w:t>
      </w:r>
      <w:r>
        <w:t xml:space="preserve">the highest in the past 16 years </w:t>
      </w:r>
      <w:sdt>
        <w:sdtPr>
          <w:id w:val="-1908830852"/>
          <w:citation/>
        </w:sdtPr>
        <w:sdtContent>
          <w:r>
            <w:fldChar w:fldCharType="begin"/>
          </w:r>
          <w:r>
            <w:instrText xml:space="preserve"> CITATION Won21 \l 1033 </w:instrText>
          </w:r>
          <w:r>
            <w:fldChar w:fldCharType="separate"/>
          </w:r>
          <w:r w:rsidRPr="00B35CD6">
            <w:t>(Wong, 2021)</w:t>
          </w:r>
          <w:r>
            <w:fldChar w:fldCharType="end"/>
          </w:r>
        </w:sdtContent>
      </w:sdt>
      <w:r>
        <w:t xml:space="preserve">. </w:t>
      </w:r>
      <w:r w:rsidR="00F05610">
        <w:t xml:space="preserve">Even so, CTFJ did not close many retails or executed any retrenchment exercise in FY2020. Assuming the COVID-19 is a short-term impact, the unemployment rate does not affect much to its operation. Reducing fixed costs by closing any production capacity is unnecessary for CTFJ in this case; the firm may reduce its operation cost by adjusting the labor force. </w:t>
      </w:r>
    </w:p>
    <w:p w14:paraId="7EBBECD2" w14:textId="1FD6E97B" w:rsidR="008C7D1F" w:rsidRDefault="008C7D1F" w:rsidP="008C7D1F"/>
    <w:p w14:paraId="0587A66C" w14:textId="77777777" w:rsidR="009A020B" w:rsidRDefault="00F05610" w:rsidP="00925F32">
      <w:r>
        <w:lastRenderedPageBreak/>
        <w:t xml:space="preserve">Lastly, the interest rate in Hong Kong remained its low level in 2020. </w:t>
      </w:r>
      <w:r w:rsidR="009A020B">
        <w:t>Hong Kong Inter-bank Offered Rate ("HIBOR") experienced a downward trend in 2020 and remains low today (Table 9).</w:t>
      </w:r>
    </w:p>
    <w:p w14:paraId="48E46E6E" w14:textId="09FE8D84" w:rsidR="008C40F1" w:rsidRDefault="00925F32" w:rsidP="00925F32">
      <w:r w:rsidRPr="005B1C31">
        <w:t xml:space="preserve"> </w:t>
      </w:r>
    </w:p>
    <w:p w14:paraId="7E6D4B0C" w14:textId="5206F8FB" w:rsidR="008C40F1" w:rsidRPr="008C40F1" w:rsidRDefault="008C40F1" w:rsidP="008C40F1">
      <w:pPr>
        <w:pStyle w:val="Caption"/>
        <w:keepNext/>
        <w:jc w:val="both"/>
        <w:rPr>
          <w:sz w:val="24"/>
          <w:szCs w:val="24"/>
        </w:rPr>
      </w:pPr>
      <w:r w:rsidRPr="008C40F1">
        <w:rPr>
          <w:sz w:val="24"/>
          <w:szCs w:val="24"/>
        </w:rPr>
        <w:t xml:space="preserve">Table </w:t>
      </w:r>
      <w:r w:rsidRPr="008C40F1">
        <w:rPr>
          <w:sz w:val="24"/>
          <w:szCs w:val="24"/>
        </w:rPr>
        <w:fldChar w:fldCharType="begin"/>
      </w:r>
      <w:r w:rsidRPr="008C40F1">
        <w:rPr>
          <w:sz w:val="24"/>
          <w:szCs w:val="24"/>
        </w:rPr>
        <w:instrText xml:space="preserve"> SEQ Table \* ARABIC </w:instrText>
      </w:r>
      <w:r w:rsidRPr="008C40F1">
        <w:rPr>
          <w:sz w:val="24"/>
          <w:szCs w:val="24"/>
        </w:rPr>
        <w:fldChar w:fldCharType="separate"/>
      </w:r>
      <w:r w:rsidR="00A806F0">
        <w:rPr>
          <w:sz w:val="24"/>
          <w:szCs w:val="24"/>
        </w:rPr>
        <w:t>9</w:t>
      </w:r>
      <w:r w:rsidRPr="008C40F1">
        <w:rPr>
          <w:sz w:val="24"/>
          <w:szCs w:val="24"/>
        </w:rPr>
        <w:fldChar w:fldCharType="end"/>
      </w:r>
      <w:r w:rsidRPr="008C40F1">
        <w:rPr>
          <w:sz w:val="24"/>
          <w:szCs w:val="24"/>
        </w:rPr>
        <w:t>: Hong Kong Inter</w:t>
      </w:r>
      <w:r w:rsidR="009A020B">
        <w:rPr>
          <w:sz w:val="24"/>
          <w:szCs w:val="24"/>
        </w:rPr>
        <w:t>-</w:t>
      </w:r>
      <w:r w:rsidRPr="008C40F1">
        <w:rPr>
          <w:sz w:val="24"/>
          <w:szCs w:val="24"/>
        </w:rPr>
        <w:t>bank Offered Rate in 2020</w:t>
      </w:r>
    </w:p>
    <w:bookmarkStart w:id="26" w:name="_MON_1675400086"/>
    <w:bookmarkEnd w:id="26"/>
    <w:p w14:paraId="0846CEF7" w14:textId="54C88FE5" w:rsidR="008C40F1" w:rsidRDefault="00CD2FB4" w:rsidP="008C40F1">
      <w:pPr>
        <w:spacing w:line="240" w:lineRule="auto"/>
      </w:pPr>
      <w:r>
        <w:object w:dxaOrig="8788" w:dyaOrig="4294" w14:anchorId="27E61C82">
          <v:shape id="_x0000_i1029" type="#_x0000_t75" style="width:439.3pt;height:214.95pt" o:ole="">
            <v:imagedata r:id="rId30" o:title=""/>
          </v:shape>
          <o:OLEObject Type="Embed" ProgID="Excel.Sheet.12" ShapeID="_x0000_i1029" DrawAspect="Content" ObjectID="_1675456544" r:id="rId31"/>
        </w:object>
      </w:r>
    </w:p>
    <w:p w14:paraId="5EB0D4B8" w14:textId="7DF1E3D5" w:rsidR="008C40F1" w:rsidRPr="008C40F1" w:rsidRDefault="008C40F1" w:rsidP="008C40F1">
      <w:pPr>
        <w:spacing w:line="240" w:lineRule="auto"/>
        <w:rPr>
          <w:sz w:val="20"/>
          <w:szCs w:val="20"/>
        </w:rPr>
      </w:pPr>
      <w:r w:rsidRPr="008C40F1">
        <w:rPr>
          <w:sz w:val="20"/>
          <w:szCs w:val="20"/>
        </w:rPr>
        <w:t xml:space="preserve">Source: </w:t>
      </w:r>
      <w:sdt>
        <w:sdtPr>
          <w:rPr>
            <w:sz w:val="20"/>
            <w:szCs w:val="20"/>
          </w:rPr>
          <w:id w:val="-542673334"/>
          <w:citation/>
        </w:sdtPr>
        <w:sdtContent>
          <w:r w:rsidRPr="008C40F1">
            <w:rPr>
              <w:sz w:val="20"/>
              <w:szCs w:val="20"/>
            </w:rPr>
            <w:fldChar w:fldCharType="begin"/>
          </w:r>
          <w:r w:rsidRPr="008C40F1">
            <w:rPr>
              <w:sz w:val="20"/>
              <w:szCs w:val="20"/>
            </w:rPr>
            <w:instrText xml:space="preserve"> CITATION The20 \l 1033 </w:instrText>
          </w:r>
          <w:r w:rsidRPr="008C40F1">
            <w:rPr>
              <w:sz w:val="20"/>
              <w:szCs w:val="20"/>
            </w:rPr>
            <w:fldChar w:fldCharType="separate"/>
          </w:r>
          <w:r w:rsidRPr="008C40F1">
            <w:rPr>
              <w:sz w:val="20"/>
              <w:szCs w:val="20"/>
            </w:rPr>
            <w:t>(The Hong Kong Association Of Banks, 2020)</w:t>
          </w:r>
          <w:r w:rsidRPr="008C40F1">
            <w:rPr>
              <w:sz w:val="20"/>
              <w:szCs w:val="20"/>
            </w:rPr>
            <w:fldChar w:fldCharType="end"/>
          </w:r>
        </w:sdtContent>
      </w:sdt>
    </w:p>
    <w:p w14:paraId="32DD0355" w14:textId="02BEE39B" w:rsidR="00925F32" w:rsidRDefault="00925F32" w:rsidP="00925F32"/>
    <w:p w14:paraId="702E5040" w14:textId="376F26CF" w:rsidR="008C7D1F" w:rsidRDefault="009A020B" w:rsidP="00925F32">
      <w:r>
        <w:t xml:space="preserve">CTFJ may consider raising their capital funding for more mid to long-term growth strategies with a low-interest rate. </w:t>
      </w:r>
      <w:r w:rsidR="00D4431F">
        <w:t xml:space="preserve">While the Hong Kong stock </w:t>
      </w:r>
      <w:r w:rsidR="00A806F0">
        <w:t xml:space="preserve">exchange </w:t>
      </w:r>
      <w:r w:rsidR="00D4431F">
        <w:t xml:space="preserve">is </w:t>
      </w:r>
      <w:r w:rsidR="00A806F0">
        <w:t xml:space="preserve">strong, CTFJ may </w:t>
      </w:r>
    </w:p>
    <w:p w14:paraId="2A6C4FE7" w14:textId="18420D2A" w:rsidR="008C7D1F" w:rsidRDefault="008C7D1F" w:rsidP="00925F32"/>
    <w:p w14:paraId="78CCAE0F" w14:textId="3E841DD6" w:rsidR="00D4431F" w:rsidRDefault="00D4431F" w:rsidP="00D4431F">
      <w:pPr>
        <w:pStyle w:val="Caption"/>
        <w:keepNext/>
        <w:jc w:val="both"/>
      </w:pPr>
      <w:r w:rsidRPr="008C7D1F">
        <w:rPr>
          <w:sz w:val="24"/>
          <w:szCs w:val="24"/>
        </w:rPr>
        <w:lastRenderedPageBreak/>
        <w:t xml:space="preserve">Figure </w:t>
      </w:r>
      <w:r w:rsidRPr="008C7D1F">
        <w:rPr>
          <w:sz w:val="24"/>
          <w:szCs w:val="24"/>
        </w:rPr>
        <w:fldChar w:fldCharType="begin"/>
      </w:r>
      <w:r w:rsidRPr="008C7D1F">
        <w:rPr>
          <w:sz w:val="24"/>
          <w:szCs w:val="24"/>
        </w:rPr>
        <w:instrText xml:space="preserve"> SEQ Figure \* ARABIC </w:instrText>
      </w:r>
      <w:r w:rsidRPr="008C7D1F">
        <w:rPr>
          <w:sz w:val="24"/>
          <w:szCs w:val="24"/>
        </w:rPr>
        <w:fldChar w:fldCharType="separate"/>
      </w:r>
      <w:r w:rsidR="00A806F0">
        <w:rPr>
          <w:sz w:val="24"/>
          <w:szCs w:val="24"/>
        </w:rPr>
        <w:t>9</w:t>
      </w:r>
      <w:r w:rsidRPr="008C7D1F">
        <w:rPr>
          <w:sz w:val="24"/>
          <w:szCs w:val="24"/>
        </w:rPr>
        <w:fldChar w:fldCharType="end"/>
      </w:r>
      <w:r w:rsidRPr="008C7D1F">
        <w:rPr>
          <w:sz w:val="24"/>
          <w:szCs w:val="24"/>
        </w:rPr>
        <w:t>: Hang Seng Index Daily Line Fit Plot</w:t>
      </w:r>
    </w:p>
    <w:p w14:paraId="5F3E69E3" w14:textId="77777777" w:rsidR="00D4431F" w:rsidRDefault="00D4431F" w:rsidP="00D4431F">
      <w:pPr>
        <w:spacing w:line="240" w:lineRule="auto"/>
      </w:pPr>
      <w:r>
        <w:drawing>
          <wp:inline distT="0" distB="0" distL="0" distR="0" wp14:anchorId="2A02D841" wp14:editId="4A2EFED1">
            <wp:extent cx="5759450" cy="3491948"/>
            <wp:effectExtent l="0" t="0" r="12700" b="13335"/>
            <wp:docPr id="175" name="Chart 175">
              <a:extLst xmlns:a="http://schemas.openxmlformats.org/drawingml/2006/main">
                <a:ext uri="{FF2B5EF4-FFF2-40B4-BE49-F238E27FC236}">
                  <a16:creationId xmlns:a16="http://schemas.microsoft.com/office/drawing/2014/main" id="{BB9EAE54-09B8-4009-BD93-269AC1FF42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8710DCA" w14:textId="77777777" w:rsidR="00D4431F" w:rsidRDefault="00D4431F" w:rsidP="00D4431F">
      <w:pPr>
        <w:spacing w:line="240" w:lineRule="auto"/>
      </w:pPr>
      <w:r>
        <w:t xml:space="preserve">Source: </w:t>
      </w:r>
      <w:sdt>
        <w:sdtPr>
          <w:id w:val="-78451284"/>
          <w:citation/>
        </w:sdtPr>
        <w:sdtContent>
          <w:r>
            <w:fldChar w:fldCharType="begin"/>
          </w:r>
          <w:r>
            <w:instrText xml:space="preserve">CITATION Yah21 \l 1033 </w:instrText>
          </w:r>
          <w:r>
            <w:fldChar w:fldCharType="separate"/>
          </w:r>
          <w:r w:rsidRPr="008C7D1F">
            <w:t>(Yahoo Finance, 2021a)</w:t>
          </w:r>
          <w:r>
            <w:fldChar w:fldCharType="end"/>
          </w:r>
        </w:sdtContent>
      </w:sdt>
    </w:p>
    <w:p w14:paraId="242B06E7" w14:textId="77777777" w:rsidR="00D4431F" w:rsidRDefault="00D4431F" w:rsidP="00D4431F">
      <w:pPr>
        <w:spacing w:line="240" w:lineRule="auto"/>
      </w:pPr>
    </w:p>
    <w:p w14:paraId="46762DE8" w14:textId="77777777" w:rsidR="00D4431F" w:rsidRDefault="00D4431F">
      <w:pPr>
        <w:spacing w:after="160" w:line="259" w:lineRule="auto"/>
        <w:jc w:val="left"/>
        <w:rPr>
          <w:rFonts w:eastAsiaTheme="majorEastAsia"/>
          <w:b/>
          <w:bCs/>
          <w:color w:val="000000" w:themeColor="text1"/>
        </w:rPr>
      </w:pPr>
      <w:r>
        <w:br w:type="page"/>
      </w:r>
    </w:p>
    <w:p w14:paraId="28B35ABB" w14:textId="264E3652" w:rsidR="00997449" w:rsidRDefault="00997449" w:rsidP="00997449">
      <w:pPr>
        <w:pStyle w:val="Heading1"/>
      </w:pPr>
      <w:bookmarkStart w:id="27" w:name="_Toc64840483"/>
      <w:r w:rsidRPr="005B1C31">
        <w:lastRenderedPageBreak/>
        <w:t>Analysis and discussion</w:t>
      </w:r>
      <w:bookmarkEnd w:id="27"/>
    </w:p>
    <w:p w14:paraId="21869D97" w14:textId="2F7EB5DF" w:rsidR="00A806F0" w:rsidRDefault="00A806F0" w:rsidP="00A806F0">
      <w:r>
        <w:t>CTFJ will continue to face an unprecedented turbulent headwind in 2021. Both production and demand will continue to be negatively impacted due to the combined effect of the Sino-US trade war, local political unrest, and the impact of the global COVID-19 pandemic</w:t>
      </w:r>
      <w:r>
        <w:t xml:space="preserve">. </w:t>
      </w:r>
      <w:r w:rsidRPr="00A806F0">
        <w:t xml:space="preserve">The following SWOT analysis captures the firm's </w:t>
      </w:r>
      <w:r>
        <w:t xml:space="preserve">internal </w:t>
      </w:r>
      <w:r w:rsidRPr="00A806F0">
        <w:t>key strengths and weaknesses</w:t>
      </w:r>
      <w:r>
        <w:t>,</w:t>
      </w:r>
      <w:r w:rsidRPr="00A806F0">
        <w:t xml:space="preserve"> and opportunities and threats</w:t>
      </w:r>
      <w:r>
        <w:t xml:space="preserve"> from the external. </w:t>
      </w:r>
    </w:p>
    <w:p w14:paraId="5179AB38" w14:textId="26813580" w:rsidR="00A806F0" w:rsidRPr="00A806F0" w:rsidRDefault="00A806F0" w:rsidP="00A806F0">
      <w:pPr>
        <w:pStyle w:val="Caption"/>
        <w:keepNext/>
        <w:jc w:val="left"/>
        <w:rPr>
          <w:sz w:val="24"/>
          <w:szCs w:val="24"/>
        </w:rPr>
      </w:pPr>
      <w:r w:rsidRPr="00A806F0">
        <w:rPr>
          <w:sz w:val="24"/>
          <w:szCs w:val="24"/>
        </w:rPr>
        <w:t xml:space="preserve">Table </w:t>
      </w:r>
      <w:r w:rsidRPr="00A806F0">
        <w:rPr>
          <w:sz w:val="24"/>
          <w:szCs w:val="24"/>
        </w:rPr>
        <w:fldChar w:fldCharType="begin"/>
      </w:r>
      <w:r w:rsidRPr="00A806F0">
        <w:rPr>
          <w:sz w:val="24"/>
          <w:szCs w:val="24"/>
        </w:rPr>
        <w:instrText xml:space="preserve"> SEQ Table \* ARABIC </w:instrText>
      </w:r>
      <w:r w:rsidRPr="00A806F0">
        <w:rPr>
          <w:sz w:val="24"/>
          <w:szCs w:val="24"/>
        </w:rPr>
        <w:fldChar w:fldCharType="separate"/>
      </w:r>
      <w:r w:rsidRPr="00A806F0">
        <w:rPr>
          <w:sz w:val="24"/>
          <w:szCs w:val="24"/>
        </w:rPr>
        <w:t>10</w:t>
      </w:r>
      <w:r w:rsidRPr="00A806F0">
        <w:rPr>
          <w:sz w:val="24"/>
          <w:szCs w:val="24"/>
        </w:rPr>
        <w:fldChar w:fldCharType="end"/>
      </w:r>
      <w:r w:rsidRPr="00A806F0">
        <w:rPr>
          <w:sz w:val="24"/>
          <w:szCs w:val="24"/>
        </w:rPr>
        <w:t>: SWOT analysis</w:t>
      </w:r>
    </w:p>
    <w:tbl>
      <w:tblPr>
        <w:tblStyle w:val="TableGrid"/>
        <w:tblW w:w="0" w:type="auto"/>
        <w:tblLook w:val="04A0" w:firstRow="1" w:lastRow="0" w:firstColumn="1" w:lastColumn="0" w:noHBand="0" w:noVBand="1"/>
      </w:tblPr>
      <w:tblGrid>
        <w:gridCol w:w="4530"/>
        <w:gridCol w:w="4530"/>
      </w:tblGrid>
      <w:tr w:rsidR="00A806F0" w14:paraId="6A583BA4" w14:textId="77777777" w:rsidTr="00703DEB">
        <w:tc>
          <w:tcPr>
            <w:tcW w:w="4530" w:type="dxa"/>
          </w:tcPr>
          <w:p w14:paraId="1392479F" w14:textId="77777777" w:rsidR="00A806F0" w:rsidRDefault="00A806F0" w:rsidP="00703DEB">
            <w:pPr>
              <w:spacing w:line="240" w:lineRule="auto"/>
              <w:rPr>
                <w:b/>
                <w:bCs/>
              </w:rPr>
            </w:pPr>
            <w:r w:rsidRPr="005B1C31">
              <w:rPr>
                <w:b/>
                <w:bCs/>
              </w:rPr>
              <w:t>Strengths</w:t>
            </w:r>
            <w:r>
              <w:rPr>
                <w:b/>
                <w:bCs/>
              </w:rPr>
              <w:t xml:space="preserve"> </w:t>
            </w:r>
          </w:p>
          <w:p w14:paraId="6DD24CEA" w14:textId="77777777" w:rsidR="00A806F0" w:rsidRDefault="00A806F0" w:rsidP="00703DEB">
            <w:pPr>
              <w:spacing w:line="240" w:lineRule="auto"/>
              <w:jc w:val="right"/>
              <w:rPr>
                <w:sz w:val="22"/>
                <w:szCs w:val="22"/>
              </w:rPr>
            </w:pPr>
          </w:p>
          <w:p w14:paraId="37DDA904" w14:textId="086957AB" w:rsidR="00A806F0" w:rsidRPr="00703DEB" w:rsidRDefault="00A806F0" w:rsidP="00703DEB">
            <w:pPr>
              <w:spacing w:line="240" w:lineRule="auto"/>
              <w:jc w:val="right"/>
              <w:rPr>
                <w:sz w:val="22"/>
                <w:szCs w:val="22"/>
              </w:rPr>
            </w:pPr>
            <w:r w:rsidRPr="00703DEB">
              <w:rPr>
                <w:sz w:val="22"/>
                <w:szCs w:val="22"/>
              </w:rPr>
              <w:t>S1: Monopoly of diamond supply</w:t>
            </w:r>
            <w:r>
              <w:rPr>
                <w:sz w:val="22"/>
                <w:szCs w:val="22"/>
              </w:rPr>
              <w:t xml:space="preserve"> (Section 2.1)</w:t>
            </w:r>
          </w:p>
          <w:p w14:paraId="05A82045" w14:textId="77CE9749" w:rsidR="00A806F0" w:rsidRDefault="00A806F0" w:rsidP="00A806F0">
            <w:pPr>
              <w:spacing w:line="240" w:lineRule="auto"/>
              <w:jc w:val="right"/>
              <w:rPr>
                <w:sz w:val="22"/>
                <w:szCs w:val="22"/>
              </w:rPr>
            </w:pPr>
            <w:r w:rsidRPr="00703DEB">
              <w:rPr>
                <w:sz w:val="22"/>
                <w:szCs w:val="22"/>
              </w:rPr>
              <w:t>S2: Vertical integration</w:t>
            </w:r>
            <w:r>
              <w:rPr>
                <w:sz w:val="22"/>
                <w:szCs w:val="22"/>
              </w:rPr>
              <w:t>,</w:t>
            </w:r>
            <w:r w:rsidRPr="00703DEB">
              <w:rPr>
                <w:sz w:val="22"/>
                <w:szCs w:val="22"/>
              </w:rPr>
              <w:t xml:space="preserve"> </w:t>
            </w:r>
            <w:r>
              <w:rPr>
                <w:sz w:val="22"/>
                <w:szCs w:val="22"/>
              </w:rPr>
              <w:t>c</w:t>
            </w:r>
            <w:r w:rsidRPr="00703DEB">
              <w:rPr>
                <w:sz w:val="22"/>
                <w:szCs w:val="22"/>
              </w:rPr>
              <w:t>apital intensive</w:t>
            </w:r>
            <w:r>
              <w:rPr>
                <w:sz w:val="22"/>
                <w:szCs w:val="22"/>
              </w:rPr>
              <w:t xml:space="preserve"> with</w:t>
            </w:r>
            <w:r w:rsidRPr="00703DEB">
              <w:rPr>
                <w:sz w:val="22"/>
                <w:szCs w:val="22"/>
              </w:rPr>
              <w:t xml:space="preserve"> lower production cost</w:t>
            </w:r>
            <w:r>
              <w:rPr>
                <w:sz w:val="22"/>
                <w:szCs w:val="22"/>
              </w:rPr>
              <w:t xml:space="preserve"> (Section 3.1)</w:t>
            </w:r>
          </w:p>
          <w:p w14:paraId="1DEAAC31" w14:textId="269B2CF7" w:rsidR="00A806F0" w:rsidRDefault="00A806F0" w:rsidP="00703DEB">
            <w:pPr>
              <w:spacing w:line="240" w:lineRule="auto"/>
              <w:jc w:val="right"/>
              <w:rPr>
                <w:sz w:val="22"/>
                <w:szCs w:val="22"/>
              </w:rPr>
            </w:pPr>
            <w:r>
              <w:rPr>
                <w:sz w:val="22"/>
                <w:szCs w:val="22"/>
              </w:rPr>
              <w:t>S4: Business diversification to Mainland China</w:t>
            </w:r>
            <w:r>
              <w:rPr>
                <w:sz w:val="22"/>
                <w:szCs w:val="22"/>
              </w:rPr>
              <w:t xml:space="preserve"> (Section 2.3)</w:t>
            </w:r>
          </w:p>
          <w:p w14:paraId="4EDCA552" w14:textId="671F9CD8" w:rsidR="00A806F0" w:rsidRPr="00703DEB" w:rsidRDefault="00A806F0" w:rsidP="00703DEB">
            <w:pPr>
              <w:spacing w:line="240" w:lineRule="auto"/>
              <w:jc w:val="right"/>
              <w:rPr>
                <w:sz w:val="22"/>
                <w:szCs w:val="22"/>
              </w:rPr>
            </w:pPr>
            <w:r>
              <w:rPr>
                <w:sz w:val="22"/>
                <w:szCs w:val="22"/>
              </w:rPr>
              <w:t>S5: E-commerce plat</w:t>
            </w:r>
            <w:r>
              <w:rPr>
                <w:sz w:val="22"/>
                <w:szCs w:val="22"/>
              </w:rPr>
              <w:t>fo</w:t>
            </w:r>
            <w:r>
              <w:rPr>
                <w:sz w:val="22"/>
                <w:szCs w:val="22"/>
              </w:rPr>
              <w:t>rms</w:t>
            </w:r>
            <w:r>
              <w:rPr>
                <w:sz w:val="22"/>
                <w:szCs w:val="22"/>
              </w:rPr>
              <w:t xml:space="preserve"> (Section 3.2)</w:t>
            </w:r>
          </w:p>
          <w:p w14:paraId="01BF2C9C" w14:textId="77777777" w:rsidR="00A806F0" w:rsidRDefault="00A806F0" w:rsidP="00703DEB">
            <w:pPr>
              <w:spacing w:line="240" w:lineRule="auto"/>
              <w:jc w:val="right"/>
            </w:pPr>
          </w:p>
        </w:tc>
        <w:tc>
          <w:tcPr>
            <w:tcW w:w="4530" w:type="dxa"/>
          </w:tcPr>
          <w:p w14:paraId="1E1F0CC7" w14:textId="77777777" w:rsidR="00A806F0" w:rsidRDefault="00A806F0" w:rsidP="00703DEB">
            <w:pPr>
              <w:spacing w:line="240" w:lineRule="auto"/>
              <w:rPr>
                <w:b/>
                <w:bCs/>
              </w:rPr>
            </w:pPr>
            <w:r w:rsidRPr="005B1C31">
              <w:rPr>
                <w:b/>
                <w:bCs/>
              </w:rPr>
              <w:t>Weaknesses</w:t>
            </w:r>
          </w:p>
          <w:p w14:paraId="2839F94D" w14:textId="77777777" w:rsidR="00A806F0" w:rsidRDefault="00A806F0" w:rsidP="00703DEB">
            <w:pPr>
              <w:spacing w:line="240" w:lineRule="auto"/>
              <w:jc w:val="right"/>
              <w:rPr>
                <w:sz w:val="22"/>
                <w:szCs w:val="22"/>
              </w:rPr>
            </w:pPr>
          </w:p>
          <w:p w14:paraId="531DC2A2" w14:textId="392161BD" w:rsidR="00A806F0" w:rsidRPr="00703DEB" w:rsidRDefault="00A806F0" w:rsidP="00703DEB">
            <w:pPr>
              <w:spacing w:line="240" w:lineRule="auto"/>
              <w:jc w:val="right"/>
              <w:rPr>
                <w:sz w:val="22"/>
                <w:szCs w:val="22"/>
              </w:rPr>
            </w:pPr>
            <w:r w:rsidRPr="00703DEB">
              <w:rPr>
                <w:sz w:val="22"/>
                <w:szCs w:val="22"/>
              </w:rPr>
              <w:t>W1: Weaken business performance in FY2020</w:t>
            </w:r>
            <w:r>
              <w:rPr>
                <w:sz w:val="22"/>
                <w:szCs w:val="22"/>
              </w:rPr>
              <w:t xml:space="preserve"> (Section 2.3)</w:t>
            </w:r>
          </w:p>
          <w:p w14:paraId="37C09B84" w14:textId="53B53623" w:rsidR="00A806F0" w:rsidRDefault="00A806F0" w:rsidP="00703DEB">
            <w:pPr>
              <w:spacing w:line="240" w:lineRule="auto"/>
              <w:jc w:val="right"/>
              <w:rPr>
                <w:sz w:val="22"/>
                <w:szCs w:val="22"/>
              </w:rPr>
            </w:pPr>
            <w:r>
              <w:rPr>
                <w:sz w:val="22"/>
                <w:szCs w:val="22"/>
              </w:rPr>
              <w:t>W</w:t>
            </w:r>
            <w:r w:rsidRPr="00703DEB">
              <w:rPr>
                <w:sz w:val="22"/>
                <w:szCs w:val="22"/>
              </w:rPr>
              <w:t xml:space="preserve">2: </w:t>
            </w:r>
            <w:r>
              <w:rPr>
                <w:sz w:val="22"/>
                <w:szCs w:val="22"/>
              </w:rPr>
              <w:t>Oligopoly competition</w:t>
            </w:r>
            <w:r>
              <w:rPr>
                <w:sz w:val="22"/>
                <w:szCs w:val="22"/>
              </w:rPr>
              <w:t xml:space="preserve"> (Section 2.3)</w:t>
            </w:r>
            <w:r w:rsidRPr="00703DEB">
              <w:rPr>
                <w:sz w:val="22"/>
                <w:szCs w:val="22"/>
              </w:rPr>
              <w:t xml:space="preserve"> </w:t>
            </w:r>
            <w:r>
              <w:t xml:space="preserve"> </w:t>
            </w:r>
          </w:p>
          <w:p w14:paraId="731AE88C" w14:textId="7BB8D8DC" w:rsidR="00A806F0" w:rsidRDefault="00A806F0" w:rsidP="00703DEB">
            <w:pPr>
              <w:spacing w:line="240" w:lineRule="auto"/>
              <w:jc w:val="right"/>
            </w:pPr>
          </w:p>
        </w:tc>
      </w:tr>
      <w:tr w:rsidR="00A806F0" w14:paraId="51E32B16" w14:textId="77777777" w:rsidTr="00703DEB">
        <w:tc>
          <w:tcPr>
            <w:tcW w:w="4530" w:type="dxa"/>
          </w:tcPr>
          <w:p w14:paraId="55F4FB49" w14:textId="77777777" w:rsidR="00A806F0" w:rsidRDefault="00A806F0" w:rsidP="00703DEB">
            <w:pPr>
              <w:spacing w:line="240" w:lineRule="auto"/>
              <w:rPr>
                <w:b/>
                <w:bCs/>
              </w:rPr>
            </w:pPr>
            <w:r w:rsidRPr="005B1C31">
              <w:rPr>
                <w:b/>
                <w:bCs/>
              </w:rPr>
              <w:t>Opportunities</w:t>
            </w:r>
          </w:p>
          <w:p w14:paraId="32591143" w14:textId="43FBD6A5" w:rsidR="00A806F0" w:rsidRDefault="00A806F0" w:rsidP="00703DEB">
            <w:pPr>
              <w:spacing w:line="240" w:lineRule="auto"/>
              <w:rPr>
                <w:b/>
                <w:bCs/>
              </w:rPr>
            </w:pPr>
            <w:r>
              <w:rPr>
                <w:b/>
                <w:bCs/>
              </w:rPr>
              <w:t xml:space="preserve"> </w:t>
            </w:r>
          </w:p>
          <w:p w14:paraId="1DF806D7" w14:textId="4492CBC3" w:rsidR="00A806F0" w:rsidRPr="00703DEB" w:rsidRDefault="00A806F0" w:rsidP="00703DEB">
            <w:pPr>
              <w:spacing w:line="240" w:lineRule="auto"/>
              <w:jc w:val="right"/>
              <w:rPr>
                <w:sz w:val="22"/>
                <w:szCs w:val="22"/>
              </w:rPr>
            </w:pPr>
            <w:r w:rsidRPr="00703DEB">
              <w:rPr>
                <w:sz w:val="22"/>
                <w:szCs w:val="22"/>
              </w:rPr>
              <w:t>O1: Counsmers</w:t>
            </w:r>
            <w:r>
              <w:rPr>
                <w:sz w:val="22"/>
                <w:szCs w:val="22"/>
              </w:rPr>
              <w:t>'</w:t>
            </w:r>
            <w:r w:rsidRPr="00703DEB">
              <w:rPr>
                <w:sz w:val="22"/>
                <w:szCs w:val="22"/>
              </w:rPr>
              <w:t xml:space="preserve"> revenge buying behavior</w:t>
            </w:r>
            <w:r>
              <w:rPr>
                <w:sz w:val="22"/>
                <w:szCs w:val="22"/>
              </w:rPr>
              <w:t xml:space="preserve"> (Section 1)</w:t>
            </w:r>
          </w:p>
          <w:p w14:paraId="47A5EB14" w14:textId="776F640F" w:rsidR="00A806F0" w:rsidRPr="00703DEB" w:rsidRDefault="00A806F0" w:rsidP="00703DEB">
            <w:pPr>
              <w:spacing w:line="240" w:lineRule="auto"/>
              <w:jc w:val="right"/>
              <w:rPr>
                <w:sz w:val="22"/>
                <w:szCs w:val="22"/>
              </w:rPr>
            </w:pPr>
            <w:r w:rsidRPr="00703DEB">
              <w:rPr>
                <w:sz w:val="22"/>
                <w:szCs w:val="22"/>
              </w:rPr>
              <w:t>O</w:t>
            </w:r>
            <w:r>
              <w:rPr>
                <w:sz w:val="22"/>
                <w:szCs w:val="22"/>
              </w:rPr>
              <w:t>2</w:t>
            </w:r>
            <w:r w:rsidRPr="00703DEB">
              <w:rPr>
                <w:sz w:val="22"/>
                <w:szCs w:val="22"/>
              </w:rPr>
              <w:t>: Low</w:t>
            </w:r>
            <w:r>
              <w:rPr>
                <w:sz w:val="22"/>
                <w:szCs w:val="22"/>
              </w:rPr>
              <w:t>er</w:t>
            </w:r>
            <w:r w:rsidRPr="00703DEB">
              <w:rPr>
                <w:sz w:val="22"/>
                <w:szCs w:val="22"/>
              </w:rPr>
              <w:t xml:space="preserve"> rental </w:t>
            </w:r>
            <w:r>
              <w:rPr>
                <w:sz w:val="22"/>
                <w:szCs w:val="22"/>
              </w:rPr>
              <w:t>costs</w:t>
            </w:r>
            <w:r>
              <w:rPr>
                <w:sz w:val="22"/>
                <w:szCs w:val="22"/>
              </w:rPr>
              <w:t xml:space="preserve"> (Section 3.1)</w:t>
            </w:r>
          </w:p>
          <w:p w14:paraId="6B2180CF" w14:textId="77777777" w:rsidR="00A806F0" w:rsidRDefault="00A806F0" w:rsidP="00703DEB">
            <w:pPr>
              <w:spacing w:line="240" w:lineRule="auto"/>
              <w:jc w:val="right"/>
              <w:rPr>
                <w:sz w:val="22"/>
                <w:szCs w:val="22"/>
              </w:rPr>
            </w:pPr>
            <w:r w:rsidRPr="00703DEB">
              <w:rPr>
                <w:sz w:val="22"/>
                <w:szCs w:val="22"/>
              </w:rPr>
              <w:t>O</w:t>
            </w:r>
            <w:r>
              <w:rPr>
                <w:sz w:val="22"/>
                <w:szCs w:val="22"/>
              </w:rPr>
              <w:t>3</w:t>
            </w:r>
            <w:r w:rsidRPr="00703DEB">
              <w:rPr>
                <w:sz w:val="22"/>
                <w:szCs w:val="22"/>
              </w:rPr>
              <w:t>: Positive world economic outlook</w:t>
            </w:r>
            <w:r>
              <w:rPr>
                <w:sz w:val="22"/>
                <w:szCs w:val="22"/>
              </w:rPr>
              <w:t xml:space="preserve"> </w:t>
            </w:r>
          </w:p>
          <w:p w14:paraId="43384584" w14:textId="4C9E2C97" w:rsidR="00A806F0" w:rsidRPr="00703DEB" w:rsidRDefault="00A806F0" w:rsidP="00A806F0">
            <w:pPr>
              <w:spacing w:line="240" w:lineRule="auto"/>
              <w:jc w:val="right"/>
              <w:rPr>
                <w:sz w:val="22"/>
                <w:szCs w:val="22"/>
              </w:rPr>
            </w:pPr>
            <w:r>
              <w:rPr>
                <w:sz w:val="22"/>
                <w:szCs w:val="22"/>
              </w:rPr>
              <w:t>(Section 3.3)</w:t>
            </w:r>
          </w:p>
          <w:p w14:paraId="60CFBE54" w14:textId="0651AFFB" w:rsidR="00A806F0" w:rsidRPr="00703DEB" w:rsidRDefault="00A806F0" w:rsidP="00703DEB">
            <w:pPr>
              <w:spacing w:line="240" w:lineRule="auto"/>
              <w:jc w:val="right"/>
              <w:rPr>
                <w:sz w:val="22"/>
                <w:szCs w:val="22"/>
              </w:rPr>
            </w:pPr>
            <w:r w:rsidRPr="00703DEB">
              <w:rPr>
                <w:sz w:val="22"/>
                <w:szCs w:val="22"/>
              </w:rPr>
              <w:t>O</w:t>
            </w:r>
            <w:r>
              <w:rPr>
                <w:sz w:val="22"/>
                <w:szCs w:val="22"/>
              </w:rPr>
              <w:t>4</w:t>
            </w:r>
            <w:r w:rsidRPr="00703DEB">
              <w:rPr>
                <w:sz w:val="22"/>
                <w:szCs w:val="22"/>
              </w:rPr>
              <w:t xml:space="preserve">: </w:t>
            </w:r>
            <w:r>
              <w:rPr>
                <w:sz w:val="22"/>
                <w:szCs w:val="22"/>
              </w:rPr>
              <w:t xml:space="preserve">Favourable </w:t>
            </w:r>
            <w:r w:rsidRPr="00703DEB">
              <w:rPr>
                <w:sz w:val="22"/>
                <w:szCs w:val="22"/>
              </w:rPr>
              <w:t>interest</w:t>
            </w:r>
            <w:r>
              <w:rPr>
                <w:sz w:val="22"/>
                <w:szCs w:val="22"/>
              </w:rPr>
              <w:t xml:space="preserve"> rate</w:t>
            </w:r>
            <w:r>
              <w:rPr>
                <w:sz w:val="22"/>
                <w:szCs w:val="22"/>
              </w:rPr>
              <w:t xml:space="preserve"> (Section 3.3)</w:t>
            </w:r>
          </w:p>
          <w:p w14:paraId="1CC59381" w14:textId="77777777" w:rsidR="00A806F0" w:rsidRDefault="00A806F0" w:rsidP="00703DEB">
            <w:pPr>
              <w:spacing w:line="240" w:lineRule="auto"/>
              <w:jc w:val="right"/>
            </w:pPr>
          </w:p>
        </w:tc>
        <w:tc>
          <w:tcPr>
            <w:tcW w:w="4530" w:type="dxa"/>
          </w:tcPr>
          <w:p w14:paraId="62B8806C" w14:textId="77777777" w:rsidR="00A806F0" w:rsidRDefault="00A806F0" w:rsidP="00703DEB">
            <w:pPr>
              <w:spacing w:line="240" w:lineRule="auto"/>
              <w:rPr>
                <w:b/>
                <w:bCs/>
              </w:rPr>
            </w:pPr>
            <w:r w:rsidRPr="005B1C31">
              <w:rPr>
                <w:b/>
                <w:bCs/>
              </w:rPr>
              <w:t>Threats</w:t>
            </w:r>
          </w:p>
          <w:p w14:paraId="5B2390CA" w14:textId="77777777" w:rsidR="00A806F0" w:rsidRDefault="00A806F0" w:rsidP="00703DEB">
            <w:pPr>
              <w:spacing w:line="240" w:lineRule="auto"/>
              <w:rPr>
                <w:b/>
                <w:bCs/>
              </w:rPr>
            </w:pPr>
          </w:p>
          <w:p w14:paraId="135305DC" w14:textId="7E3BAEC4" w:rsidR="00A806F0" w:rsidRPr="00A806F0" w:rsidRDefault="00A806F0" w:rsidP="00703DEB">
            <w:pPr>
              <w:spacing w:line="240" w:lineRule="auto"/>
              <w:jc w:val="right"/>
              <w:rPr>
                <w:sz w:val="22"/>
                <w:szCs w:val="22"/>
              </w:rPr>
            </w:pPr>
            <w:r w:rsidRPr="00A806F0">
              <w:rPr>
                <w:sz w:val="22"/>
                <w:szCs w:val="22"/>
              </w:rPr>
              <w:t>T</w:t>
            </w:r>
            <w:r>
              <w:rPr>
                <w:sz w:val="22"/>
                <w:szCs w:val="22"/>
              </w:rPr>
              <w:t>1</w:t>
            </w:r>
            <w:r w:rsidRPr="00A806F0">
              <w:rPr>
                <w:sz w:val="22"/>
                <w:szCs w:val="22"/>
              </w:rPr>
              <w:t>: Prolonged period without Mainland visitors</w:t>
            </w:r>
            <w:r>
              <w:rPr>
                <w:sz w:val="22"/>
                <w:szCs w:val="22"/>
              </w:rPr>
              <w:t xml:space="preserve"> (Section 3.2)</w:t>
            </w:r>
          </w:p>
          <w:p w14:paraId="73148337" w14:textId="050DEE1A" w:rsidR="00A806F0" w:rsidRPr="00A806F0" w:rsidRDefault="00A806F0" w:rsidP="00703DEB">
            <w:pPr>
              <w:spacing w:line="240" w:lineRule="auto"/>
              <w:jc w:val="right"/>
              <w:rPr>
                <w:sz w:val="22"/>
                <w:szCs w:val="22"/>
              </w:rPr>
            </w:pPr>
            <w:r w:rsidRPr="00A806F0">
              <w:rPr>
                <w:sz w:val="22"/>
                <w:szCs w:val="22"/>
              </w:rPr>
              <w:t>T</w:t>
            </w:r>
            <w:r>
              <w:rPr>
                <w:sz w:val="22"/>
                <w:szCs w:val="22"/>
              </w:rPr>
              <w:t>2</w:t>
            </w:r>
            <w:r w:rsidRPr="00A806F0">
              <w:rPr>
                <w:sz w:val="22"/>
                <w:szCs w:val="22"/>
              </w:rPr>
              <w:t>: Increasing gold price</w:t>
            </w:r>
            <w:r w:rsidRPr="00A806F0">
              <w:rPr>
                <w:sz w:val="22"/>
                <w:szCs w:val="22"/>
              </w:rPr>
              <w:t xml:space="preserve"> </w:t>
            </w:r>
            <w:r w:rsidRPr="00A806F0">
              <w:rPr>
                <w:sz w:val="22"/>
                <w:szCs w:val="22"/>
              </w:rPr>
              <w:t>affect demand-side</w:t>
            </w:r>
            <w:r>
              <w:rPr>
                <w:sz w:val="22"/>
                <w:szCs w:val="22"/>
              </w:rPr>
              <w:t xml:space="preserve"> (Section 2.2)</w:t>
            </w:r>
          </w:p>
          <w:p w14:paraId="145CE643" w14:textId="191A9529" w:rsidR="00A806F0" w:rsidRDefault="00A806F0" w:rsidP="00A806F0">
            <w:pPr>
              <w:spacing w:line="240" w:lineRule="auto"/>
              <w:jc w:val="right"/>
              <w:rPr>
                <w:sz w:val="22"/>
                <w:szCs w:val="22"/>
              </w:rPr>
            </w:pPr>
            <w:r w:rsidRPr="00A806F0">
              <w:rPr>
                <w:sz w:val="22"/>
                <w:szCs w:val="22"/>
              </w:rPr>
              <w:t>T</w:t>
            </w:r>
            <w:r>
              <w:rPr>
                <w:sz w:val="22"/>
                <w:szCs w:val="22"/>
              </w:rPr>
              <w:t>3</w:t>
            </w:r>
            <w:r w:rsidRPr="00A806F0">
              <w:rPr>
                <w:sz w:val="22"/>
                <w:szCs w:val="22"/>
              </w:rPr>
              <w:t xml:space="preserve">: Uncertainties from </w:t>
            </w:r>
            <w:r w:rsidRPr="00A806F0">
              <w:rPr>
                <w:sz w:val="22"/>
                <w:szCs w:val="22"/>
              </w:rPr>
              <w:t>Sino-US trade war</w:t>
            </w:r>
          </w:p>
          <w:p w14:paraId="55B57C66" w14:textId="4141DC63" w:rsidR="00A806F0" w:rsidRPr="00A806F0" w:rsidRDefault="00A806F0" w:rsidP="00A806F0">
            <w:pPr>
              <w:spacing w:line="240" w:lineRule="auto"/>
              <w:jc w:val="right"/>
              <w:rPr>
                <w:sz w:val="22"/>
                <w:szCs w:val="22"/>
              </w:rPr>
            </w:pPr>
            <w:r>
              <w:rPr>
                <w:sz w:val="22"/>
                <w:szCs w:val="22"/>
              </w:rPr>
              <w:t>T4: Local political unrest</w:t>
            </w:r>
            <w:r w:rsidRPr="00A806F0">
              <w:rPr>
                <w:sz w:val="22"/>
                <w:szCs w:val="22"/>
              </w:rPr>
              <w:t xml:space="preserve"> </w:t>
            </w:r>
          </w:p>
          <w:p w14:paraId="74FABAF4" w14:textId="77777777" w:rsidR="00A806F0" w:rsidRDefault="00A806F0" w:rsidP="00703DEB">
            <w:pPr>
              <w:spacing w:line="240" w:lineRule="auto"/>
              <w:jc w:val="right"/>
            </w:pPr>
          </w:p>
        </w:tc>
      </w:tr>
    </w:tbl>
    <w:p w14:paraId="28E8827E" w14:textId="5A81CBE2" w:rsidR="00A806F0" w:rsidRDefault="00A806F0" w:rsidP="00A806F0">
      <w:pPr>
        <w:rPr>
          <w:sz w:val="20"/>
          <w:szCs w:val="20"/>
        </w:rPr>
      </w:pPr>
      <w:r w:rsidRPr="00A806F0">
        <w:rPr>
          <w:sz w:val="20"/>
          <w:szCs w:val="20"/>
        </w:rPr>
        <w:t>Source: Co</w:t>
      </w:r>
      <w:r>
        <w:rPr>
          <w:sz w:val="20"/>
          <w:szCs w:val="20"/>
        </w:rPr>
        <w:t>n</w:t>
      </w:r>
      <w:r w:rsidRPr="00A806F0">
        <w:rPr>
          <w:sz w:val="20"/>
          <w:szCs w:val="20"/>
        </w:rPr>
        <w:t>structed by the auth</w:t>
      </w:r>
      <w:r>
        <w:rPr>
          <w:sz w:val="20"/>
          <w:szCs w:val="20"/>
        </w:rPr>
        <w:t>o</w:t>
      </w:r>
      <w:r w:rsidRPr="00A806F0">
        <w:rPr>
          <w:sz w:val="20"/>
          <w:szCs w:val="20"/>
        </w:rPr>
        <w:t>r</w:t>
      </w:r>
    </w:p>
    <w:p w14:paraId="40778EEB" w14:textId="77777777" w:rsidR="00A806F0" w:rsidRPr="00A806F0" w:rsidRDefault="00A806F0" w:rsidP="00A806F0">
      <w:pPr>
        <w:rPr>
          <w:sz w:val="20"/>
          <w:szCs w:val="20"/>
        </w:rPr>
      </w:pPr>
    </w:p>
    <w:p w14:paraId="36FB6CB2" w14:textId="786E7398" w:rsidR="00997449" w:rsidRDefault="00997449" w:rsidP="00997449">
      <w:pPr>
        <w:pStyle w:val="Heading2"/>
      </w:pPr>
      <w:bookmarkStart w:id="28" w:name="_Toc64840484"/>
      <w:r w:rsidRPr="005B1C31">
        <w:t xml:space="preserve">Challenges </w:t>
      </w:r>
      <w:r w:rsidR="009A020B">
        <w:t xml:space="preserve">and opportunities </w:t>
      </w:r>
      <w:r w:rsidRPr="005B1C31">
        <w:t>facing the company</w:t>
      </w:r>
      <w:bookmarkEnd w:id="28"/>
    </w:p>
    <w:p w14:paraId="5D5135AF" w14:textId="160BD735" w:rsidR="008B5A4E" w:rsidRDefault="002D00D6" w:rsidP="008B5A4E">
      <w:r>
        <w:t>In terms of</w:t>
      </w:r>
      <w:r w:rsidR="00B145EA">
        <w:t xml:space="preserve"> supply</w:t>
      </w:r>
      <w:r w:rsidR="009A020B">
        <w:t>-side</w:t>
      </w:r>
      <w:r>
        <w:t xml:space="preserve">, the COVID-19 crisis has triggered a </w:t>
      </w:r>
      <w:r w:rsidR="00B145EA">
        <w:t>disruption</w:t>
      </w:r>
      <w:r>
        <w:t xml:space="preserve">. A series of national lockdowns and the shuttering of production facilities on a </w:t>
      </w:r>
      <w:r w:rsidR="00B145EA">
        <w:t>worldwide</w:t>
      </w:r>
      <w:r>
        <w:t xml:space="preserve"> basis have compromised global supply chains to an extent few could ever have anticipated. In the initial stages, this saw Hong Kong's jewellery trade went into freefall</w:t>
      </w:r>
      <w:r w:rsidR="00A806F0">
        <w:t>;</w:t>
      </w:r>
      <w:r w:rsidR="00334C9E">
        <w:t xml:space="preserve"> the </w:t>
      </w:r>
      <w:r w:rsidR="00A806F0">
        <w:t>retail sales index</w:t>
      </w:r>
      <w:r w:rsidR="00334C9E">
        <w:t xml:space="preserve"> for jewellery dropped from 65.2 in January to 20.5 in February 2020</w:t>
      </w:r>
      <w:r w:rsidR="009A020B">
        <w:t xml:space="preserve"> (Table 1)</w:t>
      </w:r>
      <w:r w:rsidR="00334C9E">
        <w:t>. The</w:t>
      </w:r>
      <w:r>
        <w:t xml:space="preserve"> pattern has been replicated </w:t>
      </w:r>
      <w:r w:rsidR="00334C9E">
        <w:t>globally</w:t>
      </w:r>
      <w:r>
        <w:t xml:space="preserve"> as the pandemic has spread, seemingly unstoppable from nation to nation. </w:t>
      </w:r>
    </w:p>
    <w:p w14:paraId="5F4BBF0E" w14:textId="77777777" w:rsidR="00A806F0" w:rsidRPr="008B5A4E" w:rsidRDefault="00A806F0" w:rsidP="008B5A4E"/>
    <w:p w14:paraId="0F1ED349" w14:textId="77ED5BC4" w:rsidR="00A806F0" w:rsidRDefault="002D00D6" w:rsidP="00655A7C">
      <w:r>
        <w:lastRenderedPageBreak/>
        <w:t>Indeed</w:t>
      </w:r>
      <w:r w:rsidR="00A806F0">
        <w:t xml:space="preserve"> in early 2020</w:t>
      </w:r>
      <w:r>
        <w:t>, many jewellery-related supply chains, including those focussed on mining, cutting, polishing, and retailing, have been forcibly disconnected around the world. Such problems have only been compounded by the concurrent grounding of many passenger and cargo flights, undermining the established routes for transporting products and virtually eradicating the possibility of tourism-related jewellery sales.</w:t>
      </w:r>
    </w:p>
    <w:p w14:paraId="33811A69" w14:textId="7ADEEDC1" w:rsidR="002D00D6" w:rsidRDefault="002D00D6" w:rsidP="00655A7C"/>
    <w:p w14:paraId="3E319CBA" w14:textId="31E0E6AB" w:rsidR="00655A7C" w:rsidRDefault="00A806F0" w:rsidP="00655A7C">
      <w:r>
        <w:t>For the demand-side, t</w:t>
      </w:r>
      <w:r w:rsidR="00655A7C">
        <w:t>he market lockdown has forced businesses to broaden their digital presence. Social shopping and online</w:t>
      </w:r>
      <w:r w:rsidR="008B5A4E">
        <w:t>-</w:t>
      </w:r>
      <w:r w:rsidR="00655A7C">
        <w:t xml:space="preserve">offline integration have been embraced during the pandemic by more jewellery retailers than ever before. CTFJ reported its </w:t>
      </w:r>
      <w:r>
        <w:t>E-commerce</w:t>
      </w:r>
      <w:r w:rsidR="00655A7C">
        <w:t xml:space="preserve"> had achieved 21.8% growth in RSV between the pandemic period at 1HFY2021 </w:t>
      </w:r>
      <w:sdt>
        <w:sdtPr>
          <w:id w:val="-474841589"/>
          <w:citation/>
        </w:sdtPr>
        <w:sdtContent>
          <w:r w:rsidR="00655A7C">
            <w:fldChar w:fldCharType="begin"/>
          </w:r>
          <w:r w:rsidR="00DC0F1D">
            <w:instrText xml:space="preserve">CITATION Cho20 \p 3 \l 1033 </w:instrText>
          </w:r>
          <w:r w:rsidR="00655A7C">
            <w:fldChar w:fldCharType="separate"/>
          </w:r>
          <w:r w:rsidR="00DC0F1D" w:rsidRPr="00DC0F1D">
            <w:t>(Chow Tai Fook, 2021a, p. 3)</w:t>
          </w:r>
          <w:r w:rsidR="00655A7C">
            <w:fldChar w:fldCharType="end"/>
          </w:r>
        </w:sdtContent>
      </w:sdt>
      <w:r w:rsidR="00655A7C">
        <w:t xml:space="preserve">. According to the Hong Kong </w:t>
      </w:r>
      <w:r w:rsidR="00655A7C" w:rsidRPr="00655A7C">
        <w:t>Legislative Council Secretariat</w:t>
      </w:r>
      <w:r w:rsidR="00655A7C">
        <w:t xml:space="preserve">'s insight research, the online shopping consumers in Hong Kong had grown from 15.9% in 2009 to 35.8% in 2018 </w:t>
      </w:r>
      <w:sdt>
        <w:sdtPr>
          <w:id w:val="1474021938"/>
          <w:citation/>
        </w:sdtPr>
        <w:sdtContent>
          <w:r w:rsidR="00655A7C">
            <w:fldChar w:fldCharType="begin"/>
          </w:r>
          <w:r w:rsidR="00655A7C">
            <w:instrText xml:space="preserve"> CITATION Leg20 \l 1033 </w:instrText>
          </w:r>
          <w:r w:rsidR="00655A7C">
            <w:fldChar w:fldCharType="separate"/>
          </w:r>
          <w:r w:rsidR="00655A7C" w:rsidRPr="00655A7C">
            <w:t>(Legislative Council Secretariat, 2020)</w:t>
          </w:r>
          <w:r w:rsidR="00655A7C">
            <w:fldChar w:fldCharType="end"/>
          </w:r>
        </w:sdtContent>
      </w:sdt>
      <w:r w:rsidR="00655A7C">
        <w:t xml:space="preserve">. </w:t>
      </w:r>
      <w:r w:rsidR="00334C9E">
        <w:t xml:space="preserve">GlobalData reveals </w:t>
      </w:r>
      <w:r>
        <w:t>E</w:t>
      </w:r>
      <w:r w:rsidR="00334C9E">
        <w:t xml:space="preserve">-commerce payments value in Hong Kong rose 13.4% in 2020 </w:t>
      </w:r>
      <w:sdt>
        <w:sdtPr>
          <w:id w:val="-1890407291"/>
          <w:citation/>
        </w:sdtPr>
        <w:sdtContent>
          <w:r w:rsidR="00334C9E">
            <w:fldChar w:fldCharType="begin"/>
          </w:r>
          <w:r w:rsidR="00334C9E">
            <w:instrText xml:space="preserve"> CITATION Arn20 \l 1033 </w:instrText>
          </w:r>
          <w:r w:rsidR="00334C9E">
            <w:fldChar w:fldCharType="separate"/>
          </w:r>
          <w:r w:rsidR="00334C9E" w:rsidRPr="00334C9E">
            <w:t>(Arnold, 2020)</w:t>
          </w:r>
          <w:r w:rsidR="00334C9E">
            <w:fldChar w:fldCharType="end"/>
          </w:r>
        </w:sdtContent>
      </w:sdt>
      <w:r w:rsidR="00334C9E">
        <w:t xml:space="preserve">. </w:t>
      </w:r>
      <w:r w:rsidR="00655A7C">
        <w:t xml:space="preserve">Online trading and the greater use of digital technology are changing </w:t>
      </w:r>
      <w:r>
        <w:t>how</w:t>
      </w:r>
      <w:r w:rsidR="00655A7C">
        <w:t xml:space="preserve"> jewellery is bought and how customers are engaged with the firm. </w:t>
      </w:r>
    </w:p>
    <w:p w14:paraId="111A1BD0" w14:textId="77777777" w:rsidR="00655A7C" w:rsidRDefault="00655A7C" w:rsidP="00655A7C"/>
    <w:p w14:paraId="199629B6" w14:textId="06F7194F" w:rsidR="00625772" w:rsidRDefault="00A806F0" w:rsidP="00655A7C">
      <w:r>
        <w:t xml:space="preserve">In all likelihood, the industry will continue operating in the shadow of COVID-19, meaning that the recovery process will be </w:t>
      </w:r>
      <w:r>
        <w:t>gradually in stages</w:t>
      </w:r>
      <w:r>
        <w:t xml:space="preserve">. However, that does not automatically translate into lower sales. CTFJ has proven that it has seen a strong sales recovery in China, with stable average prices and steady conversion rates in stores. </w:t>
      </w:r>
      <w:r w:rsidR="00655A7C">
        <w:t>The pandemic may also bring a change to the value and purchase pattern of consumers. Rational spending and emotional connection may spur demand for diamond fashion jewellery</w:t>
      </w:r>
      <w:r w:rsidR="002D00D6">
        <w:t xml:space="preserve">. Due to </w:t>
      </w:r>
      <w:r>
        <w:t xml:space="preserve">the extended period of lockdown or stay home advice, once such social distancing measures relieved in China, the mainland Chinese customers spent even higher than before from their revenge shopping behavior. Therefore, </w:t>
      </w:r>
      <w:r w:rsidR="00655A7C">
        <w:t xml:space="preserve"> actual reduction in sales as a result of the pandemic will probably be </w:t>
      </w:r>
      <w:r w:rsidR="00655A7C">
        <w:lastRenderedPageBreak/>
        <w:t xml:space="preserve">limited. If the economy </w:t>
      </w:r>
      <w:r>
        <w:t>can</w:t>
      </w:r>
      <w:r w:rsidR="00655A7C">
        <w:t xml:space="preserve"> maintain a medium to high average growth rate over the coming years, the </w:t>
      </w:r>
      <w:r w:rsidR="00655A7C" w:rsidRPr="005B1C31">
        <w:t>jewellery</w:t>
      </w:r>
      <w:r w:rsidR="00655A7C">
        <w:t xml:space="preserve"> market will likely expand for another decade. </w:t>
      </w:r>
    </w:p>
    <w:p w14:paraId="156B8F6A" w14:textId="77777777" w:rsidR="00A806F0" w:rsidRDefault="00A806F0" w:rsidP="00655A7C"/>
    <w:p w14:paraId="7B26648D" w14:textId="526CF01E" w:rsidR="00562A14" w:rsidRDefault="00562A14" w:rsidP="00562A14">
      <w:r w:rsidRPr="005B1C31">
        <w:t xml:space="preserve">CTFJ had net store additions of 286 in </w:t>
      </w:r>
      <w:r w:rsidR="0090265E" w:rsidRPr="005B1C31">
        <w:t>Mainland</w:t>
      </w:r>
      <w:r w:rsidRPr="005B1C31">
        <w:t xml:space="preserve"> China in 3QFY21</w:t>
      </w:r>
      <w:r w:rsidR="009835DD">
        <w:t xml:space="preserve"> </w:t>
      </w:r>
      <w:sdt>
        <w:sdtPr>
          <w:id w:val="-298386168"/>
          <w:citation/>
        </w:sdtPr>
        <w:sdtContent>
          <w:r w:rsidR="009835DD">
            <w:fldChar w:fldCharType="begin"/>
          </w:r>
          <w:r w:rsidR="00DC0F1D">
            <w:instrText xml:space="preserve">CITATION Cho202 \p 4 \l 1033 </w:instrText>
          </w:r>
          <w:r w:rsidR="009835DD">
            <w:fldChar w:fldCharType="separate"/>
          </w:r>
          <w:r w:rsidR="00DC0F1D" w:rsidRPr="00DC0F1D">
            <w:t>(Chow Tai Fook, 2021b, p. 4)</w:t>
          </w:r>
          <w:r w:rsidR="009835DD">
            <w:fldChar w:fldCharType="end"/>
          </w:r>
        </w:sdtContent>
      </w:sdt>
      <w:r w:rsidRPr="005B1C31">
        <w:t xml:space="preserve">, compared to </w:t>
      </w:r>
      <w:r w:rsidR="009835DD">
        <w:t>310</w:t>
      </w:r>
      <w:r w:rsidRPr="005B1C31">
        <w:t xml:space="preserve"> in 2QFY21</w:t>
      </w:r>
      <w:r w:rsidR="009835DD">
        <w:t xml:space="preserve"> </w:t>
      </w:r>
      <w:sdt>
        <w:sdtPr>
          <w:id w:val="1276440590"/>
          <w:citation/>
        </w:sdtPr>
        <w:sdtContent>
          <w:r w:rsidR="009835DD">
            <w:fldChar w:fldCharType="begin"/>
          </w:r>
          <w:r w:rsidR="00DC0F1D">
            <w:instrText xml:space="preserve">CITATION Cho20 \p 3 \l 1033 </w:instrText>
          </w:r>
          <w:r w:rsidR="009835DD">
            <w:fldChar w:fldCharType="separate"/>
          </w:r>
          <w:r w:rsidR="00DC0F1D" w:rsidRPr="00DC0F1D">
            <w:t>(Chow Tai Fook, 2021a, p. 3)</w:t>
          </w:r>
          <w:r w:rsidR="009835DD">
            <w:fldChar w:fldCharType="end"/>
          </w:r>
        </w:sdtContent>
      </w:sdt>
      <w:r w:rsidR="009A020B">
        <w:t xml:space="preserve">. </w:t>
      </w:r>
      <w:r w:rsidR="009835DD">
        <w:t xml:space="preserve">However, while the firm is focusing on expanding the POS network in the China market, they closed 5 POS in Hong Kong during 2QFY2021 </w:t>
      </w:r>
      <w:sdt>
        <w:sdtPr>
          <w:id w:val="-61254234"/>
          <w:citation/>
        </w:sdtPr>
        <w:sdtContent>
          <w:r w:rsidR="009835DD">
            <w:fldChar w:fldCharType="begin"/>
          </w:r>
          <w:r w:rsidR="00DC0F1D">
            <w:instrText xml:space="preserve">CITATION Cho20 \p 3 \l 1033 </w:instrText>
          </w:r>
          <w:r w:rsidR="009835DD">
            <w:fldChar w:fldCharType="separate"/>
          </w:r>
          <w:r w:rsidR="00DC0F1D" w:rsidRPr="00DC0F1D">
            <w:t>(Chow Tai Fook, 2021a, p. 3)</w:t>
          </w:r>
          <w:r w:rsidR="009835DD">
            <w:fldChar w:fldCharType="end"/>
          </w:r>
        </w:sdtContent>
      </w:sdt>
      <w:r w:rsidR="009835DD">
        <w:t xml:space="preserve">, </w:t>
      </w:r>
      <w:r w:rsidR="00A806F0">
        <w:t xml:space="preserve">because of </w:t>
      </w:r>
      <w:r w:rsidR="00A806F0" w:rsidRPr="005B1C31">
        <w:t xml:space="preserve">lesser tourists </w:t>
      </w:r>
      <w:r w:rsidR="00A806F0">
        <w:t>visited</w:t>
      </w:r>
      <w:r w:rsidR="00A806F0" w:rsidRPr="005B1C31">
        <w:t xml:space="preserve"> Hong Kong</w:t>
      </w:r>
      <w:r w:rsidR="00A806F0">
        <w:t>. T</w:t>
      </w:r>
      <w:r w:rsidR="00A806F0" w:rsidRPr="005B1C31">
        <w:t xml:space="preserve">ourists used to be one of the most prominent customer segmentation to </w:t>
      </w:r>
      <w:r w:rsidR="00A806F0">
        <w:t>the Hong Kong's retail sector</w:t>
      </w:r>
      <w:r w:rsidR="00A806F0" w:rsidRPr="005B1C31">
        <w:t>. The prolonged problem from lesser tourists was started by the anti-government activities in 2019, followed by the COVID-19 epidemic in 2020. A low</w:t>
      </w:r>
      <w:r w:rsidR="00A806F0">
        <w:t>er</w:t>
      </w:r>
      <w:r w:rsidR="00A806F0" w:rsidRPr="005B1C31">
        <w:t xml:space="preserve"> rate of new C</w:t>
      </w:r>
      <w:r w:rsidR="00A806F0">
        <w:t>OVID</w:t>
      </w:r>
      <w:r w:rsidR="00A806F0" w:rsidRPr="005B1C31">
        <w:t>-19 infections through 1H</w:t>
      </w:r>
      <w:r w:rsidR="00A806F0">
        <w:t>Y2021</w:t>
      </w:r>
      <w:r w:rsidR="00A806F0" w:rsidRPr="005B1C31">
        <w:t xml:space="preserve"> could hasten the easing of border restrictions</w:t>
      </w:r>
      <w:r w:rsidR="00A806F0">
        <w:t xml:space="preserve">. </w:t>
      </w:r>
    </w:p>
    <w:p w14:paraId="0AF09163" w14:textId="7E84CF7C" w:rsidR="00562A14" w:rsidRDefault="00562A14" w:rsidP="00562A14"/>
    <w:p w14:paraId="3B88578B" w14:textId="38448870" w:rsidR="00A806F0" w:rsidRDefault="00D4431F" w:rsidP="00D4431F">
      <w:r>
        <w:t xml:space="preserve">Assuming </w:t>
      </w:r>
      <w:r w:rsidRPr="005B1C31">
        <w:t xml:space="preserve">new </w:t>
      </w:r>
      <w:r>
        <w:t>COVID</w:t>
      </w:r>
      <w:r w:rsidRPr="005B1C31">
        <w:t xml:space="preserve">-19 infections in </w:t>
      </w:r>
      <w:r>
        <w:t>Mainland China and Hong Kong</w:t>
      </w:r>
      <w:r w:rsidRPr="005B1C31">
        <w:t xml:space="preserve"> stay low over April-June </w:t>
      </w:r>
      <w:r>
        <w:t xml:space="preserve">2021, </w:t>
      </w:r>
      <w:r w:rsidRPr="005B1C31">
        <w:t>and vaccine is widely</w:t>
      </w:r>
      <w:r>
        <w:t xml:space="preserve"> </w:t>
      </w:r>
      <w:r w:rsidRPr="005B1C31">
        <w:t>adopted after being made available across Asia in 2H</w:t>
      </w:r>
      <w:r>
        <w:t>2021</w:t>
      </w:r>
      <w:r w:rsidRPr="005B1C31">
        <w:t>. An increase in the number of Mainland</w:t>
      </w:r>
      <w:r>
        <w:t xml:space="preserve"> </w:t>
      </w:r>
      <w:r w:rsidRPr="005B1C31">
        <w:t xml:space="preserve">Chinese who get vaccinated and stay immune to </w:t>
      </w:r>
      <w:r>
        <w:t>COVID</w:t>
      </w:r>
      <w:r w:rsidRPr="005B1C31">
        <w:t>-19 in 2H</w:t>
      </w:r>
      <w:r>
        <w:t>2021</w:t>
      </w:r>
      <w:r w:rsidRPr="005B1C31">
        <w:t xml:space="preserve"> may spur more of them to visit</w:t>
      </w:r>
      <w:r>
        <w:t xml:space="preserve"> Hong Kong</w:t>
      </w:r>
      <w:r w:rsidRPr="005B1C31">
        <w:t>.</w:t>
      </w:r>
      <w:r>
        <w:t xml:space="preserve"> </w:t>
      </w:r>
    </w:p>
    <w:p w14:paraId="41F901E0" w14:textId="77777777" w:rsidR="00A806F0" w:rsidRDefault="00A806F0" w:rsidP="00D4431F"/>
    <w:p w14:paraId="786860C5" w14:textId="7412833C" w:rsidR="00D4431F" w:rsidRPr="00625772" w:rsidRDefault="00D4431F" w:rsidP="00D4431F">
      <w:r>
        <w:t xml:space="preserve">While Hong Kong enjoys many distinct competitive advantages over the years given the location's well established free port status with zero duty on diamonds, close proximity to major ports in the world, simple and transparent legal and business regulations, and the status of a global financial center as well as highly preferred major business center catered fo broad international business interactions, albeit it is one of the most expensive places in the world. For these reasons, </w:t>
      </w:r>
      <w:r w:rsidR="00A806F0">
        <w:t xml:space="preserve">CTFJ's revenue will resume positive after the COVID-19 pandemic is over. </w:t>
      </w:r>
    </w:p>
    <w:p w14:paraId="4818BF1C" w14:textId="55258849" w:rsidR="00D4431F" w:rsidRDefault="00D4431F" w:rsidP="00562A14"/>
    <w:p w14:paraId="1BEA301D" w14:textId="77777777" w:rsidR="00A806F0" w:rsidRDefault="00A806F0" w:rsidP="00562A14"/>
    <w:p w14:paraId="3A3CC24C" w14:textId="74F16AA3" w:rsidR="00997449" w:rsidRPr="005B1C31" w:rsidRDefault="008B5A4E" w:rsidP="00997449">
      <w:pPr>
        <w:pStyle w:val="Heading2"/>
      </w:pPr>
      <w:bookmarkStart w:id="29" w:name="_Toc64840485"/>
      <w:r>
        <w:lastRenderedPageBreak/>
        <w:t>B</w:t>
      </w:r>
      <w:r w:rsidR="00997449" w:rsidRPr="005B1C31">
        <w:t xml:space="preserve">usiness continuity </w:t>
      </w:r>
      <w:r>
        <w:t>plan</w:t>
      </w:r>
      <w:bookmarkEnd w:id="29"/>
      <w:r>
        <w:t xml:space="preserve"> </w:t>
      </w:r>
    </w:p>
    <w:p w14:paraId="56310B09" w14:textId="5DEA6C01" w:rsidR="00A806F0" w:rsidRDefault="00A806F0" w:rsidP="00562A14">
      <w:r w:rsidRPr="00A806F0">
        <w:t xml:space="preserve">The COVID-19 crisis has forced businesses to tackle </w:t>
      </w:r>
      <w:r>
        <w:t>many</w:t>
      </w:r>
      <w:r w:rsidRPr="00A806F0">
        <w:t xml:space="preserve"> challenges over the past few months, but one of the most important involves the business continuity plan. Many companies learned too late that their plans were inadequate, lacking interoperability with other critical plans for crisis management, disaster recovery, and pandemic readiness.</w:t>
      </w:r>
    </w:p>
    <w:p w14:paraId="7380B60E" w14:textId="77777777" w:rsidR="00A806F0" w:rsidRDefault="00A806F0" w:rsidP="00A806F0">
      <w:pPr>
        <w:pStyle w:val="Caption"/>
        <w:keepNext/>
        <w:jc w:val="both"/>
        <w:rPr>
          <w:sz w:val="24"/>
          <w:szCs w:val="24"/>
        </w:rPr>
      </w:pPr>
    </w:p>
    <w:p w14:paraId="60068F32" w14:textId="6C6B82AA" w:rsidR="00A806F0" w:rsidRPr="00A806F0" w:rsidRDefault="00A806F0" w:rsidP="00A806F0">
      <w:pPr>
        <w:pStyle w:val="Caption"/>
        <w:keepNext/>
        <w:jc w:val="both"/>
        <w:rPr>
          <w:sz w:val="24"/>
          <w:szCs w:val="24"/>
        </w:rPr>
      </w:pPr>
      <w:r w:rsidRPr="00A806F0">
        <w:rPr>
          <w:sz w:val="24"/>
          <w:szCs w:val="24"/>
        </w:rPr>
        <w:t xml:space="preserve">Figure </w:t>
      </w:r>
      <w:r w:rsidRPr="00A806F0">
        <w:rPr>
          <w:sz w:val="24"/>
          <w:szCs w:val="24"/>
        </w:rPr>
        <w:fldChar w:fldCharType="begin"/>
      </w:r>
      <w:r w:rsidRPr="00A806F0">
        <w:rPr>
          <w:sz w:val="24"/>
          <w:szCs w:val="24"/>
        </w:rPr>
        <w:instrText xml:space="preserve"> SEQ Figure \* ARABIC </w:instrText>
      </w:r>
      <w:r w:rsidRPr="00A806F0">
        <w:rPr>
          <w:sz w:val="24"/>
          <w:szCs w:val="24"/>
        </w:rPr>
        <w:fldChar w:fldCharType="separate"/>
      </w:r>
      <w:r w:rsidRPr="00A806F0">
        <w:rPr>
          <w:sz w:val="24"/>
          <w:szCs w:val="24"/>
        </w:rPr>
        <w:t>10</w:t>
      </w:r>
      <w:r w:rsidRPr="00A806F0">
        <w:rPr>
          <w:sz w:val="24"/>
          <w:szCs w:val="24"/>
        </w:rPr>
        <w:fldChar w:fldCharType="end"/>
      </w:r>
      <w:r>
        <w:rPr>
          <w:sz w:val="24"/>
          <w:szCs w:val="24"/>
        </w:rPr>
        <w:t>: Business continuity plan</w:t>
      </w:r>
    </w:p>
    <w:p w14:paraId="29F2734D" w14:textId="3E78CCBE" w:rsidR="00A806F0" w:rsidRDefault="00A806F0" w:rsidP="00A806F0">
      <w:pPr>
        <w:spacing w:line="240" w:lineRule="auto"/>
      </w:pPr>
      <w:r>
        <w:drawing>
          <wp:inline distT="0" distB="0" distL="0" distR="0" wp14:anchorId="3B535F34" wp14:editId="799DAC0E">
            <wp:extent cx="5705475" cy="4220818"/>
            <wp:effectExtent l="0" t="0" r="47625" b="469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31E45C8" w14:textId="34EF6188" w:rsidR="00A806F0" w:rsidRDefault="00A806F0" w:rsidP="00A806F0">
      <w:pPr>
        <w:spacing w:line="240" w:lineRule="auto"/>
      </w:pPr>
      <w:r>
        <w:t xml:space="preserve">Source: </w:t>
      </w:r>
      <w:sdt>
        <w:sdtPr>
          <w:id w:val="-1179886323"/>
          <w:citation/>
        </w:sdtPr>
        <w:sdtContent>
          <w:r>
            <w:fldChar w:fldCharType="begin"/>
          </w:r>
          <w:r>
            <w:instrText xml:space="preserve"> CITATION Ken20 \l 1033 </w:instrText>
          </w:r>
          <w:r>
            <w:fldChar w:fldCharType="separate"/>
          </w:r>
          <w:r w:rsidRPr="00A806F0">
            <w:t>(Kenton, 2020)</w:t>
          </w:r>
          <w:r>
            <w:fldChar w:fldCharType="end"/>
          </w:r>
        </w:sdtContent>
      </w:sdt>
    </w:p>
    <w:p w14:paraId="5E7D8176" w14:textId="77777777" w:rsidR="00A806F0" w:rsidRDefault="00A806F0" w:rsidP="00A806F0">
      <w:pPr>
        <w:spacing w:line="240" w:lineRule="auto"/>
      </w:pPr>
    </w:p>
    <w:p w14:paraId="675E6E08" w14:textId="77777777" w:rsidR="00A806F0" w:rsidRDefault="00A806F0" w:rsidP="00A806F0"/>
    <w:p w14:paraId="1715CEEC" w14:textId="3A420347" w:rsidR="00A806F0" w:rsidRDefault="00A806F0" w:rsidP="00A806F0">
      <w:r>
        <w:t>As COVID-19 has shown us, it</w:t>
      </w:r>
      <w:r>
        <w:t xml:space="preserve"> is essential</w:t>
      </w:r>
      <w:r>
        <w:t xml:space="preserve"> </w:t>
      </w:r>
      <w:r>
        <w:t>to have a</w:t>
      </w:r>
      <w:r>
        <w:t xml:space="preserve"> successful resilience plan</w:t>
      </w:r>
      <w:r>
        <w:t xml:space="preserve"> to prepare the firm for future disruption.</w:t>
      </w:r>
    </w:p>
    <w:p w14:paraId="3AAFE69D" w14:textId="77777777" w:rsidR="00A806F0" w:rsidRDefault="00A806F0" w:rsidP="00A806F0"/>
    <w:p w14:paraId="26C9039B" w14:textId="74845021" w:rsidR="00A806F0" w:rsidRDefault="00A806F0" w:rsidP="00A806F0">
      <w:r>
        <w:lastRenderedPageBreak/>
        <w:t>By effectively structuring your plan, setting goals and objectives, determining roles and responses, communicating constantly, and continually adapting and evolving your plan over time, you can build a business continuity plan that</w:t>
      </w:r>
      <w:r>
        <w:t>'</w:t>
      </w:r>
      <w:r>
        <w:t>s ready for any future disruption.</w:t>
      </w:r>
    </w:p>
    <w:p w14:paraId="66EE87FB" w14:textId="77777777" w:rsidR="00A806F0" w:rsidRDefault="00A806F0" w:rsidP="00562A14"/>
    <w:p w14:paraId="58BCD991" w14:textId="089C156C" w:rsidR="00562A14" w:rsidRPr="005B1C31" w:rsidRDefault="008B5A4E" w:rsidP="00562A14">
      <w:r>
        <w:t>CTFJ</w:t>
      </w:r>
      <w:r w:rsidR="00562A14" w:rsidRPr="005B1C31">
        <w:t xml:space="preserve"> may </w:t>
      </w:r>
      <w:r>
        <w:t>partner with</w:t>
      </w:r>
      <w:r w:rsidR="00562A14" w:rsidRPr="005B1C31">
        <w:t xml:space="preserve"> growing brands to hasten the opening of gem-set and personalized </w:t>
      </w:r>
      <w:r>
        <w:t>jewellery</w:t>
      </w:r>
      <w:r w:rsidR="00562A14" w:rsidRPr="005B1C31">
        <w:t xml:space="preserve"> shops in </w:t>
      </w:r>
      <w:r w:rsidR="0090265E" w:rsidRPr="005B1C31">
        <w:t>Mainland</w:t>
      </w:r>
      <w:r w:rsidR="00562A14" w:rsidRPr="005B1C31">
        <w:t xml:space="preserve"> China. The new outlets could facilitate the collection of data on buying habits and preferences of </w:t>
      </w:r>
      <w:r w:rsidR="0090265E" w:rsidRPr="005B1C31">
        <w:t>Mainland</w:t>
      </w:r>
      <w:r w:rsidR="00562A14" w:rsidRPr="005B1C31">
        <w:t xml:space="preserve"> Chinese shoppers. More celebrity endorsements could be used to lure shoppers. </w:t>
      </w:r>
    </w:p>
    <w:p w14:paraId="622C64A4" w14:textId="77777777" w:rsidR="008B5A4E" w:rsidRDefault="008B5A4E" w:rsidP="00562A14"/>
    <w:p w14:paraId="61379542" w14:textId="27917F63" w:rsidR="00562A14" w:rsidRPr="005B1C31" w:rsidRDefault="00562A14" w:rsidP="00562A14">
      <w:r w:rsidRPr="005B1C31">
        <w:t>Retail markets around the world are changing</w:t>
      </w:r>
      <w:r w:rsidR="00625772">
        <w:t>,</w:t>
      </w:r>
      <w:r w:rsidRPr="005B1C31">
        <w:t xml:space="preserve"> and the retail industry is evolving. More consumers are permanently shifting their shopping preferences to online as a result of the </w:t>
      </w:r>
      <w:r w:rsidR="008B5A4E">
        <w:t>COVID</w:t>
      </w:r>
      <w:r w:rsidRPr="005B1C31">
        <w:t xml:space="preserve">-19 pandemic. </w:t>
      </w:r>
      <w:r w:rsidR="008B5A4E">
        <w:t>CTFJ</w:t>
      </w:r>
      <w:r w:rsidRPr="005B1C31">
        <w:t xml:space="preserve"> </w:t>
      </w:r>
      <w:r w:rsidR="008B5A4E">
        <w:t>shall take</w:t>
      </w:r>
      <w:r w:rsidRPr="005B1C31">
        <w:t xml:space="preserve"> decisive action to mitigate focus on </w:t>
      </w:r>
      <w:r w:rsidR="00625772">
        <w:t>fine-tuning</w:t>
      </w:r>
      <w:r w:rsidRPr="005B1C31">
        <w:t xml:space="preserve"> </w:t>
      </w:r>
      <w:r w:rsidR="008B5A4E">
        <w:t>the</w:t>
      </w:r>
      <w:r w:rsidRPr="005B1C31">
        <w:t xml:space="preserve"> </w:t>
      </w:r>
      <w:r w:rsidR="00625772">
        <w:t xml:space="preserve">online </w:t>
      </w:r>
      <w:r w:rsidRPr="005B1C31">
        <w:t xml:space="preserve">services </w:t>
      </w:r>
      <w:r w:rsidR="00625772">
        <w:t>by l</w:t>
      </w:r>
      <w:r w:rsidR="00625772" w:rsidRPr="005B1C31">
        <w:t>eaping on those consumer behavior changes and an</w:t>
      </w:r>
      <w:r w:rsidR="00625772">
        <w:t>ticipating</w:t>
      </w:r>
      <w:r w:rsidR="00625772" w:rsidRPr="005B1C31">
        <w:t xml:space="preserve"> further </w:t>
      </w:r>
      <w:r w:rsidR="00A806F0">
        <w:t>g</w:t>
      </w:r>
      <w:r w:rsidR="00625772" w:rsidRPr="005B1C31">
        <w:t>rowth in online sales</w:t>
      </w:r>
      <w:r w:rsidR="00A806F0">
        <w:t>, tapping along with</w:t>
      </w:r>
      <w:r w:rsidRPr="005B1C31">
        <w:t xml:space="preserve"> advertising opportunity a</w:t>
      </w:r>
      <w:r w:rsidR="00A806F0">
        <w:t>nd</w:t>
      </w:r>
      <w:r w:rsidRPr="005B1C31">
        <w:t xml:space="preserve"> social media presence.</w:t>
      </w:r>
    </w:p>
    <w:p w14:paraId="0B316CC1" w14:textId="77777777" w:rsidR="00562A14" w:rsidRPr="005B1C31" w:rsidRDefault="00562A14" w:rsidP="00562A14"/>
    <w:p w14:paraId="76E826D0" w14:textId="64E0336F" w:rsidR="00997449" w:rsidRDefault="00625772" w:rsidP="00997449">
      <w:r w:rsidRPr="00625772">
        <w:t xml:space="preserve">COVID-19 </w:t>
      </w:r>
      <w:r>
        <w:t xml:space="preserve">pandemic </w:t>
      </w:r>
      <w:r w:rsidRPr="00625772">
        <w:t>ha</w:t>
      </w:r>
      <w:r>
        <w:t>s</w:t>
      </w:r>
      <w:r w:rsidRPr="00625772">
        <w:t xml:space="preserve"> speeded the adoption of digital technologies by several years</w:t>
      </w:r>
      <w:r>
        <w:t xml:space="preserve">. </w:t>
      </w:r>
      <w:r w:rsidRPr="00625772">
        <w:t xml:space="preserve">Jewellery industry has always been considered as one of the traditional </w:t>
      </w:r>
      <w:r>
        <w:t>and</w:t>
      </w:r>
      <w:r w:rsidRPr="00625772">
        <w:t xml:space="preserve"> conventional industries. To adapt to the new business and economic environment as </w:t>
      </w:r>
      <w:r>
        <w:t>COVID</w:t>
      </w:r>
      <w:r w:rsidRPr="00625772">
        <w:t xml:space="preserve">-19 rolls on, </w:t>
      </w:r>
      <w:r>
        <w:t>CTFJ</w:t>
      </w:r>
      <w:r w:rsidRPr="00625772">
        <w:t>, wholesalers</w:t>
      </w:r>
      <w:r>
        <w:t>,</w:t>
      </w:r>
      <w:r w:rsidRPr="00625772">
        <w:t xml:space="preserve"> and retailers should recogni</w:t>
      </w:r>
      <w:r>
        <w:t>z</w:t>
      </w:r>
      <w:r w:rsidRPr="00625772">
        <w:t xml:space="preserve">e technology's strategic importance as a critical component of the </w:t>
      </w:r>
      <w:r>
        <w:t>firm</w:t>
      </w:r>
      <w:r w:rsidRPr="00625772">
        <w:t xml:space="preserve"> and take different </w:t>
      </w:r>
      <w:r>
        <w:t>digital adoption levels</w:t>
      </w:r>
      <w:r w:rsidRPr="00625772">
        <w:t>.</w:t>
      </w:r>
    </w:p>
    <w:p w14:paraId="082210F4" w14:textId="77777777" w:rsidR="009835DD" w:rsidRPr="005B1C31" w:rsidRDefault="009835DD" w:rsidP="00997449"/>
    <w:p w14:paraId="2202D081" w14:textId="30DE98A9" w:rsidR="00997449" w:rsidRPr="005B1C31" w:rsidRDefault="00997449" w:rsidP="00997449">
      <w:pPr>
        <w:pStyle w:val="Heading1"/>
      </w:pPr>
      <w:bookmarkStart w:id="30" w:name="_Toc64840486"/>
      <w:r w:rsidRPr="005B1C31">
        <w:t xml:space="preserve">Conclusion </w:t>
      </w:r>
      <w:bookmarkEnd w:id="30"/>
    </w:p>
    <w:p w14:paraId="61A93FEB" w14:textId="69FB1F82" w:rsidR="00EC6085" w:rsidRDefault="00EC6085" w:rsidP="00EC6085">
      <w:r>
        <w:t xml:space="preserve">The reduced mainland tourism coupled with the declining consumption will undoubtedly affect the jewellery business as a whole in Hong Kong. The COVID-19 pandemic has swept the globe resulting in the near-complete paralysis of the global economy; until there are definite signs of </w:t>
      </w:r>
      <w:r>
        <w:lastRenderedPageBreak/>
        <w:t xml:space="preserve">the epidemic receding, CTFJ shall be patient and remain financially healthy. This is a critical time for CTFJ to ponder the near-term forward direction while taking the opportunity to review the overall business strategy from a holistic perspective. </w:t>
      </w:r>
    </w:p>
    <w:p w14:paraId="1AA99C74" w14:textId="77777777" w:rsidR="00A806F0" w:rsidRDefault="00A806F0" w:rsidP="00A806F0"/>
    <w:p w14:paraId="04D2D84B" w14:textId="27C0632E" w:rsidR="00A806F0" w:rsidRDefault="00A806F0" w:rsidP="00A806F0">
      <w:r>
        <w:t xml:space="preserve">We recommended the firm not to reduce the fixed cost in production capacity. Simultaneously, revenge buying behavior started in China, possibly spreading to Hong Kong once the border is opened. CTFJ shall focus on its omnichannel, implement various marketing campaigns in phrases aiming to drive online purchases back to their retails for a new in-store experience and upselling.  </w:t>
      </w:r>
    </w:p>
    <w:p w14:paraId="61F4BBBB" w14:textId="77777777" w:rsidR="00A806F0" w:rsidRDefault="00A806F0" w:rsidP="00EC6085"/>
    <w:p w14:paraId="358FA99E" w14:textId="28DC123B" w:rsidR="00EC6085" w:rsidRDefault="00EC6085" w:rsidP="00EC6085">
      <w:r>
        <w:t xml:space="preserve">CTFJ may thoroughly review their business models while seeking ways to revamp their O2O strategy by re-defining brand positioning, expanding the creativity horizon, and strengthening the transition from traditional retail channels to new sales channels, including social media platforms. </w:t>
      </w:r>
    </w:p>
    <w:p w14:paraId="5F3C83AE" w14:textId="77777777" w:rsidR="00625772" w:rsidRPr="005B1C31" w:rsidRDefault="00625772" w:rsidP="00562A14"/>
    <w:p w14:paraId="37DE8B07" w14:textId="28844FA2" w:rsidR="00655A7C" w:rsidRDefault="00655A7C" w:rsidP="00655A7C">
      <w:r>
        <w:t xml:space="preserve">CTFJ may target new customer segmentation by engaging </w:t>
      </w:r>
      <w:r w:rsidR="002D00D6">
        <w:t xml:space="preserve">the </w:t>
      </w:r>
      <w:r>
        <w:t xml:space="preserve">younger generation. </w:t>
      </w:r>
      <w:r w:rsidR="002D00D6">
        <w:t>The young generation is a critical consumer subset with great purchasing power that retailers cannot afford to miss in order to stand out from the crowd, especially the y</w:t>
      </w:r>
      <w:r>
        <w:t xml:space="preserve">oung ultra-high-net-worth-individuals "UHNWI". They are mostly from Generation Z, who are brought up in a resourceful period of time. They are knowledgeable and stylish, who also embrace individuality. When it comes to jewellery, the UHNWI tend to look for both the intrinsic value and emotional connection. Shopping experiences that are informative, inspirational, individualistic, and impactful may help build up sentimental bondage with the target group who treasures the experience of making a piece of jewellery and interaction with designers or jewellers with interesting backgrounds. </w:t>
      </w:r>
    </w:p>
    <w:p w14:paraId="369B818E" w14:textId="77777777" w:rsidR="00655A7C" w:rsidRDefault="00655A7C" w:rsidP="00655A7C"/>
    <w:p w14:paraId="755F6606" w14:textId="77777777" w:rsidR="00655A7C" w:rsidRDefault="00655A7C" w:rsidP="00655A7C">
      <w:r>
        <w:t>As the usage of digital and AI technology expands, genuine interactions with people and products from mother nature are being more cherished. Insider stories of diamond, mining, polishing, and trading could be the right promotion tools for natural diamonds to the young UHNWI. Diamond origin is coming into trend. The traceability to the origin providers customers with an assurance that the diamonds are not conflict diamonds. Which the digital transformation is an excellent tool for CTFJ to look into when it comes to traceability.</w:t>
      </w:r>
    </w:p>
    <w:p w14:paraId="2F58E729" w14:textId="77777777" w:rsidR="00655A7C" w:rsidRDefault="00655A7C" w:rsidP="00655A7C"/>
    <w:p w14:paraId="796B60A6" w14:textId="4CC6BF6C" w:rsidR="00655A7C" w:rsidRDefault="00655A7C" w:rsidP="00655A7C">
      <w:r>
        <w:t xml:space="preserve">Consumers nowadays are highly influenced by social media. </w:t>
      </w:r>
      <w:r w:rsidR="002D00D6">
        <w:t xml:space="preserve">The Internet innovates so fast that new media promotion channels have become more important than ever as young consumers are brought up in a digital age. The emergence of social media has fuelled the trend that experience sharing by users and influencers. CTFJ must adapt quickly to capture online marketing's rapid </w:t>
      </w:r>
      <w:r w:rsidR="00A806F0">
        <w:t>g</w:t>
      </w:r>
      <w:r w:rsidR="002D00D6">
        <w:t xml:space="preserve">rowth by placing advertisements on major search engines and promoting products via live broadcast platforms. </w:t>
      </w:r>
      <w:r>
        <w:t xml:space="preserve">A good portion of marketing resources to be placed in digital exposure may create an association with the customers. </w:t>
      </w:r>
      <w:r w:rsidR="002D00D6">
        <w:t>Given the current extremely challenging retailing frontier in Hong Kong, consumers who prefer to stay home for safety reasons have by and large switching their shopping mode to online. To capitalize on this latest consumption behavioral trend, C</w:t>
      </w:r>
      <w:r w:rsidR="009835DD">
        <w:t>T</w:t>
      </w:r>
      <w:r w:rsidR="002D00D6">
        <w:t xml:space="preserve">FJ may work fiercely to develop and perfect their online platforms. </w:t>
      </w:r>
      <w:r>
        <w:t xml:space="preserve">When shopping for higher-priced products, customers may spend an adequate amount of time researching on social media. Subsequently, they would pay a visit to the store before the final purchase. Thus, the in-store experience provides a chance to assess all options available. It gives the feeling that the purchase made is the best choice. The personal touch of in-store services and private viewing exclusivity also play a significant role in closing sales. It helps customers build up a connection with the jewellery pieces.  </w:t>
      </w:r>
      <w:r w:rsidR="002D00D6">
        <w:t xml:space="preserve">In addition to expanding the online sales channels, CTFJ </w:t>
      </w:r>
      <w:r w:rsidR="002D00D6">
        <w:lastRenderedPageBreak/>
        <w:t xml:space="preserve">may broader its social media strategy and launch diverse advertising projects on various social platforms. </w:t>
      </w:r>
    </w:p>
    <w:p w14:paraId="33ABE889" w14:textId="35E920F0" w:rsidR="002D00D6" w:rsidRDefault="002D00D6" w:rsidP="00655A7C"/>
    <w:p w14:paraId="4BA16EEE" w14:textId="1BA78899" w:rsidR="002D00D6" w:rsidRDefault="002D00D6" w:rsidP="00655A7C">
      <w:r>
        <w:t xml:space="preserve">Jewellery retailing should be customer-oriented. Custom-made diamond jewellery has been a consumer's favorable trend in recent years; customers prefer new rings straight from the factory, especially for wedding rings, which are never used as a sample. Internal-control-wise, custom-made jewellery reduces inventory, logistics, display, and storage costs, hence improving cash-flow. CTFJ shall tap on both ends of the spectrum, in revenue and cost, which will give a more balanced outlook amid all crises. </w:t>
      </w:r>
    </w:p>
    <w:p w14:paraId="7FE05DE0" w14:textId="5D7E5794" w:rsidR="002D00D6" w:rsidRDefault="002D00D6" w:rsidP="00655A7C"/>
    <w:p w14:paraId="52F2B6AF" w14:textId="488FD1E9" w:rsidR="002D00D6" w:rsidRDefault="002D00D6" w:rsidP="00655A7C">
      <w:r>
        <w:t xml:space="preserve">CTFJ shall prepare for the future and take the opportunity to promote the emotional value of natural diamonds, and how it conveys, bonds and shares love during and after the pandemic. CTFJ may make concerted forwarding efforts, by strengthening consumer confidence in jewellery, conveying intrinsic emotional values in jewellery of which embedding fond memories of our lives. Even at times of distress, jewellery expresses a stronger bond and emotional feeling. </w:t>
      </w:r>
    </w:p>
    <w:p w14:paraId="124FB4CE" w14:textId="20B0F2BD" w:rsidR="00A36CD0" w:rsidRDefault="00A36CD0">
      <w:pPr>
        <w:spacing w:after="160" w:line="259" w:lineRule="auto"/>
        <w:jc w:val="left"/>
      </w:pPr>
      <w:r>
        <w:br w:type="page"/>
      </w:r>
    </w:p>
    <w:bookmarkStart w:id="31" w:name="_Toc64840489" w:displacedByCustomXml="next"/>
    <w:sdt>
      <w:sdtPr>
        <w:rPr>
          <w:rFonts w:eastAsiaTheme="minorEastAsia"/>
          <w:b w:val="0"/>
          <w:bCs w:val="0"/>
          <w:color w:val="auto"/>
        </w:rPr>
        <w:id w:val="1679628065"/>
        <w:docPartObj>
          <w:docPartGallery w:val="Bibliographies"/>
          <w:docPartUnique/>
        </w:docPartObj>
      </w:sdtPr>
      <w:sdtContent>
        <w:p w14:paraId="5A60DDE3" w14:textId="747D24F4" w:rsidR="00A36CD0" w:rsidRDefault="00535E07" w:rsidP="00DC0F1D">
          <w:pPr>
            <w:pStyle w:val="Heading1"/>
            <w:jc w:val="left"/>
          </w:pPr>
          <w:r>
            <w:t>References</w:t>
          </w:r>
          <w:bookmarkEnd w:id="31"/>
        </w:p>
        <w:sdt>
          <w:sdtPr>
            <w:id w:val="111145805"/>
            <w:bibliography/>
          </w:sdtPr>
          <w:sdtContent>
            <w:p w14:paraId="5D66509F" w14:textId="71C738BD" w:rsidR="00A36CD0" w:rsidRDefault="00A36CD0" w:rsidP="00DC0F1D">
              <w:pPr>
                <w:pStyle w:val="Bibliography"/>
                <w:spacing w:line="240" w:lineRule="auto"/>
                <w:contextualSpacing/>
                <w:jc w:val="left"/>
              </w:pPr>
              <w:r>
                <w:rPr>
                  <w:noProof w:val="0"/>
                </w:rPr>
                <w:fldChar w:fldCharType="begin"/>
              </w:r>
              <w:r>
                <w:instrText xml:space="preserve"> BIBLIOGRAPHY </w:instrText>
              </w:r>
              <w:r>
                <w:rPr>
                  <w:noProof w:val="0"/>
                </w:rPr>
                <w:fldChar w:fldCharType="separate"/>
              </w:r>
              <w:r>
                <w:t xml:space="preserve">AASTOCKS </w:t>
              </w:r>
              <w:r w:rsidR="00DC0F1D">
                <w:t>(</w:t>
              </w:r>
              <w:r>
                <w:t>2021</w:t>
              </w:r>
              <w:r w:rsidR="00DC0F1D">
                <w:t>)</w:t>
              </w:r>
              <w:r>
                <w:t xml:space="preserve"> </w:t>
              </w:r>
              <w:r>
                <w:rPr>
                  <w:i/>
                  <w:iCs/>
                </w:rPr>
                <w:t xml:space="preserve">Industry Details - Consumer Goods - Watch &amp; Jewellery. </w:t>
              </w:r>
              <w:r>
                <w:br/>
                <w:t xml:space="preserve">Available at: </w:t>
              </w:r>
              <w:r>
                <w:rPr>
                  <w:u w:val="single"/>
                </w:rPr>
                <w:t>http://www.aastocks.com/en/stocks/market/industry/sector-industry-details.aspx?industrysymbol=3015&amp;t=1&amp;hk=0</w:t>
              </w:r>
              <w:r w:rsidR="00DC0F1D">
                <w:rPr>
                  <w:u w:val="single"/>
                </w:rPr>
                <w:t xml:space="preserve"> </w:t>
              </w:r>
              <w:r w:rsidR="00DC0F1D">
                <w:t>(</w:t>
              </w:r>
              <w:r>
                <w:t>Accessed</w:t>
              </w:r>
              <w:r w:rsidR="00DC0F1D">
                <w:t>:</w:t>
              </w:r>
              <w:r>
                <w:t xml:space="preserve"> 25 </w:t>
              </w:r>
              <w:r w:rsidR="00DC0F1D">
                <w:t>Januaray</w:t>
              </w:r>
              <w:r>
                <w:t xml:space="preserve"> 2021</w:t>
              </w:r>
              <w:r w:rsidR="00DC0F1D">
                <w:t>)</w:t>
              </w:r>
              <w:r>
                <w:t>.</w:t>
              </w:r>
            </w:p>
            <w:p w14:paraId="47DFC41D" w14:textId="77777777" w:rsidR="00DC0F1D" w:rsidRPr="00DC0F1D" w:rsidRDefault="00DC0F1D" w:rsidP="00DC0F1D"/>
            <w:p w14:paraId="78A06212" w14:textId="1AD0FCF1" w:rsidR="00A36CD0" w:rsidRDefault="00A36CD0" w:rsidP="00DC0F1D">
              <w:pPr>
                <w:pStyle w:val="Bibliography"/>
                <w:spacing w:line="240" w:lineRule="auto"/>
                <w:contextualSpacing/>
                <w:jc w:val="left"/>
              </w:pPr>
              <w:r>
                <w:t>Arnold, M.</w:t>
              </w:r>
              <w:r w:rsidR="00DC0F1D">
                <w:t xml:space="preserve"> (</w:t>
              </w:r>
              <w:r>
                <w:t>2020</w:t>
              </w:r>
              <w:r w:rsidR="00DC0F1D">
                <w:t>)</w:t>
              </w:r>
              <w:r>
                <w:t xml:space="preserve"> </w:t>
              </w:r>
              <w:r>
                <w:rPr>
                  <w:i/>
                  <w:iCs/>
                </w:rPr>
                <w:t>Covid-19 fuels breakthrough in Hong Kong e-commerce.</w:t>
              </w:r>
              <w:r>
                <w:br/>
                <w:t xml:space="preserve">Available at: </w:t>
              </w:r>
              <w:r>
                <w:rPr>
                  <w:u w:val="single"/>
                </w:rPr>
                <w:t>https://insideretail.asia/2020/07/20/covid-19-fuels-breakthrough-in-hong-kong-e-commerce/</w:t>
              </w:r>
              <w:r w:rsidR="00DC0F1D">
                <w:rPr>
                  <w:u w:val="single"/>
                </w:rPr>
                <w:t xml:space="preserve"> </w:t>
              </w:r>
              <w:r w:rsidR="00DC0F1D">
                <w:t>(</w:t>
              </w:r>
              <w:r>
                <w:t>Accessed</w:t>
              </w:r>
              <w:r w:rsidR="00DC0F1D">
                <w:t>:</w:t>
              </w:r>
              <w:r>
                <w:t xml:space="preserve"> 25 </w:t>
              </w:r>
              <w:r w:rsidR="00DC0F1D">
                <w:t>January</w:t>
              </w:r>
              <w:r>
                <w:t xml:space="preserve"> 2021</w:t>
              </w:r>
              <w:r w:rsidR="00DC0F1D">
                <w:t>)</w:t>
              </w:r>
              <w:r>
                <w:t>.</w:t>
              </w:r>
            </w:p>
            <w:p w14:paraId="5E8474ED" w14:textId="77777777" w:rsidR="00DC0F1D" w:rsidRPr="00DC0F1D" w:rsidRDefault="00DC0F1D" w:rsidP="00DC0F1D"/>
            <w:p w14:paraId="3BDF3C2F" w14:textId="44BA97D2" w:rsidR="00A36CD0" w:rsidRDefault="00A36CD0" w:rsidP="00DC0F1D">
              <w:pPr>
                <w:pStyle w:val="Bibliography"/>
                <w:spacing w:line="240" w:lineRule="auto"/>
                <w:contextualSpacing/>
                <w:jc w:val="left"/>
              </w:pPr>
              <w:r>
                <w:t>Bloomberg</w:t>
              </w:r>
              <w:r w:rsidR="00DC0F1D">
                <w:t xml:space="preserve"> (</w:t>
              </w:r>
              <w:r>
                <w:t>2021</w:t>
              </w:r>
              <w:r w:rsidR="00DC0F1D">
                <w:t>a)</w:t>
              </w:r>
              <w:r>
                <w:t xml:space="preserve"> </w:t>
              </w:r>
              <w:r>
                <w:rPr>
                  <w:i/>
                  <w:iCs/>
                </w:rPr>
                <w:t xml:space="preserve">Key Statistics. </w:t>
              </w:r>
              <w:r>
                <w:t xml:space="preserve">Available at: </w:t>
              </w:r>
              <w:r>
                <w:rPr>
                  <w:u w:val="single"/>
                </w:rPr>
                <w:t>https://www.bloomberg.com/quote/CFR:SW</w:t>
              </w:r>
              <w:r>
                <w:br/>
              </w:r>
              <w:r w:rsidR="00DC0F1D">
                <w:t>(</w:t>
              </w:r>
              <w:r>
                <w:t>Accessed</w:t>
              </w:r>
              <w:r w:rsidR="00DC0F1D">
                <w:t>:</w:t>
              </w:r>
              <w:r>
                <w:t xml:space="preserve"> 4 </w:t>
              </w:r>
              <w:r w:rsidR="00DC0F1D">
                <w:t>Feburary</w:t>
              </w:r>
              <w:r>
                <w:t xml:space="preserve"> 2021</w:t>
              </w:r>
              <w:r w:rsidR="00DC0F1D">
                <w:t>).</w:t>
              </w:r>
            </w:p>
            <w:p w14:paraId="5D94E206" w14:textId="77777777" w:rsidR="00DC0F1D" w:rsidRPr="00DC0F1D" w:rsidRDefault="00DC0F1D" w:rsidP="00DC0F1D"/>
            <w:p w14:paraId="7E14A36C" w14:textId="7FB7E7E1" w:rsidR="00A36CD0" w:rsidRDefault="00A36CD0" w:rsidP="00DC0F1D">
              <w:pPr>
                <w:pStyle w:val="Bibliography"/>
                <w:spacing w:line="240" w:lineRule="auto"/>
                <w:contextualSpacing/>
                <w:jc w:val="left"/>
              </w:pPr>
              <w:r>
                <w:t>Bloomberg</w:t>
              </w:r>
              <w:r w:rsidR="00DC0F1D">
                <w:t xml:space="preserve"> (</w:t>
              </w:r>
              <w:r>
                <w:t>2021</w:t>
              </w:r>
              <w:r w:rsidR="00DC0F1D">
                <w:t>b)</w:t>
              </w:r>
              <w:r>
                <w:t xml:space="preserve"> </w:t>
              </w:r>
              <w:r>
                <w:rPr>
                  <w:i/>
                  <w:iCs/>
                </w:rPr>
                <w:t>Key Statistics.</w:t>
              </w:r>
              <w:r>
                <w:t xml:space="preserve">Available at: </w:t>
              </w:r>
              <w:r>
                <w:rPr>
                  <w:u w:val="single"/>
                </w:rPr>
                <w:t>https://www.bloomberg.com/quote/TIF:US</w:t>
              </w:r>
              <w:r>
                <w:br/>
              </w:r>
              <w:r w:rsidR="00DC0F1D">
                <w:t>(</w:t>
              </w:r>
              <w:r>
                <w:t>Accessed</w:t>
              </w:r>
              <w:r w:rsidR="00DC0F1D">
                <w:t>:</w:t>
              </w:r>
              <w:r>
                <w:t xml:space="preserve"> 4 </w:t>
              </w:r>
              <w:r w:rsidR="00DC0F1D">
                <w:t>Feburary</w:t>
              </w:r>
              <w:r>
                <w:t xml:space="preserve"> 202</w:t>
              </w:r>
              <w:r w:rsidR="00DC0F1D">
                <w:t>1).</w:t>
              </w:r>
            </w:p>
            <w:p w14:paraId="6137755C" w14:textId="77777777" w:rsidR="00DC0F1D" w:rsidRPr="00DC0F1D" w:rsidRDefault="00DC0F1D" w:rsidP="00DC0F1D"/>
            <w:p w14:paraId="21C3C26F" w14:textId="5886011E" w:rsidR="00A36CD0" w:rsidRDefault="00A36CD0" w:rsidP="00DC0F1D">
              <w:pPr>
                <w:pStyle w:val="Bibliography"/>
                <w:spacing w:line="240" w:lineRule="auto"/>
                <w:contextualSpacing/>
                <w:jc w:val="left"/>
              </w:pPr>
              <w:r>
                <w:t>Census and Statistics Department</w:t>
              </w:r>
              <w:r w:rsidR="00DC0F1D">
                <w:t xml:space="preserve"> (</w:t>
              </w:r>
              <w:r>
                <w:t>2021</w:t>
              </w:r>
              <w:r w:rsidR="00DC0F1D">
                <w:t>a)</w:t>
              </w:r>
              <w:r>
                <w:t xml:space="preserve"> </w:t>
              </w:r>
              <w:r>
                <w:rPr>
                  <w:i/>
                  <w:iCs/>
                </w:rPr>
                <w:t xml:space="preserve">Hong Kong Monthly Digest of Statistics. </w:t>
              </w:r>
              <w:r>
                <w:br/>
                <w:t xml:space="preserve">Available at: </w:t>
              </w:r>
              <w:r>
                <w:rPr>
                  <w:u w:val="single"/>
                </w:rPr>
                <w:t>https://www.statistics.gov.hk/pub/B10100022021MM01B0100.pdf</w:t>
              </w:r>
              <w:r w:rsidR="00DC0F1D">
                <w:rPr>
                  <w:u w:val="single"/>
                </w:rPr>
                <w:t xml:space="preserve"> </w:t>
              </w:r>
              <w:r w:rsidR="00DC0F1D">
                <w:t>(</w:t>
              </w:r>
              <w:r>
                <w:t>Accessed</w:t>
              </w:r>
              <w:r w:rsidR="00DC0F1D">
                <w:t>:</w:t>
              </w:r>
              <w:r>
                <w:t xml:space="preserve"> 1 </w:t>
              </w:r>
              <w:r w:rsidR="00DC0F1D">
                <w:t>Feburary</w:t>
              </w:r>
              <w:r>
                <w:t xml:space="preserve"> 2021</w:t>
              </w:r>
              <w:r w:rsidR="00DC0F1D">
                <w:t>)</w:t>
              </w:r>
              <w:r>
                <w:t>.</w:t>
              </w:r>
            </w:p>
            <w:p w14:paraId="27E5BBCF" w14:textId="77777777" w:rsidR="00DC0F1D" w:rsidRPr="00DC0F1D" w:rsidRDefault="00DC0F1D" w:rsidP="00DC0F1D"/>
            <w:p w14:paraId="6E06DB7C" w14:textId="45A01AE4" w:rsidR="00A36CD0" w:rsidRDefault="00A36CD0" w:rsidP="00DC0F1D">
              <w:pPr>
                <w:pStyle w:val="Bibliography"/>
                <w:spacing w:line="240" w:lineRule="auto"/>
                <w:contextualSpacing/>
                <w:jc w:val="left"/>
              </w:pPr>
              <w:r>
                <w:t>Census and Statistics Department</w:t>
              </w:r>
              <w:r w:rsidR="00DC0F1D">
                <w:t xml:space="preserve"> (</w:t>
              </w:r>
              <w:r>
                <w:t>2021</w:t>
              </w:r>
              <w:r w:rsidR="00DC0F1D">
                <w:t>b)</w:t>
              </w:r>
              <w:r>
                <w:t xml:space="preserve"> </w:t>
              </w:r>
              <w:r>
                <w:rPr>
                  <w:i/>
                  <w:iCs/>
                </w:rPr>
                <w:t xml:space="preserve">Labout Force. </w:t>
              </w:r>
              <w:r>
                <w:t xml:space="preserve">Available at: </w:t>
              </w:r>
              <w:r>
                <w:rPr>
                  <w:u w:val="single"/>
                </w:rPr>
                <w:t>https://www.censtatd.gov.hk/hkstat/sub/sp200.jsp?tableID=006&amp;ID=0&amp;productType=8</w:t>
              </w:r>
              <w:r>
                <w:br/>
              </w:r>
              <w:r w:rsidR="00DC0F1D">
                <w:t>(</w:t>
              </w:r>
              <w:r>
                <w:t>Accessed</w:t>
              </w:r>
              <w:r w:rsidR="00DC0F1D">
                <w:t>:</w:t>
              </w:r>
              <w:r>
                <w:t xml:space="preserve"> 25 </w:t>
              </w:r>
              <w:r w:rsidR="00DC0F1D">
                <w:t>January</w:t>
              </w:r>
              <w:r>
                <w:t xml:space="preserve"> 2021</w:t>
              </w:r>
              <w:r w:rsidR="00DC0F1D">
                <w:t>)</w:t>
              </w:r>
              <w:r>
                <w:t>.</w:t>
              </w:r>
            </w:p>
            <w:p w14:paraId="2A346FA0" w14:textId="77777777" w:rsidR="00DC0F1D" w:rsidRPr="00DC0F1D" w:rsidRDefault="00DC0F1D" w:rsidP="00DC0F1D"/>
            <w:p w14:paraId="181F28F9" w14:textId="08EFE980" w:rsidR="00A36CD0" w:rsidRDefault="00A36CD0" w:rsidP="00DC0F1D">
              <w:pPr>
                <w:pStyle w:val="Bibliography"/>
                <w:spacing w:line="240" w:lineRule="auto"/>
                <w:contextualSpacing/>
                <w:jc w:val="left"/>
              </w:pPr>
              <w:r>
                <w:t>Census and Statistics Department</w:t>
              </w:r>
              <w:r w:rsidR="00DC0F1D">
                <w:t xml:space="preserve"> (</w:t>
              </w:r>
              <w:r>
                <w:t>2021</w:t>
              </w:r>
              <w:r w:rsidR="00DC0F1D">
                <w:t>c)</w:t>
              </w:r>
              <w:r>
                <w:t xml:space="preserve"> </w:t>
              </w:r>
              <w:r>
                <w:rPr>
                  <w:i/>
                  <w:iCs/>
                </w:rPr>
                <w:t>National Income.</w:t>
              </w:r>
              <w:r w:rsidR="00DC0F1D">
                <w:rPr>
                  <w:i/>
                  <w:iCs/>
                </w:rPr>
                <w:t xml:space="preserve"> </w:t>
              </w:r>
              <w:r>
                <w:t xml:space="preserve">Available at: </w:t>
              </w:r>
              <w:r>
                <w:rPr>
                  <w:u w:val="single"/>
                </w:rPr>
                <w:t>https://www.censtatd.gov.hk/hkstat/sub/sp250.jsp?tableID=211&amp;ID=0&amp;productType=8#N8</w:t>
              </w:r>
              <w:r>
                <w:br/>
              </w:r>
              <w:r w:rsidR="00DC0F1D">
                <w:t>(</w:t>
              </w:r>
              <w:r>
                <w:t>Accessed</w:t>
              </w:r>
              <w:r w:rsidR="00DC0F1D">
                <w:t>:</w:t>
              </w:r>
              <w:r>
                <w:t xml:space="preserve"> 25 </w:t>
              </w:r>
              <w:r w:rsidR="00DC0F1D">
                <w:t>January</w:t>
              </w:r>
              <w:r>
                <w:t xml:space="preserve"> 2021</w:t>
              </w:r>
              <w:r w:rsidR="00DC0F1D">
                <w:t>).</w:t>
              </w:r>
            </w:p>
            <w:p w14:paraId="76DD9668" w14:textId="77777777" w:rsidR="00DC0F1D" w:rsidRPr="00DC0F1D" w:rsidRDefault="00DC0F1D" w:rsidP="00DC0F1D"/>
            <w:p w14:paraId="7E7394EC" w14:textId="7A5735EC" w:rsidR="00A36CD0" w:rsidRDefault="00A36CD0" w:rsidP="00DC0F1D">
              <w:pPr>
                <w:pStyle w:val="Bibliography"/>
                <w:spacing w:line="240" w:lineRule="auto"/>
                <w:contextualSpacing/>
                <w:jc w:val="left"/>
              </w:pPr>
              <w:r>
                <w:t>Chow Tai Fook</w:t>
              </w:r>
              <w:r w:rsidR="00DC0F1D">
                <w:t xml:space="preserve"> (</w:t>
              </w:r>
              <w:r>
                <w:t>2019</w:t>
              </w:r>
              <w:r w:rsidR="00DC0F1D">
                <w:t>)</w:t>
              </w:r>
              <w:r>
                <w:t xml:space="preserve"> </w:t>
              </w:r>
              <w:r w:rsidR="00DC0F1D" w:rsidRPr="00DC0F1D">
                <w:rPr>
                  <w:i/>
                  <w:iCs/>
                </w:rPr>
                <w:t xml:space="preserve">2019 </w:t>
              </w:r>
              <w:r>
                <w:rPr>
                  <w:i/>
                  <w:iCs/>
                </w:rPr>
                <w:t xml:space="preserve">Annual Report, </w:t>
              </w:r>
              <w:r>
                <w:t xml:space="preserve">Hong Kong: </w:t>
              </w:r>
              <w:r w:rsidR="00DC0F1D">
                <w:t>Chow Tai Fook</w:t>
              </w:r>
              <w:r>
                <w:t>.</w:t>
              </w:r>
            </w:p>
            <w:p w14:paraId="7EBCA18E" w14:textId="77777777" w:rsidR="00DC0F1D" w:rsidRPr="00DC0F1D" w:rsidRDefault="00DC0F1D" w:rsidP="00DC0F1D"/>
            <w:p w14:paraId="332511FA" w14:textId="258ECA7C" w:rsidR="00A36CD0" w:rsidRDefault="00A36CD0" w:rsidP="00DC0F1D">
              <w:pPr>
                <w:pStyle w:val="Bibliography"/>
                <w:spacing w:line="240" w:lineRule="auto"/>
                <w:contextualSpacing/>
                <w:jc w:val="left"/>
              </w:pPr>
              <w:r>
                <w:t>Chow Tai Fook</w:t>
              </w:r>
              <w:r w:rsidR="00DC0F1D">
                <w:t xml:space="preserve"> (</w:t>
              </w:r>
              <w:r>
                <w:t>2020</w:t>
              </w:r>
              <w:r w:rsidR="00DC0F1D">
                <w:t>)</w:t>
              </w:r>
              <w:r>
                <w:t xml:space="preserve"> </w:t>
              </w:r>
              <w:r>
                <w:rPr>
                  <w:i/>
                  <w:iCs/>
                </w:rPr>
                <w:t xml:space="preserve">2020 Annual Report, </w:t>
              </w:r>
              <w:r w:rsidR="00DC0F1D">
                <w:t>Hong Kong</w:t>
              </w:r>
              <w:r>
                <w:t xml:space="preserve">: </w:t>
              </w:r>
              <w:r w:rsidR="00DC0F1D">
                <w:t>Chow Tai Fook.</w:t>
              </w:r>
            </w:p>
            <w:p w14:paraId="71FAC14C" w14:textId="77777777" w:rsidR="00DC0F1D" w:rsidRPr="00DC0F1D" w:rsidRDefault="00DC0F1D" w:rsidP="00DC0F1D"/>
            <w:p w14:paraId="302F818F" w14:textId="24623D9A" w:rsidR="00A36CD0" w:rsidRDefault="00A36CD0" w:rsidP="00DC0F1D">
              <w:pPr>
                <w:pStyle w:val="Bibliography"/>
                <w:spacing w:line="240" w:lineRule="auto"/>
                <w:contextualSpacing/>
                <w:jc w:val="left"/>
              </w:pPr>
              <w:r>
                <w:t>Chow Tai Fook</w:t>
              </w:r>
              <w:r w:rsidR="00DC0F1D">
                <w:t xml:space="preserve"> (</w:t>
              </w:r>
              <w:r>
                <w:t>2021</w:t>
              </w:r>
              <w:r w:rsidR="00DC0F1D">
                <w:t>a)</w:t>
              </w:r>
              <w:r>
                <w:t xml:space="preserve"> </w:t>
              </w:r>
              <w:r>
                <w:rPr>
                  <w:i/>
                  <w:iCs/>
                </w:rPr>
                <w:t xml:space="preserve">2020/2021 Interim Report, </w:t>
              </w:r>
              <w:r w:rsidR="00DC0F1D">
                <w:t>Hong Kong</w:t>
              </w:r>
              <w:r>
                <w:t xml:space="preserve">: </w:t>
              </w:r>
              <w:r w:rsidR="00DC0F1D">
                <w:t>Chow Tai Fook.</w:t>
              </w:r>
            </w:p>
            <w:p w14:paraId="2F211CFF" w14:textId="77777777" w:rsidR="00DC0F1D" w:rsidRPr="00DC0F1D" w:rsidRDefault="00DC0F1D" w:rsidP="00DC0F1D"/>
            <w:p w14:paraId="298A0758" w14:textId="4AEC94E6" w:rsidR="00A36CD0" w:rsidRDefault="00A36CD0" w:rsidP="00DC0F1D">
              <w:pPr>
                <w:pStyle w:val="Bibliography"/>
                <w:spacing w:line="240" w:lineRule="auto"/>
                <w:contextualSpacing/>
                <w:jc w:val="left"/>
              </w:pPr>
              <w:r>
                <w:t>Chow Tai Fook</w:t>
              </w:r>
              <w:r w:rsidR="00DC0F1D">
                <w:t xml:space="preserve"> (</w:t>
              </w:r>
              <w:r>
                <w:t>2021</w:t>
              </w:r>
              <w:r w:rsidR="00DC0F1D">
                <w:t>b)</w:t>
              </w:r>
              <w:r>
                <w:t xml:space="preserve"> </w:t>
              </w:r>
              <w:r>
                <w:rPr>
                  <w:i/>
                  <w:iCs/>
                </w:rPr>
                <w:t xml:space="preserve">The Unaudited Key Operational Data For The Three Months Ended 31 December 2020. </w:t>
              </w:r>
              <w:r>
                <w:t xml:space="preserve">Available at: </w:t>
              </w:r>
              <w:r>
                <w:rPr>
                  <w:u w:val="single"/>
                </w:rPr>
                <w:t>https://ir.ctfjewellerygroup.com/2021011116560172939580109_en.pdf</w:t>
              </w:r>
              <w:r>
                <w:br/>
              </w:r>
              <w:r w:rsidR="00DC0F1D">
                <w:t>(</w:t>
              </w:r>
              <w:r>
                <w:t>Accessed</w:t>
              </w:r>
              <w:r w:rsidR="00DC0F1D">
                <w:t>:</w:t>
              </w:r>
              <w:r>
                <w:t xml:space="preserve"> 25 </w:t>
              </w:r>
              <w:r w:rsidR="00DC0F1D">
                <w:t>January</w:t>
              </w:r>
              <w:r>
                <w:t xml:space="preserve"> 2021</w:t>
              </w:r>
              <w:r w:rsidR="00DC0F1D">
                <w:t>)</w:t>
              </w:r>
              <w:r>
                <w:t>.</w:t>
              </w:r>
            </w:p>
            <w:p w14:paraId="71190595" w14:textId="77777777" w:rsidR="00DC0F1D" w:rsidRPr="00DC0F1D" w:rsidRDefault="00DC0F1D" w:rsidP="00DC0F1D"/>
            <w:p w14:paraId="2F487DE2" w14:textId="74E53B76" w:rsidR="00A36CD0" w:rsidRDefault="00A36CD0" w:rsidP="00DC0F1D">
              <w:pPr>
                <w:pStyle w:val="Bibliography"/>
                <w:spacing w:line="240" w:lineRule="auto"/>
                <w:contextualSpacing/>
                <w:jc w:val="left"/>
              </w:pPr>
              <w:r>
                <w:lastRenderedPageBreak/>
                <w:t xml:space="preserve">De Beers Group, 2020. </w:t>
              </w:r>
              <w:r>
                <w:rPr>
                  <w:i/>
                  <w:iCs/>
                </w:rPr>
                <w:t xml:space="preserve">Production Report For The First Quarter Of 2020. </w:t>
              </w:r>
              <w:r>
                <w:t xml:space="preserve">Available at: </w:t>
              </w:r>
              <w:r>
                <w:rPr>
                  <w:u w:val="single"/>
                </w:rPr>
                <w:t>http://debeersgroup.com/media/company-news/2020/production-report-for-the-first-quarter-of-2020</w:t>
              </w:r>
              <w:r w:rsidR="00DC0F1D">
                <w:rPr>
                  <w:u w:val="single"/>
                </w:rPr>
                <w:t xml:space="preserve"> </w:t>
              </w:r>
              <w:r w:rsidR="00DC0F1D">
                <w:t>(</w:t>
              </w:r>
              <w:r>
                <w:t>Accessed</w:t>
              </w:r>
              <w:r w:rsidR="00DC0F1D">
                <w:t>:</w:t>
              </w:r>
              <w:r>
                <w:t xml:space="preserve"> 25 </w:t>
              </w:r>
              <w:r w:rsidR="00DC0F1D">
                <w:t>January</w:t>
              </w:r>
              <w:r>
                <w:t xml:space="preserve"> 2021</w:t>
              </w:r>
              <w:r w:rsidR="00DC0F1D">
                <w:t>)</w:t>
              </w:r>
              <w:r>
                <w:t>.</w:t>
              </w:r>
            </w:p>
            <w:p w14:paraId="15F135C6" w14:textId="77777777" w:rsidR="00DC0F1D" w:rsidRPr="00DC0F1D" w:rsidRDefault="00DC0F1D" w:rsidP="00DC0F1D"/>
            <w:p w14:paraId="162B547A" w14:textId="5CB064CA" w:rsidR="00A36CD0" w:rsidRDefault="00A36CD0" w:rsidP="00DC0F1D">
              <w:pPr>
                <w:pStyle w:val="Bibliography"/>
                <w:spacing w:line="240" w:lineRule="auto"/>
                <w:contextualSpacing/>
                <w:jc w:val="left"/>
              </w:pPr>
              <w:r>
                <w:t>Jamasmie, C.</w:t>
              </w:r>
              <w:r w:rsidR="00DC0F1D">
                <w:t xml:space="preserve"> (2</w:t>
              </w:r>
              <w:r>
                <w:t>020</w:t>
              </w:r>
              <w:r w:rsidR="00DC0F1D">
                <w:t>)</w:t>
              </w:r>
              <w:r>
                <w:t xml:space="preserve"> </w:t>
              </w:r>
              <w:r>
                <w:rPr>
                  <w:i/>
                  <w:iCs/>
                </w:rPr>
                <w:t xml:space="preserve">Covid-19 robs diamond sector of recovery hopes. </w:t>
              </w:r>
              <w:r>
                <w:t xml:space="preserve">Available at: </w:t>
              </w:r>
              <w:r>
                <w:rPr>
                  <w:u w:val="single"/>
                </w:rPr>
                <w:t>https://www.mining.com/covid-19-robs-diamond-sector-of-recovery-hopes/</w:t>
              </w:r>
              <w:r>
                <w:br/>
              </w:r>
              <w:r w:rsidR="00DC0F1D">
                <w:t>(</w:t>
              </w:r>
              <w:r>
                <w:t xml:space="preserve">Accessed 25 </w:t>
              </w:r>
              <w:r w:rsidR="00DC0F1D">
                <w:t>January</w:t>
              </w:r>
              <w:r>
                <w:t xml:space="preserve"> 2021</w:t>
              </w:r>
              <w:r w:rsidR="00DC0F1D">
                <w:t>)</w:t>
              </w:r>
              <w:r>
                <w:t>.</w:t>
              </w:r>
            </w:p>
            <w:p w14:paraId="76178640" w14:textId="77777777" w:rsidR="00DC0F1D" w:rsidRPr="00DC0F1D" w:rsidRDefault="00DC0F1D" w:rsidP="00DC0F1D"/>
            <w:p w14:paraId="17547C5A" w14:textId="4A324427" w:rsidR="00A36CD0" w:rsidRDefault="00A36CD0" w:rsidP="00DC0F1D">
              <w:pPr>
                <w:pStyle w:val="Bibliography"/>
                <w:spacing w:line="240" w:lineRule="auto"/>
                <w:contextualSpacing/>
                <w:jc w:val="left"/>
              </w:pPr>
              <w:r>
                <w:t>Kicto Metals Inc.</w:t>
              </w:r>
              <w:r w:rsidR="00DC0F1D">
                <w:t xml:space="preserve"> (</w:t>
              </w:r>
              <w:r>
                <w:t>2021</w:t>
              </w:r>
              <w:r w:rsidR="00DC0F1D">
                <w:t>)</w:t>
              </w:r>
              <w:r>
                <w:t xml:space="preserve"> </w:t>
              </w:r>
              <w:r>
                <w:rPr>
                  <w:i/>
                  <w:iCs/>
                </w:rPr>
                <w:t>Gold In Hongkong Dollar per ounce - (GOLD).</w:t>
              </w:r>
              <w:r w:rsidR="00DC0F1D">
                <w:rPr>
                  <w:i/>
                  <w:iCs/>
                </w:rPr>
                <w:t xml:space="preserve"> </w:t>
              </w:r>
              <w:r>
                <w:t xml:space="preserve">Available at: </w:t>
              </w:r>
              <w:r>
                <w:rPr>
                  <w:u w:val="single"/>
                </w:rPr>
                <w:t>https://www.kitco.com/charts/interactive-charts/?utm_source=kitco&amp;utm_medium=banner&amp;utm_content=20110407_iCharts_live_gold_ny_chart&amp;utm_campaign=iCharts</w:t>
              </w:r>
              <w:r w:rsidR="00DC0F1D">
                <w:rPr>
                  <w:u w:val="single"/>
                </w:rPr>
                <w:t xml:space="preserve"> </w:t>
              </w:r>
              <w:r w:rsidR="00DC0F1D">
                <w:t>(</w:t>
              </w:r>
              <w:r>
                <w:t>Accessed</w:t>
              </w:r>
              <w:r w:rsidR="00DC0F1D">
                <w:t>:</w:t>
              </w:r>
              <w:r>
                <w:t xml:space="preserve"> 3 </w:t>
              </w:r>
              <w:r w:rsidR="00DC0F1D">
                <w:t>Feburary</w:t>
              </w:r>
              <w:r>
                <w:t xml:space="preserve"> 2021</w:t>
              </w:r>
              <w:r w:rsidR="00DC0F1D">
                <w:t>)</w:t>
              </w:r>
              <w:r>
                <w:t>.</w:t>
              </w:r>
            </w:p>
            <w:p w14:paraId="056D5680" w14:textId="77777777" w:rsidR="00DC0F1D" w:rsidRPr="00DC0F1D" w:rsidRDefault="00DC0F1D" w:rsidP="00DC0F1D"/>
            <w:p w14:paraId="1F334CBC" w14:textId="277787F5" w:rsidR="00A36CD0" w:rsidRDefault="00A36CD0" w:rsidP="00DC0F1D">
              <w:pPr>
                <w:pStyle w:val="Bibliography"/>
                <w:spacing w:line="240" w:lineRule="auto"/>
                <w:contextualSpacing/>
                <w:jc w:val="left"/>
              </w:pPr>
              <w:r>
                <w:t>Legislative Council Secretariat</w:t>
              </w:r>
              <w:r w:rsidR="00DC0F1D">
                <w:t xml:space="preserve"> (</w:t>
              </w:r>
              <w:r>
                <w:t>2020</w:t>
              </w:r>
              <w:r w:rsidR="00DC0F1D">
                <w:t>)</w:t>
              </w:r>
              <w:r>
                <w:t xml:space="preserve"> </w:t>
              </w:r>
              <w:r>
                <w:rPr>
                  <w:i/>
                  <w:iCs/>
                </w:rPr>
                <w:t>Information Technology and Broadcasting.</w:t>
              </w:r>
              <w:r w:rsidR="00DC0F1D">
                <w:rPr>
                  <w:i/>
                  <w:iCs/>
                </w:rPr>
                <w:t xml:space="preserve"> </w:t>
              </w:r>
              <w:r>
                <w:t xml:space="preserve">Available at: </w:t>
              </w:r>
              <w:r>
                <w:rPr>
                  <w:u w:val="single"/>
                </w:rPr>
                <w:t>https://www.legco.gov.hk/research-publications/english/1920issh34-e-commerce-in-hong-kong-20200708-e.pdf</w:t>
              </w:r>
              <w:r w:rsidR="00DC0F1D">
                <w:rPr>
                  <w:u w:val="single"/>
                </w:rPr>
                <w:t xml:space="preserve"> (</w:t>
              </w:r>
              <w:r>
                <w:t>Accessed</w:t>
              </w:r>
              <w:r w:rsidR="00DC0F1D">
                <w:t>:</w:t>
              </w:r>
              <w:r>
                <w:t xml:space="preserve"> 25 </w:t>
              </w:r>
              <w:r w:rsidR="00DC0F1D">
                <w:t>January</w:t>
              </w:r>
              <w:r>
                <w:t xml:space="preserve"> 2021</w:t>
              </w:r>
              <w:r w:rsidR="00DC0F1D">
                <w:t>)</w:t>
              </w:r>
              <w:r>
                <w:t>.</w:t>
              </w:r>
            </w:p>
            <w:p w14:paraId="2FA78D9C" w14:textId="77777777" w:rsidR="00DC0F1D" w:rsidRPr="00DC0F1D" w:rsidRDefault="00DC0F1D" w:rsidP="00DC0F1D"/>
            <w:p w14:paraId="0E137914" w14:textId="132A2CF4" w:rsidR="00A36CD0" w:rsidRDefault="00A36CD0" w:rsidP="00DC0F1D">
              <w:pPr>
                <w:pStyle w:val="Bibliography"/>
                <w:spacing w:line="240" w:lineRule="auto"/>
                <w:contextualSpacing/>
                <w:jc w:val="left"/>
              </w:pPr>
              <w:r>
                <w:t>Liu, P.</w:t>
              </w:r>
              <w:r w:rsidR="00DC0F1D">
                <w:t xml:space="preserve"> (</w:t>
              </w:r>
              <w:r>
                <w:t>2020</w:t>
              </w:r>
              <w:r w:rsidR="00DC0F1D">
                <w:t>)</w:t>
              </w:r>
              <w:r>
                <w:t xml:space="preserve"> </w:t>
              </w:r>
              <w:r>
                <w:rPr>
                  <w:i/>
                  <w:iCs/>
                </w:rPr>
                <w:t>Chow Tai Fook, Sa Sa to shut protest-hit stores in signs Hong Kong</w:t>
              </w:r>
              <w:r w:rsidR="00F47D48">
                <w:rPr>
                  <w:i/>
                  <w:iCs/>
                </w:rPr>
                <w:t>'</w:t>
              </w:r>
              <w:r>
                <w:rPr>
                  <w:i/>
                  <w:iCs/>
                </w:rPr>
                <w:t xml:space="preserve">s retail slump to persist in 2020. </w:t>
              </w:r>
              <w:r>
                <w:t xml:space="preserve">Available at: </w:t>
              </w:r>
              <w:r>
                <w:rPr>
                  <w:u w:val="single"/>
                </w:rPr>
                <w:t>https://www.scmp.com/business/companies/article/3046170/chow-tai-fook-shut-protest-hit-stores-sign-hong-kongs-retail</w:t>
              </w:r>
              <w:r w:rsidR="00DC0F1D">
                <w:rPr>
                  <w:u w:val="single"/>
                </w:rPr>
                <w:t xml:space="preserve"> </w:t>
              </w:r>
              <w:r w:rsidR="00DC0F1D">
                <w:t>(</w:t>
              </w:r>
              <w:r>
                <w:t>Accessed</w:t>
              </w:r>
              <w:r w:rsidR="00DC0F1D">
                <w:t>:</w:t>
              </w:r>
              <w:r>
                <w:t xml:space="preserve"> 25 </w:t>
              </w:r>
              <w:r w:rsidR="00DC0F1D">
                <w:t>January</w:t>
              </w:r>
              <w:r>
                <w:t xml:space="preserve"> 2021</w:t>
              </w:r>
              <w:r w:rsidR="00DC0F1D">
                <w:t>)</w:t>
              </w:r>
              <w:r>
                <w:t>.</w:t>
              </w:r>
            </w:p>
            <w:p w14:paraId="12BC0C1C" w14:textId="77777777" w:rsidR="00DC0F1D" w:rsidRPr="00DC0F1D" w:rsidRDefault="00DC0F1D" w:rsidP="00DC0F1D"/>
            <w:p w14:paraId="1C18B143" w14:textId="2C24A21A" w:rsidR="00A36CD0" w:rsidRDefault="00A36CD0" w:rsidP="00DC0F1D">
              <w:pPr>
                <w:pStyle w:val="Bibliography"/>
                <w:spacing w:line="240" w:lineRule="auto"/>
                <w:contextualSpacing/>
                <w:jc w:val="left"/>
              </w:pPr>
              <w:r>
                <w:t>Lord, R.</w:t>
              </w:r>
              <w:r w:rsidR="00DC0F1D">
                <w:t xml:space="preserve"> (</w:t>
              </w:r>
              <w:r>
                <w:t>2021</w:t>
              </w:r>
              <w:r w:rsidR="00DC0F1D">
                <w:t>)</w:t>
              </w:r>
              <w:r>
                <w:t xml:space="preserve"> </w:t>
              </w:r>
              <w:r>
                <w:rPr>
                  <w:i/>
                  <w:iCs/>
                </w:rPr>
                <w:t>How Chow Tai Fook became one of the biggest gold and jewellery chains in the world</w:t>
              </w:r>
              <w:r w:rsidR="00DC0F1D">
                <w:rPr>
                  <w:i/>
                  <w:iCs/>
                </w:rPr>
                <w:t xml:space="preserve">. </w:t>
              </w:r>
              <w:r>
                <w:t xml:space="preserve">Available at: </w:t>
              </w:r>
              <w:r>
                <w:rPr>
                  <w:u w:val="single"/>
                </w:rPr>
                <w:t>https://www.scmp.com/lifestyle/fashion-beauty/article/3117846/how-chow-tai-fook-became-one-biggest-gold-and-jewellery</w:t>
              </w:r>
              <w:r w:rsidR="00DC0F1D">
                <w:rPr>
                  <w:u w:val="single"/>
                </w:rPr>
                <w:t xml:space="preserve"> </w:t>
              </w:r>
              <w:r w:rsidR="00DC0F1D">
                <w:t>(</w:t>
              </w:r>
              <w:r>
                <w:t>Accessed</w:t>
              </w:r>
              <w:r w:rsidR="00DC0F1D">
                <w:t>:</w:t>
              </w:r>
              <w:r>
                <w:t xml:space="preserve"> 25 </w:t>
              </w:r>
              <w:r w:rsidR="00DC0F1D">
                <w:t>January</w:t>
              </w:r>
              <w:r>
                <w:t xml:space="preserve"> 2021</w:t>
              </w:r>
              <w:r w:rsidR="00DC0F1D">
                <w:t>)</w:t>
              </w:r>
              <w:r>
                <w:t>.</w:t>
              </w:r>
            </w:p>
            <w:p w14:paraId="146B928B" w14:textId="77777777" w:rsidR="00DC0F1D" w:rsidRPr="00DC0F1D" w:rsidRDefault="00DC0F1D" w:rsidP="00DC0F1D"/>
            <w:p w14:paraId="7A550545" w14:textId="5E5D4D80" w:rsidR="00A36CD0" w:rsidRDefault="00A36CD0" w:rsidP="00DC0F1D">
              <w:pPr>
                <w:pStyle w:val="Bibliography"/>
                <w:spacing w:line="240" w:lineRule="auto"/>
                <w:contextualSpacing/>
                <w:jc w:val="left"/>
              </w:pPr>
              <w:r>
                <w:t>Luk Fook</w:t>
              </w:r>
              <w:r w:rsidR="00DC0F1D">
                <w:t xml:space="preserve"> (</w:t>
              </w:r>
              <w:r>
                <w:t>2019</w:t>
              </w:r>
              <w:r w:rsidR="00DC0F1D">
                <w:t>)</w:t>
              </w:r>
              <w:r>
                <w:t xml:space="preserve"> </w:t>
              </w:r>
              <w:r>
                <w:rPr>
                  <w:i/>
                  <w:iCs/>
                </w:rPr>
                <w:t xml:space="preserve">Annual Report 2018/2019. </w:t>
              </w:r>
              <w:r>
                <w:t xml:space="preserve">Available at: </w:t>
              </w:r>
              <w:r>
                <w:rPr>
                  <w:u w:val="single"/>
                </w:rPr>
                <w:t>https://www.lukfook.com/wp-content/uploads/2019/07/cw_00590ar-27062019.pdf</w:t>
              </w:r>
              <w:r w:rsidR="00DC0F1D">
                <w:rPr>
                  <w:u w:val="single"/>
                </w:rPr>
                <w:t xml:space="preserve"> (</w:t>
              </w:r>
              <w:r>
                <w:t>Accessed</w:t>
              </w:r>
              <w:r w:rsidR="00DC0F1D">
                <w:t>:</w:t>
              </w:r>
              <w:r>
                <w:t xml:space="preserve"> </w:t>
              </w:r>
              <w:r w:rsidR="00DC0F1D">
                <w:t>25</w:t>
              </w:r>
              <w:r>
                <w:t xml:space="preserve"> </w:t>
              </w:r>
              <w:r w:rsidR="00DC0F1D">
                <w:t>January</w:t>
              </w:r>
              <w:r>
                <w:t xml:space="preserve"> 202</w:t>
              </w:r>
              <w:r w:rsidR="00DC0F1D">
                <w:t>1)</w:t>
              </w:r>
              <w:r>
                <w:t>.</w:t>
              </w:r>
            </w:p>
            <w:p w14:paraId="3C7304C9" w14:textId="77777777" w:rsidR="00DC0F1D" w:rsidRPr="00DC0F1D" w:rsidRDefault="00DC0F1D" w:rsidP="00DC0F1D"/>
            <w:p w14:paraId="2AB80F2B" w14:textId="504E4A6E" w:rsidR="00A36CD0" w:rsidRDefault="00A36CD0" w:rsidP="00DC0F1D">
              <w:pPr>
                <w:pStyle w:val="Bibliography"/>
                <w:spacing w:line="240" w:lineRule="auto"/>
                <w:contextualSpacing/>
                <w:jc w:val="left"/>
              </w:pPr>
              <w:r>
                <w:t>LVMH</w:t>
              </w:r>
              <w:r w:rsidR="00DC0F1D">
                <w:t xml:space="preserve"> (</w:t>
              </w:r>
              <w:r>
                <w:t>2021</w:t>
              </w:r>
              <w:r w:rsidR="00DC0F1D">
                <w:t>)</w:t>
              </w:r>
              <w:r>
                <w:t xml:space="preserve"> </w:t>
              </w:r>
              <w:r>
                <w:rPr>
                  <w:i/>
                  <w:iCs/>
                </w:rPr>
                <w:t>LVMH completes the acquisition of Tiffany &amp; Co.</w:t>
              </w:r>
              <w:r w:rsidR="00DC0F1D">
                <w:rPr>
                  <w:i/>
                  <w:iCs/>
                </w:rPr>
                <w:t xml:space="preserve"> </w:t>
              </w:r>
              <w:r>
                <w:t xml:space="preserve">Available at: </w:t>
              </w:r>
              <w:r>
                <w:rPr>
                  <w:u w:val="single"/>
                </w:rPr>
                <w:t>https://www.lvmh.com/news-documents/press-releases/lvmh-completes-the-acquisition-of-tiffany-and-co/</w:t>
              </w:r>
              <w:r w:rsidR="00DC0F1D">
                <w:rPr>
                  <w:u w:val="single"/>
                </w:rPr>
                <w:t xml:space="preserve"> (</w:t>
              </w:r>
              <w:r>
                <w:t>Accessed</w:t>
              </w:r>
              <w:r w:rsidR="00DC0F1D">
                <w:t>:</w:t>
              </w:r>
              <w:r>
                <w:t xml:space="preserve"> 4 </w:t>
              </w:r>
              <w:r w:rsidR="00DC0F1D">
                <w:t>Feburary</w:t>
              </w:r>
              <w:r>
                <w:t xml:space="preserve"> 2021</w:t>
              </w:r>
              <w:r w:rsidR="00DC0F1D">
                <w:t>)</w:t>
              </w:r>
              <w:r>
                <w:t>.</w:t>
              </w:r>
            </w:p>
            <w:p w14:paraId="668A2D02" w14:textId="77777777" w:rsidR="00DC0F1D" w:rsidRPr="00DC0F1D" w:rsidRDefault="00DC0F1D" w:rsidP="00DC0F1D"/>
            <w:p w14:paraId="722ABC0F" w14:textId="63260840" w:rsidR="00A36CD0" w:rsidRDefault="00A36CD0" w:rsidP="00DC0F1D">
              <w:pPr>
                <w:pStyle w:val="Bibliography"/>
                <w:spacing w:line="240" w:lineRule="auto"/>
                <w:contextualSpacing/>
                <w:jc w:val="left"/>
              </w:pPr>
              <w:r>
                <w:t>Magramo, K.</w:t>
              </w:r>
              <w:r w:rsidR="00DC0F1D">
                <w:t xml:space="preserve"> (</w:t>
              </w:r>
              <w:r>
                <w:t>2020</w:t>
              </w:r>
              <w:r w:rsidR="00DC0F1D">
                <w:t>)</w:t>
              </w:r>
              <w:r>
                <w:t xml:space="preserve"> </w:t>
              </w:r>
              <w:r>
                <w:rPr>
                  <w:i/>
                  <w:iCs/>
                </w:rPr>
                <w:t xml:space="preserve">South China Morning Post. </w:t>
              </w:r>
              <w:r>
                <w:t xml:space="preserve">Available at: </w:t>
              </w:r>
              <w:r>
                <w:rPr>
                  <w:u w:val="single"/>
                </w:rPr>
                <w:t>https://www.scmp.com/business/article/3046618/hong-kongs-chow-tai-fook-worlds-second-largest-jewellery-retailer-kicks</w:t>
              </w:r>
              <w:r w:rsidR="00DC0F1D">
                <w:rPr>
                  <w:u w:val="single"/>
                </w:rPr>
                <w:t xml:space="preserve"> (</w:t>
              </w:r>
              <w:r>
                <w:t xml:space="preserve">Accessed </w:t>
              </w:r>
              <w:r w:rsidR="00DC0F1D">
                <w:t>4</w:t>
              </w:r>
              <w:r>
                <w:t xml:space="preserve"> </w:t>
              </w:r>
              <w:r w:rsidR="00DC0F1D">
                <w:t>Feburary</w:t>
              </w:r>
              <w:r>
                <w:t xml:space="preserve"> 202</w:t>
              </w:r>
              <w:r w:rsidR="00DC0F1D">
                <w:t>1)</w:t>
              </w:r>
              <w:r>
                <w:t>.</w:t>
              </w:r>
            </w:p>
            <w:p w14:paraId="45177291" w14:textId="77777777" w:rsidR="00DC0F1D" w:rsidRPr="00DC0F1D" w:rsidRDefault="00DC0F1D" w:rsidP="00DC0F1D"/>
            <w:p w14:paraId="0F8CDD3C" w14:textId="1AAE5D63" w:rsidR="00A36CD0" w:rsidRDefault="00A36CD0" w:rsidP="00DC0F1D">
              <w:pPr>
                <w:pStyle w:val="Bibliography"/>
                <w:spacing w:line="240" w:lineRule="auto"/>
                <w:contextualSpacing/>
                <w:jc w:val="left"/>
              </w:pPr>
              <w:r>
                <w:t>Pedersen, J. G.</w:t>
              </w:r>
              <w:r w:rsidR="00DC0F1D">
                <w:t xml:space="preserve"> (</w:t>
              </w:r>
              <w:r>
                <w:t>2019</w:t>
              </w:r>
              <w:r w:rsidR="00DC0F1D">
                <w:t>)</w:t>
              </w:r>
              <w:r>
                <w:t xml:space="preserve"> </w:t>
              </w:r>
              <w:r>
                <w:rPr>
                  <w:i/>
                  <w:iCs/>
                </w:rPr>
                <w:t xml:space="preserve">Struggling jewellery maker Pandora to relaunch brand at LA event. </w:t>
              </w:r>
              <w:r>
                <w:t xml:space="preserve">Available at: </w:t>
              </w:r>
              <w:r>
                <w:rPr>
                  <w:u w:val="single"/>
                </w:rPr>
                <w:t>https://www.reuters.com/article/pandora-strategy/struggling-jewellery-maker-pandora-to-relaunch-brand-at-la-event-idINKCN1VI2FS</w:t>
              </w:r>
              <w:r w:rsidR="00DC0F1D">
                <w:t xml:space="preserve"> (</w:t>
              </w:r>
              <w:r>
                <w:t>Accessed</w:t>
              </w:r>
              <w:r w:rsidR="00DC0F1D">
                <w:t>:</w:t>
              </w:r>
              <w:r>
                <w:t xml:space="preserve"> 4 </w:t>
              </w:r>
              <w:r w:rsidR="00DC0F1D">
                <w:t>Feburary</w:t>
              </w:r>
              <w:r>
                <w:t xml:space="preserve"> 2021</w:t>
              </w:r>
              <w:r w:rsidR="00DC0F1D">
                <w:t>)</w:t>
              </w:r>
              <w:r>
                <w:t>.</w:t>
              </w:r>
            </w:p>
            <w:p w14:paraId="2E416DF1" w14:textId="77777777" w:rsidR="00DC0F1D" w:rsidRPr="00DC0F1D" w:rsidRDefault="00DC0F1D" w:rsidP="00DC0F1D"/>
            <w:p w14:paraId="36037BC5" w14:textId="12D879BC" w:rsidR="00A36CD0" w:rsidRDefault="00A36CD0" w:rsidP="00DC0F1D">
              <w:pPr>
                <w:pStyle w:val="Bibliography"/>
                <w:spacing w:line="240" w:lineRule="auto"/>
                <w:contextualSpacing/>
                <w:jc w:val="left"/>
              </w:pPr>
              <w:r>
                <w:lastRenderedPageBreak/>
                <w:t>Rapaport USA Inc.</w:t>
              </w:r>
              <w:r w:rsidR="00DC0F1D">
                <w:t xml:space="preserve"> (</w:t>
              </w:r>
              <w:r>
                <w:t>2020</w:t>
              </w:r>
              <w:r w:rsidR="00DC0F1D">
                <w:t>)</w:t>
              </w:r>
              <w:r>
                <w:t xml:space="preserve"> </w:t>
              </w:r>
              <w:r>
                <w:rPr>
                  <w:i/>
                  <w:iCs/>
                </w:rPr>
                <w:t xml:space="preserve">Rapaport Press Release: Diamond Markets Return Cautiously. </w:t>
              </w:r>
              <w:r>
                <w:br/>
                <w:t xml:space="preserve">Available at: </w:t>
              </w:r>
              <w:r>
                <w:rPr>
                  <w:u w:val="single"/>
                </w:rPr>
                <w:t>https://www.businesswire.com/news/home/20200602005496/en/Rapaport-Press-Release-Diamond-Markets-Return-Cautiously</w:t>
              </w:r>
              <w:r w:rsidR="00DC0F1D">
                <w:rPr>
                  <w:u w:val="single"/>
                </w:rPr>
                <w:t xml:space="preserve"> </w:t>
              </w:r>
              <w:r w:rsidR="00DC0F1D">
                <w:t>(</w:t>
              </w:r>
              <w:r>
                <w:t>Accessed</w:t>
              </w:r>
              <w:r w:rsidR="00DC0F1D">
                <w:t>:</w:t>
              </w:r>
              <w:r>
                <w:t xml:space="preserve"> 25 </w:t>
              </w:r>
              <w:r w:rsidR="00DC0F1D">
                <w:t>January</w:t>
              </w:r>
              <w:r>
                <w:t xml:space="preserve"> 2021</w:t>
              </w:r>
              <w:r w:rsidR="00DC0F1D">
                <w:t>)</w:t>
              </w:r>
              <w:r>
                <w:t>.</w:t>
              </w:r>
            </w:p>
            <w:p w14:paraId="15C2EC27" w14:textId="77777777" w:rsidR="00DC0F1D" w:rsidRPr="00DC0F1D" w:rsidRDefault="00DC0F1D" w:rsidP="00DC0F1D"/>
            <w:p w14:paraId="48700FCC" w14:textId="59FCE388" w:rsidR="00A36CD0" w:rsidRDefault="00A36CD0" w:rsidP="00DC0F1D">
              <w:pPr>
                <w:pStyle w:val="Bibliography"/>
                <w:spacing w:line="240" w:lineRule="auto"/>
                <w:contextualSpacing/>
                <w:jc w:val="left"/>
              </w:pPr>
              <w:r>
                <w:t>Tse Sui Luen</w:t>
              </w:r>
              <w:r w:rsidR="00DC0F1D">
                <w:t xml:space="preserve"> (</w:t>
              </w:r>
              <w:r>
                <w:t>2019</w:t>
              </w:r>
              <w:r w:rsidR="00DC0F1D">
                <w:t>)</w:t>
              </w:r>
              <w:r>
                <w:t xml:space="preserve"> </w:t>
              </w:r>
              <w:r>
                <w:rPr>
                  <w:i/>
                  <w:iCs/>
                </w:rPr>
                <w:t xml:space="preserve">Annual Report 2018/2019. </w:t>
              </w:r>
              <w:r>
                <w:t xml:space="preserve">Available at: </w:t>
              </w:r>
              <w:r>
                <w:rPr>
                  <w:u w:val="single"/>
                </w:rPr>
                <w:t>https://doc.irasia.com/listco/hk/tsesuiluen/annual/ar215560-e00417_annualreport2018_19.pdf</w:t>
              </w:r>
              <w:r>
                <w:br/>
              </w:r>
              <w:r w:rsidR="00DC0F1D">
                <w:t>(</w:t>
              </w:r>
              <w:r>
                <w:t>Accessed</w:t>
              </w:r>
              <w:r w:rsidR="00DC0F1D">
                <w:t>:</w:t>
              </w:r>
              <w:r>
                <w:t xml:space="preserve"> </w:t>
              </w:r>
              <w:r w:rsidR="00DC0F1D">
                <w:t>25</w:t>
              </w:r>
              <w:r>
                <w:t xml:space="preserve"> </w:t>
              </w:r>
              <w:r w:rsidR="00DC0F1D">
                <w:t>January</w:t>
              </w:r>
              <w:r>
                <w:t xml:space="preserve"> 2020</w:t>
              </w:r>
              <w:r w:rsidR="00DC0F1D">
                <w:t>)</w:t>
              </w:r>
              <w:r>
                <w:t>.</w:t>
              </w:r>
            </w:p>
            <w:p w14:paraId="55B1C427" w14:textId="77777777" w:rsidR="00DC0F1D" w:rsidRPr="00DC0F1D" w:rsidRDefault="00DC0F1D" w:rsidP="00DC0F1D"/>
            <w:p w14:paraId="36D3EE5E" w14:textId="17A2D898" w:rsidR="00A36CD0" w:rsidRDefault="00A36CD0" w:rsidP="00DC0F1D">
              <w:pPr>
                <w:pStyle w:val="Bibliography"/>
                <w:spacing w:line="240" w:lineRule="auto"/>
                <w:contextualSpacing/>
                <w:jc w:val="left"/>
              </w:pPr>
              <w:r>
                <w:t>Yiu, E.</w:t>
              </w:r>
              <w:r w:rsidR="00DC0F1D">
                <w:t xml:space="preserve"> (</w:t>
              </w:r>
              <w:r>
                <w:t>2015</w:t>
              </w:r>
              <w:r w:rsidR="00DC0F1D">
                <w:t>)</w:t>
              </w:r>
              <w:r>
                <w:t xml:space="preserve"> </w:t>
              </w:r>
              <w:r>
                <w:rPr>
                  <w:i/>
                  <w:iCs/>
                </w:rPr>
                <w:t xml:space="preserve">South China Morning Post. </w:t>
              </w:r>
              <w:r>
                <w:t xml:space="preserve">Available at: </w:t>
              </w:r>
              <w:r>
                <w:rPr>
                  <w:u w:val="single"/>
                </w:rPr>
                <w:t>https://www.scmp.com/business/companies/article/1814717/when-it-comes-jewellery-chinese-believe-local-companies-are-best</w:t>
              </w:r>
              <w:r w:rsidR="00DC0F1D">
                <w:rPr>
                  <w:u w:val="single"/>
                </w:rPr>
                <w:t xml:space="preserve"> </w:t>
              </w:r>
              <w:r w:rsidR="00DC0F1D">
                <w:t>(</w:t>
              </w:r>
              <w:r>
                <w:t>Accessed</w:t>
              </w:r>
              <w:r w:rsidR="00DC0F1D">
                <w:t>:</w:t>
              </w:r>
              <w:r>
                <w:t xml:space="preserve"> </w:t>
              </w:r>
              <w:r w:rsidR="00DC0F1D">
                <w:t>25</w:t>
              </w:r>
              <w:r>
                <w:t xml:space="preserve"> </w:t>
              </w:r>
              <w:r w:rsidR="00DC0F1D">
                <w:t>January</w:t>
              </w:r>
              <w:r>
                <w:t xml:space="preserve"> 2020</w:t>
              </w:r>
              <w:r w:rsidR="00DC0F1D">
                <w:t>)</w:t>
              </w:r>
              <w:r>
                <w:t>.</w:t>
              </w:r>
            </w:p>
            <w:p w14:paraId="512D450D" w14:textId="178754AA" w:rsidR="00A36CD0" w:rsidRDefault="00A36CD0" w:rsidP="00DC0F1D">
              <w:pPr>
                <w:spacing w:line="240" w:lineRule="auto"/>
                <w:contextualSpacing/>
                <w:jc w:val="left"/>
              </w:pPr>
              <w:r>
                <w:rPr>
                  <w:b/>
                  <w:bCs/>
                </w:rPr>
                <w:fldChar w:fldCharType="end"/>
              </w:r>
            </w:p>
          </w:sdtContent>
        </w:sdt>
      </w:sdtContent>
    </w:sdt>
    <w:p w14:paraId="3F5CFA07" w14:textId="77777777" w:rsidR="00625772" w:rsidRDefault="00625772" w:rsidP="00DC0F1D">
      <w:pPr>
        <w:spacing w:line="240" w:lineRule="auto"/>
        <w:contextualSpacing/>
        <w:jc w:val="left"/>
      </w:pPr>
    </w:p>
    <w:sectPr w:rsidR="00625772" w:rsidSect="001F7F4D">
      <w:footerReference w:type="first" r:id="rId38"/>
      <w:pgSz w:w="11906" w:h="16838" w:code="9"/>
      <w:pgMar w:top="1418" w:right="1418" w:bottom="1418" w:left="1418" w:header="720" w:footer="720" w:gutter="0"/>
      <w:pgNumType w:fmt="numberInDash"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DCAFFE" w14:textId="77777777" w:rsidR="00174F95" w:rsidRDefault="00174F95" w:rsidP="00EC5520">
      <w:r>
        <w:separator/>
      </w:r>
    </w:p>
  </w:endnote>
  <w:endnote w:type="continuationSeparator" w:id="0">
    <w:p w14:paraId="783A4264" w14:textId="77777777" w:rsidR="00174F95" w:rsidRDefault="00174F95" w:rsidP="00EC5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CFAB0" w14:textId="77777777" w:rsidR="00F05610" w:rsidRDefault="00F056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768234584"/>
      <w:docPartObj>
        <w:docPartGallery w:val="Page Numbers (Bottom of Page)"/>
        <w:docPartUnique/>
      </w:docPartObj>
    </w:sdtPr>
    <w:sdtEndPr>
      <w:rPr>
        <w:noProof/>
      </w:rPr>
    </w:sdtEndPr>
    <w:sdtContent>
      <w:p w14:paraId="4AB4D705" w14:textId="0916D09A" w:rsidR="00F05610" w:rsidRDefault="00F05610" w:rsidP="00EB0BD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A2670B7" w14:textId="77777777" w:rsidR="00F05610" w:rsidRPr="00DE615E" w:rsidRDefault="00F05610" w:rsidP="00EC55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93B72" w14:textId="77777777" w:rsidR="00F05610" w:rsidRDefault="00F0561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C1DE1B" w14:textId="77777777" w:rsidR="00F05610" w:rsidRDefault="00F05610" w:rsidP="00FC4007">
    <w:pPr>
      <w:jc w:val="right"/>
    </w:pPr>
    <w:r w:rsidRPr="00715F12">
      <w:pgNum/>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3E4CE" w14:textId="77777777" w:rsidR="00174F95" w:rsidRDefault="00174F95" w:rsidP="00EC5520">
      <w:r>
        <w:separator/>
      </w:r>
    </w:p>
  </w:footnote>
  <w:footnote w:type="continuationSeparator" w:id="0">
    <w:p w14:paraId="2118BDD0" w14:textId="77777777" w:rsidR="00174F95" w:rsidRDefault="00174F95" w:rsidP="00EC5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B2D948" w14:textId="77777777" w:rsidR="00F05610" w:rsidRDefault="00F056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9D724" w14:textId="77777777" w:rsidR="00F05610" w:rsidRDefault="00F056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ED6A3" w14:textId="77777777" w:rsidR="00F05610" w:rsidRDefault="00F056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42B1E"/>
    <w:multiLevelType w:val="multilevel"/>
    <w:tmpl w:val="C98E03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2F521F"/>
    <w:multiLevelType w:val="multilevel"/>
    <w:tmpl w:val="75E8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9D4C3A"/>
    <w:multiLevelType w:val="hybridMultilevel"/>
    <w:tmpl w:val="03ECB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110DF1"/>
    <w:multiLevelType w:val="hybridMultilevel"/>
    <w:tmpl w:val="1116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6E1396"/>
    <w:multiLevelType w:val="hybridMultilevel"/>
    <w:tmpl w:val="1BD65C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4653CB1"/>
    <w:multiLevelType w:val="hybridMultilevel"/>
    <w:tmpl w:val="1B54B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6E0C98"/>
    <w:multiLevelType w:val="multilevel"/>
    <w:tmpl w:val="A864B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8C062A"/>
    <w:multiLevelType w:val="hybridMultilevel"/>
    <w:tmpl w:val="5032EACC"/>
    <w:lvl w:ilvl="0" w:tplc="3BA6E19E">
      <w:start w:val="1"/>
      <w:numFmt w:val="bullet"/>
      <w:lvlText w:val="•"/>
      <w:lvlJc w:val="left"/>
      <w:pPr>
        <w:tabs>
          <w:tab w:val="num" w:pos="720"/>
        </w:tabs>
        <w:ind w:left="720" w:hanging="360"/>
      </w:pPr>
      <w:rPr>
        <w:rFonts w:ascii="Times New Roman" w:hAnsi="Times New Roman" w:hint="default"/>
      </w:rPr>
    </w:lvl>
    <w:lvl w:ilvl="1" w:tplc="109EE6BC" w:tentative="1">
      <w:start w:val="1"/>
      <w:numFmt w:val="bullet"/>
      <w:lvlText w:val="•"/>
      <w:lvlJc w:val="left"/>
      <w:pPr>
        <w:tabs>
          <w:tab w:val="num" w:pos="1440"/>
        </w:tabs>
        <w:ind w:left="1440" w:hanging="360"/>
      </w:pPr>
      <w:rPr>
        <w:rFonts w:ascii="Times New Roman" w:hAnsi="Times New Roman" w:hint="default"/>
      </w:rPr>
    </w:lvl>
    <w:lvl w:ilvl="2" w:tplc="7C8EF3C0" w:tentative="1">
      <w:start w:val="1"/>
      <w:numFmt w:val="bullet"/>
      <w:lvlText w:val="•"/>
      <w:lvlJc w:val="left"/>
      <w:pPr>
        <w:tabs>
          <w:tab w:val="num" w:pos="2160"/>
        </w:tabs>
        <w:ind w:left="2160" w:hanging="360"/>
      </w:pPr>
      <w:rPr>
        <w:rFonts w:ascii="Times New Roman" w:hAnsi="Times New Roman" w:hint="default"/>
      </w:rPr>
    </w:lvl>
    <w:lvl w:ilvl="3" w:tplc="B5A64430" w:tentative="1">
      <w:start w:val="1"/>
      <w:numFmt w:val="bullet"/>
      <w:lvlText w:val="•"/>
      <w:lvlJc w:val="left"/>
      <w:pPr>
        <w:tabs>
          <w:tab w:val="num" w:pos="2880"/>
        </w:tabs>
        <w:ind w:left="2880" w:hanging="360"/>
      </w:pPr>
      <w:rPr>
        <w:rFonts w:ascii="Times New Roman" w:hAnsi="Times New Roman" w:hint="default"/>
      </w:rPr>
    </w:lvl>
    <w:lvl w:ilvl="4" w:tplc="4322EF5A" w:tentative="1">
      <w:start w:val="1"/>
      <w:numFmt w:val="bullet"/>
      <w:lvlText w:val="•"/>
      <w:lvlJc w:val="left"/>
      <w:pPr>
        <w:tabs>
          <w:tab w:val="num" w:pos="3600"/>
        </w:tabs>
        <w:ind w:left="3600" w:hanging="360"/>
      </w:pPr>
      <w:rPr>
        <w:rFonts w:ascii="Times New Roman" w:hAnsi="Times New Roman" w:hint="default"/>
      </w:rPr>
    </w:lvl>
    <w:lvl w:ilvl="5" w:tplc="E43EA50E" w:tentative="1">
      <w:start w:val="1"/>
      <w:numFmt w:val="bullet"/>
      <w:lvlText w:val="•"/>
      <w:lvlJc w:val="left"/>
      <w:pPr>
        <w:tabs>
          <w:tab w:val="num" w:pos="4320"/>
        </w:tabs>
        <w:ind w:left="4320" w:hanging="360"/>
      </w:pPr>
      <w:rPr>
        <w:rFonts w:ascii="Times New Roman" w:hAnsi="Times New Roman" w:hint="default"/>
      </w:rPr>
    </w:lvl>
    <w:lvl w:ilvl="6" w:tplc="BC8CD88A" w:tentative="1">
      <w:start w:val="1"/>
      <w:numFmt w:val="bullet"/>
      <w:lvlText w:val="•"/>
      <w:lvlJc w:val="left"/>
      <w:pPr>
        <w:tabs>
          <w:tab w:val="num" w:pos="5040"/>
        </w:tabs>
        <w:ind w:left="5040" w:hanging="360"/>
      </w:pPr>
      <w:rPr>
        <w:rFonts w:ascii="Times New Roman" w:hAnsi="Times New Roman" w:hint="default"/>
      </w:rPr>
    </w:lvl>
    <w:lvl w:ilvl="7" w:tplc="B52A984A" w:tentative="1">
      <w:start w:val="1"/>
      <w:numFmt w:val="bullet"/>
      <w:lvlText w:val="•"/>
      <w:lvlJc w:val="left"/>
      <w:pPr>
        <w:tabs>
          <w:tab w:val="num" w:pos="5760"/>
        </w:tabs>
        <w:ind w:left="5760" w:hanging="360"/>
      </w:pPr>
      <w:rPr>
        <w:rFonts w:ascii="Times New Roman" w:hAnsi="Times New Roman" w:hint="default"/>
      </w:rPr>
    </w:lvl>
    <w:lvl w:ilvl="8" w:tplc="F254113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58665C7"/>
    <w:multiLevelType w:val="hybridMultilevel"/>
    <w:tmpl w:val="BD04F616"/>
    <w:lvl w:ilvl="0" w:tplc="50787E76">
      <w:start w:val="1"/>
      <w:numFmt w:val="bullet"/>
      <w:lvlText w:val="•"/>
      <w:lvlJc w:val="left"/>
      <w:pPr>
        <w:tabs>
          <w:tab w:val="num" w:pos="720"/>
        </w:tabs>
        <w:ind w:left="720" w:hanging="360"/>
      </w:pPr>
      <w:rPr>
        <w:rFonts w:ascii="Times New Roman" w:hAnsi="Times New Roman" w:hint="default"/>
      </w:rPr>
    </w:lvl>
    <w:lvl w:ilvl="1" w:tplc="0390FA98" w:tentative="1">
      <w:start w:val="1"/>
      <w:numFmt w:val="bullet"/>
      <w:lvlText w:val="•"/>
      <w:lvlJc w:val="left"/>
      <w:pPr>
        <w:tabs>
          <w:tab w:val="num" w:pos="1440"/>
        </w:tabs>
        <w:ind w:left="1440" w:hanging="360"/>
      </w:pPr>
      <w:rPr>
        <w:rFonts w:ascii="Times New Roman" w:hAnsi="Times New Roman" w:hint="default"/>
      </w:rPr>
    </w:lvl>
    <w:lvl w:ilvl="2" w:tplc="398879D2" w:tentative="1">
      <w:start w:val="1"/>
      <w:numFmt w:val="bullet"/>
      <w:lvlText w:val="•"/>
      <w:lvlJc w:val="left"/>
      <w:pPr>
        <w:tabs>
          <w:tab w:val="num" w:pos="2160"/>
        </w:tabs>
        <w:ind w:left="2160" w:hanging="360"/>
      </w:pPr>
      <w:rPr>
        <w:rFonts w:ascii="Times New Roman" w:hAnsi="Times New Roman" w:hint="default"/>
      </w:rPr>
    </w:lvl>
    <w:lvl w:ilvl="3" w:tplc="D56E7038" w:tentative="1">
      <w:start w:val="1"/>
      <w:numFmt w:val="bullet"/>
      <w:lvlText w:val="•"/>
      <w:lvlJc w:val="left"/>
      <w:pPr>
        <w:tabs>
          <w:tab w:val="num" w:pos="2880"/>
        </w:tabs>
        <w:ind w:left="2880" w:hanging="360"/>
      </w:pPr>
      <w:rPr>
        <w:rFonts w:ascii="Times New Roman" w:hAnsi="Times New Roman" w:hint="default"/>
      </w:rPr>
    </w:lvl>
    <w:lvl w:ilvl="4" w:tplc="7BB676E4" w:tentative="1">
      <w:start w:val="1"/>
      <w:numFmt w:val="bullet"/>
      <w:lvlText w:val="•"/>
      <w:lvlJc w:val="left"/>
      <w:pPr>
        <w:tabs>
          <w:tab w:val="num" w:pos="3600"/>
        </w:tabs>
        <w:ind w:left="3600" w:hanging="360"/>
      </w:pPr>
      <w:rPr>
        <w:rFonts w:ascii="Times New Roman" w:hAnsi="Times New Roman" w:hint="default"/>
      </w:rPr>
    </w:lvl>
    <w:lvl w:ilvl="5" w:tplc="717E4A10" w:tentative="1">
      <w:start w:val="1"/>
      <w:numFmt w:val="bullet"/>
      <w:lvlText w:val="•"/>
      <w:lvlJc w:val="left"/>
      <w:pPr>
        <w:tabs>
          <w:tab w:val="num" w:pos="4320"/>
        </w:tabs>
        <w:ind w:left="4320" w:hanging="360"/>
      </w:pPr>
      <w:rPr>
        <w:rFonts w:ascii="Times New Roman" w:hAnsi="Times New Roman" w:hint="default"/>
      </w:rPr>
    </w:lvl>
    <w:lvl w:ilvl="6" w:tplc="B82E57A4" w:tentative="1">
      <w:start w:val="1"/>
      <w:numFmt w:val="bullet"/>
      <w:lvlText w:val="•"/>
      <w:lvlJc w:val="left"/>
      <w:pPr>
        <w:tabs>
          <w:tab w:val="num" w:pos="5040"/>
        </w:tabs>
        <w:ind w:left="5040" w:hanging="360"/>
      </w:pPr>
      <w:rPr>
        <w:rFonts w:ascii="Times New Roman" w:hAnsi="Times New Roman" w:hint="default"/>
      </w:rPr>
    </w:lvl>
    <w:lvl w:ilvl="7" w:tplc="C44E7B90" w:tentative="1">
      <w:start w:val="1"/>
      <w:numFmt w:val="bullet"/>
      <w:lvlText w:val="•"/>
      <w:lvlJc w:val="left"/>
      <w:pPr>
        <w:tabs>
          <w:tab w:val="num" w:pos="5760"/>
        </w:tabs>
        <w:ind w:left="5760" w:hanging="360"/>
      </w:pPr>
      <w:rPr>
        <w:rFonts w:ascii="Times New Roman" w:hAnsi="Times New Roman" w:hint="default"/>
      </w:rPr>
    </w:lvl>
    <w:lvl w:ilvl="8" w:tplc="E288F86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DDC38F2"/>
    <w:multiLevelType w:val="multilevel"/>
    <w:tmpl w:val="31B8AA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03B21D4"/>
    <w:multiLevelType w:val="hybridMultilevel"/>
    <w:tmpl w:val="E0DA8C82"/>
    <w:lvl w:ilvl="0" w:tplc="BE463E3C">
      <w:start w:val="1"/>
      <w:numFmt w:val="bullet"/>
      <w:lvlText w:val="•"/>
      <w:lvlJc w:val="left"/>
      <w:pPr>
        <w:tabs>
          <w:tab w:val="num" w:pos="720"/>
        </w:tabs>
        <w:ind w:left="720" w:hanging="360"/>
      </w:pPr>
      <w:rPr>
        <w:rFonts w:ascii="Times New Roman" w:hAnsi="Times New Roman" w:hint="default"/>
      </w:rPr>
    </w:lvl>
    <w:lvl w:ilvl="1" w:tplc="F4BA38DE" w:tentative="1">
      <w:start w:val="1"/>
      <w:numFmt w:val="bullet"/>
      <w:lvlText w:val="•"/>
      <w:lvlJc w:val="left"/>
      <w:pPr>
        <w:tabs>
          <w:tab w:val="num" w:pos="1440"/>
        </w:tabs>
        <w:ind w:left="1440" w:hanging="360"/>
      </w:pPr>
      <w:rPr>
        <w:rFonts w:ascii="Times New Roman" w:hAnsi="Times New Roman" w:hint="default"/>
      </w:rPr>
    </w:lvl>
    <w:lvl w:ilvl="2" w:tplc="E6722F0E" w:tentative="1">
      <w:start w:val="1"/>
      <w:numFmt w:val="bullet"/>
      <w:lvlText w:val="•"/>
      <w:lvlJc w:val="left"/>
      <w:pPr>
        <w:tabs>
          <w:tab w:val="num" w:pos="2160"/>
        </w:tabs>
        <w:ind w:left="2160" w:hanging="360"/>
      </w:pPr>
      <w:rPr>
        <w:rFonts w:ascii="Times New Roman" w:hAnsi="Times New Roman" w:hint="default"/>
      </w:rPr>
    </w:lvl>
    <w:lvl w:ilvl="3" w:tplc="850C7C3C" w:tentative="1">
      <w:start w:val="1"/>
      <w:numFmt w:val="bullet"/>
      <w:lvlText w:val="•"/>
      <w:lvlJc w:val="left"/>
      <w:pPr>
        <w:tabs>
          <w:tab w:val="num" w:pos="2880"/>
        </w:tabs>
        <w:ind w:left="2880" w:hanging="360"/>
      </w:pPr>
      <w:rPr>
        <w:rFonts w:ascii="Times New Roman" w:hAnsi="Times New Roman" w:hint="default"/>
      </w:rPr>
    </w:lvl>
    <w:lvl w:ilvl="4" w:tplc="7D9C69A4" w:tentative="1">
      <w:start w:val="1"/>
      <w:numFmt w:val="bullet"/>
      <w:lvlText w:val="•"/>
      <w:lvlJc w:val="left"/>
      <w:pPr>
        <w:tabs>
          <w:tab w:val="num" w:pos="3600"/>
        </w:tabs>
        <w:ind w:left="3600" w:hanging="360"/>
      </w:pPr>
      <w:rPr>
        <w:rFonts w:ascii="Times New Roman" w:hAnsi="Times New Roman" w:hint="default"/>
      </w:rPr>
    </w:lvl>
    <w:lvl w:ilvl="5" w:tplc="2F72B078" w:tentative="1">
      <w:start w:val="1"/>
      <w:numFmt w:val="bullet"/>
      <w:lvlText w:val="•"/>
      <w:lvlJc w:val="left"/>
      <w:pPr>
        <w:tabs>
          <w:tab w:val="num" w:pos="4320"/>
        </w:tabs>
        <w:ind w:left="4320" w:hanging="360"/>
      </w:pPr>
      <w:rPr>
        <w:rFonts w:ascii="Times New Roman" w:hAnsi="Times New Roman" w:hint="default"/>
      </w:rPr>
    </w:lvl>
    <w:lvl w:ilvl="6" w:tplc="82F8026E" w:tentative="1">
      <w:start w:val="1"/>
      <w:numFmt w:val="bullet"/>
      <w:lvlText w:val="•"/>
      <w:lvlJc w:val="left"/>
      <w:pPr>
        <w:tabs>
          <w:tab w:val="num" w:pos="5040"/>
        </w:tabs>
        <w:ind w:left="5040" w:hanging="360"/>
      </w:pPr>
      <w:rPr>
        <w:rFonts w:ascii="Times New Roman" w:hAnsi="Times New Roman" w:hint="default"/>
      </w:rPr>
    </w:lvl>
    <w:lvl w:ilvl="7" w:tplc="9DF40088" w:tentative="1">
      <w:start w:val="1"/>
      <w:numFmt w:val="bullet"/>
      <w:lvlText w:val="•"/>
      <w:lvlJc w:val="left"/>
      <w:pPr>
        <w:tabs>
          <w:tab w:val="num" w:pos="5760"/>
        </w:tabs>
        <w:ind w:left="5760" w:hanging="360"/>
      </w:pPr>
      <w:rPr>
        <w:rFonts w:ascii="Times New Roman" w:hAnsi="Times New Roman" w:hint="default"/>
      </w:rPr>
    </w:lvl>
    <w:lvl w:ilvl="8" w:tplc="D5943B6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18F2F39"/>
    <w:multiLevelType w:val="hybridMultilevel"/>
    <w:tmpl w:val="BF14E41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3B7F13"/>
    <w:multiLevelType w:val="multilevel"/>
    <w:tmpl w:val="BACCD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F52262"/>
    <w:multiLevelType w:val="multilevel"/>
    <w:tmpl w:val="9AEA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312C3D"/>
    <w:multiLevelType w:val="multilevel"/>
    <w:tmpl w:val="DC60D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B7B3810"/>
    <w:multiLevelType w:val="multilevel"/>
    <w:tmpl w:val="051A1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C5D2404"/>
    <w:multiLevelType w:val="multilevel"/>
    <w:tmpl w:val="046C229E"/>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65954708"/>
    <w:multiLevelType w:val="hybridMultilevel"/>
    <w:tmpl w:val="952E88F0"/>
    <w:lvl w:ilvl="0" w:tplc="D8E68108">
      <w:start w:val="1"/>
      <w:numFmt w:val="bullet"/>
      <w:lvlText w:val="•"/>
      <w:lvlJc w:val="left"/>
      <w:pPr>
        <w:tabs>
          <w:tab w:val="num" w:pos="720"/>
        </w:tabs>
        <w:ind w:left="720" w:hanging="360"/>
      </w:pPr>
      <w:rPr>
        <w:rFonts w:ascii="Times New Roman" w:hAnsi="Times New Roman" w:hint="default"/>
      </w:rPr>
    </w:lvl>
    <w:lvl w:ilvl="1" w:tplc="96142240" w:tentative="1">
      <w:start w:val="1"/>
      <w:numFmt w:val="bullet"/>
      <w:lvlText w:val="•"/>
      <w:lvlJc w:val="left"/>
      <w:pPr>
        <w:tabs>
          <w:tab w:val="num" w:pos="1440"/>
        </w:tabs>
        <w:ind w:left="1440" w:hanging="360"/>
      </w:pPr>
      <w:rPr>
        <w:rFonts w:ascii="Times New Roman" w:hAnsi="Times New Roman" w:hint="default"/>
      </w:rPr>
    </w:lvl>
    <w:lvl w:ilvl="2" w:tplc="45761D04" w:tentative="1">
      <w:start w:val="1"/>
      <w:numFmt w:val="bullet"/>
      <w:lvlText w:val="•"/>
      <w:lvlJc w:val="left"/>
      <w:pPr>
        <w:tabs>
          <w:tab w:val="num" w:pos="2160"/>
        </w:tabs>
        <w:ind w:left="2160" w:hanging="360"/>
      </w:pPr>
      <w:rPr>
        <w:rFonts w:ascii="Times New Roman" w:hAnsi="Times New Roman" w:hint="default"/>
      </w:rPr>
    </w:lvl>
    <w:lvl w:ilvl="3" w:tplc="7ECCBC76" w:tentative="1">
      <w:start w:val="1"/>
      <w:numFmt w:val="bullet"/>
      <w:lvlText w:val="•"/>
      <w:lvlJc w:val="left"/>
      <w:pPr>
        <w:tabs>
          <w:tab w:val="num" w:pos="2880"/>
        </w:tabs>
        <w:ind w:left="2880" w:hanging="360"/>
      </w:pPr>
      <w:rPr>
        <w:rFonts w:ascii="Times New Roman" w:hAnsi="Times New Roman" w:hint="default"/>
      </w:rPr>
    </w:lvl>
    <w:lvl w:ilvl="4" w:tplc="96A27284" w:tentative="1">
      <w:start w:val="1"/>
      <w:numFmt w:val="bullet"/>
      <w:lvlText w:val="•"/>
      <w:lvlJc w:val="left"/>
      <w:pPr>
        <w:tabs>
          <w:tab w:val="num" w:pos="3600"/>
        </w:tabs>
        <w:ind w:left="3600" w:hanging="360"/>
      </w:pPr>
      <w:rPr>
        <w:rFonts w:ascii="Times New Roman" w:hAnsi="Times New Roman" w:hint="default"/>
      </w:rPr>
    </w:lvl>
    <w:lvl w:ilvl="5" w:tplc="A5206464" w:tentative="1">
      <w:start w:val="1"/>
      <w:numFmt w:val="bullet"/>
      <w:lvlText w:val="•"/>
      <w:lvlJc w:val="left"/>
      <w:pPr>
        <w:tabs>
          <w:tab w:val="num" w:pos="4320"/>
        </w:tabs>
        <w:ind w:left="4320" w:hanging="360"/>
      </w:pPr>
      <w:rPr>
        <w:rFonts w:ascii="Times New Roman" w:hAnsi="Times New Roman" w:hint="default"/>
      </w:rPr>
    </w:lvl>
    <w:lvl w:ilvl="6" w:tplc="CF58ECD0" w:tentative="1">
      <w:start w:val="1"/>
      <w:numFmt w:val="bullet"/>
      <w:lvlText w:val="•"/>
      <w:lvlJc w:val="left"/>
      <w:pPr>
        <w:tabs>
          <w:tab w:val="num" w:pos="5040"/>
        </w:tabs>
        <w:ind w:left="5040" w:hanging="360"/>
      </w:pPr>
      <w:rPr>
        <w:rFonts w:ascii="Times New Roman" w:hAnsi="Times New Roman" w:hint="default"/>
      </w:rPr>
    </w:lvl>
    <w:lvl w:ilvl="7" w:tplc="A50AF358" w:tentative="1">
      <w:start w:val="1"/>
      <w:numFmt w:val="bullet"/>
      <w:lvlText w:val="•"/>
      <w:lvlJc w:val="left"/>
      <w:pPr>
        <w:tabs>
          <w:tab w:val="num" w:pos="5760"/>
        </w:tabs>
        <w:ind w:left="5760" w:hanging="360"/>
      </w:pPr>
      <w:rPr>
        <w:rFonts w:ascii="Times New Roman" w:hAnsi="Times New Roman" w:hint="default"/>
      </w:rPr>
    </w:lvl>
    <w:lvl w:ilvl="8" w:tplc="1418210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5EB2AF1"/>
    <w:multiLevelType w:val="multilevel"/>
    <w:tmpl w:val="382A0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6440C18"/>
    <w:multiLevelType w:val="hybridMultilevel"/>
    <w:tmpl w:val="776E54C0"/>
    <w:lvl w:ilvl="0" w:tplc="BBC2896C">
      <w:start w:val="1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8F687E"/>
    <w:multiLevelType w:val="hybridMultilevel"/>
    <w:tmpl w:val="8472AEB2"/>
    <w:lvl w:ilvl="0" w:tplc="1884C88E">
      <w:start w:val="2"/>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290D8C"/>
    <w:multiLevelType w:val="hybridMultilevel"/>
    <w:tmpl w:val="93FA8C62"/>
    <w:lvl w:ilvl="0" w:tplc="6F64B998">
      <w:start w:val="5"/>
      <w:numFmt w:val="bullet"/>
      <w:lvlText w:val="-"/>
      <w:lvlJc w:val="left"/>
      <w:pPr>
        <w:ind w:left="1800" w:hanging="360"/>
      </w:pPr>
      <w:rPr>
        <w:rFonts w:ascii="Times New Roman" w:eastAsiaTheme="minorEastAsia" w:hAnsi="Times New Roman" w:cs="Times New Roman"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75120A66"/>
    <w:multiLevelType w:val="hybridMultilevel"/>
    <w:tmpl w:val="C09A6E3A"/>
    <w:lvl w:ilvl="0" w:tplc="54908D72">
      <w:start w:val="12"/>
      <w:numFmt w:val="bullet"/>
      <w:lvlText w:val="-"/>
      <w:lvlJc w:val="left"/>
      <w:pPr>
        <w:ind w:left="504" w:hanging="360"/>
      </w:pPr>
      <w:rPr>
        <w:rFonts w:ascii="Times New Roman" w:eastAsia="Times New Roman" w:hAnsi="Times New Roman" w:cs="Times New Roman" w:hint="default"/>
      </w:rPr>
    </w:lvl>
    <w:lvl w:ilvl="1" w:tplc="04090003" w:tentative="1">
      <w:start w:val="1"/>
      <w:numFmt w:val="bullet"/>
      <w:lvlText w:val="o"/>
      <w:lvlJc w:val="left"/>
      <w:pPr>
        <w:ind w:left="1224" w:hanging="360"/>
      </w:pPr>
      <w:rPr>
        <w:rFonts w:ascii="Courier New" w:hAnsi="Courier New" w:cs="Courier New" w:hint="default"/>
      </w:rPr>
    </w:lvl>
    <w:lvl w:ilvl="2" w:tplc="04090005" w:tentative="1">
      <w:start w:val="1"/>
      <w:numFmt w:val="bullet"/>
      <w:lvlText w:val=""/>
      <w:lvlJc w:val="left"/>
      <w:pPr>
        <w:ind w:left="1944" w:hanging="360"/>
      </w:pPr>
      <w:rPr>
        <w:rFonts w:ascii="Wingdings" w:hAnsi="Wingdings" w:hint="default"/>
      </w:rPr>
    </w:lvl>
    <w:lvl w:ilvl="3" w:tplc="04090001" w:tentative="1">
      <w:start w:val="1"/>
      <w:numFmt w:val="bullet"/>
      <w:lvlText w:val=""/>
      <w:lvlJc w:val="left"/>
      <w:pPr>
        <w:ind w:left="2664" w:hanging="360"/>
      </w:pPr>
      <w:rPr>
        <w:rFonts w:ascii="Symbol" w:hAnsi="Symbol" w:hint="default"/>
      </w:rPr>
    </w:lvl>
    <w:lvl w:ilvl="4" w:tplc="04090003" w:tentative="1">
      <w:start w:val="1"/>
      <w:numFmt w:val="bullet"/>
      <w:lvlText w:val="o"/>
      <w:lvlJc w:val="left"/>
      <w:pPr>
        <w:ind w:left="3384" w:hanging="360"/>
      </w:pPr>
      <w:rPr>
        <w:rFonts w:ascii="Courier New" w:hAnsi="Courier New" w:cs="Courier New" w:hint="default"/>
      </w:rPr>
    </w:lvl>
    <w:lvl w:ilvl="5" w:tplc="04090005" w:tentative="1">
      <w:start w:val="1"/>
      <w:numFmt w:val="bullet"/>
      <w:lvlText w:val=""/>
      <w:lvlJc w:val="left"/>
      <w:pPr>
        <w:ind w:left="4104" w:hanging="360"/>
      </w:pPr>
      <w:rPr>
        <w:rFonts w:ascii="Wingdings" w:hAnsi="Wingdings" w:hint="default"/>
      </w:rPr>
    </w:lvl>
    <w:lvl w:ilvl="6" w:tplc="04090001" w:tentative="1">
      <w:start w:val="1"/>
      <w:numFmt w:val="bullet"/>
      <w:lvlText w:val=""/>
      <w:lvlJc w:val="left"/>
      <w:pPr>
        <w:ind w:left="4824" w:hanging="360"/>
      </w:pPr>
      <w:rPr>
        <w:rFonts w:ascii="Symbol" w:hAnsi="Symbol" w:hint="default"/>
      </w:rPr>
    </w:lvl>
    <w:lvl w:ilvl="7" w:tplc="04090003" w:tentative="1">
      <w:start w:val="1"/>
      <w:numFmt w:val="bullet"/>
      <w:lvlText w:val="o"/>
      <w:lvlJc w:val="left"/>
      <w:pPr>
        <w:ind w:left="5544" w:hanging="360"/>
      </w:pPr>
      <w:rPr>
        <w:rFonts w:ascii="Courier New" w:hAnsi="Courier New" w:cs="Courier New" w:hint="default"/>
      </w:rPr>
    </w:lvl>
    <w:lvl w:ilvl="8" w:tplc="04090005" w:tentative="1">
      <w:start w:val="1"/>
      <w:numFmt w:val="bullet"/>
      <w:lvlText w:val=""/>
      <w:lvlJc w:val="left"/>
      <w:pPr>
        <w:ind w:left="6264" w:hanging="360"/>
      </w:pPr>
      <w:rPr>
        <w:rFonts w:ascii="Wingdings" w:hAnsi="Wingdings" w:hint="default"/>
      </w:rPr>
    </w:lvl>
  </w:abstractNum>
  <w:abstractNum w:abstractNumId="23" w15:restartNumberingAfterBreak="0">
    <w:nsid w:val="7A8A51B7"/>
    <w:multiLevelType w:val="hybridMultilevel"/>
    <w:tmpl w:val="551EB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D50BEB"/>
    <w:multiLevelType w:val="hybridMultilevel"/>
    <w:tmpl w:val="D578E32C"/>
    <w:lvl w:ilvl="0" w:tplc="F0F8EDF0">
      <w:start w:val="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B3279AD"/>
    <w:multiLevelType w:val="hybridMultilevel"/>
    <w:tmpl w:val="8870B1BC"/>
    <w:lvl w:ilvl="0" w:tplc="E5743676">
      <w:start w:val="1"/>
      <w:numFmt w:val="bullet"/>
      <w:lvlText w:val="•"/>
      <w:lvlJc w:val="left"/>
      <w:pPr>
        <w:tabs>
          <w:tab w:val="num" w:pos="720"/>
        </w:tabs>
        <w:ind w:left="720" w:hanging="360"/>
      </w:pPr>
      <w:rPr>
        <w:rFonts w:ascii="Times New Roman" w:hAnsi="Times New Roman" w:hint="default"/>
      </w:rPr>
    </w:lvl>
    <w:lvl w:ilvl="1" w:tplc="D8D4E780" w:tentative="1">
      <w:start w:val="1"/>
      <w:numFmt w:val="bullet"/>
      <w:lvlText w:val="•"/>
      <w:lvlJc w:val="left"/>
      <w:pPr>
        <w:tabs>
          <w:tab w:val="num" w:pos="1440"/>
        </w:tabs>
        <w:ind w:left="1440" w:hanging="360"/>
      </w:pPr>
      <w:rPr>
        <w:rFonts w:ascii="Times New Roman" w:hAnsi="Times New Roman" w:hint="default"/>
      </w:rPr>
    </w:lvl>
    <w:lvl w:ilvl="2" w:tplc="A0A09DEE" w:tentative="1">
      <w:start w:val="1"/>
      <w:numFmt w:val="bullet"/>
      <w:lvlText w:val="•"/>
      <w:lvlJc w:val="left"/>
      <w:pPr>
        <w:tabs>
          <w:tab w:val="num" w:pos="2160"/>
        </w:tabs>
        <w:ind w:left="2160" w:hanging="360"/>
      </w:pPr>
      <w:rPr>
        <w:rFonts w:ascii="Times New Roman" w:hAnsi="Times New Roman" w:hint="default"/>
      </w:rPr>
    </w:lvl>
    <w:lvl w:ilvl="3" w:tplc="3B78EF02" w:tentative="1">
      <w:start w:val="1"/>
      <w:numFmt w:val="bullet"/>
      <w:lvlText w:val="•"/>
      <w:lvlJc w:val="left"/>
      <w:pPr>
        <w:tabs>
          <w:tab w:val="num" w:pos="2880"/>
        </w:tabs>
        <w:ind w:left="2880" w:hanging="360"/>
      </w:pPr>
      <w:rPr>
        <w:rFonts w:ascii="Times New Roman" w:hAnsi="Times New Roman" w:hint="default"/>
      </w:rPr>
    </w:lvl>
    <w:lvl w:ilvl="4" w:tplc="AD60BFF0" w:tentative="1">
      <w:start w:val="1"/>
      <w:numFmt w:val="bullet"/>
      <w:lvlText w:val="•"/>
      <w:lvlJc w:val="left"/>
      <w:pPr>
        <w:tabs>
          <w:tab w:val="num" w:pos="3600"/>
        </w:tabs>
        <w:ind w:left="3600" w:hanging="360"/>
      </w:pPr>
      <w:rPr>
        <w:rFonts w:ascii="Times New Roman" w:hAnsi="Times New Roman" w:hint="default"/>
      </w:rPr>
    </w:lvl>
    <w:lvl w:ilvl="5" w:tplc="150CC39C" w:tentative="1">
      <w:start w:val="1"/>
      <w:numFmt w:val="bullet"/>
      <w:lvlText w:val="•"/>
      <w:lvlJc w:val="left"/>
      <w:pPr>
        <w:tabs>
          <w:tab w:val="num" w:pos="4320"/>
        </w:tabs>
        <w:ind w:left="4320" w:hanging="360"/>
      </w:pPr>
      <w:rPr>
        <w:rFonts w:ascii="Times New Roman" w:hAnsi="Times New Roman" w:hint="default"/>
      </w:rPr>
    </w:lvl>
    <w:lvl w:ilvl="6" w:tplc="C800469E" w:tentative="1">
      <w:start w:val="1"/>
      <w:numFmt w:val="bullet"/>
      <w:lvlText w:val="•"/>
      <w:lvlJc w:val="left"/>
      <w:pPr>
        <w:tabs>
          <w:tab w:val="num" w:pos="5040"/>
        </w:tabs>
        <w:ind w:left="5040" w:hanging="360"/>
      </w:pPr>
      <w:rPr>
        <w:rFonts w:ascii="Times New Roman" w:hAnsi="Times New Roman" w:hint="default"/>
      </w:rPr>
    </w:lvl>
    <w:lvl w:ilvl="7" w:tplc="80D03C6E" w:tentative="1">
      <w:start w:val="1"/>
      <w:numFmt w:val="bullet"/>
      <w:lvlText w:val="•"/>
      <w:lvlJc w:val="left"/>
      <w:pPr>
        <w:tabs>
          <w:tab w:val="num" w:pos="5760"/>
        </w:tabs>
        <w:ind w:left="5760" w:hanging="360"/>
      </w:pPr>
      <w:rPr>
        <w:rFonts w:ascii="Times New Roman" w:hAnsi="Times New Roman" w:hint="default"/>
      </w:rPr>
    </w:lvl>
    <w:lvl w:ilvl="8" w:tplc="A9AA4FCE"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F0662AE"/>
    <w:multiLevelType w:val="multilevel"/>
    <w:tmpl w:val="16064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9"/>
  </w:num>
  <w:num w:numId="3">
    <w:abstractNumId w:val="16"/>
  </w:num>
  <w:num w:numId="4">
    <w:abstractNumId w:val="11"/>
  </w:num>
  <w:num w:numId="5">
    <w:abstractNumId w:val="24"/>
  </w:num>
  <w:num w:numId="6">
    <w:abstractNumId w:val="20"/>
  </w:num>
  <w:num w:numId="7">
    <w:abstractNumId w:val="1"/>
  </w:num>
  <w:num w:numId="8">
    <w:abstractNumId w:val="12"/>
  </w:num>
  <w:num w:numId="9">
    <w:abstractNumId w:val="26"/>
  </w:num>
  <w:num w:numId="10">
    <w:abstractNumId w:val="13"/>
  </w:num>
  <w:num w:numId="11">
    <w:abstractNumId w:val="6"/>
  </w:num>
  <w:num w:numId="12">
    <w:abstractNumId w:val="15"/>
  </w:num>
  <w:num w:numId="13">
    <w:abstractNumId w:val="14"/>
  </w:num>
  <w:num w:numId="14">
    <w:abstractNumId w:val="18"/>
  </w:num>
  <w:num w:numId="15">
    <w:abstractNumId w:val="4"/>
  </w:num>
  <w:num w:numId="16">
    <w:abstractNumId w:val="2"/>
  </w:num>
  <w:num w:numId="17">
    <w:abstractNumId w:val="3"/>
  </w:num>
  <w:num w:numId="18">
    <w:abstractNumId w:val="5"/>
  </w:num>
  <w:num w:numId="19">
    <w:abstractNumId w:val="23"/>
  </w:num>
  <w:num w:numId="20">
    <w:abstractNumId w:val="21"/>
  </w:num>
  <w:num w:numId="21">
    <w:abstractNumId w:val="16"/>
  </w:num>
  <w:num w:numId="22">
    <w:abstractNumId w:val="19"/>
  </w:num>
  <w:num w:numId="23">
    <w:abstractNumId w:val="22"/>
  </w:num>
  <w:num w:numId="24">
    <w:abstractNumId w:val="10"/>
  </w:num>
  <w:num w:numId="25">
    <w:abstractNumId w:val="17"/>
  </w:num>
  <w:num w:numId="26">
    <w:abstractNumId w:val="8"/>
  </w:num>
  <w:num w:numId="27">
    <w:abstractNumId w:val="25"/>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wNLcwMzWxtDAzNjJS0lEKTi0uzszPAykwNqwFAPDA7yAtAAAA"/>
  </w:docVars>
  <w:rsids>
    <w:rsidRoot w:val="006E4C2B"/>
    <w:rsid w:val="0000612C"/>
    <w:rsid w:val="00025B05"/>
    <w:rsid w:val="000374DB"/>
    <w:rsid w:val="00043628"/>
    <w:rsid w:val="000463D9"/>
    <w:rsid w:val="00046C42"/>
    <w:rsid w:val="000506B5"/>
    <w:rsid w:val="000532D9"/>
    <w:rsid w:val="000578C3"/>
    <w:rsid w:val="00067C5C"/>
    <w:rsid w:val="00077A18"/>
    <w:rsid w:val="00082E02"/>
    <w:rsid w:val="000A54DA"/>
    <w:rsid w:val="000B2DF2"/>
    <w:rsid w:val="000B5FDC"/>
    <w:rsid w:val="000C534A"/>
    <w:rsid w:val="000D0B0D"/>
    <w:rsid w:val="001206B8"/>
    <w:rsid w:val="001221EA"/>
    <w:rsid w:val="001360B1"/>
    <w:rsid w:val="0015749B"/>
    <w:rsid w:val="00174F95"/>
    <w:rsid w:val="00181F03"/>
    <w:rsid w:val="001900B1"/>
    <w:rsid w:val="001A0138"/>
    <w:rsid w:val="001B22ED"/>
    <w:rsid w:val="001B740D"/>
    <w:rsid w:val="001C62BE"/>
    <w:rsid w:val="001E03E1"/>
    <w:rsid w:val="001F7F4D"/>
    <w:rsid w:val="00225EE6"/>
    <w:rsid w:val="002323D7"/>
    <w:rsid w:val="00237EF1"/>
    <w:rsid w:val="00261531"/>
    <w:rsid w:val="00283E33"/>
    <w:rsid w:val="002843EF"/>
    <w:rsid w:val="002D00D6"/>
    <w:rsid w:val="002D53D4"/>
    <w:rsid w:val="002E04F9"/>
    <w:rsid w:val="002E6E4C"/>
    <w:rsid w:val="0030654E"/>
    <w:rsid w:val="00320F14"/>
    <w:rsid w:val="00334C9E"/>
    <w:rsid w:val="00343B4A"/>
    <w:rsid w:val="00364D50"/>
    <w:rsid w:val="00374445"/>
    <w:rsid w:val="00385BCB"/>
    <w:rsid w:val="003A6113"/>
    <w:rsid w:val="003B76B8"/>
    <w:rsid w:val="003D1E75"/>
    <w:rsid w:val="003D353C"/>
    <w:rsid w:val="003E111E"/>
    <w:rsid w:val="003F60C3"/>
    <w:rsid w:val="00406F8A"/>
    <w:rsid w:val="00464877"/>
    <w:rsid w:val="00466B1B"/>
    <w:rsid w:val="00470D0D"/>
    <w:rsid w:val="00490413"/>
    <w:rsid w:val="004B26E3"/>
    <w:rsid w:val="004B5B4D"/>
    <w:rsid w:val="004C53C7"/>
    <w:rsid w:val="004D41AA"/>
    <w:rsid w:val="00502906"/>
    <w:rsid w:val="00503EF1"/>
    <w:rsid w:val="0052038F"/>
    <w:rsid w:val="0052457C"/>
    <w:rsid w:val="0053421A"/>
    <w:rsid w:val="00535E07"/>
    <w:rsid w:val="00554233"/>
    <w:rsid w:val="005560F5"/>
    <w:rsid w:val="00562A14"/>
    <w:rsid w:val="00563EA4"/>
    <w:rsid w:val="00567FEB"/>
    <w:rsid w:val="005826E4"/>
    <w:rsid w:val="005869F0"/>
    <w:rsid w:val="005903C2"/>
    <w:rsid w:val="00596EE6"/>
    <w:rsid w:val="005B1C31"/>
    <w:rsid w:val="005D1D26"/>
    <w:rsid w:val="005E050D"/>
    <w:rsid w:val="005E6B17"/>
    <w:rsid w:val="00625772"/>
    <w:rsid w:val="00625F94"/>
    <w:rsid w:val="00640C40"/>
    <w:rsid w:val="006467E5"/>
    <w:rsid w:val="00650DC6"/>
    <w:rsid w:val="00655A7C"/>
    <w:rsid w:val="00671178"/>
    <w:rsid w:val="0067260D"/>
    <w:rsid w:val="00674BD8"/>
    <w:rsid w:val="00676FBE"/>
    <w:rsid w:val="0068312A"/>
    <w:rsid w:val="00686318"/>
    <w:rsid w:val="00692A03"/>
    <w:rsid w:val="0069455E"/>
    <w:rsid w:val="0069550B"/>
    <w:rsid w:val="006D7E25"/>
    <w:rsid w:val="006E047F"/>
    <w:rsid w:val="006E1EAB"/>
    <w:rsid w:val="006E4C2B"/>
    <w:rsid w:val="006E7802"/>
    <w:rsid w:val="006F4761"/>
    <w:rsid w:val="006F70E8"/>
    <w:rsid w:val="00702543"/>
    <w:rsid w:val="0071029F"/>
    <w:rsid w:val="00715F12"/>
    <w:rsid w:val="00766782"/>
    <w:rsid w:val="00774007"/>
    <w:rsid w:val="00790118"/>
    <w:rsid w:val="007B2886"/>
    <w:rsid w:val="007D241D"/>
    <w:rsid w:val="007E00DC"/>
    <w:rsid w:val="007E752D"/>
    <w:rsid w:val="00804CF4"/>
    <w:rsid w:val="00843B05"/>
    <w:rsid w:val="00844330"/>
    <w:rsid w:val="0084680B"/>
    <w:rsid w:val="00852F70"/>
    <w:rsid w:val="00857153"/>
    <w:rsid w:val="008619EE"/>
    <w:rsid w:val="008820D7"/>
    <w:rsid w:val="00885CB3"/>
    <w:rsid w:val="00892F0D"/>
    <w:rsid w:val="008B2F4C"/>
    <w:rsid w:val="008B5A4E"/>
    <w:rsid w:val="008C368F"/>
    <w:rsid w:val="008C40F1"/>
    <w:rsid w:val="008C6840"/>
    <w:rsid w:val="008C7D1F"/>
    <w:rsid w:val="008D12E8"/>
    <w:rsid w:val="008F53C2"/>
    <w:rsid w:val="0090265E"/>
    <w:rsid w:val="00917264"/>
    <w:rsid w:val="00925F32"/>
    <w:rsid w:val="00927001"/>
    <w:rsid w:val="00946E77"/>
    <w:rsid w:val="0096280C"/>
    <w:rsid w:val="009711D9"/>
    <w:rsid w:val="009835DD"/>
    <w:rsid w:val="00997449"/>
    <w:rsid w:val="009A020B"/>
    <w:rsid w:val="009A5E3F"/>
    <w:rsid w:val="009B12BC"/>
    <w:rsid w:val="009E42F0"/>
    <w:rsid w:val="00A10545"/>
    <w:rsid w:val="00A20963"/>
    <w:rsid w:val="00A35DF7"/>
    <w:rsid w:val="00A36CD0"/>
    <w:rsid w:val="00A806F0"/>
    <w:rsid w:val="00A82950"/>
    <w:rsid w:val="00A86D26"/>
    <w:rsid w:val="00A9547E"/>
    <w:rsid w:val="00A97681"/>
    <w:rsid w:val="00AB3ED2"/>
    <w:rsid w:val="00AB4F94"/>
    <w:rsid w:val="00AC6E44"/>
    <w:rsid w:val="00AD2FE0"/>
    <w:rsid w:val="00AE088D"/>
    <w:rsid w:val="00B145EA"/>
    <w:rsid w:val="00B273BE"/>
    <w:rsid w:val="00B34EAB"/>
    <w:rsid w:val="00B35281"/>
    <w:rsid w:val="00B35CD6"/>
    <w:rsid w:val="00B43E56"/>
    <w:rsid w:val="00B47D48"/>
    <w:rsid w:val="00B51AC2"/>
    <w:rsid w:val="00B529DB"/>
    <w:rsid w:val="00B61DB1"/>
    <w:rsid w:val="00B65168"/>
    <w:rsid w:val="00B71BB2"/>
    <w:rsid w:val="00B841DB"/>
    <w:rsid w:val="00B915E9"/>
    <w:rsid w:val="00B94248"/>
    <w:rsid w:val="00B95931"/>
    <w:rsid w:val="00B97C33"/>
    <w:rsid w:val="00BF4183"/>
    <w:rsid w:val="00BF6FE8"/>
    <w:rsid w:val="00C11AB7"/>
    <w:rsid w:val="00C12F8B"/>
    <w:rsid w:val="00C15B71"/>
    <w:rsid w:val="00C26942"/>
    <w:rsid w:val="00C35734"/>
    <w:rsid w:val="00C35DC6"/>
    <w:rsid w:val="00C66EC4"/>
    <w:rsid w:val="00C67CAE"/>
    <w:rsid w:val="00CA20A7"/>
    <w:rsid w:val="00CA3145"/>
    <w:rsid w:val="00CB24BF"/>
    <w:rsid w:val="00CD0F71"/>
    <w:rsid w:val="00CD2FB4"/>
    <w:rsid w:val="00CD60DC"/>
    <w:rsid w:val="00CD72A2"/>
    <w:rsid w:val="00CE1E4A"/>
    <w:rsid w:val="00CE561C"/>
    <w:rsid w:val="00D12495"/>
    <w:rsid w:val="00D36E74"/>
    <w:rsid w:val="00D4130B"/>
    <w:rsid w:val="00D42636"/>
    <w:rsid w:val="00D4431F"/>
    <w:rsid w:val="00D53DA9"/>
    <w:rsid w:val="00D562B0"/>
    <w:rsid w:val="00D65660"/>
    <w:rsid w:val="00D72A75"/>
    <w:rsid w:val="00D7766D"/>
    <w:rsid w:val="00D82427"/>
    <w:rsid w:val="00D96A0F"/>
    <w:rsid w:val="00DA0131"/>
    <w:rsid w:val="00DB3C0A"/>
    <w:rsid w:val="00DB5D85"/>
    <w:rsid w:val="00DB7AAD"/>
    <w:rsid w:val="00DC0F1D"/>
    <w:rsid w:val="00DD3480"/>
    <w:rsid w:val="00DE41A2"/>
    <w:rsid w:val="00DE615E"/>
    <w:rsid w:val="00DE6D75"/>
    <w:rsid w:val="00E06F3B"/>
    <w:rsid w:val="00E14D72"/>
    <w:rsid w:val="00E20536"/>
    <w:rsid w:val="00E318D4"/>
    <w:rsid w:val="00E524B1"/>
    <w:rsid w:val="00E621DF"/>
    <w:rsid w:val="00E94FE7"/>
    <w:rsid w:val="00E97888"/>
    <w:rsid w:val="00EA2FF9"/>
    <w:rsid w:val="00EA3293"/>
    <w:rsid w:val="00EB0BD4"/>
    <w:rsid w:val="00EB114A"/>
    <w:rsid w:val="00EB6B34"/>
    <w:rsid w:val="00EC5520"/>
    <w:rsid w:val="00EC6085"/>
    <w:rsid w:val="00EE0425"/>
    <w:rsid w:val="00EE2C5C"/>
    <w:rsid w:val="00EE3085"/>
    <w:rsid w:val="00EF0596"/>
    <w:rsid w:val="00F05610"/>
    <w:rsid w:val="00F47D48"/>
    <w:rsid w:val="00F539DD"/>
    <w:rsid w:val="00F7064D"/>
    <w:rsid w:val="00FA2EEC"/>
    <w:rsid w:val="00FB2D98"/>
    <w:rsid w:val="00FC4007"/>
    <w:rsid w:val="00FC6804"/>
    <w:rsid w:val="00FD39F0"/>
    <w:rsid w:val="00FE6E9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E9835A"/>
  <w15:chartTrackingRefBased/>
  <w15:docId w15:val="{87A666D0-0F36-421D-917D-277E8C5DE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520"/>
    <w:pPr>
      <w:spacing w:after="0" w:line="480" w:lineRule="auto"/>
      <w:jc w:val="both"/>
    </w:pPr>
    <w:rPr>
      <w:rFonts w:ascii="Times New Roman" w:hAnsi="Times New Roman" w:cs="Times New Roman"/>
      <w:noProof/>
      <w:sz w:val="24"/>
      <w:szCs w:val="24"/>
    </w:rPr>
  </w:style>
  <w:style w:type="paragraph" w:styleId="Heading1">
    <w:name w:val="heading 1"/>
    <w:basedOn w:val="Normal"/>
    <w:next w:val="Normal"/>
    <w:link w:val="Heading1Char"/>
    <w:uiPriority w:val="9"/>
    <w:qFormat/>
    <w:rsid w:val="0000612C"/>
    <w:pPr>
      <w:keepNext/>
      <w:keepLines/>
      <w:numPr>
        <w:numId w:val="3"/>
      </w:numPr>
      <w:outlineLvl w:val="0"/>
    </w:pPr>
    <w:rPr>
      <w:rFonts w:eastAsiaTheme="majorEastAsia"/>
      <w:b/>
      <w:bCs/>
      <w:color w:val="000000" w:themeColor="text1"/>
    </w:rPr>
  </w:style>
  <w:style w:type="paragraph" w:styleId="Heading2">
    <w:name w:val="heading 2"/>
    <w:basedOn w:val="Normal"/>
    <w:next w:val="Normal"/>
    <w:link w:val="Heading2Char"/>
    <w:uiPriority w:val="9"/>
    <w:unhideWhenUsed/>
    <w:qFormat/>
    <w:rsid w:val="0000612C"/>
    <w:pPr>
      <w:keepNext/>
      <w:keepLines/>
      <w:numPr>
        <w:ilvl w:val="1"/>
        <w:numId w:val="3"/>
      </w:numPr>
      <w:spacing w:before="40"/>
      <w:outlineLvl w:val="1"/>
    </w:pPr>
    <w:rPr>
      <w:rFonts w:eastAsiaTheme="majorEastAsia"/>
      <w:b/>
      <w:bCs/>
      <w:color w:val="000000" w:themeColor="text1"/>
    </w:rPr>
  </w:style>
  <w:style w:type="paragraph" w:styleId="Heading3">
    <w:name w:val="heading 3"/>
    <w:basedOn w:val="Normal"/>
    <w:next w:val="Normal"/>
    <w:link w:val="Heading3Char"/>
    <w:uiPriority w:val="9"/>
    <w:unhideWhenUsed/>
    <w:qFormat/>
    <w:rsid w:val="0000612C"/>
    <w:pPr>
      <w:keepNext/>
      <w:keepLines/>
      <w:spacing w:before="40"/>
      <w:outlineLvl w:val="2"/>
    </w:pPr>
    <w:rPr>
      <w:rFonts w:eastAsiaTheme="majorEastAsia"/>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15E"/>
    <w:pPr>
      <w:tabs>
        <w:tab w:val="center" w:pos="4680"/>
        <w:tab w:val="right" w:pos="9360"/>
      </w:tabs>
      <w:spacing w:line="240" w:lineRule="auto"/>
    </w:pPr>
  </w:style>
  <w:style w:type="character" w:customStyle="1" w:styleId="HeaderChar">
    <w:name w:val="Header Char"/>
    <w:basedOn w:val="DefaultParagraphFont"/>
    <w:link w:val="Header"/>
    <w:uiPriority w:val="99"/>
    <w:rsid w:val="00DE615E"/>
  </w:style>
  <w:style w:type="paragraph" w:styleId="Footer">
    <w:name w:val="footer"/>
    <w:basedOn w:val="Normal"/>
    <w:link w:val="FooterChar"/>
    <w:uiPriority w:val="99"/>
    <w:unhideWhenUsed/>
    <w:rsid w:val="00DE615E"/>
    <w:pPr>
      <w:tabs>
        <w:tab w:val="center" w:pos="4680"/>
        <w:tab w:val="right" w:pos="9360"/>
      </w:tabs>
      <w:spacing w:line="240" w:lineRule="auto"/>
    </w:pPr>
  </w:style>
  <w:style w:type="character" w:customStyle="1" w:styleId="FooterChar">
    <w:name w:val="Footer Char"/>
    <w:basedOn w:val="DefaultParagraphFont"/>
    <w:link w:val="Footer"/>
    <w:uiPriority w:val="99"/>
    <w:rsid w:val="00DE615E"/>
  </w:style>
  <w:style w:type="paragraph" w:styleId="ListParagraph">
    <w:name w:val="List Paragraph"/>
    <w:basedOn w:val="Normal"/>
    <w:uiPriority w:val="34"/>
    <w:qFormat/>
    <w:rsid w:val="00EC5520"/>
    <w:pPr>
      <w:ind w:left="720"/>
      <w:contextualSpacing/>
    </w:pPr>
  </w:style>
  <w:style w:type="character" w:customStyle="1" w:styleId="Heading1Char">
    <w:name w:val="Heading 1 Char"/>
    <w:basedOn w:val="DefaultParagraphFont"/>
    <w:link w:val="Heading1"/>
    <w:uiPriority w:val="9"/>
    <w:rsid w:val="0000612C"/>
    <w:rPr>
      <w:rFonts w:ascii="Times New Roman" w:eastAsiaTheme="majorEastAsia" w:hAnsi="Times New Roman" w:cs="Times New Roman"/>
      <w:b/>
      <w:bCs/>
      <w:noProof/>
      <w:color w:val="000000" w:themeColor="text1"/>
      <w:sz w:val="24"/>
      <w:szCs w:val="24"/>
    </w:rPr>
  </w:style>
  <w:style w:type="character" w:customStyle="1" w:styleId="Heading2Char">
    <w:name w:val="Heading 2 Char"/>
    <w:basedOn w:val="DefaultParagraphFont"/>
    <w:link w:val="Heading2"/>
    <w:uiPriority w:val="9"/>
    <w:rsid w:val="0000612C"/>
    <w:rPr>
      <w:rFonts w:ascii="Times New Roman" w:eastAsiaTheme="majorEastAsia" w:hAnsi="Times New Roman" w:cs="Times New Roman"/>
      <w:b/>
      <w:bCs/>
      <w:noProof/>
      <w:color w:val="000000" w:themeColor="text1"/>
      <w:sz w:val="24"/>
      <w:szCs w:val="24"/>
    </w:rPr>
  </w:style>
  <w:style w:type="table" w:styleId="TableGrid">
    <w:name w:val="Table Grid"/>
    <w:basedOn w:val="TableNormal"/>
    <w:uiPriority w:val="39"/>
    <w:rsid w:val="00D72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0612C"/>
    <w:pPr>
      <w:spacing w:line="240" w:lineRule="auto"/>
      <w:jc w:val="center"/>
    </w:pPr>
    <w:rPr>
      <w:color w:val="000000" w:themeColor="text1"/>
      <w:sz w:val="18"/>
      <w:szCs w:val="18"/>
    </w:rPr>
  </w:style>
  <w:style w:type="character" w:styleId="IntenseEmphasis">
    <w:name w:val="Intense Emphasis"/>
    <w:basedOn w:val="Emphasis"/>
    <w:uiPriority w:val="21"/>
    <w:qFormat/>
    <w:rsid w:val="0000612C"/>
    <w:rPr>
      <w:color w:val="000000" w:themeColor="text1"/>
    </w:rPr>
  </w:style>
  <w:style w:type="character" w:styleId="Emphasis">
    <w:name w:val="Emphasis"/>
    <w:basedOn w:val="DefaultParagraphFont"/>
    <w:uiPriority w:val="20"/>
    <w:qFormat/>
    <w:rsid w:val="0000612C"/>
    <w:rPr>
      <w:color w:val="000000" w:themeColor="text1"/>
    </w:rPr>
  </w:style>
  <w:style w:type="character" w:customStyle="1" w:styleId="Heading3Char">
    <w:name w:val="Heading 3 Char"/>
    <w:basedOn w:val="DefaultParagraphFont"/>
    <w:link w:val="Heading3"/>
    <w:uiPriority w:val="9"/>
    <w:rsid w:val="0000612C"/>
    <w:rPr>
      <w:rFonts w:ascii="Times New Roman" w:eastAsiaTheme="majorEastAsia" w:hAnsi="Times New Roman" w:cs="Times New Roman"/>
      <w:b/>
      <w:bCs/>
      <w:noProof/>
      <w:color w:val="000000" w:themeColor="text1"/>
      <w:sz w:val="24"/>
      <w:szCs w:val="24"/>
    </w:rPr>
  </w:style>
  <w:style w:type="paragraph" w:styleId="TOCHeading">
    <w:name w:val="TOC Heading"/>
    <w:basedOn w:val="Heading1"/>
    <w:next w:val="Normal"/>
    <w:uiPriority w:val="39"/>
    <w:unhideWhenUsed/>
    <w:qFormat/>
    <w:rsid w:val="00A9547E"/>
    <w:pPr>
      <w:numPr>
        <w:numId w:val="0"/>
      </w:numPr>
      <w:spacing w:before="240" w:line="259" w:lineRule="auto"/>
      <w:jc w:val="left"/>
      <w:outlineLvl w:val="9"/>
    </w:pPr>
    <w:rPr>
      <w:rFonts w:asciiTheme="majorHAnsi" w:hAnsiTheme="majorHAnsi" w:cstheme="majorBidi"/>
      <w:b w:val="0"/>
      <w:bCs w:val="0"/>
      <w:noProof w:val="0"/>
      <w:color w:val="2F5496" w:themeColor="accent1" w:themeShade="BF"/>
      <w:sz w:val="32"/>
      <w:szCs w:val="32"/>
      <w:lang w:eastAsia="en-US"/>
    </w:rPr>
  </w:style>
  <w:style w:type="paragraph" w:styleId="TOC1">
    <w:name w:val="toc 1"/>
    <w:basedOn w:val="Normal"/>
    <w:next w:val="Normal"/>
    <w:autoRedefine/>
    <w:uiPriority w:val="39"/>
    <w:unhideWhenUsed/>
    <w:rsid w:val="00EC6085"/>
    <w:pPr>
      <w:tabs>
        <w:tab w:val="right" w:leader="hyphen" w:pos="9060"/>
      </w:tabs>
      <w:spacing w:line="240" w:lineRule="auto"/>
      <w:jc w:val="left"/>
    </w:pPr>
  </w:style>
  <w:style w:type="paragraph" w:styleId="TOC2">
    <w:name w:val="toc 2"/>
    <w:basedOn w:val="Normal"/>
    <w:next w:val="Normal"/>
    <w:autoRedefine/>
    <w:uiPriority w:val="39"/>
    <w:unhideWhenUsed/>
    <w:rsid w:val="00A9547E"/>
    <w:pPr>
      <w:spacing w:after="100"/>
      <w:ind w:left="240"/>
    </w:pPr>
  </w:style>
  <w:style w:type="paragraph" w:styleId="TOC3">
    <w:name w:val="toc 3"/>
    <w:basedOn w:val="Normal"/>
    <w:next w:val="Normal"/>
    <w:autoRedefine/>
    <w:uiPriority w:val="39"/>
    <w:unhideWhenUsed/>
    <w:rsid w:val="00A9547E"/>
    <w:pPr>
      <w:spacing w:after="100"/>
      <w:ind w:left="480"/>
    </w:pPr>
  </w:style>
  <w:style w:type="character" w:styleId="Hyperlink">
    <w:name w:val="Hyperlink"/>
    <w:basedOn w:val="DefaultParagraphFont"/>
    <w:uiPriority w:val="99"/>
    <w:unhideWhenUsed/>
    <w:rsid w:val="00A9547E"/>
    <w:rPr>
      <w:color w:val="0563C1" w:themeColor="hyperlink"/>
      <w:u w:val="single"/>
    </w:rPr>
  </w:style>
  <w:style w:type="paragraph" w:styleId="TableofFigures">
    <w:name w:val="table of figures"/>
    <w:basedOn w:val="Normal"/>
    <w:next w:val="Normal"/>
    <w:uiPriority w:val="99"/>
    <w:unhideWhenUsed/>
    <w:rsid w:val="00A9547E"/>
  </w:style>
  <w:style w:type="paragraph" w:styleId="NormalWeb">
    <w:name w:val="Normal (Web)"/>
    <w:basedOn w:val="Normal"/>
    <w:uiPriority w:val="99"/>
    <w:unhideWhenUsed/>
    <w:rsid w:val="0068312A"/>
    <w:pPr>
      <w:spacing w:before="100" w:beforeAutospacing="1" w:after="100" w:afterAutospacing="1" w:line="240" w:lineRule="auto"/>
      <w:jc w:val="left"/>
    </w:pPr>
    <w:rPr>
      <w:rFonts w:eastAsia="Times New Roman"/>
      <w:noProof w:val="0"/>
    </w:rPr>
  </w:style>
  <w:style w:type="paragraph" w:styleId="Bibliography">
    <w:name w:val="Bibliography"/>
    <w:basedOn w:val="Normal"/>
    <w:next w:val="Normal"/>
    <w:uiPriority w:val="37"/>
    <w:unhideWhenUsed/>
    <w:rsid w:val="000506B5"/>
  </w:style>
  <w:style w:type="character" w:styleId="IntenseReference">
    <w:name w:val="Intense Reference"/>
    <w:basedOn w:val="DefaultParagraphFont"/>
    <w:uiPriority w:val="32"/>
    <w:qFormat/>
    <w:rsid w:val="002843EF"/>
    <w:rPr>
      <w:rFonts w:ascii="Arial" w:hAnsi="Arial"/>
      <w:b w:val="0"/>
      <w:bCs/>
      <w:i w:val="0"/>
      <w:caps w:val="0"/>
      <w:smallCaps w:val="0"/>
      <w:vanish w:val="0"/>
      <w:color w:val="44546A" w:themeColor="text2"/>
      <w:spacing w:val="5"/>
      <w:sz w:val="18"/>
      <w:vertAlign w:val="baseline"/>
    </w:rPr>
  </w:style>
  <w:style w:type="character" w:styleId="CommentReference">
    <w:name w:val="annotation reference"/>
    <w:basedOn w:val="DefaultParagraphFont"/>
    <w:uiPriority w:val="99"/>
    <w:semiHidden/>
    <w:unhideWhenUsed/>
    <w:rsid w:val="00790118"/>
    <w:rPr>
      <w:sz w:val="16"/>
      <w:szCs w:val="16"/>
    </w:rPr>
  </w:style>
  <w:style w:type="paragraph" w:styleId="CommentText">
    <w:name w:val="annotation text"/>
    <w:basedOn w:val="Normal"/>
    <w:link w:val="CommentTextChar"/>
    <w:uiPriority w:val="99"/>
    <w:semiHidden/>
    <w:unhideWhenUsed/>
    <w:rsid w:val="00790118"/>
    <w:pPr>
      <w:spacing w:line="240" w:lineRule="auto"/>
    </w:pPr>
    <w:rPr>
      <w:sz w:val="20"/>
      <w:szCs w:val="20"/>
    </w:rPr>
  </w:style>
  <w:style w:type="character" w:customStyle="1" w:styleId="CommentTextChar">
    <w:name w:val="Comment Text Char"/>
    <w:basedOn w:val="DefaultParagraphFont"/>
    <w:link w:val="CommentText"/>
    <w:uiPriority w:val="99"/>
    <w:semiHidden/>
    <w:rsid w:val="00790118"/>
    <w:rPr>
      <w:rFonts w:ascii="Times New Roman" w:hAnsi="Times New Roman" w:cs="Times New Roman"/>
      <w:noProof/>
      <w:sz w:val="20"/>
      <w:szCs w:val="20"/>
    </w:rPr>
  </w:style>
  <w:style w:type="paragraph" w:styleId="CommentSubject">
    <w:name w:val="annotation subject"/>
    <w:basedOn w:val="CommentText"/>
    <w:next w:val="CommentText"/>
    <w:link w:val="CommentSubjectChar"/>
    <w:uiPriority w:val="99"/>
    <w:semiHidden/>
    <w:unhideWhenUsed/>
    <w:rsid w:val="00790118"/>
    <w:rPr>
      <w:b/>
      <w:bCs/>
    </w:rPr>
  </w:style>
  <w:style w:type="character" w:customStyle="1" w:styleId="CommentSubjectChar">
    <w:name w:val="Comment Subject Char"/>
    <w:basedOn w:val="CommentTextChar"/>
    <w:link w:val="CommentSubject"/>
    <w:uiPriority w:val="99"/>
    <w:semiHidden/>
    <w:rsid w:val="00790118"/>
    <w:rPr>
      <w:rFonts w:ascii="Times New Roman" w:hAnsi="Times New Roman" w:cs="Times New Roman"/>
      <w:b/>
      <w:bCs/>
      <w:noProof/>
      <w:sz w:val="20"/>
      <w:szCs w:val="20"/>
    </w:rPr>
  </w:style>
  <w:style w:type="character" w:styleId="UnresolvedMention">
    <w:name w:val="Unresolved Mention"/>
    <w:basedOn w:val="DefaultParagraphFont"/>
    <w:uiPriority w:val="99"/>
    <w:semiHidden/>
    <w:unhideWhenUsed/>
    <w:rsid w:val="00D82427"/>
    <w:rPr>
      <w:color w:val="605E5C"/>
      <w:shd w:val="clear" w:color="auto" w:fill="E1DFDD"/>
    </w:rPr>
  </w:style>
  <w:style w:type="character" w:styleId="Strong">
    <w:name w:val="Strong"/>
    <w:basedOn w:val="DefaultParagraphFont"/>
    <w:uiPriority w:val="22"/>
    <w:qFormat/>
    <w:rsid w:val="00385B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9968">
      <w:bodyDiv w:val="1"/>
      <w:marLeft w:val="0"/>
      <w:marRight w:val="0"/>
      <w:marTop w:val="0"/>
      <w:marBottom w:val="0"/>
      <w:divBdr>
        <w:top w:val="none" w:sz="0" w:space="0" w:color="auto"/>
        <w:left w:val="none" w:sz="0" w:space="0" w:color="auto"/>
        <w:bottom w:val="none" w:sz="0" w:space="0" w:color="auto"/>
        <w:right w:val="none" w:sz="0" w:space="0" w:color="auto"/>
      </w:divBdr>
    </w:div>
    <w:div w:id="11029199">
      <w:bodyDiv w:val="1"/>
      <w:marLeft w:val="0"/>
      <w:marRight w:val="0"/>
      <w:marTop w:val="0"/>
      <w:marBottom w:val="0"/>
      <w:divBdr>
        <w:top w:val="none" w:sz="0" w:space="0" w:color="auto"/>
        <w:left w:val="none" w:sz="0" w:space="0" w:color="auto"/>
        <w:bottom w:val="none" w:sz="0" w:space="0" w:color="auto"/>
        <w:right w:val="none" w:sz="0" w:space="0" w:color="auto"/>
      </w:divBdr>
    </w:div>
    <w:div w:id="13383995">
      <w:bodyDiv w:val="1"/>
      <w:marLeft w:val="0"/>
      <w:marRight w:val="0"/>
      <w:marTop w:val="0"/>
      <w:marBottom w:val="0"/>
      <w:divBdr>
        <w:top w:val="none" w:sz="0" w:space="0" w:color="auto"/>
        <w:left w:val="none" w:sz="0" w:space="0" w:color="auto"/>
        <w:bottom w:val="none" w:sz="0" w:space="0" w:color="auto"/>
        <w:right w:val="none" w:sz="0" w:space="0" w:color="auto"/>
      </w:divBdr>
    </w:div>
    <w:div w:id="16591425">
      <w:bodyDiv w:val="1"/>
      <w:marLeft w:val="0"/>
      <w:marRight w:val="0"/>
      <w:marTop w:val="0"/>
      <w:marBottom w:val="0"/>
      <w:divBdr>
        <w:top w:val="none" w:sz="0" w:space="0" w:color="auto"/>
        <w:left w:val="none" w:sz="0" w:space="0" w:color="auto"/>
        <w:bottom w:val="none" w:sz="0" w:space="0" w:color="auto"/>
        <w:right w:val="none" w:sz="0" w:space="0" w:color="auto"/>
      </w:divBdr>
    </w:div>
    <w:div w:id="22556032">
      <w:bodyDiv w:val="1"/>
      <w:marLeft w:val="0"/>
      <w:marRight w:val="0"/>
      <w:marTop w:val="0"/>
      <w:marBottom w:val="0"/>
      <w:divBdr>
        <w:top w:val="none" w:sz="0" w:space="0" w:color="auto"/>
        <w:left w:val="none" w:sz="0" w:space="0" w:color="auto"/>
        <w:bottom w:val="none" w:sz="0" w:space="0" w:color="auto"/>
        <w:right w:val="none" w:sz="0" w:space="0" w:color="auto"/>
      </w:divBdr>
    </w:div>
    <w:div w:id="30421606">
      <w:bodyDiv w:val="1"/>
      <w:marLeft w:val="0"/>
      <w:marRight w:val="0"/>
      <w:marTop w:val="0"/>
      <w:marBottom w:val="0"/>
      <w:divBdr>
        <w:top w:val="none" w:sz="0" w:space="0" w:color="auto"/>
        <w:left w:val="none" w:sz="0" w:space="0" w:color="auto"/>
        <w:bottom w:val="none" w:sz="0" w:space="0" w:color="auto"/>
        <w:right w:val="none" w:sz="0" w:space="0" w:color="auto"/>
      </w:divBdr>
    </w:div>
    <w:div w:id="41175837">
      <w:bodyDiv w:val="1"/>
      <w:marLeft w:val="0"/>
      <w:marRight w:val="0"/>
      <w:marTop w:val="0"/>
      <w:marBottom w:val="0"/>
      <w:divBdr>
        <w:top w:val="none" w:sz="0" w:space="0" w:color="auto"/>
        <w:left w:val="none" w:sz="0" w:space="0" w:color="auto"/>
        <w:bottom w:val="none" w:sz="0" w:space="0" w:color="auto"/>
        <w:right w:val="none" w:sz="0" w:space="0" w:color="auto"/>
      </w:divBdr>
    </w:div>
    <w:div w:id="42869438">
      <w:bodyDiv w:val="1"/>
      <w:marLeft w:val="0"/>
      <w:marRight w:val="0"/>
      <w:marTop w:val="0"/>
      <w:marBottom w:val="0"/>
      <w:divBdr>
        <w:top w:val="none" w:sz="0" w:space="0" w:color="auto"/>
        <w:left w:val="none" w:sz="0" w:space="0" w:color="auto"/>
        <w:bottom w:val="none" w:sz="0" w:space="0" w:color="auto"/>
        <w:right w:val="none" w:sz="0" w:space="0" w:color="auto"/>
      </w:divBdr>
    </w:div>
    <w:div w:id="55709315">
      <w:bodyDiv w:val="1"/>
      <w:marLeft w:val="0"/>
      <w:marRight w:val="0"/>
      <w:marTop w:val="0"/>
      <w:marBottom w:val="0"/>
      <w:divBdr>
        <w:top w:val="none" w:sz="0" w:space="0" w:color="auto"/>
        <w:left w:val="none" w:sz="0" w:space="0" w:color="auto"/>
        <w:bottom w:val="none" w:sz="0" w:space="0" w:color="auto"/>
        <w:right w:val="none" w:sz="0" w:space="0" w:color="auto"/>
      </w:divBdr>
    </w:div>
    <w:div w:id="60911744">
      <w:bodyDiv w:val="1"/>
      <w:marLeft w:val="0"/>
      <w:marRight w:val="0"/>
      <w:marTop w:val="0"/>
      <w:marBottom w:val="0"/>
      <w:divBdr>
        <w:top w:val="none" w:sz="0" w:space="0" w:color="auto"/>
        <w:left w:val="none" w:sz="0" w:space="0" w:color="auto"/>
        <w:bottom w:val="none" w:sz="0" w:space="0" w:color="auto"/>
        <w:right w:val="none" w:sz="0" w:space="0" w:color="auto"/>
      </w:divBdr>
    </w:div>
    <w:div w:id="63182243">
      <w:bodyDiv w:val="1"/>
      <w:marLeft w:val="0"/>
      <w:marRight w:val="0"/>
      <w:marTop w:val="0"/>
      <w:marBottom w:val="0"/>
      <w:divBdr>
        <w:top w:val="none" w:sz="0" w:space="0" w:color="auto"/>
        <w:left w:val="none" w:sz="0" w:space="0" w:color="auto"/>
        <w:bottom w:val="none" w:sz="0" w:space="0" w:color="auto"/>
        <w:right w:val="none" w:sz="0" w:space="0" w:color="auto"/>
      </w:divBdr>
    </w:div>
    <w:div w:id="71049989">
      <w:bodyDiv w:val="1"/>
      <w:marLeft w:val="0"/>
      <w:marRight w:val="0"/>
      <w:marTop w:val="0"/>
      <w:marBottom w:val="0"/>
      <w:divBdr>
        <w:top w:val="none" w:sz="0" w:space="0" w:color="auto"/>
        <w:left w:val="none" w:sz="0" w:space="0" w:color="auto"/>
        <w:bottom w:val="none" w:sz="0" w:space="0" w:color="auto"/>
        <w:right w:val="none" w:sz="0" w:space="0" w:color="auto"/>
      </w:divBdr>
    </w:div>
    <w:div w:id="74472089">
      <w:bodyDiv w:val="1"/>
      <w:marLeft w:val="0"/>
      <w:marRight w:val="0"/>
      <w:marTop w:val="0"/>
      <w:marBottom w:val="0"/>
      <w:divBdr>
        <w:top w:val="none" w:sz="0" w:space="0" w:color="auto"/>
        <w:left w:val="none" w:sz="0" w:space="0" w:color="auto"/>
        <w:bottom w:val="none" w:sz="0" w:space="0" w:color="auto"/>
        <w:right w:val="none" w:sz="0" w:space="0" w:color="auto"/>
      </w:divBdr>
    </w:div>
    <w:div w:id="77102576">
      <w:bodyDiv w:val="1"/>
      <w:marLeft w:val="0"/>
      <w:marRight w:val="0"/>
      <w:marTop w:val="0"/>
      <w:marBottom w:val="0"/>
      <w:divBdr>
        <w:top w:val="none" w:sz="0" w:space="0" w:color="auto"/>
        <w:left w:val="none" w:sz="0" w:space="0" w:color="auto"/>
        <w:bottom w:val="none" w:sz="0" w:space="0" w:color="auto"/>
        <w:right w:val="none" w:sz="0" w:space="0" w:color="auto"/>
      </w:divBdr>
    </w:div>
    <w:div w:id="88619859">
      <w:bodyDiv w:val="1"/>
      <w:marLeft w:val="0"/>
      <w:marRight w:val="0"/>
      <w:marTop w:val="0"/>
      <w:marBottom w:val="0"/>
      <w:divBdr>
        <w:top w:val="none" w:sz="0" w:space="0" w:color="auto"/>
        <w:left w:val="none" w:sz="0" w:space="0" w:color="auto"/>
        <w:bottom w:val="none" w:sz="0" w:space="0" w:color="auto"/>
        <w:right w:val="none" w:sz="0" w:space="0" w:color="auto"/>
      </w:divBdr>
    </w:div>
    <w:div w:id="94135937">
      <w:bodyDiv w:val="1"/>
      <w:marLeft w:val="0"/>
      <w:marRight w:val="0"/>
      <w:marTop w:val="0"/>
      <w:marBottom w:val="0"/>
      <w:divBdr>
        <w:top w:val="none" w:sz="0" w:space="0" w:color="auto"/>
        <w:left w:val="none" w:sz="0" w:space="0" w:color="auto"/>
        <w:bottom w:val="none" w:sz="0" w:space="0" w:color="auto"/>
        <w:right w:val="none" w:sz="0" w:space="0" w:color="auto"/>
      </w:divBdr>
    </w:div>
    <w:div w:id="102454990">
      <w:bodyDiv w:val="1"/>
      <w:marLeft w:val="0"/>
      <w:marRight w:val="0"/>
      <w:marTop w:val="0"/>
      <w:marBottom w:val="0"/>
      <w:divBdr>
        <w:top w:val="none" w:sz="0" w:space="0" w:color="auto"/>
        <w:left w:val="none" w:sz="0" w:space="0" w:color="auto"/>
        <w:bottom w:val="none" w:sz="0" w:space="0" w:color="auto"/>
        <w:right w:val="none" w:sz="0" w:space="0" w:color="auto"/>
      </w:divBdr>
    </w:div>
    <w:div w:id="103230542">
      <w:bodyDiv w:val="1"/>
      <w:marLeft w:val="0"/>
      <w:marRight w:val="0"/>
      <w:marTop w:val="0"/>
      <w:marBottom w:val="0"/>
      <w:divBdr>
        <w:top w:val="none" w:sz="0" w:space="0" w:color="auto"/>
        <w:left w:val="none" w:sz="0" w:space="0" w:color="auto"/>
        <w:bottom w:val="none" w:sz="0" w:space="0" w:color="auto"/>
        <w:right w:val="none" w:sz="0" w:space="0" w:color="auto"/>
      </w:divBdr>
    </w:div>
    <w:div w:id="110901954">
      <w:bodyDiv w:val="1"/>
      <w:marLeft w:val="0"/>
      <w:marRight w:val="0"/>
      <w:marTop w:val="0"/>
      <w:marBottom w:val="0"/>
      <w:divBdr>
        <w:top w:val="none" w:sz="0" w:space="0" w:color="auto"/>
        <w:left w:val="none" w:sz="0" w:space="0" w:color="auto"/>
        <w:bottom w:val="none" w:sz="0" w:space="0" w:color="auto"/>
        <w:right w:val="none" w:sz="0" w:space="0" w:color="auto"/>
      </w:divBdr>
    </w:div>
    <w:div w:id="113912320">
      <w:bodyDiv w:val="1"/>
      <w:marLeft w:val="0"/>
      <w:marRight w:val="0"/>
      <w:marTop w:val="0"/>
      <w:marBottom w:val="0"/>
      <w:divBdr>
        <w:top w:val="none" w:sz="0" w:space="0" w:color="auto"/>
        <w:left w:val="none" w:sz="0" w:space="0" w:color="auto"/>
        <w:bottom w:val="none" w:sz="0" w:space="0" w:color="auto"/>
        <w:right w:val="none" w:sz="0" w:space="0" w:color="auto"/>
      </w:divBdr>
    </w:div>
    <w:div w:id="123231240">
      <w:bodyDiv w:val="1"/>
      <w:marLeft w:val="0"/>
      <w:marRight w:val="0"/>
      <w:marTop w:val="0"/>
      <w:marBottom w:val="0"/>
      <w:divBdr>
        <w:top w:val="none" w:sz="0" w:space="0" w:color="auto"/>
        <w:left w:val="none" w:sz="0" w:space="0" w:color="auto"/>
        <w:bottom w:val="none" w:sz="0" w:space="0" w:color="auto"/>
        <w:right w:val="none" w:sz="0" w:space="0" w:color="auto"/>
      </w:divBdr>
    </w:div>
    <w:div w:id="126171912">
      <w:bodyDiv w:val="1"/>
      <w:marLeft w:val="0"/>
      <w:marRight w:val="0"/>
      <w:marTop w:val="0"/>
      <w:marBottom w:val="0"/>
      <w:divBdr>
        <w:top w:val="none" w:sz="0" w:space="0" w:color="auto"/>
        <w:left w:val="none" w:sz="0" w:space="0" w:color="auto"/>
        <w:bottom w:val="none" w:sz="0" w:space="0" w:color="auto"/>
        <w:right w:val="none" w:sz="0" w:space="0" w:color="auto"/>
      </w:divBdr>
    </w:div>
    <w:div w:id="126239280">
      <w:bodyDiv w:val="1"/>
      <w:marLeft w:val="0"/>
      <w:marRight w:val="0"/>
      <w:marTop w:val="0"/>
      <w:marBottom w:val="0"/>
      <w:divBdr>
        <w:top w:val="none" w:sz="0" w:space="0" w:color="auto"/>
        <w:left w:val="none" w:sz="0" w:space="0" w:color="auto"/>
        <w:bottom w:val="none" w:sz="0" w:space="0" w:color="auto"/>
        <w:right w:val="none" w:sz="0" w:space="0" w:color="auto"/>
      </w:divBdr>
    </w:div>
    <w:div w:id="138303789">
      <w:bodyDiv w:val="1"/>
      <w:marLeft w:val="0"/>
      <w:marRight w:val="0"/>
      <w:marTop w:val="0"/>
      <w:marBottom w:val="0"/>
      <w:divBdr>
        <w:top w:val="none" w:sz="0" w:space="0" w:color="auto"/>
        <w:left w:val="none" w:sz="0" w:space="0" w:color="auto"/>
        <w:bottom w:val="none" w:sz="0" w:space="0" w:color="auto"/>
        <w:right w:val="none" w:sz="0" w:space="0" w:color="auto"/>
      </w:divBdr>
    </w:div>
    <w:div w:id="141582107">
      <w:bodyDiv w:val="1"/>
      <w:marLeft w:val="0"/>
      <w:marRight w:val="0"/>
      <w:marTop w:val="0"/>
      <w:marBottom w:val="0"/>
      <w:divBdr>
        <w:top w:val="none" w:sz="0" w:space="0" w:color="auto"/>
        <w:left w:val="none" w:sz="0" w:space="0" w:color="auto"/>
        <w:bottom w:val="none" w:sz="0" w:space="0" w:color="auto"/>
        <w:right w:val="none" w:sz="0" w:space="0" w:color="auto"/>
      </w:divBdr>
    </w:div>
    <w:div w:id="143161204">
      <w:bodyDiv w:val="1"/>
      <w:marLeft w:val="0"/>
      <w:marRight w:val="0"/>
      <w:marTop w:val="0"/>
      <w:marBottom w:val="0"/>
      <w:divBdr>
        <w:top w:val="none" w:sz="0" w:space="0" w:color="auto"/>
        <w:left w:val="none" w:sz="0" w:space="0" w:color="auto"/>
        <w:bottom w:val="none" w:sz="0" w:space="0" w:color="auto"/>
        <w:right w:val="none" w:sz="0" w:space="0" w:color="auto"/>
      </w:divBdr>
    </w:div>
    <w:div w:id="173765661">
      <w:bodyDiv w:val="1"/>
      <w:marLeft w:val="0"/>
      <w:marRight w:val="0"/>
      <w:marTop w:val="0"/>
      <w:marBottom w:val="0"/>
      <w:divBdr>
        <w:top w:val="none" w:sz="0" w:space="0" w:color="auto"/>
        <w:left w:val="none" w:sz="0" w:space="0" w:color="auto"/>
        <w:bottom w:val="none" w:sz="0" w:space="0" w:color="auto"/>
        <w:right w:val="none" w:sz="0" w:space="0" w:color="auto"/>
      </w:divBdr>
    </w:div>
    <w:div w:id="175659829">
      <w:bodyDiv w:val="1"/>
      <w:marLeft w:val="0"/>
      <w:marRight w:val="0"/>
      <w:marTop w:val="0"/>
      <w:marBottom w:val="0"/>
      <w:divBdr>
        <w:top w:val="none" w:sz="0" w:space="0" w:color="auto"/>
        <w:left w:val="none" w:sz="0" w:space="0" w:color="auto"/>
        <w:bottom w:val="none" w:sz="0" w:space="0" w:color="auto"/>
        <w:right w:val="none" w:sz="0" w:space="0" w:color="auto"/>
      </w:divBdr>
    </w:div>
    <w:div w:id="177503961">
      <w:bodyDiv w:val="1"/>
      <w:marLeft w:val="0"/>
      <w:marRight w:val="0"/>
      <w:marTop w:val="0"/>
      <w:marBottom w:val="0"/>
      <w:divBdr>
        <w:top w:val="none" w:sz="0" w:space="0" w:color="auto"/>
        <w:left w:val="none" w:sz="0" w:space="0" w:color="auto"/>
        <w:bottom w:val="none" w:sz="0" w:space="0" w:color="auto"/>
        <w:right w:val="none" w:sz="0" w:space="0" w:color="auto"/>
      </w:divBdr>
    </w:div>
    <w:div w:id="180164627">
      <w:bodyDiv w:val="1"/>
      <w:marLeft w:val="0"/>
      <w:marRight w:val="0"/>
      <w:marTop w:val="0"/>
      <w:marBottom w:val="0"/>
      <w:divBdr>
        <w:top w:val="none" w:sz="0" w:space="0" w:color="auto"/>
        <w:left w:val="none" w:sz="0" w:space="0" w:color="auto"/>
        <w:bottom w:val="none" w:sz="0" w:space="0" w:color="auto"/>
        <w:right w:val="none" w:sz="0" w:space="0" w:color="auto"/>
      </w:divBdr>
    </w:div>
    <w:div w:id="183059191">
      <w:bodyDiv w:val="1"/>
      <w:marLeft w:val="0"/>
      <w:marRight w:val="0"/>
      <w:marTop w:val="0"/>
      <w:marBottom w:val="0"/>
      <w:divBdr>
        <w:top w:val="none" w:sz="0" w:space="0" w:color="auto"/>
        <w:left w:val="none" w:sz="0" w:space="0" w:color="auto"/>
        <w:bottom w:val="none" w:sz="0" w:space="0" w:color="auto"/>
        <w:right w:val="none" w:sz="0" w:space="0" w:color="auto"/>
      </w:divBdr>
      <w:divsChild>
        <w:div w:id="1510094415">
          <w:marLeft w:val="0"/>
          <w:marRight w:val="0"/>
          <w:marTop w:val="0"/>
          <w:marBottom w:val="0"/>
          <w:divBdr>
            <w:top w:val="none" w:sz="0" w:space="0" w:color="auto"/>
            <w:left w:val="none" w:sz="0" w:space="0" w:color="auto"/>
            <w:bottom w:val="none" w:sz="0" w:space="0" w:color="auto"/>
            <w:right w:val="none" w:sz="0" w:space="0" w:color="auto"/>
          </w:divBdr>
        </w:div>
        <w:div w:id="2059157562">
          <w:marLeft w:val="0"/>
          <w:marRight w:val="0"/>
          <w:marTop w:val="0"/>
          <w:marBottom w:val="0"/>
          <w:divBdr>
            <w:top w:val="none" w:sz="0" w:space="0" w:color="auto"/>
            <w:left w:val="none" w:sz="0" w:space="0" w:color="auto"/>
            <w:bottom w:val="none" w:sz="0" w:space="0" w:color="auto"/>
            <w:right w:val="none" w:sz="0" w:space="0" w:color="auto"/>
          </w:divBdr>
        </w:div>
      </w:divsChild>
    </w:div>
    <w:div w:id="196477289">
      <w:bodyDiv w:val="1"/>
      <w:marLeft w:val="0"/>
      <w:marRight w:val="0"/>
      <w:marTop w:val="0"/>
      <w:marBottom w:val="0"/>
      <w:divBdr>
        <w:top w:val="none" w:sz="0" w:space="0" w:color="auto"/>
        <w:left w:val="none" w:sz="0" w:space="0" w:color="auto"/>
        <w:bottom w:val="none" w:sz="0" w:space="0" w:color="auto"/>
        <w:right w:val="none" w:sz="0" w:space="0" w:color="auto"/>
      </w:divBdr>
    </w:div>
    <w:div w:id="198512073">
      <w:bodyDiv w:val="1"/>
      <w:marLeft w:val="0"/>
      <w:marRight w:val="0"/>
      <w:marTop w:val="0"/>
      <w:marBottom w:val="0"/>
      <w:divBdr>
        <w:top w:val="none" w:sz="0" w:space="0" w:color="auto"/>
        <w:left w:val="none" w:sz="0" w:space="0" w:color="auto"/>
        <w:bottom w:val="none" w:sz="0" w:space="0" w:color="auto"/>
        <w:right w:val="none" w:sz="0" w:space="0" w:color="auto"/>
      </w:divBdr>
    </w:div>
    <w:div w:id="198593332">
      <w:bodyDiv w:val="1"/>
      <w:marLeft w:val="0"/>
      <w:marRight w:val="0"/>
      <w:marTop w:val="0"/>
      <w:marBottom w:val="0"/>
      <w:divBdr>
        <w:top w:val="none" w:sz="0" w:space="0" w:color="auto"/>
        <w:left w:val="none" w:sz="0" w:space="0" w:color="auto"/>
        <w:bottom w:val="none" w:sz="0" w:space="0" w:color="auto"/>
        <w:right w:val="none" w:sz="0" w:space="0" w:color="auto"/>
      </w:divBdr>
    </w:div>
    <w:div w:id="200872039">
      <w:bodyDiv w:val="1"/>
      <w:marLeft w:val="0"/>
      <w:marRight w:val="0"/>
      <w:marTop w:val="0"/>
      <w:marBottom w:val="0"/>
      <w:divBdr>
        <w:top w:val="none" w:sz="0" w:space="0" w:color="auto"/>
        <w:left w:val="none" w:sz="0" w:space="0" w:color="auto"/>
        <w:bottom w:val="none" w:sz="0" w:space="0" w:color="auto"/>
        <w:right w:val="none" w:sz="0" w:space="0" w:color="auto"/>
      </w:divBdr>
    </w:div>
    <w:div w:id="207306171">
      <w:bodyDiv w:val="1"/>
      <w:marLeft w:val="0"/>
      <w:marRight w:val="0"/>
      <w:marTop w:val="0"/>
      <w:marBottom w:val="0"/>
      <w:divBdr>
        <w:top w:val="none" w:sz="0" w:space="0" w:color="auto"/>
        <w:left w:val="none" w:sz="0" w:space="0" w:color="auto"/>
        <w:bottom w:val="none" w:sz="0" w:space="0" w:color="auto"/>
        <w:right w:val="none" w:sz="0" w:space="0" w:color="auto"/>
      </w:divBdr>
    </w:div>
    <w:div w:id="208692007">
      <w:bodyDiv w:val="1"/>
      <w:marLeft w:val="0"/>
      <w:marRight w:val="0"/>
      <w:marTop w:val="0"/>
      <w:marBottom w:val="0"/>
      <w:divBdr>
        <w:top w:val="none" w:sz="0" w:space="0" w:color="auto"/>
        <w:left w:val="none" w:sz="0" w:space="0" w:color="auto"/>
        <w:bottom w:val="none" w:sz="0" w:space="0" w:color="auto"/>
        <w:right w:val="none" w:sz="0" w:space="0" w:color="auto"/>
      </w:divBdr>
    </w:div>
    <w:div w:id="210263863">
      <w:bodyDiv w:val="1"/>
      <w:marLeft w:val="0"/>
      <w:marRight w:val="0"/>
      <w:marTop w:val="0"/>
      <w:marBottom w:val="0"/>
      <w:divBdr>
        <w:top w:val="none" w:sz="0" w:space="0" w:color="auto"/>
        <w:left w:val="none" w:sz="0" w:space="0" w:color="auto"/>
        <w:bottom w:val="none" w:sz="0" w:space="0" w:color="auto"/>
        <w:right w:val="none" w:sz="0" w:space="0" w:color="auto"/>
      </w:divBdr>
    </w:div>
    <w:div w:id="222103994">
      <w:bodyDiv w:val="1"/>
      <w:marLeft w:val="0"/>
      <w:marRight w:val="0"/>
      <w:marTop w:val="0"/>
      <w:marBottom w:val="0"/>
      <w:divBdr>
        <w:top w:val="none" w:sz="0" w:space="0" w:color="auto"/>
        <w:left w:val="none" w:sz="0" w:space="0" w:color="auto"/>
        <w:bottom w:val="none" w:sz="0" w:space="0" w:color="auto"/>
        <w:right w:val="none" w:sz="0" w:space="0" w:color="auto"/>
      </w:divBdr>
    </w:div>
    <w:div w:id="228156965">
      <w:bodyDiv w:val="1"/>
      <w:marLeft w:val="0"/>
      <w:marRight w:val="0"/>
      <w:marTop w:val="0"/>
      <w:marBottom w:val="0"/>
      <w:divBdr>
        <w:top w:val="none" w:sz="0" w:space="0" w:color="auto"/>
        <w:left w:val="none" w:sz="0" w:space="0" w:color="auto"/>
        <w:bottom w:val="none" w:sz="0" w:space="0" w:color="auto"/>
        <w:right w:val="none" w:sz="0" w:space="0" w:color="auto"/>
      </w:divBdr>
    </w:div>
    <w:div w:id="236406947">
      <w:bodyDiv w:val="1"/>
      <w:marLeft w:val="0"/>
      <w:marRight w:val="0"/>
      <w:marTop w:val="0"/>
      <w:marBottom w:val="0"/>
      <w:divBdr>
        <w:top w:val="none" w:sz="0" w:space="0" w:color="auto"/>
        <w:left w:val="none" w:sz="0" w:space="0" w:color="auto"/>
        <w:bottom w:val="none" w:sz="0" w:space="0" w:color="auto"/>
        <w:right w:val="none" w:sz="0" w:space="0" w:color="auto"/>
      </w:divBdr>
    </w:div>
    <w:div w:id="237330453">
      <w:bodyDiv w:val="1"/>
      <w:marLeft w:val="0"/>
      <w:marRight w:val="0"/>
      <w:marTop w:val="0"/>
      <w:marBottom w:val="0"/>
      <w:divBdr>
        <w:top w:val="none" w:sz="0" w:space="0" w:color="auto"/>
        <w:left w:val="none" w:sz="0" w:space="0" w:color="auto"/>
        <w:bottom w:val="none" w:sz="0" w:space="0" w:color="auto"/>
        <w:right w:val="none" w:sz="0" w:space="0" w:color="auto"/>
      </w:divBdr>
    </w:div>
    <w:div w:id="240601679">
      <w:bodyDiv w:val="1"/>
      <w:marLeft w:val="0"/>
      <w:marRight w:val="0"/>
      <w:marTop w:val="0"/>
      <w:marBottom w:val="0"/>
      <w:divBdr>
        <w:top w:val="none" w:sz="0" w:space="0" w:color="auto"/>
        <w:left w:val="none" w:sz="0" w:space="0" w:color="auto"/>
        <w:bottom w:val="none" w:sz="0" w:space="0" w:color="auto"/>
        <w:right w:val="none" w:sz="0" w:space="0" w:color="auto"/>
      </w:divBdr>
    </w:div>
    <w:div w:id="250243084">
      <w:bodyDiv w:val="1"/>
      <w:marLeft w:val="0"/>
      <w:marRight w:val="0"/>
      <w:marTop w:val="0"/>
      <w:marBottom w:val="0"/>
      <w:divBdr>
        <w:top w:val="none" w:sz="0" w:space="0" w:color="auto"/>
        <w:left w:val="none" w:sz="0" w:space="0" w:color="auto"/>
        <w:bottom w:val="none" w:sz="0" w:space="0" w:color="auto"/>
        <w:right w:val="none" w:sz="0" w:space="0" w:color="auto"/>
      </w:divBdr>
    </w:div>
    <w:div w:id="254286981">
      <w:bodyDiv w:val="1"/>
      <w:marLeft w:val="0"/>
      <w:marRight w:val="0"/>
      <w:marTop w:val="0"/>
      <w:marBottom w:val="0"/>
      <w:divBdr>
        <w:top w:val="none" w:sz="0" w:space="0" w:color="auto"/>
        <w:left w:val="none" w:sz="0" w:space="0" w:color="auto"/>
        <w:bottom w:val="none" w:sz="0" w:space="0" w:color="auto"/>
        <w:right w:val="none" w:sz="0" w:space="0" w:color="auto"/>
      </w:divBdr>
    </w:div>
    <w:div w:id="257369231">
      <w:bodyDiv w:val="1"/>
      <w:marLeft w:val="0"/>
      <w:marRight w:val="0"/>
      <w:marTop w:val="0"/>
      <w:marBottom w:val="0"/>
      <w:divBdr>
        <w:top w:val="none" w:sz="0" w:space="0" w:color="auto"/>
        <w:left w:val="none" w:sz="0" w:space="0" w:color="auto"/>
        <w:bottom w:val="none" w:sz="0" w:space="0" w:color="auto"/>
        <w:right w:val="none" w:sz="0" w:space="0" w:color="auto"/>
      </w:divBdr>
    </w:div>
    <w:div w:id="260182284">
      <w:bodyDiv w:val="1"/>
      <w:marLeft w:val="0"/>
      <w:marRight w:val="0"/>
      <w:marTop w:val="0"/>
      <w:marBottom w:val="0"/>
      <w:divBdr>
        <w:top w:val="none" w:sz="0" w:space="0" w:color="auto"/>
        <w:left w:val="none" w:sz="0" w:space="0" w:color="auto"/>
        <w:bottom w:val="none" w:sz="0" w:space="0" w:color="auto"/>
        <w:right w:val="none" w:sz="0" w:space="0" w:color="auto"/>
      </w:divBdr>
    </w:div>
    <w:div w:id="262037096">
      <w:bodyDiv w:val="1"/>
      <w:marLeft w:val="0"/>
      <w:marRight w:val="0"/>
      <w:marTop w:val="0"/>
      <w:marBottom w:val="0"/>
      <w:divBdr>
        <w:top w:val="none" w:sz="0" w:space="0" w:color="auto"/>
        <w:left w:val="none" w:sz="0" w:space="0" w:color="auto"/>
        <w:bottom w:val="none" w:sz="0" w:space="0" w:color="auto"/>
        <w:right w:val="none" w:sz="0" w:space="0" w:color="auto"/>
      </w:divBdr>
    </w:div>
    <w:div w:id="278950597">
      <w:bodyDiv w:val="1"/>
      <w:marLeft w:val="0"/>
      <w:marRight w:val="0"/>
      <w:marTop w:val="0"/>
      <w:marBottom w:val="0"/>
      <w:divBdr>
        <w:top w:val="none" w:sz="0" w:space="0" w:color="auto"/>
        <w:left w:val="none" w:sz="0" w:space="0" w:color="auto"/>
        <w:bottom w:val="none" w:sz="0" w:space="0" w:color="auto"/>
        <w:right w:val="none" w:sz="0" w:space="0" w:color="auto"/>
      </w:divBdr>
    </w:div>
    <w:div w:id="279194007">
      <w:bodyDiv w:val="1"/>
      <w:marLeft w:val="0"/>
      <w:marRight w:val="0"/>
      <w:marTop w:val="0"/>
      <w:marBottom w:val="0"/>
      <w:divBdr>
        <w:top w:val="none" w:sz="0" w:space="0" w:color="auto"/>
        <w:left w:val="none" w:sz="0" w:space="0" w:color="auto"/>
        <w:bottom w:val="none" w:sz="0" w:space="0" w:color="auto"/>
        <w:right w:val="none" w:sz="0" w:space="0" w:color="auto"/>
      </w:divBdr>
    </w:div>
    <w:div w:id="292299234">
      <w:bodyDiv w:val="1"/>
      <w:marLeft w:val="0"/>
      <w:marRight w:val="0"/>
      <w:marTop w:val="0"/>
      <w:marBottom w:val="0"/>
      <w:divBdr>
        <w:top w:val="none" w:sz="0" w:space="0" w:color="auto"/>
        <w:left w:val="none" w:sz="0" w:space="0" w:color="auto"/>
        <w:bottom w:val="none" w:sz="0" w:space="0" w:color="auto"/>
        <w:right w:val="none" w:sz="0" w:space="0" w:color="auto"/>
      </w:divBdr>
    </w:div>
    <w:div w:id="307133797">
      <w:bodyDiv w:val="1"/>
      <w:marLeft w:val="0"/>
      <w:marRight w:val="0"/>
      <w:marTop w:val="0"/>
      <w:marBottom w:val="0"/>
      <w:divBdr>
        <w:top w:val="none" w:sz="0" w:space="0" w:color="auto"/>
        <w:left w:val="none" w:sz="0" w:space="0" w:color="auto"/>
        <w:bottom w:val="none" w:sz="0" w:space="0" w:color="auto"/>
        <w:right w:val="none" w:sz="0" w:space="0" w:color="auto"/>
      </w:divBdr>
    </w:div>
    <w:div w:id="312947526">
      <w:bodyDiv w:val="1"/>
      <w:marLeft w:val="0"/>
      <w:marRight w:val="0"/>
      <w:marTop w:val="0"/>
      <w:marBottom w:val="0"/>
      <w:divBdr>
        <w:top w:val="none" w:sz="0" w:space="0" w:color="auto"/>
        <w:left w:val="none" w:sz="0" w:space="0" w:color="auto"/>
        <w:bottom w:val="none" w:sz="0" w:space="0" w:color="auto"/>
        <w:right w:val="none" w:sz="0" w:space="0" w:color="auto"/>
      </w:divBdr>
    </w:div>
    <w:div w:id="313610435">
      <w:bodyDiv w:val="1"/>
      <w:marLeft w:val="0"/>
      <w:marRight w:val="0"/>
      <w:marTop w:val="0"/>
      <w:marBottom w:val="0"/>
      <w:divBdr>
        <w:top w:val="none" w:sz="0" w:space="0" w:color="auto"/>
        <w:left w:val="none" w:sz="0" w:space="0" w:color="auto"/>
        <w:bottom w:val="none" w:sz="0" w:space="0" w:color="auto"/>
        <w:right w:val="none" w:sz="0" w:space="0" w:color="auto"/>
      </w:divBdr>
    </w:div>
    <w:div w:id="318577394">
      <w:bodyDiv w:val="1"/>
      <w:marLeft w:val="0"/>
      <w:marRight w:val="0"/>
      <w:marTop w:val="0"/>
      <w:marBottom w:val="0"/>
      <w:divBdr>
        <w:top w:val="none" w:sz="0" w:space="0" w:color="auto"/>
        <w:left w:val="none" w:sz="0" w:space="0" w:color="auto"/>
        <w:bottom w:val="none" w:sz="0" w:space="0" w:color="auto"/>
        <w:right w:val="none" w:sz="0" w:space="0" w:color="auto"/>
      </w:divBdr>
    </w:div>
    <w:div w:id="321004258">
      <w:bodyDiv w:val="1"/>
      <w:marLeft w:val="0"/>
      <w:marRight w:val="0"/>
      <w:marTop w:val="0"/>
      <w:marBottom w:val="0"/>
      <w:divBdr>
        <w:top w:val="none" w:sz="0" w:space="0" w:color="auto"/>
        <w:left w:val="none" w:sz="0" w:space="0" w:color="auto"/>
        <w:bottom w:val="none" w:sz="0" w:space="0" w:color="auto"/>
        <w:right w:val="none" w:sz="0" w:space="0" w:color="auto"/>
      </w:divBdr>
    </w:div>
    <w:div w:id="327833773">
      <w:bodyDiv w:val="1"/>
      <w:marLeft w:val="0"/>
      <w:marRight w:val="0"/>
      <w:marTop w:val="0"/>
      <w:marBottom w:val="0"/>
      <w:divBdr>
        <w:top w:val="none" w:sz="0" w:space="0" w:color="auto"/>
        <w:left w:val="none" w:sz="0" w:space="0" w:color="auto"/>
        <w:bottom w:val="none" w:sz="0" w:space="0" w:color="auto"/>
        <w:right w:val="none" w:sz="0" w:space="0" w:color="auto"/>
      </w:divBdr>
    </w:div>
    <w:div w:id="331031895">
      <w:bodyDiv w:val="1"/>
      <w:marLeft w:val="0"/>
      <w:marRight w:val="0"/>
      <w:marTop w:val="0"/>
      <w:marBottom w:val="0"/>
      <w:divBdr>
        <w:top w:val="none" w:sz="0" w:space="0" w:color="auto"/>
        <w:left w:val="none" w:sz="0" w:space="0" w:color="auto"/>
        <w:bottom w:val="none" w:sz="0" w:space="0" w:color="auto"/>
        <w:right w:val="none" w:sz="0" w:space="0" w:color="auto"/>
      </w:divBdr>
    </w:div>
    <w:div w:id="331177783">
      <w:bodyDiv w:val="1"/>
      <w:marLeft w:val="0"/>
      <w:marRight w:val="0"/>
      <w:marTop w:val="0"/>
      <w:marBottom w:val="0"/>
      <w:divBdr>
        <w:top w:val="none" w:sz="0" w:space="0" w:color="auto"/>
        <w:left w:val="none" w:sz="0" w:space="0" w:color="auto"/>
        <w:bottom w:val="none" w:sz="0" w:space="0" w:color="auto"/>
        <w:right w:val="none" w:sz="0" w:space="0" w:color="auto"/>
      </w:divBdr>
    </w:div>
    <w:div w:id="335763580">
      <w:bodyDiv w:val="1"/>
      <w:marLeft w:val="0"/>
      <w:marRight w:val="0"/>
      <w:marTop w:val="0"/>
      <w:marBottom w:val="0"/>
      <w:divBdr>
        <w:top w:val="none" w:sz="0" w:space="0" w:color="auto"/>
        <w:left w:val="none" w:sz="0" w:space="0" w:color="auto"/>
        <w:bottom w:val="none" w:sz="0" w:space="0" w:color="auto"/>
        <w:right w:val="none" w:sz="0" w:space="0" w:color="auto"/>
      </w:divBdr>
    </w:div>
    <w:div w:id="340741183">
      <w:bodyDiv w:val="1"/>
      <w:marLeft w:val="0"/>
      <w:marRight w:val="0"/>
      <w:marTop w:val="0"/>
      <w:marBottom w:val="0"/>
      <w:divBdr>
        <w:top w:val="none" w:sz="0" w:space="0" w:color="auto"/>
        <w:left w:val="none" w:sz="0" w:space="0" w:color="auto"/>
        <w:bottom w:val="none" w:sz="0" w:space="0" w:color="auto"/>
        <w:right w:val="none" w:sz="0" w:space="0" w:color="auto"/>
      </w:divBdr>
    </w:div>
    <w:div w:id="341204879">
      <w:bodyDiv w:val="1"/>
      <w:marLeft w:val="0"/>
      <w:marRight w:val="0"/>
      <w:marTop w:val="0"/>
      <w:marBottom w:val="0"/>
      <w:divBdr>
        <w:top w:val="none" w:sz="0" w:space="0" w:color="auto"/>
        <w:left w:val="none" w:sz="0" w:space="0" w:color="auto"/>
        <w:bottom w:val="none" w:sz="0" w:space="0" w:color="auto"/>
        <w:right w:val="none" w:sz="0" w:space="0" w:color="auto"/>
      </w:divBdr>
    </w:div>
    <w:div w:id="345402438">
      <w:bodyDiv w:val="1"/>
      <w:marLeft w:val="0"/>
      <w:marRight w:val="0"/>
      <w:marTop w:val="0"/>
      <w:marBottom w:val="0"/>
      <w:divBdr>
        <w:top w:val="none" w:sz="0" w:space="0" w:color="auto"/>
        <w:left w:val="none" w:sz="0" w:space="0" w:color="auto"/>
        <w:bottom w:val="none" w:sz="0" w:space="0" w:color="auto"/>
        <w:right w:val="none" w:sz="0" w:space="0" w:color="auto"/>
      </w:divBdr>
    </w:div>
    <w:div w:id="345448297">
      <w:bodyDiv w:val="1"/>
      <w:marLeft w:val="0"/>
      <w:marRight w:val="0"/>
      <w:marTop w:val="0"/>
      <w:marBottom w:val="0"/>
      <w:divBdr>
        <w:top w:val="none" w:sz="0" w:space="0" w:color="auto"/>
        <w:left w:val="none" w:sz="0" w:space="0" w:color="auto"/>
        <w:bottom w:val="none" w:sz="0" w:space="0" w:color="auto"/>
        <w:right w:val="none" w:sz="0" w:space="0" w:color="auto"/>
      </w:divBdr>
    </w:div>
    <w:div w:id="350453480">
      <w:bodyDiv w:val="1"/>
      <w:marLeft w:val="0"/>
      <w:marRight w:val="0"/>
      <w:marTop w:val="0"/>
      <w:marBottom w:val="0"/>
      <w:divBdr>
        <w:top w:val="none" w:sz="0" w:space="0" w:color="auto"/>
        <w:left w:val="none" w:sz="0" w:space="0" w:color="auto"/>
        <w:bottom w:val="none" w:sz="0" w:space="0" w:color="auto"/>
        <w:right w:val="none" w:sz="0" w:space="0" w:color="auto"/>
      </w:divBdr>
    </w:div>
    <w:div w:id="352730422">
      <w:bodyDiv w:val="1"/>
      <w:marLeft w:val="0"/>
      <w:marRight w:val="0"/>
      <w:marTop w:val="0"/>
      <w:marBottom w:val="0"/>
      <w:divBdr>
        <w:top w:val="none" w:sz="0" w:space="0" w:color="auto"/>
        <w:left w:val="none" w:sz="0" w:space="0" w:color="auto"/>
        <w:bottom w:val="none" w:sz="0" w:space="0" w:color="auto"/>
        <w:right w:val="none" w:sz="0" w:space="0" w:color="auto"/>
      </w:divBdr>
    </w:div>
    <w:div w:id="355624206">
      <w:bodyDiv w:val="1"/>
      <w:marLeft w:val="0"/>
      <w:marRight w:val="0"/>
      <w:marTop w:val="0"/>
      <w:marBottom w:val="0"/>
      <w:divBdr>
        <w:top w:val="none" w:sz="0" w:space="0" w:color="auto"/>
        <w:left w:val="none" w:sz="0" w:space="0" w:color="auto"/>
        <w:bottom w:val="none" w:sz="0" w:space="0" w:color="auto"/>
        <w:right w:val="none" w:sz="0" w:space="0" w:color="auto"/>
      </w:divBdr>
    </w:div>
    <w:div w:id="364990896">
      <w:bodyDiv w:val="1"/>
      <w:marLeft w:val="0"/>
      <w:marRight w:val="0"/>
      <w:marTop w:val="0"/>
      <w:marBottom w:val="0"/>
      <w:divBdr>
        <w:top w:val="none" w:sz="0" w:space="0" w:color="auto"/>
        <w:left w:val="none" w:sz="0" w:space="0" w:color="auto"/>
        <w:bottom w:val="none" w:sz="0" w:space="0" w:color="auto"/>
        <w:right w:val="none" w:sz="0" w:space="0" w:color="auto"/>
      </w:divBdr>
    </w:div>
    <w:div w:id="370109394">
      <w:bodyDiv w:val="1"/>
      <w:marLeft w:val="0"/>
      <w:marRight w:val="0"/>
      <w:marTop w:val="0"/>
      <w:marBottom w:val="0"/>
      <w:divBdr>
        <w:top w:val="none" w:sz="0" w:space="0" w:color="auto"/>
        <w:left w:val="none" w:sz="0" w:space="0" w:color="auto"/>
        <w:bottom w:val="none" w:sz="0" w:space="0" w:color="auto"/>
        <w:right w:val="none" w:sz="0" w:space="0" w:color="auto"/>
      </w:divBdr>
    </w:div>
    <w:div w:id="372079226">
      <w:bodyDiv w:val="1"/>
      <w:marLeft w:val="0"/>
      <w:marRight w:val="0"/>
      <w:marTop w:val="0"/>
      <w:marBottom w:val="0"/>
      <w:divBdr>
        <w:top w:val="none" w:sz="0" w:space="0" w:color="auto"/>
        <w:left w:val="none" w:sz="0" w:space="0" w:color="auto"/>
        <w:bottom w:val="none" w:sz="0" w:space="0" w:color="auto"/>
        <w:right w:val="none" w:sz="0" w:space="0" w:color="auto"/>
      </w:divBdr>
    </w:div>
    <w:div w:id="375592504">
      <w:bodyDiv w:val="1"/>
      <w:marLeft w:val="0"/>
      <w:marRight w:val="0"/>
      <w:marTop w:val="0"/>
      <w:marBottom w:val="0"/>
      <w:divBdr>
        <w:top w:val="none" w:sz="0" w:space="0" w:color="auto"/>
        <w:left w:val="none" w:sz="0" w:space="0" w:color="auto"/>
        <w:bottom w:val="none" w:sz="0" w:space="0" w:color="auto"/>
        <w:right w:val="none" w:sz="0" w:space="0" w:color="auto"/>
      </w:divBdr>
    </w:div>
    <w:div w:id="387649977">
      <w:bodyDiv w:val="1"/>
      <w:marLeft w:val="0"/>
      <w:marRight w:val="0"/>
      <w:marTop w:val="0"/>
      <w:marBottom w:val="0"/>
      <w:divBdr>
        <w:top w:val="none" w:sz="0" w:space="0" w:color="auto"/>
        <w:left w:val="none" w:sz="0" w:space="0" w:color="auto"/>
        <w:bottom w:val="none" w:sz="0" w:space="0" w:color="auto"/>
        <w:right w:val="none" w:sz="0" w:space="0" w:color="auto"/>
      </w:divBdr>
    </w:div>
    <w:div w:id="390689822">
      <w:bodyDiv w:val="1"/>
      <w:marLeft w:val="0"/>
      <w:marRight w:val="0"/>
      <w:marTop w:val="0"/>
      <w:marBottom w:val="0"/>
      <w:divBdr>
        <w:top w:val="none" w:sz="0" w:space="0" w:color="auto"/>
        <w:left w:val="none" w:sz="0" w:space="0" w:color="auto"/>
        <w:bottom w:val="none" w:sz="0" w:space="0" w:color="auto"/>
        <w:right w:val="none" w:sz="0" w:space="0" w:color="auto"/>
      </w:divBdr>
    </w:div>
    <w:div w:id="390810440">
      <w:bodyDiv w:val="1"/>
      <w:marLeft w:val="0"/>
      <w:marRight w:val="0"/>
      <w:marTop w:val="0"/>
      <w:marBottom w:val="0"/>
      <w:divBdr>
        <w:top w:val="none" w:sz="0" w:space="0" w:color="auto"/>
        <w:left w:val="none" w:sz="0" w:space="0" w:color="auto"/>
        <w:bottom w:val="none" w:sz="0" w:space="0" w:color="auto"/>
        <w:right w:val="none" w:sz="0" w:space="0" w:color="auto"/>
      </w:divBdr>
    </w:div>
    <w:div w:id="401491700">
      <w:bodyDiv w:val="1"/>
      <w:marLeft w:val="0"/>
      <w:marRight w:val="0"/>
      <w:marTop w:val="0"/>
      <w:marBottom w:val="0"/>
      <w:divBdr>
        <w:top w:val="none" w:sz="0" w:space="0" w:color="auto"/>
        <w:left w:val="none" w:sz="0" w:space="0" w:color="auto"/>
        <w:bottom w:val="none" w:sz="0" w:space="0" w:color="auto"/>
        <w:right w:val="none" w:sz="0" w:space="0" w:color="auto"/>
      </w:divBdr>
    </w:div>
    <w:div w:id="409236782">
      <w:bodyDiv w:val="1"/>
      <w:marLeft w:val="0"/>
      <w:marRight w:val="0"/>
      <w:marTop w:val="0"/>
      <w:marBottom w:val="0"/>
      <w:divBdr>
        <w:top w:val="none" w:sz="0" w:space="0" w:color="auto"/>
        <w:left w:val="none" w:sz="0" w:space="0" w:color="auto"/>
        <w:bottom w:val="none" w:sz="0" w:space="0" w:color="auto"/>
        <w:right w:val="none" w:sz="0" w:space="0" w:color="auto"/>
      </w:divBdr>
    </w:div>
    <w:div w:id="427892741">
      <w:bodyDiv w:val="1"/>
      <w:marLeft w:val="0"/>
      <w:marRight w:val="0"/>
      <w:marTop w:val="0"/>
      <w:marBottom w:val="0"/>
      <w:divBdr>
        <w:top w:val="none" w:sz="0" w:space="0" w:color="auto"/>
        <w:left w:val="none" w:sz="0" w:space="0" w:color="auto"/>
        <w:bottom w:val="none" w:sz="0" w:space="0" w:color="auto"/>
        <w:right w:val="none" w:sz="0" w:space="0" w:color="auto"/>
      </w:divBdr>
    </w:div>
    <w:div w:id="437677247">
      <w:bodyDiv w:val="1"/>
      <w:marLeft w:val="0"/>
      <w:marRight w:val="0"/>
      <w:marTop w:val="0"/>
      <w:marBottom w:val="0"/>
      <w:divBdr>
        <w:top w:val="none" w:sz="0" w:space="0" w:color="auto"/>
        <w:left w:val="none" w:sz="0" w:space="0" w:color="auto"/>
        <w:bottom w:val="none" w:sz="0" w:space="0" w:color="auto"/>
        <w:right w:val="none" w:sz="0" w:space="0" w:color="auto"/>
      </w:divBdr>
    </w:div>
    <w:div w:id="445849990">
      <w:bodyDiv w:val="1"/>
      <w:marLeft w:val="0"/>
      <w:marRight w:val="0"/>
      <w:marTop w:val="0"/>
      <w:marBottom w:val="0"/>
      <w:divBdr>
        <w:top w:val="none" w:sz="0" w:space="0" w:color="auto"/>
        <w:left w:val="none" w:sz="0" w:space="0" w:color="auto"/>
        <w:bottom w:val="none" w:sz="0" w:space="0" w:color="auto"/>
        <w:right w:val="none" w:sz="0" w:space="0" w:color="auto"/>
      </w:divBdr>
    </w:div>
    <w:div w:id="450056647">
      <w:bodyDiv w:val="1"/>
      <w:marLeft w:val="0"/>
      <w:marRight w:val="0"/>
      <w:marTop w:val="0"/>
      <w:marBottom w:val="0"/>
      <w:divBdr>
        <w:top w:val="none" w:sz="0" w:space="0" w:color="auto"/>
        <w:left w:val="none" w:sz="0" w:space="0" w:color="auto"/>
        <w:bottom w:val="none" w:sz="0" w:space="0" w:color="auto"/>
        <w:right w:val="none" w:sz="0" w:space="0" w:color="auto"/>
      </w:divBdr>
    </w:div>
    <w:div w:id="455295282">
      <w:bodyDiv w:val="1"/>
      <w:marLeft w:val="0"/>
      <w:marRight w:val="0"/>
      <w:marTop w:val="0"/>
      <w:marBottom w:val="0"/>
      <w:divBdr>
        <w:top w:val="none" w:sz="0" w:space="0" w:color="auto"/>
        <w:left w:val="none" w:sz="0" w:space="0" w:color="auto"/>
        <w:bottom w:val="none" w:sz="0" w:space="0" w:color="auto"/>
        <w:right w:val="none" w:sz="0" w:space="0" w:color="auto"/>
      </w:divBdr>
    </w:div>
    <w:div w:id="459690753">
      <w:bodyDiv w:val="1"/>
      <w:marLeft w:val="0"/>
      <w:marRight w:val="0"/>
      <w:marTop w:val="0"/>
      <w:marBottom w:val="0"/>
      <w:divBdr>
        <w:top w:val="none" w:sz="0" w:space="0" w:color="auto"/>
        <w:left w:val="none" w:sz="0" w:space="0" w:color="auto"/>
        <w:bottom w:val="none" w:sz="0" w:space="0" w:color="auto"/>
        <w:right w:val="none" w:sz="0" w:space="0" w:color="auto"/>
      </w:divBdr>
    </w:div>
    <w:div w:id="468863246">
      <w:bodyDiv w:val="1"/>
      <w:marLeft w:val="0"/>
      <w:marRight w:val="0"/>
      <w:marTop w:val="0"/>
      <w:marBottom w:val="0"/>
      <w:divBdr>
        <w:top w:val="none" w:sz="0" w:space="0" w:color="auto"/>
        <w:left w:val="none" w:sz="0" w:space="0" w:color="auto"/>
        <w:bottom w:val="none" w:sz="0" w:space="0" w:color="auto"/>
        <w:right w:val="none" w:sz="0" w:space="0" w:color="auto"/>
      </w:divBdr>
    </w:div>
    <w:div w:id="471795877">
      <w:bodyDiv w:val="1"/>
      <w:marLeft w:val="0"/>
      <w:marRight w:val="0"/>
      <w:marTop w:val="0"/>
      <w:marBottom w:val="0"/>
      <w:divBdr>
        <w:top w:val="none" w:sz="0" w:space="0" w:color="auto"/>
        <w:left w:val="none" w:sz="0" w:space="0" w:color="auto"/>
        <w:bottom w:val="none" w:sz="0" w:space="0" w:color="auto"/>
        <w:right w:val="none" w:sz="0" w:space="0" w:color="auto"/>
      </w:divBdr>
    </w:div>
    <w:div w:id="473181140">
      <w:bodyDiv w:val="1"/>
      <w:marLeft w:val="0"/>
      <w:marRight w:val="0"/>
      <w:marTop w:val="0"/>
      <w:marBottom w:val="0"/>
      <w:divBdr>
        <w:top w:val="none" w:sz="0" w:space="0" w:color="auto"/>
        <w:left w:val="none" w:sz="0" w:space="0" w:color="auto"/>
        <w:bottom w:val="none" w:sz="0" w:space="0" w:color="auto"/>
        <w:right w:val="none" w:sz="0" w:space="0" w:color="auto"/>
      </w:divBdr>
    </w:div>
    <w:div w:id="478158601">
      <w:bodyDiv w:val="1"/>
      <w:marLeft w:val="0"/>
      <w:marRight w:val="0"/>
      <w:marTop w:val="0"/>
      <w:marBottom w:val="0"/>
      <w:divBdr>
        <w:top w:val="none" w:sz="0" w:space="0" w:color="auto"/>
        <w:left w:val="none" w:sz="0" w:space="0" w:color="auto"/>
        <w:bottom w:val="none" w:sz="0" w:space="0" w:color="auto"/>
        <w:right w:val="none" w:sz="0" w:space="0" w:color="auto"/>
      </w:divBdr>
    </w:div>
    <w:div w:id="480389918">
      <w:bodyDiv w:val="1"/>
      <w:marLeft w:val="0"/>
      <w:marRight w:val="0"/>
      <w:marTop w:val="0"/>
      <w:marBottom w:val="0"/>
      <w:divBdr>
        <w:top w:val="none" w:sz="0" w:space="0" w:color="auto"/>
        <w:left w:val="none" w:sz="0" w:space="0" w:color="auto"/>
        <w:bottom w:val="none" w:sz="0" w:space="0" w:color="auto"/>
        <w:right w:val="none" w:sz="0" w:space="0" w:color="auto"/>
      </w:divBdr>
    </w:div>
    <w:div w:id="486895860">
      <w:bodyDiv w:val="1"/>
      <w:marLeft w:val="0"/>
      <w:marRight w:val="0"/>
      <w:marTop w:val="0"/>
      <w:marBottom w:val="0"/>
      <w:divBdr>
        <w:top w:val="none" w:sz="0" w:space="0" w:color="auto"/>
        <w:left w:val="none" w:sz="0" w:space="0" w:color="auto"/>
        <w:bottom w:val="none" w:sz="0" w:space="0" w:color="auto"/>
        <w:right w:val="none" w:sz="0" w:space="0" w:color="auto"/>
      </w:divBdr>
    </w:div>
    <w:div w:id="497503044">
      <w:bodyDiv w:val="1"/>
      <w:marLeft w:val="0"/>
      <w:marRight w:val="0"/>
      <w:marTop w:val="0"/>
      <w:marBottom w:val="0"/>
      <w:divBdr>
        <w:top w:val="none" w:sz="0" w:space="0" w:color="auto"/>
        <w:left w:val="none" w:sz="0" w:space="0" w:color="auto"/>
        <w:bottom w:val="none" w:sz="0" w:space="0" w:color="auto"/>
        <w:right w:val="none" w:sz="0" w:space="0" w:color="auto"/>
      </w:divBdr>
    </w:div>
    <w:div w:id="511602710">
      <w:bodyDiv w:val="1"/>
      <w:marLeft w:val="0"/>
      <w:marRight w:val="0"/>
      <w:marTop w:val="0"/>
      <w:marBottom w:val="0"/>
      <w:divBdr>
        <w:top w:val="none" w:sz="0" w:space="0" w:color="auto"/>
        <w:left w:val="none" w:sz="0" w:space="0" w:color="auto"/>
        <w:bottom w:val="none" w:sz="0" w:space="0" w:color="auto"/>
        <w:right w:val="none" w:sz="0" w:space="0" w:color="auto"/>
      </w:divBdr>
    </w:div>
    <w:div w:id="512108301">
      <w:bodyDiv w:val="1"/>
      <w:marLeft w:val="0"/>
      <w:marRight w:val="0"/>
      <w:marTop w:val="0"/>
      <w:marBottom w:val="0"/>
      <w:divBdr>
        <w:top w:val="none" w:sz="0" w:space="0" w:color="auto"/>
        <w:left w:val="none" w:sz="0" w:space="0" w:color="auto"/>
        <w:bottom w:val="none" w:sz="0" w:space="0" w:color="auto"/>
        <w:right w:val="none" w:sz="0" w:space="0" w:color="auto"/>
      </w:divBdr>
    </w:div>
    <w:div w:id="516650612">
      <w:bodyDiv w:val="1"/>
      <w:marLeft w:val="0"/>
      <w:marRight w:val="0"/>
      <w:marTop w:val="0"/>
      <w:marBottom w:val="0"/>
      <w:divBdr>
        <w:top w:val="none" w:sz="0" w:space="0" w:color="auto"/>
        <w:left w:val="none" w:sz="0" w:space="0" w:color="auto"/>
        <w:bottom w:val="none" w:sz="0" w:space="0" w:color="auto"/>
        <w:right w:val="none" w:sz="0" w:space="0" w:color="auto"/>
      </w:divBdr>
    </w:div>
    <w:div w:id="519659223">
      <w:bodyDiv w:val="1"/>
      <w:marLeft w:val="0"/>
      <w:marRight w:val="0"/>
      <w:marTop w:val="0"/>
      <w:marBottom w:val="0"/>
      <w:divBdr>
        <w:top w:val="none" w:sz="0" w:space="0" w:color="auto"/>
        <w:left w:val="none" w:sz="0" w:space="0" w:color="auto"/>
        <w:bottom w:val="none" w:sz="0" w:space="0" w:color="auto"/>
        <w:right w:val="none" w:sz="0" w:space="0" w:color="auto"/>
      </w:divBdr>
    </w:div>
    <w:div w:id="523859569">
      <w:bodyDiv w:val="1"/>
      <w:marLeft w:val="0"/>
      <w:marRight w:val="0"/>
      <w:marTop w:val="0"/>
      <w:marBottom w:val="0"/>
      <w:divBdr>
        <w:top w:val="none" w:sz="0" w:space="0" w:color="auto"/>
        <w:left w:val="none" w:sz="0" w:space="0" w:color="auto"/>
        <w:bottom w:val="none" w:sz="0" w:space="0" w:color="auto"/>
        <w:right w:val="none" w:sz="0" w:space="0" w:color="auto"/>
      </w:divBdr>
    </w:div>
    <w:div w:id="528372372">
      <w:bodyDiv w:val="1"/>
      <w:marLeft w:val="0"/>
      <w:marRight w:val="0"/>
      <w:marTop w:val="0"/>
      <w:marBottom w:val="0"/>
      <w:divBdr>
        <w:top w:val="none" w:sz="0" w:space="0" w:color="auto"/>
        <w:left w:val="none" w:sz="0" w:space="0" w:color="auto"/>
        <w:bottom w:val="none" w:sz="0" w:space="0" w:color="auto"/>
        <w:right w:val="none" w:sz="0" w:space="0" w:color="auto"/>
      </w:divBdr>
    </w:div>
    <w:div w:id="537200591">
      <w:bodyDiv w:val="1"/>
      <w:marLeft w:val="0"/>
      <w:marRight w:val="0"/>
      <w:marTop w:val="0"/>
      <w:marBottom w:val="0"/>
      <w:divBdr>
        <w:top w:val="none" w:sz="0" w:space="0" w:color="auto"/>
        <w:left w:val="none" w:sz="0" w:space="0" w:color="auto"/>
        <w:bottom w:val="none" w:sz="0" w:space="0" w:color="auto"/>
        <w:right w:val="none" w:sz="0" w:space="0" w:color="auto"/>
      </w:divBdr>
    </w:div>
    <w:div w:id="545143794">
      <w:bodyDiv w:val="1"/>
      <w:marLeft w:val="0"/>
      <w:marRight w:val="0"/>
      <w:marTop w:val="0"/>
      <w:marBottom w:val="0"/>
      <w:divBdr>
        <w:top w:val="none" w:sz="0" w:space="0" w:color="auto"/>
        <w:left w:val="none" w:sz="0" w:space="0" w:color="auto"/>
        <w:bottom w:val="none" w:sz="0" w:space="0" w:color="auto"/>
        <w:right w:val="none" w:sz="0" w:space="0" w:color="auto"/>
      </w:divBdr>
    </w:div>
    <w:div w:id="547646816">
      <w:bodyDiv w:val="1"/>
      <w:marLeft w:val="0"/>
      <w:marRight w:val="0"/>
      <w:marTop w:val="0"/>
      <w:marBottom w:val="0"/>
      <w:divBdr>
        <w:top w:val="none" w:sz="0" w:space="0" w:color="auto"/>
        <w:left w:val="none" w:sz="0" w:space="0" w:color="auto"/>
        <w:bottom w:val="none" w:sz="0" w:space="0" w:color="auto"/>
        <w:right w:val="none" w:sz="0" w:space="0" w:color="auto"/>
      </w:divBdr>
    </w:div>
    <w:div w:id="555360030">
      <w:bodyDiv w:val="1"/>
      <w:marLeft w:val="0"/>
      <w:marRight w:val="0"/>
      <w:marTop w:val="0"/>
      <w:marBottom w:val="0"/>
      <w:divBdr>
        <w:top w:val="none" w:sz="0" w:space="0" w:color="auto"/>
        <w:left w:val="none" w:sz="0" w:space="0" w:color="auto"/>
        <w:bottom w:val="none" w:sz="0" w:space="0" w:color="auto"/>
        <w:right w:val="none" w:sz="0" w:space="0" w:color="auto"/>
      </w:divBdr>
    </w:div>
    <w:div w:id="558443226">
      <w:bodyDiv w:val="1"/>
      <w:marLeft w:val="0"/>
      <w:marRight w:val="0"/>
      <w:marTop w:val="0"/>
      <w:marBottom w:val="0"/>
      <w:divBdr>
        <w:top w:val="none" w:sz="0" w:space="0" w:color="auto"/>
        <w:left w:val="none" w:sz="0" w:space="0" w:color="auto"/>
        <w:bottom w:val="none" w:sz="0" w:space="0" w:color="auto"/>
        <w:right w:val="none" w:sz="0" w:space="0" w:color="auto"/>
      </w:divBdr>
    </w:div>
    <w:div w:id="571500875">
      <w:bodyDiv w:val="1"/>
      <w:marLeft w:val="0"/>
      <w:marRight w:val="0"/>
      <w:marTop w:val="0"/>
      <w:marBottom w:val="0"/>
      <w:divBdr>
        <w:top w:val="none" w:sz="0" w:space="0" w:color="auto"/>
        <w:left w:val="none" w:sz="0" w:space="0" w:color="auto"/>
        <w:bottom w:val="none" w:sz="0" w:space="0" w:color="auto"/>
        <w:right w:val="none" w:sz="0" w:space="0" w:color="auto"/>
      </w:divBdr>
    </w:div>
    <w:div w:id="571963248">
      <w:bodyDiv w:val="1"/>
      <w:marLeft w:val="0"/>
      <w:marRight w:val="0"/>
      <w:marTop w:val="0"/>
      <w:marBottom w:val="0"/>
      <w:divBdr>
        <w:top w:val="none" w:sz="0" w:space="0" w:color="auto"/>
        <w:left w:val="none" w:sz="0" w:space="0" w:color="auto"/>
        <w:bottom w:val="none" w:sz="0" w:space="0" w:color="auto"/>
        <w:right w:val="none" w:sz="0" w:space="0" w:color="auto"/>
      </w:divBdr>
    </w:div>
    <w:div w:id="575433506">
      <w:bodyDiv w:val="1"/>
      <w:marLeft w:val="0"/>
      <w:marRight w:val="0"/>
      <w:marTop w:val="0"/>
      <w:marBottom w:val="0"/>
      <w:divBdr>
        <w:top w:val="none" w:sz="0" w:space="0" w:color="auto"/>
        <w:left w:val="none" w:sz="0" w:space="0" w:color="auto"/>
        <w:bottom w:val="none" w:sz="0" w:space="0" w:color="auto"/>
        <w:right w:val="none" w:sz="0" w:space="0" w:color="auto"/>
      </w:divBdr>
    </w:div>
    <w:div w:id="580719467">
      <w:bodyDiv w:val="1"/>
      <w:marLeft w:val="0"/>
      <w:marRight w:val="0"/>
      <w:marTop w:val="0"/>
      <w:marBottom w:val="0"/>
      <w:divBdr>
        <w:top w:val="none" w:sz="0" w:space="0" w:color="auto"/>
        <w:left w:val="none" w:sz="0" w:space="0" w:color="auto"/>
        <w:bottom w:val="none" w:sz="0" w:space="0" w:color="auto"/>
        <w:right w:val="none" w:sz="0" w:space="0" w:color="auto"/>
      </w:divBdr>
    </w:div>
    <w:div w:id="596063934">
      <w:bodyDiv w:val="1"/>
      <w:marLeft w:val="0"/>
      <w:marRight w:val="0"/>
      <w:marTop w:val="0"/>
      <w:marBottom w:val="0"/>
      <w:divBdr>
        <w:top w:val="none" w:sz="0" w:space="0" w:color="auto"/>
        <w:left w:val="none" w:sz="0" w:space="0" w:color="auto"/>
        <w:bottom w:val="none" w:sz="0" w:space="0" w:color="auto"/>
        <w:right w:val="none" w:sz="0" w:space="0" w:color="auto"/>
      </w:divBdr>
    </w:div>
    <w:div w:id="598218980">
      <w:bodyDiv w:val="1"/>
      <w:marLeft w:val="0"/>
      <w:marRight w:val="0"/>
      <w:marTop w:val="0"/>
      <w:marBottom w:val="0"/>
      <w:divBdr>
        <w:top w:val="none" w:sz="0" w:space="0" w:color="auto"/>
        <w:left w:val="none" w:sz="0" w:space="0" w:color="auto"/>
        <w:bottom w:val="none" w:sz="0" w:space="0" w:color="auto"/>
        <w:right w:val="none" w:sz="0" w:space="0" w:color="auto"/>
      </w:divBdr>
    </w:div>
    <w:div w:id="609315478">
      <w:bodyDiv w:val="1"/>
      <w:marLeft w:val="0"/>
      <w:marRight w:val="0"/>
      <w:marTop w:val="0"/>
      <w:marBottom w:val="0"/>
      <w:divBdr>
        <w:top w:val="none" w:sz="0" w:space="0" w:color="auto"/>
        <w:left w:val="none" w:sz="0" w:space="0" w:color="auto"/>
        <w:bottom w:val="none" w:sz="0" w:space="0" w:color="auto"/>
        <w:right w:val="none" w:sz="0" w:space="0" w:color="auto"/>
      </w:divBdr>
    </w:div>
    <w:div w:id="610287339">
      <w:bodyDiv w:val="1"/>
      <w:marLeft w:val="0"/>
      <w:marRight w:val="0"/>
      <w:marTop w:val="0"/>
      <w:marBottom w:val="0"/>
      <w:divBdr>
        <w:top w:val="none" w:sz="0" w:space="0" w:color="auto"/>
        <w:left w:val="none" w:sz="0" w:space="0" w:color="auto"/>
        <w:bottom w:val="none" w:sz="0" w:space="0" w:color="auto"/>
        <w:right w:val="none" w:sz="0" w:space="0" w:color="auto"/>
      </w:divBdr>
      <w:divsChild>
        <w:div w:id="966934887">
          <w:marLeft w:val="547"/>
          <w:marRight w:val="0"/>
          <w:marTop w:val="0"/>
          <w:marBottom w:val="0"/>
          <w:divBdr>
            <w:top w:val="none" w:sz="0" w:space="0" w:color="auto"/>
            <w:left w:val="none" w:sz="0" w:space="0" w:color="auto"/>
            <w:bottom w:val="none" w:sz="0" w:space="0" w:color="auto"/>
            <w:right w:val="none" w:sz="0" w:space="0" w:color="auto"/>
          </w:divBdr>
        </w:div>
      </w:divsChild>
    </w:div>
    <w:div w:id="611478447">
      <w:bodyDiv w:val="1"/>
      <w:marLeft w:val="0"/>
      <w:marRight w:val="0"/>
      <w:marTop w:val="0"/>
      <w:marBottom w:val="0"/>
      <w:divBdr>
        <w:top w:val="none" w:sz="0" w:space="0" w:color="auto"/>
        <w:left w:val="none" w:sz="0" w:space="0" w:color="auto"/>
        <w:bottom w:val="none" w:sz="0" w:space="0" w:color="auto"/>
        <w:right w:val="none" w:sz="0" w:space="0" w:color="auto"/>
      </w:divBdr>
    </w:div>
    <w:div w:id="615990435">
      <w:bodyDiv w:val="1"/>
      <w:marLeft w:val="0"/>
      <w:marRight w:val="0"/>
      <w:marTop w:val="0"/>
      <w:marBottom w:val="0"/>
      <w:divBdr>
        <w:top w:val="none" w:sz="0" w:space="0" w:color="auto"/>
        <w:left w:val="none" w:sz="0" w:space="0" w:color="auto"/>
        <w:bottom w:val="none" w:sz="0" w:space="0" w:color="auto"/>
        <w:right w:val="none" w:sz="0" w:space="0" w:color="auto"/>
      </w:divBdr>
    </w:div>
    <w:div w:id="630018729">
      <w:bodyDiv w:val="1"/>
      <w:marLeft w:val="0"/>
      <w:marRight w:val="0"/>
      <w:marTop w:val="0"/>
      <w:marBottom w:val="0"/>
      <w:divBdr>
        <w:top w:val="none" w:sz="0" w:space="0" w:color="auto"/>
        <w:left w:val="none" w:sz="0" w:space="0" w:color="auto"/>
        <w:bottom w:val="none" w:sz="0" w:space="0" w:color="auto"/>
        <w:right w:val="none" w:sz="0" w:space="0" w:color="auto"/>
      </w:divBdr>
    </w:div>
    <w:div w:id="636691673">
      <w:bodyDiv w:val="1"/>
      <w:marLeft w:val="0"/>
      <w:marRight w:val="0"/>
      <w:marTop w:val="0"/>
      <w:marBottom w:val="0"/>
      <w:divBdr>
        <w:top w:val="none" w:sz="0" w:space="0" w:color="auto"/>
        <w:left w:val="none" w:sz="0" w:space="0" w:color="auto"/>
        <w:bottom w:val="none" w:sz="0" w:space="0" w:color="auto"/>
        <w:right w:val="none" w:sz="0" w:space="0" w:color="auto"/>
      </w:divBdr>
    </w:div>
    <w:div w:id="637417100">
      <w:bodyDiv w:val="1"/>
      <w:marLeft w:val="0"/>
      <w:marRight w:val="0"/>
      <w:marTop w:val="0"/>
      <w:marBottom w:val="0"/>
      <w:divBdr>
        <w:top w:val="none" w:sz="0" w:space="0" w:color="auto"/>
        <w:left w:val="none" w:sz="0" w:space="0" w:color="auto"/>
        <w:bottom w:val="none" w:sz="0" w:space="0" w:color="auto"/>
        <w:right w:val="none" w:sz="0" w:space="0" w:color="auto"/>
      </w:divBdr>
    </w:div>
    <w:div w:id="643891720">
      <w:bodyDiv w:val="1"/>
      <w:marLeft w:val="0"/>
      <w:marRight w:val="0"/>
      <w:marTop w:val="0"/>
      <w:marBottom w:val="0"/>
      <w:divBdr>
        <w:top w:val="none" w:sz="0" w:space="0" w:color="auto"/>
        <w:left w:val="none" w:sz="0" w:space="0" w:color="auto"/>
        <w:bottom w:val="none" w:sz="0" w:space="0" w:color="auto"/>
        <w:right w:val="none" w:sz="0" w:space="0" w:color="auto"/>
      </w:divBdr>
    </w:div>
    <w:div w:id="659114721">
      <w:bodyDiv w:val="1"/>
      <w:marLeft w:val="0"/>
      <w:marRight w:val="0"/>
      <w:marTop w:val="0"/>
      <w:marBottom w:val="0"/>
      <w:divBdr>
        <w:top w:val="none" w:sz="0" w:space="0" w:color="auto"/>
        <w:left w:val="none" w:sz="0" w:space="0" w:color="auto"/>
        <w:bottom w:val="none" w:sz="0" w:space="0" w:color="auto"/>
        <w:right w:val="none" w:sz="0" w:space="0" w:color="auto"/>
      </w:divBdr>
    </w:div>
    <w:div w:id="659581012">
      <w:bodyDiv w:val="1"/>
      <w:marLeft w:val="0"/>
      <w:marRight w:val="0"/>
      <w:marTop w:val="0"/>
      <w:marBottom w:val="0"/>
      <w:divBdr>
        <w:top w:val="none" w:sz="0" w:space="0" w:color="auto"/>
        <w:left w:val="none" w:sz="0" w:space="0" w:color="auto"/>
        <w:bottom w:val="none" w:sz="0" w:space="0" w:color="auto"/>
        <w:right w:val="none" w:sz="0" w:space="0" w:color="auto"/>
      </w:divBdr>
    </w:div>
    <w:div w:id="667830692">
      <w:bodyDiv w:val="1"/>
      <w:marLeft w:val="0"/>
      <w:marRight w:val="0"/>
      <w:marTop w:val="0"/>
      <w:marBottom w:val="0"/>
      <w:divBdr>
        <w:top w:val="none" w:sz="0" w:space="0" w:color="auto"/>
        <w:left w:val="none" w:sz="0" w:space="0" w:color="auto"/>
        <w:bottom w:val="none" w:sz="0" w:space="0" w:color="auto"/>
        <w:right w:val="none" w:sz="0" w:space="0" w:color="auto"/>
      </w:divBdr>
    </w:div>
    <w:div w:id="669019939">
      <w:bodyDiv w:val="1"/>
      <w:marLeft w:val="0"/>
      <w:marRight w:val="0"/>
      <w:marTop w:val="0"/>
      <w:marBottom w:val="0"/>
      <w:divBdr>
        <w:top w:val="none" w:sz="0" w:space="0" w:color="auto"/>
        <w:left w:val="none" w:sz="0" w:space="0" w:color="auto"/>
        <w:bottom w:val="none" w:sz="0" w:space="0" w:color="auto"/>
        <w:right w:val="none" w:sz="0" w:space="0" w:color="auto"/>
      </w:divBdr>
    </w:div>
    <w:div w:id="673923349">
      <w:bodyDiv w:val="1"/>
      <w:marLeft w:val="0"/>
      <w:marRight w:val="0"/>
      <w:marTop w:val="0"/>
      <w:marBottom w:val="0"/>
      <w:divBdr>
        <w:top w:val="none" w:sz="0" w:space="0" w:color="auto"/>
        <w:left w:val="none" w:sz="0" w:space="0" w:color="auto"/>
        <w:bottom w:val="none" w:sz="0" w:space="0" w:color="auto"/>
        <w:right w:val="none" w:sz="0" w:space="0" w:color="auto"/>
      </w:divBdr>
    </w:div>
    <w:div w:id="674528826">
      <w:bodyDiv w:val="1"/>
      <w:marLeft w:val="0"/>
      <w:marRight w:val="0"/>
      <w:marTop w:val="0"/>
      <w:marBottom w:val="0"/>
      <w:divBdr>
        <w:top w:val="none" w:sz="0" w:space="0" w:color="auto"/>
        <w:left w:val="none" w:sz="0" w:space="0" w:color="auto"/>
        <w:bottom w:val="none" w:sz="0" w:space="0" w:color="auto"/>
        <w:right w:val="none" w:sz="0" w:space="0" w:color="auto"/>
      </w:divBdr>
    </w:div>
    <w:div w:id="679284223">
      <w:bodyDiv w:val="1"/>
      <w:marLeft w:val="0"/>
      <w:marRight w:val="0"/>
      <w:marTop w:val="0"/>
      <w:marBottom w:val="0"/>
      <w:divBdr>
        <w:top w:val="none" w:sz="0" w:space="0" w:color="auto"/>
        <w:left w:val="none" w:sz="0" w:space="0" w:color="auto"/>
        <w:bottom w:val="none" w:sz="0" w:space="0" w:color="auto"/>
        <w:right w:val="none" w:sz="0" w:space="0" w:color="auto"/>
      </w:divBdr>
    </w:div>
    <w:div w:id="684670859">
      <w:bodyDiv w:val="1"/>
      <w:marLeft w:val="0"/>
      <w:marRight w:val="0"/>
      <w:marTop w:val="0"/>
      <w:marBottom w:val="0"/>
      <w:divBdr>
        <w:top w:val="none" w:sz="0" w:space="0" w:color="auto"/>
        <w:left w:val="none" w:sz="0" w:space="0" w:color="auto"/>
        <w:bottom w:val="none" w:sz="0" w:space="0" w:color="auto"/>
        <w:right w:val="none" w:sz="0" w:space="0" w:color="auto"/>
      </w:divBdr>
    </w:div>
    <w:div w:id="685180396">
      <w:bodyDiv w:val="1"/>
      <w:marLeft w:val="0"/>
      <w:marRight w:val="0"/>
      <w:marTop w:val="0"/>
      <w:marBottom w:val="0"/>
      <w:divBdr>
        <w:top w:val="none" w:sz="0" w:space="0" w:color="auto"/>
        <w:left w:val="none" w:sz="0" w:space="0" w:color="auto"/>
        <w:bottom w:val="none" w:sz="0" w:space="0" w:color="auto"/>
        <w:right w:val="none" w:sz="0" w:space="0" w:color="auto"/>
      </w:divBdr>
    </w:div>
    <w:div w:id="689648159">
      <w:bodyDiv w:val="1"/>
      <w:marLeft w:val="0"/>
      <w:marRight w:val="0"/>
      <w:marTop w:val="0"/>
      <w:marBottom w:val="0"/>
      <w:divBdr>
        <w:top w:val="none" w:sz="0" w:space="0" w:color="auto"/>
        <w:left w:val="none" w:sz="0" w:space="0" w:color="auto"/>
        <w:bottom w:val="none" w:sz="0" w:space="0" w:color="auto"/>
        <w:right w:val="none" w:sz="0" w:space="0" w:color="auto"/>
      </w:divBdr>
    </w:div>
    <w:div w:id="689793369">
      <w:bodyDiv w:val="1"/>
      <w:marLeft w:val="0"/>
      <w:marRight w:val="0"/>
      <w:marTop w:val="0"/>
      <w:marBottom w:val="0"/>
      <w:divBdr>
        <w:top w:val="none" w:sz="0" w:space="0" w:color="auto"/>
        <w:left w:val="none" w:sz="0" w:space="0" w:color="auto"/>
        <w:bottom w:val="none" w:sz="0" w:space="0" w:color="auto"/>
        <w:right w:val="none" w:sz="0" w:space="0" w:color="auto"/>
      </w:divBdr>
    </w:div>
    <w:div w:id="693770949">
      <w:bodyDiv w:val="1"/>
      <w:marLeft w:val="0"/>
      <w:marRight w:val="0"/>
      <w:marTop w:val="0"/>
      <w:marBottom w:val="0"/>
      <w:divBdr>
        <w:top w:val="none" w:sz="0" w:space="0" w:color="auto"/>
        <w:left w:val="none" w:sz="0" w:space="0" w:color="auto"/>
        <w:bottom w:val="none" w:sz="0" w:space="0" w:color="auto"/>
        <w:right w:val="none" w:sz="0" w:space="0" w:color="auto"/>
      </w:divBdr>
    </w:div>
    <w:div w:id="703557998">
      <w:bodyDiv w:val="1"/>
      <w:marLeft w:val="0"/>
      <w:marRight w:val="0"/>
      <w:marTop w:val="0"/>
      <w:marBottom w:val="0"/>
      <w:divBdr>
        <w:top w:val="none" w:sz="0" w:space="0" w:color="auto"/>
        <w:left w:val="none" w:sz="0" w:space="0" w:color="auto"/>
        <w:bottom w:val="none" w:sz="0" w:space="0" w:color="auto"/>
        <w:right w:val="none" w:sz="0" w:space="0" w:color="auto"/>
      </w:divBdr>
    </w:div>
    <w:div w:id="712769549">
      <w:bodyDiv w:val="1"/>
      <w:marLeft w:val="0"/>
      <w:marRight w:val="0"/>
      <w:marTop w:val="0"/>
      <w:marBottom w:val="0"/>
      <w:divBdr>
        <w:top w:val="none" w:sz="0" w:space="0" w:color="auto"/>
        <w:left w:val="none" w:sz="0" w:space="0" w:color="auto"/>
        <w:bottom w:val="none" w:sz="0" w:space="0" w:color="auto"/>
        <w:right w:val="none" w:sz="0" w:space="0" w:color="auto"/>
      </w:divBdr>
    </w:div>
    <w:div w:id="720860805">
      <w:bodyDiv w:val="1"/>
      <w:marLeft w:val="0"/>
      <w:marRight w:val="0"/>
      <w:marTop w:val="0"/>
      <w:marBottom w:val="0"/>
      <w:divBdr>
        <w:top w:val="none" w:sz="0" w:space="0" w:color="auto"/>
        <w:left w:val="none" w:sz="0" w:space="0" w:color="auto"/>
        <w:bottom w:val="none" w:sz="0" w:space="0" w:color="auto"/>
        <w:right w:val="none" w:sz="0" w:space="0" w:color="auto"/>
      </w:divBdr>
    </w:div>
    <w:div w:id="725639581">
      <w:bodyDiv w:val="1"/>
      <w:marLeft w:val="0"/>
      <w:marRight w:val="0"/>
      <w:marTop w:val="0"/>
      <w:marBottom w:val="0"/>
      <w:divBdr>
        <w:top w:val="none" w:sz="0" w:space="0" w:color="auto"/>
        <w:left w:val="none" w:sz="0" w:space="0" w:color="auto"/>
        <w:bottom w:val="none" w:sz="0" w:space="0" w:color="auto"/>
        <w:right w:val="none" w:sz="0" w:space="0" w:color="auto"/>
      </w:divBdr>
    </w:div>
    <w:div w:id="733743169">
      <w:bodyDiv w:val="1"/>
      <w:marLeft w:val="0"/>
      <w:marRight w:val="0"/>
      <w:marTop w:val="0"/>
      <w:marBottom w:val="0"/>
      <w:divBdr>
        <w:top w:val="none" w:sz="0" w:space="0" w:color="auto"/>
        <w:left w:val="none" w:sz="0" w:space="0" w:color="auto"/>
        <w:bottom w:val="none" w:sz="0" w:space="0" w:color="auto"/>
        <w:right w:val="none" w:sz="0" w:space="0" w:color="auto"/>
      </w:divBdr>
    </w:div>
    <w:div w:id="736130914">
      <w:bodyDiv w:val="1"/>
      <w:marLeft w:val="0"/>
      <w:marRight w:val="0"/>
      <w:marTop w:val="0"/>
      <w:marBottom w:val="0"/>
      <w:divBdr>
        <w:top w:val="none" w:sz="0" w:space="0" w:color="auto"/>
        <w:left w:val="none" w:sz="0" w:space="0" w:color="auto"/>
        <w:bottom w:val="none" w:sz="0" w:space="0" w:color="auto"/>
        <w:right w:val="none" w:sz="0" w:space="0" w:color="auto"/>
      </w:divBdr>
    </w:div>
    <w:div w:id="741679047">
      <w:bodyDiv w:val="1"/>
      <w:marLeft w:val="0"/>
      <w:marRight w:val="0"/>
      <w:marTop w:val="0"/>
      <w:marBottom w:val="0"/>
      <w:divBdr>
        <w:top w:val="none" w:sz="0" w:space="0" w:color="auto"/>
        <w:left w:val="none" w:sz="0" w:space="0" w:color="auto"/>
        <w:bottom w:val="none" w:sz="0" w:space="0" w:color="auto"/>
        <w:right w:val="none" w:sz="0" w:space="0" w:color="auto"/>
      </w:divBdr>
    </w:div>
    <w:div w:id="746852426">
      <w:bodyDiv w:val="1"/>
      <w:marLeft w:val="0"/>
      <w:marRight w:val="0"/>
      <w:marTop w:val="0"/>
      <w:marBottom w:val="0"/>
      <w:divBdr>
        <w:top w:val="none" w:sz="0" w:space="0" w:color="auto"/>
        <w:left w:val="none" w:sz="0" w:space="0" w:color="auto"/>
        <w:bottom w:val="none" w:sz="0" w:space="0" w:color="auto"/>
        <w:right w:val="none" w:sz="0" w:space="0" w:color="auto"/>
      </w:divBdr>
    </w:div>
    <w:div w:id="762989671">
      <w:bodyDiv w:val="1"/>
      <w:marLeft w:val="0"/>
      <w:marRight w:val="0"/>
      <w:marTop w:val="0"/>
      <w:marBottom w:val="0"/>
      <w:divBdr>
        <w:top w:val="none" w:sz="0" w:space="0" w:color="auto"/>
        <w:left w:val="none" w:sz="0" w:space="0" w:color="auto"/>
        <w:bottom w:val="none" w:sz="0" w:space="0" w:color="auto"/>
        <w:right w:val="none" w:sz="0" w:space="0" w:color="auto"/>
      </w:divBdr>
    </w:div>
    <w:div w:id="772170152">
      <w:bodyDiv w:val="1"/>
      <w:marLeft w:val="0"/>
      <w:marRight w:val="0"/>
      <w:marTop w:val="0"/>
      <w:marBottom w:val="0"/>
      <w:divBdr>
        <w:top w:val="none" w:sz="0" w:space="0" w:color="auto"/>
        <w:left w:val="none" w:sz="0" w:space="0" w:color="auto"/>
        <w:bottom w:val="none" w:sz="0" w:space="0" w:color="auto"/>
        <w:right w:val="none" w:sz="0" w:space="0" w:color="auto"/>
      </w:divBdr>
    </w:div>
    <w:div w:id="772942112">
      <w:bodyDiv w:val="1"/>
      <w:marLeft w:val="0"/>
      <w:marRight w:val="0"/>
      <w:marTop w:val="0"/>
      <w:marBottom w:val="0"/>
      <w:divBdr>
        <w:top w:val="none" w:sz="0" w:space="0" w:color="auto"/>
        <w:left w:val="none" w:sz="0" w:space="0" w:color="auto"/>
        <w:bottom w:val="none" w:sz="0" w:space="0" w:color="auto"/>
        <w:right w:val="none" w:sz="0" w:space="0" w:color="auto"/>
      </w:divBdr>
    </w:div>
    <w:div w:id="780759684">
      <w:bodyDiv w:val="1"/>
      <w:marLeft w:val="0"/>
      <w:marRight w:val="0"/>
      <w:marTop w:val="0"/>
      <w:marBottom w:val="0"/>
      <w:divBdr>
        <w:top w:val="none" w:sz="0" w:space="0" w:color="auto"/>
        <w:left w:val="none" w:sz="0" w:space="0" w:color="auto"/>
        <w:bottom w:val="none" w:sz="0" w:space="0" w:color="auto"/>
        <w:right w:val="none" w:sz="0" w:space="0" w:color="auto"/>
      </w:divBdr>
    </w:div>
    <w:div w:id="783690278">
      <w:bodyDiv w:val="1"/>
      <w:marLeft w:val="0"/>
      <w:marRight w:val="0"/>
      <w:marTop w:val="0"/>
      <w:marBottom w:val="0"/>
      <w:divBdr>
        <w:top w:val="none" w:sz="0" w:space="0" w:color="auto"/>
        <w:left w:val="none" w:sz="0" w:space="0" w:color="auto"/>
        <w:bottom w:val="none" w:sz="0" w:space="0" w:color="auto"/>
        <w:right w:val="none" w:sz="0" w:space="0" w:color="auto"/>
      </w:divBdr>
    </w:div>
    <w:div w:id="786392104">
      <w:bodyDiv w:val="1"/>
      <w:marLeft w:val="0"/>
      <w:marRight w:val="0"/>
      <w:marTop w:val="0"/>
      <w:marBottom w:val="0"/>
      <w:divBdr>
        <w:top w:val="none" w:sz="0" w:space="0" w:color="auto"/>
        <w:left w:val="none" w:sz="0" w:space="0" w:color="auto"/>
        <w:bottom w:val="none" w:sz="0" w:space="0" w:color="auto"/>
        <w:right w:val="none" w:sz="0" w:space="0" w:color="auto"/>
      </w:divBdr>
    </w:div>
    <w:div w:id="792673096">
      <w:bodyDiv w:val="1"/>
      <w:marLeft w:val="0"/>
      <w:marRight w:val="0"/>
      <w:marTop w:val="0"/>
      <w:marBottom w:val="0"/>
      <w:divBdr>
        <w:top w:val="none" w:sz="0" w:space="0" w:color="auto"/>
        <w:left w:val="none" w:sz="0" w:space="0" w:color="auto"/>
        <w:bottom w:val="none" w:sz="0" w:space="0" w:color="auto"/>
        <w:right w:val="none" w:sz="0" w:space="0" w:color="auto"/>
      </w:divBdr>
    </w:div>
    <w:div w:id="799345302">
      <w:bodyDiv w:val="1"/>
      <w:marLeft w:val="0"/>
      <w:marRight w:val="0"/>
      <w:marTop w:val="0"/>
      <w:marBottom w:val="0"/>
      <w:divBdr>
        <w:top w:val="none" w:sz="0" w:space="0" w:color="auto"/>
        <w:left w:val="none" w:sz="0" w:space="0" w:color="auto"/>
        <w:bottom w:val="none" w:sz="0" w:space="0" w:color="auto"/>
        <w:right w:val="none" w:sz="0" w:space="0" w:color="auto"/>
      </w:divBdr>
    </w:div>
    <w:div w:id="806120912">
      <w:bodyDiv w:val="1"/>
      <w:marLeft w:val="0"/>
      <w:marRight w:val="0"/>
      <w:marTop w:val="0"/>
      <w:marBottom w:val="0"/>
      <w:divBdr>
        <w:top w:val="none" w:sz="0" w:space="0" w:color="auto"/>
        <w:left w:val="none" w:sz="0" w:space="0" w:color="auto"/>
        <w:bottom w:val="none" w:sz="0" w:space="0" w:color="auto"/>
        <w:right w:val="none" w:sz="0" w:space="0" w:color="auto"/>
      </w:divBdr>
    </w:div>
    <w:div w:id="806506718">
      <w:bodyDiv w:val="1"/>
      <w:marLeft w:val="0"/>
      <w:marRight w:val="0"/>
      <w:marTop w:val="0"/>
      <w:marBottom w:val="0"/>
      <w:divBdr>
        <w:top w:val="none" w:sz="0" w:space="0" w:color="auto"/>
        <w:left w:val="none" w:sz="0" w:space="0" w:color="auto"/>
        <w:bottom w:val="none" w:sz="0" w:space="0" w:color="auto"/>
        <w:right w:val="none" w:sz="0" w:space="0" w:color="auto"/>
      </w:divBdr>
    </w:div>
    <w:div w:id="823008328">
      <w:bodyDiv w:val="1"/>
      <w:marLeft w:val="0"/>
      <w:marRight w:val="0"/>
      <w:marTop w:val="0"/>
      <w:marBottom w:val="0"/>
      <w:divBdr>
        <w:top w:val="none" w:sz="0" w:space="0" w:color="auto"/>
        <w:left w:val="none" w:sz="0" w:space="0" w:color="auto"/>
        <w:bottom w:val="none" w:sz="0" w:space="0" w:color="auto"/>
        <w:right w:val="none" w:sz="0" w:space="0" w:color="auto"/>
      </w:divBdr>
    </w:div>
    <w:div w:id="829563469">
      <w:bodyDiv w:val="1"/>
      <w:marLeft w:val="0"/>
      <w:marRight w:val="0"/>
      <w:marTop w:val="0"/>
      <w:marBottom w:val="0"/>
      <w:divBdr>
        <w:top w:val="none" w:sz="0" w:space="0" w:color="auto"/>
        <w:left w:val="none" w:sz="0" w:space="0" w:color="auto"/>
        <w:bottom w:val="none" w:sz="0" w:space="0" w:color="auto"/>
        <w:right w:val="none" w:sz="0" w:space="0" w:color="auto"/>
      </w:divBdr>
    </w:div>
    <w:div w:id="835534118">
      <w:bodyDiv w:val="1"/>
      <w:marLeft w:val="0"/>
      <w:marRight w:val="0"/>
      <w:marTop w:val="0"/>
      <w:marBottom w:val="0"/>
      <w:divBdr>
        <w:top w:val="none" w:sz="0" w:space="0" w:color="auto"/>
        <w:left w:val="none" w:sz="0" w:space="0" w:color="auto"/>
        <w:bottom w:val="none" w:sz="0" w:space="0" w:color="auto"/>
        <w:right w:val="none" w:sz="0" w:space="0" w:color="auto"/>
      </w:divBdr>
    </w:div>
    <w:div w:id="838039422">
      <w:bodyDiv w:val="1"/>
      <w:marLeft w:val="0"/>
      <w:marRight w:val="0"/>
      <w:marTop w:val="0"/>
      <w:marBottom w:val="0"/>
      <w:divBdr>
        <w:top w:val="none" w:sz="0" w:space="0" w:color="auto"/>
        <w:left w:val="none" w:sz="0" w:space="0" w:color="auto"/>
        <w:bottom w:val="none" w:sz="0" w:space="0" w:color="auto"/>
        <w:right w:val="none" w:sz="0" w:space="0" w:color="auto"/>
      </w:divBdr>
    </w:div>
    <w:div w:id="838423002">
      <w:bodyDiv w:val="1"/>
      <w:marLeft w:val="0"/>
      <w:marRight w:val="0"/>
      <w:marTop w:val="0"/>
      <w:marBottom w:val="0"/>
      <w:divBdr>
        <w:top w:val="none" w:sz="0" w:space="0" w:color="auto"/>
        <w:left w:val="none" w:sz="0" w:space="0" w:color="auto"/>
        <w:bottom w:val="none" w:sz="0" w:space="0" w:color="auto"/>
        <w:right w:val="none" w:sz="0" w:space="0" w:color="auto"/>
      </w:divBdr>
    </w:div>
    <w:div w:id="838542506">
      <w:bodyDiv w:val="1"/>
      <w:marLeft w:val="0"/>
      <w:marRight w:val="0"/>
      <w:marTop w:val="0"/>
      <w:marBottom w:val="0"/>
      <w:divBdr>
        <w:top w:val="none" w:sz="0" w:space="0" w:color="auto"/>
        <w:left w:val="none" w:sz="0" w:space="0" w:color="auto"/>
        <w:bottom w:val="none" w:sz="0" w:space="0" w:color="auto"/>
        <w:right w:val="none" w:sz="0" w:space="0" w:color="auto"/>
      </w:divBdr>
    </w:div>
    <w:div w:id="857307422">
      <w:bodyDiv w:val="1"/>
      <w:marLeft w:val="0"/>
      <w:marRight w:val="0"/>
      <w:marTop w:val="0"/>
      <w:marBottom w:val="0"/>
      <w:divBdr>
        <w:top w:val="none" w:sz="0" w:space="0" w:color="auto"/>
        <w:left w:val="none" w:sz="0" w:space="0" w:color="auto"/>
        <w:bottom w:val="none" w:sz="0" w:space="0" w:color="auto"/>
        <w:right w:val="none" w:sz="0" w:space="0" w:color="auto"/>
      </w:divBdr>
    </w:div>
    <w:div w:id="859927315">
      <w:bodyDiv w:val="1"/>
      <w:marLeft w:val="0"/>
      <w:marRight w:val="0"/>
      <w:marTop w:val="0"/>
      <w:marBottom w:val="0"/>
      <w:divBdr>
        <w:top w:val="none" w:sz="0" w:space="0" w:color="auto"/>
        <w:left w:val="none" w:sz="0" w:space="0" w:color="auto"/>
        <w:bottom w:val="none" w:sz="0" w:space="0" w:color="auto"/>
        <w:right w:val="none" w:sz="0" w:space="0" w:color="auto"/>
      </w:divBdr>
    </w:div>
    <w:div w:id="864758736">
      <w:bodyDiv w:val="1"/>
      <w:marLeft w:val="0"/>
      <w:marRight w:val="0"/>
      <w:marTop w:val="0"/>
      <w:marBottom w:val="0"/>
      <w:divBdr>
        <w:top w:val="none" w:sz="0" w:space="0" w:color="auto"/>
        <w:left w:val="none" w:sz="0" w:space="0" w:color="auto"/>
        <w:bottom w:val="none" w:sz="0" w:space="0" w:color="auto"/>
        <w:right w:val="none" w:sz="0" w:space="0" w:color="auto"/>
      </w:divBdr>
    </w:div>
    <w:div w:id="865018040">
      <w:bodyDiv w:val="1"/>
      <w:marLeft w:val="0"/>
      <w:marRight w:val="0"/>
      <w:marTop w:val="0"/>
      <w:marBottom w:val="0"/>
      <w:divBdr>
        <w:top w:val="none" w:sz="0" w:space="0" w:color="auto"/>
        <w:left w:val="none" w:sz="0" w:space="0" w:color="auto"/>
        <w:bottom w:val="none" w:sz="0" w:space="0" w:color="auto"/>
        <w:right w:val="none" w:sz="0" w:space="0" w:color="auto"/>
      </w:divBdr>
      <w:divsChild>
        <w:div w:id="957565131">
          <w:marLeft w:val="547"/>
          <w:marRight w:val="0"/>
          <w:marTop w:val="0"/>
          <w:marBottom w:val="0"/>
          <w:divBdr>
            <w:top w:val="none" w:sz="0" w:space="0" w:color="auto"/>
            <w:left w:val="none" w:sz="0" w:space="0" w:color="auto"/>
            <w:bottom w:val="none" w:sz="0" w:space="0" w:color="auto"/>
            <w:right w:val="none" w:sz="0" w:space="0" w:color="auto"/>
          </w:divBdr>
        </w:div>
      </w:divsChild>
    </w:div>
    <w:div w:id="872501952">
      <w:bodyDiv w:val="1"/>
      <w:marLeft w:val="0"/>
      <w:marRight w:val="0"/>
      <w:marTop w:val="0"/>
      <w:marBottom w:val="0"/>
      <w:divBdr>
        <w:top w:val="none" w:sz="0" w:space="0" w:color="auto"/>
        <w:left w:val="none" w:sz="0" w:space="0" w:color="auto"/>
        <w:bottom w:val="none" w:sz="0" w:space="0" w:color="auto"/>
        <w:right w:val="none" w:sz="0" w:space="0" w:color="auto"/>
      </w:divBdr>
    </w:div>
    <w:div w:id="873082151">
      <w:bodyDiv w:val="1"/>
      <w:marLeft w:val="0"/>
      <w:marRight w:val="0"/>
      <w:marTop w:val="0"/>
      <w:marBottom w:val="0"/>
      <w:divBdr>
        <w:top w:val="none" w:sz="0" w:space="0" w:color="auto"/>
        <w:left w:val="none" w:sz="0" w:space="0" w:color="auto"/>
        <w:bottom w:val="none" w:sz="0" w:space="0" w:color="auto"/>
        <w:right w:val="none" w:sz="0" w:space="0" w:color="auto"/>
      </w:divBdr>
    </w:div>
    <w:div w:id="877745194">
      <w:bodyDiv w:val="1"/>
      <w:marLeft w:val="0"/>
      <w:marRight w:val="0"/>
      <w:marTop w:val="0"/>
      <w:marBottom w:val="0"/>
      <w:divBdr>
        <w:top w:val="none" w:sz="0" w:space="0" w:color="auto"/>
        <w:left w:val="none" w:sz="0" w:space="0" w:color="auto"/>
        <w:bottom w:val="none" w:sz="0" w:space="0" w:color="auto"/>
        <w:right w:val="none" w:sz="0" w:space="0" w:color="auto"/>
      </w:divBdr>
      <w:divsChild>
        <w:div w:id="1962302118">
          <w:marLeft w:val="0"/>
          <w:marRight w:val="0"/>
          <w:marTop w:val="0"/>
          <w:marBottom w:val="0"/>
          <w:divBdr>
            <w:top w:val="none" w:sz="0" w:space="0" w:color="auto"/>
            <w:left w:val="none" w:sz="0" w:space="0" w:color="auto"/>
            <w:bottom w:val="none" w:sz="0" w:space="0" w:color="auto"/>
            <w:right w:val="none" w:sz="0" w:space="0" w:color="auto"/>
          </w:divBdr>
        </w:div>
        <w:div w:id="965039548">
          <w:marLeft w:val="0"/>
          <w:marRight w:val="0"/>
          <w:marTop w:val="0"/>
          <w:marBottom w:val="0"/>
          <w:divBdr>
            <w:top w:val="none" w:sz="0" w:space="0" w:color="auto"/>
            <w:left w:val="none" w:sz="0" w:space="0" w:color="auto"/>
            <w:bottom w:val="none" w:sz="0" w:space="0" w:color="auto"/>
            <w:right w:val="none" w:sz="0" w:space="0" w:color="auto"/>
          </w:divBdr>
        </w:div>
      </w:divsChild>
    </w:div>
    <w:div w:id="881404842">
      <w:bodyDiv w:val="1"/>
      <w:marLeft w:val="0"/>
      <w:marRight w:val="0"/>
      <w:marTop w:val="0"/>
      <w:marBottom w:val="0"/>
      <w:divBdr>
        <w:top w:val="none" w:sz="0" w:space="0" w:color="auto"/>
        <w:left w:val="none" w:sz="0" w:space="0" w:color="auto"/>
        <w:bottom w:val="none" w:sz="0" w:space="0" w:color="auto"/>
        <w:right w:val="none" w:sz="0" w:space="0" w:color="auto"/>
      </w:divBdr>
    </w:div>
    <w:div w:id="888734658">
      <w:bodyDiv w:val="1"/>
      <w:marLeft w:val="0"/>
      <w:marRight w:val="0"/>
      <w:marTop w:val="0"/>
      <w:marBottom w:val="0"/>
      <w:divBdr>
        <w:top w:val="none" w:sz="0" w:space="0" w:color="auto"/>
        <w:left w:val="none" w:sz="0" w:space="0" w:color="auto"/>
        <w:bottom w:val="none" w:sz="0" w:space="0" w:color="auto"/>
        <w:right w:val="none" w:sz="0" w:space="0" w:color="auto"/>
      </w:divBdr>
    </w:div>
    <w:div w:id="901136761">
      <w:bodyDiv w:val="1"/>
      <w:marLeft w:val="0"/>
      <w:marRight w:val="0"/>
      <w:marTop w:val="0"/>
      <w:marBottom w:val="0"/>
      <w:divBdr>
        <w:top w:val="none" w:sz="0" w:space="0" w:color="auto"/>
        <w:left w:val="none" w:sz="0" w:space="0" w:color="auto"/>
        <w:bottom w:val="none" w:sz="0" w:space="0" w:color="auto"/>
        <w:right w:val="none" w:sz="0" w:space="0" w:color="auto"/>
      </w:divBdr>
    </w:div>
    <w:div w:id="902135802">
      <w:bodyDiv w:val="1"/>
      <w:marLeft w:val="0"/>
      <w:marRight w:val="0"/>
      <w:marTop w:val="0"/>
      <w:marBottom w:val="0"/>
      <w:divBdr>
        <w:top w:val="none" w:sz="0" w:space="0" w:color="auto"/>
        <w:left w:val="none" w:sz="0" w:space="0" w:color="auto"/>
        <w:bottom w:val="none" w:sz="0" w:space="0" w:color="auto"/>
        <w:right w:val="none" w:sz="0" w:space="0" w:color="auto"/>
      </w:divBdr>
    </w:div>
    <w:div w:id="918640779">
      <w:bodyDiv w:val="1"/>
      <w:marLeft w:val="0"/>
      <w:marRight w:val="0"/>
      <w:marTop w:val="0"/>
      <w:marBottom w:val="0"/>
      <w:divBdr>
        <w:top w:val="none" w:sz="0" w:space="0" w:color="auto"/>
        <w:left w:val="none" w:sz="0" w:space="0" w:color="auto"/>
        <w:bottom w:val="none" w:sz="0" w:space="0" w:color="auto"/>
        <w:right w:val="none" w:sz="0" w:space="0" w:color="auto"/>
      </w:divBdr>
    </w:div>
    <w:div w:id="924000976">
      <w:bodyDiv w:val="1"/>
      <w:marLeft w:val="0"/>
      <w:marRight w:val="0"/>
      <w:marTop w:val="0"/>
      <w:marBottom w:val="0"/>
      <w:divBdr>
        <w:top w:val="none" w:sz="0" w:space="0" w:color="auto"/>
        <w:left w:val="none" w:sz="0" w:space="0" w:color="auto"/>
        <w:bottom w:val="none" w:sz="0" w:space="0" w:color="auto"/>
        <w:right w:val="none" w:sz="0" w:space="0" w:color="auto"/>
      </w:divBdr>
    </w:div>
    <w:div w:id="927076293">
      <w:bodyDiv w:val="1"/>
      <w:marLeft w:val="0"/>
      <w:marRight w:val="0"/>
      <w:marTop w:val="0"/>
      <w:marBottom w:val="0"/>
      <w:divBdr>
        <w:top w:val="none" w:sz="0" w:space="0" w:color="auto"/>
        <w:left w:val="none" w:sz="0" w:space="0" w:color="auto"/>
        <w:bottom w:val="none" w:sz="0" w:space="0" w:color="auto"/>
        <w:right w:val="none" w:sz="0" w:space="0" w:color="auto"/>
      </w:divBdr>
    </w:div>
    <w:div w:id="927422368">
      <w:bodyDiv w:val="1"/>
      <w:marLeft w:val="0"/>
      <w:marRight w:val="0"/>
      <w:marTop w:val="0"/>
      <w:marBottom w:val="0"/>
      <w:divBdr>
        <w:top w:val="none" w:sz="0" w:space="0" w:color="auto"/>
        <w:left w:val="none" w:sz="0" w:space="0" w:color="auto"/>
        <w:bottom w:val="none" w:sz="0" w:space="0" w:color="auto"/>
        <w:right w:val="none" w:sz="0" w:space="0" w:color="auto"/>
      </w:divBdr>
    </w:div>
    <w:div w:id="928470144">
      <w:bodyDiv w:val="1"/>
      <w:marLeft w:val="0"/>
      <w:marRight w:val="0"/>
      <w:marTop w:val="0"/>
      <w:marBottom w:val="0"/>
      <w:divBdr>
        <w:top w:val="none" w:sz="0" w:space="0" w:color="auto"/>
        <w:left w:val="none" w:sz="0" w:space="0" w:color="auto"/>
        <w:bottom w:val="none" w:sz="0" w:space="0" w:color="auto"/>
        <w:right w:val="none" w:sz="0" w:space="0" w:color="auto"/>
      </w:divBdr>
    </w:div>
    <w:div w:id="930696703">
      <w:bodyDiv w:val="1"/>
      <w:marLeft w:val="0"/>
      <w:marRight w:val="0"/>
      <w:marTop w:val="0"/>
      <w:marBottom w:val="0"/>
      <w:divBdr>
        <w:top w:val="none" w:sz="0" w:space="0" w:color="auto"/>
        <w:left w:val="none" w:sz="0" w:space="0" w:color="auto"/>
        <w:bottom w:val="none" w:sz="0" w:space="0" w:color="auto"/>
        <w:right w:val="none" w:sz="0" w:space="0" w:color="auto"/>
      </w:divBdr>
    </w:div>
    <w:div w:id="946429201">
      <w:bodyDiv w:val="1"/>
      <w:marLeft w:val="0"/>
      <w:marRight w:val="0"/>
      <w:marTop w:val="0"/>
      <w:marBottom w:val="0"/>
      <w:divBdr>
        <w:top w:val="none" w:sz="0" w:space="0" w:color="auto"/>
        <w:left w:val="none" w:sz="0" w:space="0" w:color="auto"/>
        <w:bottom w:val="none" w:sz="0" w:space="0" w:color="auto"/>
        <w:right w:val="none" w:sz="0" w:space="0" w:color="auto"/>
      </w:divBdr>
    </w:div>
    <w:div w:id="986056029">
      <w:bodyDiv w:val="1"/>
      <w:marLeft w:val="0"/>
      <w:marRight w:val="0"/>
      <w:marTop w:val="0"/>
      <w:marBottom w:val="0"/>
      <w:divBdr>
        <w:top w:val="none" w:sz="0" w:space="0" w:color="auto"/>
        <w:left w:val="none" w:sz="0" w:space="0" w:color="auto"/>
        <w:bottom w:val="none" w:sz="0" w:space="0" w:color="auto"/>
        <w:right w:val="none" w:sz="0" w:space="0" w:color="auto"/>
      </w:divBdr>
    </w:div>
    <w:div w:id="990212405">
      <w:bodyDiv w:val="1"/>
      <w:marLeft w:val="0"/>
      <w:marRight w:val="0"/>
      <w:marTop w:val="0"/>
      <w:marBottom w:val="0"/>
      <w:divBdr>
        <w:top w:val="none" w:sz="0" w:space="0" w:color="auto"/>
        <w:left w:val="none" w:sz="0" w:space="0" w:color="auto"/>
        <w:bottom w:val="none" w:sz="0" w:space="0" w:color="auto"/>
        <w:right w:val="none" w:sz="0" w:space="0" w:color="auto"/>
      </w:divBdr>
    </w:div>
    <w:div w:id="991565674">
      <w:bodyDiv w:val="1"/>
      <w:marLeft w:val="0"/>
      <w:marRight w:val="0"/>
      <w:marTop w:val="0"/>
      <w:marBottom w:val="0"/>
      <w:divBdr>
        <w:top w:val="none" w:sz="0" w:space="0" w:color="auto"/>
        <w:left w:val="none" w:sz="0" w:space="0" w:color="auto"/>
        <w:bottom w:val="none" w:sz="0" w:space="0" w:color="auto"/>
        <w:right w:val="none" w:sz="0" w:space="0" w:color="auto"/>
      </w:divBdr>
    </w:div>
    <w:div w:id="991833679">
      <w:bodyDiv w:val="1"/>
      <w:marLeft w:val="0"/>
      <w:marRight w:val="0"/>
      <w:marTop w:val="0"/>
      <w:marBottom w:val="0"/>
      <w:divBdr>
        <w:top w:val="none" w:sz="0" w:space="0" w:color="auto"/>
        <w:left w:val="none" w:sz="0" w:space="0" w:color="auto"/>
        <w:bottom w:val="none" w:sz="0" w:space="0" w:color="auto"/>
        <w:right w:val="none" w:sz="0" w:space="0" w:color="auto"/>
      </w:divBdr>
    </w:div>
    <w:div w:id="992877440">
      <w:bodyDiv w:val="1"/>
      <w:marLeft w:val="0"/>
      <w:marRight w:val="0"/>
      <w:marTop w:val="0"/>
      <w:marBottom w:val="0"/>
      <w:divBdr>
        <w:top w:val="none" w:sz="0" w:space="0" w:color="auto"/>
        <w:left w:val="none" w:sz="0" w:space="0" w:color="auto"/>
        <w:bottom w:val="none" w:sz="0" w:space="0" w:color="auto"/>
        <w:right w:val="none" w:sz="0" w:space="0" w:color="auto"/>
      </w:divBdr>
    </w:div>
    <w:div w:id="997537579">
      <w:bodyDiv w:val="1"/>
      <w:marLeft w:val="0"/>
      <w:marRight w:val="0"/>
      <w:marTop w:val="0"/>
      <w:marBottom w:val="0"/>
      <w:divBdr>
        <w:top w:val="none" w:sz="0" w:space="0" w:color="auto"/>
        <w:left w:val="none" w:sz="0" w:space="0" w:color="auto"/>
        <w:bottom w:val="none" w:sz="0" w:space="0" w:color="auto"/>
        <w:right w:val="none" w:sz="0" w:space="0" w:color="auto"/>
      </w:divBdr>
    </w:div>
    <w:div w:id="1000276936">
      <w:bodyDiv w:val="1"/>
      <w:marLeft w:val="0"/>
      <w:marRight w:val="0"/>
      <w:marTop w:val="0"/>
      <w:marBottom w:val="0"/>
      <w:divBdr>
        <w:top w:val="none" w:sz="0" w:space="0" w:color="auto"/>
        <w:left w:val="none" w:sz="0" w:space="0" w:color="auto"/>
        <w:bottom w:val="none" w:sz="0" w:space="0" w:color="auto"/>
        <w:right w:val="none" w:sz="0" w:space="0" w:color="auto"/>
      </w:divBdr>
    </w:div>
    <w:div w:id="1014184688">
      <w:bodyDiv w:val="1"/>
      <w:marLeft w:val="0"/>
      <w:marRight w:val="0"/>
      <w:marTop w:val="0"/>
      <w:marBottom w:val="0"/>
      <w:divBdr>
        <w:top w:val="none" w:sz="0" w:space="0" w:color="auto"/>
        <w:left w:val="none" w:sz="0" w:space="0" w:color="auto"/>
        <w:bottom w:val="none" w:sz="0" w:space="0" w:color="auto"/>
        <w:right w:val="none" w:sz="0" w:space="0" w:color="auto"/>
      </w:divBdr>
    </w:div>
    <w:div w:id="1014305737">
      <w:bodyDiv w:val="1"/>
      <w:marLeft w:val="0"/>
      <w:marRight w:val="0"/>
      <w:marTop w:val="0"/>
      <w:marBottom w:val="0"/>
      <w:divBdr>
        <w:top w:val="none" w:sz="0" w:space="0" w:color="auto"/>
        <w:left w:val="none" w:sz="0" w:space="0" w:color="auto"/>
        <w:bottom w:val="none" w:sz="0" w:space="0" w:color="auto"/>
        <w:right w:val="none" w:sz="0" w:space="0" w:color="auto"/>
      </w:divBdr>
    </w:div>
    <w:div w:id="1016811285">
      <w:bodyDiv w:val="1"/>
      <w:marLeft w:val="0"/>
      <w:marRight w:val="0"/>
      <w:marTop w:val="0"/>
      <w:marBottom w:val="0"/>
      <w:divBdr>
        <w:top w:val="none" w:sz="0" w:space="0" w:color="auto"/>
        <w:left w:val="none" w:sz="0" w:space="0" w:color="auto"/>
        <w:bottom w:val="none" w:sz="0" w:space="0" w:color="auto"/>
        <w:right w:val="none" w:sz="0" w:space="0" w:color="auto"/>
      </w:divBdr>
    </w:div>
    <w:div w:id="1016885711">
      <w:bodyDiv w:val="1"/>
      <w:marLeft w:val="0"/>
      <w:marRight w:val="0"/>
      <w:marTop w:val="0"/>
      <w:marBottom w:val="0"/>
      <w:divBdr>
        <w:top w:val="none" w:sz="0" w:space="0" w:color="auto"/>
        <w:left w:val="none" w:sz="0" w:space="0" w:color="auto"/>
        <w:bottom w:val="none" w:sz="0" w:space="0" w:color="auto"/>
        <w:right w:val="none" w:sz="0" w:space="0" w:color="auto"/>
      </w:divBdr>
    </w:div>
    <w:div w:id="1020399593">
      <w:bodyDiv w:val="1"/>
      <w:marLeft w:val="0"/>
      <w:marRight w:val="0"/>
      <w:marTop w:val="0"/>
      <w:marBottom w:val="0"/>
      <w:divBdr>
        <w:top w:val="none" w:sz="0" w:space="0" w:color="auto"/>
        <w:left w:val="none" w:sz="0" w:space="0" w:color="auto"/>
        <w:bottom w:val="none" w:sz="0" w:space="0" w:color="auto"/>
        <w:right w:val="none" w:sz="0" w:space="0" w:color="auto"/>
      </w:divBdr>
    </w:div>
    <w:div w:id="1037196817">
      <w:bodyDiv w:val="1"/>
      <w:marLeft w:val="0"/>
      <w:marRight w:val="0"/>
      <w:marTop w:val="0"/>
      <w:marBottom w:val="0"/>
      <w:divBdr>
        <w:top w:val="none" w:sz="0" w:space="0" w:color="auto"/>
        <w:left w:val="none" w:sz="0" w:space="0" w:color="auto"/>
        <w:bottom w:val="none" w:sz="0" w:space="0" w:color="auto"/>
        <w:right w:val="none" w:sz="0" w:space="0" w:color="auto"/>
      </w:divBdr>
    </w:div>
    <w:div w:id="1045570386">
      <w:bodyDiv w:val="1"/>
      <w:marLeft w:val="0"/>
      <w:marRight w:val="0"/>
      <w:marTop w:val="0"/>
      <w:marBottom w:val="0"/>
      <w:divBdr>
        <w:top w:val="none" w:sz="0" w:space="0" w:color="auto"/>
        <w:left w:val="none" w:sz="0" w:space="0" w:color="auto"/>
        <w:bottom w:val="none" w:sz="0" w:space="0" w:color="auto"/>
        <w:right w:val="none" w:sz="0" w:space="0" w:color="auto"/>
      </w:divBdr>
    </w:div>
    <w:div w:id="1047484052">
      <w:bodyDiv w:val="1"/>
      <w:marLeft w:val="0"/>
      <w:marRight w:val="0"/>
      <w:marTop w:val="0"/>
      <w:marBottom w:val="0"/>
      <w:divBdr>
        <w:top w:val="none" w:sz="0" w:space="0" w:color="auto"/>
        <w:left w:val="none" w:sz="0" w:space="0" w:color="auto"/>
        <w:bottom w:val="none" w:sz="0" w:space="0" w:color="auto"/>
        <w:right w:val="none" w:sz="0" w:space="0" w:color="auto"/>
      </w:divBdr>
    </w:div>
    <w:div w:id="1051538328">
      <w:bodyDiv w:val="1"/>
      <w:marLeft w:val="0"/>
      <w:marRight w:val="0"/>
      <w:marTop w:val="0"/>
      <w:marBottom w:val="0"/>
      <w:divBdr>
        <w:top w:val="none" w:sz="0" w:space="0" w:color="auto"/>
        <w:left w:val="none" w:sz="0" w:space="0" w:color="auto"/>
        <w:bottom w:val="none" w:sz="0" w:space="0" w:color="auto"/>
        <w:right w:val="none" w:sz="0" w:space="0" w:color="auto"/>
      </w:divBdr>
    </w:div>
    <w:div w:id="1058431573">
      <w:bodyDiv w:val="1"/>
      <w:marLeft w:val="0"/>
      <w:marRight w:val="0"/>
      <w:marTop w:val="0"/>
      <w:marBottom w:val="0"/>
      <w:divBdr>
        <w:top w:val="none" w:sz="0" w:space="0" w:color="auto"/>
        <w:left w:val="none" w:sz="0" w:space="0" w:color="auto"/>
        <w:bottom w:val="none" w:sz="0" w:space="0" w:color="auto"/>
        <w:right w:val="none" w:sz="0" w:space="0" w:color="auto"/>
      </w:divBdr>
    </w:div>
    <w:div w:id="1060253846">
      <w:bodyDiv w:val="1"/>
      <w:marLeft w:val="0"/>
      <w:marRight w:val="0"/>
      <w:marTop w:val="0"/>
      <w:marBottom w:val="0"/>
      <w:divBdr>
        <w:top w:val="none" w:sz="0" w:space="0" w:color="auto"/>
        <w:left w:val="none" w:sz="0" w:space="0" w:color="auto"/>
        <w:bottom w:val="none" w:sz="0" w:space="0" w:color="auto"/>
        <w:right w:val="none" w:sz="0" w:space="0" w:color="auto"/>
      </w:divBdr>
    </w:div>
    <w:div w:id="1062219852">
      <w:bodyDiv w:val="1"/>
      <w:marLeft w:val="0"/>
      <w:marRight w:val="0"/>
      <w:marTop w:val="0"/>
      <w:marBottom w:val="0"/>
      <w:divBdr>
        <w:top w:val="none" w:sz="0" w:space="0" w:color="auto"/>
        <w:left w:val="none" w:sz="0" w:space="0" w:color="auto"/>
        <w:bottom w:val="none" w:sz="0" w:space="0" w:color="auto"/>
        <w:right w:val="none" w:sz="0" w:space="0" w:color="auto"/>
      </w:divBdr>
    </w:div>
    <w:div w:id="1062556087">
      <w:bodyDiv w:val="1"/>
      <w:marLeft w:val="0"/>
      <w:marRight w:val="0"/>
      <w:marTop w:val="0"/>
      <w:marBottom w:val="0"/>
      <w:divBdr>
        <w:top w:val="none" w:sz="0" w:space="0" w:color="auto"/>
        <w:left w:val="none" w:sz="0" w:space="0" w:color="auto"/>
        <w:bottom w:val="none" w:sz="0" w:space="0" w:color="auto"/>
        <w:right w:val="none" w:sz="0" w:space="0" w:color="auto"/>
      </w:divBdr>
    </w:div>
    <w:div w:id="1067220314">
      <w:bodyDiv w:val="1"/>
      <w:marLeft w:val="0"/>
      <w:marRight w:val="0"/>
      <w:marTop w:val="0"/>
      <w:marBottom w:val="0"/>
      <w:divBdr>
        <w:top w:val="none" w:sz="0" w:space="0" w:color="auto"/>
        <w:left w:val="none" w:sz="0" w:space="0" w:color="auto"/>
        <w:bottom w:val="none" w:sz="0" w:space="0" w:color="auto"/>
        <w:right w:val="none" w:sz="0" w:space="0" w:color="auto"/>
      </w:divBdr>
    </w:div>
    <w:div w:id="1068770565">
      <w:bodyDiv w:val="1"/>
      <w:marLeft w:val="0"/>
      <w:marRight w:val="0"/>
      <w:marTop w:val="0"/>
      <w:marBottom w:val="0"/>
      <w:divBdr>
        <w:top w:val="none" w:sz="0" w:space="0" w:color="auto"/>
        <w:left w:val="none" w:sz="0" w:space="0" w:color="auto"/>
        <w:bottom w:val="none" w:sz="0" w:space="0" w:color="auto"/>
        <w:right w:val="none" w:sz="0" w:space="0" w:color="auto"/>
      </w:divBdr>
    </w:div>
    <w:div w:id="1081098859">
      <w:bodyDiv w:val="1"/>
      <w:marLeft w:val="0"/>
      <w:marRight w:val="0"/>
      <w:marTop w:val="0"/>
      <w:marBottom w:val="0"/>
      <w:divBdr>
        <w:top w:val="none" w:sz="0" w:space="0" w:color="auto"/>
        <w:left w:val="none" w:sz="0" w:space="0" w:color="auto"/>
        <w:bottom w:val="none" w:sz="0" w:space="0" w:color="auto"/>
        <w:right w:val="none" w:sz="0" w:space="0" w:color="auto"/>
      </w:divBdr>
    </w:div>
    <w:div w:id="1084839836">
      <w:bodyDiv w:val="1"/>
      <w:marLeft w:val="0"/>
      <w:marRight w:val="0"/>
      <w:marTop w:val="0"/>
      <w:marBottom w:val="0"/>
      <w:divBdr>
        <w:top w:val="none" w:sz="0" w:space="0" w:color="auto"/>
        <w:left w:val="none" w:sz="0" w:space="0" w:color="auto"/>
        <w:bottom w:val="none" w:sz="0" w:space="0" w:color="auto"/>
        <w:right w:val="none" w:sz="0" w:space="0" w:color="auto"/>
      </w:divBdr>
    </w:div>
    <w:div w:id="1098717027">
      <w:bodyDiv w:val="1"/>
      <w:marLeft w:val="0"/>
      <w:marRight w:val="0"/>
      <w:marTop w:val="0"/>
      <w:marBottom w:val="0"/>
      <w:divBdr>
        <w:top w:val="none" w:sz="0" w:space="0" w:color="auto"/>
        <w:left w:val="none" w:sz="0" w:space="0" w:color="auto"/>
        <w:bottom w:val="none" w:sz="0" w:space="0" w:color="auto"/>
        <w:right w:val="none" w:sz="0" w:space="0" w:color="auto"/>
      </w:divBdr>
    </w:div>
    <w:div w:id="1103036604">
      <w:bodyDiv w:val="1"/>
      <w:marLeft w:val="0"/>
      <w:marRight w:val="0"/>
      <w:marTop w:val="0"/>
      <w:marBottom w:val="0"/>
      <w:divBdr>
        <w:top w:val="none" w:sz="0" w:space="0" w:color="auto"/>
        <w:left w:val="none" w:sz="0" w:space="0" w:color="auto"/>
        <w:bottom w:val="none" w:sz="0" w:space="0" w:color="auto"/>
        <w:right w:val="none" w:sz="0" w:space="0" w:color="auto"/>
      </w:divBdr>
    </w:div>
    <w:div w:id="1106776082">
      <w:bodyDiv w:val="1"/>
      <w:marLeft w:val="0"/>
      <w:marRight w:val="0"/>
      <w:marTop w:val="0"/>
      <w:marBottom w:val="0"/>
      <w:divBdr>
        <w:top w:val="none" w:sz="0" w:space="0" w:color="auto"/>
        <w:left w:val="none" w:sz="0" w:space="0" w:color="auto"/>
        <w:bottom w:val="none" w:sz="0" w:space="0" w:color="auto"/>
        <w:right w:val="none" w:sz="0" w:space="0" w:color="auto"/>
      </w:divBdr>
    </w:div>
    <w:div w:id="1108503471">
      <w:bodyDiv w:val="1"/>
      <w:marLeft w:val="0"/>
      <w:marRight w:val="0"/>
      <w:marTop w:val="0"/>
      <w:marBottom w:val="0"/>
      <w:divBdr>
        <w:top w:val="none" w:sz="0" w:space="0" w:color="auto"/>
        <w:left w:val="none" w:sz="0" w:space="0" w:color="auto"/>
        <w:bottom w:val="none" w:sz="0" w:space="0" w:color="auto"/>
        <w:right w:val="none" w:sz="0" w:space="0" w:color="auto"/>
      </w:divBdr>
    </w:div>
    <w:div w:id="1110129000">
      <w:bodyDiv w:val="1"/>
      <w:marLeft w:val="0"/>
      <w:marRight w:val="0"/>
      <w:marTop w:val="0"/>
      <w:marBottom w:val="0"/>
      <w:divBdr>
        <w:top w:val="none" w:sz="0" w:space="0" w:color="auto"/>
        <w:left w:val="none" w:sz="0" w:space="0" w:color="auto"/>
        <w:bottom w:val="none" w:sz="0" w:space="0" w:color="auto"/>
        <w:right w:val="none" w:sz="0" w:space="0" w:color="auto"/>
      </w:divBdr>
    </w:div>
    <w:div w:id="1112624227">
      <w:bodyDiv w:val="1"/>
      <w:marLeft w:val="0"/>
      <w:marRight w:val="0"/>
      <w:marTop w:val="0"/>
      <w:marBottom w:val="0"/>
      <w:divBdr>
        <w:top w:val="none" w:sz="0" w:space="0" w:color="auto"/>
        <w:left w:val="none" w:sz="0" w:space="0" w:color="auto"/>
        <w:bottom w:val="none" w:sz="0" w:space="0" w:color="auto"/>
        <w:right w:val="none" w:sz="0" w:space="0" w:color="auto"/>
      </w:divBdr>
    </w:div>
    <w:div w:id="1127166590">
      <w:bodyDiv w:val="1"/>
      <w:marLeft w:val="0"/>
      <w:marRight w:val="0"/>
      <w:marTop w:val="0"/>
      <w:marBottom w:val="0"/>
      <w:divBdr>
        <w:top w:val="none" w:sz="0" w:space="0" w:color="auto"/>
        <w:left w:val="none" w:sz="0" w:space="0" w:color="auto"/>
        <w:bottom w:val="none" w:sz="0" w:space="0" w:color="auto"/>
        <w:right w:val="none" w:sz="0" w:space="0" w:color="auto"/>
      </w:divBdr>
    </w:div>
    <w:div w:id="1128474185">
      <w:bodyDiv w:val="1"/>
      <w:marLeft w:val="0"/>
      <w:marRight w:val="0"/>
      <w:marTop w:val="0"/>
      <w:marBottom w:val="0"/>
      <w:divBdr>
        <w:top w:val="none" w:sz="0" w:space="0" w:color="auto"/>
        <w:left w:val="none" w:sz="0" w:space="0" w:color="auto"/>
        <w:bottom w:val="none" w:sz="0" w:space="0" w:color="auto"/>
        <w:right w:val="none" w:sz="0" w:space="0" w:color="auto"/>
      </w:divBdr>
    </w:div>
    <w:div w:id="1130900840">
      <w:bodyDiv w:val="1"/>
      <w:marLeft w:val="0"/>
      <w:marRight w:val="0"/>
      <w:marTop w:val="0"/>
      <w:marBottom w:val="0"/>
      <w:divBdr>
        <w:top w:val="none" w:sz="0" w:space="0" w:color="auto"/>
        <w:left w:val="none" w:sz="0" w:space="0" w:color="auto"/>
        <w:bottom w:val="none" w:sz="0" w:space="0" w:color="auto"/>
        <w:right w:val="none" w:sz="0" w:space="0" w:color="auto"/>
      </w:divBdr>
    </w:div>
    <w:div w:id="1164511453">
      <w:bodyDiv w:val="1"/>
      <w:marLeft w:val="0"/>
      <w:marRight w:val="0"/>
      <w:marTop w:val="0"/>
      <w:marBottom w:val="0"/>
      <w:divBdr>
        <w:top w:val="none" w:sz="0" w:space="0" w:color="auto"/>
        <w:left w:val="none" w:sz="0" w:space="0" w:color="auto"/>
        <w:bottom w:val="none" w:sz="0" w:space="0" w:color="auto"/>
        <w:right w:val="none" w:sz="0" w:space="0" w:color="auto"/>
      </w:divBdr>
    </w:div>
    <w:div w:id="1173837706">
      <w:bodyDiv w:val="1"/>
      <w:marLeft w:val="0"/>
      <w:marRight w:val="0"/>
      <w:marTop w:val="0"/>
      <w:marBottom w:val="0"/>
      <w:divBdr>
        <w:top w:val="none" w:sz="0" w:space="0" w:color="auto"/>
        <w:left w:val="none" w:sz="0" w:space="0" w:color="auto"/>
        <w:bottom w:val="none" w:sz="0" w:space="0" w:color="auto"/>
        <w:right w:val="none" w:sz="0" w:space="0" w:color="auto"/>
      </w:divBdr>
    </w:div>
    <w:div w:id="1179272643">
      <w:bodyDiv w:val="1"/>
      <w:marLeft w:val="0"/>
      <w:marRight w:val="0"/>
      <w:marTop w:val="0"/>
      <w:marBottom w:val="0"/>
      <w:divBdr>
        <w:top w:val="none" w:sz="0" w:space="0" w:color="auto"/>
        <w:left w:val="none" w:sz="0" w:space="0" w:color="auto"/>
        <w:bottom w:val="none" w:sz="0" w:space="0" w:color="auto"/>
        <w:right w:val="none" w:sz="0" w:space="0" w:color="auto"/>
      </w:divBdr>
    </w:div>
    <w:div w:id="1180972364">
      <w:bodyDiv w:val="1"/>
      <w:marLeft w:val="0"/>
      <w:marRight w:val="0"/>
      <w:marTop w:val="0"/>
      <w:marBottom w:val="0"/>
      <w:divBdr>
        <w:top w:val="none" w:sz="0" w:space="0" w:color="auto"/>
        <w:left w:val="none" w:sz="0" w:space="0" w:color="auto"/>
        <w:bottom w:val="none" w:sz="0" w:space="0" w:color="auto"/>
        <w:right w:val="none" w:sz="0" w:space="0" w:color="auto"/>
      </w:divBdr>
    </w:div>
    <w:div w:id="1183320741">
      <w:bodyDiv w:val="1"/>
      <w:marLeft w:val="0"/>
      <w:marRight w:val="0"/>
      <w:marTop w:val="0"/>
      <w:marBottom w:val="0"/>
      <w:divBdr>
        <w:top w:val="none" w:sz="0" w:space="0" w:color="auto"/>
        <w:left w:val="none" w:sz="0" w:space="0" w:color="auto"/>
        <w:bottom w:val="none" w:sz="0" w:space="0" w:color="auto"/>
        <w:right w:val="none" w:sz="0" w:space="0" w:color="auto"/>
      </w:divBdr>
      <w:divsChild>
        <w:div w:id="678698678">
          <w:marLeft w:val="547"/>
          <w:marRight w:val="0"/>
          <w:marTop w:val="0"/>
          <w:marBottom w:val="0"/>
          <w:divBdr>
            <w:top w:val="none" w:sz="0" w:space="0" w:color="auto"/>
            <w:left w:val="none" w:sz="0" w:space="0" w:color="auto"/>
            <w:bottom w:val="none" w:sz="0" w:space="0" w:color="auto"/>
            <w:right w:val="none" w:sz="0" w:space="0" w:color="auto"/>
          </w:divBdr>
        </w:div>
      </w:divsChild>
    </w:div>
    <w:div w:id="1198158966">
      <w:bodyDiv w:val="1"/>
      <w:marLeft w:val="0"/>
      <w:marRight w:val="0"/>
      <w:marTop w:val="0"/>
      <w:marBottom w:val="0"/>
      <w:divBdr>
        <w:top w:val="none" w:sz="0" w:space="0" w:color="auto"/>
        <w:left w:val="none" w:sz="0" w:space="0" w:color="auto"/>
        <w:bottom w:val="none" w:sz="0" w:space="0" w:color="auto"/>
        <w:right w:val="none" w:sz="0" w:space="0" w:color="auto"/>
      </w:divBdr>
    </w:div>
    <w:div w:id="1202091336">
      <w:bodyDiv w:val="1"/>
      <w:marLeft w:val="0"/>
      <w:marRight w:val="0"/>
      <w:marTop w:val="0"/>
      <w:marBottom w:val="0"/>
      <w:divBdr>
        <w:top w:val="none" w:sz="0" w:space="0" w:color="auto"/>
        <w:left w:val="none" w:sz="0" w:space="0" w:color="auto"/>
        <w:bottom w:val="none" w:sz="0" w:space="0" w:color="auto"/>
        <w:right w:val="none" w:sz="0" w:space="0" w:color="auto"/>
      </w:divBdr>
    </w:div>
    <w:div w:id="1214005719">
      <w:bodyDiv w:val="1"/>
      <w:marLeft w:val="0"/>
      <w:marRight w:val="0"/>
      <w:marTop w:val="0"/>
      <w:marBottom w:val="0"/>
      <w:divBdr>
        <w:top w:val="none" w:sz="0" w:space="0" w:color="auto"/>
        <w:left w:val="none" w:sz="0" w:space="0" w:color="auto"/>
        <w:bottom w:val="none" w:sz="0" w:space="0" w:color="auto"/>
        <w:right w:val="none" w:sz="0" w:space="0" w:color="auto"/>
      </w:divBdr>
    </w:div>
    <w:div w:id="1226451045">
      <w:bodyDiv w:val="1"/>
      <w:marLeft w:val="0"/>
      <w:marRight w:val="0"/>
      <w:marTop w:val="0"/>
      <w:marBottom w:val="0"/>
      <w:divBdr>
        <w:top w:val="none" w:sz="0" w:space="0" w:color="auto"/>
        <w:left w:val="none" w:sz="0" w:space="0" w:color="auto"/>
        <w:bottom w:val="none" w:sz="0" w:space="0" w:color="auto"/>
        <w:right w:val="none" w:sz="0" w:space="0" w:color="auto"/>
      </w:divBdr>
    </w:div>
    <w:div w:id="1233858704">
      <w:bodyDiv w:val="1"/>
      <w:marLeft w:val="0"/>
      <w:marRight w:val="0"/>
      <w:marTop w:val="0"/>
      <w:marBottom w:val="0"/>
      <w:divBdr>
        <w:top w:val="none" w:sz="0" w:space="0" w:color="auto"/>
        <w:left w:val="none" w:sz="0" w:space="0" w:color="auto"/>
        <w:bottom w:val="none" w:sz="0" w:space="0" w:color="auto"/>
        <w:right w:val="none" w:sz="0" w:space="0" w:color="auto"/>
      </w:divBdr>
    </w:div>
    <w:div w:id="1251626219">
      <w:bodyDiv w:val="1"/>
      <w:marLeft w:val="0"/>
      <w:marRight w:val="0"/>
      <w:marTop w:val="0"/>
      <w:marBottom w:val="0"/>
      <w:divBdr>
        <w:top w:val="none" w:sz="0" w:space="0" w:color="auto"/>
        <w:left w:val="none" w:sz="0" w:space="0" w:color="auto"/>
        <w:bottom w:val="none" w:sz="0" w:space="0" w:color="auto"/>
        <w:right w:val="none" w:sz="0" w:space="0" w:color="auto"/>
      </w:divBdr>
    </w:div>
    <w:div w:id="1252660067">
      <w:bodyDiv w:val="1"/>
      <w:marLeft w:val="0"/>
      <w:marRight w:val="0"/>
      <w:marTop w:val="0"/>
      <w:marBottom w:val="0"/>
      <w:divBdr>
        <w:top w:val="none" w:sz="0" w:space="0" w:color="auto"/>
        <w:left w:val="none" w:sz="0" w:space="0" w:color="auto"/>
        <w:bottom w:val="none" w:sz="0" w:space="0" w:color="auto"/>
        <w:right w:val="none" w:sz="0" w:space="0" w:color="auto"/>
      </w:divBdr>
    </w:div>
    <w:div w:id="1255091796">
      <w:bodyDiv w:val="1"/>
      <w:marLeft w:val="0"/>
      <w:marRight w:val="0"/>
      <w:marTop w:val="0"/>
      <w:marBottom w:val="0"/>
      <w:divBdr>
        <w:top w:val="none" w:sz="0" w:space="0" w:color="auto"/>
        <w:left w:val="none" w:sz="0" w:space="0" w:color="auto"/>
        <w:bottom w:val="none" w:sz="0" w:space="0" w:color="auto"/>
        <w:right w:val="none" w:sz="0" w:space="0" w:color="auto"/>
      </w:divBdr>
    </w:div>
    <w:div w:id="1259947834">
      <w:bodyDiv w:val="1"/>
      <w:marLeft w:val="0"/>
      <w:marRight w:val="0"/>
      <w:marTop w:val="0"/>
      <w:marBottom w:val="0"/>
      <w:divBdr>
        <w:top w:val="none" w:sz="0" w:space="0" w:color="auto"/>
        <w:left w:val="none" w:sz="0" w:space="0" w:color="auto"/>
        <w:bottom w:val="none" w:sz="0" w:space="0" w:color="auto"/>
        <w:right w:val="none" w:sz="0" w:space="0" w:color="auto"/>
      </w:divBdr>
    </w:div>
    <w:div w:id="1260017572">
      <w:bodyDiv w:val="1"/>
      <w:marLeft w:val="0"/>
      <w:marRight w:val="0"/>
      <w:marTop w:val="0"/>
      <w:marBottom w:val="0"/>
      <w:divBdr>
        <w:top w:val="none" w:sz="0" w:space="0" w:color="auto"/>
        <w:left w:val="none" w:sz="0" w:space="0" w:color="auto"/>
        <w:bottom w:val="none" w:sz="0" w:space="0" w:color="auto"/>
        <w:right w:val="none" w:sz="0" w:space="0" w:color="auto"/>
      </w:divBdr>
    </w:div>
    <w:div w:id="1261378284">
      <w:bodyDiv w:val="1"/>
      <w:marLeft w:val="0"/>
      <w:marRight w:val="0"/>
      <w:marTop w:val="0"/>
      <w:marBottom w:val="0"/>
      <w:divBdr>
        <w:top w:val="none" w:sz="0" w:space="0" w:color="auto"/>
        <w:left w:val="none" w:sz="0" w:space="0" w:color="auto"/>
        <w:bottom w:val="none" w:sz="0" w:space="0" w:color="auto"/>
        <w:right w:val="none" w:sz="0" w:space="0" w:color="auto"/>
      </w:divBdr>
    </w:div>
    <w:div w:id="1299141861">
      <w:bodyDiv w:val="1"/>
      <w:marLeft w:val="0"/>
      <w:marRight w:val="0"/>
      <w:marTop w:val="0"/>
      <w:marBottom w:val="0"/>
      <w:divBdr>
        <w:top w:val="none" w:sz="0" w:space="0" w:color="auto"/>
        <w:left w:val="none" w:sz="0" w:space="0" w:color="auto"/>
        <w:bottom w:val="none" w:sz="0" w:space="0" w:color="auto"/>
        <w:right w:val="none" w:sz="0" w:space="0" w:color="auto"/>
      </w:divBdr>
    </w:div>
    <w:div w:id="1299459462">
      <w:bodyDiv w:val="1"/>
      <w:marLeft w:val="0"/>
      <w:marRight w:val="0"/>
      <w:marTop w:val="0"/>
      <w:marBottom w:val="0"/>
      <w:divBdr>
        <w:top w:val="none" w:sz="0" w:space="0" w:color="auto"/>
        <w:left w:val="none" w:sz="0" w:space="0" w:color="auto"/>
        <w:bottom w:val="none" w:sz="0" w:space="0" w:color="auto"/>
        <w:right w:val="none" w:sz="0" w:space="0" w:color="auto"/>
      </w:divBdr>
    </w:div>
    <w:div w:id="1311714124">
      <w:bodyDiv w:val="1"/>
      <w:marLeft w:val="0"/>
      <w:marRight w:val="0"/>
      <w:marTop w:val="0"/>
      <w:marBottom w:val="0"/>
      <w:divBdr>
        <w:top w:val="none" w:sz="0" w:space="0" w:color="auto"/>
        <w:left w:val="none" w:sz="0" w:space="0" w:color="auto"/>
        <w:bottom w:val="none" w:sz="0" w:space="0" w:color="auto"/>
        <w:right w:val="none" w:sz="0" w:space="0" w:color="auto"/>
      </w:divBdr>
    </w:div>
    <w:div w:id="1311714451">
      <w:bodyDiv w:val="1"/>
      <w:marLeft w:val="0"/>
      <w:marRight w:val="0"/>
      <w:marTop w:val="0"/>
      <w:marBottom w:val="0"/>
      <w:divBdr>
        <w:top w:val="none" w:sz="0" w:space="0" w:color="auto"/>
        <w:left w:val="none" w:sz="0" w:space="0" w:color="auto"/>
        <w:bottom w:val="none" w:sz="0" w:space="0" w:color="auto"/>
        <w:right w:val="none" w:sz="0" w:space="0" w:color="auto"/>
      </w:divBdr>
    </w:div>
    <w:div w:id="1313951623">
      <w:bodyDiv w:val="1"/>
      <w:marLeft w:val="0"/>
      <w:marRight w:val="0"/>
      <w:marTop w:val="0"/>
      <w:marBottom w:val="0"/>
      <w:divBdr>
        <w:top w:val="none" w:sz="0" w:space="0" w:color="auto"/>
        <w:left w:val="none" w:sz="0" w:space="0" w:color="auto"/>
        <w:bottom w:val="none" w:sz="0" w:space="0" w:color="auto"/>
        <w:right w:val="none" w:sz="0" w:space="0" w:color="auto"/>
      </w:divBdr>
    </w:div>
    <w:div w:id="1325083583">
      <w:bodyDiv w:val="1"/>
      <w:marLeft w:val="0"/>
      <w:marRight w:val="0"/>
      <w:marTop w:val="0"/>
      <w:marBottom w:val="0"/>
      <w:divBdr>
        <w:top w:val="none" w:sz="0" w:space="0" w:color="auto"/>
        <w:left w:val="none" w:sz="0" w:space="0" w:color="auto"/>
        <w:bottom w:val="none" w:sz="0" w:space="0" w:color="auto"/>
        <w:right w:val="none" w:sz="0" w:space="0" w:color="auto"/>
      </w:divBdr>
    </w:div>
    <w:div w:id="1328093210">
      <w:bodyDiv w:val="1"/>
      <w:marLeft w:val="0"/>
      <w:marRight w:val="0"/>
      <w:marTop w:val="0"/>
      <w:marBottom w:val="0"/>
      <w:divBdr>
        <w:top w:val="none" w:sz="0" w:space="0" w:color="auto"/>
        <w:left w:val="none" w:sz="0" w:space="0" w:color="auto"/>
        <w:bottom w:val="none" w:sz="0" w:space="0" w:color="auto"/>
        <w:right w:val="none" w:sz="0" w:space="0" w:color="auto"/>
      </w:divBdr>
    </w:div>
    <w:div w:id="1329678584">
      <w:bodyDiv w:val="1"/>
      <w:marLeft w:val="0"/>
      <w:marRight w:val="0"/>
      <w:marTop w:val="0"/>
      <w:marBottom w:val="0"/>
      <w:divBdr>
        <w:top w:val="none" w:sz="0" w:space="0" w:color="auto"/>
        <w:left w:val="none" w:sz="0" w:space="0" w:color="auto"/>
        <w:bottom w:val="none" w:sz="0" w:space="0" w:color="auto"/>
        <w:right w:val="none" w:sz="0" w:space="0" w:color="auto"/>
      </w:divBdr>
    </w:div>
    <w:div w:id="1354646705">
      <w:bodyDiv w:val="1"/>
      <w:marLeft w:val="0"/>
      <w:marRight w:val="0"/>
      <w:marTop w:val="0"/>
      <w:marBottom w:val="0"/>
      <w:divBdr>
        <w:top w:val="none" w:sz="0" w:space="0" w:color="auto"/>
        <w:left w:val="none" w:sz="0" w:space="0" w:color="auto"/>
        <w:bottom w:val="none" w:sz="0" w:space="0" w:color="auto"/>
        <w:right w:val="none" w:sz="0" w:space="0" w:color="auto"/>
      </w:divBdr>
    </w:div>
    <w:div w:id="1358503072">
      <w:bodyDiv w:val="1"/>
      <w:marLeft w:val="0"/>
      <w:marRight w:val="0"/>
      <w:marTop w:val="0"/>
      <w:marBottom w:val="0"/>
      <w:divBdr>
        <w:top w:val="none" w:sz="0" w:space="0" w:color="auto"/>
        <w:left w:val="none" w:sz="0" w:space="0" w:color="auto"/>
        <w:bottom w:val="none" w:sz="0" w:space="0" w:color="auto"/>
        <w:right w:val="none" w:sz="0" w:space="0" w:color="auto"/>
      </w:divBdr>
    </w:div>
    <w:div w:id="1361592240">
      <w:bodyDiv w:val="1"/>
      <w:marLeft w:val="0"/>
      <w:marRight w:val="0"/>
      <w:marTop w:val="0"/>
      <w:marBottom w:val="0"/>
      <w:divBdr>
        <w:top w:val="none" w:sz="0" w:space="0" w:color="auto"/>
        <w:left w:val="none" w:sz="0" w:space="0" w:color="auto"/>
        <w:bottom w:val="none" w:sz="0" w:space="0" w:color="auto"/>
        <w:right w:val="none" w:sz="0" w:space="0" w:color="auto"/>
      </w:divBdr>
    </w:div>
    <w:div w:id="1362894512">
      <w:bodyDiv w:val="1"/>
      <w:marLeft w:val="0"/>
      <w:marRight w:val="0"/>
      <w:marTop w:val="0"/>
      <w:marBottom w:val="0"/>
      <w:divBdr>
        <w:top w:val="none" w:sz="0" w:space="0" w:color="auto"/>
        <w:left w:val="none" w:sz="0" w:space="0" w:color="auto"/>
        <w:bottom w:val="none" w:sz="0" w:space="0" w:color="auto"/>
        <w:right w:val="none" w:sz="0" w:space="0" w:color="auto"/>
      </w:divBdr>
    </w:div>
    <w:div w:id="1388145249">
      <w:bodyDiv w:val="1"/>
      <w:marLeft w:val="0"/>
      <w:marRight w:val="0"/>
      <w:marTop w:val="0"/>
      <w:marBottom w:val="0"/>
      <w:divBdr>
        <w:top w:val="none" w:sz="0" w:space="0" w:color="auto"/>
        <w:left w:val="none" w:sz="0" w:space="0" w:color="auto"/>
        <w:bottom w:val="none" w:sz="0" w:space="0" w:color="auto"/>
        <w:right w:val="none" w:sz="0" w:space="0" w:color="auto"/>
      </w:divBdr>
    </w:div>
    <w:div w:id="1396389928">
      <w:bodyDiv w:val="1"/>
      <w:marLeft w:val="0"/>
      <w:marRight w:val="0"/>
      <w:marTop w:val="0"/>
      <w:marBottom w:val="0"/>
      <w:divBdr>
        <w:top w:val="none" w:sz="0" w:space="0" w:color="auto"/>
        <w:left w:val="none" w:sz="0" w:space="0" w:color="auto"/>
        <w:bottom w:val="none" w:sz="0" w:space="0" w:color="auto"/>
        <w:right w:val="none" w:sz="0" w:space="0" w:color="auto"/>
      </w:divBdr>
    </w:div>
    <w:div w:id="1396465744">
      <w:bodyDiv w:val="1"/>
      <w:marLeft w:val="0"/>
      <w:marRight w:val="0"/>
      <w:marTop w:val="0"/>
      <w:marBottom w:val="0"/>
      <w:divBdr>
        <w:top w:val="none" w:sz="0" w:space="0" w:color="auto"/>
        <w:left w:val="none" w:sz="0" w:space="0" w:color="auto"/>
        <w:bottom w:val="none" w:sz="0" w:space="0" w:color="auto"/>
        <w:right w:val="none" w:sz="0" w:space="0" w:color="auto"/>
      </w:divBdr>
    </w:div>
    <w:div w:id="1398936133">
      <w:bodyDiv w:val="1"/>
      <w:marLeft w:val="0"/>
      <w:marRight w:val="0"/>
      <w:marTop w:val="0"/>
      <w:marBottom w:val="0"/>
      <w:divBdr>
        <w:top w:val="none" w:sz="0" w:space="0" w:color="auto"/>
        <w:left w:val="none" w:sz="0" w:space="0" w:color="auto"/>
        <w:bottom w:val="none" w:sz="0" w:space="0" w:color="auto"/>
        <w:right w:val="none" w:sz="0" w:space="0" w:color="auto"/>
      </w:divBdr>
    </w:div>
    <w:div w:id="1416512421">
      <w:bodyDiv w:val="1"/>
      <w:marLeft w:val="0"/>
      <w:marRight w:val="0"/>
      <w:marTop w:val="0"/>
      <w:marBottom w:val="0"/>
      <w:divBdr>
        <w:top w:val="none" w:sz="0" w:space="0" w:color="auto"/>
        <w:left w:val="none" w:sz="0" w:space="0" w:color="auto"/>
        <w:bottom w:val="none" w:sz="0" w:space="0" w:color="auto"/>
        <w:right w:val="none" w:sz="0" w:space="0" w:color="auto"/>
      </w:divBdr>
    </w:div>
    <w:div w:id="1428187997">
      <w:bodyDiv w:val="1"/>
      <w:marLeft w:val="0"/>
      <w:marRight w:val="0"/>
      <w:marTop w:val="0"/>
      <w:marBottom w:val="0"/>
      <w:divBdr>
        <w:top w:val="none" w:sz="0" w:space="0" w:color="auto"/>
        <w:left w:val="none" w:sz="0" w:space="0" w:color="auto"/>
        <w:bottom w:val="none" w:sz="0" w:space="0" w:color="auto"/>
        <w:right w:val="none" w:sz="0" w:space="0" w:color="auto"/>
      </w:divBdr>
    </w:div>
    <w:div w:id="1434477960">
      <w:bodyDiv w:val="1"/>
      <w:marLeft w:val="0"/>
      <w:marRight w:val="0"/>
      <w:marTop w:val="0"/>
      <w:marBottom w:val="0"/>
      <w:divBdr>
        <w:top w:val="none" w:sz="0" w:space="0" w:color="auto"/>
        <w:left w:val="none" w:sz="0" w:space="0" w:color="auto"/>
        <w:bottom w:val="none" w:sz="0" w:space="0" w:color="auto"/>
        <w:right w:val="none" w:sz="0" w:space="0" w:color="auto"/>
      </w:divBdr>
    </w:div>
    <w:div w:id="1463307088">
      <w:bodyDiv w:val="1"/>
      <w:marLeft w:val="0"/>
      <w:marRight w:val="0"/>
      <w:marTop w:val="0"/>
      <w:marBottom w:val="0"/>
      <w:divBdr>
        <w:top w:val="none" w:sz="0" w:space="0" w:color="auto"/>
        <w:left w:val="none" w:sz="0" w:space="0" w:color="auto"/>
        <w:bottom w:val="none" w:sz="0" w:space="0" w:color="auto"/>
        <w:right w:val="none" w:sz="0" w:space="0" w:color="auto"/>
      </w:divBdr>
    </w:div>
    <w:div w:id="1475878507">
      <w:bodyDiv w:val="1"/>
      <w:marLeft w:val="0"/>
      <w:marRight w:val="0"/>
      <w:marTop w:val="0"/>
      <w:marBottom w:val="0"/>
      <w:divBdr>
        <w:top w:val="none" w:sz="0" w:space="0" w:color="auto"/>
        <w:left w:val="none" w:sz="0" w:space="0" w:color="auto"/>
        <w:bottom w:val="none" w:sz="0" w:space="0" w:color="auto"/>
        <w:right w:val="none" w:sz="0" w:space="0" w:color="auto"/>
      </w:divBdr>
    </w:div>
    <w:div w:id="1477184566">
      <w:bodyDiv w:val="1"/>
      <w:marLeft w:val="0"/>
      <w:marRight w:val="0"/>
      <w:marTop w:val="0"/>
      <w:marBottom w:val="0"/>
      <w:divBdr>
        <w:top w:val="none" w:sz="0" w:space="0" w:color="auto"/>
        <w:left w:val="none" w:sz="0" w:space="0" w:color="auto"/>
        <w:bottom w:val="none" w:sz="0" w:space="0" w:color="auto"/>
        <w:right w:val="none" w:sz="0" w:space="0" w:color="auto"/>
      </w:divBdr>
    </w:div>
    <w:div w:id="1484784188">
      <w:bodyDiv w:val="1"/>
      <w:marLeft w:val="0"/>
      <w:marRight w:val="0"/>
      <w:marTop w:val="0"/>
      <w:marBottom w:val="0"/>
      <w:divBdr>
        <w:top w:val="none" w:sz="0" w:space="0" w:color="auto"/>
        <w:left w:val="none" w:sz="0" w:space="0" w:color="auto"/>
        <w:bottom w:val="none" w:sz="0" w:space="0" w:color="auto"/>
        <w:right w:val="none" w:sz="0" w:space="0" w:color="auto"/>
      </w:divBdr>
    </w:div>
    <w:div w:id="1485658454">
      <w:bodyDiv w:val="1"/>
      <w:marLeft w:val="0"/>
      <w:marRight w:val="0"/>
      <w:marTop w:val="0"/>
      <w:marBottom w:val="0"/>
      <w:divBdr>
        <w:top w:val="none" w:sz="0" w:space="0" w:color="auto"/>
        <w:left w:val="none" w:sz="0" w:space="0" w:color="auto"/>
        <w:bottom w:val="none" w:sz="0" w:space="0" w:color="auto"/>
        <w:right w:val="none" w:sz="0" w:space="0" w:color="auto"/>
      </w:divBdr>
    </w:div>
    <w:div w:id="1489663068">
      <w:bodyDiv w:val="1"/>
      <w:marLeft w:val="0"/>
      <w:marRight w:val="0"/>
      <w:marTop w:val="0"/>
      <w:marBottom w:val="0"/>
      <w:divBdr>
        <w:top w:val="none" w:sz="0" w:space="0" w:color="auto"/>
        <w:left w:val="none" w:sz="0" w:space="0" w:color="auto"/>
        <w:bottom w:val="none" w:sz="0" w:space="0" w:color="auto"/>
        <w:right w:val="none" w:sz="0" w:space="0" w:color="auto"/>
      </w:divBdr>
    </w:div>
    <w:div w:id="1491559012">
      <w:bodyDiv w:val="1"/>
      <w:marLeft w:val="0"/>
      <w:marRight w:val="0"/>
      <w:marTop w:val="0"/>
      <w:marBottom w:val="0"/>
      <w:divBdr>
        <w:top w:val="none" w:sz="0" w:space="0" w:color="auto"/>
        <w:left w:val="none" w:sz="0" w:space="0" w:color="auto"/>
        <w:bottom w:val="none" w:sz="0" w:space="0" w:color="auto"/>
        <w:right w:val="none" w:sz="0" w:space="0" w:color="auto"/>
      </w:divBdr>
    </w:div>
    <w:div w:id="1497960855">
      <w:bodyDiv w:val="1"/>
      <w:marLeft w:val="0"/>
      <w:marRight w:val="0"/>
      <w:marTop w:val="0"/>
      <w:marBottom w:val="0"/>
      <w:divBdr>
        <w:top w:val="none" w:sz="0" w:space="0" w:color="auto"/>
        <w:left w:val="none" w:sz="0" w:space="0" w:color="auto"/>
        <w:bottom w:val="none" w:sz="0" w:space="0" w:color="auto"/>
        <w:right w:val="none" w:sz="0" w:space="0" w:color="auto"/>
      </w:divBdr>
    </w:div>
    <w:div w:id="1506940094">
      <w:bodyDiv w:val="1"/>
      <w:marLeft w:val="0"/>
      <w:marRight w:val="0"/>
      <w:marTop w:val="0"/>
      <w:marBottom w:val="0"/>
      <w:divBdr>
        <w:top w:val="none" w:sz="0" w:space="0" w:color="auto"/>
        <w:left w:val="none" w:sz="0" w:space="0" w:color="auto"/>
        <w:bottom w:val="none" w:sz="0" w:space="0" w:color="auto"/>
        <w:right w:val="none" w:sz="0" w:space="0" w:color="auto"/>
      </w:divBdr>
    </w:div>
    <w:div w:id="1517767990">
      <w:bodyDiv w:val="1"/>
      <w:marLeft w:val="0"/>
      <w:marRight w:val="0"/>
      <w:marTop w:val="0"/>
      <w:marBottom w:val="0"/>
      <w:divBdr>
        <w:top w:val="none" w:sz="0" w:space="0" w:color="auto"/>
        <w:left w:val="none" w:sz="0" w:space="0" w:color="auto"/>
        <w:bottom w:val="none" w:sz="0" w:space="0" w:color="auto"/>
        <w:right w:val="none" w:sz="0" w:space="0" w:color="auto"/>
      </w:divBdr>
    </w:div>
    <w:div w:id="1520242510">
      <w:bodyDiv w:val="1"/>
      <w:marLeft w:val="0"/>
      <w:marRight w:val="0"/>
      <w:marTop w:val="0"/>
      <w:marBottom w:val="0"/>
      <w:divBdr>
        <w:top w:val="none" w:sz="0" w:space="0" w:color="auto"/>
        <w:left w:val="none" w:sz="0" w:space="0" w:color="auto"/>
        <w:bottom w:val="none" w:sz="0" w:space="0" w:color="auto"/>
        <w:right w:val="none" w:sz="0" w:space="0" w:color="auto"/>
      </w:divBdr>
    </w:div>
    <w:div w:id="1526479760">
      <w:bodyDiv w:val="1"/>
      <w:marLeft w:val="0"/>
      <w:marRight w:val="0"/>
      <w:marTop w:val="0"/>
      <w:marBottom w:val="0"/>
      <w:divBdr>
        <w:top w:val="none" w:sz="0" w:space="0" w:color="auto"/>
        <w:left w:val="none" w:sz="0" w:space="0" w:color="auto"/>
        <w:bottom w:val="none" w:sz="0" w:space="0" w:color="auto"/>
        <w:right w:val="none" w:sz="0" w:space="0" w:color="auto"/>
      </w:divBdr>
    </w:div>
    <w:div w:id="1554466425">
      <w:bodyDiv w:val="1"/>
      <w:marLeft w:val="0"/>
      <w:marRight w:val="0"/>
      <w:marTop w:val="0"/>
      <w:marBottom w:val="0"/>
      <w:divBdr>
        <w:top w:val="none" w:sz="0" w:space="0" w:color="auto"/>
        <w:left w:val="none" w:sz="0" w:space="0" w:color="auto"/>
        <w:bottom w:val="none" w:sz="0" w:space="0" w:color="auto"/>
        <w:right w:val="none" w:sz="0" w:space="0" w:color="auto"/>
      </w:divBdr>
    </w:div>
    <w:div w:id="1556312708">
      <w:bodyDiv w:val="1"/>
      <w:marLeft w:val="0"/>
      <w:marRight w:val="0"/>
      <w:marTop w:val="0"/>
      <w:marBottom w:val="0"/>
      <w:divBdr>
        <w:top w:val="none" w:sz="0" w:space="0" w:color="auto"/>
        <w:left w:val="none" w:sz="0" w:space="0" w:color="auto"/>
        <w:bottom w:val="none" w:sz="0" w:space="0" w:color="auto"/>
        <w:right w:val="none" w:sz="0" w:space="0" w:color="auto"/>
      </w:divBdr>
    </w:div>
    <w:div w:id="1556618865">
      <w:bodyDiv w:val="1"/>
      <w:marLeft w:val="0"/>
      <w:marRight w:val="0"/>
      <w:marTop w:val="0"/>
      <w:marBottom w:val="0"/>
      <w:divBdr>
        <w:top w:val="none" w:sz="0" w:space="0" w:color="auto"/>
        <w:left w:val="none" w:sz="0" w:space="0" w:color="auto"/>
        <w:bottom w:val="none" w:sz="0" w:space="0" w:color="auto"/>
        <w:right w:val="none" w:sz="0" w:space="0" w:color="auto"/>
      </w:divBdr>
    </w:div>
    <w:div w:id="1579483484">
      <w:bodyDiv w:val="1"/>
      <w:marLeft w:val="0"/>
      <w:marRight w:val="0"/>
      <w:marTop w:val="0"/>
      <w:marBottom w:val="0"/>
      <w:divBdr>
        <w:top w:val="none" w:sz="0" w:space="0" w:color="auto"/>
        <w:left w:val="none" w:sz="0" w:space="0" w:color="auto"/>
        <w:bottom w:val="none" w:sz="0" w:space="0" w:color="auto"/>
        <w:right w:val="none" w:sz="0" w:space="0" w:color="auto"/>
      </w:divBdr>
    </w:div>
    <w:div w:id="1592005625">
      <w:bodyDiv w:val="1"/>
      <w:marLeft w:val="0"/>
      <w:marRight w:val="0"/>
      <w:marTop w:val="0"/>
      <w:marBottom w:val="0"/>
      <w:divBdr>
        <w:top w:val="none" w:sz="0" w:space="0" w:color="auto"/>
        <w:left w:val="none" w:sz="0" w:space="0" w:color="auto"/>
        <w:bottom w:val="none" w:sz="0" w:space="0" w:color="auto"/>
        <w:right w:val="none" w:sz="0" w:space="0" w:color="auto"/>
      </w:divBdr>
    </w:div>
    <w:div w:id="1601983765">
      <w:bodyDiv w:val="1"/>
      <w:marLeft w:val="0"/>
      <w:marRight w:val="0"/>
      <w:marTop w:val="0"/>
      <w:marBottom w:val="0"/>
      <w:divBdr>
        <w:top w:val="none" w:sz="0" w:space="0" w:color="auto"/>
        <w:left w:val="none" w:sz="0" w:space="0" w:color="auto"/>
        <w:bottom w:val="none" w:sz="0" w:space="0" w:color="auto"/>
        <w:right w:val="none" w:sz="0" w:space="0" w:color="auto"/>
      </w:divBdr>
    </w:div>
    <w:div w:id="1609004794">
      <w:bodyDiv w:val="1"/>
      <w:marLeft w:val="0"/>
      <w:marRight w:val="0"/>
      <w:marTop w:val="0"/>
      <w:marBottom w:val="0"/>
      <w:divBdr>
        <w:top w:val="none" w:sz="0" w:space="0" w:color="auto"/>
        <w:left w:val="none" w:sz="0" w:space="0" w:color="auto"/>
        <w:bottom w:val="none" w:sz="0" w:space="0" w:color="auto"/>
        <w:right w:val="none" w:sz="0" w:space="0" w:color="auto"/>
      </w:divBdr>
    </w:div>
    <w:div w:id="1609852514">
      <w:bodyDiv w:val="1"/>
      <w:marLeft w:val="0"/>
      <w:marRight w:val="0"/>
      <w:marTop w:val="0"/>
      <w:marBottom w:val="0"/>
      <w:divBdr>
        <w:top w:val="none" w:sz="0" w:space="0" w:color="auto"/>
        <w:left w:val="none" w:sz="0" w:space="0" w:color="auto"/>
        <w:bottom w:val="none" w:sz="0" w:space="0" w:color="auto"/>
        <w:right w:val="none" w:sz="0" w:space="0" w:color="auto"/>
      </w:divBdr>
    </w:div>
    <w:div w:id="1612586643">
      <w:bodyDiv w:val="1"/>
      <w:marLeft w:val="0"/>
      <w:marRight w:val="0"/>
      <w:marTop w:val="0"/>
      <w:marBottom w:val="0"/>
      <w:divBdr>
        <w:top w:val="none" w:sz="0" w:space="0" w:color="auto"/>
        <w:left w:val="none" w:sz="0" w:space="0" w:color="auto"/>
        <w:bottom w:val="none" w:sz="0" w:space="0" w:color="auto"/>
        <w:right w:val="none" w:sz="0" w:space="0" w:color="auto"/>
      </w:divBdr>
    </w:div>
    <w:div w:id="1614289369">
      <w:bodyDiv w:val="1"/>
      <w:marLeft w:val="0"/>
      <w:marRight w:val="0"/>
      <w:marTop w:val="0"/>
      <w:marBottom w:val="0"/>
      <w:divBdr>
        <w:top w:val="none" w:sz="0" w:space="0" w:color="auto"/>
        <w:left w:val="none" w:sz="0" w:space="0" w:color="auto"/>
        <w:bottom w:val="none" w:sz="0" w:space="0" w:color="auto"/>
        <w:right w:val="none" w:sz="0" w:space="0" w:color="auto"/>
      </w:divBdr>
    </w:div>
    <w:div w:id="1614440375">
      <w:bodyDiv w:val="1"/>
      <w:marLeft w:val="0"/>
      <w:marRight w:val="0"/>
      <w:marTop w:val="0"/>
      <w:marBottom w:val="0"/>
      <w:divBdr>
        <w:top w:val="none" w:sz="0" w:space="0" w:color="auto"/>
        <w:left w:val="none" w:sz="0" w:space="0" w:color="auto"/>
        <w:bottom w:val="none" w:sz="0" w:space="0" w:color="auto"/>
        <w:right w:val="none" w:sz="0" w:space="0" w:color="auto"/>
      </w:divBdr>
    </w:div>
    <w:div w:id="1615937090">
      <w:bodyDiv w:val="1"/>
      <w:marLeft w:val="0"/>
      <w:marRight w:val="0"/>
      <w:marTop w:val="0"/>
      <w:marBottom w:val="0"/>
      <w:divBdr>
        <w:top w:val="none" w:sz="0" w:space="0" w:color="auto"/>
        <w:left w:val="none" w:sz="0" w:space="0" w:color="auto"/>
        <w:bottom w:val="none" w:sz="0" w:space="0" w:color="auto"/>
        <w:right w:val="none" w:sz="0" w:space="0" w:color="auto"/>
      </w:divBdr>
    </w:div>
    <w:div w:id="1619794820">
      <w:bodyDiv w:val="1"/>
      <w:marLeft w:val="0"/>
      <w:marRight w:val="0"/>
      <w:marTop w:val="0"/>
      <w:marBottom w:val="0"/>
      <w:divBdr>
        <w:top w:val="none" w:sz="0" w:space="0" w:color="auto"/>
        <w:left w:val="none" w:sz="0" w:space="0" w:color="auto"/>
        <w:bottom w:val="none" w:sz="0" w:space="0" w:color="auto"/>
        <w:right w:val="none" w:sz="0" w:space="0" w:color="auto"/>
      </w:divBdr>
    </w:div>
    <w:div w:id="1621304633">
      <w:bodyDiv w:val="1"/>
      <w:marLeft w:val="0"/>
      <w:marRight w:val="0"/>
      <w:marTop w:val="0"/>
      <w:marBottom w:val="0"/>
      <w:divBdr>
        <w:top w:val="none" w:sz="0" w:space="0" w:color="auto"/>
        <w:left w:val="none" w:sz="0" w:space="0" w:color="auto"/>
        <w:bottom w:val="none" w:sz="0" w:space="0" w:color="auto"/>
        <w:right w:val="none" w:sz="0" w:space="0" w:color="auto"/>
      </w:divBdr>
    </w:div>
    <w:div w:id="1623464359">
      <w:bodyDiv w:val="1"/>
      <w:marLeft w:val="0"/>
      <w:marRight w:val="0"/>
      <w:marTop w:val="0"/>
      <w:marBottom w:val="0"/>
      <w:divBdr>
        <w:top w:val="none" w:sz="0" w:space="0" w:color="auto"/>
        <w:left w:val="none" w:sz="0" w:space="0" w:color="auto"/>
        <w:bottom w:val="none" w:sz="0" w:space="0" w:color="auto"/>
        <w:right w:val="none" w:sz="0" w:space="0" w:color="auto"/>
      </w:divBdr>
    </w:div>
    <w:div w:id="1627926533">
      <w:bodyDiv w:val="1"/>
      <w:marLeft w:val="0"/>
      <w:marRight w:val="0"/>
      <w:marTop w:val="0"/>
      <w:marBottom w:val="0"/>
      <w:divBdr>
        <w:top w:val="none" w:sz="0" w:space="0" w:color="auto"/>
        <w:left w:val="none" w:sz="0" w:space="0" w:color="auto"/>
        <w:bottom w:val="none" w:sz="0" w:space="0" w:color="auto"/>
        <w:right w:val="none" w:sz="0" w:space="0" w:color="auto"/>
      </w:divBdr>
    </w:div>
    <w:div w:id="1635872864">
      <w:bodyDiv w:val="1"/>
      <w:marLeft w:val="0"/>
      <w:marRight w:val="0"/>
      <w:marTop w:val="0"/>
      <w:marBottom w:val="0"/>
      <w:divBdr>
        <w:top w:val="none" w:sz="0" w:space="0" w:color="auto"/>
        <w:left w:val="none" w:sz="0" w:space="0" w:color="auto"/>
        <w:bottom w:val="none" w:sz="0" w:space="0" w:color="auto"/>
        <w:right w:val="none" w:sz="0" w:space="0" w:color="auto"/>
      </w:divBdr>
    </w:div>
    <w:div w:id="1639144266">
      <w:bodyDiv w:val="1"/>
      <w:marLeft w:val="0"/>
      <w:marRight w:val="0"/>
      <w:marTop w:val="0"/>
      <w:marBottom w:val="0"/>
      <w:divBdr>
        <w:top w:val="none" w:sz="0" w:space="0" w:color="auto"/>
        <w:left w:val="none" w:sz="0" w:space="0" w:color="auto"/>
        <w:bottom w:val="none" w:sz="0" w:space="0" w:color="auto"/>
        <w:right w:val="none" w:sz="0" w:space="0" w:color="auto"/>
      </w:divBdr>
    </w:div>
    <w:div w:id="1645428684">
      <w:bodyDiv w:val="1"/>
      <w:marLeft w:val="0"/>
      <w:marRight w:val="0"/>
      <w:marTop w:val="0"/>
      <w:marBottom w:val="0"/>
      <w:divBdr>
        <w:top w:val="none" w:sz="0" w:space="0" w:color="auto"/>
        <w:left w:val="none" w:sz="0" w:space="0" w:color="auto"/>
        <w:bottom w:val="none" w:sz="0" w:space="0" w:color="auto"/>
        <w:right w:val="none" w:sz="0" w:space="0" w:color="auto"/>
      </w:divBdr>
    </w:div>
    <w:div w:id="1649628140">
      <w:bodyDiv w:val="1"/>
      <w:marLeft w:val="0"/>
      <w:marRight w:val="0"/>
      <w:marTop w:val="0"/>
      <w:marBottom w:val="0"/>
      <w:divBdr>
        <w:top w:val="none" w:sz="0" w:space="0" w:color="auto"/>
        <w:left w:val="none" w:sz="0" w:space="0" w:color="auto"/>
        <w:bottom w:val="none" w:sz="0" w:space="0" w:color="auto"/>
        <w:right w:val="none" w:sz="0" w:space="0" w:color="auto"/>
      </w:divBdr>
    </w:div>
    <w:div w:id="1653487165">
      <w:bodyDiv w:val="1"/>
      <w:marLeft w:val="0"/>
      <w:marRight w:val="0"/>
      <w:marTop w:val="0"/>
      <w:marBottom w:val="0"/>
      <w:divBdr>
        <w:top w:val="none" w:sz="0" w:space="0" w:color="auto"/>
        <w:left w:val="none" w:sz="0" w:space="0" w:color="auto"/>
        <w:bottom w:val="none" w:sz="0" w:space="0" w:color="auto"/>
        <w:right w:val="none" w:sz="0" w:space="0" w:color="auto"/>
      </w:divBdr>
    </w:div>
    <w:div w:id="1674331742">
      <w:bodyDiv w:val="1"/>
      <w:marLeft w:val="0"/>
      <w:marRight w:val="0"/>
      <w:marTop w:val="0"/>
      <w:marBottom w:val="0"/>
      <w:divBdr>
        <w:top w:val="none" w:sz="0" w:space="0" w:color="auto"/>
        <w:left w:val="none" w:sz="0" w:space="0" w:color="auto"/>
        <w:bottom w:val="none" w:sz="0" w:space="0" w:color="auto"/>
        <w:right w:val="none" w:sz="0" w:space="0" w:color="auto"/>
      </w:divBdr>
    </w:div>
    <w:div w:id="1683579982">
      <w:bodyDiv w:val="1"/>
      <w:marLeft w:val="0"/>
      <w:marRight w:val="0"/>
      <w:marTop w:val="0"/>
      <w:marBottom w:val="0"/>
      <w:divBdr>
        <w:top w:val="none" w:sz="0" w:space="0" w:color="auto"/>
        <w:left w:val="none" w:sz="0" w:space="0" w:color="auto"/>
        <w:bottom w:val="none" w:sz="0" w:space="0" w:color="auto"/>
        <w:right w:val="none" w:sz="0" w:space="0" w:color="auto"/>
      </w:divBdr>
    </w:div>
    <w:div w:id="1683973866">
      <w:bodyDiv w:val="1"/>
      <w:marLeft w:val="0"/>
      <w:marRight w:val="0"/>
      <w:marTop w:val="0"/>
      <w:marBottom w:val="0"/>
      <w:divBdr>
        <w:top w:val="none" w:sz="0" w:space="0" w:color="auto"/>
        <w:left w:val="none" w:sz="0" w:space="0" w:color="auto"/>
        <w:bottom w:val="none" w:sz="0" w:space="0" w:color="auto"/>
        <w:right w:val="none" w:sz="0" w:space="0" w:color="auto"/>
      </w:divBdr>
    </w:div>
    <w:div w:id="1688631847">
      <w:bodyDiv w:val="1"/>
      <w:marLeft w:val="0"/>
      <w:marRight w:val="0"/>
      <w:marTop w:val="0"/>
      <w:marBottom w:val="0"/>
      <w:divBdr>
        <w:top w:val="none" w:sz="0" w:space="0" w:color="auto"/>
        <w:left w:val="none" w:sz="0" w:space="0" w:color="auto"/>
        <w:bottom w:val="none" w:sz="0" w:space="0" w:color="auto"/>
        <w:right w:val="none" w:sz="0" w:space="0" w:color="auto"/>
      </w:divBdr>
    </w:div>
    <w:div w:id="1692225909">
      <w:bodyDiv w:val="1"/>
      <w:marLeft w:val="0"/>
      <w:marRight w:val="0"/>
      <w:marTop w:val="0"/>
      <w:marBottom w:val="0"/>
      <w:divBdr>
        <w:top w:val="none" w:sz="0" w:space="0" w:color="auto"/>
        <w:left w:val="none" w:sz="0" w:space="0" w:color="auto"/>
        <w:bottom w:val="none" w:sz="0" w:space="0" w:color="auto"/>
        <w:right w:val="none" w:sz="0" w:space="0" w:color="auto"/>
      </w:divBdr>
    </w:div>
    <w:div w:id="1692949525">
      <w:bodyDiv w:val="1"/>
      <w:marLeft w:val="0"/>
      <w:marRight w:val="0"/>
      <w:marTop w:val="0"/>
      <w:marBottom w:val="0"/>
      <w:divBdr>
        <w:top w:val="none" w:sz="0" w:space="0" w:color="auto"/>
        <w:left w:val="none" w:sz="0" w:space="0" w:color="auto"/>
        <w:bottom w:val="none" w:sz="0" w:space="0" w:color="auto"/>
        <w:right w:val="none" w:sz="0" w:space="0" w:color="auto"/>
      </w:divBdr>
    </w:div>
    <w:div w:id="1697463227">
      <w:bodyDiv w:val="1"/>
      <w:marLeft w:val="0"/>
      <w:marRight w:val="0"/>
      <w:marTop w:val="0"/>
      <w:marBottom w:val="0"/>
      <w:divBdr>
        <w:top w:val="none" w:sz="0" w:space="0" w:color="auto"/>
        <w:left w:val="none" w:sz="0" w:space="0" w:color="auto"/>
        <w:bottom w:val="none" w:sz="0" w:space="0" w:color="auto"/>
        <w:right w:val="none" w:sz="0" w:space="0" w:color="auto"/>
      </w:divBdr>
    </w:div>
    <w:div w:id="1706247029">
      <w:bodyDiv w:val="1"/>
      <w:marLeft w:val="0"/>
      <w:marRight w:val="0"/>
      <w:marTop w:val="0"/>
      <w:marBottom w:val="0"/>
      <w:divBdr>
        <w:top w:val="none" w:sz="0" w:space="0" w:color="auto"/>
        <w:left w:val="none" w:sz="0" w:space="0" w:color="auto"/>
        <w:bottom w:val="none" w:sz="0" w:space="0" w:color="auto"/>
        <w:right w:val="none" w:sz="0" w:space="0" w:color="auto"/>
      </w:divBdr>
    </w:div>
    <w:div w:id="1708066964">
      <w:bodyDiv w:val="1"/>
      <w:marLeft w:val="0"/>
      <w:marRight w:val="0"/>
      <w:marTop w:val="0"/>
      <w:marBottom w:val="0"/>
      <w:divBdr>
        <w:top w:val="none" w:sz="0" w:space="0" w:color="auto"/>
        <w:left w:val="none" w:sz="0" w:space="0" w:color="auto"/>
        <w:bottom w:val="none" w:sz="0" w:space="0" w:color="auto"/>
        <w:right w:val="none" w:sz="0" w:space="0" w:color="auto"/>
      </w:divBdr>
    </w:div>
    <w:div w:id="1710911179">
      <w:bodyDiv w:val="1"/>
      <w:marLeft w:val="0"/>
      <w:marRight w:val="0"/>
      <w:marTop w:val="0"/>
      <w:marBottom w:val="0"/>
      <w:divBdr>
        <w:top w:val="none" w:sz="0" w:space="0" w:color="auto"/>
        <w:left w:val="none" w:sz="0" w:space="0" w:color="auto"/>
        <w:bottom w:val="none" w:sz="0" w:space="0" w:color="auto"/>
        <w:right w:val="none" w:sz="0" w:space="0" w:color="auto"/>
      </w:divBdr>
    </w:div>
    <w:div w:id="1716468662">
      <w:bodyDiv w:val="1"/>
      <w:marLeft w:val="0"/>
      <w:marRight w:val="0"/>
      <w:marTop w:val="0"/>
      <w:marBottom w:val="0"/>
      <w:divBdr>
        <w:top w:val="none" w:sz="0" w:space="0" w:color="auto"/>
        <w:left w:val="none" w:sz="0" w:space="0" w:color="auto"/>
        <w:bottom w:val="none" w:sz="0" w:space="0" w:color="auto"/>
        <w:right w:val="none" w:sz="0" w:space="0" w:color="auto"/>
      </w:divBdr>
    </w:div>
    <w:div w:id="1718164255">
      <w:bodyDiv w:val="1"/>
      <w:marLeft w:val="0"/>
      <w:marRight w:val="0"/>
      <w:marTop w:val="0"/>
      <w:marBottom w:val="0"/>
      <w:divBdr>
        <w:top w:val="none" w:sz="0" w:space="0" w:color="auto"/>
        <w:left w:val="none" w:sz="0" w:space="0" w:color="auto"/>
        <w:bottom w:val="none" w:sz="0" w:space="0" w:color="auto"/>
        <w:right w:val="none" w:sz="0" w:space="0" w:color="auto"/>
      </w:divBdr>
    </w:div>
    <w:div w:id="1725836174">
      <w:bodyDiv w:val="1"/>
      <w:marLeft w:val="0"/>
      <w:marRight w:val="0"/>
      <w:marTop w:val="0"/>
      <w:marBottom w:val="0"/>
      <w:divBdr>
        <w:top w:val="none" w:sz="0" w:space="0" w:color="auto"/>
        <w:left w:val="none" w:sz="0" w:space="0" w:color="auto"/>
        <w:bottom w:val="none" w:sz="0" w:space="0" w:color="auto"/>
        <w:right w:val="none" w:sz="0" w:space="0" w:color="auto"/>
      </w:divBdr>
    </w:div>
    <w:div w:id="1727333574">
      <w:bodyDiv w:val="1"/>
      <w:marLeft w:val="0"/>
      <w:marRight w:val="0"/>
      <w:marTop w:val="0"/>
      <w:marBottom w:val="0"/>
      <w:divBdr>
        <w:top w:val="none" w:sz="0" w:space="0" w:color="auto"/>
        <w:left w:val="none" w:sz="0" w:space="0" w:color="auto"/>
        <w:bottom w:val="none" w:sz="0" w:space="0" w:color="auto"/>
        <w:right w:val="none" w:sz="0" w:space="0" w:color="auto"/>
      </w:divBdr>
    </w:div>
    <w:div w:id="1730347535">
      <w:bodyDiv w:val="1"/>
      <w:marLeft w:val="0"/>
      <w:marRight w:val="0"/>
      <w:marTop w:val="0"/>
      <w:marBottom w:val="0"/>
      <w:divBdr>
        <w:top w:val="none" w:sz="0" w:space="0" w:color="auto"/>
        <w:left w:val="none" w:sz="0" w:space="0" w:color="auto"/>
        <w:bottom w:val="none" w:sz="0" w:space="0" w:color="auto"/>
        <w:right w:val="none" w:sz="0" w:space="0" w:color="auto"/>
      </w:divBdr>
    </w:div>
    <w:div w:id="1730491706">
      <w:bodyDiv w:val="1"/>
      <w:marLeft w:val="0"/>
      <w:marRight w:val="0"/>
      <w:marTop w:val="0"/>
      <w:marBottom w:val="0"/>
      <w:divBdr>
        <w:top w:val="none" w:sz="0" w:space="0" w:color="auto"/>
        <w:left w:val="none" w:sz="0" w:space="0" w:color="auto"/>
        <w:bottom w:val="none" w:sz="0" w:space="0" w:color="auto"/>
        <w:right w:val="none" w:sz="0" w:space="0" w:color="auto"/>
      </w:divBdr>
    </w:div>
    <w:div w:id="1734235925">
      <w:bodyDiv w:val="1"/>
      <w:marLeft w:val="0"/>
      <w:marRight w:val="0"/>
      <w:marTop w:val="0"/>
      <w:marBottom w:val="0"/>
      <w:divBdr>
        <w:top w:val="none" w:sz="0" w:space="0" w:color="auto"/>
        <w:left w:val="none" w:sz="0" w:space="0" w:color="auto"/>
        <w:bottom w:val="none" w:sz="0" w:space="0" w:color="auto"/>
        <w:right w:val="none" w:sz="0" w:space="0" w:color="auto"/>
      </w:divBdr>
    </w:div>
    <w:div w:id="1736125348">
      <w:bodyDiv w:val="1"/>
      <w:marLeft w:val="0"/>
      <w:marRight w:val="0"/>
      <w:marTop w:val="0"/>
      <w:marBottom w:val="0"/>
      <w:divBdr>
        <w:top w:val="none" w:sz="0" w:space="0" w:color="auto"/>
        <w:left w:val="none" w:sz="0" w:space="0" w:color="auto"/>
        <w:bottom w:val="none" w:sz="0" w:space="0" w:color="auto"/>
        <w:right w:val="none" w:sz="0" w:space="0" w:color="auto"/>
      </w:divBdr>
    </w:div>
    <w:div w:id="1737975364">
      <w:bodyDiv w:val="1"/>
      <w:marLeft w:val="0"/>
      <w:marRight w:val="0"/>
      <w:marTop w:val="0"/>
      <w:marBottom w:val="0"/>
      <w:divBdr>
        <w:top w:val="none" w:sz="0" w:space="0" w:color="auto"/>
        <w:left w:val="none" w:sz="0" w:space="0" w:color="auto"/>
        <w:bottom w:val="none" w:sz="0" w:space="0" w:color="auto"/>
        <w:right w:val="none" w:sz="0" w:space="0" w:color="auto"/>
      </w:divBdr>
    </w:div>
    <w:div w:id="1749155971">
      <w:bodyDiv w:val="1"/>
      <w:marLeft w:val="0"/>
      <w:marRight w:val="0"/>
      <w:marTop w:val="0"/>
      <w:marBottom w:val="0"/>
      <w:divBdr>
        <w:top w:val="none" w:sz="0" w:space="0" w:color="auto"/>
        <w:left w:val="none" w:sz="0" w:space="0" w:color="auto"/>
        <w:bottom w:val="none" w:sz="0" w:space="0" w:color="auto"/>
        <w:right w:val="none" w:sz="0" w:space="0" w:color="auto"/>
      </w:divBdr>
    </w:div>
    <w:div w:id="1757088628">
      <w:bodyDiv w:val="1"/>
      <w:marLeft w:val="0"/>
      <w:marRight w:val="0"/>
      <w:marTop w:val="0"/>
      <w:marBottom w:val="0"/>
      <w:divBdr>
        <w:top w:val="none" w:sz="0" w:space="0" w:color="auto"/>
        <w:left w:val="none" w:sz="0" w:space="0" w:color="auto"/>
        <w:bottom w:val="none" w:sz="0" w:space="0" w:color="auto"/>
        <w:right w:val="none" w:sz="0" w:space="0" w:color="auto"/>
      </w:divBdr>
    </w:div>
    <w:div w:id="1764256600">
      <w:bodyDiv w:val="1"/>
      <w:marLeft w:val="0"/>
      <w:marRight w:val="0"/>
      <w:marTop w:val="0"/>
      <w:marBottom w:val="0"/>
      <w:divBdr>
        <w:top w:val="none" w:sz="0" w:space="0" w:color="auto"/>
        <w:left w:val="none" w:sz="0" w:space="0" w:color="auto"/>
        <w:bottom w:val="none" w:sz="0" w:space="0" w:color="auto"/>
        <w:right w:val="none" w:sz="0" w:space="0" w:color="auto"/>
      </w:divBdr>
    </w:div>
    <w:div w:id="1774782152">
      <w:bodyDiv w:val="1"/>
      <w:marLeft w:val="0"/>
      <w:marRight w:val="0"/>
      <w:marTop w:val="0"/>
      <w:marBottom w:val="0"/>
      <w:divBdr>
        <w:top w:val="none" w:sz="0" w:space="0" w:color="auto"/>
        <w:left w:val="none" w:sz="0" w:space="0" w:color="auto"/>
        <w:bottom w:val="none" w:sz="0" w:space="0" w:color="auto"/>
        <w:right w:val="none" w:sz="0" w:space="0" w:color="auto"/>
      </w:divBdr>
    </w:div>
    <w:div w:id="1781024165">
      <w:bodyDiv w:val="1"/>
      <w:marLeft w:val="0"/>
      <w:marRight w:val="0"/>
      <w:marTop w:val="0"/>
      <w:marBottom w:val="0"/>
      <w:divBdr>
        <w:top w:val="none" w:sz="0" w:space="0" w:color="auto"/>
        <w:left w:val="none" w:sz="0" w:space="0" w:color="auto"/>
        <w:bottom w:val="none" w:sz="0" w:space="0" w:color="auto"/>
        <w:right w:val="none" w:sz="0" w:space="0" w:color="auto"/>
      </w:divBdr>
    </w:div>
    <w:div w:id="1794321922">
      <w:bodyDiv w:val="1"/>
      <w:marLeft w:val="0"/>
      <w:marRight w:val="0"/>
      <w:marTop w:val="0"/>
      <w:marBottom w:val="0"/>
      <w:divBdr>
        <w:top w:val="none" w:sz="0" w:space="0" w:color="auto"/>
        <w:left w:val="none" w:sz="0" w:space="0" w:color="auto"/>
        <w:bottom w:val="none" w:sz="0" w:space="0" w:color="auto"/>
        <w:right w:val="none" w:sz="0" w:space="0" w:color="auto"/>
      </w:divBdr>
    </w:div>
    <w:div w:id="1798135732">
      <w:bodyDiv w:val="1"/>
      <w:marLeft w:val="0"/>
      <w:marRight w:val="0"/>
      <w:marTop w:val="0"/>
      <w:marBottom w:val="0"/>
      <w:divBdr>
        <w:top w:val="none" w:sz="0" w:space="0" w:color="auto"/>
        <w:left w:val="none" w:sz="0" w:space="0" w:color="auto"/>
        <w:bottom w:val="none" w:sz="0" w:space="0" w:color="auto"/>
        <w:right w:val="none" w:sz="0" w:space="0" w:color="auto"/>
      </w:divBdr>
    </w:div>
    <w:div w:id="1801268003">
      <w:bodyDiv w:val="1"/>
      <w:marLeft w:val="0"/>
      <w:marRight w:val="0"/>
      <w:marTop w:val="0"/>
      <w:marBottom w:val="0"/>
      <w:divBdr>
        <w:top w:val="none" w:sz="0" w:space="0" w:color="auto"/>
        <w:left w:val="none" w:sz="0" w:space="0" w:color="auto"/>
        <w:bottom w:val="none" w:sz="0" w:space="0" w:color="auto"/>
        <w:right w:val="none" w:sz="0" w:space="0" w:color="auto"/>
      </w:divBdr>
    </w:div>
    <w:div w:id="1815944708">
      <w:bodyDiv w:val="1"/>
      <w:marLeft w:val="0"/>
      <w:marRight w:val="0"/>
      <w:marTop w:val="0"/>
      <w:marBottom w:val="0"/>
      <w:divBdr>
        <w:top w:val="none" w:sz="0" w:space="0" w:color="auto"/>
        <w:left w:val="none" w:sz="0" w:space="0" w:color="auto"/>
        <w:bottom w:val="none" w:sz="0" w:space="0" w:color="auto"/>
        <w:right w:val="none" w:sz="0" w:space="0" w:color="auto"/>
      </w:divBdr>
    </w:div>
    <w:div w:id="1832941168">
      <w:bodyDiv w:val="1"/>
      <w:marLeft w:val="0"/>
      <w:marRight w:val="0"/>
      <w:marTop w:val="0"/>
      <w:marBottom w:val="0"/>
      <w:divBdr>
        <w:top w:val="none" w:sz="0" w:space="0" w:color="auto"/>
        <w:left w:val="none" w:sz="0" w:space="0" w:color="auto"/>
        <w:bottom w:val="none" w:sz="0" w:space="0" w:color="auto"/>
        <w:right w:val="none" w:sz="0" w:space="0" w:color="auto"/>
      </w:divBdr>
    </w:div>
    <w:div w:id="1836801345">
      <w:bodyDiv w:val="1"/>
      <w:marLeft w:val="0"/>
      <w:marRight w:val="0"/>
      <w:marTop w:val="0"/>
      <w:marBottom w:val="0"/>
      <w:divBdr>
        <w:top w:val="none" w:sz="0" w:space="0" w:color="auto"/>
        <w:left w:val="none" w:sz="0" w:space="0" w:color="auto"/>
        <w:bottom w:val="none" w:sz="0" w:space="0" w:color="auto"/>
        <w:right w:val="none" w:sz="0" w:space="0" w:color="auto"/>
      </w:divBdr>
    </w:div>
    <w:div w:id="1847593919">
      <w:bodyDiv w:val="1"/>
      <w:marLeft w:val="0"/>
      <w:marRight w:val="0"/>
      <w:marTop w:val="0"/>
      <w:marBottom w:val="0"/>
      <w:divBdr>
        <w:top w:val="none" w:sz="0" w:space="0" w:color="auto"/>
        <w:left w:val="none" w:sz="0" w:space="0" w:color="auto"/>
        <w:bottom w:val="none" w:sz="0" w:space="0" w:color="auto"/>
        <w:right w:val="none" w:sz="0" w:space="0" w:color="auto"/>
      </w:divBdr>
      <w:divsChild>
        <w:div w:id="2115975999">
          <w:marLeft w:val="547"/>
          <w:marRight w:val="0"/>
          <w:marTop w:val="0"/>
          <w:marBottom w:val="0"/>
          <w:divBdr>
            <w:top w:val="none" w:sz="0" w:space="0" w:color="auto"/>
            <w:left w:val="none" w:sz="0" w:space="0" w:color="auto"/>
            <w:bottom w:val="none" w:sz="0" w:space="0" w:color="auto"/>
            <w:right w:val="none" w:sz="0" w:space="0" w:color="auto"/>
          </w:divBdr>
        </w:div>
      </w:divsChild>
    </w:div>
    <w:div w:id="1849052055">
      <w:bodyDiv w:val="1"/>
      <w:marLeft w:val="0"/>
      <w:marRight w:val="0"/>
      <w:marTop w:val="0"/>
      <w:marBottom w:val="0"/>
      <w:divBdr>
        <w:top w:val="none" w:sz="0" w:space="0" w:color="auto"/>
        <w:left w:val="none" w:sz="0" w:space="0" w:color="auto"/>
        <w:bottom w:val="none" w:sz="0" w:space="0" w:color="auto"/>
        <w:right w:val="none" w:sz="0" w:space="0" w:color="auto"/>
      </w:divBdr>
    </w:div>
    <w:div w:id="1852799550">
      <w:bodyDiv w:val="1"/>
      <w:marLeft w:val="0"/>
      <w:marRight w:val="0"/>
      <w:marTop w:val="0"/>
      <w:marBottom w:val="0"/>
      <w:divBdr>
        <w:top w:val="none" w:sz="0" w:space="0" w:color="auto"/>
        <w:left w:val="none" w:sz="0" w:space="0" w:color="auto"/>
        <w:bottom w:val="none" w:sz="0" w:space="0" w:color="auto"/>
        <w:right w:val="none" w:sz="0" w:space="0" w:color="auto"/>
      </w:divBdr>
    </w:div>
    <w:div w:id="1860002835">
      <w:bodyDiv w:val="1"/>
      <w:marLeft w:val="0"/>
      <w:marRight w:val="0"/>
      <w:marTop w:val="0"/>
      <w:marBottom w:val="0"/>
      <w:divBdr>
        <w:top w:val="none" w:sz="0" w:space="0" w:color="auto"/>
        <w:left w:val="none" w:sz="0" w:space="0" w:color="auto"/>
        <w:bottom w:val="none" w:sz="0" w:space="0" w:color="auto"/>
        <w:right w:val="none" w:sz="0" w:space="0" w:color="auto"/>
      </w:divBdr>
    </w:div>
    <w:div w:id="1863664893">
      <w:bodyDiv w:val="1"/>
      <w:marLeft w:val="0"/>
      <w:marRight w:val="0"/>
      <w:marTop w:val="0"/>
      <w:marBottom w:val="0"/>
      <w:divBdr>
        <w:top w:val="none" w:sz="0" w:space="0" w:color="auto"/>
        <w:left w:val="none" w:sz="0" w:space="0" w:color="auto"/>
        <w:bottom w:val="none" w:sz="0" w:space="0" w:color="auto"/>
        <w:right w:val="none" w:sz="0" w:space="0" w:color="auto"/>
      </w:divBdr>
    </w:div>
    <w:div w:id="1864397735">
      <w:bodyDiv w:val="1"/>
      <w:marLeft w:val="0"/>
      <w:marRight w:val="0"/>
      <w:marTop w:val="0"/>
      <w:marBottom w:val="0"/>
      <w:divBdr>
        <w:top w:val="none" w:sz="0" w:space="0" w:color="auto"/>
        <w:left w:val="none" w:sz="0" w:space="0" w:color="auto"/>
        <w:bottom w:val="none" w:sz="0" w:space="0" w:color="auto"/>
        <w:right w:val="none" w:sz="0" w:space="0" w:color="auto"/>
      </w:divBdr>
    </w:div>
    <w:div w:id="1874615109">
      <w:bodyDiv w:val="1"/>
      <w:marLeft w:val="0"/>
      <w:marRight w:val="0"/>
      <w:marTop w:val="0"/>
      <w:marBottom w:val="0"/>
      <w:divBdr>
        <w:top w:val="none" w:sz="0" w:space="0" w:color="auto"/>
        <w:left w:val="none" w:sz="0" w:space="0" w:color="auto"/>
        <w:bottom w:val="none" w:sz="0" w:space="0" w:color="auto"/>
        <w:right w:val="none" w:sz="0" w:space="0" w:color="auto"/>
      </w:divBdr>
    </w:div>
    <w:div w:id="1877305010">
      <w:bodyDiv w:val="1"/>
      <w:marLeft w:val="0"/>
      <w:marRight w:val="0"/>
      <w:marTop w:val="0"/>
      <w:marBottom w:val="0"/>
      <w:divBdr>
        <w:top w:val="none" w:sz="0" w:space="0" w:color="auto"/>
        <w:left w:val="none" w:sz="0" w:space="0" w:color="auto"/>
        <w:bottom w:val="none" w:sz="0" w:space="0" w:color="auto"/>
        <w:right w:val="none" w:sz="0" w:space="0" w:color="auto"/>
      </w:divBdr>
    </w:div>
    <w:div w:id="1878078067">
      <w:bodyDiv w:val="1"/>
      <w:marLeft w:val="0"/>
      <w:marRight w:val="0"/>
      <w:marTop w:val="0"/>
      <w:marBottom w:val="0"/>
      <w:divBdr>
        <w:top w:val="none" w:sz="0" w:space="0" w:color="auto"/>
        <w:left w:val="none" w:sz="0" w:space="0" w:color="auto"/>
        <w:bottom w:val="none" w:sz="0" w:space="0" w:color="auto"/>
        <w:right w:val="none" w:sz="0" w:space="0" w:color="auto"/>
      </w:divBdr>
    </w:div>
    <w:div w:id="1884901983">
      <w:bodyDiv w:val="1"/>
      <w:marLeft w:val="0"/>
      <w:marRight w:val="0"/>
      <w:marTop w:val="0"/>
      <w:marBottom w:val="0"/>
      <w:divBdr>
        <w:top w:val="none" w:sz="0" w:space="0" w:color="auto"/>
        <w:left w:val="none" w:sz="0" w:space="0" w:color="auto"/>
        <w:bottom w:val="none" w:sz="0" w:space="0" w:color="auto"/>
        <w:right w:val="none" w:sz="0" w:space="0" w:color="auto"/>
      </w:divBdr>
    </w:div>
    <w:div w:id="1896306837">
      <w:bodyDiv w:val="1"/>
      <w:marLeft w:val="0"/>
      <w:marRight w:val="0"/>
      <w:marTop w:val="0"/>
      <w:marBottom w:val="0"/>
      <w:divBdr>
        <w:top w:val="none" w:sz="0" w:space="0" w:color="auto"/>
        <w:left w:val="none" w:sz="0" w:space="0" w:color="auto"/>
        <w:bottom w:val="none" w:sz="0" w:space="0" w:color="auto"/>
        <w:right w:val="none" w:sz="0" w:space="0" w:color="auto"/>
      </w:divBdr>
    </w:div>
    <w:div w:id="1904028101">
      <w:bodyDiv w:val="1"/>
      <w:marLeft w:val="0"/>
      <w:marRight w:val="0"/>
      <w:marTop w:val="0"/>
      <w:marBottom w:val="0"/>
      <w:divBdr>
        <w:top w:val="none" w:sz="0" w:space="0" w:color="auto"/>
        <w:left w:val="none" w:sz="0" w:space="0" w:color="auto"/>
        <w:bottom w:val="none" w:sz="0" w:space="0" w:color="auto"/>
        <w:right w:val="none" w:sz="0" w:space="0" w:color="auto"/>
      </w:divBdr>
    </w:div>
    <w:div w:id="1924559684">
      <w:bodyDiv w:val="1"/>
      <w:marLeft w:val="0"/>
      <w:marRight w:val="0"/>
      <w:marTop w:val="0"/>
      <w:marBottom w:val="0"/>
      <w:divBdr>
        <w:top w:val="none" w:sz="0" w:space="0" w:color="auto"/>
        <w:left w:val="none" w:sz="0" w:space="0" w:color="auto"/>
        <w:bottom w:val="none" w:sz="0" w:space="0" w:color="auto"/>
        <w:right w:val="none" w:sz="0" w:space="0" w:color="auto"/>
      </w:divBdr>
    </w:div>
    <w:div w:id="1931740683">
      <w:bodyDiv w:val="1"/>
      <w:marLeft w:val="0"/>
      <w:marRight w:val="0"/>
      <w:marTop w:val="0"/>
      <w:marBottom w:val="0"/>
      <w:divBdr>
        <w:top w:val="none" w:sz="0" w:space="0" w:color="auto"/>
        <w:left w:val="none" w:sz="0" w:space="0" w:color="auto"/>
        <w:bottom w:val="none" w:sz="0" w:space="0" w:color="auto"/>
        <w:right w:val="none" w:sz="0" w:space="0" w:color="auto"/>
      </w:divBdr>
    </w:div>
    <w:div w:id="1941185373">
      <w:bodyDiv w:val="1"/>
      <w:marLeft w:val="0"/>
      <w:marRight w:val="0"/>
      <w:marTop w:val="0"/>
      <w:marBottom w:val="0"/>
      <w:divBdr>
        <w:top w:val="none" w:sz="0" w:space="0" w:color="auto"/>
        <w:left w:val="none" w:sz="0" w:space="0" w:color="auto"/>
        <w:bottom w:val="none" w:sz="0" w:space="0" w:color="auto"/>
        <w:right w:val="none" w:sz="0" w:space="0" w:color="auto"/>
      </w:divBdr>
    </w:div>
    <w:div w:id="1942100894">
      <w:bodyDiv w:val="1"/>
      <w:marLeft w:val="0"/>
      <w:marRight w:val="0"/>
      <w:marTop w:val="0"/>
      <w:marBottom w:val="0"/>
      <w:divBdr>
        <w:top w:val="none" w:sz="0" w:space="0" w:color="auto"/>
        <w:left w:val="none" w:sz="0" w:space="0" w:color="auto"/>
        <w:bottom w:val="none" w:sz="0" w:space="0" w:color="auto"/>
        <w:right w:val="none" w:sz="0" w:space="0" w:color="auto"/>
      </w:divBdr>
    </w:div>
    <w:div w:id="1947731413">
      <w:bodyDiv w:val="1"/>
      <w:marLeft w:val="0"/>
      <w:marRight w:val="0"/>
      <w:marTop w:val="0"/>
      <w:marBottom w:val="0"/>
      <w:divBdr>
        <w:top w:val="none" w:sz="0" w:space="0" w:color="auto"/>
        <w:left w:val="none" w:sz="0" w:space="0" w:color="auto"/>
        <w:bottom w:val="none" w:sz="0" w:space="0" w:color="auto"/>
        <w:right w:val="none" w:sz="0" w:space="0" w:color="auto"/>
      </w:divBdr>
    </w:div>
    <w:div w:id="1956787685">
      <w:bodyDiv w:val="1"/>
      <w:marLeft w:val="0"/>
      <w:marRight w:val="0"/>
      <w:marTop w:val="0"/>
      <w:marBottom w:val="0"/>
      <w:divBdr>
        <w:top w:val="none" w:sz="0" w:space="0" w:color="auto"/>
        <w:left w:val="none" w:sz="0" w:space="0" w:color="auto"/>
        <w:bottom w:val="none" w:sz="0" w:space="0" w:color="auto"/>
        <w:right w:val="none" w:sz="0" w:space="0" w:color="auto"/>
      </w:divBdr>
    </w:div>
    <w:div w:id="1964771342">
      <w:bodyDiv w:val="1"/>
      <w:marLeft w:val="0"/>
      <w:marRight w:val="0"/>
      <w:marTop w:val="0"/>
      <w:marBottom w:val="0"/>
      <w:divBdr>
        <w:top w:val="none" w:sz="0" w:space="0" w:color="auto"/>
        <w:left w:val="none" w:sz="0" w:space="0" w:color="auto"/>
        <w:bottom w:val="none" w:sz="0" w:space="0" w:color="auto"/>
        <w:right w:val="none" w:sz="0" w:space="0" w:color="auto"/>
      </w:divBdr>
    </w:div>
    <w:div w:id="1967003299">
      <w:bodyDiv w:val="1"/>
      <w:marLeft w:val="0"/>
      <w:marRight w:val="0"/>
      <w:marTop w:val="0"/>
      <w:marBottom w:val="0"/>
      <w:divBdr>
        <w:top w:val="none" w:sz="0" w:space="0" w:color="auto"/>
        <w:left w:val="none" w:sz="0" w:space="0" w:color="auto"/>
        <w:bottom w:val="none" w:sz="0" w:space="0" w:color="auto"/>
        <w:right w:val="none" w:sz="0" w:space="0" w:color="auto"/>
      </w:divBdr>
    </w:div>
    <w:div w:id="1977444757">
      <w:bodyDiv w:val="1"/>
      <w:marLeft w:val="0"/>
      <w:marRight w:val="0"/>
      <w:marTop w:val="0"/>
      <w:marBottom w:val="0"/>
      <w:divBdr>
        <w:top w:val="none" w:sz="0" w:space="0" w:color="auto"/>
        <w:left w:val="none" w:sz="0" w:space="0" w:color="auto"/>
        <w:bottom w:val="none" w:sz="0" w:space="0" w:color="auto"/>
        <w:right w:val="none" w:sz="0" w:space="0" w:color="auto"/>
      </w:divBdr>
    </w:div>
    <w:div w:id="1979145119">
      <w:bodyDiv w:val="1"/>
      <w:marLeft w:val="0"/>
      <w:marRight w:val="0"/>
      <w:marTop w:val="0"/>
      <w:marBottom w:val="0"/>
      <w:divBdr>
        <w:top w:val="none" w:sz="0" w:space="0" w:color="auto"/>
        <w:left w:val="none" w:sz="0" w:space="0" w:color="auto"/>
        <w:bottom w:val="none" w:sz="0" w:space="0" w:color="auto"/>
        <w:right w:val="none" w:sz="0" w:space="0" w:color="auto"/>
      </w:divBdr>
    </w:div>
    <w:div w:id="1981642450">
      <w:bodyDiv w:val="1"/>
      <w:marLeft w:val="0"/>
      <w:marRight w:val="0"/>
      <w:marTop w:val="0"/>
      <w:marBottom w:val="0"/>
      <w:divBdr>
        <w:top w:val="none" w:sz="0" w:space="0" w:color="auto"/>
        <w:left w:val="none" w:sz="0" w:space="0" w:color="auto"/>
        <w:bottom w:val="none" w:sz="0" w:space="0" w:color="auto"/>
        <w:right w:val="none" w:sz="0" w:space="0" w:color="auto"/>
      </w:divBdr>
    </w:div>
    <w:div w:id="1986080960">
      <w:bodyDiv w:val="1"/>
      <w:marLeft w:val="0"/>
      <w:marRight w:val="0"/>
      <w:marTop w:val="0"/>
      <w:marBottom w:val="0"/>
      <w:divBdr>
        <w:top w:val="none" w:sz="0" w:space="0" w:color="auto"/>
        <w:left w:val="none" w:sz="0" w:space="0" w:color="auto"/>
        <w:bottom w:val="none" w:sz="0" w:space="0" w:color="auto"/>
        <w:right w:val="none" w:sz="0" w:space="0" w:color="auto"/>
      </w:divBdr>
    </w:div>
    <w:div w:id="2001232958">
      <w:bodyDiv w:val="1"/>
      <w:marLeft w:val="0"/>
      <w:marRight w:val="0"/>
      <w:marTop w:val="0"/>
      <w:marBottom w:val="0"/>
      <w:divBdr>
        <w:top w:val="none" w:sz="0" w:space="0" w:color="auto"/>
        <w:left w:val="none" w:sz="0" w:space="0" w:color="auto"/>
        <w:bottom w:val="none" w:sz="0" w:space="0" w:color="auto"/>
        <w:right w:val="none" w:sz="0" w:space="0" w:color="auto"/>
      </w:divBdr>
    </w:div>
    <w:div w:id="2008971188">
      <w:bodyDiv w:val="1"/>
      <w:marLeft w:val="0"/>
      <w:marRight w:val="0"/>
      <w:marTop w:val="0"/>
      <w:marBottom w:val="0"/>
      <w:divBdr>
        <w:top w:val="none" w:sz="0" w:space="0" w:color="auto"/>
        <w:left w:val="none" w:sz="0" w:space="0" w:color="auto"/>
        <w:bottom w:val="none" w:sz="0" w:space="0" w:color="auto"/>
        <w:right w:val="none" w:sz="0" w:space="0" w:color="auto"/>
      </w:divBdr>
    </w:div>
    <w:div w:id="2009945335">
      <w:bodyDiv w:val="1"/>
      <w:marLeft w:val="0"/>
      <w:marRight w:val="0"/>
      <w:marTop w:val="0"/>
      <w:marBottom w:val="0"/>
      <w:divBdr>
        <w:top w:val="none" w:sz="0" w:space="0" w:color="auto"/>
        <w:left w:val="none" w:sz="0" w:space="0" w:color="auto"/>
        <w:bottom w:val="none" w:sz="0" w:space="0" w:color="auto"/>
        <w:right w:val="none" w:sz="0" w:space="0" w:color="auto"/>
      </w:divBdr>
    </w:div>
    <w:div w:id="2021273622">
      <w:bodyDiv w:val="1"/>
      <w:marLeft w:val="0"/>
      <w:marRight w:val="0"/>
      <w:marTop w:val="0"/>
      <w:marBottom w:val="0"/>
      <w:divBdr>
        <w:top w:val="none" w:sz="0" w:space="0" w:color="auto"/>
        <w:left w:val="none" w:sz="0" w:space="0" w:color="auto"/>
        <w:bottom w:val="none" w:sz="0" w:space="0" w:color="auto"/>
        <w:right w:val="none" w:sz="0" w:space="0" w:color="auto"/>
      </w:divBdr>
      <w:divsChild>
        <w:div w:id="711274969">
          <w:marLeft w:val="547"/>
          <w:marRight w:val="0"/>
          <w:marTop w:val="0"/>
          <w:marBottom w:val="0"/>
          <w:divBdr>
            <w:top w:val="none" w:sz="0" w:space="0" w:color="auto"/>
            <w:left w:val="none" w:sz="0" w:space="0" w:color="auto"/>
            <w:bottom w:val="none" w:sz="0" w:space="0" w:color="auto"/>
            <w:right w:val="none" w:sz="0" w:space="0" w:color="auto"/>
          </w:divBdr>
        </w:div>
      </w:divsChild>
    </w:div>
    <w:div w:id="2024362181">
      <w:bodyDiv w:val="1"/>
      <w:marLeft w:val="0"/>
      <w:marRight w:val="0"/>
      <w:marTop w:val="0"/>
      <w:marBottom w:val="0"/>
      <w:divBdr>
        <w:top w:val="none" w:sz="0" w:space="0" w:color="auto"/>
        <w:left w:val="none" w:sz="0" w:space="0" w:color="auto"/>
        <w:bottom w:val="none" w:sz="0" w:space="0" w:color="auto"/>
        <w:right w:val="none" w:sz="0" w:space="0" w:color="auto"/>
      </w:divBdr>
    </w:div>
    <w:div w:id="2037583383">
      <w:bodyDiv w:val="1"/>
      <w:marLeft w:val="0"/>
      <w:marRight w:val="0"/>
      <w:marTop w:val="0"/>
      <w:marBottom w:val="0"/>
      <w:divBdr>
        <w:top w:val="none" w:sz="0" w:space="0" w:color="auto"/>
        <w:left w:val="none" w:sz="0" w:space="0" w:color="auto"/>
        <w:bottom w:val="none" w:sz="0" w:space="0" w:color="auto"/>
        <w:right w:val="none" w:sz="0" w:space="0" w:color="auto"/>
      </w:divBdr>
    </w:div>
    <w:div w:id="2048334032">
      <w:bodyDiv w:val="1"/>
      <w:marLeft w:val="0"/>
      <w:marRight w:val="0"/>
      <w:marTop w:val="0"/>
      <w:marBottom w:val="0"/>
      <w:divBdr>
        <w:top w:val="none" w:sz="0" w:space="0" w:color="auto"/>
        <w:left w:val="none" w:sz="0" w:space="0" w:color="auto"/>
        <w:bottom w:val="none" w:sz="0" w:space="0" w:color="auto"/>
        <w:right w:val="none" w:sz="0" w:space="0" w:color="auto"/>
      </w:divBdr>
    </w:div>
    <w:div w:id="2051225517">
      <w:bodyDiv w:val="1"/>
      <w:marLeft w:val="0"/>
      <w:marRight w:val="0"/>
      <w:marTop w:val="0"/>
      <w:marBottom w:val="0"/>
      <w:divBdr>
        <w:top w:val="none" w:sz="0" w:space="0" w:color="auto"/>
        <w:left w:val="none" w:sz="0" w:space="0" w:color="auto"/>
        <w:bottom w:val="none" w:sz="0" w:space="0" w:color="auto"/>
        <w:right w:val="none" w:sz="0" w:space="0" w:color="auto"/>
      </w:divBdr>
    </w:div>
    <w:div w:id="2062631675">
      <w:bodyDiv w:val="1"/>
      <w:marLeft w:val="0"/>
      <w:marRight w:val="0"/>
      <w:marTop w:val="0"/>
      <w:marBottom w:val="0"/>
      <w:divBdr>
        <w:top w:val="none" w:sz="0" w:space="0" w:color="auto"/>
        <w:left w:val="none" w:sz="0" w:space="0" w:color="auto"/>
        <w:bottom w:val="none" w:sz="0" w:space="0" w:color="auto"/>
        <w:right w:val="none" w:sz="0" w:space="0" w:color="auto"/>
      </w:divBdr>
    </w:div>
    <w:div w:id="2065640145">
      <w:bodyDiv w:val="1"/>
      <w:marLeft w:val="0"/>
      <w:marRight w:val="0"/>
      <w:marTop w:val="0"/>
      <w:marBottom w:val="0"/>
      <w:divBdr>
        <w:top w:val="none" w:sz="0" w:space="0" w:color="auto"/>
        <w:left w:val="none" w:sz="0" w:space="0" w:color="auto"/>
        <w:bottom w:val="none" w:sz="0" w:space="0" w:color="auto"/>
        <w:right w:val="none" w:sz="0" w:space="0" w:color="auto"/>
      </w:divBdr>
    </w:div>
    <w:div w:id="2074740392">
      <w:bodyDiv w:val="1"/>
      <w:marLeft w:val="0"/>
      <w:marRight w:val="0"/>
      <w:marTop w:val="0"/>
      <w:marBottom w:val="0"/>
      <w:divBdr>
        <w:top w:val="none" w:sz="0" w:space="0" w:color="auto"/>
        <w:left w:val="none" w:sz="0" w:space="0" w:color="auto"/>
        <w:bottom w:val="none" w:sz="0" w:space="0" w:color="auto"/>
        <w:right w:val="none" w:sz="0" w:space="0" w:color="auto"/>
      </w:divBdr>
    </w:div>
    <w:div w:id="2075084121">
      <w:bodyDiv w:val="1"/>
      <w:marLeft w:val="0"/>
      <w:marRight w:val="0"/>
      <w:marTop w:val="0"/>
      <w:marBottom w:val="0"/>
      <w:divBdr>
        <w:top w:val="none" w:sz="0" w:space="0" w:color="auto"/>
        <w:left w:val="none" w:sz="0" w:space="0" w:color="auto"/>
        <w:bottom w:val="none" w:sz="0" w:space="0" w:color="auto"/>
        <w:right w:val="none" w:sz="0" w:space="0" w:color="auto"/>
      </w:divBdr>
    </w:div>
    <w:div w:id="2091804989">
      <w:bodyDiv w:val="1"/>
      <w:marLeft w:val="0"/>
      <w:marRight w:val="0"/>
      <w:marTop w:val="0"/>
      <w:marBottom w:val="0"/>
      <w:divBdr>
        <w:top w:val="none" w:sz="0" w:space="0" w:color="auto"/>
        <w:left w:val="none" w:sz="0" w:space="0" w:color="auto"/>
        <w:bottom w:val="none" w:sz="0" w:space="0" w:color="auto"/>
        <w:right w:val="none" w:sz="0" w:space="0" w:color="auto"/>
      </w:divBdr>
    </w:div>
    <w:div w:id="2093044298">
      <w:bodyDiv w:val="1"/>
      <w:marLeft w:val="0"/>
      <w:marRight w:val="0"/>
      <w:marTop w:val="0"/>
      <w:marBottom w:val="0"/>
      <w:divBdr>
        <w:top w:val="none" w:sz="0" w:space="0" w:color="auto"/>
        <w:left w:val="none" w:sz="0" w:space="0" w:color="auto"/>
        <w:bottom w:val="none" w:sz="0" w:space="0" w:color="auto"/>
        <w:right w:val="none" w:sz="0" w:space="0" w:color="auto"/>
      </w:divBdr>
    </w:div>
    <w:div w:id="2095734698">
      <w:bodyDiv w:val="1"/>
      <w:marLeft w:val="0"/>
      <w:marRight w:val="0"/>
      <w:marTop w:val="0"/>
      <w:marBottom w:val="0"/>
      <w:divBdr>
        <w:top w:val="none" w:sz="0" w:space="0" w:color="auto"/>
        <w:left w:val="none" w:sz="0" w:space="0" w:color="auto"/>
        <w:bottom w:val="none" w:sz="0" w:space="0" w:color="auto"/>
        <w:right w:val="none" w:sz="0" w:space="0" w:color="auto"/>
      </w:divBdr>
    </w:div>
    <w:div w:id="2097246277">
      <w:bodyDiv w:val="1"/>
      <w:marLeft w:val="0"/>
      <w:marRight w:val="0"/>
      <w:marTop w:val="0"/>
      <w:marBottom w:val="0"/>
      <w:divBdr>
        <w:top w:val="none" w:sz="0" w:space="0" w:color="auto"/>
        <w:left w:val="none" w:sz="0" w:space="0" w:color="auto"/>
        <w:bottom w:val="none" w:sz="0" w:space="0" w:color="auto"/>
        <w:right w:val="none" w:sz="0" w:space="0" w:color="auto"/>
      </w:divBdr>
    </w:div>
    <w:div w:id="2097554965">
      <w:bodyDiv w:val="1"/>
      <w:marLeft w:val="0"/>
      <w:marRight w:val="0"/>
      <w:marTop w:val="0"/>
      <w:marBottom w:val="0"/>
      <w:divBdr>
        <w:top w:val="none" w:sz="0" w:space="0" w:color="auto"/>
        <w:left w:val="none" w:sz="0" w:space="0" w:color="auto"/>
        <w:bottom w:val="none" w:sz="0" w:space="0" w:color="auto"/>
        <w:right w:val="none" w:sz="0" w:space="0" w:color="auto"/>
      </w:divBdr>
    </w:div>
    <w:div w:id="2101485363">
      <w:bodyDiv w:val="1"/>
      <w:marLeft w:val="0"/>
      <w:marRight w:val="0"/>
      <w:marTop w:val="0"/>
      <w:marBottom w:val="0"/>
      <w:divBdr>
        <w:top w:val="none" w:sz="0" w:space="0" w:color="auto"/>
        <w:left w:val="none" w:sz="0" w:space="0" w:color="auto"/>
        <w:bottom w:val="none" w:sz="0" w:space="0" w:color="auto"/>
        <w:right w:val="none" w:sz="0" w:space="0" w:color="auto"/>
      </w:divBdr>
    </w:div>
    <w:div w:id="2103456105">
      <w:bodyDiv w:val="1"/>
      <w:marLeft w:val="0"/>
      <w:marRight w:val="0"/>
      <w:marTop w:val="0"/>
      <w:marBottom w:val="0"/>
      <w:divBdr>
        <w:top w:val="none" w:sz="0" w:space="0" w:color="auto"/>
        <w:left w:val="none" w:sz="0" w:space="0" w:color="auto"/>
        <w:bottom w:val="none" w:sz="0" w:space="0" w:color="auto"/>
        <w:right w:val="none" w:sz="0" w:space="0" w:color="auto"/>
      </w:divBdr>
    </w:div>
    <w:div w:id="2111580452">
      <w:bodyDiv w:val="1"/>
      <w:marLeft w:val="0"/>
      <w:marRight w:val="0"/>
      <w:marTop w:val="0"/>
      <w:marBottom w:val="0"/>
      <w:divBdr>
        <w:top w:val="none" w:sz="0" w:space="0" w:color="auto"/>
        <w:left w:val="none" w:sz="0" w:space="0" w:color="auto"/>
        <w:bottom w:val="none" w:sz="0" w:space="0" w:color="auto"/>
        <w:right w:val="none" w:sz="0" w:space="0" w:color="auto"/>
      </w:divBdr>
    </w:div>
    <w:div w:id="2112507536">
      <w:bodyDiv w:val="1"/>
      <w:marLeft w:val="0"/>
      <w:marRight w:val="0"/>
      <w:marTop w:val="0"/>
      <w:marBottom w:val="0"/>
      <w:divBdr>
        <w:top w:val="none" w:sz="0" w:space="0" w:color="auto"/>
        <w:left w:val="none" w:sz="0" w:space="0" w:color="auto"/>
        <w:bottom w:val="none" w:sz="0" w:space="0" w:color="auto"/>
        <w:right w:val="none" w:sz="0" w:space="0" w:color="auto"/>
      </w:divBdr>
    </w:div>
    <w:div w:id="2114013144">
      <w:bodyDiv w:val="1"/>
      <w:marLeft w:val="0"/>
      <w:marRight w:val="0"/>
      <w:marTop w:val="0"/>
      <w:marBottom w:val="0"/>
      <w:divBdr>
        <w:top w:val="none" w:sz="0" w:space="0" w:color="auto"/>
        <w:left w:val="none" w:sz="0" w:space="0" w:color="auto"/>
        <w:bottom w:val="none" w:sz="0" w:space="0" w:color="auto"/>
        <w:right w:val="none" w:sz="0" w:space="0" w:color="auto"/>
      </w:divBdr>
    </w:div>
    <w:div w:id="2131971425">
      <w:bodyDiv w:val="1"/>
      <w:marLeft w:val="0"/>
      <w:marRight w:val="0"/>
      <w:marTop w:val="0"/>
      <w:marBottom w:val="0"/>
      <w:divBdr>
        <w:top w:val="none" w:sz="0" w:space="0" w:color="auto"/>
        <w:left w:val="none" w:sz="0" w:space="0" w:color="auto"/>
        <w:bottom w:val="none" w:sz="0" w:space="0" w:color="auto"/>
        <w:right w:val="none" w:sz="0" w:space="0" w:color="auto"/>
      </w:divBdr>
    </w:div>
    <w:div w:id="214403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chart" Target="charts/chart4.xml"/><Relationship Id="rId26" Type="http://schemas.openxmlformats.org/officeDocument/2006/relationships/image" Target="media/image4.emf"/><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7.xml"/><Relationship Id="rId34" Type="http://schemas.openxmlformats.org/officeDocument/2006/relationships/diagramLayout" Target="diagrams/layout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3.xml"/><Relationship Id="rId25" Type="http://schemas.openxmlformats.org/officeDocument/2006/relationships/package" Target="embeddings/Microsoft_Excel_Worksheet1.xlsx"/><Relationship Id="rId33" Type="http://schemas.openxmlformats.org/officeDocument/2006/relationships/diagramData" Target="diagrams/data1.xml"/><Relationship Id="rId38"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29" Type="http://schemas.openxmlformats.org/officeDocument/2006/relationships/package" Target="embeddings/Microsoft_Excel_Worksheet3.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3.emf"/><Relationship Id="rId32" Type="http://schemas.openxmlformats.org/officeDocument/2006/relationships/chart" Target="charts/chart8.xml"/><Relationship Id="rId37" Type="http://schemas.microsoft.com/office/2007/relationships/diagramDrawing" Target="diagrams/drawing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package" Target="embeddings/Microsoft_Excel_Worksheet.xlsx"/><Relationship Id="rId28" Type="http://schemas.openxmlformats.org/officeDocument/2006/relationships/image" Target="media/image5.emf"/><Relationship Id="rId36" Type="http://schemas.openxmlformats.org/officeDocument/2006/relationships/diagramColors" Target="diagrams/colors1.xml"/><Relationship Id="rId10" Type="http://schemas.openxmlformats.org/officeDocument/2006/relationships/header" Target="header2.xml"/><Relationship Id="rId19" Type="http://schemas.openxmlformats.org/officeDocument/2006/relationships/chart" Target="charts/chart5.xml"/><Relationship Id="rId31" Type="http://schemas.openxmlformats.org/officeDocument/2006/relationships/package" Target="embeddings/Microsoft_Excel_Worksheet4.xlsx"/><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2.emf"/><Relationship Id="rId27" Type="http://schemas.openxmlformats.org/officeDocument/2006/relationships/package" Target="embeddings/Microsoft_Excel_Worksheet2.xlsx"/><Relationship Id="rId30" Type="http://schemas.openxmlformats.org/officeDocument/2006/relationships/image" Target="media/image6.emf"/><Relationship Id="rId35" Type="http://schemas.openxmlformats.org/officeDocument/2006/relationships/diagramQuickStyle" Target="diagrams/quickStyl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tsui212\OneDrive\Documents\UWTSD%20-%20Global%20Challenges\UWTSD%20-%20Finance%20(Ed)%20%20(vers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atsui212\AppData\Roaming\Microsoft\Excel\Book1%20(version%201).xlsb"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atsui212\Downloads\amCharts%20(1).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tsui212\OneDrive\Documents\UWTSD%20-%20Global%20Challenges\AAstocks_StockList_2021-01-26%20(1)%20(version%201).htm"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tsui212\OneDrive\Documents\UWTSD%20-%20Global%20Challenges\Book1%20(version%201).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tsui212\AppData\Roaming\Microsoft\Excel\Book1%20(version%201)%20(version%201).xlsb"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2.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tsui212\AppData\Roaming\Microsoft\Excel\Book1%20(version%201)%20(version%201).xlsb"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3.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atsui212\AppData\Roaming\Microsoft\Excel\Book1%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0615021542762139E-2"/>
          <c:y val="2.4720520285022765E-2"/>
          <c:w val="0.90269813275613475"/>
          <c:h val="0.75373904433322247"/>
        </c:manualLayout>
      </c:layout>
      <c:lineChart>
        <c:grouping val="standard"/>
        <c:varyColors val="0"/>
        <c:ser>
          <c:idx val="0"/>
          <c:order val="0"/>
          <c:tx>
            <c:strRef>
              <c:f>'Analysis &amp; Chart'!$A$162</c:f>
              <c:strCache>
                <c:ptCount val="1"/>
                <c:pt idx="0">
                  <c:v>China</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Lbl>
              <c:idx val="0"/>
              <c:layout>
                <c:manualLayout>
                  <c:x val="-2.0969363394074098E-2"/>
                  <c:y val="-3.132735248133237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C8F-4241-866D-4493E2D7CAB8}"/>
                </c:ext>
              </c:extLst>
            </c:dLbl>
            <c:dLbl>
              <c:idx val="1"/>
              <c:layout>
                <c:manualLayout>
                  <c:x val="-4.1703461268003041E-2"/>
                  <c:y val="2.122867615051553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C8F-4241-866D-4493E2D7CAB8}"/>
                </c:ext>
              </c:extLst>
            </c:dLbl>
            <c:dLbl>
              <c:idx val="6"/>
              <c:layout>
                <c:manualLayout>
                  <c:x val="-4.2323485749507332E-2"/>
                  <c:y val="3.91179144805132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C8F-4241-866D-4493E2D7CAB8}"/>
                </c:ext>
              </c:extLst>
            </c:dLbl>
            <c:dLbl>
              <c:idx val="7"/>
              <c:layout>
                <c:manualLayout>
                  <c:x val="-3.5629443783694627E-2"/>
                  <c:y val="-3.476698631513064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C8F-4241-866D-4493E2D7CAB8}"/>
                </c:ext>
              </c:extLst>
            </c:dLbl>
            <c:dLbl>
              <c:idx val="8"/>
              <c:layout>
                <c:manualLayout>
                  <c:x val="-2.3839236423860301E-2"/>
                  <c:y val="-3.71058441150089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0C8F-4241-866D-4493E2D7CAB8}"/>
                </c:ext>
              </c:extLst>
            </c:dLbl>
            <c:dLbl>
              <c:idx val="9"/>
              <c:layout>
                <c:manualLayout>
                  <c:x val="-4.8687982359426681E-2"/>
                  <c:y val="3.025842329080798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B8C-4BB1-AECC-FBB7BD5C4E2B}"/>
                </c:ext>
              </c:extLst>
            </c:dLbl>
            <c:dLbl>
              <c:idx val="10"/>
              <c:layout>
                <c:manualLayout>
                  <c:x val="-3.3991266527185919E-2"/>
                  <c:y val="-3.189401373895973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B8C-4BB1-AECC-FBB7BD5C4E2B}"/>
                </c:ext>
              </c:extLst>
            </c:dLbl>
            <c:dLbl>
              <c:idx val="11"/>
              <c:layout>
                <c:manualLayout>
                  <c:x val="-2.0348382168145205E-3"/>
                  <c:y val="2.3528870402653892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C8F-4241-866D-4493E2D7CAB8}"/>
                </c:ext>
              </c:extLst>
            </c:dLbl>
            <c:dLbl>
              <c:idx val="12"/>
              <c:layout>
                <c:manualLayout>
                  <c:x val="-1.7333425934768238E-2"/>
                  <c:y val="3.5129863017509207E-2"/>
                </c:manualLayout>
              </c:layout>
              <c:dLblPos val="r"/>
              <c:showLegendKey val="0"/>
              <c:showVal val="1"/>
              <c:showCatName val="0"/>
              <c:showSerName val="0"/>
              <c:showPercent val="0"/>
              <c:showBubbleSize val="0"/>
              <c:extLst>
                <c:ext xmlns:c15="http://schemas.microsoft.com/office/drawing/2012/chart" uri="{CE6537A1-D6FC-4f65-9D91-7224C49458BB}">
                  <c15:layout>
                    <c:manualLayout>
                      <c:w val="9.0487806995459635E-2"/>
                      <c:h val="8.3320960459540683E-2"/>
                    </c:manualLayout>
                  </c15:layout>
                </c:ext>
                <c:ext xmlns:c16="http://schemas.microsoft.com/office/drawing/2014/chart" uri="{C3380CC4-5D6E-409C-BE32-E72D297353CC}">
                  <c16:uniqueId val="{00000006-0C8F-4241-866D-4493E2D7CAB8}"/>
                </c:ext>
              </c:extLst>
            </c:dLbl>
            <c:dLbl>
              <c:idx val="13"/>
              <c:layout>
                <c:manualLayout>
                  <c:x val="-7.064042573509623E-3"/>
                  <c:y val="-4.575761105595959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0C8F-4241-866D-4493E2D7CAB8}"/>
                </c:ext>
              </c:extLst>
            </c:dLbl>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'Analysis &amp; Chart'!$B$161:$O$161</c:f>
              <c:strCache>
                <c:ptCount val="14"/>
                <c:pt idx="0">
                  <c:v>1Q
FY18</c:v>
                </c:pt>
                <c:pt idx="1">
                  <c:v>2Q
FY18</c:v>
                </c:pt>
                <c:pt idx="2">
                  <c:v>3Q
FY18</c:v>
                </c:pt>
                <c:pt idx="3">
                  <c:v>4Q
FY18</c:v>
                </c:pt>
                <c:pt idx="4">
                  <c:v>1Q
FY19</c:v>
                </c:pt>
                <c:pt idx="5">
                  <c:v>2Q
FY19</c:v>
                </c:pt>
                <c:pt idx="6">
                  <c:v>3Q
FY19</c:v>
                </c:pt>
                <c:pt idx="7">
                  <c:v>4Q
FY19</c:v>
                </c:pt>
                <c:pt idx="8">
                  <c:v>1Q
FY20</c:v>
                </c:pt>
                <c:pt idx="9">
                  <c:v>2Q
FY20</c:v>
                </c:pt>
                <c:pt idx="10">
                  <c:v>3Q
FY20</c:v>
                </c:pt>
                <c:pt idx="11">
                  <c:v>4Q
FY20</c:v>
                </c:pt>
                <c:pt idx="12">
                  <c:v>1Q
FY21</c:v>
                </c:pt>
                <c:pt idx="13">
                  <c:v>2Q
FY21</c:v>
                </c:pt>
              </c:strCache>
            </c:strRef>
          </c:cat>
          <c:val>
            <c:numRef>
              <c:f>'Analysis &amp; Chart'!$B$162:$O$162</c:f>
              <c:numCache>
                <c:formatCode>0.0%</c:formatCode>
                <c:ptCount val="14"/>
                <c:pt idx="0">
                  <c:v>0.114</c:v>
                </c:pt>
                <c:pt idx="1">
                  <c:v>0.09</c:v>
                </c:pt>
                <c:pt idx="2">
                  <c:v>0.05</c:v>
                </c:pt>
                <c:pt idx="3">
                  <c:v>6.8000000000000005E-2</c:v>
                </c:pt>
                <c:pt idx="4">
                  <c:v>3.7999999999999999E-2</c:v>
                </c:pt>
                <c:pt idx="5">
                  <c:v>5.7000000000000002E-2</c:v>
                </c:pt>
                <c:pt idx="6">
                  <c:v>-7.3999999999999996E-2</c:v>
                </c:pt>
                <c:pt idx="7">
                  <c:v>9.0999999999999998E-2</c:v>
                </c:pt>
                <c:pt idx="8">
                  <c:v>0.105</c:v>
                </c:pt>
                <c:pt idx="9">
                  <c:v>-6.8000000000000005E-2</c:v>
                </c:pt>
                <c:pt idx="10">
                  <c:v>2.3E-2</c:v>
                </c:pt>
                <c:pt idx="11">
                  <c:v>-0.495</c:v>
                </c:pt>
                <c:pt idx="12">
                  <c:v>-0.11199999999999999</c:v>
                </c:pt>
                <c:pt idx="13">
                  <c:v>0.11</c:v>
                </c:pt>
              </c:numCache>
            </c:numRef>
          </c:val>
          <c:smooth val="0"/>
          <c:extLst>
            <c:ext xmlns:c16="http://schemas.microsoft.com/office/drawing/2014/chart" uri="{C3380CC4-5D6E-409C-BE32-E72D297353CC}">
              <c16:uniqueId val="{00000008-0C8F-4241-866D-4493E2D7CAB8}"/>
            </c:ext>
          </c:extLst>
        </c:ser>
        <c:ser>
          <c:idx val="1"/>
          <c:order val="1"/>
          <c:tx>
            <c:strRef>
              <c:f>'Analysis &amp; Chart'!$A$163</c:f>
              <c:strCache>
                <c:ptCount val="1"/>
                <c:pt idx="0">
                  <c:v>HK &amp; Macau</c:v>
                </c:pt>
              </c:strCache>
            </c:strRef>
          </c:tx>
          <c:spPr>
            <a:ln w="22225" cap="rnd">
              <a:solidFill>
                <a:schemeClr val="accent3"/>
              </a:solidFill>
              <a:round/>
            </a:ln>
            <a:effectLst/>
          </c:spPr>
          <c:marker>
            <c:symbol val="square"/>
            <c:size val="6"/>
            <c:spPr>
              <a:solidFill>
                <a:schemeClr val="accent3"/>
              </a:solidFill>
              <a:ln w="9525">
                <a:solidFill>
                  <a:schemeClr val="accent3"/>
                </a:solidFill>
                <a:round/>
              </a:ln>
              <a:effectLst/>
            </c:spPr>
          </c:marker>
          <c:dLbls>
            <c:dLbl>
              <c:idx val="0"/>
              <c:layout>
                <c:manualLayout>
                  <c:x val="-1.8949726102318806E-2"/>
                  <c:y val="2.337812533001576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0C8F-4241-866D-4493E2D7CAB8}"/>
                </c:ext>
              </c:extLst>
            </c:dLbl>
            <c:dLbl>
              <c:idx val="1"/>
              <c:layout>
                <c:manualLayout>
                  <c:x val="-3.2888730694771204E-2"/>
                  <c:y val="-3.35296041871115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B8C-4BB1-AECC-FBB7BD5C4E2B}"/>
                </c:ext>
              </c:extLst>
            </c:dLbl>
            <c:dLbl>
              <c:idx val="4"/>
              <c:layout>
                <c:manualLayout>
                  <c:x val="-4.671904298889433E-2"/>
                  <c:y val="-2.30015402061506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0C8F-4241-866D-4493E2D7CAB8}"/>
                </c:ext>
              </c:extLst>
            </c:dLbl>
            <c:dLbl>
              <c:idx val="5"/>
              <c:layout>
                <c:manualLayout>
                  <c:x val="-3.9503945689258524E-2"/>
                  <c:y val="-4.007196597971867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B8C-4BB1-AECC-FBB7BD5C4E2B}"/>
                </c:ext>
              </c:extLst>
            </c:dLbl>
            <c:dLbl>
              <c:idx val="6"/>
              <c:layout>
                <c:manualLayout>
                  <c:x val="-7.8839125263697046E-3"/>
                  <c:y val="7.0590538302437115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0C8F-4241-866D-4493E2D7CAB8}"/>
                </c:ext>
              </c:extLst>
            </c:dLbl>
            <c:dLbl>
              <c:idx val="7"/>
              <c:layout>
                <c:manualLayout>
                  <c:x val="-9.2290062419154613E-3"/>
                  <c:y val="-8.1998459711672741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0C8F-4241-866D-4493E2D7CAB8}"/>
                </c:ext>
              </c:extLst>
            </c:dLbl>
            <c:dLbl>
              <c:idx val="8"/>
              <c:layout>
                <c:manualLayout>
                  <c:x val="-8.2805997100417653E-2"/>
                  <c:y val="2.03251090178987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0C8F-4241-866D-4493E2D7CAB8}"/>
                </c:ext>
              </c:extLst>
            </c:dLbl>
            <c:dLbl>
              <c:idx val="9"/>
              <c:layout>
                <c:manualLayout>
                  <c:x val="-4.5117328911614824E-2"/>
                  <c:y val="2.729220918042752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0C8F-4241-866D-4493E2D7CAB8}"/>
                </c:ext>
              </c:extLst>
            </c:dLbl>
            <c:dLbl>
              <c:idx val="11"/>
              <c:layout>
                <c:manualLayout>
                  <c:x val="-7.9820050169006757E-3"/>
                  <c:y val="-2.174241145455816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0C8F-4241-866D-4493E2D7CAB8}"/>
                </c:ext>
              </c:extLst>
            </c:dLbl>
            <c:dLbl>
              <c:idx val="12"/>
              <c:layout>
                <c:manualLayout>
                  <c:x val="-7.8721058434399124E-3"/>
                  <c:y val="-4.3829529036845663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0C8F-4241-866D-4493E2D7CAB8}"/>
                </c:ext>
              </c:extLst>
            </c:dLbl>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'Analysis &amp; Chart'!$B$161:$O$161</c:f>
              <c:strCache>
                <c:ptCount val="14"/>
                <c:pt idx="0">
                  <c:v>1Q
FY18</c:v>
                </c:pt>
                <c:pt idx="1">
                  <c:v>2Q
FY18</c:v>
                </c:pt>
                <c:pt idx="2">
                  <c:v>3Q
FY18</c:v>
                </c:pt>
                <c:pt idx="3">
                  <c:v>4Q
FY18</c:v>
                </c:pt>
                <c:pt idx="4">
                  <c:v>1Q
FY19</c:v>
                </c:pt>
                <c:pt idx="5">
                  <c:v>2Q
FY19</c:v>
                </c:pt>
                <c:pt idx="6">
                  <c:v>3Q
FY19</c:v>
                </c:pt>
                <c:pt idx="7">
                  <c:v>4Q
FY19</c:v>
                </c:pt>
                <c:pt idx="8">
                  <c:v>1Q
FY20</c:v>
                </c:pt>
                <c:pt idx="9">
                  <c:v>2Q
FY20</c:v>
                </c:pt>
                <c:pt idx="10">
                  <c:v>3Q
FY20</c:v>
                </c:pt>
                <c:pt idx="11">
                  <c:v>4Q
FY20</c:v>
                </c:pt>
                <c:pt idx="12">
                  <c:v>1Q
FY21</c:v>
                </c:pt>
                <c:pt idx="13">
                  <c:v>2Q
FY21</c:v>
                </c:pt>
              </c:strCache>
            </c:strRef>
          </c:cat>
          <c:val>
            <c:numRef>
              <c:f>'Analysis &amp; Chart'!$B$163:$O$163</c:f>
              <c:numCache>
                <c:formatCode>0.0%</c:formatCode>
                <c:ptCount val="14"/>
                <c:pt idx="0">
                  <c:v>5.3999999999999999E-2</c:v>
                </c:pt>
                <c:pt idx="1">
                  <c:v>0.13</c:v>
                </c:pt>
                <c:pt idx="2">
                  <c:v>5.1999999999999998E-2</c:v>
                </c:pt>
                <c:pt idx="3">
                  <c:v>0.17399999999999999</c:v>
                </c:pt>
                <c:pt idx="4">
                  <c:v>0.26</c:v>
                </c:pt>
                <c:pt idx="5">
                  <c:v>0.23</c:v>
                </c:pt>
                <c:pt idx="6">
                  <c:v>-0.06</c:v>
                </c:pt>
                <c:pt idx="7">
                  <c:v>7.0000000000000001E-3</c:v>
                </c:pt>
                <c:pt idx="8">
                  <c:v>-0.109</c:v>
                </c:pt>
                <c:pt idx="9">
                  <c:v>-0.42299999999999999</c:v>
                </c:pt>
                <c:pt idx="10">
                  <c:v>-0.35</c:v>
                </c:pt>
                <c:pt idx="11">
                  <c:v>-0.65</c:v>
                </c:pt>
                <c:pt idx="12">
                  <c:v>-0.755</c:v>
                </c:pt>
                <c:pt idx="13">
                  <c:v>-0.52500000000000002</c:v>
                </c:pt>
              </c:numCache>
            </c:numRef>
          </c:val>
          <c:smooth val="0"/>
          <c:extLst>
            <c:ext xmlns:c16="http://schemas.microsoft.com/office/drawing/2014/chart" uri="{C3380CC4-5D6E-409C-BE32-E72D297353CC}">
              <c16:uniqueId val="{00000011-0C8F-4241-866D-4493E2D7CAB8}"/>
            </c:ext>
          </c:extLst>
        </c:ser>
        <c:dLbls>
          <c:showLegendKey val="0"/>
          <c:showVal val="0"/>
          <c:showCatName val="0"/>
          <c:showSerName val="0"/>
          <c:showPercent val="0"/>
          <c:showBubbleSize val="0"/>
        </c:dLbls>
        <c:marker val="1"/>
        <c:smooth val="0"/>
        <c:axId val="986995912"/>
        <c:axId val="986997552"/>
      </c:lineChart>
      <c:catAx>
        <c:axId val="986995912"/>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986997552"/>
        <c:crossesAt val="0"/>
        <c:auto val="1"/>
        <c:lblAlgn val="ctr"/>
        <c:lblOffset val="100"/>
        <c:noMultiLvlLbl val="0"/>
      </c:catAx>
      <c:valAx>
        <c:axId val="986997552"/>
        <c:scaling>
          <c:orientation val="minMax"/>
          <c:max val="0.30000000000000004"/>
          <c:min val="-0.8"/>
        </c:scaling>
        <c:delete val="0"/>
        <c:axPos val="l"/>
        <c:numFmt formatCode="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986995912"/>
        <c:crosses val="autoZero"/>
        <c:crossBetween val="midCat"/>
        <c:minorUnit val="4.0000000000000008E-2"/>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sz="1000">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Daily Closing Price in HKD</c:v>
          </c:tx>
          <c:spPr>
            <a:ln w="19050">
              <a:noFill/>
            </a:ln>
          </c:spPr>
          <c:xVal>
            <c:numRef>
              <c:f>'01929'!$A$2:$A$279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'01929'!$B$2:$B$279</c:f>
              <c:numCache>
                <c:formatCode>0.00</c:formatCode>
                <c:ptCount val="278"/>
                <c:pt idx="0">
                  <c:v>7.3219799999999999</c:v>
                </c:pt>
                <c:pt idx="1">
                  <c:v>7.4480529999999998</c:v>
                </c:pt>
                <c:pt idx="2">
                  <c:v>7.3704700000000001</c:v>
                </c:pt>
                <c:pt idx="3">
                  <c:v>7.4868449999999998</c:v>
                </c:pt>
                <c:pt idx="4">
                  <c:v>7.5838260000000002</c:v>
                </c:pt>
                <c:pt idx="5">
                  <c:v>7.5838260000000002</c:v>
                </c:pt>
                <c:pt idx="6">
                  <c:v>7.7583890000000002</c:v>
                </c:pt>
                <c:pt idx="7">
                  <c:v>8.039631</c:v>
                </c:pt>
                <c:pt idx="8">
                  <c:v>8.2432890000000008</c:v>
                </c:pt>
                <c:pt idx="9">
                  <c:v>8.1560070000000007</c:v>
                </c:pt>
                <c:pt idx="10">
                  <c:v>8.039631</c:v>
                </c:pt>
                <c:pt idx="11">
                  <c:v>8.0202349999999996</c:v>
                </c:pt>
                <c:pt idx="12">
                  <c:v>7.9620470000000001</c:v>
                </c:pt>
                <c:pt idx="13">
                  <c:v>7.6905029999999996</c:v>
                </c:pt>
                <c:pt idx="14">
                  <c:v>7.6905029999999996</c:v>
                </c:pt>
                <c:pt idx="15">
                  <c:v>7.574128</c:v>
                </c:pt>
                <c:pt idx="16">
                  <c:v>7.5450340000000002</c:v>
                </c:pt>
                <c:pt idx="17">
                  <c:v>6.9340609999999998</c:v>
                </c:pt>
                <c:pt idx="18">
                  <c:v>6.7982889999999996</c:v>
                </c:pt>
                <c:pt idx="19">
                  <c:v>6.8467779999999996</c:v>
                </c:pt>
                <c:pt idx="20">
                  <c:v>6.8855700000000004</c:v>
                </c:pt>
                <c:pt idx="21">
                  <c:v>6.8855700000000004</c:v>
                </c:pt>
                <c:pt idx="22">
                  <c:v>6.9728519999999996</c:v>
                </c:pt>
                <c:pt idx="23">
                  <c:v>7.0213419999999998</c:v>
                </c:pt>
                <c:pt idx="24">
                  <c:v>6.9534560000000001</c:v>
                </c:pt>
                <c:pt idx="25">
                  <c:v>6.817685</c:v>
                </c:pt>
                <c:pt idx="26">
                  <c:v>6.7691949999999999</c:v>
                </c:pt>
                <c:pt idx="27">
                  <c:v>7.03104</c:v>
                </c:pt>
                <c:pt idx="28">
                  <c:v>7.1668120000000002</c:v>
                </c:pt>
                <c:pt idx="29">
                  <c:v>7.1862079999999997</c:v>
                </c:pt>
                <c:pt idx="30">
                  <c:v>7.1765100000000004</c:v>
                </c:pt>
                <c:pt idx="31">
                  <c:v>7.1280200000000002</c:v>
                </c:pt>
                <c:pt idx="32">
                  <c:v>7.1280200000000002</c:v>
                </c:pt>
                <c:pt idx="33">
                  <c:v>7.2153020000000003</c:v>
                </c:pt>
                <c:pt idx="34">
                  <c:v>7.1765100000000004</c:v>
                </c:pt>
                <c:pt idx="35">
                  <c:v>7.0407390000000003</c:v>
                </c:pt>
                <c:pt idx="36">
                  <c:v>6.8855700000000004</c:v>
                </c:pt>
                <c:pt idx="37">
                  <c:v>6.7885900000000001</c:v>
                </c:pt>
                <c:pt idx="38">
                  <c:v>6.7401</c:v>
                </c:pt>
                <c:pt idx="39">
                  <c:v>6.5461410000000004</c:v>
                </c:pt>
                <c:pt idx="40">
                  <c:v>6.4394629999999999</c:v>
                </c:pt>
                <c:pt idx="41">
                  <c:v>6.4491620000000003</c:v>
                </c:pt>
                <c:pt idx="42">
                  <c:v>6.4685569999999997</c:v>
                </c:pt>
                <c:pt idx="43">
                  <c:v>6.8758730000000003</c:v>
                </c:pt>
                <c:pt idx="44">
                  <c:v>6.691611</c:v>
                </c:pt>
                <c:pt idx="45">
                  <c:v>6.691611</c:v>
                </c:pt>
                <c:pt idx="46">
                  <c:v>6.3618790000000001</c:v>
                </c:pt>
                <c:pt idx="47">
                  <c:v>6.3036909999999997</c:v>
                </c:pt>
                <c:pt idx="48">
                  <c:v>5.9060740000000003</c:v>
                </c:pt>
                <c:pt idx="49">
                  <c:v>5.7509059999999996</c:v>
                </c:pt>
                <c:pt idx="50">
                  <c:v>5.6830210000000001</c:v>
                </c:pt>
                <c:pt idx="51">
                  <c:v>5.6054360000000001</c:v>
                </c:pt>
                <c:pt idx="52">
                  <c:v>5.343591</c:v>
                </c:pt>
                <c:pt idx="53">
                  <c:v>4.9847650000000003</c:v>
                </c:pt>
                <c:pt idx="54">
                  <c:v>5.3144970000000002</c:v>
                </c:pt>
                <c:pt idx="55">
                  <c:v>4.9556709999999997</c:v>
                </c:pt>
                <c:pt idx="56">
                  <c:v>5.052651</c:v>
                </c:pt>
                <c:pt idx="57">
                  <c:v>5.3726839999999996</c:v>
                </c:pt>
                <c:pt idx="58">
                  <c:v>5.2951009999999998</c:v>
                </c:pt>
                <c:pt idx="59">
                  <c:v>5.4017790000000003</c:v>
                </c:pt>
                <c:pt idx="60">
                  <c:v>5.227214</c:v>
                </c:pt>
                <c:pt idx="61">
                  <c:v>5.3241940000000003</c:v>
                </c:pt>
                <c:pt idx="62">
                  <c:v>5.227214</c:v>
                </c:pt>
                <c:pt idx="63">
                  <c:v>5.0817449999999997</c:v>
                </c:pt>
                <c:pt idx="64">
                  <c:v>5.0235570000000003</c:v>
                </c:pt>
                <c:pt idx="65">
                  <c:v>5.2369130000000004</c:v>
                </c:pt>
                <c:pt idx="66">
                  <c:v>5.518154</c:v>
                </c:pt>
                <c:pt idx="67">
                  <c:v>5.343591</c:v>
                </c:pt>
                <c:pt idx="68">
                  <c:v>5.7315100000000001</c:v>
                </c:pt>
                <c:pt idx="69">
                  <c:v>5.9254699999999998</c:v>
                </c:pt>
                <c:pt idx="70">
                  <c:v>6.0515429999999997</c:v>
                </c:pt>
                <c:pt idx="71">
                  <c:v>5.935168</c:v>
                </c:pt>
                <c:pt idx="72">
                  <c:v>6.0709400000000002</c:v>
                </c:pt>
                <c:pt idx="73">
                  <c:v>6.100034</c:v>
                </c:pt>
                <c:pt idx="74">
                  <c:v>5.9739599999999999</c:v>
                </c:pt>
                <c:pt idx="75">
                  <c:v>6.0806370000000003</c:v>
                </c:pt>
                <c:pt idx="76">
                  <c:v>6.1582220000000003</c:v>
                </c:pt>
                <c:pt idx="77">
                  <c:v>6.100034</c:v>
                </c:pt>
                <c:pt idx="78">
                  <c:v>6.1873149999999999</c:v>
                </c:pt>
                <c:pt idx="79">
                  <c:v>6.3521809999999999</c:v>
                </c:pt>
                <c:pt idx="80">
                  <c:v>6.4200670000000004</c:v>
                </c:pt>
                <c:pt idx="81">
                  <c:v>6.148523</c:v>
                </c:pt>
                <c:pt idx="82">
                  <c:v>6.2164089999999996</c:v>
                </c:pt>
                <c:pt idx="83">
                  <c:v>6.2164089999999996</c:v>
                </c:pt>
                <c:pt idx="84">
                  <c:v>6.3036909999999997</c:v>
                </c:pt>
                <c:pt idx="85">
                  <c:v>6.4394629999999999</c:v>
                </c:pt>
                <c:pt idx="86">
                  <c:v>6.3521809999999999</c:v>
                </c:pt>
                <c:pt idx="87">
                  <c:v>6.2067110000000003</c:v>
                </c:pt>
                <c:pt idx="88">
                  <c:v>6.0418459999999996</c:v>
                </c:pt>
                <c:pt idx="89">
                  <c:v>5.9836580000000001</c:v>
                </c:pt>
                <c:pt idx="90">
                  <c:v>5.9157719999999996</c:v>
                </c:pt>
                <c:pt idx="91">
                  <c:v>5.9836580000000001</c:v>
                </c:pt>
                <c:pt idx="92">
                  <c:v>6.1970130000000001</c:v>
                </c:pt>
                <c:pt idx="93">
                  <c:v>6.0612409999999999</c:v>
                </c:pt>
                <c:pt idx="94">
                  <c:v>6.0127519999999999</c:v>
                </c:pt>
                <c:pt idx="95">
                  <c:v>5.6054360000000001</c:v>
                </c:pt>
                <c:pt idx="96">
                  <c:v>5.5084559999999998</c:v>
                </c:pt>
                <c:pt idx="97">
                  <c:v>5.6927180000000002</c:v>
                </c:pt>
                <c:pt idx="98">
                  <c:v>5.5666440000000001</c:v>
                </c:pt>
                <c:pt idx="99">
                  <c:v>5.6054360000000001</c:v>
                </c:pt>
                <c:pt idx="100">
                  <c:v>5.5375500000000004</c:v>
                </c:pt>
                <c:pt idx="101">
                  <c:v>5.7024160000000004</c:v>
                </c:pt>
                <c:pt idx="102">
                  <c:v>5.8866779999999999</c:v>
                </c:pt>
                <c:pt idx="103">
                  <c:v>6.0418459999999996</c:v>
                </c:pt>
                <c:pt idx="104">
                  <c:v>6.0224489999999999</c:v>
                </c:pt>
                <c:pt idx="105">
                  <c:v>6.2164089999999996</c:v>
                </c:pt>
                <c:pt idx="106">
                  <c:v>6.4394629999999999</c:v>
                </c:pt>
                <c:pt idx="107">
                  <c:v>6.701308</c:v>
                </c:pt>
                <c:pt idx="108">
                  <c:v>6.5073489999999996</c:v>
                </c:pt>
                <c:pt idx="109">
                  <c:v>6.4491620000000003</c:v>
                </c:pt>
                <c:pt idx="110">
                  <c:v>6.8273820000000001</c:v>
                </c:pt>
                <c:pt idx="111">
                  <c:v>6.526745</c:v>
                </c:pt>
                <c:pt idx="112">
                  <c:v>6.8273820000000001</c:v>
                </c:pt>
                <c:pt idx="113">
                  <c:v>6.9243620000000004</c:v>
                </c:pt>
                <c:pt idx="114">
                  <c:v>7.2734899999999998</c:v>
                </c:pt>
                <c:pt idx="115">
                  <c:v>7.574128</c:v>
                </c:pt>
                <c:pt idx="116">
                  <c:v>7.1959059999999999</c:v>
                </c:pt>
                <c:pt idx="117">
                  <c:v>7.3316780000000001</c:v>
                </c:pt>
                <c:pt idx="118">
                  <c:v>7.3801680000000003</c:v>
                </c:pt>
                <c:pt idx="119">
                  <c:v>7.2734899999999998</c:v>
                </c:pt>
                <c:pt idx="120">
                  <c:v>7.2249999999999996</c:v>
                </c:pt>
                <c:pt idx="121">
                  <c:v>7.1862079999999997</c:v>
                </c:pt>
                <c:pt idx="122">
                  <c:v>7.4286580000000004</c:v>
                </c:pt>
                <c:pt idx="123">
                  <c:v>7.3607719999999999</c:v>
                </c:pt>
                <c:pt idx="124">
                  <c:v>7.496543</c:v>
                </c:pt>
                <c:pt idx="125">
                  <c:v>7.3122819999999997</c:v>
                </c:pt>
                <c:pt idx="126">
                  <c:v>7.3995639999999998</c:v>
                </c:pt>
                <c:pt idx="127">
                  <c:v>7.3995639999999998</c:v>
                </c:pt>
                <c:pt idx="128">
                  <c:v>7.3025840000000004</c:v>
                </c:pt>
                <c:pt idx="129">
                  <c:v>7.4383559999999997</c:v>
                </c:pt>
                <c:pt idx="130">
                  <c:v>7.3704700000000001</c:v>
                </c:pt>
                <c:pt idx="131">
                  <c:v>7.7777859999999999</c:v>
                </c:pt>
                <c:pt idx="132">
                  <c:v>7.7583890000000002</c:v>
                </c:pt>
                <c:pt idx="133">
                  <c:v>7.8844630000000002</c:v>
                </c:pt>
                <c:pt idx="134">
                  <c:v>7.7680870000000004</c:v>
                </c:pt>
                <c:pt idx="135">
                  <c:v>8.0105369999999994</c:v>
                </c:pt>
                <c:pt idx="136">
                  <c:v>8.0202349999999996</c:v>
                </c:pt>
                <c:pt idx="137">
                  <c:v>7.9620470000000001</c:v>
                </c:pt>
                <c:pt idx="138">
                  <c:v>7.8262749999999999</c:v>
                </c:pt>
                <c:pt idx="139">
                  <c:v>7.9426500000000004</c:v>
                </c:pt>
                <c:pt idx="140">
                  <c:v>7.9717450000000003</c:v>
                </c:pt>
                <c:pt idx="141">
                  <c:v>7.9911399999999997</c:v>
                </c:pt>
                <c:pt idx="142">
                  <c:v>8.0202349999999996</c:v>
                </c:pt>
                <c:pt idx="143">
                  <c:v>8.0978189999999994</c:v>
                </c:pt>
                <c:pt idx="144">
                  <c:v>8.0105369999999994</c:v>
                </c:pt>
                <c:pt idx="145">
                  <c:v>7.9711740000000004</c:v>
                </c:pt>
                <c:pt idx="146">
                  <c:v>8.1286290000000001</c:v>
                </c:pt>
                <c:pt idx="147">
                  <c:v>8.1089459999999995</c:v>
                </c:pt>
                <c:pt idx="148">
                  <c:v>8.1384699999999999</c:v>
                </c:pt>
                <c:pt idx="149">
                  <c:v>8.0105369999999994</c:v>
                </c:pt>
                <c:pt idx="150">
                  <c:v>8.0597410000000007</c:v>
                </c:pt>
                <c:pt idx="151">
                  <c:v>8.0499010000000002</c:v>
                </c:pt>
                <c:pt idx="152">
                  <c:v>7.9711740000000004</c:v>
                </c:pt>
                <c:pt idx="153">
                  <c:v>7.9711740000000004</c:v>
                </c:pt>
                <c:pt idx="154">
                  <c:v>8.1286290000000001</c:v>
                </c:pt>
                <c:pt idx="155">
                  <c:v>8.1286290000000001</c:v>
                </c:pt>
                <c:pt idx="156">
                  <c:v>7.9711740000000004</c:v>
                </c:pt>
                <c:pt idx="157">
                  <c:v>7.9613319999999996</c:v>
                </c:pt>
                <c:pt idx="158">
                  <c:v>8.0203769999999999</c:v>
                </c:pt>
                <c:pt idx="159">
                  <c:v>8.0597410000000007</c:v>
                </c:pt>
                <c:pt idx="160">
                  <c:v>8.2664010000000001</c:v>
                </c:pt>
                <c:pt idx="161">
                  <c:v>8.2368780000000008</c:v>
                </c:pt>
                <c:pt idx="162">
                  <c:v>8.2664010000000001</c:v>
                </c:pt>
                <c:pt idx="163">
                  <c:v>8.5616299999999992</c:v>
                </c:pt>
                <c:pt idx="164">
                  <c:v>8.5616299999999992</c:v>
                </c:pt>
                <c:pt idx="165">
                  <c:v>8.7190860000000008</c:v>
                </c:pt>
                <c:pt idx="166">
                  <c:v>8.7289270000000005</c:v>
                </c:pt>
                <c:pt idx="167">
                  <c:v>8.9749510000000008</c:v>
                </c:pt>
                <c:pt idx="168">
                  <c:v>9.2111330000000002</c:v>
                </c:pt>
                <c:pt idx="169">
                  <c:v>9.7720680000000009</c:v>
                </c:pt>
                <c:pt idx="170">
                  <c:v>9.476839</c:v>
                </c:pt>
                <c:pt idx="171">
                  <c:v>9.3587480000000003</c:v>
                </c:pt>
                <c:pt idx="172">
                  <c:v>9.7720680000000009</c:v>
                </c:pt>
                <c:pt idx="173">
                  <c:v>9.7622269999999993</c:v>
                </c:pt>
                <c:pt idx="174">
                  <c:v>10.057456</c:v>
                </c:pt>
                <c:pt idx="175">
                  <c:v>10.155865</c:v>
                </c:pt>
                <c:pt idx="176">
                  <c:v>10.155865</c:v>
                </c:pt>
                <c:pt idx="177">
                  <c:v>10.372366</c:v>
                </c:pt>
                <c:pt idx="178">
                  <c:v>10.175547999999999</c:v>
                </c:pt>
                <c:pt idx="179">
                  <c:v>10.254274000000001</c:v>
                </c:pt>
                <c:pt idx="180">
                  <c:v>10.136184</c:v>
                </c:pt>
                <c:pt idx="181">
                  <c:v>10.136184</c:v>
                </c:pt>
                <c:pt idx="182">
                  <c:v>9.9196829999999991</c:v>
                </c:pt>
                <c:pt idx="183">
                  <c:v>9.9196829999999991</c:v>
                </c:pt>
                <c:pt idx="184">
                  <c:v>10.116501</c:v>
                </c:pt>
                <c:pt idx="185">
                  <c:v>10.077137</c:v>
                </c:pt>
                <c:pt idx="186">
                  <c:v>9.9393639999999994</c:v>
                </c:pt>
                <c:pt idx="187">
                  <c:v>10.057456</c:v>
                </c:pt>
                <c:pt idx="188">
                  <c:v>10.175547999999999</c:v>
                </c:pt>
                <c:pt idx="189">
                  <c:v>10.136184</c:v>
                </c:pt>
                <c:pt idx="190">
                  <c:v>10.608549</c:v>
                </c:pt>
                <c:pt idx="191">
                  <c:v>10.431412</c:v>
                </c:pt>
                <c:pt idx="192">
                  <c:v>10.470776000000001</c:v>
                </c:pt>
                <c:pt idx="193">
                  <c:v>10.333002</c:v>
                </c:pt>
                <c:pt idx="194">
                  <c:v>10.155865</c:v>
                </c:pt>
                <c:pt idx="195">
                  <c:v>10.175547999999999</c:v>
                </c:pt>
                <c:pt idx="196">
                  <c:v>10.037773</c:v>
                </c:pt>
                <c:pt idx="197">
                  <c:v>10.018091999999999</c:v>
                </c:pt>
                <c:pt idx="198">
                  <c:v>10.175547999999999</c:v>
                </c:pt>
                <c:pt idx="199">
                  <c:v>10.175547999999999</c:v>
                </c:pt>
                <c:pt idx="200">
                  <c:v>10.057456</c:v>
                </c:pt>
                <c:pt idx="201">
                  <c:v>10.096819999999999</c:v>
                </c:pt>
                <c:pt idx="202">
                  <c:v>10.175547999999999</c:v>
                </c:pt>
                <c:pt idx="203">
                  <c:v>9.7720680000000009</c:v>
                </c:pt>
                <c:pt idx="204">
                  <c:v>9.7425440000000005</c:v>
                </c:pt>
                <c:pt idx="205">
                  <c:v>9.7819079999999996</c:v>
                </c:pt>
                <c:pt idx="206">
                  <c:v>9.6539760000000001</c:v>
                </c:pt>
                <c:pt idx="207">
                  <c:v>9.6736579999999996</c:v>
                </c:pt>
                <c:pt idx="208">
                  <c:v>9.9393639999999994</c:v>
                </c:pt>
                <c:pt idx="209">
                  <c:v>9.7031810000000007</c:v>
                </c:pt>
                <c:pt idx="210">
                  <c:v>9.8212720000000004</c:v>
                </c:pt>
                <c:pt idx="211">
                  <c:v>9.3193850000000005</c:v>
                </c:pt>
                <c:pt idx="212">
                  <c:v>8.965109</c:v>
                </c:pt>
                <c:pt idx="213">
                  <c:v>9.220974</c:v>
                </c:pt>
                <c:pt idx="214">
                  <c:v>9.2111330000000002</c:v>
                </c:pt>
                <c:pt idx="215">
                  <c:v>9.1717689999999994</c:v>
                </c:pt>
                <c:pt idx="216">
                  <c:v>9.3784290000000006</c:v>
                </c:pt>
                <c:pt idx="217">
                  <c:v>9.3193850000000005</c:v>
                </c:pt>
                <c:pt idx="218">
                  <c:v>9.5260440000000006</c:v>
                </c:pt>
                <c:pt idx="219">
                  <c:v>9.5162030000000009</c:v>
                </c:pt>
                <c:pt idx="220">
                  <c:v>9.3981110000000001</c:v>
                </c:pt>
                <c:pt idx="221">
                  <c:v>9.5457260000000002</c:v>
                </c:pt>
                <c:pt idx="222">
                  <c:v>9.8803190000000001</c:v>
                </c:pt>
                <c:pt idx="223">
                  <c:v>10.037773</c:v>
                </c:pt>
                <c:pt idx="224">
                  <c:v>10.018091999999999</c:v>
                </c:pt>
                <c:pt idx="225">
                  <c:v>9.9984090000000005</c:v>
                </c:pt>
                <c:pt idx="226">
                  <c:v>9.8409549999999992</c:v>
                </c:pt>
                <c:pt idx="227">
                  <c:v>9.9590449999999997</c:v>
                </c:pt>
                <c:pt idx="228">
                  <c:v>9.8606370000000005</c:v>
                </c:pt>
                <c:pt idx="229">
                  <c:v>9.9000009999999996</c:v>
                </c:pt>
                <c:pt idx="230">
                  <c:v>9.92</c:v>
                </c:pt>
                <c:pt idx="231">
                  <c:v>9.73</c:v>
                </c:pt>
                <c:pt idx="232">
                  <c:v>9.82</c:v>
                </c:pt>
                <c:pt idx="233">
                  <c:v>10.02</c:v>
                </c:pt>
                <c:pt idx="234">
                  <c:v>10.08</c:v>
                </c:pt>
                <c:pt idx="235">
                  <c:v>9.9499999999999993</c:v>
                </c:pt>
                <c:pt idx="236">
                  <c:v>10</c:v>
                </c:pt>
                <c:pt idx="237">
                  <c:v>9.99</c:v>
                </c:pt>
                <c:pt idx="238">
                  <c:v>9.99</c:v>
                </c:pt>
                <c:pt idx="239">
                  <c:v>10.119999999999999</c:v>
                </c:pt>
                <c:pt idx="240">
                  <c:v>10.1</c:v>
                </c:pt>
                <c:pt idx="241">
                  <c:v>9.98</c:v>
                </c:pt>
                <c:pt idx="242">
                  <c:v>10.119999999999999</c:v>
                </c:pt>
                <c:pt idx="243">
                  <c:v>9.9700000000000006</c:v>
                </c:pt>
                <c:pt idx="244">
                  <c:v>9.7200000000000006</c:v>
                </c:pt>
                <c:pt idx="245">
                  <c:v>9.6999999999999993</c:v>
                </c:pt>
                <c:pt idx="246">
                  <c:v>9.67</c:v>
                </c:pt>
                <c:pt idx="247">
                  <c:v>9.75</c:v>
                </c:pt>
                <c:pt idx="248">
                  <c:v>9.75</c:v>
                </c:pt>
                <c:pt idx="249">
                  <c:v>10.14</c:v>
                </c:pt>
                <c:pt idx="250">
                  <c:v>9.93</c:v>
                </c:pt>
                <c:pt idx="251">
                  <c:v>9.86</c:v>
                </c:pt>
                <c:pt idx="252">
                  <c:v>9.9700000000000006</c:v>
                </c:pt>
                <c:pt idx="253">
                  <c:v>9.9600000000000009</c:v>
                </c:pt>
                <c:pt idx="254">
                  <c:v>10.28</c:v>
                </c:pt>
                <c:pt idx="255">
                  <c:v>10.26</c:v>
                </c:pt>
                <c:pt idx="256">
                  <c:v>10.06</c:v>
                </c:pt>
                <c:pt idx="257">
                  <c:v>9.77</c:v>
                </c:pt>
                <c:pt idx="258">
                  <c:v>9.8800000000000008</c:v>
                </c:pt>
                <c:pt idx="259">
                  <c:v>9.93</c:v>
                </c:pt>
                <c:pt idx="260">
                  <c:v>9.7899999999999991</c:v>
                </c:pt>
                <c:pt idx="261">
                  <c:v>9.75</c:v>
                </c:pt>
                <c:pt idx="262">
                  <c:v>9.76</c:v>
                </c:pt>
                <c:pt idx="263">
                  <c:v>9.56</c:v>
                </c:pt>
                <c:pt idx="264">
                  <c:v>9.6199999999999992</c:v>
                </c:pt>
                <c:pt idx="265">
                  <c:v>9.5500000000000007</c:v>
                </c:pt>
                <c:pt idx="266">
                  <c:v>9.4600000000000009</c:v>
                </c:pt>
                <c:pt idx="267">
                  <c:v>9.35</c:v>
                </c:pt>
                <c:pt idx="268">
                  <c:v>9.5</c:v>
                </c:pt>
                <c:pt idx="269">
                  <c:v>9.6</c:v>
                </c:pt>
                <c:pt idx="270">
                  <c:v>9.66</c:v>
                </c:pt>
                <c:pt idx="271">
                  <c:v>9.73</c:v>
                </c:pt>
                <c:pt idx="272">
                  <c:v>9.65</c:v>
                </c:pt>
                <c:pt idx="273">
                  <c:v>10.16</c:v>
                </c:pt>
                <c:pt idx="274">
                  <c:v>9.9499999999999993</c:v>
                </c:pt>
                <c:pt idx="275">
                  <c:v>10.039999999999999</c:v>
                </c:pt>
                <c:pt idx="276">
                  <c:v>9.91</c:v>
                </c:pt>
                <c:pt idx="277">
                  <c:v>10.7</c:v>
                </c:pt>
              </c:numCache>
            </c:numRef>
          </c:yVal>
          <c:smooth val="0"/>
          <c:extLst>
            <c:ext xmlns:c16="http://schemas.microsoft.com/office/drawing/2014/chart" uri="{C3380CC4-5D6E-409C-BE32-E72D297353CC}">
              <c16:uniqueId val="{00000000-11D1-4AC1-AA4D-73DD0C0C6796}"/>
            </c:ext>
          </c:extLst>
        </c:ser>
        <c:ser>
          <c:idx val="1"/>
          <c:order val="1"/>
          <c:tx>
            <c:v>Predicted Daily End Closing Price in HKD</c:v>
          </c:tx>
          <c:spPr>
            <a:ln w="19050">
              <a:noFill/>
            </a:ln>
          </c:spPr>
          <c:xVal>
            <c:numRef>
              <c:f>'01929'!$A$2:$A$279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'01929'!$F$26:$F$303</c:f>
              <c:numCache>
                <c:formatCode>General</c:formatCode>
                <c:ptCount val="278"/>
                <c:pt idx="0">
                  <c:v>5.7202242817010642</c:v>
                </c:pt>
                <c:pt idx="1">
                  <c:v>5.7317080204829267</c:v>
                </c:pt>
                <c:pt idx="2">
                  <c:v>5.7661592368284573</c:v>
                </c:pt>
                <c:pt idx="3">
                  <c:v>5.7776429756103198</c:v>
                </c:pt>
                <c:pt idx="4">
                  <c:v>5.7891267143921823</c:v>
                </c:pt>
                <c:pt idx="5">
                  <c:v>5.8006104531739879</c:v>
                </c:pt>
                <c:pt idx="6">
                  <c:v>5.8120941919558504</c:v>
                </c:pt>
                <c:pt idx="7">
                  <c:v>5.846545408301381</c:v>
                </c:pt>
                <c:pt idx="8">
                  <c:v>5.8580291470832435</c:v>
                </c:pt>
                <c:pt idx="9">
                  <c:v>5.869512885865106</c:v>
                </c:pt>
                <c:pt idx="10">
                  <c:v>5.8809966246469685</c:v>
                </c:pt>
                <c:pt idx="11">
                  <c:v>5.8924803634287741</c:v>
                </c:pt>
                <c:pt idx="12">
                  <c:v>5.9269315797743047</c:v>
                </c:pt>
                <c:pt idx="13">
                  <c:v>5.9384153185561672</c:v>
                </c:pt>
                <c:pt idx="14">
                  <c:v>5.9498990573380297</c:v>
                </c:pt>
                <c:pt idx="15">
                  <c:v>5.9613827961198922</c:v>
                </c:pt>
                <c:pt idx="16">
                  <c:v>5.9728665349016978</c:v>
                </c:pt>
                <c:pt idx="17">
                  <c:v>6.0302852288109534</c:v>
                </c:pt>
                <c:pt idx="18">
                  <c:v>6.0417689675928159</c:v>
                </c:pt>
                <c:pt idx="19">
                  <c:v>6.0532527063746215</c:v>
                </c:pt>
                <c:pt idx="20">
                  <c:v>6.087703922720209</c:v>
                </c:pt>
                <c:pt idx="21">
                  <c:v>6.0991876615020146</c:v>
                </c:pt>
                <c:pt idx="22">
                  <c:v>6.1106714002838771</c:v>
                </c:pt>
                <c:pt idx="23">
                  <c:v>6.1221551390657396</c:v>
                </c:pt>
                <c:pt idx="24">
                  <c:v>6.1336388778476021</c:v>
                </c:pt>
                <c:pt idx="25">
                  <c:v>6.1680900941931327</c:v>
                </c:pt>
                <c:pt idx="26">
                  <c:v>6.1795738329749383</c:v>
                </c:pt>
                <c:pt idx="27">
                  <c:v>6.1910575717568008</c:v>
                </c:pt>
                <c:pt idx="28">
                  <c:v>6.2025413105386633</c:v>
                </c:pt>
                <c:pt idx="29">
                  <c:v>6.2140250493205258</c:v>
                </c:pt>
                <c:pt idx="30">
                  <c:v>6.2484762656660564</c:v>
                </c:pt>
                <c:pt idx="31">
                  <c:v>6.2599600044479189</c:v>
                </c:pt>
                <c:pt idx="32">
                  <c:v>6.2714437432297245</c:v>
                </c:pt>
                <c:pt idx="33">
                  <c:v>6.282927482011587</c:v>
                </c:pt>
                <c:pt idx="34">
                  <c:v>6.2944112207934495</c:v>
                </c:pt>
                <c:pt idx="35">
                  <c:v>6.3288624371389801</c:v>
                </c:pt>
                <c:pt idx="36">
                  <c:v>6.3403461759208426</c:v>
                </c:pt>
                <c:pt idx="37">
                  <c:v>6.3518299147026482</c:v>
                </c:pt>
                <c:pt idx="38">
                  <c:v>6.3633136534845107</c:v>
                </c:pt>
                <c:pt idx="39">
                  <c:v>6.3747973922663732</c:v>
                </c:pt>
                <c:pt idx="40">
                  <c:v>6.4092486086119038</c:v>
                </c:pt>
                <c:pt idx="41">
                  <c:v>6.4207323473937663</c:v>
                </c:pt>
                <c:pt idx="42">
                  <c:v>6.4322160861756288</c:v>
                </c:pt>
                <c:pt idx="43">
                  <c:v>6.4436998249574344</c:v>
                </c:pt>
                <c:pt idx="44">
                  <c:v>6.4551835637392969</c:v>
                </c:pt>
                <c:pt idx="45">
                  <c:v>6.4896347800848275</c:v>
                </c:pt>
                <c:pt idx="46">
                  <c:v>6.50111851886669</c:v>
                </c:pt>
                <c:pt idx="47">
                  <c:v>6.5126022576485525</c:v>
                </c:pt>
                <c:pt idx="48">
                  <c:v>6.5240859964303581</c:v>
                </c:pt>
                <c:pt idx="49">
                  <c:v>6.5355697352122206</c:v>
                </c:pt>
                <c:pt idx="50">
                  <c:v>6.5700209515577512</c:v>
                </c:pt>
                <c:pt idx="51">
                  <c:v>6.5815046903396137</c:v>
                </c:pt>
                <c:pt idx="52">
                  <c:v>6.5929884291214762</c:v>
                </c:pt>
                <c:pt idx="53">
                  <c:v>6.6044721679032818</c:v>
                </c:pt>
                <c:pt idx="54">
                  <c:v>6.6159559066851443</c:v>
                </c:pt>
                <c:pt idx="55">
                  <c:v>6.6504071230306749</c:v>
                </c:pt>
                <c:pt idx="56">
                  <c:v>6.6618908618125374</c:v>
                </c:pt>
                <c:pt idx="57">
                  <c:v>6.6733746005943999</c:v>
                </c:pt>
                <c:pt idx="58">
                  <c:v>6.6848583393762624</c:v>
                </c:pt>
                <c:pt idx="59">
                  <c:v>6.696342078158068</c:v>
                </c:pt>
                <c:pt idx="60">
                  <c:v>6.7307932945035986</c:v>
                </c:pt>
                <c:pt idx="61">
                  <c:v>6.7422770332854611</c:v>
                </c:pt>
                <c:pt idx="62">
                  <c:v>6.7537607720673236</c:v>
                </c:pt>
                <c:pt idx="63">
                  <c:v>6.7652445108491861</c:v>
                </c:pt>
                <c:pt idx="64">
                  <c:v>6.7767282496309917</c:v>
                </c:pt>
                <c:pt idx="65">
                  <c:v>6.8111794659765792</c:v>
                </c:pt>
                <c:pt idx="66">
                  <c:v>6.8226632047583848</c:v>
                </c:pt>
                <c:pt idx="67">
                  <c:v>6.8341469435402473</c:v>
                </c:pt>
                <c:pt idx="68">
                  <c:v>6.8456306823221098</c:v>
                </c:pt>
                <c:pt idx="69">
                  <c:v>6.9030493762313085</c:v>
                </c:pt>
                <c:pt idx="70">
                  <c:v>6.914533115013171</c:v>
                </c:pt>
                <c:pt idx="71">
                  <c:v>6.9260168537950335</c:v>
                </c:pt>
                <c:pt idx="72">
                  <c:v>6.937500592576896</c:v>
                </c:pt>
                <c:pt idx="73">
                  <c:v>6.9719518089224266</c:v>
                </c:pt>
                <c:pt idx="74">
                  <c:v>6.9834355477042322</c:v>
                </c:pt>
                <c:pt idx="75">
                  <c:v>6.9949192864860947</c:v>
                </c:pt>
                <c:pt idx="76">
                  <c:v>7.0064030252679572</c:v>
                </c:pt>
                <c:pt idx="77">
                  <c:v>7.0178867640498197</c:v>
                </c:pt>
                <c:pt idx="78">
                  <c:v>7.0523379803953503</c:v>
                </c:pt>
                <c:pt idx="79">
                  <c:v>7.0638217191772128</c:v>
                </c:pt>
                <c:pt idx="80">
                  <c:v>7.0753054579590184</c:v>
                </c:pt>
                <c:pt idx="81">
                  <c:v>7.132724151868274</c:v>
                </c:pt>
                <c:pt idx="82">
                  <c:v>7.1442078906501365</c:v>
                </c:pt>
                <c:pt idx="83">
                  <c:v>7.1556916294319421</c:v>
                </c:pt>
                <c:pt idx="84">
                  <c:v>7.1671753682138046</c:v>
                </c:pt>
                <c:pt idx="85">
                  <c:v>7.1786591069956671</c:v>
                </c:pt>
                <c:pt idx="86">
                  <c:v>7.2131103233411977</c:v>
                </c:pt>
                <c:pt idx="87">
                  <c:v>7.2245940621230602</c:v>
                </c:pt>
                <c:pt idx="88">
                  <c:v>7.2360778009049227</c:v>
                </c:pt>
                <c:pt idx="89">
                  <c:v>7.2475615396867283</c:v>
                </c:pt>
                <c:pt idx="90">
                  <c:v>7.2590452784685908</c:v>
                </c:pt>
                <c:pt idx="91">
                  <c:v>7.2934964948141214</c:v>
                </c:pt>
                <c:pt idx="92">
                  <c:v>7.3049802335959839</c:v>
                </c:pt>
                <c:pt idx="93">
                  <c:v>7.3164639723778464</c:v>
                </c:pt>
                <c:pt idx="94">
                  <c:v>7.327947711159652</c:v>
                </c:pt>
                <c:pt idx="95">
                  <c:v>7.3394314499415145</c:v>
                </c:pt>
                <c:pt idx="96">
                  <c:v>7.3738826662870451</c:v>
                </c:pt>
                <c:pt idx="97">
                  <c:v>7.3853664050689076</c:v>
                </c:pt>
                <c:pt idx="98">
                  <c:v>7.3968501438507701</c:v>
                </c:pt>
                <c:pt idx="99">
                  <c:v>7.4083338826325758</c:v>
                </c:pt>
                <c:pt idx="100">
                  <c:v>7.4198176214144382</c:v>
                </c:pt>
                <c:pt idx="101">
                  <c:v>7.4542688377599688</c:v>
                </c:pt>
                <c:pt idx="102">
                  <c:v>7.4657525765418313</c:v>
                </c:pt>
                <c:pt idx="103">
                  <c:v>7.4772363153236938</c:v>
                </c:pt>
                <c:pt idx="104">
                  <c:v>7.4887200541055563</c:v>
                </c:pt>
                <c:pt idx="105">
                  <c:v>7.5002037928873619</c:v>
                </c:pt>
                <c:pt idx="106">
                  <c:v>7.5346550092328926</c:v>
                </c:pt>
                <c:pt idx="107">
                  <c:v>7.546138748014755</c:v>
                </c:pt>
                <c:pt idx="108">
                  <c:v>7.5576224867966175</c:v>
                </c:pt>
                <c:pt idx="109">
                  <c:v>7.56910622557848</c:v>
                </c:pt>
                <c:pt idx="110">
                  <c:v>7.5805899643602856</c:v>
                </c:pt>
                <c:pt idx="111">
                  <c:v>7.6150411807058731</c:v>
                </c:pt>
                <c:pt idx="112">
                  <c:v>7.6265249194876787</c:v>
                </c:pt>
                <c:pt idx="113">
                  <c:v>7.6380086582695412</c:v>
                </c:pt>
                <c:pt idx="114">
                  <c:v>7.6494923970514037</c:v>
                </c:pt>
                <c:pt idx="115">
                  <c:v>7.6609761358332094</c:v>
                </c:pt>
                <c:pt idx="116">
                  <c:v>7.6954273521787968</c:v>
                </c:pt>
                <c:pt idx="117">
                  <c:v>7.7069110909606025</c:v>
                </c:pt>
                <c:pt idx="118">
                  <c:v>7.7183948297424649</c:v>
                </c:pt>
                <c:pt idx="119">
                  <c:v>7.7413623073061899</c:v>
                </c:pt>
                <c:pt idx="120">
                  <c:v>7.7758135236517205</c:v>
                </c:pt>
                <c:pt idx="121">
                  <c:v>7.7872972624335262</c:v>
                </c:pt>
                <c:pt idx="122">
                  <c:v>7.8102647399972511</c:v>
                </c:pt>
                <c:pt idx="123">
                  <c:v>7.8217484787791136</c:v>
                </c:pt>
                <c:pt idx="124">
                  <c:v>7.8561996951246442</c:v>
                </c:pt>
                <c:pt idx="125">
                  <c:v>7.8676834339065067</c:v>
                </c:pt>
                <c:pt idx="126">
                  <c:v>7.8791671726883123</c:v>
                </c:pt>
                <c:pt idx="127">
                  <c:v>7.8906509114701748</c:v>
                </c:pt>
                <c:pt idx="128">
                  <c:v>7.9021346502520373</c:v>
                </c:pt>
                <c:pt idx="129">
                  <c:v>7.9365858665975679</c:v>
                </c:pt>
                <c:pt idx="130">
                  <c:v>7.9480696053794304</c:v>
                </c:pt>
                <c:pt idx="131">
                  <c:v>7.9595533441612361</c:v>
                </c:pt>
                <c:pt idx="132">
                  <c:v>7.9710370829430985</c:v>
                </c:pt>
                <c:pt idx="133">
                  <c:v>7.982520821724961</c:v>
                </c:pt>
                <c:pt idx="134">
                  <c:v>8.0169720380704916</c:v>
                </c:pt>
                <c:pt idx="135">
                  <c:v>8.0284557768523541</c:v>
                </c:pt>
                <c:pt idx="136">
                  <c:v>8.0399395156342166</c:v>
                </c:pt>
                <c:pt idx="137">
                  <c:v>8.0514232544160222</c:v>
                </c:pt>
                <c:pt idx="138">
                  <c:v>8.0629069931978847</c:v>
                </c:pt>
                <c:pt idx="139">
                  <c:v>8.0973582095434153</c:v>
                </c:pt>
                <c:pt idx="140">
                  <c:v>8.1088419483252778</c:v>
                </c:pt>
                <c:pt idx="141">
                  <c:v>8.1203256871071403</c:v>
                </c:pt>
                <c:pt idx="142">
                  <c:v>8.131809425888946</c:v>
                </c:pt>
                <c:pt idx="143">
                  <c:v>8.1432931646708084</c:v>
                </c:pt>
                <c:pt idx="144">
                  <c:v>8.177744381016339</c:v>
                </c:pt>
                <c:pt idx="145">
                  <c:v>8.1892281197982015</c:v>
                </c:pt>
                <c:pt idx="146">
                  <c:v>8.200711858580064</c:v>
                </c:pt>
                <c:pt idx="147">
                  <c:v>8.2121955973618697</c:v>
                </c:pt>
                <c:pt idx="148">
                  <c:v>8.2236793361437321</c:v>
                </c:pt>
                <c:pt idx="149">
                  <c:v>8.2581305524892628</c:v>
                </c:pt>
                <c:pt idx="150">
                  <c:v>8.2696142912711252</c:v>
                </c:pt>
                <c:pt idx="151">
                  <c:v>8.2810980300529877</c:v>
                </c:pt>
                <c:pt idx="152">
                  <c:v>8.2925817688348502</c:v>
                </c:pt>
                <c:pt idx="153">
                  <c:v>8.3040655076166559</c:v>
                </c:pt>
                <c:pt idx="154">
                  <c:v>8.3385167239621865</c:v>
                </c:pt>
                <c:pt idx="155">
                  <c:v>8.3500004627440489</c:v>
                </c:pt>
                <c:pt idx="156">
                  <c:v>8.3614842015259114</c:v>
                </c:pt>
                <c:pt idx="157">
                  <c:v>8.3729679403077739</c:v>
                </c:pt>
                <c:pt idx="158">
                  <c:v>8.3844516790895796</c:v>
                </c:pt>
                <c:pt idx="159">
                  <c:v>8.418902895435167</c:v>
                </c:pt>
                <c:pt idx="160">
                  <c:v>8.4303866342169727</c:v>
                </c:pt>
                <c:pt idx="161">
                  <c:v>8.4418703729988351</c:v>
                </c:pt>
                <c:pt idx="162">
                  <c:v>8.4533541117806976</c:v>
                </c:pt>
                <c:pt idx="163">
                  <c:v>8.4648378505625033</c:v>
                </c:pt>
                <c:pt idx="164">
                  <c:v>8.4992890669080907</c:v>
                </c:pt>
                <c:pt idx="165">
                  <c:v>8.5107728056898964</c:v>
                </c:pt>
                <c:pt idx="166">
                  <c:v>8.5222565444717588</c:v>
                </c:pt>
                <c:pt idx="167">
                  <c:v>8.5337402832536213</c:v>
                </c:pt>
                <c:pt idx="168">
                  <c:v>8.5452240220354838</c:v>
                </c:pt>
                <c:pt idx="169">
                  <c:v>8.5796752383810144</c:v>
                </c:pt>
                <c:pt idx="170">
                  <c:v>8.5911589771628201</c:v>
                </c:pt>
                <c:pt idx="171">
                  <c:v>8.6026427159446825</c:v>
                </c:pt>
                <c:pt idx="172">
                  <c:v>8.614126454726545</c:v>
                </c:pt>
                <c:pt idx="173">
                  <c:v>8.6256101935084075</c:v>
                </c:pt>
                <c:pt idx="174">
                  <c:v>8.6600614098539381</c:v>
                </c:pt>
                <c:pt idx="175">
                  <c:v>8.6715451486358006</c:v>
                </c:pt>
                <c:pt idx="176">
                  <c:v>8.6830288874176063</c:v>
                </c:pt>
                <c:pt idx="177">
                  <c:v>8.6945126261994687</c:v>
                </c:pt>
                <c:pt idx="178">
                  <c:v>8.7059963649813312</c:v>
                </c:pt>
                <c:pt idx="179">
                  <c:v>8.7404475813268618</c:v>
                </c:pt>
                <c:pt idx="180">
                  <c:v>8.7519313201087243</c:v>
                </c:pt>
                <c:pt idx="181">
                  <c:v>8.76341505889053</c:v>
                </c:pt>
                <c:pt idx="182">
                  <c:v>8.7748987976723924</c:v>
                </c:pt>
                <c:pt idx="183">
                  <c:v>8.7863825364542549</c:v>
                </c:pt>
                <c:pt idx="184">
                  <c:v>8.8208337527997855</c:v>
                </c:pt>
                <c:pt idx="185">
                  <c:v>8.832317491581648</c:v>
                </c:pt>
                <c:pt idx="186">
                  <c:v>8.8438012303635105</c:v>
                </c:pt>
                <c:pt idx="187">
                  <c:v>8.9012199242727092</c:v>
                </c:pt>
                <c:pt idx="188">
                  <c:v>8.9127036630545717</c:v>
                </c:pt>
                <c:pt idx="189">
                  <c:v>8.9241874018364342</c:v>
                </c:pt>
                <c:pt idx="190">
                  <c:v>8.9356711406182399</c:v>
                </c:pt>
                <c:pt idx="191">
                  <c:v>8.9471548794001023</c:v>
                </c:pt>
                <c:pt idx="192">
                  <c:v>8.981606095745633</c:v>
                </c:pt>
                <c:pt idx="193">
                  <c:v>9.0045735733093579</c:v>
                </c:pt>
                <c:pt idx="194">
                  <c:v>9.0160573120911636</c:v>
                </c:pt>
                <c:pt idx="195">
                  <c:v>9.0275410508730261</c:v>
                </c:pt>
                <c:pt idx="196">
                  <c:v>9.0619922672185567</c:v>
                </c:pt>
                <c:pt idx="197">
                  <c:v>9.0734760060004191</c:v>
                </c:pt>
                <c:pt idx="198">
                  <c:v>9.0849597447822816</c:v>
                </c:pt>
                <c:pt idx="199">
                  <c:v>9.0964434835641441</c:v>
                </c:pt>
                <c:pt idx="200">
                  <c:v>9.1079272223459498</c:v>
                </c:pt>
                <c:pt idx="201">
                  <c:v>9.1538621774733429</c:v>
                </c:pt>
                <c:pt idx="202">
                  <c:v>9.1653459162552053</c:v>
                </c:pt>
                <c:pt idx="203">
                  <c:v>9.1768296550370678</c:v>
                </c:pt>
                <c:pt idx="204">
                  <c:v>9.1883133938188735</c:v>
                </c:pt>
                <c:pt idx="205">
                  <c:v>9.2227646101644609</c:v>
                </c:pt>
                <c:pt idx="206">
                  <c:v>9.2342483489462666</c:v>
                </c:pt>
                <c:pt idx="207">
                  <c:v>9.245732087728129</c:v>
                </c:pt>
                <c:pt idx="208">
                  <c:v>9.2572158265099915</c:v>
                </c:pt>
                <c:pt idx="209">
                  <c:v>9.2686995652917972</c:v>
                </c:pt>
                <c:pt idx="210">
                  <c:v>9.3031507816373846</c:v>
                </c:pt>
                <c:pt idx="211">
                  <c:v>9.3146345204191903</c:v>
                </c:pt>
                <c:pt idx="212">
                  <c:v>9.3261182592010528</c:v>
                </c:pt>
                <c:pt idx="213">
                  <c:v>9.3376019979829152</c:v>
                </c:pt>
                <c:pt idx="214">
                  <c:v>9.3490857367647777</c:v>
                </c:pt>
                <c:pt idx="215">
                  <c:v>9.3835369531103083</c:v>
                </c:pt>
                <c:pt idx="216">
                  <c:v>9.3950206918921708</c:v>
                </c:pt>
                <c:pt idx="217">
                  <c:v>9.4065044306739765</c:v>
                </c:pt>
                <c:pt idx="218">
                  <c:v>9.4179881694558389</c:v>
                </c:pt>
                <c:pt idx="219">
                  <c:v>9.4294719082377014</c:v>
                </c:pt>
                <c:pt idx="220">
                  <c:v>9.463923124583232</c:v>
                </c:pt>
                <c:pt idx="221">
                  <c:v>9.4754068633650945</c:v>
                </c:pt>
                <c:pt idx="222">
                  <c:v>9.4868906021469002</c:v>
                </c:pt>
                <c:pt idx="223">
                  <c:v>9.4983743409287626</c:v>
                </c:pt>
                <c:pt idx="224">
                  <c:v>9.5098580797106251</c:v>
                </c:pt>
                <c:pt idx="225">
                  <c:v>9.5443092960561557</c:v>
                </c:pt>
                <c:pt idx="226">
                  <c:v>9.5557930348380182</c:v>
                </c:pt>
                <c:pt idx="227">
                  <c:v>9.5672767736198239</c:v>
                </c:pt>
                <c:pt idx="228">
                  <c:v>9.5787605124016864</c:v>
                </c:pt>
                <c:pt idx="229">
                  <c:v>9.5902442511835488</c:v>
                </c:pt>
                <c:pt idx="230">
                  <c:v>9.6246954675290795</c:v>
                </c:pt>
                <c:pt idx="231">
                  <c:v>9.6361792063109419</c:v>
                </c:pt>
                <c:pt idx="232">
                  <c:v>9.6476629450928044</c:v>
                </c:pt>
                <c:pt idx="233">
                  <c:v>9.6591466838746101</c:v>
                </c:pt>
                <c:pt idx="234">
                  <c:v>9.6706304226564725</c:v>
                </c:pt>
                <c:pt idx="235">
                  <c:v>9.7050816390020032</c:v>
                </c:pt>
                <c:pt idx="236">
                  <c:v>9.7165653777838656</c:v>
                </c:pt>
                <c:pt idx="237">
                  <c:v>9.7280491165657281</c:v>
                </c:pt>
                <c:pt idx="238">
                  <c:v>9.7395328553475338</c:v>
                </c:pt>
                <c:pt idx="239">
                  <c:v>9.7510165941293963</c:v>
                </c:pt>
                <c:pt idx="240">
                  <c:v>9.7854678104749269</c:v>
                </c:pt>
                <c:pt idx="241">
                  <c:v>9.7969515492567893</c:v>
                </c:pt>
                <c:pt idx="242">
                  <c:v>9.8084352880386518</c:v>
                </c:pt>
                <c:pt idx="243">
                  <c:v>9.8199190268204575</c:v>
                </c:pt>
                <c:pt idx="244">
                  <c:v>9.8658539819478506</c:v>
                </c:pt>
                <c:pt idx="245">
                  <c:v>9.8773377207297131</c:v>
                </c:pt>
                <c:pt idx="246">
                  <c:v>9.8888214595115755</c:v>
                </c:pt>
                <c:pt idx="247">
                  <c:v>9.900305198293438</c:v>
                </c:pt>
                <c:pt idx="248">
                  <c:v>9.9462401534207743</c:v>
                </c:pt>
                <c:pt idx="249">
                  <c:v>9.9577238922026368</c:v>
                </c:pt>
                <c:pt idx="250">
                  <c:v>9.9692076309844992</c:v>
                </c:pt>
                <c:pt idx="251">
                  <c:v>9.9806913697663617</c:v>
                </c:pt>
                <c:pt idx="252">
                  <c:v>9.9921751085481674</c:v>
                </c:pt>
                <c:pt idx="253">
                  <c:v>10.026626324893755</c:v>
                </c:pt>
                <c:pt idx="254">
                  <c:v>10.03811006367556</c:v>
                </c:pt>
                <c:pt idx="255">
                  <c:v>10.049593802457423</c:v>
                </c:pt>
                <c:pt idx="256">
                  <c:v>10.061077541239285</c:v>
                </c:pt>
                <c:pt idx="257">
                  <c:v>10.072561280021091</c:v>
                </c:pt>
                <c:pt idx="258">
                  <c:v>10.107012496366679</c:v>
                </c:pt>
                <c:pt idx="259">
                  <c:v>10.118496235148484</c:v>
                </c:pt>
                <c:pt idx="260">
                  <c:v>10.129979973930347</c:v>
                </c:pt>
                <c:pt idx="261">
                  <c:v>10.141463712712209</c:v>
                </c:pt>
                <c:pt idx="262">
                  <c:v>10.152947451494072</c:v>
                </c:pt>
                <c:pt idx="263">
                  <c:v>10.187398667839602</c:v>
                </c:pt>
                <c:pt idx="264">
                  <c:v>10.198882406621465</c:v>
                </c:pt>
                <c:pt idx="265">
                  <c:v>10.21036614540327</c:v>
                </c:pt>
                <c:pt idx="266">
                  <c:v>10.221849884185133</c:v>
                </c:pt>
                <c:pt idx="267">
                  <c:v>10.233333622966995</c:v>
                </c:pt>
                <c:pt idx="268">
                  <c:v>10.267784839312526</c:v>
                </c:pt>
                <c:pt idx="269">
                  <c:v>10.279268578094388</c:v>
                </c:pt>
                <c:pt idx="270">
                  <c:v>10.290752316876194</c:v>
                </c:pt>
                <c:pt idx="271">
                  <c:v>10.302236055658057</c:v>
                </c:pt>
                <c:pt idx="272">
                  <c:v>10.313719794439919</c:v>
                </c:pt>
                <c:pt idx="273">
                  <c:v>10.34817101078545</c:v>
                </c:pt>
                <c:pt idx="274">
                  <c:v>10.359654749567312</c:v>
                </c:pt>
                <c:pt idx="275">
                  <c:v>10.371138488349118</c:v>
                </c:pt>
                <c:pt idx="276">
                  <c:v>10.38262222713098</c:v>
                </c:pt>
                <c:pt idx="277">
                  <c:v>10.440040921040236</c:v>
                </c:pt>
              </c:numCache>
            </c:numRef>
          </c:yVal>
          <c:smooth val="0"/>
          <c:extLst>
            <c:ext xmlns:c16="http://schemas.microsoft.com/office/drawing/2014/chart" uri="{C3380CC4-5D6E-409C-BE32-E72D297353CC}">
              <c16:uniqueId val="{00000001-11D1-4AC1-AA4D-73DD0C0C6796}"/>
            </c:ext>
          </c:extLst>
        </c:ser>
        <c:dLbls>
          <c:showLegendKey val="0"/>
          <c:showVal val="0"/>
          <c:showCatName val="0"/>
          <c:showSerName val="0"/>
          <c:showPercent val="0"/>
          <c:showBubbleSize val="0"/>
        </c:dLbls>
        <c:axId val="940724224"/>
        <c:axId val="940721928"/>
      </c:scatterChart>
      <c:valAx>
        <c:axId val="940724224"/>
        <c:scaling>
          <c:orientation val="minMax"/>
          <c:max val="44243"/>
          <c:min val="43832"/>
        </c:scaling>
        <c:delete val="0"/>
        <c:axPos val="b"/>
        <c:numFmt formatCode="d\ mmm\ yyyy" sourceLinked="0"/>
        <c:majorTickMark val="out"/>
        <c:minorTickMark val="none"/>
        <c:tickLblPos val="nextTo"/>
        <c:crossAx val="940721928"/>
        <c:crossesAt val="3"/>
        <c:crossBetween val="midCat"/>
        <c:majorUnit val="100"/>
        <c:minorUnit val="5"/>
      </c:valAx>
      <c:valAx>
        <c:axId val="940721928"/>
        <c:scaling>
          <c:orientation val="minMax"/>
          <c:min val="3"/>
        </c:scaling>
        <c:delete val="0"/>
        <c:axPos val="l"/>
        <c:title>
          <c:tx>
            <c:rich>
              <a:bodyPr/>
              <a:lstStyle/>
              <a:p>
                <a:pPr>
                  <a:defRPr/>
                </a:pPr>
                <a:r>
                  <a:rPr lang="en-US"/>
                  <a:t>Daily</a:t>
                </a:r>
                <a:r>
                  <a:rPr lang="en-US" baseline="0"/>
                  <a:t> Closing Price in HKD</a:t>
                </a:r>
                <a:endParaRPr lang="en-US"/>
              </a:p>
            </c:rich>
          </c:tx>
          <c:overlay val="0"/>
        </c:title>
        <c:numFmt formatCode="0.00" sourceLinked="1"/>
        <c:majorTickMark val="out"/>
        <c:minorTickMark val="none"/>
        <c:tickLblPos val="nextTo"/>
        <c:crossAx val="940724224"/>
        <c:crosses val="autoZero"/>
        <c:crossBetween val="midCat"/>
      </c:valAx>
    </c:plotArea>
    <c:legend>
      <c:legendPos val="b"/>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Gold in HKD per ounce</c:v>
                </c:pt>
              </c:strCache>
            </c:strRef>
          </c:tx>
          <c:spPr>
            <a:ln w="28575" cap="rnd">
              <a:solidFill>
                <a:schemeClr val="accent1"/>
              </a:solidFill>
              <a:round/>
            </a:ln>
            <a:effectLst/>
          </c:spPr>
          <c:marker>
            <c:symbol val="none"/>
          </c:marker>
          <c:cat>
            <c:numRef>
              <c:f>Sheet1!$A$2:$A$159</c:f>
              <c:numCache>
                <c:formatCode>m/d/yyyy</c:formatCode>
                <c:ptCount val="158"/>
                <c:pt idx="0">
                  <c:v>44050</c:v>
                </c:pt>
                <c:pt idx="1">
                  <c:v>44043</c:v>
                </c:pt>
                <c:pt idx="2">
                  <c:v>44071</c:v>
                </c:pt>
                <c:pt idx="3">
                  <c:v>44201</c:v>
                </c:pt>
                <c:pt idx="4">
                  <c:v>44141</c:v>
                </c:pt>
                <c:pt idx="5">
                  <c:v>44140</c:v>
                </c:pt>
                <c:pt idx="6">
                  <c:v>44092</c:v>
                </c:pt>
                <c:pt idx="7">
                  <c:v>44057</c:v>
                </c:pt>
                <c:pt idx="8">
                  <c:v>44200</c:v>
                </c:pt>
                <c:pt idx="9">
                  <c:v>44064</c:v>
                </c:pt>
                <c:pt idx="10">
                  <c:v>44085</c:v>
                </c:pt>
                <c:pt idx="11">
                  <c:v>44078</c:v>
                </c:pt>
                <c:pt idx="12">
                  <c:v>44113</c:v>
                </c:pt>
                <c:pt idx="13">
                  <c:v>44202</c:v>
                </c:pt>
                <c:pt idx="14">
                  <c:v>44203</c:v>
                </c:pt>
                <c:pt idx="15">
                  <c:v>44138</c:v>
                </c:pt>
                <c:pt idx="16">
                  <c:v>44131</c:v>
                </c:pt>
                <c:pt idx="17">
                  <c:v>44139</c:v>
                </c:pt>
                <c:pt idx="18">
                  <c:v>44130</c:v>
                </c:pt>
                <c:pt idx="19">
                  <c:v>44036</c:v>
                </c:pt>
                <c:pt idx="20">
                  <c:v>44127</c:v>
                </c:pt>
                <c:pt idx="21">
                  <c:v>44120</c:v>
                </c:pt>
                <c:pt idx="22">
                  <c:v>44106</c:v>
                </c:pt>
                <c:pt idx="23">
                  <c:v>44196</c:v>
                </c:pt>
                <c:pt idx="24">
                  <c:v>44197</c:v>
                </c:pt>
                <c:pt idx="25">
                  <c:v>44137</c:v>
                </c:pt>
                <c:pt idx="26">
                  <c:v>44195</c:v>
                </c:pt>
                <c:pt idx="27">
                  <c:v>44148</c:v>
                </c:pt>
                <c:pt idx="28">
                  <c:v>44151</c:v>
                </c:pt>
                <c:pt idx="29">
                  <c:v>44182</c:v>
                </c:pt>
                <c:pt idx="30">
                  <c:v>44183</c:v>
                </c:pt>
                <c:pt idx="31">
                  <c:v>44152</c:v>
                </c:pt>
                <c:pt idx="32">
                  <c:v>44189</c:v>
                </c:pt>
                <c:pt idx="33">
                  <c:v>44190</c:v>
                </c:pt>
                <c:pt idx="34">
                  <c:v>44194</c:v>
                </c:pt>
                <c:pt idx="35">
                  <c:v>44134</c:v>
                </c:pt>
                <c:pt idx="36">
                  <c:v>44145</c:v>
                </c:pt>
                <c:pt idx="37">
                  <c:v>44147</c:v>
                </c:pt>
                <c:pt idx="38">
                  <c:v>44186</c:v>
                </c:pt>
                <c:pt idx="39">
                  <c:v>44132</c:v>
                </c:pt>
                <c:pt idx="40">
                  <c:v>44193</c:v>
                </c:pt>
                <c:pt idx="41">
                  <c:v>44188</c:v>
                </c:pt>
                <c:pt idx="42">
                  <c:v>44153</c:v>
                </c:pt>
                <c:pt idx="43">
                  <c:v>44155</c:v>
                </c:pt>
                <c:pt idx="44">
                  <c:v>44173</c:v>
                </c:pt>
                <c:pt idx="45">
                  <c:v>44133</c:v>
                </c:pt>
                <c:pt idx="46">
                  <c:v>44154</c:v>
                </c:pt>
                <c:pt idx="47">
                  <c:v>44146</c:v>
                </c:pt>
                <c:pt idx="48">
                  <c:v>44181</c:v>
                </c:pt>
                <c:pt idx="49">
                  <c:v>44144</c:v>
                </c:pt>
                <c:pt idx="50">
                  <c:v>44172</c:v>
                </c:pt>
                <c:pt idx="51">
                  <c:v>44099</c:v>
                </c:pt>
                <c:pt idx="52">
                  <c:v>44187</c:v>
                </c:pt>
                <c:pt idx="53">
                  <c:v>44208</c:v>
                </c:pt>
                <c:pt idx="54">
                  <c:v>44229.083333333336</c:v>
                </c:pt>
                <c:pt idx="55">
                  <c:v>44180</c:v>
                </c:pt>
                <c:pt idx="56">
                  <c:v>44204</c:v>
                </c:pt>
                <c:pt idx="57">
                  <c:v>44210</c:v>
                </c:pt>
                <c:pt idx="58">
                  <c:v>44209</c:v>
                </c:pt>
                <c:pt idx="59">
                  <c:v>44207</c:v>
                </c:pt>
                <c:pt idx="60">
                  <c:v>44168</c:v>
                </c:pt>
                <c:pt idx="61">
                  <c:v>44215</c:v>
                </c:pt>
                <c:pt idx="62">
                  <c:v>44176</c:v>
                </c:pt>
                <c:pt idx="63">
                  <c:v>44174</c:v>
                </c:pt>
                <c:pt idx="64">
                  <c:v>44169</c:v>
                </c:pt>
                <c:pt idx="65">
                  <c:v>44214</c:v>
                </c:pt>
                <c:pt idx="66">
                  <c:v>44158</c:v>
                </c:pt>
                <c:pt idx="67">
                  <c:v>44175</c:v>
                </c:pt>
                <c:pt idx="68">
                  <c:v>44167</c:v>
                </c:pt>
                <c:pt idx="69">
                  <c:v>44211</c:v>
                </c:pt>
                <c:pt idx="70">
                  <c:v>44179</c:v>
                </c:pt>
                <c:pt idx="71">
                  <c:v>44166</c:v>
                </c:pt>
                <c:pt idx="72">
                  <c:v>44029</c:v>
                </c:pt>
                <c:pt idx="73">
                  <c:v>44161</c:v>
                </c:pt>
                <c:pt idx="74">
                  <c:v>44159</c:v>
                </c:pt>
                <c:pt idx="75">
                  <c:v>44160</c:v>
                </c:pt>
                <c:pt idx="76">
                  <c:v>44022</c:v>
                </c:pt>
                <c:pt idx="77">
                  <c:v>44162</c:v>
                </c:pt>
                <c:pt idx="78">
                  <c:v>44165</c:v>
                </c:pt>
                <c:pt idx="79">
                  <c:v>44015</c:v>
                </c:pt>
                <c:pt idx="80">
                  <c:v>44008</c:v>
                </c:pt>
                <c:pt idx="81">
                  <c:v>44001</c:v>
                </c:pt>
                <c:pt idx="82">
                  <c:v>43966</c:v>
                </c:pt>
                <c:pt idx="83">
                  <c:v>43973</c:v>
                </c:pt>
                <c:pt idx="84">
                  <c:v>43994</c:v>
                </c:pt>
                <c:pt idx="85">
                  <c:v>43945</c:v>
                </c:pt>
                <c:pt idx="86">
                  <c:v>43980</c:v>
                </c:pt>
                <c:pt idx="87">
                  <c:v>43952</c:v>
                </c:pt>
                <c:pt idx="88">
                  <c:v>43959</c:v>
                </c:pt>
                <c:pt idx="89">
                  <c:v>43938</c:v>
                </c:pt>
                <c:pt idx="90">
                  <c:v>43931</c:v>
                </c:pt>
                <c:pt idx="91">
                  <c:v>43987</c:v>
                </c:pt>
                <c:pt idx="92">
                  <c:v>43896</c:v>
                </c:pt>
                <c:pt idx="93">
                  <c:v>43882</c:v>
                </c:pt>
                <c:pt idx="94">
                  <c:v>43917</c:v>
                </c:pt>
                <c:pt idx="95">
                  <c:v>43924</c:v>
                </c:pt>
                <c:pt idx="96">
                  <c:v>43889</c:v>
                </c:pt>
                <c:pt idx="97">
                  <c:v>43861</c:v>
                </c:pt>
                <c:pt idx="98">
                  <c:v>43875</c:v>
                </c:pt>
                <c:pt idx="99">
                  <c:v>43854</c:v>
                </c:pt>
                <c:pt idx="100">
                  <c:v>43868</c:v>
                </c:pt>
                <c:pt idx="101">
                  <c:v>43840</c:v>
                </c:pt>
                <c:pt idx="102">
                  <c:v>43847</c:v>
                </c:pt>
                <c:pt idx="103">
                  <c:v>43833</c:v>
                </c:pt>
                <c:pt idx="104">
                  <c:v>43700</c:v>
                </c:pt>
                <c:pt idx="105">
                  <c:v>43707</c:v>
                </c:pt>
                <c:pt idx="106">
                  <c:v>43728</c:v>
                </c:pt>
                <c:pt idx="107">
                  <c:v>43903</c:v>
                </c:pt>
                <c:pt idx="108">
                  <c:v>43693</c:v>
                </c:pt>
                <c:pt idx="109">
                  <c:v>43770</c:v>
                </c:pt>
                <c:pt idx="110">
                  <c:v>43714</c:v>
                </c:pt>
                <c:pt idx="111">
                  <c:v>43742</c:v>
                </c:pt>
                <c:pt idx="112">
                  <c:v>43763</c:v>
                </c:pt>
                <c:pt idx="113">
                  <c:v>43826</c:v>
                </c:pt>
                <c:pt idx="114">
                  <c:v>43686</c:v>
                </c:pt>
                <c:pt idx="115">
                  <c:v>43735</c:v>
                </c:pt>
                <c:pt idx="116">
                  <c:v>43756</c:v>
                </c:pt>
                <c:pt idx="117">
                  <c:v>43749</c:v>
                </c:pt>
                <c:pt idx="118">
                  <c:v>43721</c:v>
                </c:pt>
                <c:pt idx="119">
                  <c:v>43910</c:v>
                </c:pt>
                <c:pt idx="120">
                  <c:v>43819</c:v>
                </c:pt>
                <c:pt idx="121">
                  <c:v>43812</c:v>
                </c:pt>
                <c:pt idx="122">
                  <c:v>43784</c:v>
                </c:pt>
                <c:pt idx="123">
                  <c:v>43798</c:v>
                </c:pt>
                <c:pt idx="124">
                  <c:v>43791</c:v>
                </c:pt>
                <c:pt idx="125">
                  <c:v>43805</c:v>
                </c:pt>
                <c:pt idx="126">
                  <c:v>43777</c:v>
                </c:pt>
                <c:pt idx="127">
                  <c:v>43679</c:v>
                </c:pt>
                <c:pt idx="128">
                  <c:v>43665</c:v>
                </c:pt>
                <c:pt idx="129">
                  <c:v>43672</c:v>
                </c:pt>
                <c:pt idx="130">
                  <c:v>43658</c:v>
                </c:pt>
                <c:pt idx="131">
                  <c:v>43644</c:v>
                </c:pt>
                <c:pt idx="132">
                  <c:v>43637</c:v>
                </c:pt>
                <c:pt idx="133">
                  <c:v>43651</c:v>
                </c:pt>
                <c:pt idx="134">
                  <c:v>43623</c:v>
                </c:pt>
                <c:pt idx="135">
                  <c:v>43630</c:v>
                </c:pt>
                <c:pt idx="136">
                  <c:v>43518</c:v>
                </c:pt>
                <c:pt idx="137">
                  <c:v>43511</c:v>
                </c:pt>
                <c:pt idx="138">
                  <c:v>43497</c:v>
                </c:pt>
                <c:pt idx="139">
                  <c:v>43504</c:v>
                </c:pt>
                <c:pt idx="140">
                  <c:v>43546</c:v>
                </c:pt>
                <c:pt idx="141">
                  <c:v>43616</c:v>
                </c:pt>
                <c:pt idx="142">
                  <c:v>43539</c:v>
                </c:pt>
                <c:pt idx="143">
                  <c:v>43490</c:v>
                </c:pt>
                <c:pt idx="144">
                  <c:v>43532</c:v>
                </c:pt>
                <c:pt idx="145">
                  <c:v>43525</c:v>
                </c:pt>
                <c:pt idx="146">
                  <c:v>43553</c:v>
                </c:pt>
                <c:pt idx="147">
                  <c:v>43560</c:v>
                </c:pt>
                <c:pt idx="148">
                  <c:v>43567</c:v>
                </c:pt>
                <c:pt idx="149">
                  <c:v>43595</c:v>
                </c:pt>
                <c:pt idx="150">
                  <c:v>43476</c:v>
                </c:pt>
                <c:pt idx="151">
                  <c:v>43581</c:v>
                </c:pt>
                <c:pt idx="152">
                  <c:v>43609</c:v>
                </c:pt>
                <c:pt idx="153">
                  <c:v>43469</c:v>
                </c:pt>
                <c:pt idx="154">
                  <c:v>43483</c:v>
                </c:pt>
                <c:pt idx="155">
                  <c:v>43588</c:v>
                </c:pt>
                <c:pt idx="156">
                  <c:v>43602</c:v>
                </c:pt>
                <c:pt idx="157">
                  <c:v>43574</c:v>
                </c:pt>
              </c:numCache>
            </c:numRef>
          </c:cat>
          <c:val>
            <c:numRef>
              <c:f>Sheet1!$B$2:$B$159</c:f>
              <c:numCache>
                <c:formatCode>0.00</c:formatCode>
                <c:ptCount val="158"/>
                <c:pt idx="0">
                  <c:v>15719.440399999999</c:v>
                </c:pt>
                <c:pt idx="1">
                  <c:v>15265.7677</c:v>
                </c:pt>
                <c:pt idx="2">
                  <c:v>15175.003199999999</c:v>
                </c:pt>
                <c:pt idx="3">
                  <c:v>15073.659100000001</c:v>
                </c:pt>
                <c:pt idx="4">
                  <c:v>15068.8343</c:v>
                </c:pt>
                <c:pt idx="5">
                  <c:v>15064.9491</c:v>
                </c:pt>
                <c:pt idx="6">
                  <c:v>15055.252500000001</c:v>
                </c:pt>
                <c:pt idx="7">
                  <c:v>15024.9414</c:v>
                </c:pt>
                <c:pt idx="8">
                  <c:v>15010.0985</c:v>
                </c:pt>
                <c:pt idx="9">
                  <c:v>15004.845799999999</c:v>
                </c:pt>
                <c:pt idx="10">
                  <c:v>14987.0785</c:v>
                </c:pt>
                <c:pt idx="11">
                  <c:v>14946.910400000001</c:v>
                </c:pt>
                <c:pt idx="12">
                  <c:v>14913.6919</c:v>
                </c:pt>
                <c:pt idx="13">
                  <c:v>14824.814200000001</c:v>
                </c:pt>
                <c:pt idx="14">
                  <c:v>14790.6119</c:v>
                </c:pt>
                <c:pt idx="15">
                  <c:v>14746.406999999999</c:v>
                </c:pt>
                <c:pt idx="16">
                  <c:v>14736.21</c:v>
                </c:pt>
                <c:pt idx="17">
                  <c:v>14707.2883</c:v>
                </c:pt>
                <c:pt idx="18">
                  <c:v>14695.2675</c:v>
                </c:pt>
                <c:pt idx="19">
                  <c:v>14690.204299999999</c:v>
                </c:pt>
                <c:pt idx="20">
                  <c:v>14687.5425</c:v>
                </c:pt>
                <c:pt idx="21">
                  <c:v>14674.2327</c:v>
                </c:pt>
                <c:pt idx="22">
                  <c:v>14667.850200000001</c:v>
                </c:pt>
                <c:pt idx="23">
                  <c:v>14666.9848</c:v>
                </c:pt>
                <c:pt idx="24">
                  <c:v>14666.6052</c:v>
                </c:pt>
                <c:pt idx="25">
                  <c:v>14645.055</c:v>
                </c:pt>
                <c:pt idx="26">
                  <c:v>14637.066699999999</c:v>
                </c:pt>
                <c:pt idx="27">
                  <c:v>14600.8711</c:v>
                </c:pt>
                <c:pt idx="28">
                  <c:v>14594.911899999999</c:v>
                </c:pt>
                <c:pt idx="29">
                  <c:v>14572.9151</c:v>
                </c:pt>
                <c:pt idx="30">
                  <c:v>14534.1108</c:v>
                </c:pt>
                <c:pt idx="31">
                  <c:v>14527.888000000001</c:v>
                </c:pt>
                <c:pt idx="32">
                  <c:v>14518.2179</c:v>
                </c:pt>
                <c:pt idx="33">
                  <c:v>14518.03</c:v>
                </c:pt>
                <c:pt idx="34">
                  <c:v>14517.777899999999</c:v>
                </c:pt>
                <c:pt idx="35">
                  <c:v>14515.1908</c:v>
                </c:pt>
                <c:pt idx="36">
                  <c:v>14512.5555</c:v>
                </c:pt>
                <c:pt idx="37">
                  <c:v>14505.5995</c:v>
                </c:pt>
                <c:pt idx="38">
                  <c:v>14502.3869</c:v>
                </c:pt>
                <c:pt idx="39">
                  <c:v>14496.1502</c:v>
                </c:pt>
                <c:pt idx="40">
                  <c:v>14478.828</c:v>
                </c:pt>
                <c:pt idx="41">
                  <c:v>14472.811100000001</c:v>
                </c:pt>
                <c:pt idx="42">
                  <c:v>14461.642</c:v>
                </c:pt>
                <c:pt idx="43">
                  <c:v>14452.954900000001</c:v>
                </c:pt>
                <c:pt idx="44">
                  <c:v>14450.311900000001</c:v>
                </c:pt>
                <c:pt idx="45">
                  <c:v>14428.2536</c:v>
                </c:pt>
                <c:pt idx="46">
                  <c:v>14419.888199999999</c:v>
                </c:pt>
                <c:pt idx="47">
                  <c:v>14416.876899999999</c:v>
                </c:pt>
                <c:pt idx="48">
                  <c:v>14411.2547</c:v>
                </c:pt>
                <c:pt idx="49">
                  <c:v>14401.369000000001</c:v>
                </c:pt>
                <c:pt idx="50">
                  <c:v>14385.812</c:v>
                </c:pt>
                <c:pt idx="51">
                  <c:v>14377.397800000001</c:v>
                </c:pt>
                <c:pt idx="52">
                  <c:v>14369.2863</c:v>
                </c:pt>
                <c:pt idx="53">
                  <c:v>14337.665999999999</c:v>
                </c:pt>
                <c:pt idx="54">
                  <c:v>14334.8835</c:v>
                </c:pt>
                <c:pt idx="55">
                  <c:v>14323.2003</c:v>
                </c:pt>
                <c:pt idx="56">
                  <c:v>14302.905000000001</c:v>
                </c:pt>
                <c:pt idx="57">
                  <c:v>14270.709500000001</c:v>
                </c:pt>
                <c:pt idx="58">
                  <c:v>14255.4377</c:v>
                </c:pt>
                <c:pt idx="59">
                  <c:v>14249.482</c:v>
                </c:pt>
                <c:pt idx="60">
                  <c:v>14225.8838</c:v>
                </c:pt>
                <c:pt idx="61">
                  <c:v>14215.177900000001</c:v>
                </c:pt>
                <c:pt idx="62">
                  <c:v>14212.3449</c:v>
                </c:pt>
                <c:pt idx="63">
                  <c:v>14211.351500000001</c:v>
                </c:pt>
                <c:pt idx="64">
                  <c:v>14200.609200000001</c:v>
                </c:pt>
                <c:pt idx="65">
                  <c:v>14199.7947</c:v>
                </c:pt>
                <c:pt idx="66">
                  <c:v>14197.0386</c:v>
                </c:pt>
                <c:pt idx="67">
                  <c:v>14188.21</c:v>
                </c:pt>
                <c:pt idx="68">
                  <c:v>14146.0424</c:v>
                </c:pt>
                <c:pt idx="69">
                  <c:v>14132.8837</c:v>
                </c:pt>
                <c:pt idx="70">
                  <c:v>14118.226199999999</c:v>
                </c:pt>
                <c:pt idx="71">
                  <c:v>14025.505800000001</c:v>
                </c:pt>
                <c:pt idx="72">
                  <c:v>13991.627699999999</c:v>
                </c:pt>
                <c:pt idx="73">
                  <c:v>13984.2896</c:v>
                </c:pt>
                <c:pt idx="74">
                  <c:v>13976.6958</c:v>
                </c:pt>
                <c:pt idx="75">
                  <c:v>13968.6574</c:v>
                </c:pt>
                <c:pt idx="76">
                  <c:v>13898.5016</c:v>
                </c:pt>
                <c:pt idx="77">
                  <c:v>13811.233899999999</c:v>
                </c:pt>
                <c:pt idx="78">
                  <c:v>13723.454100000001</c:v>
                </c:pt>
                <c:pt idx="79">
                  <c:v>13705.8205</c:v>
                </c:pt>
                <c:pt idx="80">
                  <c:v>13685.369000000001</c:v>
                </c:pt>
                <c:pt idx="81">
                  <c:v>13470.855</c:v>
                </c:pt>
                <c:pt idx="82">
                  <c:v>13459.888800000001</c:v>
                </c:pt>
                <c:pt idx="83">
                  <c:v>13396.543299999999</c:v>
                </c:pt>
                <c:pt idx="84">
                  <c:v>13367.7664</c:v>
                </c:pt>
                <c:pt idx="85">
                  <c:v>13360.733399999999</c:v>
                </c:pt>
                <c:pt idx="86">
                  <c:v>13355.763300000001</c:v>
                </c:pt>
                <c:pt idx="87">
                  <c:v>13158.6489</c:v>
                </c:pt>
                <c:pt idx="88">
                  <c:v>13157.6271</c:v>
                </c:pt>
                <c:pt idx="89">
                  <c:v>13028.043900000001</c:v>
                </c:pt>
                <c:pt idx="90">
                  <c:v>13024.9683</c:v>
                </c:pt>
                <c:pt idx="91">
                  <c:v>13008.731599999999</c:v>
                </c:pt>
                <c:pt idx="92">
                  <c:v>12961.8403</c:v>
                </c:pt>
                <c:pt idx="93">
                  <c:v>12752.473099999999</c:v>
                </c:pt>
                <c:pt idx="94">
                  <c:v>12578.5792</c:v>
                </c:pt>
                <c:pt idx="95">
                  <c:v>12532.1351</c:v>
                </c:pt>
                <c:pt idx="96">
                  <c:v>12319.1765</c:v>
                </c:pt>
                <c:pt idx="97">
                  <c:v>12294.6723</c:v>
                </c:pt>
                <c:pt idx="98">
                  <c:v>12261.181399999999</c:v>
                </c:pt>
                <c:pt idx="99">
                  <c:v>12175.8138</c:v>
                </c:pt>
                <c:pt idx="100">
                  <c:v>12153.37</c:v>
                </c:pt>
                <c:pt idx="101">
                  <c:v>12092.0599</c:v>
                </c:pt>
                <c:pt idx="102">
                  <c:v>12053.2168</c:v>
                </c:pt>
                <c:pt idx="103">
                  <c:v>12036.8447</c:v>
                </c:pt>
                <c:pt idx="104">
                  <c:v>11934.9588</c:v>
                </c:pt>
                <c:pt idx="105">
                  <c:v>11880.9926</c:v>
                </c:pt>
                <c:pt idx="106">
                  <c:v>11849.9771</c:v>
                </c:pt>
                <c:pt idx="107">
                  <c:v>11847.086600000001</c:v>
                </c:pt>
                <c:pt idx="108">
                  <c:v>11829.339599999999</c:v>
                </c:pt>
                <c:pt idx="109">
                  <c:v>11826.6351</c:v>
                </c:pt>
                <c:pt idx="110">
                  <c:v>11772.243</c:v>
                </c:pt>
                <c:pt idx="111">
                  <c:v>11752.857599999999</c:v>
                </c:pt>
                <c:pt idx="112">
                  <c:v>11749.699199999999</c:v>
                </c:pt>
                <c:pt idx="113">
                  <c:v>11725.620999999999</c:v>
                </c:pt>
                <c:pt idx="114">
                  <c:v>11695.795400000001</c:v>
                </c:pt>
                <c:pt idx="115">
                  <c:v>11690.3089</c:v>
                </c:pt>
                <c:pt idx="116">
                  <c:v>11644.948</c:v>
                </c:pt>
                <c:pt idx="117">
                  <c:v>11640.331700000001</c:v>
                </c:pt>
                <c:pt idx="118">
                  <c:v>11598.4781</c:v>
                </c:pt>
                <c:pt idx="119">
                  <c:v>11588.5717</c:v>
                </c:pt>
                <c:pt idx="120">
                  <c:v>11487.4637</c:v>
                </c:pt>
                <c:pt idx="121">
                  <c:v>11472.3869</c:v>
                </c:pt>
                <c:pt idx="122">
                  <c:v>11450.207200000001</c:v>
                </c:pt>
                <c:pt idx="123">
                  <c:v>11423.592000000001</c:v>
                </c:pt>
                <c:pt idx="124">
                  <c:v>11396.4339</c:v>
                </c:pt>
                <c:pt idx="125">
                  <c:v>11391.7907</c:v>
                </c:pt>
                <c:pt idx="126">
                  <c:v>11381.411700000001</c:v>
                </c:pt>
                <c:pt idx="127">
                  <c:v>11237.76</c:v>
                </c:pt>
                <c:pt idx="128">
                  <c:v>11091.772499999999</c:v>
                </c:pt>
                <c:pt idx="129">
                  <c:v>11053.804700000001</c:v>
                </c:pt>
                <c:pt idx="130">
                  <c:v>11040.6891</c:v>
                </c:pt>
                <c:pt idx="131">
                  <c:v>10971.9496</c:v>
                </c:pt>
                <c:pt idx="132">
                  <c:v>10896.6711</c:v>
                </c:pt>
                <c:pt idx="133">
                  <c:v>10865.7698</c:v>
                </c:pt>
                <c:pt idx="134">
                  <c:v>10473.462299999999</c:v>
                </c:pt>
                <c:pt idx="135">
                  <c:v>10464.200999999999</c:v>
                </c:pt>
                <c:pt idx="136">
                  <c:v>10388.161700000001</c:v>
                </c:pt>
                <c:pt idx="137">
                  <c:v>10336.915800000001</c:v>
                </c:pt>
                <c:pt idx="138">
                  <c:v>10301.829400000001</c:v>
                </c:pt>
                <c:pt idx="139">
                  <c:v>10278.370800000001</c:v>
                </c:pt>
                <c:pt idx="140">
                  <c:v>10273.6775</c:v>
                </c:pt>
                <c:pt idx="141">
                  <c:v>10195.314200000001</c:v>
                </c:pt>
                <c:pt idx="142">
                  <c:v>10190.3673</c:v>
                </c:pt>
                <c:pt idx="143">
                  <c:v>10186.852999999999</c:v>
                </c:pt>
                <c:pt idx="144">
                  <c:v>10153.983399999999</c:v>
                </c:pt>
                <c:pt idx="145">
                  <c:v>10115.1324</c:v>
                </c:pt>
                <c:pt idx="146">
                  <c:v>10109.254000000001</c:v>
                </c:pt>
                <c:pt idx="147">
                  <c:v>10104.0427</c:v>
                </c:pt>
                <c:pt idx="148">
                  <c:v>10083.2695</c:v>
                </c:pt>
                <c:pt idx="149">
                  <c:v>10059.4563</c:v>
                </c:pt>
                <c:pt idx="150">
                  <c:v>10055.312599999999</c:v>
                </c:pt>
                <c:pt idx="151">
                  <c:v>10053.1662</c:v>
                </c:pt>
                <c:pt idx="152">
                  <c:v>10050.581899999999</c:v>
                </c:pt>
                <c:pt idx="153">
                  <c:v>10028.703100000001</c:v>
                </c:pt>
                <c:pt idx="154">
                  <c:v>10017.459699999999</c:v>
                </c:pt>
                <c:pt idx="155">
                  <c:v>9997.8700000000008</c:v>
                </c:pt>
                <c:pt idx="156">
                  <c:v>9992.9243999999999</c:v>
                </c:pt>
                <c:pt idx="157">
                  <c:v>9972.7518999999993</c:v>
                </c:pt>
              </c:numCache>
            </c:numRef>
          </c:val>
          <c:smooth val="0"/>
          <c:extLst>
            <c:ext xmlns:c16="http://schemas.microsoft.com/office/drawing/2014/chart" uri="{C3380CC4-5D6E-409C-BE32-E72D297353CC}">
              <c16:uniqueId val="{00000000-9D3A-44D4-8807-6B97F6EA86A4}"/>
            </c:ext>
          </c:extLst>
        </c:ser>
        <c:dLbls>
          <c:showLegendKey val="0"/>
          <c:showVal val="0"/>
          <c:showCatName val="0"/>
          <c:showSerName val="0"/>
          <c:showPercent val="0"/>
          <c:showBubbleSize val="0"/>
        </c:dLbls>
        <c:smooth val="0"/>
        <c:axId val="729936600"/>
        <c:axId val="729932336"/>
      </c:lineChart>
      <c:dateAx>
        <c:axId val="729936600"/>
        <c:scaling>
          <c:orientation val="minMax"/>
        </c:scaling>
        <c:delete val="0"/>
        <c:axPos val="b"/>
        <c:numFmt formatCode="[$-409]mmm\ yyyy;@" sourceLinked="0"/>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9932336"/>
        <c:crosses val="autoZero"/>
        <c:auto val="1"/>
        <c:lblOffset val="100"/>
        <c:baseTimeUnit val="days"/>
      </c:dateAx>
      <c:valAx>
        <c:axId val="729932336"/>
        <c:scaling>
          <c:orientation val="minMax"/>
          <c:max val="16000"/>
          <c:min val="9000"/>
        </c:scaling>
        <c:delete val="0"/>
        <c:axPos val="l"/>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9936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5938917778607334"/>
          <c:y val="2.098635886673662E-2"/>
          <c:w val="0.39963416645686656"/>
          <c:h val="0.76068874916343743"/>
        </c:manualLayout>
      </c:layout>
      <c:pieChart>
        <c:varyColors val="1"/>
        <c:ser>
          <c:idx val="0"/>
          <c:order val="0"/>
          <c:tx>
            <c:strRef>
              <c:f>'AAstocks_StockList_2021-01-26 ('!$B$1</c:f>
              <c:strCache>
                <c:ptCount val="1"/>
                <c:pt idx="0">
                  <c:v>Market Cap (HK$'million)</c:v>
                </c:pt>
              </c:strCache>
            </c:strRef>
          </c:tx>
          <c:dPt>
            <c:idx val="0"/>
            <c:bubble3D val="0"/>
            <c:spPr>
              <a:solidFill>
                <a:schemeClr val="accent1"/>
              </a:solidFill>
              <a:ln>
                <a:noFill/>
              </a:ln>
              <a:effectLst/>
            </c:spPr>
            <c:extLst>
              <c:ext xmlns:c16="http://schemas.microsoft.com/office/drawing/2014/chart" uri="{C3380CC4-5D6E-409C-BE32-E72D297353CC}">
                <c16:uniqueId val="{00000001-5E0A-4372-835D-DC9C3032ECC2}"/>
              </c:ext>
            </c:extLst>
          </c:dPt>
          <c:dPt>
            <c:idx val="1"/>
            <c:bubble3D val="0"/>
            <c:spPr>
              <a:solidFill>
                <a:schemeClr val="accent2"/>
              </a:solidFill>
              <a:ln>
                <a:noFill/>
              </a:ln>
              <a:effectLst/>
            </c:spPr>
            <c:extLst>
              <c:ext xmlns:c16="http://schemas.microsoft.com/office/drawing/2014/chart" uri="{C3380CC4-5D6E-409C-BE32-E72D297353CC}">
                <c16:uniqueId val="{00000003-5E0A-4372-835D-DC9C3032ECC2}"/>
              </c:ext>
            </c:extLst>
          </c:dPt>
          <c:dPt>
            <c:idx val="2"/>
            <c:bubble3D val="0"/>
            <c:spPr>
              <a:solidFill>
                <a:schemeClr val="accent3"/>
              </a:solidFill>
              <a:ln>
                <a:noFill/>
              </a:ln>
              <a:effectLst/>
            </c:spPr>
            <c:extLst>
              <c:ext xmlns:c16="http://schemas.microsoft.com/office/drawing/2014/chart" uri="{C3380CC4-5D6E-409C-BE32-E72D297353CC}">
                <c16:uniqueId val="{00000005-5E0A-4372-835D-DC9C3032ECC2}"/>
              </c:ext>
            </c:extLst>
          </c:dPt>
          <c:dPt>
            <c:idx val="3"/>
            <c:bubble3D val="0"/>
            <c:spPr>
              <a:solidFill>
                <a:schemeClr val="accent4"/>
              </a:solidFill>
              <a:ln>
                <a:noFill/>
              </a:ln>
              <a:effectLst/>
            </c:spPr>
            <c:extLst>
              <c:ext xmlns:c16="http://schemas.microsoft.com/office/drawing/2014/chart" uri="{C3380CC4-5D6E-409C-BE32-E72D297353CC}">
                <c16:uniqueId val="{00000007-5E0A-4372-835D-DC9C3032ECC2}"/>
              </c:ext>
            </c:extLst>
          </c:dPt>
          <c:dPt>
            <c:idx val="4"/>
            <c:bubble3D val="0"/>
            <c:spPr>
              <a:solidFill>
                <a:schemeClr val="accent5"/>
              </a:solidFill>
              <a:ln>
                <a:noFill/>
              </a:ln>
              <a:effectLst/>
            </c:spPr>
            <c:extLst>
              <c:ext xmlns:c16="http://schemas.microsoft.com/office/drawing/2014/chart" uri="{C3380CC4-5D6E-409C-BE32-E72D297353CC}">
                <c16:uniqueId val="{00000009-5E0A-4372-835D-DC9C3032ECC2}"/>
              </c:ext>
            </c:extLst>
          </c:dPt>
          <c:dPt>
            <c:idx val="5"/>
            <c:bubble3D val="0"/>
            <c:spPr>
              <a:solidFill>
                <a:schemeClr val="accent6"/>
              </a:solidFill>
              <a:ln>
                <a:noFill/>
              </a:ln>
              <a:effectLst/>
            </c:spPr>
            <c:extLst>
              <c:ext xmlns:c16="http://schemas.microsoft.com/office/drawing/2014/chart" uri="{C3380CC4-5D6E-409C-BE32-E72D297353CC}">
                <c16:uniqueId val="{0000000B-5E0A-4372-835D-DC9C3032ECC2}"/>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5E0A-4372-835D-DC9C3032ECC2}"/>
              </c:ext>
            </c:extLst>
          </c:dPt>
          <c:dPt>
            <c:idx val="7"/>
            <c:bubble3D val="0"/>
            <c:spPr>
              <a:solidFill>
                <a:schemeClr val="accent2">
                  <a:lumMod val="60000"/>
                </a:schemeClr>
              </a:solidFill>
              <a:ln>
                <a:noFill/>
              </a:ln>
              <a:effectLst/>
            </c:spPr>
            <c:extLst>
              <c:ext xmlns:c16="http://schemas.microsoft.com/office/drawing/2014/chart" uri="{C3380CC4-5D6E-409C-BE32-E72D297353CC}">
                <c16:uniqueId val="{0000000F-5E0A-4372-835D-DC9C3032ECC2}"/>
              </c:ext>
            </c:extLst>
          </c:dPt>
          <c:dPt>
            <c:idx val="8"/>
            <c:bubble3D val="0"/>
            <c:spPr>
              <a:solidFill>
                <a:schemeClr val="accent3">
                  <a:lumMod val="60000"/>
                </a:schemeClr>
              </a:solidFill>
              <a:ln>
                <a:noFill/>
              </a:ln>
              <a:effectLst/>
            </c:spPr>
            <c:extLst>
              <c:ext xmlns:c16="http://schemas.microsoft.com/office/drawing/2014/chart" uri="{C3380CC4-5D6E-409C-BE32-E72D297353CC}">
                <c16:uniqueId val="{00000011-5E0A-4372-835D-DC9C3032ECC2}"/>
              </c:ext>
            </c:extLst>
          </c:dPt>
          <c:dPt>
            <c:idx val="9"/>
            <c:bubble3D val="0"/>
            <c:spPr>
              <a:solidFill>
                <a:schemeClr val="accent4">
                  <a:lumMod val="60000"/>
                </a:schemeClr>
              </a:solidFill>
              <a:ln>
                <a:noFill/>
              </a:ln>
              <a:effectLst/>
            </c:spPr>
            <c:extLst>
              <c:ext xmlns:c16="http://schemas.microsoft.com/office/drawing/2014/chart" uri="{C3380CC4-5D6E-409C-BE32-E72D297353CC}">
                <c16:uniqueId val="{00000013-5E0A-4372-835D-DC9C3032ECC2}"/>
              </c:ext>
            </c:extLst>
          </c:dPt>
          <c:dLbls>
            <c:dLbl>
              <c:idx val="0"/>
              <c:layout>
                <c:manualLayout>
                  <c:x val="4.1744263775186946E-2"/>
                  <c:y val="-0.12122786331766966"/>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layout>
                    <c:manualLayout>
                      <c:w val="0.18761080813341913"/>
                      <c:h val="0.13288308126156959"/>
                    </c:manualLayout>
                  </c15:layout>
                </c:ext>
                <c:ext xmlns:c16="http://schemas.microsoft.com/office/drawing/2014/chart" uri="{C3380CC4-5D6E-409C-BE32-E72D297353CC}">
                  <c16:uniqueId val="{00000001-5E0A-4372-835D-DC9C3032ECC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('AAstocks_StockList_2021-01-26 ('!$A$2,'AAstocks_StockList_2021-01-26 ('!$A$4,'AAstocks_StockList_2021-01-26 ('!$A$6,'AAstocks_StockList_2021-01-26 ('!$A$8,'AAstocks_StockList_2021-01-26 ('!$A$10,'AAstocks_StockList_2021-01-26 ('!$A$12,'AAstocks_StockList_2021-01-26 ('!$A$14,'AAstocks_StockList_2021-01-26 ('!$A$16,'AAstocks_StockList_2021-01-26 ('!$A$18,'AAstocks_StockList_2021-01-26 ('!$A$20)</c:f>
              <c:strCache>
                <c:ptCount val="10"/>
                <c:pt idx="0">
                  <c:v>CHOW TAI FOOK</c:v>
                </c:pt>
                <c:pt idx="1">
                  <c:v>LUK FOOK HOLD</c:v>
                </c:pt>
                <c:pt idx="2">
                  <c:v>CITYCHAMP</c:v>
                </c:pt>
                <c:pt idx="3">
                  <c:v>CHOW SANG SANG</c:v>
                </c:pt>
                <c:pt idx="4">
                  <c:v>APOLLO FMG</c:v>
                </c:pt>
                <c:pt idx="5">
                  <c:v>TIME WATCH</c:v>
                </c:pt>
                <c:pt idx="6">
                  <c:v>HENGDELI</c:v>
                </c:pt>
                <c:pt idx="7">
                  <c:v>ORIENTAL WATCH</c:v>
                </c:pt>
                <c:pt idx="8">
                  <c:v>ERNEST BOREL</c:v>
                </c:pt>
                <c:pt idx="9">
                  <c:v>EMPEROR WATCH&amp;J</c:v>
                </c:pt>
              </c:strCache>
              <c:extLst/>
            </c:strRef>
          </c:cat>
          <c:val>
            <c:numRef>
              <c:f>('AAstocks_StockList_2021-01-26 ('!$B$2,'AAstocks_StockList_2021-01-26 ('!$B$4,'AAstocks_StockList_2021-01-26 ('!$B$6,'AAstocks_StockList_2021-01-26 ('!$B$8,'AAstocks_StockList_2021-01-26 ('!$B$10,'AAstocks_StockList_2021-01-26 ('!$B$12,'AAstocks_StockList_2021-01-26 ('!$B$14,'AAstocks_StockList_2021-01-26 ('!$B$16,'AAstocks_StockList_2021-01-26 ('!$B$18,'AAstocks_StockList_2021-01-26 ('!$B$20)</c:f>
              <c:numCache>
                <c:formatCode>_(* #,##0_);_(* \(#,##0\);_(* "-"??_);_(@_)</c:formatCode>
                <c:ptCount val="10"/>
                <c:pt idx="0">
                  <c:v>96000</c:v>
                </c:pt>
                <c:pt idx="1">
                  <c:v>10100</c:v>
                </c:pt>
                <c:pt idx="2">
                  <c:v>6790</c:v>
                </c:pt>
                <c:pt idx="3">
                  <c:v>6500</c:v>
                </c:pt>
                <c:pt idx="4">
                  <c:v>4860</c:v>
                </c:pt>
                <c:pt idx="5">
                  <c:v>1540</c:v>
                </c:pt>
                <c:pt idx="6">
                  <c:v>1350</c:v>
                </c:pt>
                <c:pt idx="7">
                  <c:v>1240</c:v>
                </c:pt>
                <c:pt idx="8">
                  <c:v>1080</c:v>
                </c:pt>
                <c:pt idx="9">
                  <c:v>746</c:v>
                </c:pt>
              </c:numCache>
              <c:extLst/>
            </c:numRef>
          </c:val>
          <c:extLst>
            <c:ext xmlns:c16="http://schemas.microsoft.com/office/drawing/2014/chart" uri="{C3380CC4-5D6E-409C-BE32-E72D297353CC}">
              <c16:uniqueId val="{00000014-5E0A-4372-835D-DC9C3032ECC2}"/>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2.6783286598546736E-2"/>
          <c:y val="0.8105966240054201"/>
          <c:w val="0.94422835513807746"/>
          <c:h val="0.168417017127843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Sheet1!$B$100</c:f>
              <c:strCache>
                <c:ptCount val="1"/>
                <c:pt idx="0">
                  <c:v>Bank borrowings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1HFY2020</c:v>
                </c:pt>
              </c:strCache>
            </c:strRef>
          </c:cat>
          <c:val>
            <c:numRef>
              <c:f>Sheet1!$C$100:$E$100</c:f>
              <c:numCache>
                <c:formatCode>0%</c:formatCode>
                <c:ptCount val="3"/>
                <c:pt idx="0">
                  <c:v>0.10657596371882086</c:v>
                </c:pt>
                <c:pt idx="1">
                  <c:v>0.15558194774346792</c:v>
                </c:pt>
                <c:pt idx="2">
                  <c:v>7.1979434447300775E-2</c:v>
                </c:pt>
              </c:numCache>
            </c:numRef>
          </c:val>
          <c:extLst>
            <c:ext xmlns:c16="http://schemas.microsoft.com/office/drawing/2014/chart" uri="{C3380CC4-5D6E-409C-BE32-E72D297353CC}">
              <c16:uniqueId val="{00000000-AABE-470C-9F59-BE28345CDA34}"/>
            </c:ext>
          </c:extLst>
        </c:ser>
        <c:ser>
          <c:idx val="1"/>
          <c:order val="1"/>
          <c:tx>
            <c:strRef>
              <c:f>Sheet1!$B$101</c:f>
              <c:strCache>
                <c:ptCount val="1"/>
                <c:pt idx="0">
                  <c:v>Gold loans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1HFY2020</c:v>
                </c:pt>
              </c:strCache>
            </c:strRef>
          </c:cat>
          <c:val>
            <c:numRef>
              <c:f>Sheet1!$C$101:$E$101</c:f>
              <c:numCache>
                <c:formatCode>0%</c:formatCode>
                <c:ptCount val="3"/>
                <c:pt idx="0">
                  <c:v>6.8027210884353748E-2</c:v>
                </c:pt>
                <c:pt idx="1">
                  <c:v>0.10807600950118765</c:v>
                </c:pt>
                <c:pt idx="2">
                  <c:v>8.0548414738646101E-2</c:v>
                </c:pt>
              </c:numCache>
            </c:numRef>
          </c:val>
          <c:extLst>
            <c:ext xmlns:c16="http://schemas.microsoft.com/office/drawing/2014/chart" uri="{C3380CC4-5D6E-409C-BE32-E72D297353CC}">
              <c16:uniqueId val="{00000001-AABE-470C-9F59-BE28345CDA34}"/>
            </c:ext>
          </c:extLst>
        </c:ser>
        <c:ser>
          <c:idx val="2"/>
          <c:order val="2"/>
          <c:tx>
            <c:strRef>
              <c:f>Sheet1!$B$102</c:f>
              <c:strCache>
                <c:ptCount val="1"/>
                <c:pt idx="0">
                  <c:v>Taxation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1HFY2020</c:v>
                </c:pt>
              </c:strCache>
            </c:strRef>
          </c:cat>
          <c:val>
            <c:numRef>
              <c:f>Sheet1!$C$102:$E$102</c:f>
              <c:numCache>
                <c:formatCode>0%</c:formatCode>
                <c:ptCount val="3"/>
                <c:pt idx="0">
                  <c:v>0.82539682539682535</c:v>
                </c:pt>
                <c:pt idx="1">
                  <c:v>0.73634204275534443</c:v>
                </c:pt>
                <c:pt idx="2">
                  <c:v>0.84747215081405314</c:v>
                </c:pt>
              </c:numCache>
            </c:numRef>
          </c:val>
          <c:extLst>
            <c:ext xmlns:c16="http://schemas.microsoft.com/office/drawing/2014/chart" uri="{C3380CC4-5D6E-409C-BE32-E72D297353CC}">
              <c16:uniqueId val="{00000002-AABE-470C-9F59-BE28345CDA34}"/>
            </c:ext>
          </c:extLst>
        </c:ser>
        <c:dLbls>
          <c:dLblPos val="ctr"/>
          <c:showLegendKey val="0"/>
          <c:showVal val="1"/>
          <c:showCatName val="0"/>
          <c:showSerName val="0"/>
          <c:showPercent val="0"/>
          <c:showBubbleSize val="0"/>
        </c:dLbls>
        <c:gapWidth val="79"/>
        <c:overlap val="100"/>
        <c:axId val="994171912"/>
        <c:axId val="994165024"/>
      </c:barChart>
      <c:catAx>
        <c:axId val="99417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4165024"/>
        <c:crosses val="autoZero"/>
        <c:auto val="1"/>
        <c:lblAlgn val="ctr"/>
        <c:lblOffset val="100"/>
        <c:noMultiLvlLbl val="0"/>
      </c:catAx>
      <c:valAx>
        <c:axId val="994165024"/>
        <c:scaling>
          <c:orientation val="minMax"/>
          <c:max val="1"/>
        </c:scaling>
        <c:delete val="0"/>
        <c:axPos val="l"/>
        <c:numFmt formatCode="0%"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417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303058209919201E-2"/>
          <c:y val="0.14461313334552772"/>
          <c:w val="0.89837680029107569"/>
          <c:h val="0.66436125701956905"/>
        </c:manualLayout>
      </c:layout>
      <c:barChart>
        <c:barDir val="col"/>
        <c:grouping val="stacked"/>
        <c:varyColors val="0"/>
        <c:ser>
          <c:idx val="0"/>
          <c:order val="0"/>
          <c:tx>
            <c:strRef>
              <c:f>Sheet1!$B$100</c:f>
              <c:strCache>
                <c:ptCount val="1"/>
                <c:pt idx="0">
                  <c:v>Bank borrowings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FY2020</c:v>
                </c:pt>
              </c:strCache>
            </c:strRef>
          </c:cat>
          <c:val>
            <c:numRef>
              <c:f>Sheet1!$C$100:$E$100</c:f>
              <c:numCache>
                <c:formatCode>0%</c:formatCode>
                <c:ptCount val="3"/>
                <c:pt idx="0">
                  <c:v>0.10657596371882086</c:v>
                </c:pt>
                <c:pt idx="1">
                  <c:v>0.15558194774346792</c:v>
                </c:pt>
                <c:pt idx="2">
                  <c:v>7.1979434447300775E-2</c:v>
                </c:pt>
              </c:numCache>
            </c:numRef>
          </c:val>
          <c:extLst>
            <c:ext xmlns:c16="http://schemas.microsoft.com/office/drawing/2014/chart" uri="{C3380CC4-5D6E-409C-BE32-E72D297353CC}">
              <c16:uniqueId val="{00000000-BEB3-475A-B80F-7CB27D973D77}"/>
            </c:ext>
          </c:extLst>
        </c:ser>
        <c:ser>
          <c:idx val="1"/>
          <c:order val="1"/>
          <c:tx>
            <c:strRef>
              <c:f>Sheet1!$B$101</c:f>
              <c:strCache>
                <c:ptCount val="1"/>
                <c:pt idx="0">
                  <c:v>Gold loans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FY2020</c:v>
                </c:pt>
              </c:strCache>
            </c:strRef>
          </c:cat>
          <c:val>
            <c:numRef>
              <c:f>Sheet1!$C$101:$E$101</c:f>
              <c:numCache>
                <c:formatCode>0%</c:formatCode>
                <c:ptCount val="3"/>
                <c:pt idx="0">
                  <c:v>6.8027210884353748E-2</c:v>
                </c:pt>
                <c:pt idx="1">
                  <c:v>0.10807600950118765</c:v>
                </c:pt>
                <c:pt idx="2">
                  <c:v>8.0548414738646101E-2</c:v>
                </c:pt>
              </c:numCache>
            </c:numRef>
          </c:val>
          <c:extLst>
            <c:ext xmlns:c16="http://schemas.microsoft.com/office/drawing/2014/chart" uri="{C3380CC4-5D6E-409C-BE32-E72D297353CC}">
              <c16:uniqueId val="{00000001-BEB3-475A-B80F-7CB27D973D77}"/>
            </c:ext>
          </c:extLst>
        </c:ser>
        <c:ser>
          <c:idx val="2"/>
          <c:order val="2"/>
          <c:tx>
            <c:strRef>
              <c:f>Sheet1!$B$102</c:f>
              <c:strCache>
                <c:ptCount val="1"/>
                <c:pt idx="0">
                  <c:v>Taxation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FY2020</c:v>
                </c:pt>
              </c:strCache>
            </c:strRef>
          </c:cat>
          <c:val>
            <c:numRef>
              <c:f>Sheet1!$C$102:$E$102</c:f>
              <c:numCache>
                <c:formatCode>0%</c:formatCode>
                <c:ptCount val="3"/>
                <c:pt idx="0">
                  <c:v>0.82539682539682535</c:v>
                </c:pt>
                <c:pt idx="1">
                  <c:v>0.73634204275534443</c:v>
                </c:pt>
                <c:pt idx="2">
                  <c:v>0.84747215081405314</c:v>
                </c:pt>
              </c:numCache>
            </c:numRef>
          </c:val>
          <c:extLst>
            <c:ext xmlns:c16="http://schemas.microsoft.com/office/drawing/2014/chart" uri="{C3380CC4-5D6E-409C-BE32-E72D297353CC}">
              <c16:uniqueId val="{00000002-BEB3-475A-B80F-7CB27D973D77}"/>
            </c:ext>
          </c:extLst>
        </c:ser>
        <c:dLbls>
          <c:dLblPos val="ctr"/>
          <c:showLegendKey val="0"/>
          <c:showVal val="1"/>
          <c:showCatName val="0"/>
          <c:showSerName val="0"/>
          <c:showPercent val="0"/>
          <c:showBubbleSize val="0"/>
        </c:dLbls>
        <c:gapWidth val="79"/>
        <c:overlap val="100"/>
        <c:axId val="994171912"/>
        <c:axId val="994165024"/>
      </c:barChart>
      <c:catAx>
        <c:axId val="99417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4165024"/>
        <c:crosses val="autoZero"/>
        <c:auto val="1"/>
        <c:lblAlgn val="ctr"/>
        <c:lblOffset val="100"/>
        <c:noMultiLvlLbl val="0"/>
      </c:catAx>
      <c:valAx>
        <c:axId val="994165024"/>
        <c:scaling>
          <c:orientation val="minMax"/>
          <c:max val="1"/>
        </c:scaling>
        <c:delete val="0"/>
        <c:axPos val="l"/>
        <c:numFmt formatCode="0%"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417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852782126269822E-2"/>
          <c:y val="0.15720819248359516"/>
          <c:w val="0.89896873672195521"/>
          <c:h val="0.61922111595267126"/>
        </c:manualLayout>
      </c:layout>
      <c:barChart>
        <c:barDir val="col"/>
        <c:grouping val="stacked"/>
        <c:varyColors val="0"/>
        <c:ser>
          <c:idx val="0"/>
          <c:order val="0"/>
          <c:tx>
            <c:strRef>
              <c:f>Sheet1!$B$110</c:f>
              <c:strCache>
                <c:ptCount val="1"/>
                <c:pt idx="0">
                  <c:v>Rental expenses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Sheet1!$C$109:$E$109</c:f>
              <c:strCache>
                <c:ptCount val="3"/>
                <c:pt idx="0">
                  <c:v>FY2018</c:v>
                </c:pt>
                <c:pt idx="1">
                  <c:v>FY2019</c:v>
                </c:pt>
                <c:pt idx="2">
                  <c:v>FY2020</c:v>
                </c:pt>
              </c:strCache>
            </c:strRef>
          </c:cat>
          <c:val>
            <c:numRef>
              <c:f>Sheet1!$C$110:$E$110</c:f>
              <c:numCache>
                <c:formatCode>0%</c:formatCode>
                <c:ptCount val="3"/>
                <c:pt idx="0">
                  <c:v>1</c:v>
                </c:pt>
                <c:pt idx="1">
                  <c:v>7.0000000000000007E-2</c:v>
                </c:pt>
                <c:pt idx="2">
                  <c:v>0.10199999999999999</c:v>
                </c:pt>
              </c:numCache>
            </c:numRef>
          </c:val>
          <c:extLst>
            <c:ext xmlns:c16="http://schemas.microsoft.com/office/drawing/2014/chart" uri="{C3380CC4-5D6E-409C-BE32-E72D297353CC}">
              <c16:uniqueId val="{00000000-A863-42F3-B307-65A0FF8702AB}"/>
            </c:ext>
          </c:extLst>
        </c:ser>
        <c:ser>
          <c:idx val="1"/>
          <c:order val="1"/>
          <c:tx>
            <c:strRef>
              <c:f>Sheet1!$B$111</c:f>
              <c:strCache>
                <c:ptCount val="1"/>
                <c:pt idx="0">
                  <c:v>Depreciation and amortization</c:v>
                </c:pt>
              </c:strCache>
            </c:strRef>
          </c:tx>
          <c:spPr>
            <a:solidFill>
              <a:schemeClr val="accent2"/>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1-A863-42F3-B307-65A0FF8702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Sheet1!$C$109:$E$109</c:f>
              <c:strCache>
                <c:ptCount val="3"/>
                <c:pt idx="0">
                  <c:v>FY2018</c:v>
                </c:pt>
                <c:pt idx="1">
                  <c:v>FY2019</c:v>
                </c:pt>
                <c:pt idx="2">
                  <c:v>FY2020</c:v>
                </c:pt>
              </c:strCache>
            </c:strRef>
          </c:cat>
          <c:val>
            <c:numRef>
              <c:f>Sheet1!$C$111:$E$111</c:f>
              <c:numCache>
                <c:formatCode>0%</c:formatCode>
                <c:ptCount val="3"/>
                <c:pt idx="0">
                  <c:v>0</c:v>
                </c:pt>
                <c:pt idx="1">
                  <c:v>0.89200000000000002</c:v>
                </c:pt>
                <c:pt idx="2">
                  <c:v>0.86399999999999999</c:v>
                </c:pt>
              </c:numCache>
            </c:numRef>
          </c:val>
          <c:extLst>
            <c:ext xmlns:c16="http://schemas.microsoft.com/office/drawing/2014/chart" uri="{C3380CC4-5D6E-409C-BE32-E72D297353CC}">
              <c16:uniqueId val="{00000002-A863-42F3-B307-65A0FF8702AB}"/>
            </c:ext>
          </c:extLst>
        </c:ser>
        <c:ser>
          <c:idx val="2"/>
          <c:order val="2"/>
          <c:tx>
            <c:strRef>
              <c:f>Sheet1!$B$112</c:f>
              <c:strCache>
                <c:ptCount val="1"/>
                <c:pt idx="0">
                  <c:v>Finance costs on leases</c:v>
                </c:pt>
              </c:strCache>
            </c:strRef>
          </c:tx>
          <c:spPr>
            <a:solidFill>
              <a:schemeClr val="accent3"/>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3-A863-42F3-B307-65A0FF8702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Sheet1!$C$109:$E$109</c:f>
              <c:strCache>
                <c:ptCount val="3"/>
                <c:pt idx="0">
                  <c:v>FY2018</c:v>
                </c:pt>
                <c:pt idx="1">
                  <c:v>FY2019</c:v>
                </c:pt>
                <c:pt idx="2">
                  <c:v>FY2020</c:v>
                </c:pt>
              </c:strCache>
            </c:strRef>
          </c:cat>
          <c:val>
            <c:numRef>
              <c:f>Sheet1!$C$112:$E$112</c:f>
              <c:numCache>
                <c:formatCode>0%</c:formatCode>
                <c:ptCount val="3"/>
                <c:pt idx="0">
                  <c:v>0</c:v>
                </c:pt>
                <c:pt idx="1">
                  <c:v>3.7999999999999999E-2</c:v>
                </c:pt>
                <c:pt idx="2">
                  <c:v>3.4000000000000002E-2</c:v>
                </c:pt>
              </c:numCache>
            </c:numRef>
          </c:val>
          <c:extLst>
            <c:ext xmlns:c16="http://schemas.microsoft.com/office/drawing/2014/chart" uri="{C3380CC4-5D6E-409C-BE32-E72D297353CC}">
              <c16:uniqueId val="{00000004-A863-42F3-B307-65A0FF8702AB}"/>
            </c:ext>
          </c:extLst>
        </c:ser>
        <c:dLbls>
          <c:dLblPos val="ctr"/>
          <c:showLegendKey val="0"/>
          <c:showVal val="1"/>
          <c:showCatName val="0"/>
          <c:showSerName val="0"/>
          <c:showPercent val="0"/>
          <c:showBubbleSize val="0"/>
        </c:dLbls>
        <c:gapWidth val="79"/>
        <c:overlap val="100"/>
        <c:axId val="1264061824"/>
        <c:axId val="1264070024"/>
      </c:barChart>
      <c:catAx>
        <c:axId val="1264061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64070024"/>
        <c:crosses val="autoZero"/>
        <c:auto val="1"/>
        <c:lblAlgn val="ctr"/>
        <c:lblOffset val="100"/>
        <c:noMultiLvlLbl val="0"/>
      </c:catAx>
      <c:valAx>
        <c:axId val="1264070024"/>
        <c:scaling>
          <c:orientation val="minMax"/>
          <c:max val="1"/>
        </c:scaling>
        <c:delete val="0"/>
        <c:axPos val="l"/>
        <c:numFmt formatCode="0%"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4061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Daily Closing Price in HKD</c:v>
          </c:tx>
          <c:spPr>
            <a:ln w="19050">
              <a:noFill/>
            </a:ln>
          </c:spPr>
          <c:xVal>
            <c:numRef>
              <c:f>HSI!$A$2:$A$279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HSI!$B$2:$B$279</c:f>
              <c:numCache>
                <c:formatCode>General</c:formatCode>
                <c:ptCount val="278"/>
                <c:pt idx="0">
                  <c:v>28543.519531000002</c:v>
                </c:pt>
                <c:pt idx="1">
                  <c:v>28451.5</c:v>
                </c:pt>
                <c:pt idx="2">
                  <c:v>28226.189452999999</c:v>
                </c:pt>
                <c:pt idx="3">
                  <c:v>28322.060547000001</c:v>
                </c:pt>
                <c:pt idx="4">
                  <c:v>28087.919922000001</c:v>
                </c:pt>
                <c:pt idx="5">
                  <c:v>28561</c:v>
                </c:pt>
                <c:pt idx="6">
                  <c:v>28638.199218999998</c:v>
                </c:pt>
                <c:pt idx="7">
                  <c:v>28954.939452999999</c:v>
                </c:pt>
                <c:pt idx="8">
                  <c:v>28885.140625</c:v>
                </c:pt>
                <c:pt idx="9">
                  <c:v>28773.589843999998</c:v>
                </c:pt>
                <c:pt idx="10">
                  <c:v>28883.039063</c:v>
                </c:pt>
                <c:pt idx="11">
                  <c:v>29056.419922000001</c:v>
                </c:pt>
                <c:pt idx="12">
                  <c:v>28795.910156000002</c:v>
                </c:pt>
                <c:pt idx="13">
                  <c:v>27985.330077999999</c:v>
                </c:pt>
                <c:pt idx="14">
                  <c:v>28341.039063</c:v>
                </c:pt>
                <c:pt idx="15">
                  <c:v>27909.119140999999</c:v>
                </c:pt>
                <c:pt idx="16">
                  <c:v>27949.640625</c:v>
                </c:pt>
                <c:pt idx="17">
                  <c:v>27160.630859000001</c:v>
                </c:pt>
                <c:pt idx="18">
                  <c:v>26449.130859000001</c:v>
                </c:pt>
                <c:pt idx="19">
                  <c:v>26312.630859000001</c:v>
                </c:pt>
                <c:pt idx="20">
                  <c:v>26356.980468999998</c:v>
                </c:pt>
                <c:pt idx="21">
                  <c:v>26675.980468999998</c:v>
                </c:pt>
                <c:pt idx="22">
                  <c:v>26786.740234000001</c:v>
                </c:pt>
                <c:pt idx="23">
                  <c:v>27493.699218999998</c:v>
                </c:pt>
                <c:pt idx="24">
                  <c:v>27404.269531000002</c:v>
                </c:pt>
                <c:pt idx="25">
                  <c:v>27241.339843999998</c:v>
                </c:pt>
                <c:pt idx="26">
                  <c:v>27583.880859000001</c:v>
                </c:pt>
                <c:pt idx="27">
                  <c:v>27823.660156000002</c:v>
                </c:pt>
                <c:pt idx="28">
                  <c:v>27730</c:v>
                </c:pt>
                <c:pt idx="29">
                  <c:v>27815.599609000001</c:v>
                </c:pt>
                <c:pt idx="30">
                  <c:v>27959.599609000001</c:v>
                </c:pt>
                <c:pt idx="31">
                  <c:v>27530.199218999998</c:v>
                </c:pt>
                <c:pt idx="32">
                  <c:v>27655.810547000001</c:v>
                </c:pt>
                <c:pt idx="33">
                  <c:v>27609.160156000002</c:v>
                </c:pt>
                <c:pt idx="34">
                  <c:v>27308.810547000001</c:v>
                </c:pt>
                <c:pt idx="35">
                  <c:v>26820.880859000001</c:v>
                </c:pt>
                <c:pt idx="36">
                  <c:v>26893.230468999998</c:v>
                </c:pt>
                <c:pt idx="37">
                  <c:v>26696.490234000001</c:v>
                </c:pt>
                <c:pt idx="38">
                  <c:v>26778.619140999999</c:v>
                </c:pt>
                <c:pt idx="39">
                  <c:v>26129.929688</c:v>
                </c:pt>
                <c:pt idx="40">
                  <c:v>26291.679688</c:v>
                </c:pt>
                <c:pt idx="41">
                  <c:v>26284.820313</c:v>
                </c:pt>
                <c:pt idx="42">
                  <c:v>26222.070313</c:v>
                </c:pt>
                <c:pt idx="43">
                  <c:v>26767.869140999999</c:v>
                </c:pt>
                <c:pt idx="44">
                  <c:v>26146.669922000001</c:v>
                </c:pt>
                <c:pt idx="45">
                  <c:v>25040.460938</c:v>
                </c:pt>
                <c:pt idx="46">
                  <c:v>25392.509765999999</c:v>
                </c:pt>
                <c:pt idx="47">
                  <c:v>25231.609375</c:v>
                </c:pt>
                <c:pt idx="48">
                  <c:v>24309.070313</c:v>
                </c:pt>
                <c:pt idx="49">
                  <c:v>24032.910156000002</c:v>
                </c:pt>
                <c:pt idx="50">
                  <c:v>23063.570313</c:v>
                </c:pt>
                <c:pt idx="51">
                  <c:v>23263.730468999998</c:v>
                </c:pt>
                <c:pt idx="52">
                  <c:v>22291.820313</c:v>
                </c:pt>
                <c:pt idx="53">
                  <c:v>21709.130859000001</c:v>
                </c:pt>
                <c:pt idx="54">
                  <c:v>22805.070313</c:v>
                </c:pt>
                <c:pt idx="55">
                  <c:v>21696.130859000001</c:v>
                </c:pt>
                <c:pt idx="56">
                  <c:v>22663.490234000001</c:v>
                </c:pt>
                <c:pt idx="57">
                  <c:v>23527.189452999999</c:v>
                </c:pt>
                <c:pt idx="58">
                  <c:v>23352.339843999998</c:v>
                </c:pt>
                <c:pt idx="59">
                  <c:v>23484.279297000001</c:v>
                </c:pt>
                <c:pt idx="60">
                  <c:v>23175.109375</c:v>
                </c:pt>
                <c:pt idx="61">
                  <c:v>23603.480468999998</c:v>
                </c:pt>
                <c:pt idx="62">
                  <c:v>23085.789063</c:v>
                </c:pt>
                <c:pt idx="63">
                  <c:v>23280.060547000001</c:v>
                </c:pt>
                <c:pt idx="64">
                  <c:v>23236.109375</c:v>
                </c:pt>
                <c:pt idx="65">
                  <c:v>23749.119140999999</c:v>
                </c:pt>
                <c:pt idx="66">
                  <c:v>24253.289063</c:v>
                </c:pt>
                <c:pt idx="67">
                  <c:v>23970.369140999999</c:v>
                </c:pt>
                <c:pt idx="68">
                  <c:v>24300.330077999999</c:v>
                </c:pt>
                <c:pt idx="69">
                  <c:v>24435.400390999999</c:v>
                </c:pt>
                <c:pt idx="70">
                  <c:v>24145.339843999998</c:v>
                </c:pt>
                <c:pt idx="71">
                  <c:v>24006.449218999998</c:v>
                </c:pt>
                <c:pt idx="72">
                  <c:v>24380</c:v>
                </c:pt>
                <c:pt idx="73">
                  <c:v>24330.019531000002</c:v>
                </c:pt>
                <c:pt idx="74">
                  <c:v>23793.550781000002</c:v>
                </c:pt>
                <c:pt idx="75">
                  <c:v>23893.359375</c:v>
                </c:pt>
                <c:pt idx="76">
                  <c:v>23977.320313</c:v>
                </c:pt>
                <c:pt idx="77">
                  <c:v>23831.330077999999</c:v>
                </c:pt>
                <c:pt idx="78">
                  <c:v>24280.140625</c:v>
                </c:pt>
                <c:pt idx="79">
                  <c:v>24575.960938</c:v>
                </c:pt>
                <c:pt idx="80">
                  <c:v>24643.589843999998</c:v>
                </c:pt>
                <c:pt idx="81">
                  <c:v>23613.800781000002</c:v>
                </c:pt>
                <c:pt idx="82">
                  <c:v>23868.660156000002</c:v>
                </c:pt>
                <c:pt idx="83">
                  <c:v>24137.480468999998</c:v>
                </c:pt>
                <c:pt idx="84">
                  <c:v>23980.630859000001</c:v>
                </c:pt>
                <c:pt idx="85">
                  <c:v>24230.169922000001</c:v>
                </c:pt>
                <c:pt idx="86">
                  <c:v>24602.060547000001</c:v>
                </c:pt>
                <c:pt idx="87">
                  <c:v>24245.679688</c:v>
                </c:pt>
                <c:pt idx="88">
                  <c:v>24180.300781000002</c:v>
                </c:pt>
                <c:pt idx="89">
                  <c:v>23829.740234000001</c:v>
                </c:pt>
                <c:pt idx="90">
                  <c:v>23797.470702999999</c:v>
                </c:pt>
                <c:pt idx="91">
                  <c:v>23934.769531000002</c:v>
                </c:pt>
                <c:pt idx="92">
                  <c:v>24388.130859000001</c:v>
                </c:pt>
                <c:pt idx="93">
                  <c:v>24399.949218999998</c:v>
                </c:pt>
                <c:pt idx="94">
                  <c:v>24280.029297000001</c:v>
                </c:pt>
                <c:pt idx="95">
                  <c:v>22930.140625</c:v>
                </c:pt>
                <c:pt idx="96">
                  <c:v>22952.240234000001</c:v>
                </c:pt>
                <c:pt idx="97">
                  <c:v>23384.660156000002</c:v>
                </c:pt>
                <c:pt idx="98">
                  <c:v>23301.359375</c:v>
                </c:pt>
                <c:pt idx="99">
                  <c:v>23132.759765999999</c:v>
                </c:pt>
                <c:pt idx="100">
                  <c:v>22961.470702999999</c:v>
                </c:pt>
                <c:pt idx="101">
                  <c:v>23732.519531000002</c:v>
                </c:pt>
                <c:pt idx="102">
                  <c:v>23995.939452999999</c:v>
                </c:pt>
                <c:pt idx="103">
                  <c:v>24325.619140999999</c:v>
                </c:pt>
                <c:pt idx="104">
                  <c:v>24366.300781000002</c:v>
                </c:pt>
                <c:pt idx="105">
                  <c:v>24770.410156000002</c:v>
                </c:pt>
                <c:pt idx="106">
                  <c:v>24776.769531000002</c:v>
                </c:pt>
                <c:pt idx="107">
                  <c:v>25057.220702999999</c:v>
                </c:pt>
                <c:pt idx="108">
                  <c:v>25049.730468999998</c:v>
                </c:pt>
                <c:pt idx="109">
                  <c:v>24480.150390999999</c:v>
                </c:pt>
                <c:pt idx="110">
                  <c:v>24301.380859000001</c:v>
                </c:pt>
                <c:pt idx="111">
                  <c:v>23776.949218999998</c:v>
                </c:pt>
                <c:pt idx="112">
                  <c:v>24344.089843999998</c:v>
                </c:pt>
                <c:pt idx="113">
                  <c:v>24481.410156000002</c:v>
                </c:pt>
                <c:pt idx="114">
                  <c:v>24464.939452999999</c:v>
                </c:pt>
                <c:pt idx="115">
                  <c:v>24643.890625</c:v>
                </c:pt>
                <c:pt idx="116">
                  <c:v>24511.339843999998</c:v>
                </c:pt>
                <c:pt idx="117">
                  <c:v>24907.339843999998</c:v>
                </c:pt>
                <c:pt idx="118">
                  <c:v>24781.580077999999</c:v>
                </c:pt>
                <c:pt idx="119">
                  <c:v>24549.990234000001</c:v>
                </c:pt>
                <c:pt idx="120">
                  <c:v>24301.279297000001</c:v>
                </c:pt>
                <c:pt idx="121">
                  <c:v>24427.189452999999</c:v>
                </c:pt>
                <c:pt idx="122">
                  <c:v>25124.189452999999</c:v>
                </c:pt>
                <c:pt idx="123">
                  <c:v>25373.119140999999</c:v>
                </c:pt>
                <c:pt idx="124">
                  <c:v>26339.160156000002</c:v>
                </c:pt>
                <c:pt idx="125">
                  <c:v>25975.660156000002</c:v>
                </c:pt>
                <c:pt idx="126">
                  <c:v>26129.179688</c:v>
                </c:pt>
                <c:pt idx="127">
                  <c:v>26210.160156000002</c:v>
                </c:pt>
                <c:pt idx="128">
                  <c:v>25727.410156000002</c:v>
                </c:pt>
                <c:pt idx="129">
                  <c:v>25772.119140999999</c:v>
                </c:pt>
                <c:pt idx="130">
                  <c:v>25477.890625</c:v>
                </c:pt>
                <c:pt idx="131">
                  <c:v>25481.580077999999</c:v>
                </c:pt>
                <c:pt idx="132">
                  <c:v>24970.689452999999</c:v>
                </c:pt>
                <c:pt idx="133">
                  <c:v>25089.169922000001</c:v>
                </c:pt>
                <c:pt idx="134">
                  <c:v>25057.990234000001</c:v>
                </c:pt>
                <c:pt idx="135">
                  <c:v>25635.660156000002</c:v>
                </c:pt>
                <c:pt idx="136">
                  <c:v>25057.939452999999</c:v>
                </c:pt>
                <c:pt idx="137">
                  <c:v>25263</c:v>
                </c:pt>
                <c:pt idx="138">
                  <c:v>24705.330077999999</c:v>
                </c:pt>
                <c:pt idx="139">
                  <c:v>24603.259765999999</c:v>
                </c:pt>
                <c:pt idx="140">
                  <c:v>24772.759765999999</c:v>
                </c:pt>
                <c:pt idx="141">
                  <c:v>24883.140625</c:v>
                </c:pt>
                <c:pt idx="142">
                  <c:v>24710.589843999998</c:v>
                </c:pt>
                <c:pt idx="143">
                  <c:v>24595.349609000001</c:v>
                </c:pt>
                <c:pt idx="144">
                  <c:v>24458.130859000001</c:v>
                </c:pt>
                <c:pt idx="145">
                  <c:v>24946.630859000001</c:v>
                </c:pt>
                <c:pt idx="146">
                  <c:v>25102.539063</c:v>
                </c:pt>
                <c:pt idx="147">
                  <c:v>24930.580077999999</c:v>
                </c:pt>
                <c:pt idx="148">
                  <c:v>24531.619140999999</c:v>
                </c:pt>
                <c:pt idx="149">
                  <c:v>24377.429688</c:v>
                </c:pt>
                <c:pt idx="150">
                  <c:v>24890.679688</c:v>
                </c:pt>
                <c:pt idx="151">
                  <c:v>25244.019531000002</c:v>
                </c:pt>
                <c:pt idx="152">
                  <c:v>25230.669922000001</c:v>
                </c:pt>
                <c:pt idx="153">
                  <c:v>25183.009765999999</c:v>
                </c:pt>
                <c:pt idx="154">
                  <c:v>25347.339843999998</c:v>
                </c:pt>
                <c:pt idx="155">
                  <c:v>25367.380859000001</c:v>
                </c:pt>
                <c:pt idx="156">
                  <c:v>25178.910156000002</c:v>
                </c:pt>
                <c:pt idx="157">
                  <c:v>24791.390625</c:v>
                </c:pt>
                <c:pt idx="158">
                  <c:v>25113.839843999998</c:v>
                </c:pt>
                <c:pt idx="159">
                  <c:v>25551.580077999999</c:v>
                </c:pt>
                <c:pt idx="160">
                  <c:v>25486.220702999999</c:v>
                </c:pt>
                <c:pt idx="161">
                  <c:v>25491.789063</c:v>
                </c:pt>
                <c:pt idx="162">
                  <c:v>25281.150390999999</c:v>
                </c:pt>
                <c:pt idx="163">
                  <c:v>25422.060547000001</c:v>
                </c:pt>
                <c:pt idx="164">
                  <c:v>25177.050781000002</c:v>
                </c:pt>
                <c:pt idx="165">
                  <c:v>25184.849609000001</c:v>
                </c:pt>
                <c:pt idx="166">
                  <c:v>25120.089843999998</c:v>
                </c:pt>
                <c:pt idx="167">
                  <c:v>25007.599609000001</c:v>
                </c:pt>
                <c:pt idx="168">
                  <c:v>24695.449218999998</c:v>
                </c:pt>
                <c:pt idx="169">
                  <c:v>24589.650390999999</c:v>
                </c:pt>
                <c:pt idx="170">
                  <c:v>24624.339843999998</c:v>
                </c:pt>
                <c:pt idx="171">
                  <c:v>24468.929688</c:v>
                </c:pt>
                <c:pt idx="172">
                  <c:v>24313.539063</c:v>
                </c:pt>
                <c:pt idx="173">
                  <c:v>24503.310547000001</c:v>
                </c:pt>
                <c:pt idx="174">
                  <c:v>24640.279297000001</c:v>
                </c:pt>
                <c:pt idx="175">
                  <c:v>24732.759765999999</c:v>
                </c:pt>
                <c:pt idx="176">
                  <c:v>24725.630859000001</c:v>
                </c:pt>
                <c:pt idx="177">
                  <c:v>24340.849609000001</c:v>
                </c:pt>
                <c:pt idx="178">
                  <c:v>24455.410156000002</c:v>
                </c:pt>
                <c:pt idx="179">
                  <c:v>23950.689452999999</c:v>
                </c:pt>
                <c:pt idx="180">
                  <c:v>23716.849609000001</c:v>
                </c:pt>
                <c:pt idx="181">
                  <c:v>23742.509765999999</c:v>
                </c:pt>
                <c:pt idx="182">
                  <c:v>23311.070313</c:v>
                </c:pt>
                <c:pt idx="183">
                  <c:v>23235.419922000001</c:v>
                </c:pt>
                <c:pt idx="184">
                  <c:v>23476.050781000002</c:v>
                </c:pt>
                <c:pt idx="185">
                  <c:v>23275.529297000001</c:v>
                </c:pt>
                <c:pt idx="186">
                  <c:v>23459.050781000002</c:v>
                </c:pt>
                <c:pt idx="187">
                  <c:v>23767.779297000001</c:v>
                </c:pt>
                <c:pt idx="188">
                  <c:v>23980.650390999999</c:v>
                </c:pt>
                <c:pt idx="189">
                  <c:v>24242.859375</c:v>
                </c:pt>
                <c:pt idx="190">
                  <c:v>24193.349609000001</c:v>
                </c:pt>
                <c:pt idx="191">
                  <c:v>24119.130859000001</c:v>
                </c:pt>
                <c:pt idx="192">
                  <c:v>24649.679688</c:v>
                </c:pt>
                <c:pt idx="193">
                  <c:v>24667.089843999998</c:v>
                </c:pt>
                <c:pt idx="194">
                  <c:v>24158.539063</c:v>
                </c:pt>
                <c:pt idx="195">
                  <c:v>24386.789063</c:v>
                </c:pt>
                <c:pt idx="196">
                  <c:v>24542.259765999999</c:v>
                </c:pt>
                <c:pt idx="197">
                  <c:v>24569.539063</c:v>
                </c:pt>
                <c:pt idx="198">
                  <c:v>24754.419922000001</c:v>
                </c:pt>
                <c:pt idx="199">
                  <c:v>24786.130859000001</c:v>
                </c:pt>
                <c:pt idx="200">
                  <c:v>24918.779297000001</c:v>
                </c:pt>
                <c:pt idx="201">
                  <c:v>24787.189452999999</c:v>
                </c:pt>
                <c:pt idx="202">
                  <c:v>24708.800781000002</c:v>
                </c:pt>
                <c:pt idx="203">
                  <c:v>24586.599609000001</c:v>
                </c:pt>
                <c:pt idx="204">
                  <c:v>24107.419922000001</c:v>
                </c:pt>
                <c:pt idx="205">
                  <c:v>24460.009765999999</c:v>
                </c:pt>
                <c:pt idx="206">
                  <c:v>24939.730468999998</c:v>
                </c:pt>
                <c:pt idx="207">
                  <c:v>24886.140625</c:v>
                </c:pt>
                <c:pt idx="208">
                  <c:v>25695.919922000001</c:v>
                </c:pt>
                <c:pt idx="209">
                  <c:v>25712.970702999999</c:v>
                </c:pt>
                <c:pt idx="210">
                  <c:v>26016.169922000001</c:v>
                </c:pt>
                <c:pt idx="211">
                  <c:v>26301.480468999998</c:v>
                </c:pt>
                <c:pt idx="212">
                  <c:v>26226.980468999998</c:v>
                </c:pt>
                <c:pt idx="213">
                  <c:v>26169.380859000001</c:v>
                </c:pt>
                <c:pt idx="214">
                  <c:v>26156.859375</c:v>
                </c:pt>
                <c:pt idx="215">
                  <c:v>26381.669922000001</c:v>
                </c:pt>
                <c:pt idx="216">
                  <c:v>26415.089843999998</c:v>
                </c:pt>
                <c:pt idx="217">
                  <c:v>26544.289063</c:v>
                </c:pt>
                <c:pt idx="218">
                  <c:v>26356.970702999999</c:v>
                </c:pt>
                <c:pt idx="219">
                  <c:v>26451.539063</c:v>
                </c:pt>
                <c:pt idx="220">
                  <c:v>26486.199218999998</c:v>
                </c:pt>
                <c:pt idx="221">
                  <c:v>26588.199218999998</c:v>
                </c:pt>
                <c:pt idx="222">
                  <c:v>26669.75</c:v>
                </c:pt>
                <c:pt idx="223">
                  <c:v>26819.449218999998</c:v>
                </c:pt>
                <c:pt idx="224">
                  <c:v>26894.679688</c:v>
                </c:pt>
                <c:pt idx="225">
                  <c:v>26341.490234000001</c:v>
                </c:pt>
                <c:pt idx="226">
                  <c:v>26567.679688</c:v>
                </c:pt>
                <c:pt idx="227">
                  <c:v>26532.580077999999</c:v>
                </c:pt>
                <c:pt idx="228">
                  <c:v>26728.5</c:v>
                </c:pt>
                <c:pt idx="229">
                  <c:v>26835.919922000001</c:v>
                </c:pt>
                <c:pt idx="230">
                  <c:v>26506.849609000001</c:v>
                </c:pt>
                <c:pt idx="231">
                  <c:v>26304.560547000001</c:v>
                </c:pt>
                <c:pt idx="232">
                  <c:v>26502.839843999998</c:v>
                </c:pt>
                <c:pt idx="233">
                  <c:v>26410.589843999998</c:v>
                </c:pt>
                <c:pt idx="234">
                  <c:v>26505.869140999999</c:v>
                </c:pt>
                <c:pt idx="235">
                  <c:v>26389.519531000002</c:v>
                </c:pt>
                <c:pt idx="236">
                  <c:v>26207.289063</c:v>
                </c:pt>
                <c:pt idx="237">
                  <c:v>26460.289063</c:v>
                </c:pt>
                <c:pt idx="238">
                  <c:v>26678.380859000001</c:v>
                </c:pt>
                <c:pt idx="239">
                  <c:v>26498.599609000001</c:v>
                </c:pt>
                <c:pt idx="240">
                  <c:v>26306.679688</c:v>
                </c:pt>
                <c:pt idx="241">
                  <c:v>26119.25</c:v>
                </c:pt>
                <c:pt idx="242">
                  <c:v>26343.099609000001</c:v>
                </c:pt>
                <c:pt idx="243">
                  <c:v>26386.560547000001</c:v>
                </c:pt>
                <c:pt idx="244">
                  <c:v>26314.630859000001</c:v>
                </c:pt>
                <c:pt idx="245">
                  <c:v>26568.490234000001</c:v>
                </c:pt>
                <c:pt idx="246">
                  <c:v>27147.109375</c:v>
                </c:pt>
                <c:pt idx="247">
                  <c:v>27231.130859000001</c:v>
                </c:pt>
                <c:pt idx="248">
                  <c:v>27472.810547000001</c:v>
                </c:pt>
                <c:pt idx="249">
                  <c:v>27649.859375</c:v>
                </c:pt>
                <c:pt idx="250">
                  <c:v>27692.300781000002</c:v>
                </c:pt>
                <c:pt idx="251">
                  <c:v>27548.519531000002</c:v>
                </c:pt>
                <c:pt idx="252">
                  <c:v>27878.220702999999</c:v>
                </c:pt>
                <c:pt idx="253">
                  <c:v>27908.220702999999</c:v>
                </c:pt>
                <c:pt idx="254">
                  <c:v>28276.75</c:v>
                </c:pt>
                <c:pt idx="255">
                  <c:v>28235.599609000001</c:v>
                </c:pt>
                <c:pt idx="256">
                  <c:v>28496.859375</c:v>
                </c:pt>
                <c:pt idx="257">
                  <c:v>28573.859375</c:v>
                </c:pt>
                <c:pt idx="258">
                  <c:v>28862.769531000002</c:v>
                </c:pt>
                <c:pt idx="259">
                  <c:v>29642.279297000001</c:v>
                </c:pt>
                <c:pt idx="260">
                  <c:v>29962.470702999999</c:v>
                </c:pt>
                <c:pt idx="261">
                  <c:v>29927.759765999999</c:v>
                </c:pt>
                <c:pt idx="262">
                  <c:v>29447.849609000001</c:v>
                </c:pt>
                <c:pt idx="263">
                  <c:v>30159.009765999999</c:v>
                </c:pt>
                <c:pt idx="264">
                  <c:v>29391.259765999999</c:v>
                </c:pt>
                <c:pt idx="265">
                  <c:v>29297.529297000001</c:v>
                </c:pt>
                <c:pt idx="266">
                  <c:v>28550.769531000002</c:v>
                </c:pt>
                <c:pt idx="267">
                  <c:v>28283.710938</c:v>
                </c:pt>
                <c:pt idx="268">
                  <c:v>28892.859375</c:v>
                </c:pt>
                <c:pt idx="269">
                  <c:v>29248.699218999998</c:v>
                </c:pt>
                <c:pt idx="270">
                  <c:v>29307.460938</c:v>
                </c:pt>
                <c:pt idx="271">
                  <c:v>29113.5</c:v>
                </c:pt>
                <c:pt idx="272">
                  <c:v>29288.679688</c:v>
                </c:pt>
                <c:pt idx="273">
                  <c:v>29319.470702999999</c:v>
                </c:pt>
                <c:pt idx="274">
                  <c:v>29476.189452999999</c:v>
                </c:pt>
                <c:pt idx="275">
                  <c:v>30038.720702999999</c:v>
                </c:pt>
                <c:pt idx="276">
                  <c:v>30173.570313</c:v>
                </c:pt>
                <c:pt idx="277">
                  <c:v>30746.660156000002</c:v>
                </c:pt>
              </c:numCache>
            </c:numRef>
          </c:yVal>
          <c:smooth val="0"/>
          <c:extLst>
            <c:ext xmlns:c16="http://schemas.microsoft.com/office/drawing/2014/chart" uri="{C3380CC4-5D6E-409C-BE32-E72D297353CC}">
              <c16:uniqueId val="{00000000-245C-4D00-8F36-C9F069BC7570}"/>
            </c:ext>
          </c:extLst>
        </c:ser>
        <c:ser>
          <c:idx val="1"/>
          <c:order val="1"/>
          <c:tx>
            <c:v>Predicted Daily End Closing Price in HKD</c:v>
          </c:tx>
          <c:spPr>
            <a:ln w="19050">
              <a:noFill/>
            </a:ln>
          </c:spPr>
          <c:xVal>
            <c:numRef>
              <c:f>HSI!$A$2:$A$279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HSI!$F$26:$F$303</c:f>
              <c:numCache>
                <c:formatCode>General</c:formatCode>
                <c:ptCount val="278"/>
                <c:pt idx="0">
                  <c:v>24928.053940636921</c:v>
                </c:pt>
                <c:pt idx="1">
                  <c:v>24931.811141946528</c:v>
                </c:pt>
                <c:pt idx="2">
                  <c:v>24943.082745875377</c:v>
                </c:pt>
                <c:pt idx="3">
                  <c:v>24946.839947184984</c:v>
                </c:pt>
                <c:pt idx="4">
                  <c:v>24950.597148494591</c:v>
                </c:pt>
                <c:pt idx="5">
                  <c:v>24954.354349804198</c:v>
                </c:pt>
                <c:pt idx="6">
                  <c:v>24958.111551113834</c:v>
                </c:pt>
                <c:pt idx="7">
                  <c:v>24969.383155042655</c:v>
                </c:pt>
                <c:pt idx="8">
                  <c:v>24973.140356352262</c:v>
                </c:pt>
                <c:pt idx="9">
                  <c:v>24976.897557661869</c:v>
                </c:pt>
                <c:pt idx="10">
                  <c:v>24980.654758971505</c:v>
                </c:pt>
                <c:pt idx="11">
                  <c:v>24984.411960281112</c:v>
                </c:pt>
                <c:pt idx="12">
                  <c:v>24995.683564209932</c:v>
                </c:pt>
                <c:pt idx="13">
                  <c:v>24999.440765519568</c:v>
                </c:pt>
                <c:pt idx="14">
                  <c:v>25003.197966829175</c:v>
                </c:pt>
                <c:pt idx="15">
                  <c:v>25006.955168138782</c:v>
                </c:pt>
                <c:pt idx="16">
                  <c:v>25010.712369448389</c:v>
                </c:pt>
                <c:pt idx="17">
                  <c:v>25029.498375996453</c:v>
                </c:pt>
                <c:pt idx="18">
                  <c:v>25033.255577306059</c:v>
                </c:pt>
                <c:pt idx="19">
                  <c:v>25037.012778615666</c:v>
                </c:pt>
                <c:pt idx="20">
                  <c:v>25048.284382544516</c:v>
                </c:pt>
                <c:pt idx="21">
                  <c:v>25052.041583854123</c:v>
                </c:pt>
                <c:pt idx="22">
                  <c:v>25055.79878516373</c:v>
                </c:pt>
                <c:pt idx="23">
                  <c:v>25059.555986473366</c:v>
                </c:pt>
                <c:pt idx="24">
                  <c:v>25063.313187782973</c:v>
                </c:pt>
                <c:pt idx="25">
                  <c:v>25074.584791711794</c:v>
                </c:pt>
                <c:pt idx="26">
                  <c:v>25078.3419930214</c:v>
                </c:pt>
                <c:pt idx="27">
                  <c:v>25082.099194331036</c:v>
                </c:pt>
                <c:pt idx="28">
                  <c:v>25085.856395640643</c:v>
                </c:pt>
                <c:pt idx="29">
                  <c:v>25089.61359695025</c:v>
                </c:pt>
                <c:pt idx="30">
                  <c:v>25100.8852008791</c:v>
                </c:pt>
                <c:pt idx="31">
                  <c:v>25104.642402188707</c:v>
                </c:pt>
                <c:pt idx="32">
                  <c:v>25108.399603498314</c:v>
                </c:pt>
                <c:pt idx="33">
                  <c:v>25112.156804807921</c:v>
                </c:pt>
                <c:pt idx="34">
                  <c:v>25115.914006117528</c:v>
                </c:pt>
                <c:pt idx="35">
                  <c:v>25127.185610046377</c:v>
                </c:pt>
                <c:pt idx="36">
                  <c:v>25130.942811355984</c:v>
                </c:pt>
                <c:pt idx="37">
                  <c:v>25134.700012665591</c:v>
                </c:pt>
                <c:pt idx="38">
                  <c:v>25138.457213975198</c:v>
                </c:pt>
                <c:pt idx="39">
                  <c:v>25142.214415284834</c:v>
                </c:pt>
                <c:pt idx="40">
                  <c:v>25153.486019213655</c:v>
                </c:pt>
                <c:pt idx="41">
                  <c:v>25157.243220523262</c:v>
                </c:pt>
                <c:pt idx="42">
                  <c:v>25161.000421832869</c:v>
                </c:pt>
                <c:pt idx="43">
                  <c:v>25164.757623142505</c:v>
                </c:pt>
                <c:pt idx="44">
                  <c:v>25168.514824452111</c:v>
                </c:pt>
                <c:pt idx="45">
                  <c:v>25179.786428380932</c:v>
                </c:pt>
                <c:pt idx="46">
                  <c:v>25183.543629690568</c:v>
                </c:pt>
                <c:pt idx="47">
                  <c:v>25187.300831000175</c:v>
                </c:pt>
                <c:pt idx="48">
                  <c:v>25191.058032309782</c:v>
                </c:pt>
                <c:pt idx="49">
                  <c:v>25194.815233619389</c:v>
                </c:pt>
                <c:pt idx="50">
                  <c:v>25206.086837548239</c:v>
                </c:pt>
                <c:pt idx="51">
                  <c:v>25209.844038857846</c:v>
                </c:pt>
                <c:pt idx="52">
                  <c:v>25213.601240167452</c:v>
                </c:pt>
                <c:pt idx="53">
                  <c:v>25217.358441477059</c:v>
                </c:pt>
                <c:pt idx="54">
                  <c:v>25221.115642786666</c:v>
                </c:pt>
                <c:pt idx="55">
                  <c:v>25232.387246715516</c:v>
                </c:pt>
                <c:pt idx="56">
                  <c:v>25236.144448025123</c:v>
                </c:pt>
                <c:pt idx="57">
                  <c:v>25239.90164933473</c:v>
                </c:pt>
                <c:pt idx="58">
                  <c:v>25243.658850644337</c:v>
                </c:pt>
                <c:pt idx="59">
                  <c:v>25247.416051953973</c:v>
                </c:pt>
                <c:pt idx="60">
                  <c:v>25258.687655882793</c:v>
                </c:pt>
                <c:pt idx="61">
                  <c:v>25262.4448571924</c:v>
                </c:pt>
                <c:pt idx="62">
                  <c:v>25266.202058502036</c:v>
                </c:pt>
                <c:pt idx="63">
                  <c:v>25269.959259811643</c:v>
                </c:pt>
                <c:pt idx="64">
                  <c:v>25273.71646112125</c:v>
                </c:pt>
                <c:pt idx="65">
                  <c:v>25284.988065050071</c:v>
                </c:pt>
                <c:pt idx="66">
                  <c:v>25288.745266359707</c:v>
                </c:pt>
                <c:pt idx="67">
                  <c:v>25292.502467669314</c:v>
                </c:pt>
                <c:pt idx="68">
                  <c:v>25296.259668978921</c:v>
                </c:pt>
                <c:pt idx="69">
                  <c:v>25315.045675526984</c:v>
                </c:pt>
                <c:pt idx="70">
                  <c:v>25318.802876836591</c:v>
                </c:pt>
                <c:pt idx="71">
                  <c:v>25322.560078146198</c:v>
                </c:pt>
                <c:pt idx="72">
                  <c:v>25326.317279455805</c:v>
                </c:pt>
                <c:pt idx="73">
                  <c:v>25337.588883384655</c:v>
                </c:pt>
                <c:pt idx="74">
                  <c:v>25341.346084694262</c:v>
                </c:pt>
                <c:pt idx="75">
                  <c:v>25345.103286003869</c:v>
                </c:pt>
                <c:pt idx="76">
                  <c:v>25348.860487313505</c:v>
                </c:pt>
                <c:pt idx="77">
                  <c:v>25352.617688623111</c:v>
                </c:pt>
                <c:pt idx="78">
                  <c:v>25363.889292551932</c:v>
                </c:pt>
                <c:pt idx="79">
                  <c:v>25367.646493861539</c:v>
                </c:pt>
                <c:pt idx="80">
                  <c:v>25371.403695171175</c:v>
                </c:pt>
                <c:pt idx="81">
                  <c:v>25390.189701719239</c:v>
                </c:pt>
                <c:pt idx="82">
                  <c:v>25393.946903028846</c:v>
                </c:pt>
                <c:pt idx="83">
                  <c:v>25397.704104338452</c:v>
                </c:pt>
                <c:pt idx="84">
                  <c:v>25401.461305648059</c:v>
                </c:pt>
                <c:pt idx="85">
                  <c:v>25405.218506957666</c:v>
                </c:pt>
                <c:pt idx="86">
                  <c:v>25416.490110886516</c:v>
                </c:pt>
                <c:pt idx="87">
                  <c:v>25420.247312196123</c:v>
                </c:pt>
                <c:pt idx="88">
                  <c:v>25424.00451350573</c:v>
                </c:pt>
                <c:pt idx="89">
                  <c:v>25427.761714815337</c:v>
                </c:pt>
                <c:pt idx="90">
                  <c:v>25431.518916124973</c:v>
                </c:pt>
                <c:pt idx="91">
                  <c:v>25442.790520053793</c:v>
                </c:pt>
                <c:pt idx="92">
                  <c:v>25446.5477213634</c:v>
                </c:pt>
                <c:pt idx="93">
                  <c:v>25450.304922673007</c:v>
                </c:pt>
                <c:pt idx="94">
                  <c:v>25454.062123982643</c:v>
                </c:pt>
                <c:pt idx="95">
                  <c:v>25457.81932529225</c:v>
                </c:pt>
                <c:pt idx="96">
                  <c:v>25469.090929221071</c:v>
                </c:pt>
                <c:pt idx="97">
                  <c:v>25472.848130530707</c:v>
                </c:pt>
                <c:pt idx="98">
                  <c:v>25476.605331840314</c:v>
                </c:pt>
                <c:pt idx="99">
                  <c:v>25480.362533149921</c:v>
                </c:pt>
                <c:pt idx="100">
                  <c:v>25484.119734459528</c:v>
                </c:pt>
                <c:pt idx="101">
                  <c:v>25495.391338388377</c:v>
                </c:pt>
                <c:pt idx="102">
                  <c:v>25499.148539697984</c:v>
                </c:pt>
                <c:pt idx="103">
                  <c:v>25502.905741007591</c:v>
                </c:pt>
                <c:pt idx="104">
                  <c:v>25506.662942317198</c:v>
                </c:pt>
                <c:pt idx="105">
                  <c:v>25510.420143626805</c:v>
                </c:pt>
                <c:pt idx="106">
                  <c:v>25521.691747555655</c:v>
                </c:pt>
                <c:pt idx="107">
                  <c:v>25525.448948865262</c:v>
                </c:pt>
                <c:pt idx="108">
                  <c:v>25529.206150174869</c:v>
                </c:pt>
                <c:pt idx="109">
                  <c:v>25532.963351484475</c:v>
                </c:pt>
                <c:pt idx="110">
                  <c:v>25536.720552794111</c:v>
                </c:pt>
                <c:pt idx="111">
                  <c:v>25547.992156722932</c:v>
                </c:pt>
                <c:pt idx="112">
                  <c:v>25551.749358032539</c:v>
                </c:pt>
                <c:pt idx="113">
                  <c:v>25555.506559342175</c:v>
                </c:pt>
                <c:pt idx="114">
                  <c:v>25559.263760651782</c:v>
                </c:pt>
                <c:pt idx="115">
                  <c:v>25563.020961961389</c:v>
                </c:pt>
                <c:pt idx="116">
                  <c:v>25574.292565890239</c:v>
                </c:pt>
                <c:pt idx="117">
                  <c:v>25578.049767199846</c:v>
                </c:pt>
                <c:pt idx="118">
                  <c:v>25581.806968509452</c:v>
                </c:pt>
                <c:pt idx="119">
                  <c:v>25589.321371128666</c:v>
                </c:pt>
                <c:pt idx="120">
                  <c:v>25600.592975057516</c:v>
                </c:pt>
                <c:pt idx="121">
                  <c:v>25604.350176367123</c:v>
                </c:pt>
                <c:pt idx="122">
                  <c:v>25611.864578986337</c:v>
                </c:pt>
                <c:pt idx="123">
                  <c:v>25615.621780295973</c:v>
                </c:pt>
                <c:pt idx="124">
                  <c:v>25626.893384224793</c:v>
                </c:pt>
                <c:pt idx="125">
                  <c:v>25630.6505855344</c:v>
                </c:pt>
                <c:pt idx="126">
                  <c:v>25634.407786844007</c:v>
                </c:pt>
                <c:pt idx="127">
                  <c:v>25638.164988153643</c:v>
                </c:pt>
                <c:pt idx="128">
                  <c:v>25641.92218946325</c:v>
                </c:pt>
                <c:pt idx="129">
                  <c:v>25653.193793392071</c:v>
                </c:pt>
                <c:pt idx="130">
                  <c:v>25656.950994701707</c:v>
                </c:pt>
                <c:pt idx="131">
                  <c:v>25660.708196011314</c:v>
                </c:pt>
                <c:pt idx="132">
                  <c:v>25664.465397320921</c:v>
                </c:pt>
                <c:pt idx="133">
                  <c:v>25668.222598630528</c:v>
                </c:pt>
                <c:pt idx="134">
                  <c:v>25679.494202559377</c:v>
                </c:pt>
                <c:pt idx="135">
                  <c:v>25683.251403868984</c:v>
                </c:pt>
                <c:pt idx="136">
                  <c:v>25687.008605178591</c:v>
                </c:pt>
                <c:pt idx="137">
                  <c:v>25690.765806488198</c:v>
                </c:pt>
                <c:pt idx="138">
                  <c:v>25694.523007797805</c:v>
                </c:pt>
                <c:pt idx="139">
                  <c:v>25705.794611726655</c:v>
                </c:pt>
                <c:pt idx="140">
                  <c:v>25709.551813036262</c:v>
                </c:pt>
                <c:pt idx="141">
                  <c:v>25713.309014345868</c:v>
                </c:pt>
                <c:pt idx="142">
                  <c:v>25717.066215655475</c:v>
                </c:pt>
                <c:pt idx="143">
                  <c:v>25720.823416965111</c:v>
                </c:pt>
                <c:pt idx="144">
                  <c:v>25732.095020893932</c:v>
                </c:pt>
                <c:pt idx="145">
                  <c:v>25735.852222203539</c:v>
                </c:pt>
                <c:pt idx="146">
                  <c:v>25739.609423513175</c:v>
                </c:pt>
                <c:pt idx="147">
                  <c:v>25743.366624822782</c:v>
                </c:pt>
                <c:pt idx="148">
                  <c:v>25747.123826132389</c:v>
                </c:pt>
                <c:pt idx="149">
                  <c:v>25758.395430061209</c:v>
                </c:pt>
                <c:pt idx="150">
                  <c:v>25762.152631370845</c:v>
                </c:pt>
                <c:pt idx="151">
                  <c:v>25765.909832680452</c:v>
                </c:pt>
                <c:pt idx="152">
                  <c:v>25769.667033990059</c:v>
                </c:pt>
                <c:pt idx="153">
                  <c:v>25773.424235299666</c:v>
                </c:pt>
                <c:pt idx="154">
                  <c:v>25784.695839228516</c:v>
                </c:pt>
                <c:pt idx="155">
                  <c:v>25788.453040538123</c:v>
                </c:pt>
                <c:pt idx="156">
                  <c:v>25792.21024184773</c:v>
                </c:pt>
                <c:pt idx="157">
                  <c:v>25795.967443157337</c:v>
                </c:pt>
                <c:pt idx="158">
                  <c:v>25799.724644466944</c:v>
                </c:pt>
                <c:pt idx="159">
                  <c:v>25810.996248395793</c:v>
                </c:pt>
                <c:pt idx="160">
                  <c:v>25814.7534497054</c:v>
                </c:pt>
                <c:pt idx="161">
                  <c:v>25818.510651015007</c:v>
                </c:pt>
                <c:pt idx="162">
                  <c:v>25822.267852324643</c:v>
                </c:pt>
                <c:pt idx="163">
                  <c:v>25826.02505363425</c:v>
                </c:pt>
                <c:pt idx="164">
                  <c:v>25837.296657563071</c:v>
                </c:pt>
                <c:pt idx="165">
                  <c:v>25841.053858872678</c:v>
                </c:pt>
                <c:pt idx="166">
                  <c:v>25844.811060182314</c:v>
                </c:pt>
                <c:pt idx="167">
                  <c:v>25848.568261491921</c:v>
                </c:pt>
                <c:pt idx="168">
                  <c:v>25852.325462801527</c:v>
                </c:pt>
                <c:pt idx="169">
                  <c:v>25863.597066730377</c:v>
                </c:pt>
                <c:pt idx="170">
                  <c:v>25867.354268039984</c:v>
                </c:pt>
                <c:pt idx="171">
                  <c:v>25871.111469349591</c:v>
                </c:pt>
                <c:pt idx="172">
                  <c:v>25874.868670659198</c:v>
                </c:pt>
                <c:pt idx="173">
                  <c:v>25878.625871968805</c:v>
                </c:pt>
                <c:pt idx="174">
                  <c:v>25889.897475897655</c:v>
                </c:pt>
                <c:pt idx="175">
                  <c:v>25893.654677207262</c:v>
                </c:pt>
                <c:pt idx="176">
                  <c:v>25897.411878516868</c:v>
                </c:pt>
                <c:pt idx="177">
                  <c:v>25901.169079826475</c:v>
                </c:pt>
                <c:pt idx="178">
                  <c:v>25904.926281136111</c:v>
                </c:pt>
                <c:pt idx="179">
                  <c:v>25916.197885064932</c:v>
                </c:pt>
                <c:pt idx="180">
                  <c:v>25919.955086374539</c:v>
                </c:pt>
                <c:pt idx="181">
                  <c:v>25923.712287684146</c:v>
                </c:pt>
                <c:pt idx="182">
                  <c:v>25927.469488993782</c:v>
                </c:pt>
                <c:pt idx="183">
                  <c:v>25931.226690303389</c:v>
                </c:pt>
                <c:pt idx="184">
                  <c:v>25942.498294232209</c:v>
                </c:pt>
                <c:pt idx="185">
                  <c:v>25946.255495541845</c:v>
                </c:pt>
                <c:pt idx="186">
                  <c:v>25950.012696851452</c:v>
                </c:pt>
                <c:pt idx="187">
                  <c:v>25968.798703399516</c:v>
                </c:pt>
                <c:pt idx="188">
                  <c:v>25972.555904709123</c:v>
                </c:pt>
                <c:pt idx="189">
                  <c:v>25976.31310601873</c:v>
                </c:pt>
                <c:pt idx="190">
                  <c:v>25980.070307328337</c:v>
                </c:pt>
                <c:pt idx="191">
                  <c:v>25983.827508637944</c:v>
                </c:pt>
                <c:pt idx="192">
                  <c:v>25995.099112566793</c:v>
                </c:pt>
                <c:pt idx="193">
                  <c:v>26002.613515186007</c:v>
                </c:pt>
                <c:pt idx="194">
                  <c:v>26006.370716495614</c:v>
                </c:pt>
                <c:pt idx="195">
                  <c:v>26010.12791780525</c:v>
                </c:pt>
                <c:pt idx="196">
                  <c:v>26021.399521734071</c:v>
                </c:pt>
                <c:pt idx="197">
                  <c:v>26025.156723043678</c:v>
                </c:pt>
                <c:pt idx="198">
                  <c:v>26028.913924353314</c:v>
                </c:pt>
                <c:pt idx="199">
                  <c:v>26032.671125662921</c:v>
                </c:pt>
                <c:pt idx="200">
                  <c:v>26036.428326972527</c:v>
                </c:pt>
                <c:pt idx="201">
                  <c:v>26051.457132210984</c:v>
                </c:pt>
                <c:pt idx="202">
                  <c:v>26055.214333520591</c:v>
                </c:pt>
                <c:pt idx="203">
                  <c:v>26058.971534830198</c:v>
                </c:pt>
                <c:pt idx="204">
                  <c:v>26062.728736139805</c:v>
                </c:pt>
                <c:pt idx="205">
                  <c:v>26074.000340068655</c:v>
                </c:pt>
                <c:pt idx="206">
                  <c:v>26077.757541378262</c:v>
                </c:pt>
                <c:pt idx="207">
                  <c:v>26081.514742687868</c:v>
                </c:pt>
                <c:pt idx="208">
                  <c:v>26085.271943997475</c:v>
                </c:pt>
                <c:pt idx="209">
                  <c:v>26089.029145307082</c:v>
                </c:pt>
                <c:pt idx="210">
                  <c:v>26100.300749235932</c:v>
                </c:pt>
                <c:pt idx="211">
                  <c:v>26104.057950545539</c:v>
                </c:pt>
                <c:pt idx="212">
                  <c:v>26107.815151855146</c:v>
                </c:pt>
                <c:pt idx="213">
                  <c:v>26111.572353164782</c:v>
                </c:pt>
                <c:pt idx="214">
                  <c:v>26115.329554474389</c:v>
                </c:pt>
                <c:pt idx="215">
                  <c:v>26126.601158403209</c:v>
                </c:pt>
                <c:pt idx="216">
                  <c:v>26130.358359712845</c:v>
                </c:pt>
                <c:pt idx="217">
                  <c:v>26134.115561022452</c:v>
                </c:pt>
                <c:pt idx="218">
                  <c:v>26137.872762332059</c:v>
                </c:pt>
                <c:pt idx="219">
                  <c:v>26141.629963641666</c:v>
                </c:pt>
                <c:pt idx="220">
                  <c:v>26152.901567570516</c:v>
                </c:pt>
                <c:pt idx="221">
                  <c:v>26156.658768880123</c:v>
                </c:pt>
                <c:pt idx="222">
                  <c:v>26160.41597018973</c:v>
                </c:pt>
                <c:pt idx="223">
                  <c:v>26164.173171499337</c:v>
                </c:pt>
                <c:pt idx="224">
                  <c:v>26167.930372808944</c:v>
                </c:pt>
                <c:pt idx="225">
                  <c:v>26179.201976737793</c:v>
                </c:pt>
                <c:pt idx="226">
                  <c:v>26182.9591780474</c:v>
                </c:pt>
                <c:pt idx="227">
                  <c:v>26186.716379357007</c:v>
                </c:pt>
                <c:pt idx="228">
                  <c:v>26190.473580666614</c:v>
                </c:pt>
                <c:pt idx="229">
                  <c:v>26194.23078197625</c:v>
                </c:pt>
                <c:pt idx="230">
                  <c:v>26205.502385905071</c:v>
                </c:pt>
                <c:pt idx="231">
                  <c:v>26209.259587214678</c:v>
                </c:pt>
                <c:pt idx="232">
                  <c:v>26213.016788524314</c:v>
                </c:pt>
                <c:pt idx="233">
                  <c:v>26216.77398983392</c:v>
                </c:pt>
                <c:pt idx="234">
                  <c:v>26220.531191143527</c:v>
                </c:pt>
                <c:pt idx="235">
                  <c:v>26231.802795072348</c:v>
                </c:pt>
                <c:pt idx="236">
                  <c:v>26235.559996381984</c:v>
                </c:pt>
                <c:pt idx="237">
                  <c:v>26239.317197691591</c:v>
                </c:pt>
                <c:pt idx="238">
                  <c:v>26243.074399001198</c:v>
                </c:pt>
                <c:pt idx="239">
                  <c:v>26246.831600310805</c:v>
                </c:pt>
                <c:pt idx="240">
                  <c:v>26258.103204239655</c:v>
                </c:pt>
                <c:pt idx="241">
                  <c:v>26261.860405549261</c:v>
                </c:pt>
                <c:pt idx="242">
                  <c:v>26265.617606858868</c:v>
                </c:pt>
                <c:pt idx="243">
                  <c:v>26269.374808168475</c:v>
                </c:pt>
                <c:pt idx="244">
                  <c:v>26284.403613406932</c:v>
                </c:pt>
                <c:pt idx="245">
                  <c:v>26288.160814716539</c:v>
                </c:pt>
                <c:pt idx="246">
                  <c:v>26291.918016026146</c:v>
                </c:pt>
                <c:pt idx="247">
                  <c:v>26295.675217335782</c:v>
                </c:pt>
                <c:pt idx="248">
                  <c:v>26310.704022574209</c:v>
                </c:pt>
                <c:pt idx="249">
                  <c:v>26314.461223883816</c:v>
                </c:pt>
                <c:pt idx="250">
                  <c:v>26318.218425193452</c:v>
                </c:pt>
                <c:pt idx="251">
                  <c:v>26321.975626503059</c:v>
                </c:pt>
                <c:pt idx="252">
                  <c:v>26325.732827812666</c:v>
                </c:pt>
                <c:pt idx="253">
                  <c:v>26337.004431741516</c:v>
                </c:pt>
                <c:pt idx="254">
                  <c:v>26340.761633051123</c:v>
                </c:pt>
                <c:pt idx="255">
                  <c:v>26344.51883436073</c:v>
                </c:pt>
                <c:pt idx="256">
                  <c:v>26348.276035670337</c:v>
                </c:pt>
                <c:pt idx="257">
                  <c:v>26352.033236979943</c:v>
                </c:pt>
                <c:pt idx="258">
                  <c:v>26363.304840908793</c:v>
                </c:pt>
                <c:pt idx="259">
                  <c:v>26367.0620422184</c:v>
                </c:pt>
                <c:pt idx="260">
                  <c:v>26370.819243528007</c:v>
                </c:pt>
                <c:pt idx="261">
                  <c:v>26374.576444837614</c:v>
                </c:pt>
                <c:pt idx="262">
                  <c:v>26378.33364614725</c:v>
                </c:pt>
                <c:pt idx="263">
                  <c:v>26389.605250076071</c:v>
                </c:pt>
                <c:pt idx="264">
                  <c:v>26393.362451385678</c:v>
                </c:pt>
                <c:pt idx="265">
                  <c:v>26397.119652695284</c:v>
                </c:pt>
                <c:pt idx="266">
                  <c:v>26400.87685400492</c:v>
                </c:pt>
                <c:pt idx="267">
                  <c:v>26404.634055314527</c:v>
                </c:pt>
                <c:pt idx="268">
                  <c:v>26415.905659243348</c:v>
                </c:pt>
                <c:pt idx="269">
                  <c:v>26419.662860552984</c:v>
                </c:pt>
                <c:pt idx="270">
                  <c:v>26423.420061862591</c:v>
                </c:pt>
                <c:pt idx="271">
                  <c:v>26427.177263172198</c:v>
                </c:pt>
                <c:pt idx="272">
                  <c:v>26430.934464481805</c:v>
                </c:pt>
                <c:pt idx="273">
                  <c:v>26442.206068410655</c:v>
                </c:pt>
                <c:pt idx="274">
                  <c:v>26445.963269720261</c:v>
                </c:pt>
                <c:pt idx="275">
                  <c:v>26449.720471029868</c:v>
                </c:pt>
                <c:pt idx="276">
                  <c:v>26453.477672339475</c:v>
                </c:pt>
                <c:pt idx="277">
                  <c:v>26472.263678887539</c:v>
                </c:pt>
              </c:numCache>
            </c:numRef>
          </c:yVal>
          <c:smooth val="0"/>
          <c:extLst>
            <c:ext xmlns:c16="http://schemas.microsoft.com/office/drawing/2014/chart" uri="{C3380CC4-5D6E-409C-BE32-E72D297353CC}">
              <c16:uniqueId val="{00000001-245C-4D00-8F36-C9F069BC7570}"/>
            </c:ext>
          </c:extLst>
        </c:ser>
        <c:dLbls>
          <c:showLegendKey val="0"/>
          <c:showVal val="0"/>
          <c:showCatName val="0"/>
          <c:showSerName val="0"/>
          <c:showPercent val="0"/>
          <c:showBubbleSize val="0"/>
        </c:dLbls>
        <c:axId val="986300752"/>
        <c:axId val="986303048"/>
      </c:scatterChart>
      <c:valAx>
        <c:axId val="986300752"/>
        <c:scaling>
          <c:orientation val="minMax"/>
          <c:max val="44243"/>
          <c:min val="43832"/>
        </c:scaling>
        <c:delete val="0"/>
        <c:axPos val="b"/>
        <c:numFmt formatCode="d\ mmm\ yyyy" sourceLinked="0"/>
        <c:majorTickMark val="out"/>
        <c:minorTickMark val="none"/>
        <c:tickLblPos val="nextTo"/>
        <c:crossAx val="986303048"/>
        <c:crossesAt val="15000"/>
        <c:crossBetween val="midCat"/>
        <c:majorUnit val="100"/>
        <c:minorUnit val="5"/>
      </c:valAx>
      <c:valAx>
        <c:axId val="986303048"/>
        <c:scaling>
          <c:orientation val="minMax"/>
          <c:min val="19000"/>
        </c:scaling>
        <c:delete val="0"/>
        <c:axPos val="l"/>
        <c:title>
          <c:tx>
            <c:rich>
              <a:bodyPr/>
              <a:lstStyle/>
              <a:p>
                <a:pPr>
                  <a:defRPr/>
                </a:pPr>
                <a:r>
                  <a:rPr lang="en-US" sz="1000" b="1" i="0" baseline="0">
                    <a:effectLst/>
                  </a:rPr>
                  <a:t>Daily Closing Price in HKD</a:t>
                </a:r>
                <a:endParaRPr lang="en-US" sz="1000">
                  <a:effectLst/>
                </a:endParaRPr>
              </a:p>
            </c:rich>
          </c:tx>
          <c:overlay val="0"/>
        </c:title>
        <c:numFmt formatCode="General" sourceLinked="1"/>
        <c:majorTickMark val="out"/>
        <c:minorTickMark val="none"/>
        <c:tickLblPos val="nextTo"/>
        <c:crossAx val="986300752"/>
        <c:crossesAt val="43832"/>
        <c:crossBetween val="midCat"/>
      </c:valAx>
    </c:plotArea>
    <c:legend>
      <c:legendPos val="b"/>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30FB72-1198-49C7-9389-03E89DDD4714}" type="doc">
      <dgm:prSet loTypeId="urn:microsoft.com/office/officeart/2005/8/layout/process4" loCatId="process" qsTypeId="urn:microsoft.com/office/officeart/2005/8/quickstyle/simple1" qsCatId="simple" csTypeId="urn:microsoft.com/office/officeart/2005/8/colors/accent0_3" csCatId="mainScheme" phldr="1"/>
      <dgm:spPr/>
      <dgm:t>
        <a:bodyPr/>
        <a:lstStyle/>
        <a:p>
          <a:endParaRPr lang="en-US"/>
        </a:p>
      </dgm:t>
    </dgm:pt>
    <dgm:pt modelId="{369DE486-8133-4745-AFB7-EA6771E82F40}">
      <dgm:prSet phldrT="[Text]"/>
      <dgm:spPr/>
      <dgm:t>
        <a:bodyPr/>
        <a:lstStyle/>
        <a:p>
          <a:r>
            <a:rPr lang="en-US">
              <a:latin typeface="Times New Roman" panose="02020603050405020304" pitchFamily="18" charset="0"/>
              <a:cs typeface="Times New Roman" panose="02020603050405020304" pitchFamily="18" charset="0"/>
            </a:rPr>
            <a:t>Business Impact Analysis</a:t>
          </a:r>
        </a:p>
      </dgm:t>
    </dgm:pt>
    <dgm:pt modelId="{17A511B6-352D-4A45-ACBA-FD18EC0472EF}" type="parTrans" cxnId="{86909B23-F25B-4EA5-AAB5-90D72000343D}">
      <dgm:prSet/>
      <dgm:spPr/>
      <dgm:t>
        <a:bodyPr/>
        <a:lstStyle/>
        <a:p>
          <a:endParaRPr lang="en-US">
            <a:latin typeface="Times New Roman" panose="02020603050405020304" pitchFamily="18" charset="0"/>
            <a:cs typeface="Times New Roman" panose="02020603050405020304" pitchFamily="18" charset="0"/>
          </a:endParaRPr>
        </a:p>
      </dgm:t>
    </dgm:pt>
    <dgm:pt modelId="{BAA288EE-195F-486A-9865-D018DF78D72B}" type="sibTrans" cxnId="{86909B23-F25B-4EA5-AAB5-90D72000343D}">
      <dgm:prSet/>
      <dgm:spPr/>
      <dgm:t>
        <a:bodyPr/>
        <a:lstStyle/>
        <a:p>
          <a:endParaRPr lang="en-US">
            <a:latin typeface="Times New Roman" panose="02020603050405020304" pitchFamily="18" charset="0"/>
            <a:cs typeface="Times New Roman" panose="02020603050405020304" pitchFamily="18" charset="0"/>
          </a:endParaRPr>
        </a:p>
      </dgm:t>
    </dgm:pt>
    <dgm:pt modelId="{5627D331-F091-4272-B164-1BE46EB9F6FB}">
      <dgm:prSet phldrT="[Text]"/>
      <dgm:spPr/>
      <dgm:t>
        <a:bodyPr/>
        <a:lstStyle/>
        <a:p>
          <a:r>
            <a:rPr lang="en-US">
              <a:latin typeface="Times New Roman" panose="02020603050405020304" pitchFamily="18" charset="0"/>
              <a:cs typeface="Times New Roman" panose="02020603050405020304" pitchFamily="18" charset="0"/>
            </a:rPr>
            <a:t>Access potential impacts that could harm CTFJ's business. Review the business impact analysis with senior management and stakeholders..</a:t>
          </a:r>
        </a:p>
      </dgm:t>
    </dgm:pt>
    <dgm:pt modelId="{D2538D8F-DA68-450E-8011-5FBAC1E3736B}" type="parTrans" cxnId="{BA75D0CC-F22C-4B28-8049-4CB3C8DB5468}">
      <dgm:prSet/>
      <dgm:spPr/>
      <dgm:t>
        <a:bodyPr/>
        <a:lstStyle/>
        <a:p>
          <a:endParaRPr lang="en-US">
            <a:latin typeface="Times New Roman" panose="02020603050405020304" pitchFamily="18" charset="0"/>
            <a:cs typeface="Times New Roman" panose="02020603050405020304" pitchFamily="18" charset="0"/>
          </a:endParaRPr>
        </a:p>
      </dgm:t>
    </dgm:pt>
    <dgm:pt modelId="{743CB0BE-34C1-4516-B34D-1D4CCABC343B}" type="sibTrans" cxnId="{BA75D0CC-F22C-4B28-8049-4CB3C8DB5468}">
      <dgm:prSet/>
      <dgm:spPr/>
      <dgm:t>
        <a:bodyPr/>
        <a:lstStyle/>
        <a:p>
          <a:endParaRPr lang="en-US">
            <a:latin typeface="Times New Roman" panose="02020603050405020304" pitchFamily="18" charset="0"/>
            <a:cs typeface="Times New Roman" panose="02020603050405020304" pitchFamily="18" charset="0"/>
          </a:endParaRPr>
        </a:p>
      </dgm:t>
    </dgm:pt>
    <dgm:pt modelId="{BA62EEB7-8355-4348-901D-768E81C5FA2E}">
      <dgm:prSet phldrT="[Text]"/>
      <dgm:spPr/>
      <dgm:t>
        <a:bodyPr/>
        <a:lstStyle/>
        <a:p>
          <a:r>
            <a:rPr lang="en-US">
              <a:latin typeface="Times New Roman" panose="02020603050405020304" pitchFamily="18" charset="0"/>
              <a:cs typeface="Times New Roman" panose="02020603050405020304" pitchFamily="18" charset="0"/>
            </a:rPr>
            <a:t>Identify Risks and Recovery Strategies</a:t>
          </a:r>
        </a:p>
      </dgm:t>
    </dgm:pt>
    <dgm:pt modelId="{D1CAE1A0-2478-4112-B50C-6A0AD8C8B38B}" type="parTrans" cxnId="{BAACE6E5-9315-48C7-B839-1D61D1402ED9}">
      <dgm:prSet/>
      <dgm:spPr/>
      <dgm:t>
        <a:bodyPr/>
        <a:lstStyle/>
        <a:p>
          <a:endParaRPr lang="en-US">
            <a:latin typeface="Times New Roman" panose="02020603050405020304" pitchFamily="18" charset="0"/>
            <a:cs typeface="Times New Roman" panose="02020603050405020304" pitchFamily="18" charset="0"/>
          </a:endParaRPr>
        </a:p>
      </dgm:t>
    </dgm:pt>
    <dgm:pt modelId="{0C0B1B58-FE92-448A-8623-869E31E5165F}" type="sibTrans" cxnId="{BAACE6E5-9315-48C7-B839-1D61D1402ED9}">
      <dgm:prSet/>
      <dgm:spPr/>
      <dgm:t>
        <a:bodyPr/>
        <a:lstStyle/>
        <a:p>
          <a:endParaRPr lang="en-US">
            <a:latin typeface="Times New Roman" panose="02020603050405020304" pitchFamily="18" charset="0"/>
            <a:cs typeface="Times New Roman" panose="02020603050405020304" pitchFamily="18" charset="0"/>
          </a:endParaRPr>
        </a:p>
      </dgm:t>
    </dgm:pt>
    <dgm:pt modelId="{2A72BAEF-53F1-4B86-9C79-1A90E72C51F0}">
      <dgm:prSet phldrT="[Text]"/>
      <dgm:spPr/>
      <dgm:t>
        <a:bodyPr/>
        <a:lstStyle/>
        <a:p>
          <a:r>
            <a:rPr lang="en-US">
              <a:latin typeface="Times New Roman" panose="02020603050405020304" pitchFamily="18" charset="0"/>
              <a:cs typeface="Times New Roman" panose="02020603050405020304" pitchFamily="18" charset="0"/>
            </a:rPr>
            <a:t>Identify and document all resource requirements. Determine a plausible recovery strategy based on the needs of the business. </a:t>
          </a:r>
        </a:p>
      </dgm:t>
    </dgm:pt>
    <dgm:pt modelId="{F208536B-E8BE-46DF-98A0-7CF09944CE08}" type="parTrans" cxnId="{6BF432C4-3B70-4550-989D-5A9E14DC543D}">
      <dgm:prSet/>
      <dgm:spPr/>
      <dgm:t>
        <a:bodyPr/>
        <a:lstStyle/>
        <a:p>
          <a:endParaRPr lang="en-US">
            <a:latin typeface="Times New Roman" panose="02020603050405020304" pitchFamily="18" charset="0"/>
            <a:cs typeface="Times New Roman" panose="02020603050405020304" pitchFamily="18" charset="0"/>
          </a:endParaRPr>
        </a:p>
      </dgm:t>
    </dgm:pt>
    <dgm:pt modelId="{CAA939FD-4800-46B3-8E84-74637A27098A}" type="sibTrans" cxnId="{6BF432C4-3B70-4550-989D-5A9E14DC543D}">
      <dgm:prSet/>
      <dgm:spPr/>
      <dgm:t>
        <a:bodyPr/>
        <a:lstStyle/>
        <a:p>
          <a:endParaRPr lang="en-US">
            <a:latin typeface="Times New Roman" panose="02020603050405020304" pitchFamily="18" charset="0"/>
            <a:cs typeface="Times New Roman" panose="02020603050405020304" pitchFamily="18" charset="0"/>
          </a:endParaRPr>
        </a:p>
      </dgm:t>
    </dgm:pt>
    <dgm:pt modelId="{F4683B5D-5E96-4C13-8D82-3B3009AF7E47}">
      <dgm:prSet phldrT="[Text]"/>
      <dgm:spPr/>
      <dgm:t>
        <a:bodyPr/>
        <a:lstStyle/>
        <a:p>
          <a:r>
            <a:rPr lang="en-US">
              <a:latin typeface="Times New Roman" panose="02020603050405020304" pitchFamily="18" charset="0"/>
              <a:cs typeface="Times New Roman" panose="02020603050405020304" pitchFamily="18" charset="0"/>
            </a:rPr>
            <a:t>Organization </a:t>
          </a:r>
        </a:p>
      </dgm:t>
    </dgm:pt>
    <dgm:pt modelId="{E5261227-D99C-4367-A155-CD34AC874A3C}" type="parTrans" cxnId="{F57636F7-54FF-45EE-BF47-60B5A51635E9}">
      <dgm:prSet/>
      <dgm:spPr/>
      <dgm:t>
        <a:bodyPr/>
        <a:lstStyle/>
        <a:p>
          <a:endParaRPr lang="en-US">
            <a:latin typeface="Times New Roman" panose="02020603050405020304" pitchFamily="18" charset="0"/>
            <a:cs typeface="Times New Roman" panose="02020603050405020304" pitchFamily="18" charset="0"/>
          </a:endParaRPr>
        </a:p>
      </dgm:t>
    </dgm:pt>
    <dgm:pt modelId="{A69DE370-2190-4122-B616-F2F341E6E77F}" type="sibTrans" cxnId="{F57636F7-54FF-45EE-BF47-60B5A51635E9}">
      <dgm:prSet/>
      <dgm:spPr/>
      <dgm:t>
        <a:bodyPr/>
        <a:lstStyle/>
        <a:p>
          <a:endParaRPr lang="en-US">
            <a:latin typeface="Times New Roman" panose="02020603050405020304" pitchFamily="18" charset="0"/>
            <a:cs typeface="Times New Roman" panose="02020603050405020304" pitchFamily="18" charset="0"/>
          </a:endParaRPr>
        </a:p>
      </dgm:t>
    </dgm:pt>
    <dgm:pt modelId="{E46A9DA0-1741-4FE8-9450-53FD049B9B92}">
      <dgm:prSet phldrT="[Text]"/>
      <dgm:spPr/>
      <dgm:t>
        <a:bodyPr/>
        <a:lstStyle/>
        <a:p>
          <a:r>
            <a:rPr lang="en-US">
              <a:latin typeface="Times New Roman" panose="02020603050405020304" pitchFamily="18" charset="0"/>
              <a:cs typeface="Times New Roman" panose="02020603050405020304" pitchFamily="18" charset="0"/>
            </a:rPr>
            <a:t>Develop the framework for the continuity plan, establish and organize the recovery team, and develop a relocation plan in the case of disruption or disaster. </a:t>
          </a:r>
        </a:p>
      </dgm:t>
    </dgm:pt>
    <dgm:pt modelId="{9A720AD7-A9B6-43FC-BB40-C2886234B2F7}" type="parTrans" cxnId="{33CF5706-2072-4035-845B-B2EB3C70F371}">
      <dgm:prSet/>
      <dgm:spPr/>
      <dgm:t>
        <a:bodyPr/>
        <a:lstStyle/>
        <a:p>
          <a:endParaRPr lang="en-US">
            <a:latin typeface="Times New Roman" panose="02020603050405020304" pitchFamily="18" charset="0"/>
            <a:cs typeface="Times New Roman" panose="02020603050405020304" pitchFamily="18" charset="0"/>
          </a:endParaRPr>
        </a:p>
      </dgm:t>
    </dgm:pt>
    <dgm:pt modelId="{A5930EE1-98F6-49C9-8474-23AD97D0D524}" type="sibTrans" cxnId="{33CF5706-2072-4035-845B-B2EB3C70F371}">
      <dgm:prSet/>
      <dgm:spPr/>
      <dgm:t>
        <a:bodyPr/>
        <a:lstStyle/>
        <a:p>
          <a:endParaRPr lang="en-US">
            <a:latin typeface="Times New Roman" panose="02020603050405020304" pitchFamily="18" charset="0"/>
            <a:cs typeface="Times New Roman" panose="02020603050405020304" pitchFamily="18" charset="0"/>
          </a:endParaRPr>
        </a:p>
      </dgm:t>
    </dgm:pt>
    <dgm:pt modelId="{170820BA-5B5D-4857-A3A5-FBD79172E3FB}">
      <dgm:prSet phldrT="[Text]"/>
      <dgm:spPr/>
      <dgm:t>
        <a:bodyPr/>
        <a:lstStyle/>
        <a:p>
          <a:r>
            <a:rPr lang="en-US">
              <a:latin typeface="Times New Roman" panose="02020603050405020304" pitchFamily="18" charset="0"/>
              <a:cs typeface="Times New Roman" panose="02020603050405020304" pitchFamily="18" charset="0"/>
            </a:rPr>
            <a:t>Testing and exercises</a:t>
          </a:r>
        </a:p>
      </dgm:t>
    </dgm:pt>
    <dgm:pt modelId="{113AB3A1-0353-4545-97E7-3F1A6E811365}" type="parTrans" cxnId="{1ABA2D85-ACE1-4DB6-A4A4-63F2958F5088}">
      <dgm:prSet/>
      <dgm:spPr/>
      <dgm:t>
        <a:bodyPr/>
        <a:lstStyle/>
        <a:p>
          <a:endParaRPr lang="en-US">
            <a:latin typeface="Times New Roman" panose="02020603050405020304" pitchFamily="18" charset="0"/>
            <a:cs typeface="Times New Roman" panose="02020603050405020304" pitchFamily="18" charset="0"/>
          </a:endParaRPr>
        </a:p>
      </dgm:t>
    </dgm:pt>
    <dgm:pt modelId="{46879258-8566-4CE9-8796-32418CA0993F}" type="sibTrans" cxnId="{1ABA2D85-ACE1-4DB6-A4A4-63F2958F5088}">
      <dgm:prSet/>
      <dgm:spPr/>
      <dgm:t>
        <a:bodyPr/>
        <a:lstStyle/>
        <a:p>
          <a:endParaRPr lang="en-US">
            <a:latin typeface="Times New Roman" panose="02020603050405020304" pitchFamily="18" charset="0"/>
            <a:cs typeface="Times New Roman" panose="02020603050405020304" pitchFamily="18" charset="0"/>
          </a:endParaRPr>
        </a:p>
      </dgm:t>
    </dgm:pt>
    <dgm:pt modelId="{9B0F2717-E9F5-40AA-A541-94DB934EDA85}">
      <dgm:prSet phldrT="[Text]"/>
      <dgm:spPr/>
      <dgm:t>
        <a:bodyPr/>
        <a:lstStyle/>
        <a:p>
          <a:r>
            <a:rPr lang="en-US">
              <a:latin typeface="Times New Roman" panose="02020603050405020304" pitchFamily="18" charset="0"/>
              <a:cs typeface="Times New Roman" panose="02020603050405020304" pitchFamily="18" charset="0"/>
            </a:rPr>
            <a:t>Create a test plan and subsequent exercises that can be performed by the business to ensure that the plan works successfully. Update the plan as needed based on the test exercises. </a:t>
          </a:r>
        </a:p>
      </dgm:t>
    </dgm:pt>
    <dgm:pt modelId="{002BE509-F641-4196-B5A8-C45BEF90E7A7}" type="parTrans" cxnId="{A7A4D18E-2516-41A4-B8A5-5C9778E822D0}">
      <dgm:prSet/>
      <dgm:spPr/>
      <dgm:t>
        <a:bodyPr/>
        <a:lstStyle/>
        <a:p>
          <a:endParaRPr lang="en-US">
            <a:latin typeface="Times New Roman" panose="02020603050405020304" pitchFamily="18" charset="0"/>
            <a:cs typeface="Times New Roman" panose="02020603050405020304" pitchFamily="18" charset="0"/>
          </a:endParaRPr>
        </a:p>
      </dgm:t>
    </dgm:pt>
    <dgm:pt modelId="{0C8FF6D4-4CC5-4092-9876-CC99922D0095}" type="sibTrans" cxnId="{A7A4D18E-2516-41A4-B8A5-5C9778E822D0}">
      <dgm:prSet/>
      <dgm:spPr/>
      <dgm:t>
        <a:bodyPr/>
        <a:lstStyle/>
        <a:p>
          <a:endParaRPr lang="en-US">
            <a:latin typeface="Times New Roman" panose="02020603050405020304" pitchFamily="18" charset="0"/>
            <a:cs typeface="Times New Roman" panose="02020603050405020304" pitchFamily="18" charset="0"/>
          </a:endParaRPr>
        </a:p>
      </dgm:t>
    </dgm:pt>
    <dgm:pt modelId="{99DDBA2E-09B7-4655-8713-B095F925A370}" type="pres">
      <dgm:prSet presAssocID="{8C30FB72-1198-49C7-9389-03E89DDD4714}" presName="Name0" presStyleCnt="0">
        <dgm:presLayoutVars>
          <dgm:dir/>
          <dgm:animLvl val="lvl"/>
          <dgm:resizeHandles val="exact"/>
        </dgm:presLayoutVars>
      </dgm:prSet>
      <dgm:spPr/>
    </dgm:pt>
    <dgm:pt modelId="{BBA24139-840D-4764-8828-CB38AF797A96}" type="pres">
      <dgm:prSet presAssocID="{170820BA-5B5D-4857-A3A5-FBD79172E3FB}" presName="boxAndChildren" presStyleCnt="0"/>
      <dgm:spPr/>
    </dgm:pt>
    <dgm:pt modelId="{D05DC6E5-923B-4E57-AAD9-58471A5B8AE7}" type="pres">
      <dgm:prSet presAssocID="{170820BA-5B5D-4857-A3A5-FBD79172E3FB}" presName="parentTextBox" presStyleLbl="node1" presStyleIdx="0" presStyleCnt="4"/>
      <dgm:spPr/>
    </dgm:pt>
    <dgm:pt modelId="{260E4046-64F2-42D6-893B-05D180C9C734}" type="pres">
      <dgm:prSet presAssocID="{170820BA-5B5D-4857-A3A5-FBD79172E3FB}" presName="entireBox" presStyleLbl="node1" presStyleIdx="0" presStyleCnt="4"/>
      <dgm:spPr/>
    </dgm:pt>
    <dgm:pt modelId="{95F9D691-5F9B-45B2-AEC9-583619588FC7}" type="pres">
      <dgm:prSet presAssocID="{170820BA-5B5D-4857-A3A5-FBD79172E3FB}" presName="descendantBox" presStyleCnt="0"/>
      <dgm:spPr/>
    </dgm:pt>
    <dgm:pt modelId="{F781FA24-42FD-4B29-8010-0AF656317E31}" type="pres">
      <dgm:prSet presAssocID="{9B0F2717-E9F5-40AA-A541-94DB934EDA85}" presName="childTextBox" presStyleLbl="fgAccFollowNode1" presStyleIdx="0" presStyleCnt="4">
        <dgm:presLayoutVars>
          <dgm:bulletEnabled val="1"/>
        </dgm:presLayoutVars>
      </dgm:prSet>
      <dgm:spPr/>
    </dgm:pt>
    <dgm:pt modelId="{D7FA5087-B194-401D-AB8E-65C1AED5DD45}" type="pres">
      <dgm:prSet presAssocID="{A69DE370-2190-4122-B616-F2F341E6E77F}" presName="sp" presStyleCnt="0"/>
      <dgm:spPr/>
    </dgm:pt>
    <dgm:pt modelId="{0477F8CD-831A-47D8-A749-1BCE676EA2AD}" type="pres">
      <dgm:prSet presAssocID="{F4683B5D-5E96-4C13-8D82-3B3009AF7E47}" presName="arrowAndChildren" presStyleCnt="0"/>
      <dgm:spPr/>
    </dgm:pt>
    <dgm:pt modelId="{6A8E3AB8-350F-474B-B626-671FA0077176}" type="pres">
      <dgm:prSet presAssocID="{F4683B5D-5E96-4C13-8D82-3B3009AF7E47}" presName="parentTextArrow" presStyleLbl="node1" presStyleIdx="0" presStyleCnt="4"/>
      <dgm:spPr/>
    </dgm:pt>
    <dgm:pt modelId="{BCD3A434-B3BC-4330-87D2-0287F0D1EFF7}" type="pres">
      <dgm:prSet presAssocID="{F4683B5D-5E96-4C13-8D82-3B3009AF7E47}" presName="arrow" presStyleLbl="node1" presStyleIdx="1" presStyleCnt="4"/>
      <dgm:spPr/>
    </dgm:pt>
    <dgm:pt modelId="{443BBC4F-6BA0-471C-93DC-DD26F7241BF9}" type="pres">
      <dgm:prSet presAssocID="{F4683B5D-5E96-4C13-8D82-3B3009AF7E47}" presName="descendantArrow" presStyleCnt="0"/>
      <dgm:spPr/>
    </dgm:pt>
    <dgm:pt modelId="{E96C5FC6-A3BB-420D-9CA6-405D5FA010AB}" type="pres">
      <dgm:prSet presAssocID="{E46A9DA0-1741-4FE8-9450-53FD049B9B92}" presName="childTextArrow" presStyleLbl="fgAccFollowNode1" presStyleIdx="1" presStyleCnt="4">
        <dgm:presLayoutVars>
          <dgm:bulletEnabled val="1"/>
        </dgm:presLayoutVars>
      </dgm:prSet>
      <dgm:spPr/>
    </dgm:pt>
    <dgm:pt modelId="{0BE7ACB0-2FA9-4F99-BB6D-75DA242CA144}" type="pres">
      <dgm:prSet presAssocID="{0C0B1B58-FE92-448A-8623-869E31E5165F}" presName="sp" presStyleCnt="0"/>
      <dgm:spPr/>
    </dgm:pt>
    <dgm:pt modelId="{13F0338C-0527-4F98-858F-989AE4B57FA8}" type="pres">
      <dgm:prSet presAssocID="{BA62EEB7-8355-4348-901D-768E81C5FA2E}" presName="arrowAndChildren" presStyleCnt="0"/>
      <dgm:spPr/>
    </dgm:pt>
    <dgm:pt modelId="{61960526-B14D-462E-B817-25F7E40C6DB8}" type="pres">
      <dgm:prSet presAssocID="{BA62EEB7-8355-4348-901D-768E81C5FA2E}" presName="parentTextArrow" presStyleLbl="node1" presStyleIdx="1" presStyleCnt="4"/>
      <dgm:spPr/>
    </dgm:pt>
    <dgm:pt modelId="{1C66E547-27DD-4B43-BF02-90D81A4B0A80}" type="pres">
      <dgm:prSet presAssocID="{BA62EEB7-8355-4348-901D-768E81C5FA2E}" presName="arrow" presStyleLbl="node1" presStyleIdx="2" presStyleCnt="4"/>
      <dgm:spPr/>
    </dgm:pt>
    <dgm:pt modelId="{C75B70FB-7E88-4090-AAD3-85DA377D5AEC}" type="pres">
      <dgm:prSet presAssocID="{BA62EEB7-8355-4348-901D-768E81C5FA2E}" presName="descendantArrow" presStyleCnt="0"/>
      <dgm:spPr/>
    </dgm:pt>
    <dgm:pt modelId="{F862987D-73B7-424F-B98E-BB5DA8109265}" type="pres">
      <dgm:prSet presAssocID="{2A72BAEF-53F1-4B86-9C79-1A90E72C51F0}" presName="childTextArrow" presStyleLbl="fgAccFollowNode1" presStyleIdx="2" presStyleCnt="4">
        <dgm:presLayoutVars>
          <dgm:bulletEnabled val="1"/>
        </dgm:presLayoutVars>
      </dgm:prSet>
      <dgm:spPr/>
    </dgm:pt>
    <dgm:pt modelId="{0193AC17-AD16-45EE-B22C-E65F24EAD879}" type="pres">
      <dgm:prSet presAssocID="{BAA288EE-195F-486A-9865-D018DF78D72B}" presName="sp" presStyleCnt="0"/>
      <dgm:spPr/>
    </dgm:pt>
    <dgm:pt modelId="{8ED40DEC-B285-434F-983A-3E9112973BD3}" type="pres">
      <dgm:prSet presAssocID="{369DE486-8133-4745-AFB7-EA6771E82F40}" presName="arrowAndChildren" presStyleCnt="0"/>
      <dgm:spPr/>
    </dgm:pt>
    <dgm:pt modelId="{2C8C48E4-57C1-4E45-9796-4BE51EBD9347}" type="pres">
      <dgm:prSet presAssocID="{369DE486-8133-4745-AFB7-EA6771E82F40}" presName="parentTextArrow" presStyleLbl="node1" presStyleIdx="2" presStyleCnt="4"/>
      <dgm:spPr/>
    </dgm:pt>
    <dgm:pt modelId="{72846AE0-24D4-44F9-9752-41CFCDE62CA5}" type="pres">
      <dgm:prSet presAssocID="{369DE486-8133-4745-AFB7-EA6771E82F40}" presName="arrow" presStyleLbl="node1" presStyleIdx="3" presStyleCnt="4"/>
      <dgm:spPr/>
    </dgm:pt>
    <dgm:pt modelId="{ADF53DC9-3219-4525-B6EC-36E12F5AD497}" type="pres">
      <dgm:prSet presAssocID="{369DE486-8133-4745-AFB7-EA6771E82F40}" presName="descendantArrow" presStyleCnt="0"/>
      <dgm:spPr/>
    </dgm:pt>
    <dgm:pt modelId="{09090133-CADC-42E4-A844-331C1A02EF65}" type="pres">
      <dgm:prSet presAssocID="{5627D331-F091-4272-B164-1BE46EB9F6FB}" presName="childTextArrow" presStyleLbl="fgAccFollowNode1" presStyleIdx="3" presStyleCnt="4">
        <dgm:presLayoutVars>
          <dgm:bulletEnabled val="1"/>
        </dgm:presLayoutVars>
      </dgm:prSet>
      <dgm:spPr/>
    </dgm:pt>
  </dgm:ptLst>
  <dgm:cxnLst>
    <dgm:cxn modelId="{33CF5706-2072-4035-845B-B2EB3C70F371}" srcId="{F4683B5D-5E96-4C13-8D82-3B3009AF7E47}" destId="{E46A9DA0-1741-4FE8-9450-53FD049B9B92}" srcOrd="0" destOrd="0" parTransId="{9A720AD7-A9B6-43FC-BB40-C2886234B2F7}" sibTransId="{A5930EE1-98F6-49C9-8474-23AD97D0D524}"/>
    <dgm:cxn modelId="{66D78D07-8F10-4685-ABE7-6428B0578A3E}" type="presOf" srcId="{2A72BAEF-53F1-4B86-9C79-1A90E72C51F0}" destId="{F862987D-73B7-424F-B98E-BB5DA8109265}" srcOrd="0" destOrd="0" presId="urn:microsoft.com/office/officeart/2005/8/layout/process4"/>
    <dgm:cxn modelId="{5C764815-93C6-4CE8-BB68-27723695B4CC}" type="presOf" srcId="{F4683B5D-5E96-4C13-8D82-3B3009AF7E47}" destId="{6A8E3AB8-350F-474B-B626-671FA0077176}" srcOrd="0" destOrd="0" presId="urn:microsoft.com/office/officeart/2005/8/layout/process4"/>
    <dgm:cxn modelId="{4BBFD417-435E-4F97-BBD7-C910F5C7B081}" type="presOf" srcId="{5627D331-F091-4272-B164-1BE46EB9F6FB}" destId="{09090133-CADC-42E4-A844-331C1A02EF65}" srcOrd="0" destOrd="0" presId="urn:microsoft.com/office/officeart/2005/8/layout/process4"/>
    <dgm:cxn modelId="{E73E3521-599D-444D-B0D8-5090D609F110}" type="presOf" srcId="{170820BA-5B5D-4857-A3A5-FBD79172E3FB}" destId="{D05DC6E5-923B-4E57-AAD9-58471A5B8AE7}" srcOrd="0" destOrd="0" presId="urn:microsoft.com/office/officeart/2005/8/layout/process4"/>
    <dgm:cxn modelId="{86909B23-F25B-4EA5-AAB5-90D72000343D}" srcId="{8C30FB72-1198-49C7-9389-03E89DDD4714}" destId="{369DE486-8133-4745-AFB7-EA6771E82F40}" srcOrd="0" destOrd="0" parTransId="{17A511B6-352D-4A45-ACBA-FD18EC0472EF}" sibTransId="{BAA288EE-195F-486A-9865-D018DF78D72B}"/>
    <dgm:cxn modelId="{D21D8066-7E28-4A4D-AFE0-E389C9D4AA0C}" type="presOf" srcId="{369DE486-8133-4745-AFB7-EA6771E82F40}" destId="{72846AE0-24D4-44F9-9752-41CFCDE62CA5}" srcOrd="1" destOrd="0" presId="urn:microsoft.com/office/officeart/2005/8/layout/process4"/>
    <dgm:cxn modelId="{32DA9B47-EF90-4543-9FA3-C438ED6D56DE}" type="presOf" srcId="{F4683B5D-5E96-4C13-8D82-3B3009AF7E47}" destId="{BCD3A434-B3BC-4330-87D2-0287F0D1EFF7}" srcOrd="1" destOrd="0" presId="urn:microsoft.com/office/officeart/2005/8/layout/process4"/>
    <dgm:cxn modelId="{B591B470-0259-42AC-B4D9-0C32917B5762}" type="presOf" srcId="{BA62EEB7-8355-4348-901D-768E81C5FA2E}" destId="{61960526-B14D-462E-B817-25F7E40C6DB8}" srcOrd="0" destOrd="0" presId="urn:microsoft.com/office/officeart/2005/8/layout/process4"/>
    <dgm:cxn modelId="{DDA4B375-6495-4E06-832E-7857B8DE86F2}" type="presOf" srcId="{E46A9DA0-1741-4FE8-9450-53FD049B9B92}" destId="{E96C5FC6-A3BB-420D-9CA6-405D5FA010AB}" srcOrd="0" destOrd="0" presId="urn:microsoft.com/office/officeart/2005/8/layout/process4"/>
    <dgm:cxn modelId="{883B6682-6714-402A-A260-04D1179EF712}" type="presOf" srcId="{369DE486-8133-4745-AFB7-EA6771E82F40}" destId="{2C8C48E4-57C1-4E45-9796-4BE51EBD9347}" srcOrd="0" destOrd="0" presId="urn:microsoft.com/office/officeart/2005/8/layout/process4"/>
    <dgm:cxn modelId="{1ABA2D85-ACE1-4DB6-A4A4-63F2958F5088}" srcId="{8C30FB72-1198-49C7-9389-03E89DDD4714}" destId="{170820BA-5B5D-4857-A3A5-FBD79172E3FB}" srcOrd="3" destOrd="0" parTransId="{113AB3A1-0353-4545-97E7-3F1A6E811365}" sibTransId="{46879258-8566-4CE9-8796-32418CA0993F}"/>
    <dgm:cxn modelId="{A7A4D18E-2516-41A4-B8A5-5C9778E822D0}" srcId="{170820BA-5B5D-4857-A3A5-FBD79172E3FB}" destId="{9B0F2717-E9F5-40AA-A541-94DB934EDA85}" srcOrd="0" destOrd="0" parTransId="{002BE509-F641-4196-B5A8-C45BEF90E7A7}" sibTransId="{0C8FF6D4-4CC5-4092-9876-CC99922D0095}"/>
    <dgm:cxn modelId="{1A79959A-732A-45FD-AA52-FD82BA0922ED}" type="presOf" srcId="{8C30FB72-1198-49C7-9389-03E89DDD4714}" destId="{99DDBA2E-09B7-4655-8713-B095F925A370}" srcOrd="0" destOrd="0" presId="urn:microsoft.com/office/officeart/2005/8/layout/process4"/>
    <dgm:cxn modelId="{ABCA4BBF-2D3F-41BA-83BB-A3A2AE56D533}" type="presOf" srcId="{9B0F2717-E9F5-40AA-A541-94DB934EDA85}" destId="{F781FA24-42FD-4B29-8010-0AF656317E31}" srcOrd="0" destOrd="0" presId="urn:microsoft.com/office/officeart/2005/8/layout/process4"/>
    <dgm:cxn modelId="{6BF432C4-3B70-4550-989D-5A9E14DC543D}" srcId="{BA62EEB7-8355-4348-901D-768E81C5FA2E}" destId="{2A72BAEF-53F1-4B86-9C79-1A90E72C51F0}" srcOrd="0" destOrd="0" parTransId="{F208536B-E8BE-46DF-98A0-7CF09944CE08}" sibTransId="{CAA939FD-4800-46B3-8E84-74637A27098A}"/>
    <dgm:cxn modelId="{BA75D0CC-F22C-4B28-8049-4CB3C8DB5468}" srcId="{369DE486-8133-4745-AFB7-EA6771E82F40}" destId="{5627D331-F091-4272-B164-1BE46EB9F6FB}" srcOrd="0" destOrd="0" parTransId="{D2538D8F-DA68-450E-8011-5FBAC1E3736B}" sibTransId="{743CB0BE-34C1-4516-B34D-1D4CCABC343B}"/>
    <dgm:cxn modelId="{BAACE6E5-9315-48C7-B839-1D61D1402ED9}" srcId="{8C30FB72-1198-49C7-9389-03E89DDD4714}" destId="{BA62EEB7-8355-4348-901D-768E81C5FA2E}" srcOrd="1" destOrd="0" parTransId="{D1CAE1A0-2478-4112-B50C-6A0AD8C8B38B}" sibTransId="{0C0B1B58-FE92-448A-8623-869E31E5165F}"/>
    <dgm:cxn modelId="{94CF83EB-92BC-41AC-9D5A-FDBA3E9F0E69}" type="presOf" srcId="{BA62EEB7-8355-4348-901D-768E81C5FA2E}" destId="{1C66E547-27DD-4B43-BF02-90D81A4B0A80}" srcOrd="1" destOrd="0" presId="urn:microsoft.com/office/officeart/2005/8/layout/process4"/>
    <dgm:cxn modelId="{F57636F7-54FF-45EE-BF47-60B5A51635E9}" srcId="{8C30FB72-1198-49C7-9389-03E89DDD4714}" destId="{F4683B5D-5E96-4C13-8D82-3B3009AF7E47}" srcOrd="2" destOrd="0" parTransId="{E5261227-D99C-4367-A155-CD34AC874A3C}" sibTransId="{A69DE370-2190-4122-B616-F2F341E6E77F}"/>
    <dgm:cxn modelId="{D025ACF8-99DD-48A3-89FD-32D141CB591E}" type="presOf" srcId="{170820BA-5B5D-4857-A3A5-FBD79172E3FB}" destId="{260E4046-64F2-42D6-893B-05D180C9C734}" srcOrd="1" destOrd="0" presId="urn:microsoft.com/office/officeart/2005/8/layout/process4"/>
    <dgm:cxn modelId="{EDEAE5CE-2368-4B48-B1E6-735E8B6D2315}" type="presParOf" srcId="{99DDBA2E-09B7-4655-8713-B095F925A370}" destId="{BBA24139-840D-4764-8828-CB38AF797A96}" srcOrd="0" destOrd="0" presId="urn:microsoft.com/office/officeart/2005/8/layout/process4"/>
    <dgm:cxn modelId="{F5E9C416-E533-4F33-AFDB-6F8B30FF8D78}" type="presParOf" srcId="{BBA24139-840D-4764-8828-CB38AF797A96}" destId="{D05DC6E5-923B-4E57-AAD9-58471A5B8AE7}" srcOrd="0" destOrd="0" presId="urn:microsoft.com/office/officeart/2005/8/layout/process4"/>
    <dgm:cxn modelId="{FF3F171F-12C9-4B05-9642-BAD4305F54BA}" type="presParOf" srcId="{BBA24139-840D-4764-8828-CB38AF797A96}" destId="{260E4046-64F2-42D6-893B-05D180C9C734}" srcOrd="1" destOrd="0" presId="urn:microsoft.com/office/officeart/2005/8/layout/process4"/>
    <dgm:cxn modelId="{175973D5-C115-4B1F-9E98-533D017B2AED}" type="presParOf" srcId="{BBA24139-840D-4764-8828-CB38AF797A96}" destId="{95F9D691-5F9B-45B2-AEC9-583619588FC7}" srcOrd="2" destOrd="0" presId="urn:microsoft.com/office/officeart/2005/8/layout/process4"/>
    <dgm:cxn modelId="{F28599A3-8B18-43BD-A8C0-6775E24B3DAF}" type="presParOf" srcId="{95F9D691-5F9B-45B2-AEC9-583619588FC7}" destId="{F781FA24-42FD-4B29-8010-0AF656317E31}" srcOrd="0" destOrd="0" presId="urn:microsoft.com/office/officeart/2005/8/layout/process4"/>
    <dgm:cxn modelId="{7631BB97-1B25-4D29-BCD9-CB246B09C1F4}" type="presParOf" srcId="{99DDBA2E-09B7-4655-8713-B095F925A370}" destId="{D7FA5087-B194-401D-AB8E-65C1AED5DD45}" srcOrd="1" destOrd="0" presId="urn:microsoft.com/office/officeart/2005/8/layout/process4"/>
    <dgm:cxn modelId="{E899165D-0D29-4D8C-94FD-B21F1EDA5302}" type="presParOf" srcId="{99DDBA2E-09B7-4655-8713-B095F925A370}" destId="{0477F8CD-831A-47D8-A749-1BCE676EA2AD}" srcOrd="2" destOrd="0" presId="urn:microsoft.com/office/officeart/2005/8/layout/process4"/>
    <dgm:cxn modelId="{49616DFE-FBAE-4BB6-BBCD-A990651FF1F5}" type="presParOf" srcId="{0477F8CD-831A-47D8-A749-1BCE676EA2AD}" destId="{6A8E3AB8-350F-474B-B626-671FA0077176}" srcOrd="0" destOrd="0" presId="urn:microsoft.com/office/officeart/2005/8/layout/process4"/>
    <dgm:cxn modelId="{6B93E2CE-1408-4A4E-A27A-70696AF3498F}" type="presParOf" srcId="{0477F8CD-831A-47D8-A749-1BCE676EA2AD}" destId="{BCD3A434-B3BC-4330-87D2-0287F0D1EFF7}" srcOrd="1" destOrd="0" presId="urn:microsoft.com/office/officeart/2005/8/layout/process4"/>
    <dgm:cxn modelId="{86E1D981-1F51-4547-8366-E48D1641D783}" type="presParOf" srcId="{0477F8CD-831A-47D8-A749-1BCE676EA2AD}" destId="{443BBC4F-6BA0-471C-93DC-DD26F7241BF9}" srcOrd="2" destOrd="0" presId="urn:microsoft.com/office/officeart/2005/8/layout/process4"/>
    <dgm:cxn modelId="{36049AF2-DB0C-450E-9ED7-6D2ED7D82886}" type="presParOf" srcId="{443BBC4F-6BA0-471C-93DC-DD26F7241BF9}" destId="{E96C5FC6-A3BB-420D-9CA6-405D5FA010AB}" srcOrd="0" destOrd="0" presId="urn:microsoft.com/office/officeart/2005/8/layout/process4"/>
    <dgm:cxn modelId="{79DECD6D-B1A9-4594-8217-FDE76EDC4965}" type="presParOf" srcId="{99DDBA2E-09B7-4655-8713-B095F925A370}" destId="{0BE7ACB0-2FA9-4F99-BB6D-75DA242CA144}" srcOrd="3" destOrd="0" presId="urn:microsoft.com/office/officeart/2005/8/layout/process4"/>
    <dgm:cxn modelId="{B70EB591-6274-4283-A758-0C09D61D6435}" type="presParOf" srcId="{99DDBA2E-09B7-4655-8713-B095F925A370}" destId="{13F0338C-0527-4F98-858F-989AE4B57FA8}" srcOrd="4" destOrd="0" presId="urn:microsoft.com/office/officeart/2005/8/layout/process4"/>
    <dgm:cxn modelId="{28E3144C-E134-47D3-943E-8142556AA187}" type="presParOf" srcId="{13F0338C-0527-4F98-858F-989AE4B57FA8}" destId="{61960526-B14D-462E-B817-25F7E40C6DB8}" srcOrd="0" destOrd="0" presId="urn:microsoft.com/office/officeart/2005/8/layout/process4"/>
    <dgm:cxn modelId="{EE9AE09F-B8E3-45A4-99E1-01ED0B5E31F7}" type="presParOf" srcId="{13F0338C-0527-4F98-858F-989AE4B57FA8}" destId="{1C66E547-27DD-4B43-BF02-90D81A4B0A80}" srcOrd="1" destOrd="0" presId="urn:microsoft.com/office/officeart/2005/8/layout/process4"/>
    <dgm:cxn modelId="{4724E8E1-50E9-4750-9DA5-9746712BFFEF}" type="presParOf" srcId="{13F0338C-0527-4F98-858F-989AE4B57FA8}" destId="{C75B70FB-7E88-4090-AAD3-85DA377D5AEC}" srcOrd="2" destOrd="0" presId="urn:microsoft.com/office/officeart/2005/8/layout/process4"/>
    <dgm:cxn modelId="{057CBA1D-E463-4E2C-9B91-637AFB6F07ED}" type="presParOf" srcId="{C75B70FB-7E88-4090-AAD3-85DA377D5AEC}" destId="{F862987D-73B7-424F-B98E-BB5DA8109265}" srcOrd="0" destOrd="0" presId="urn:microsoft.com/office/officeart/2005/8/layout/process4"/>
    <dgm:cxn modelId="{C80594A4-C9B5-44C2-980D-5538E098D0C0}" type="presParOf" srcId="{99DDBA2E-09B7-4655-8713-B095F925A370}" destId="{0193AC17-AD16-45EE-B22C-E65F24EAD879}" srcOrd="5" destOrd="0" presId="urn:microsoft.com/office/officeart/2005/8/layout/process4"/>
    <dgm:cxn modelId="{3FDFF16B-A67F-4E63-B148-57DD39E772D7}" type="presParOf" srcId="{99DDBA2E-09B7-4655-8713-B095F925A370}" destId="{8ED40DEC-B285-434F-983A-3E9112973BD3}" srcOrd="6" destOrd="0" presId="urn:microsoft.com/office/officeart/2005/8/layout/process4"/>
    <dgm:cxn modelId="{188E9338-787C-46F5-9CEA-F5509B795F53}" type="presParOf" srcId="{8ED40DEC-B285-434F-983A-3E9112973BD3}" destId="{2C8C48E4-57C1-4E45-9796-4BE51EBD9347}" srcOrd="0" destOrd="0" presId="urn:microsoft.com/office/officeart/2005/8/layout/process4"/>
    <dgm:cxn modelId="{227D7C7C-DB4E-49F3-ABC8-6C137FC627B9}" type="presParOf" srcId="{8ED40DEC-B285-434F-983A-3E9112973BD3}" destId="{72846AE0-24D4-44F9-9752-41CFCDE62CA5}" srcOrd="1" destOrd="0" presId="urn:microsoft.com/office/officeart/2005/8/layout/process4"/>
    <dgm:cxn modelId="{96F00210-D8AE-4A62-B671-7C3DA6FA1BF4}" type="presParOf" srcId="{8ED40DEC-B285-434F-983A-3E9112973BD3}" destId="{ADF53DC9-3219-4525-B6EC-36E12F5AD497}" srcOrd="2" destOrd="0" presId="urn:microsoft.com/office/officeart/2005/8/layout/process4"/>
    <dgm:cxn modelId="{12B66CA8-A6E8-4E5B-B875-7134636056AD}" type="presParOf" srcId="{ADF53DC9-3219-4525-B6EC-36E12F5AD497}" destId="{09090133-CADC-42E4-A844-331C1A02EF65}" srcOrd="0" destOrd="0" presId="urn:microsoft.com/office/officeart/2005/8/layout/process4"/>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0E4046-64F2-42D6-893B-05D180C9C734}">
      <dsp:nvSpPr>
        <dsp:cNvPr id="0" name=""/>
        <dsp:cNvSpPr/>
      </dsp:nvSpPr>
      <dsp:spPr>
        <a:xfrm>
          <a:off x="0" y="3461985"/>
          <a:ext cx="5705475" cy="75739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Testing and exercises</a:t>
          </a:r>
        </a:p>
      </dsp:txBody>
      <dsp:txXfrm>
        <a:off x="0" y="3461985"/>
        <a:ext cx="5705475" cy="408994"/>
      </dsp:txXfrm>
    </dsp:sp>
    <dsp:sp modelId="{F781FA24-42FD-4B29-8010-0AF656317E31}">
      <dsp:nvSpPr>
        <dsp:cNvPr id="0" name=""/>
        <dsp:cNvSpPr/>
      </dsp:nvSpPr>
      <dsp:spPr>
        <a:xfrm>
          <a:off x="0" y="3855832"/>
          <a:ext cx="5705475" cy="348402"/>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Create a test plan and subsequent exercises that can be performed by the business to ensure that the plan works successfully. Update the plan as needed based on the test exercises. </a:t>
          </a:r>
        </a:p>
      </dsp:txBody>
      <dsp:txXfrm>
        <a:off x="0" y="3855832"/>
        <a:ext cx="5705475" cy="348402"/>
      </dsp:txXfrm>
    </dsp:sp>
    <dsp:sp modelId="{BCD3A434-B3BC-4330-87D2-0287F0D1EFF7}">
      <dsp:nvSpPr>
        <dsp:cNvPr id="0" name=""/>
        <dsp:cNvSpPr/>
      </dsp:nvSpPr>
      <dsp:spPr>
        <a:xfrm rot="10800000">
          <a:off x="0" y="2308468"/>
          <a:ext cx="5705475" cy="1164877"/>
        </a:xfrm>
        <a:prstGeom prst="upArrowCallou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Organization </a:t>
          </a:r>
        </a:p>
      </dsp:txBody>
      <dsp:txXfrm rot="-10800000">
        <a:off x="0" y="2308468"/>
        <a:ext cx="5705475" cy="408872"/>
      </dsp:txXfrm>
    </dsp:sp>
    <dsp:sp modelId="{E96C5FC6-A3BB-420D-9CA6-405D5FA010AB}">
      <dsp:nvSpPr>
        <dsp:cNvPr id="0" name=""/>
        <dsp:cNvSpPr/>
      </dsp:nvSpPr>
      <dsp:spPr>
        <a:xfrm>
          <a:off x="0" y="2717340"/>
          <a:ext cx="5705475" cy="348298"/>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Develop the framework for the continuity plan, establish and organize the recovery team, and develop a relocation plan in the case of disruption or disaster. </a:t>
          </a:r>
        </a:p>
      </dsp:txBody>
      <dsp:txXfrm>
        <a:off x="0" y="2717340"/>
        <a:ext cx="5705475" cy="348298"/>
      </dsp:txXfrm>
    </dsp:sp>
    <dsp:sp modelId="{1C66E547-27DD-4B43-BF02-90D81A4B0A80}">
      <dsp:nvSpPr>
        <dsp:cNvPr id="0" name=""/>
        <dsp:cNvSpPr/>
      </dsp:nvSpPr>
      <dsp:spPr>
        <a:xfrm rot="10800000">
          <a:off x="0" y="1154951"/>
          <a:ext cx="5705475" cy="1164877"/>
        </a:xfrm>
        <a:prstGeom prst="upArrowCallou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Identify Risks and Recovery Strategies</a:t>
          </a:r>
        </a:p>
      </dsp:txBody>
      <dsp:txXfrm rot="-10800000">
        <a:off x="0" y="1154951"/>
        <a:ext cx="5705475" cy="408872"/>
      </dsp:txXfrm>
    </dsp:sp>
    <dsp:sp modelId="{F862987D-73B7-424F-B98E-BB5DA8109265}">
      <dsp:nvSpPr>
        <dsp:cNvPr id="0" name=""/>
        <dsp:cNvSpPr/>
      </dsp:nvSpPr>
      <dsp:spPr>
        <a:xfrm>
          <a:off x="0" y="1563823"/>
          <a:ext cx="5705475" cy="348298"/>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Identify and document all resource requirements. Determine a plausible recovery strategy based on the needs of the business. </a:t>
          </a:r>
        </a:p>
      </dsp:txBody>
      <dsp:txXfrm>
        <a:off x="0" y="1563823"/>
        <a:ext cx="5705475" cy="348298"/>
      </dsp:txXfrm>
    </dsp:sp>
    <dsp:sp modelId="{72846AE0-24D4-44F9-9752-41CFCDE62CA5}">
      <dsp:nvSpPr>
        <dsp:cNvPr id="0" name=""/>
        <dsp:cNvSpPr/>
      </dsp:nvSpPr>
      <dsp:spPr>
        <a:xfrm rot="10800000">
          <a:off x="0" y="1434"/>
          <a:ext cx="5705475" cy="1164877"/>
        </a:xfrm>
        <a:prstGeom prst="upArrowCallou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Business Impact Analysis</a:t>
          </a:r>
        </a:p>
      </dsp:txBody>
      <dsp:txXfrm rot="-10800000">
        <a:off x="0" y="1434"/>
        <a:ext cx="5705475" cy="408872"/>
      </dsp:txXfrm>
    </dsp:sp>
    <dsp:sp modelId="{09090133-CADC-42E4-A844-331C1A02EF65}">
      <dsp:nvSpPr>
        <dsp:cNvPr id="0" name=""/>
        <dsp:cNvSpPr/>
      </dsp:nvSpPr>
      <dsp:spPr>
        <a:xfrm>
          <a:off x="0" y="410307"/>
          <a:ext cx="5705475" cy="348298"/>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Access potential impacts that could harm CTFJ's business. Review the business impact analysis with senior management and stakeholders..</a:t>
          </a:r>
        </a:p>
      </dsp:txBody>
      <dsp:txXfrm>
        <a:off x="0" y="410307"/>
        <a:ext cx="5705475" cy="34829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0.14444</cdr:x>
      <cdr:y>0.08787</cdr:y>
    </cdr:from>
    <cdr:to>
      <cdr:x>0.34444</cdr:x>
      <cdr:y>0.4212</cdr:y>
    </cdr:to>
    <cdr:sp macro="" textlink="">
      <cdr:nvSpPr>
        <cdr:cNvPr id="2" name="TextBox 1">
          <a:extLst xmlns:a="http://schemas.openxmlformats.org/drawingml/2006/main">
            <a:ext uri="{FF2B5EF4-FFF2-40B4-BE49-F238E27FC236}">
              <a16:creationId xmlns:a16="http://schemas.microsoft.com/office/drawing/2014/main" id="{C9CEAAC9-61EA-49AB-8290-AF3B749BB651}"/>
            </a:ext>
          </a:extLst>
        </cdr:cNvPr>
        <cdr:cNvSpPr txBox="1"/>
      </cdr:nvSpPr>
      <cdr:spPr>
        <a:xfrm xmlns:a="http://schemas.openxmlformats.org/drawingml/2006/main">
          <a:off x="818137" y="299633"/>
          <a:ext cx="1132840" cy="113663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882M</a:t>
          </a:r>
        </a:p>
      </cdr:txBody>
    </cdr:sp>
  </cdr:relSizeAnchor>
  <cdr:relSizeAnchor xmlns:cdr="http://schemas.openxmlformats.org/drawingml/2006/chartDrawing">
    <cdr:from>
      <cdr:x>0.44005</cdr:x>
      <cdr:y>0.08787</cdr:y>
    </cdr:from>
    <cdr:to>
      <cdr:x>0.64005</cdr:x>
      <cdr:y>0.4212</cdr:y>
    </cdr:to>
    <cdr:sp macro="" textlink="">
      <cdr:nvSpPr>
        <cdr:cNvPr id="3" name="TextBox 2">
          <a:extLst xmlns:a="http://schemas.openxmlformats.org/drawingml/2006/main">
            <a:ext uri="{FF2B5EF4-FFF2-40B4-BE49-F238E27FC236}">
              <a16:creationId xmlns:a16="http://schemas.microsoft.com/office/drawing/2014/main" id="{2FFAA0D3-65D9-4D85-B945-02C295B91BA8}"/>
            </a:ext>
          </a:extLst>
        </cdr:cNvPr>
        <cdr:cNvSpPr txBox="1"/>
      </cdr:nvSpPr>
      <cdr:spPr>
        <a:xfrm xmlns:a="http://schemas.openxmlformats.org/drawingml/2006/main">
          <a:off x="2492505" y="299633"/>
          <a:ext cx="1132840" cy="113663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842M</a:t>
          </a:r>
        </a:p>
      </cdr:txBody>
    </cdr:sp>
  </cdr:relSizeAnchor>
  <cdr:relSizeAnchor xmlns:cdr="http://schemas.openxmlformats.org/drawingml/2006/chartDrawing">
    <cdr:from>
      <cdr:x>0.73738</cdr:x>
      <cdr:y>0.08787</cdr:y>
    </cdr:from>
    <cdr:to>
      <cdr:x>0.93738</cdr:x>
      <cdr:y>0.4212</cdr:y>
    </cdr:to>
    <cdr:sp macro="" textlink="">
      <cdr:nvSpPr>
        <cdr:cNvPr id="4" name="TextBox 3">
          <a:extLst xmlns:a="http://schemas.openxmlformats.org/drawingml/2006/main">
            <a:ext uri="{FF2B5EF4-FFF2-40B4-BE49-F238E27FC236}">
              <a16:creationId xmlns:a16="http://schemas.microsoft.com/office/drawing/2014/main" id="{C68D4E5D-E17D-4662-9085-04733ED19540}"/>
            </a:ext>
          </a:extLst>
        </cdr:cNvPr>
        <cdr:cNvSpPr txBox="1"/>
      </cdr:nvSpPr>
      <cdr:spPr>
        <a:xfrm xmlns:a="http://schemas.openxmlformats.org/drawingml/2006/main">
          <a:off x="4176652" y="299633"/>
          <a:ext cx="1132840" cy="113663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1167M</a:t>
          </a:r>
        </a:p>
      </cdr:txBody>
    </cdr:sp>
  </cdr:relSizeAnchor>
</c:userShapes>
</file>

<file path=word/drawings/drawing2.xml><?xml version="1.0" encoding="utf-8"?>
<c:userShapes xmlns:c="http://schemas.openxmlformats.org/drawingml/2006/chart">
  <cdr:relSizeAnchor xmlns:cdr="http://schemas.openxmlformats.org/drawingml/2006/chartDrawing">
    <cdr:from>
      <cdr:x>0.14444</cdr:x>
      <cdr:y>0.08363</cdr:y>
    </cdr:from>
    <cdr:to>
      <cdr:x>0.34444</cdr:x>
      <cdr:y>0.41696</cdr:y>
    </cdr:to>
    <cdr:sp macro="" textlink="">
      <cdr:nvSpPr>
        <cdr:cNvPr id="2" name="TextBox 1">
          <a:extLst xmlns:a="http://schemas.openxmlformats.org/drawingml/2006/main">
            <a:ext uri="{FF2B5EF4-FFF2-40B4-BE49-F238E27FC236}">
              <a16:creationId xmlns:a16="http://schemas.microsoft.com/office/drawing/2014/main" id="{C9CEAAC9-61EA-49AB-8290-AF3B749BB651}"/>
            </a:ext>
          </a:extLst>
        </cdr:cNvPr>
        <cdr:cNvSpPr txBox="1"/>
      </cdr:nvSpPr>
      <cdr:spPr>
        <a:xfrm xmlns:a="http://schemas.openxmlformats.org/drawingml/2006/main">
          <a:off x="829694" y="290341"/>
          <a:ext cx="1148842" cy="115717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882M</a:t>
          </a:r>
        </a:p>
      </cdr:txBody>
    </cdr:sp>
  </cdr:relSizeAnchor>
  <cdr:relSizeAnchor xmlns:cdr="http://schemas.openxmlformats.org/drawingml/2006/chartDrawing">
    <cdr:from>
      <cdr:x>0.44251</cdr:x>
      <cdr:y>0.08363</cdr:y>
    </cdr:from>
    <cdr:to>
      <cdr:x>0.64251</cdr:x>
      <cdr:y>0.41696</cdr:y>
    </cdr:to>
    <cdr:sp macro="" textlink="">
      <cdr:nvSpPr>
        <cdr:cNvPr id="3" name="TextBox 2">
          <a:extLst xmlns:a="http://schemas.openxmlformats.org/drawingml/2006/main">
            <a:ext uri="{FF2B5EF4-FFF2-40B4-BE49-F238E27FC236}">
              <a16:creationId xmlns:a16="http://schemas.microsoft.com/office/drawing/2014/main" id="{2FFAA0D3-65D9-4D85-B945-02C295B91BA8}"/>
            </a:ext>
          </a:extLst>
        </cdr:cNvPr>
        <cdr:cNvSpPr txBox="1"/>
      </cdr:nvSpPr>
      <cdr:spPr>
        <a:xfrm xmlns:a="http://schemas.openxmlformats.org/drawingml/2006/main">
          <a:off x="2541898" y="290341"/>
          <a:ext cx="1148842" cy="115717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842M</a:t>
          </a:r>
        </a:p>
      </cdr:txBody>
    </cdr:sp>
  </cdr:relSizeAnchor>
  <cdr:relSizeAnchor xmlns:cdr="http://schemas.openxmlformats.org/drawingml/2006/chartDrawing">
    <cdr:from>
      <cdr:x>0.74136</cdr:x>
      <cdr:y>0.08363</cdr:y>
    </cdr:from>
    <cdr:to>
      <cdr:x>0.94136</cdr:x>
      <cdr:y>0.41696</cdr:y>
    </cdr:to>
    <cdr:sp macro="" textlink="">
      <cdr:nvSpPr>
        <cdr:cNvPr id="4" name="TextBox 3">
          <a:extLst xmlns:a="http://schemas.openxmlformats.org/drawingml/2006/main">
            <a:ext uri="{FF2B5EF4-FFF2-40B4-BE49-F238E27FC236}">
              <a16:creationId xmlns:a16="http://schemas.microsoft.com/office/drawing/2014/main" id="{C68D4E5D-E17D-4662-9085-04733ED19540}"/>
            </a:ext>
          </a:extLst>
        </cdr:cNvPr>
        <cdr:cNvSpPr txBox="1"/>
      </cdr:nvSpPr>
      <cdr:spPr>
        <a:xfrm xmlns:a="http://schemas.openxmlformats.org/drawingml/2006/main">
          <a:off x="4258509" y="290341"/>
          <a:ext cx="1148842" cy="115717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1167M</a:t>
          </a:r>
        </a:p>
      </cdr:txBody>
    </cdr:sp>
  </cdr:relSizeAnchor>
  <cdr:relSizeAnchor xmlns:cdr="http://schemas.openxmlformats.org/drawingml/2006/chartDrawing">
    <cdr:from>
      <cdr:x>0.72662</cdr:x>
      <cdr:y>0.82163</cdr:y>
    </cdr:from>
    <cdr:to>
      <cdr:x>0.94694</cdr:x>
      <cdr:y>0.91602</cdr:y>
    </cdr:to>
    <cdr:sp macro="" textlink="">
      <cdr:nvSpPr>
        <cdr:cNvPr id="5" name="Text Box 2"/>
        <cdr:cNvSpPr txBox="1">
          <a:spLocks xmlns:a="http://schemas.openxmlformats.org/drawingml/2006/main" noChangeArrowheads="1"/>
        </cdr:cNvSpPr>
      </cdr:nvSpPr>
      <cdr:spPr bwMode="auto">
        <a:xfrm xmlns:a="http://schemas.openxmlformats.org/drawingml/2006/main">
          <a:off x="4173855" y="2852337"/>
          <a:ext cx="1265555" cy="327660"/>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marL="0" marR="0" algn="just">
            <a:lnSpc>
              <a:spcPct val="200000"/>
            </a:lnSpc>
            <a:spcBef>
              <a:spcPts val="0"/>
            </a:spcBef>
            <a:spcAft>
              <a:spcPts val="0"/>
            </a:spcAft>
          </a:pPr>
          <a:r>
            <a:rPr lang="en-US" sz="800">
              <a:effectLst/>
              <a:latin typeface="Calibri" panose="020F0502020204030204" pitchFamily="34" charset="0"/>
              <a:ea typeface="PMingLiU" panose="02020500000000000000" pitchFamily="18" charset="-120"/>
            </a:rPr>
            <a:t>Six months ended 30 Sep</a:t>
          </a:r>
          <a:endParaRPr lang="en-US" sz="1200">
            <a:effectLst/>
            <a:latin typeface="Times New Roman" panose="02020603050405020304" pitchFamily="18" charset="0"/>
            <a:ea typeface="PMingLiU" panose="02020500000000000000" pitchFamily="18" charset="-120"/>
          </a:endParaRPr>
        </a:p>
        <a:p xmlns:a="http://schemas.openxmlformats.org/drawingml/2006/main">
          <a:pPr marL="0" marR="0" algn="just">
            <a:lnSpc>
              <a:spcPct val="200000"/>
            </a:lnSpc>
            <a:spcBef>
              <a:spcPts val="0"/>
            </a:spcBef>
            <a:spcAft>
              <a:spcPts val="0"/>
            </a:spcAft>
          </a:pPr>
          <a:r>
            <a:rPr lang="en-US" sz="1100">
              <a:effectLst/>
              <a:latin typeface="Calibri" panose="020F0502020204030204" pitchFamily="34" charset="0"/>
              <a:ea typeface="PMingLiU" panose="02020500000000000000" pitchFamily="18" charset="-120"/>
            </a:rPr>
            <a:t> </a:t>
          </a:r>
          <a:endParaRPr lang="en-US" sz="1200">
            <a:effectLst/>
            <a:latin typeface="Times New Roman" panose="02020603050405020304" pitchFamily="18" charset="0"/>
            <a:ea typeface="PMingLiU" panose="02020500000000000000" pitchFamily="18" charset="-120"/>
          </a:endParaRPr>
        </a:p>
      </cdr:txBody>
    </cdr:sp>
  </cdr:relSizeAnchor>
</c:userShapes>
</file>

<file path=word/drawings/drawing3.xml><?xml version="1.0" encoding="utf-8"?>
<c:userShapes xmlns:c="http://schemas.openxmlformats.org/drawingml/2006/chart">
  <cdr:relSizeAnchor xmlns:cdr="http://schemas.openxmlformats.org/drawingml/2006/chartDrawing">
    <cdr:from>
      <cdr:x>0.13444</cdr:x>
      <cdr:y>0.09722</cdr:y>
    </cdr:from>
    <cdr:to>
      <cdr:x>0.33444</cdr:x>
      <cdr:y>0.43056</cdr:y>
    </cdr:to>
    <cdr:sp macro="" textlink="">
      <cdr:nvSpPr>
        <cdr:cNvPr id="5" name="TextBox 1">
          <a:extLst xmlns:a="http://schemas.openxmlformats.org/drawingml/2006/main">
            <a:ext uri="{FF2B5EF4-FFF2-40B4-BE49-F238E27FC236}">
              <a16:creationId xmlns:a16="http://schemas.microsoft.com/office/drawing/2014/main" id="{82244278-7664-41F1-8550-10B25C8529A2}"/>
            </a:ext>
          </a:extLst>
        </cdr:cNvPr>
        <cdr:cNvSpPr txBox="1"/>
      </cdr:nvSpPr>
      <cdr:spPr>
        <a:xfrm xmlns:a="http://schemas.openxmlformats.org/drawingml/2006/main">
          <a:off x="614680" y="266700"/>
          <a:ext cx="914400" cy="9144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575M</a:t>
          </a:r>
        </a:p>
      </cdr:txBody>
    </cdr:sp>
  </cdr:relSizeAnchor>
  <cdr:relSizeAnchor xmlns:cdr="http://schemas.openxmlformats.org/drawingml/2006/chartDrawing">
    <cdr:from>
      <cdr:x>0.44852</cdr:x>
      <cdr:y>0.09722</cdr:y>
    </cdr:from>
    <cdr:to>
      <cdr:x>0.64852</cdr:x>
      <cdr:y>0.43056</cdr:y>
    </cdr:to>
    <cdr:sp macro="" textlink="">
      <cdr:nvSpPr>
        <cdr:cNvPr id="6" name="TextBox 2">
          <a:extLst xmlns:a="http://schemas.openxmlformats.org/drawingml/2006/main">
            <a:ext uri="{FF2B5EF4-FFF2-40B4-BE49-F238E27FC236}">
              <a16:creationId xmlns:a16="http://schemas.microsoft.com/office/drawing/2014/main" id="{66748144-8ABF-4FE3-A083-0C9B834D4F40}"/>
            </a:ext>
          </a:extLst>
        </cdr:cNvPr>
        <cdr:cNvSpPr txBox="1"/>
      </cdr:nvSpPr>
      <cdr:spPr>
        <a:xfrm xmlns:a="http://schemas.openxmlformats.org/drawingml/2006/main">
          <a:off x="2591505" y="266694"/>
          <a:ext cx="1155573" cy="914418"/>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561M</a:t>
          </a:r>
        </a:p>
      </cdr:txBody>
    </cdr:sp>
  </cdr:relSizeAnchor>
  <cdr:relSizeAnchor xmlns:cdr="http://schemas.openxmlformats.org/drawingml/2006/chartDrawing">
    <cdr:from>
      <cdr:x>0.74499</cdr:x>
      <cdr:y>0.09722</cdr:y>
    </cdr:from>
    <cdr:to>
      <cdr:x>0.94499</cdr:x>
      <cdr:y>0.43056</cdr:y>
    </cdr:to>
    <cdr:sp macro="" textlink="">
      <cdr:nvSpPr>
        <cdr:cNvPr id="7" name="TextBox 3">
          <a:extLst xmlns:a="http://schemas.openxmlformats.org/drawingml/2006/main">
            <a:ext uri="{FF2B5EF4-FFF2-40B4-BE49-F238E27FC236}">
              <a16:creationId xmlns:a16="http://schemas.microsoft.com/office/drawing/2014/main" id="{57917473-38A4-4CF7-9C95-CDFE7FC49658}"/>
            </a:ext>
          </a:extLst>
        </cdr:cNvPr>
        <cdr:cNvSpPr txBox="1"/>
      </cdr:nvSpPr>
      <cdr:spPr>
        <a:xfrm xmlns:a="http://schemas.openxmlformats.org/drawingml/2006/main">
          <a:off x="4304457" y="266694"/>
          <a:ext cx="1155573" cy="914418"/>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440M</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Soc20</b:Tag>
    <b:SourceType>InternetSite</b:SourceType>
    <b:Guid>{8416D3CB-81CD-403E-BE28-E2194C74B4FE}</b:Guid>
    <b:Title>Business and Human Capital Challenges</b:Title>
    <b:Year>2017</b:Year>
    <b:Author>
      <b:Author>
        <b:Corporate>Society for Human Resource Management</b:Corporate>
      </b:Author>
    </b:Author>
    <b:InternetSiteTitle>Business and Human Capital Challenges: Research Report</b:InternetSiteTitle>
    <b:Month>12</b:Month>
    <b:Day>10</b:Day>
    <b:URL>https://www.shrm.org/hr-today/trends-and-forecasting/research-and-surveys/Documents/15-0502%20Bus_HC_Challenges_Report_FINAL.pdf</b:URL>
    <b:RefOrder>23</b:RefOrder>
  </b:Source>
  <b:Source>
    <b:Tag>Blo18</b:Tag>
    <b:SourceType>InternetSite</b:SourceType>
    <b:Guid>{1E2F07AE-533A-41A1-8428-9D62642BB43F}</b:Guid>
    <b:Author>
      <b:Author>
        <b:NameList>
          <b:Person>
            <b:Last>Blount</b:Last>
            <b:First>Sally</b:First>
          </b:Person>
          <b:Person>
            <b:Last>Leinwand</b:Last>
            <b:First>Paul</b:First>
          </b:Person>
        </b:NameList>
      </b:Author>
    </b:Author>
    <b:Title>Strategy   |   Why Are We Here?</b:Title>
    <b:InternetSiteTitle>Harvard Business Review</b:InternetSiteTitle>
    <b:Year>2018</b:Year>
    <b:URL>https://hbr.org/2019/11/why-are-we-here</b:URL>
    <b:YearAccessed>2020</b:YearAccessed>
    <b:MonthAccessed>12</b:MonthAccessed>
    <b:DayAccessed>10</b:DayAccessed>
    <b:RefOrder>24</b:RefOrder>
  </b:Source>
  <b:Source>
    <b:Tag>PwC19</b:Tag>
    <b:SourceType>InternetSite</b:SourceType>
    <b:Guid>{D54741B0-A667-45EE-A021-9AE6767F80BA}</b:Guid>
    <b:Author>
      <b:Author>
        <b:Corporate>PwC</b:Corporate>
      </b:Author>
    </b:Author>
    <b:Title>The power of strategic purpose</b:Title>
    <b:InternetSiteTitle>Our research on the connection between strategic purpose and motivation</b:InternetSiteTitle>
    <b:Year>2019</b:Year>
    <b:URL>https://www.strategyand.pwc.com/gx/en/unique-solutions/capabilities-driven-strategy/approach/research-motivation.html</b:URL>
    <b:YearAccessed>2020</b:YearAccessed>
    <b:MonthAccessed>12</b:MonthAccessed>
    <b:DayAccessed>10</b:DayAccessed>
    <b:RefOrder>25</b:RefOrder>
  </b:Source>
  <b:Source>
    <b:Tag>Suh20</b:Tag>
    <b:SourceType>Book</b:SourceType>
    <b:Guid>{4AEB2907-3705-4B0E-881C-41255CAAF266}</b:Guid>
    <b:Title>Employee Engagement, Crisis Management &amp; Continuity Planning Are Challenges Faced By HR</b:Title>
    <b:Year>2020</b:Year>
    <b:Author>
      <b:Author>
        <b:NameList>
          <b:Person>
            <b:Last>Suhail</b:Last>
            <b:First>Resham</b:First>
          </b:Person>
        </b:NameList>
      </b:Author>
    </b:Author>
    <b:City>New Delhi</b:City>
    <b:Publisher>Athena Information Solutions Pvt. Ltd.</b:Publisher>
    <b:RefOrder>26</b:RefOrder>
  </b:Source>
  <b:Source>
    <b:Tag>Par19</b:Tag>
    <b:SourceType>InternetSite</b:SourceType>
    <b:Guid>{CEE031D2-19A5-4788-818D-D051C29A7572}</b:Guid>
    <b:Title>The Link Between Employee Relations + Inclusion, Diversity &amp; Equity</b:Title>
    <b:Year>2019</b:Year>
    <b:Author>
      <b:Author>
        <b:NameList>
          <b:Person>
            <b:Last>Paradiso</b:Last>
            <b:First>Anthony</b:First>
          </b:Person>
        </b:NameList>
      </b:Author>
    </b:Author>
    <b:InternetSiteTitle>AllThingzAP Solidarity Statement</b:InternetSiteTitle>
    <b:Month>7</b:Month>
    <b:Day>22</b:Day>
    <b:URL>https://www.allthingzap.com/post/the-link-between-employee-relations-inclusion-diversity-equity</b:URL>
    <b:YearAccessed>2020</b:YearAccessed>
    <b:MonthAccessed>12</b:MonthAccessed>
    <b:DayAccessed>10</b:DayAccessed>
    <b:RefOrder>27</b:RefOrder>
  </b:Source>
  <b:Source>
    <b:Tag>Soc201</b:Tag>
    <b:SourceType>InternetSite</b:SourceType>
    <b:Guid>{BDA44EF0-FE41-4142-9F59-538C8EC905D8}</b:Guid>
    <b:Author>
      <b:Author>
        <b:Corporate>Society For Human Resource Management</b:Corporate>
      </b:Author>
    </b:Author>
    <b:Title>The Journey To Equity And Inclusion</b:Title>
    <b:InternetSiteTitle>Together Forward At Work</b:InternetSiteTitle>
    <b:Year>2020</b:Year>
    <b:Month>12</b:Month>
    <b:Day>10</b:Day>
    <b:URL>https://shrmtogether.wpengine.com/wp-content/uploads/2020/08/20-1412_TFAW_Report_RND7_Pages.pdf</b:URL>
    <b:RefOrder>28</b:RefOrder>
  </b:Source>
  <b:Source>
    <b:Tag>Win20</b:Tag>
    <b:SourceType>InternetSite</b:SourceType>
    <b:Guid>{D1A8C294-9837-4102-9C69-F19A006261A9}</b:Guid>
    <b:Author>
      <b:Author>
        <b:NameList>
          <b:Person>
            <b:Last>Windley</b:Last>
            <b:First>David</b:First>
          </b:Person>
        </b:NameList>
      </b:Author>
    </b:Author>
    <b:Title>Creating Authentic Workplace Diversity</b:Title>
    <b:InternetSiteTitle>Forbes</b:InternetSiteTitle>
    <b:Year>2020</b:Year>
    <b:Month>12</b:Month>
    <b:Day>3</b:Day>
    <b:URL>https://www.forbes.com/sites/forbeshumanresourcescouncil/2020/12/03/creating-authentic-workplace-diversity/?sh=71a671243f14</b:URL>
    <b:YearAccessed>2020</b:YearAccessed>
    <b:MonthAccessed>12</b:MonthAccessed>
    <b:DayAccessed>10</b:DayAccessed>
    <b:RefOrder>29</b:RefOrder>
  </b:Source>
  <b:Source>
    <b:Tag>Dev00</b:Tag>
    <b:SourceType>JournalArticle</b:SourceType>
    <b:Guid>{933C4980-E6A4-4BFB-9DA2-D5C40A095EF1}</b:Guid>
    <b:Title>The Optimal Performance of the Global Firm: Formalizing and Extending the Integration-Responsiveness Framework</b:Title>
    <b:Year>2000</b:Year>
    <b:URL>https://www.jstor.org/stable/2640377</b:URL>
    <b:Author>
      <b:Author>
        <b:NameList>
          <b:Person>
            <b:Last>Devinney</b:Last>
            <b:First>Timothy</b:First>
            <b:Middle>M</b:Middle>
          </b:Person>
          <b:Person>
            <b:Last>Midgley</b:Last>
            <b:First>David</b:First>
            <b:Middle>F</b:Middle>
          </b:Person>
          <b:Person>
            <b:Last>Venaik</b:Last>
            <b:First>Sunil</b:First>
          </b:Person>
        </b:NameList>
      </b:Author>
    </b:Author>
    <b:JournalName>Organization Science</b:JournalName>
    <b:Pages>674-695</b:Pages>
    <b:Volume>11</b:Volume>
    <b:Issue>6</b:Issue>
    <b:RefOrder>30</b:RefOrder>
  </b:Source>
  <b:Source>
    <b:Tag>Sta06</b:Tag>
    <b:SourceType>Book</b:SourceType>
    <b:Guid>{168E9CD2-AD7D-42D0-95F9-128F5D748360}</b:Guid>
    <b:Title>Handbook of Research in Internaitonal Human Resource Management</b:Title>
    <b:JournalName>Handbook of research in international human resource management</b:JournalName>
    <b:Year>2006</b:Year>
    <b:Pages>36-48</b:Pages>
    <b:Author>
      <b:Author>
        <b:NameList>
          <b:Person>
            <b:Last>Stahl</b:Last>
            <b:First>Gunter</b:First>
            <b:Middle>K</b:Middle>
          </b:Person>
          <b:Person>
            <b:Last>Bjorkman</b:Last>
            <b:First>Ingmar</b:First>
          </b:Person>
        </b:NameList>
      </b:Author>
    </b:Author>
    <b:City>Cheltenham</b:City>
    <b:Publisher>Edward Elgar Publishing Limited</b:Publisher>
    <b:RefOrder>31</b:RefOrder>
  </b:Source>
  <b:Source>
    <b:Tag>Ach14</b:Tag>
    <b:SourceType>JournalArticle</b:SourceType>
    <b:Guid>{4AAF797F-4248-4499-B1F1-88F124EC0E89}</b:Guid>
    <b:Title>Global International Relations (IR) and Regional Worlds: A New Agenda for International Studies</b:Title>
    <b:Year>2014</b:Year>
    <b:Author>
      <b:Author>
        <b:NameList>
          <b:Person>
            <b:Last>Acharya</b:Last>
            <b:First>Amitav</b:First>
          </b:Person>
        </b:NameList>
      </b:Author>
    </b:Author>
    <b:JournalName>International Studies Quarterly</b:JournalName>
    <b:Pages>647-659</b:Pages>
    <b:Volume>58</b:Volume>
    <b:Issue>4</b:Issue>
    <b:RefOrder>32</b:RefOrder>
  </b:Source>
  <b:Source>
    <b:Tag>Sto04</b:Tag>
    <b:SourceType>Book</b:SourceType>
    <b:Guid>{73E5C105-961D-4036-984E-F6846C09ED3E}</b:Guid>
    <b:Title>Global and transnational business: strategy and management</b:Title>
    <b:Year>2004</b:Year>
    <b:Author>
      <b:Author>
        <b:NameList>
          <b:Person>
            <b:Last>Stonehouse</b:Last>
            <b:First>George</b:First>
          </b:Person>
        </b:NameList>
      </b:Author>
    </b:Author>
    <b:City>Chichester</b:City>
    <b:Publisher>Wiley-Blackwell</b:Publisher>
    <b:RefOrder>33</b:RefOrder>
  </b:Source>
  <b:Source>
    <b:Tag>Hal77</b:Tag>
    <b:SourceType>Book</b:SourceType>
    <b:Guid>{0400C671-E6D5-47FA-BCD1-531073573248}</b:Guid>
    <b:Author>
      <b:Author>
        <b:NameList>
          <b:Person>
            <b:Last>Hall</b:Last>
            <b:First>Edward</b:First>
            <b:Middle>T</b:Middle>
          </b:Person>
        </b:NameList>
      </b:Author>
    </b:Author>
    <b:Title>Beyond Culture</b:Title>
    <b:Year>1977</b:Year>
    <b:City>New York</b:City>
    <b:Publisher>Achor Books Eitions</b:Publisher>
    <b:RefOrder>34</b:RefOrder>
  </b:Source>
  <b:Source>
    <b:Tag>Hof20</b:Tag>
    <b:SourceType>InternetSite</b:SourceType>
    <b:Guid>{FFE5E5C7-7A55-415A-9062-F9F9CF322777}</b:Guid>
    <b:Title>Compare Countries</b:Title>
    <b:Year>2020</b:Year>
    <b:Author>
      <b:Author>
        <b:Corporate>Hofstede Insights</b:Corporate>
      </b:Author>
    </b:Author>
    <b:InternetSiteTitle>Hofestede Insights</b:InternetSiteTitle>
    <b:URL>https://www.hofstede-insights.com/product/compare-countries/</b:URL>
    <b:YearAccessed>2020</b:YearAccessed>
    <b:MonthAccessed>12</b:MonthAccessed>
    <b:DayAccessed>10</b:DayAccessed>
    <b:RefOrder>35</b:RefOrder>
  </b:Source>
  <b:Source>
    <b:Tag>Hof01</b:Tag>
    <b:SourceType>Book</b:SourceType>
    <b:Guid>{6971022A-FAA2-4773-A182-F656B3AD66DF}</b:Guid>
    <b:Title>Culture's Consequences</b:Title>
    <b:Year>2001</b:Year>
    <b:City>California</b:City>
    <b:Publisher>Sage Publications, Inc</b:Publisher>
    <b:Author>
      <b:Author>
        <b:NameList>
          <b:Person>
            <b:Last>Hofstede</b:Last>
            <b:First>Geert</b:First>
          </b:Person>
        </b:NameList>
      </b:Author>
    </b:Author>
    <b:Edition>2</b:Edition>
    <b:RefOrder>36</b:RefOrder>
  </b:Source>
  <b:Source>
    <b:Tag>Meh03</b:Tag>
    <b:SourceType>JournalArticle</b:SourceType>
    <b:Guid>{41945537-0BEB-4C0B-92D3-D31C1D148BD8}</b:Guid>
    <b:Title>Leadership style, motivation and performance in international marketing channels: An empirical investigation of the USA, Finland and Poland</b:Title>
    <b:Year>2003</b:Year>
    <b:Author>
      <b:Author>
        <b:NameList>
          <b:Person>
            <b:Last>Mehta</b:Last>
            <b:First>Rajiv</b:First>
          </b:Person>
          <b:Person>
            <b:Last>Dubinsky</b:Last>
            <b:First>Alan</b:First>
            <b:Middle>J</b:Middle>
          </b:Person>
          <b:Person>
            <b:Last>Anderson</b:Last>
            <b:First>Rolph</b:First>
            <b:Middle>E</b:Middle>
          </b:Person>
        </b:NameList>
      </b:Author>
    </b:Author>
    <b:JournalName>European Journal of Marketing</b:JournalName>
    <b:Pages>50-85</b:Pages>
    <b:DOI>doi.org/10.1108/03090560310453939</b:DOI>
    <b:RefOrder>37</b:RefOrder>
  </b:Source>
  <b:Source>
    <b:Tag>Gra91</b:Tag>
    <b:SourceType>JournalArticle</b:SourceType>
    <b:Guid>{620E0209-1F30-4E8B-AC56-0303D6A041B6}</b:Guid>
    <b:Author>
      <b:Author>
        <b:NameList>
          <b:Person>
            <b:Last>Grant</b:Last>
            <b:First>Rober</b:First>
            <b:Middle>M</b:Middle>
          </b:Person>
        </b:NameList>
      </b:Author>
    </b:Author>
    <b:Title>The resource-based theory of competitive advantage: implications for strategy</b:Title>
    <b:JournalName>California Management Review</b:JournalName>
    <b:Year>1991</b:Year>
    <b:Pages>114-135</b:Pages>
    <b:Volume>33</b:Volume>
    <b:Issue>3</b:Issue>
    <b:RefOrder>38</b:RefOrder>
  </b:Source>
  <b:Source>
    <b:Tag>Por83</b:Tag>
    <b:SourceType>Book</b:SourceType>
    <b:Guid>{CBAAB427-0201-42E2-ACBD-B3858A5FEEFA}</b:Guid>
    <b:Title>Cases in competitive strategy</b:Title>
    <b:Year>1983</b:Year>
    <b:Author>
      <b:Author>
        <b:NameList>
          <b:Person>
            <b:Last>Porter</b:Last>
            <b:First>Michael</b:First>
            <b:Middle>E</b:Middle>
          </b:Person>
        </b:NameList>
      </b:Author>
    </b:Author>
    <b:City>New York</b:City>
    <b:Publisher>Free Press</b:Publisher>
    <b:RefOrder>39</b:RefOrder>
  </b:Source>
  <b:Source>
    <b:Tag>Her87</b:Tag>
    <b:SourceType>JournalArticle</b:SourceType>
    <b:Guid>{58B0F6ED-9C12-4F5E-837A-DEA5B821E7E5}</b:Guid>
    <b:Title>One more time: how do you motivate employees?</b:Title>
    <b:Year>1987</b:Year>
    <b:Author>
      <b:Author>
        <b:NameList>
          <b:Person>
            <b:Last>Herzberg</b:Last>
            <b:First>Frederick</b:First>
          </b:Person>
        </b:NameList>
      </b:Author>
    </b:Author>
    <b:JournalName>Harvard business review</b:JournalName>
    <b:Volume>65</b:Volume>
    <b:Issue>5</b:Issue>
    <b:RefOrder>40</b:RefOrder>
  </b:Source>
  <b:Source>
    <b:Tag>Fes07</b:Tag>
    <b:SourceType>JournalArticle</b:SourceType>
    <b:Guid>{DABE5C02-44C0-432C-8CA1-46034425C260}</b:Guid>
    <b:Author>
      <b:Author>
        <b:NameList>
          <b:Person>
            <b:Last>Festing</b:Last>
            <b:First>Marion</b:First>
          </b:Person>
          <b:Person>
            <b:Last>Eidems</b:Last>
            <b:First>Judith</b:First>
          </b:Person>
          <b:Person>
            <b:Last>Royer</b:Last>
            <b:First>Susanne</b:First>
          </b:Person>
        </b:NameList>
      </b:Author>
    </b:Author>
    <b:Title>Strategic issues and local constraints in transnational compensation strategies: An analysis of cultural, institutional and political influences</b:Title>
    <b:JournalName>European Management Journal</b:JournalName>
    <b:Year>2007</b:Year>
    <b:Pages>118-131</b:Pages>
    <b:Volume>25</b:Volume>
    <b:Issue>2</b:Issue>
    <b:RefOrder>41</b:RefOrder>
  </b:Source>
  <b:Source>
    <b:Tag>Sch89</b:Tag>
    <b:SourceType>JournalArticle</b:SourceType>
    <b:Guid>{9C43871E-B907-47F5-B731-81A94CC0ECA7}</b:Guid>
    <b:Author>
      <b:Author>
        <b:NameList>
          <b:Person>
            <b:Last>Schudson</b:Last>
            <b:First>Michael</b:First>
          </b:Person>
        </b:NameList>
      </b:Author>
    </b:Author>
    <b:Title>How culture works</b:Title>
    <b:JournalName>Theory and Society</b:JournalName>
    <b:Year>1989</b:Year>
    <b:Pages>153-180</b:Pages>
    <b:Volume>18</b:Volume>
    <b:Issue>2</b:Issue>
    <b:RefOrder>42</b:RefOrder>
  </b:Source>
  <b:Source>
    <b:Tag>Yiu15</b:Tag>
    <b:SourceType>InternetSite</b:SourceType>
    <b:Guid>{EE54637A-98DA-4757-B563-DBDA35E37CA8}</b:Guid>
    <b:Author>
      <b:Author>
        <b:NameList>
          <b:Person>
            <b:Last>Yiu</b:Last>
            <b:First>Enoch</b:First>
          </b:Person>
        </b:NameList>
      </b:Author>
    </b:Author>
    <b:Title>South China Morning Post</b:Title>
    <b:Year>2015</b:Year>
    <b:YearAccessed>2020</b:YearAccessed>
    <b:MonthAccessed>7</b:MonthAccessed>
    <b:DayAccessed>1</b:DayAccessed>
    <b:URL>https://www.scmp.com/business/companies/article/1814717/when-it-comes-jewellery-chinese-believe-local-companies-are-best</b:URL>
    <b:RefOrder>6</b:RefOrder>
  </b:Source>
  <b:Source>
    <b:Tag>Mag20</b:Tag>
    <b:SourceType>InternetSite</b:SourceType>
    <b:Guid>{29F85D7B-957A-4647-9B8E-00062D76DE36}</b:Guid>
    <b:Author>
      <b:Author>
        <b:NameList>
          <b:Person>
            <b:Last>Magramo</b:Last>
            <b:First>Kathleen</b:First>
          </b:Person>
        </b:NameList>
      </b:Author>
    </b:Author>
    <b:Title>South China Morning Post</b:Title>
    <b:Year>2020</b:Year>
    <b:YearAccessed>2020</b:YearAccessed>
    <b:MonthAccessed>7</b:MonthAccessed>
    <b:DayAccessed>1</b:DayAccessed>
    <b:URL>https://www.scmp.com/business/article/3046618/hong-kongs-chow-tai-fook-worlds-second-largest-jewellery-retailer-kicks</b:URL>
    <b:InternetSiteTitle>Hong Kong’s Chow Tai Fook, world’s second-largest jewellery retailer, kicks off mainland China expansion with acquisition of gems maker Enzo</b:InternetSiteTitle>
    <b:Month>1</b:Month>
    <b:Day>18</b:Day>
    <b:RefOrder>7</b:RefOrder>
  </b:Source>
  <b:Source xmlns:b="http://schemas.openxmlformats.org/officeDocument/2006/bibliography">
    <b:Tag>Cho19</b:Tag>
    <b:SourceType>Report</b:SourceType>
    <b:Guid>{F87CD198-AD12-46C8-9844-FB7DF15E55A5}</b:Guid>
    <b:Title>Annual Report 2018/2019</b:Title>
    <b:Year>2019</b:Year>
    <b:YearAccessed>2020</b:YearAccessed>
    <b:MonthAccessed>7</b:MonthAccessed>
    <b:DayAccessed>1</b:DayAccessed>
    <b:URL>https://ir.ctfjewellerygroup.com/ar2019_en.pdf</b:URL>
    <b:Author>
      <b:Author>
        <b:Corporate>Chow Tai Fook</b:Corporate>
      </b:Author>
    </b:Author>
    <b:City>Hong Kong</b:City>
    <b:ThesisType>Annual Report</b:ThesisType>
    <b:RefOrder>8</b:RefOrder>
  </b:Source>
  <b:Source>
    <b:Tag>Luk19</b:Tag>
    <b:SourceType>DocumentFromInternetSite</b:SourceType>
    <b:Guid>{5E028081-F1F4-4C17-B701-D4F589E9E7DB}</b:Guid>
    <b:Author>
      <b:Author>
        <b:Corporate>Luk Fook</b:Corporate>
      </b:Author>
    </b:Author>
    <b:Title>Annual Report 2018/2019</b:Title>
    <b:Year>2019</b:Year>
    <b:YearAccessed>2020</b:YearAccessed>
    <b:MonthAccessed>7</b:MonthAccessed>
    <b:DayAccessed>1</b:DayAccessed>
    <b:URL>https://www.lukfook.com/wp-content/uploads/2019/07/cw_00590ar-27062019.pdf</b:URL>
    <b:RefOrder>43</b:RefOrder>
  </b:Source>
  <b:Source>
    <b:Tag>Tse19</b:Tag>
    <b:SourceType>DocumentFromInternetSite</b:SourceType>
    <b:Guid>{170B581B-1BED-4E99-AFB7-0D0243CF087F}</b:Guid>
    <b:Author>
      <b:Author>
        <b:Corporate>Tse Sui Luen</b:Corporate>
      </b:Author>
    </b:Author>
    <b:Title>Annual Report 2018/2019</b:Title>
    <b:Year>2019</b:Year>
    <b:YearAccessed>2020</b:YearAccessed>
    <b:MonthAccessed>7</b:MonthAccessed>
    <b:DayAccessed>1</b:DayAccessed>
    <b:URL>https://doc.irasia.com/listco/hk/tsesuiluen/annual/ar215560-e00417_annualreport2018_19.pdf</b:URL>
    <b:RefOrder>44</b:RefOrder>
  </b:Source>
  <b:Source>
    <b:Tag>Cho201</b:Tag>
    <b:SourceType>Report</b:SourceType>
    <b:Guid>{AE86273E-848A-4BE3-BEB9-1582565501BA}</b:Guid>
    <b:Author>
      <b:Author>
        <b:Corporate>Chow Tai Fook</b:Corporate>
      </b:Author>
    </b:Author>
    <b:Title>2020 Annual Report</b:Title>
    <b:Year>2020</b:Year>
    <b:URL>https://ir.ctfjewellerygroup.com/ar2020_en.pdf</b:URL>
    <b:RefOrder>10</b:RefOrder>
  </b:Source>
  <b:Source>
    <b:Tag>Lor21</b:Tag>
    <b:SourceType>InternetSite</b:SourceType>
    <b:Guid>{9CDC2264-FA0D-4EC4-8A71-BAB30A79F512}</b:Guid>
    <b:Title>How Chow Tai Fook became one of the biggest gold and jewellery chains in the world</b:Title>
    <b:Year>2021</b:Year>
    <b:Author>
      <b:Author>
        <b:NameList>
          <b:Person>
            <b:Last>Lord</b:Last>
            <b:First>Richard</b:First>
          </b:Person>
        </b:NameList>
      </b:Author>
    </b:Author>
    <b:YearAccessed>2021</b:YearAccessed>
    <b:MonthAccessed>1</b:MonthAccessed>
    <b:DayAccessed>25</b:DayAccessed>
    <b:URL>https://www.scmp.com/lifestyle/fashion-beauty/article/3117846/how-chow-tai-fook-became-one-biggest-gold-and-jewellery</b:URL>
    <b:RefOrder>9</b:RefOrder>
  </b:Source>
  <b:Source>
    <b:Tag>AAS21</b:Tag>
    <b:SourceType>InternetSite</b:SourceType>
    <b:Guid>{3FE4C109-85E0-447F-9706-69D30A7280D0}</b:Guid>
    <b:Title>Industry Details - Consumer Goods - Watch &amp; Jewellery</b:Title>
    <b:Year>2021</b:Year>
    <b:YearAccessed>2021</b:YearAccessed>
    <b:MonthAccessed>1</b:MonthAccessed>
    <b:DayAccessed>25</b:DayAccessed>
    <b:URL>http://www.aastocks.com/en/stocks/market/industry/sector-industry-details.aspx?industrysymbol=3015&amp;t=1&amp;hk=0</b:URL>
    <b:Author>
      <b:Author>
        <b:Corporate>AASTOCKS</b:Corporate>
      </b:Author>
    </b:Author>
    <b:RefOrder>13</b:RefOrder>
  </b:Source>
  <b:Source>
    <b:Tag>Liu201</b:Tag>
    <b:SourceType>InternetSite</b:SourceType>
    <b:Guid>{032F0A18-97EC-4A52-ABCE-1F6CA2F3F1E1}</b:Guid>
    <b:Author>
      <b:Author>
        <b:NameList>
          <b:Person>
            <b:Last>Liu</b:Last>
            <b:First>Pearl</b:First>
          </b:Person>
        </b:NameList>
      </b:Author>
    </b:Author>
    <b:Title>Chow Tai Fook, Sa Sa to shut protest-hit stores in signs Hong Kong’s retail slump to persist in 2020</b:Title>
    <b:Year>2020</b:Year>
    <b:YearAccessed>2021</b:YearAccessed>
    <b:MonthAccessed>1</b:MonthAccessed>
    <b:DayAccessed>25</b:DayAccessed>
    <b:URL>https://www.scmp.com/business/companies/article/3046170/chow-tai-fook-shut-protest-hit-stores-sign-hong-kongs-retail</b:URL>
    <b:InternetSiteTitle>South China Morning Post</b:InternetSiteTitle>
    <b:RefOrder>3</b:RefOrder>
  </b:Source>
  <b:Source>
    <b:Tag>Kic21</b:Tag>
    <b:SourceType>InternetSite</b:SourceType>
    <b:Guid>{FA05A195-5CF5-41BD-A0BC-A943E71F9AC8}</b:Guid>
    <b:Author>
      <b:Author>
        <b:Corporate>Kicto Metals Inc.</b:Corporate>
      </b:Author>
    </b:Author>
    <b:Title>Gold In Hongkong Dollar per ounce - (GOLD)</b:Title>
    <b:Year>2021</b:Year>
    <b:YearAccessed>2021</b:YearAccessed>
    <b:MonthAccessed>2</b:MonthAccessed>
    <b:DayAccessed>3</b:DayAccessed>
    <b:URL>https://www.kitco.com/charts/interactive-charts/?utm_source=kitco&amp;utm_medium=banner&amp;utm_content=20110407_iCharts_live_gold_ny_chart&amp;utm_campaign=iCharts</b:URL>
    <b:RefOrder>12</b:RefOrder>
  </b:Source>
  <b:Source>
    <b:Tag>Leg20</b:Tag>
    <b:SourceType>InternetSite</b:SourceType>
    <b:Guid>{4CDFDD8A-B06A-4ADE-8FC9-DD25910A19C9}</b:Guid>
    <b:Author>
      <b:Author>
        <b:Corporate>Legislative Council Secretariat</b:Corporate>
      </b:Author>
    </b:Author>
    <b:Title>Information Technology and Broadcasting</b:Title>
    <b:Year>2020</b:Year>
    <b:YearAccessed>2021</b:YearAccessed>
    <b:MonthAccessed>1</b:MonthAccessed>
    <b:DayAccessed>25</b:DayAccessed>
    <b:URL>https://www.legco.gov.hk/research-publications/english/1920issh34-e-commerce-in-hong-kong-20200708-e.pdf</b:URL>
    <b:RefOrder>20</b:RefOrder>
  </b:Source>
  <b:Source>
    <b:Tag>Jam20</b:Tag>
    <b:SourceType>InternetSite</b:SourceType>
    <b:Guid>{37C3A5E4-16C2-4567-919F-216F645F2DF6}</b:Guid>
    <b:Author>
      <b:Author>
        <b:NameList>
          <b:Person>
            <b:Last>Jamasmie</b:Last>
            <b:First>Cecilia</b:First>
          </b:Person>
        </b:NameList>
      </b:Author>
    </b:Author>
    <b:Title>Covid-19 robs diamond sector of recovery hopes</b:Title>
    <b:Year>2020</b:Year>
    <b:YearAccessed>2021</b:YearAccessed>
    <b:MonthAccessed>1</b:MonthAccessed>
    <b:DayAccessed>25</b:DayAccessed>
    <b:URL>https://www.mining.com/covid-19-robs-diamond-sector-of-recovery-hopes/</b:URL>
    <b:InternetSiteTitle>mining.com</b:InternetSiteTitle>
    <b:RefOrder>45</b:RefOrder>
  </b:Source>
  <b:Source>
    <b:Tag>DeB20</b:Tag>
    <b:SourceType>InternetSite</b:SourceType>
    <b:Guid>{01D96EE4-015D-4950-AC7B-D820992DCAA3}</b:Guid>
    <b:Author>
      <b:Author>
        <b:Corporate>De Beers Group</b:Corporate>
      </b:Author>
    </b:Author>
    <b:Title>Production Report For The First Quarter Of 2020</b:Title>
    <b:Year>2020</b:Year>
    <b:YearAccessed>2021</b:YearAccessed>
    <b:MonthAccessed>1</b:MonthAccessed>
    <b:DayAccessed>25</b:DayAccessed>
    <b:URL>http://debeersgroup.com/media/company-news/2020/production-report-for-the-first-quarter-of-2020</b:URL>
    <b:RefOrder>46</b:RefOrder>
  </b:Source>
  <b:Source>
    <b:Tag>Rap20</b:Tag>
    <b:SourceType>InternetSite</b:SourceType>
    <b:Guid>{E4BB6492-AE89-4B7F-96CD-D290AA38F9EC}</b:Guid>
    <b:Author>
      <b:Author>
        <b:Corporate>Rapaport USA Inc.</b:Corporate>
      </b:Author>
    </b:Author>
    <b:Title>Rapaport Press Release: Diamond Markets Return Cautiously</b:Title>
    <b:Year>2020</b:Year>
    <b:YearAccessed>2021</b:YearAccessed>
    <b:MonthAccessed>1</b:MonthAccessed>
    <b:DayAccessed>25</b:DayAccessed>
    <b:URL>https://www.businesswire.com/news/home/20200602005496/en/Rapaport-Press-Release-Diamond-Markets-Return-Cautiously</b:URL>
    <b:RefOrder>47</b:RefOrder>
  </b:Source>
  <b:Source>
    <b:Tag>Arn20</b:Tag>
    <b:SourceType>InternetSite</b:SourceType>
    <b:Guid>{BE923FA5-0173-46C5-96CD-D1DEBE08FA5E}</b:Guid>
    <b:Author>
      <b:Author>
        <b:NameList>
          <b:Person>
            <b:Last>Arnold</b:Last>
            <b:First>Michael</b:First>
          </b:Person>
        </b:NameList>
      </b:Author>
    </b:Author>
    <b:Title>Covid-19 fuels breakthrough in Hong Kong e-commerce</b:Title>
    <b:Year>2020</b:Year>
    <b:YearAccessed>2021</b:YearAccessed>
    <b:MonthAccessed>1</b:MonthAccessed>
    <b:DayAccessed>25</b:DayAccessed>
    <b:URL>https://insideretail.asia/2020/07/20/covid-19-fuels-breakthrough-in-hong-kong-e-commerce/</b:URL>
    <b:RefOrder>21</b:RefOrder>
  </b:Source>
  <b:Source>
    <b:Tag>LVM21</b:Tag>
    <b:SourceType>InternetSite</b:SourceType>
    <b:Guid>{2903CA9D-4CE5-4BC9-9CD7-72A5C88CE03F}</b:Guid>
    <b:Author>
      <b:Author>
        <b:Corporate>LVMH</b:Corporate>
      </b:Author>
    </b:Author>
    <b:Title>LVMH completes the acquisition of Tiffany &amp; Co.</b:Title>
    <b:Year>2021</b:Year>
    <b:YearAccessed>2021</b:YearAccessed>
    <b:MonthAccessed>2</b:MonthAccessed>
    <b:DayAccessed>4</b:DayAccessed>
    <b:URL>https://www.lvmh.com/news-documents/press-releases/lvmh-completes-the-acquisition-of-tiffany-and-co/</b:URL>
    <b:RefOrder>48</b:RefOrder>
  </b:Source>
  <b:Source>
    <b:Tag>Ped19</b:Tag>
    <b:SourceType>InternetSite</b:SourceType>
    <b:Guid>{97925F40-A9F1-4E4B-A217-F5432765E160}</b:Guid>
    <b:Author>
      <b:Author>
        <b:NameList>
          <b:Person>
            <b:Last>Pedersen</b:Last>
            <b:First>Jacob</b:First>
            <b:Middle>Gronholt</b:Middle>
          </b:Person>
        </b:NameList>
      </b:Author>
    </b:Author>
    <b:Title>Struggling jewellery maker Pandora to relaunch brand at LA event</b:Title>
    <b:Year>2019</b:Year>
    <b:YearAccessed>2021</b:YearAccessed>
    <b:MonthAccessed>2</b:MonthAccessed>
    <b:DayAccessed>4</b:DayAccessed>
    <b:URL>https://www.reuters.com/article/pandora-strategy/struggling-jewellery-maker-pandora-to-relaunch-brand-at-la-event-idINKCN1VI2FS</b:URL>
    <b:RefOrder>49</b:RefOrder>
  </b:Source>
  <b:Source>
    <b:Tag>Blo211</b:Tag>
    <b:SourceType>InternetSite</b:SourceType>
    <b:Guid>{82BB5805-3D77-4F3F-A601-19398CF03F1F}</b:Guid>
    <b:Author>
      <b:Author>
        <b:Corporate>Bloomberg</b:Corporate>
      </b:Author>
    </b:Author>
    <b:Title>Key Statistics</b:Title>
    <b:Year>2021a</b:Year>
    <b:YearAccessed>2021</b:YearAccessed>
    <b:MonthAccessed>2</b:MonthAccessed>
    <b:DayAccessed>4</b:DayAccessed>
    <b:URL>https://www.bloomberg.com/quote/CFR:SW</b:URL>
    <b:RefOrder>50</b:RefOrder>
  </b:Source>
  <b:Source>
    <b:Tag>Blo21</b:Tag>
    <b:SourceType>InternetSite</b:SourceType>
    <b:Guid>{2E318CAF-26DC-4C70-BF17-708073F74993}</b:Guid>
    <b:Author>
      <b:Author>
        <b:Corporate>Bloomberg</b:Corporate>
      </b:Author>
    </b:Author>
    <b:Title>Key Statistics</b:Title>
    <b:Year>2021b</b:Year>
    <b:YearAccessed>2021</b:YearAccessed>
    <b:MonthAccessed>2</b:MonthAccessed>
    <b:DayAccessed>4</b:DayAccessed>
    <b:URL>https://www.bloomberg.com/quote/TIF:US</b:URL>
    <b:RefOrder>51</b:RefOrder>
  </b:Source>
  <b:Source>
    <b:Tag>Cho202</b:Tag>
    <b:SourceType>InternetSite</b:SourceType>
    <b:Guid>{635D8687-79E5-4594-8C63-92F08E7928E9}</b:Guid>
    <b:Author>
      <b:Author>
        <b:Corporate>Chow Tai Fook</b:Corporate>
      </b:Author>
    </b:Author>
    <b:Title>The Unaudited Key Operational Data For The Three Months Ended 31 December 2020</b:Title>
    <b:YearAccessed>2021</b:YearAccessed>
    <b:MonthAccessed>1</b:MonthAccessed>
    <b:DayAccessed>25</b:DayAccessed>
    <b:URL>https://ir.ctfjewellerygroup.com/2021011116560172939580109_en.pdf</b:URL>
    <b:Year>2021b</b:Year>
    <b:Month>11</b:Month>
    <b:Day>24</b:Day>
    <b:RefOrder>4</b:RefOrder>
  </b:Source>
  <b:Source>
    <b:Tag>Cho20</b:Tag>
    <b:SourceType>Report</b:SourceType>
    <b:Guid>{459302A6-13D6-4D9C-8127-9C2710F57C8E}</b:Guid>
    <b:Title>2020/2021 Interim Report</b:Title>
    <b:Year>2021a</b:Year>
    <b:Author>
      <b:Author>
        <b:Corporate>Chow Tai Fook</b:Corporate>
      </b:Author>
    </b:Author>
    <b:URL>https://ir.ctfjewellerygroup.com/ir2021_en.pdf</b:URL>
    <b:RefOrder>11</b:RefOrder>
  </b:Source>
  <b:Source>
    <b:Tag>Won21</b:Tag>
    <b:SourceType>InternetSite</b:SourceType>
    <b:Guid>{2B1768F0-54F4-4598-A46D-9E3748A8A911}</b:Guid>
    <b:Author>
      <b:Author>
        <b:NameList>
          <b:Person>
            <b:Last>Wong</b:Last>
            <b:First>Natalie</b:First>
          </b:Person>
        </b:NameList>
      </b:Author>
    </b:Author>
    <b:Title>Hong Kong unemployment set to surpass 7 per cent after Lunar New Year, minister warns as Covid-19 continues to strangle the economy</b:Title>
    <b:Year>2021</b:Year>
    <b:YearAccessed>2021</b:YearAccessed>
    <b:MonthAccessed>2</b:MonthAccessed>
    <b:DayAccessed>16</b:DayAccessed>
    <b:URL>https://www.scmp.com/news/hong-kong/society/article/3121657/hong-kong-unemployment-set-surpass-7-cent-after-lunar-new</b:URL>
    <b:InternetSiteTitle>South China Morning Post</b:InternetSiteTitle>
    <b:Month>2</b:Month>
    <b:Day>13</b:Day>
    <b:RefOrder>17</b:RefOrder>
  </b:Source>
  <b:Source>
    <b:Tag>Cen212</b:Tag>
    <b:SourceType>InternetSite</b:SourceType>
    <b:Guid>{560BCFD0-78C2-4F97-8488-8428BF36DB24}</b:Guid>
    <b:Author>
      <b:Author>
        <b:Corporate>Census and Statistics Department</b:Corporate>
      </b:Author>
    </b:Author>
    <b:Title>Report on Monthly Survey of Retail Sales</b:Title>
    <b:Year>2020</b:Year>
    <b:YearAccessed>2021</b:YearAccessed>
    <b:MonthAccessed>2</b:MonthAccessed>
    <b:DayAccessed>1</b:DayAccessed>
    <b:URL>https://www.statistics.gov.hk/pub/B10800032020MM12B0100.pdf</b:URL>
    <b:Month>12</b:Month>
    <b:RefOrder>1</b:RefOrder>
  </b:Source>
  <b:Source>
    <b:Tag>Cen211</b:Tag>
    <b:SourceType>InternetSite</b:SourceType>
    <b:Guid>{AFB68F7A-FD1B-4EC5-9B8C-9C738C28FDD1}</b:Guid>
    <b:Author>
      <b:Author>
        <b:Corporate>Census and Statistics Department</b:Corporate>
      </b:Author>
    </b:Author>
    <b:Title>Labout Force</b:Title>
    <b:Year>2021a</b:Year>
    <b:YearAccessed>2021</b:YearAccessed>
    <b:MonthAccessed>1</b:MonthAccessed>
    <b:DayAccessed>25</b:DayAccessed>
    <b:URL>https://www.censtatd.gov.hk/hkstat/sub/sp200.jsp?tableID=006&amp;ID=0&amp;productType=8</b:URL>
    <b:RefOrder>16</b:RefOrder>
  </b:Source>
  <b:Source>
    <b:Tag>Cen21</b:Tag>
    <b:SourceType>InternetSite</b:SourceType>
    <b:Guid>{3911434D-AFA1-4CD1-B295-9195649FE72B}</b:Guid>
    <b:Author>
      <b:Author>
        <b:Corporate>Census and Statistics Department</b:Corporate>
      </b:Author>
    </b:Author>
    <b:Title>National Income</b:Title>
    <b:Year>2021b</b:Year>
    <b:YearAccessed>2021</b:YearAccessed>
    <b:MonthAccessed>1</b:MonthAccessed>
    <b:DayAccessed>25</b:DayAccessed>
    <b:URL>https://www.censtatd.gov.hk/hkstat/sub/sp250.jsp?tableID=211&amp;ID=0&amp;productType=8#N8</b:URL>
    <b:RefOrder>14</b:RefOrder>
  </b:Source>
  <b:Source>
    <b:Tag>Yiu20</b:Tag>
    <b:SourceType>InternetSite</b:SourceType>
    <b:Guid>{F32C9A6E-2BA7-4261-AEC1-182BEAAFBBC9}</b:Guid>
    <b:Title>‘Revenge spending’ is the new fever, post-Covid-19: Hermès in Guangzhou pulls in the VIP crowds; stores across China see more foot traffic</b:Title>
    <b:Year>2020</b:Year>
    <b:Author>
      <b:Author>
        <b:NameList>
          <b:Person>
            <b:Last>Yiu</b:Last>
            <b:First>Ty</b:First>
          </b:Person>
        </b:NameList>
      </b:Author>
    </b:Author>
    <b:YearAccessed>2021</b:YearAccessed>
    <b:MonthAccessed>2</b:MonthAccessed>
    <b:DayAccessed>5</b:DayAccessed>
    <b:URL>https://www.scmp.com/magazines/style/news-trends/article/3080241/revenge-spending-new-fever-post-covid-19-hermes</b:URL>
    <b:InternetSiteTitle>South China Morning Post</b:InternetSiteTitle>
    <b:Month>4</b:Month>
    <b:Day>17</b:Day>
    <b:RefOrder>2</b:RefOrder>
  </b:Source>
  <b:Source>
    <b:Tag>The20</b:Tag>
    <b:SourceType>InternetSite</b:SourceType>
    <b:Guid>{D97A4451-FAAC-45C7-99C9-69D06A0DF2CD}</b:Guid>
    <b:Author>
      <b:Author>
        <b:Corporate>The Hong Kong Association Of Banks</b:Corporate>
      </b:Author>
    </b:Author>
    <b:Title>HKAB HKD Interest Settlement Rates</b:Title>
    <b:Year>2020</b:Year>
    <b:YearAccessed>2021</b:YearAccessed>
    <b:MonthAccessed>2</b:MonthAccessed>
    <b:DayAccessed>5</b:DayAccessed>
    <b:URL>http://www.hkab.org.hk/DisplayInterestSettlementRatesAction.do?Submit=Search&amp;lang=en&amp;year=2020&amp;month=12&amp;day=31</b:URL>
    <b:RefOrder>18</b:RefOrder>
  </b:Source>
  <b:Source>
    <b:Tag>Yah21</b:Tag>
    <b:SourceType>InternetSite</b:SourceType>
    <b:Guid>{686BDC06-B0F7-4F12-A5A6-E03F9CC7E9EE}</b:Guid>
    <b:Author>
      <b:Author>
        <b:Corporate>Yahoo Finance</b:Corporate>
      </b:Author>
    </b:Author>
    <b:Title>Hang Seng Index (^HSI)</b:Title>
    <b:Year>2021a</b:Year>
    <b:YearAccessed>2021</b:YearAccessed>
    <b:MonthAccessed>2</b:MonthAccessed>
    <b:DayAccessed>15</b:DayAccessed>
    <b:URL>https://hk.finance.yahoo.com/quote/%5EHSI/</b:URL>
    <b:RefOrder>19</b:RefOrder>
  </b:Source>
  <b:Source>
    <b:Tag>Yah1b</b:Tag>
    <b:SourceType>InternetSite</b:SourceType>
    <b:Guid>{7662048B-6BEE-4629-AE69-4AC55CA70CE9}</b:Guid>
    <b:Author>
      <b:Author>
        <b:Corporate>Yahoo Finance</b:Corporate>
      </b:Author>
    </b:Author>
    <b:Title>Chow Tai Fook Jewellery Group Limited (1929.HK)</b:Title>
    <b:Year>2021b</b:Year>
    <b:YearAccessed>2021</b:YearAccessed>
    <b:MonthAccessed>2</b:MonthAccessed>
    <b:DayAccessed>15</b:DayAccessed>
    <b:URL>https://finance.yahoo.com/quote/1929.HK/history?p=1929.HK</b:URL>
    <b:RefOrder>5</b:RefOrder>
  </b:Source>
  <b:Source>
    <b:Tag>IMF21</b:Tag>
    <b:SourceType>InternetSite</b:SourceType>
    <b:Guid>{3D301E94-AA24-4C75-9930-75F9C0EE678B}</b:Guid>
    <b:Author>
      <b:Author>
        <b:Corporate>IMF</b:Corporate>
      </b:Author>
    </b:Author>
    <b:Title>World Economic Outlook Update</b:Title>
    <b:Year>2021</b:Year>
    <b:YearAccessed>2021</b:YearAccessed>
    <b:MonthAccessed>2</b:MonthAccessed>
    <b:DayAccessed>5</b:DayAccessed>
    <b:URL>https://www.imf.org/en/Publications/WEO/Issues/2021/01/26/2021-world-economic-outlook-update</b:URL>
    <b:InternetSiteTitle>International Monetary Fund</b:InternetSiteTitle>
    <b:Month>1</b:Month>
    <b:RefOrder>15</b:RefOrder>
  </b:Source>
  <b:Source>
    <b:Tag>Ken20</b:Tag>
    <b:SourceType>InternetSite</b:SourceType>
    <b:Guid>{401588B3-755F-44A8-99B5-06677C83039B}</b:Guid>
    <b:Author>
      <b:Author>
        <b:NameList>
          <b:Person>
            <b:Last>Kenton</b:Last>
            <b:First>will</b:First>
          </b:Person>
        </b:NameList>
      </b:Author>
    </b:Author>
    <b:Title>Business Continuity Planning</b:Title>
    <b:Year>2020</b:Year>
    <b:YearAccessed>2021</b:YearAccessed>
    <b:MonthAccessed>2</b:MonthAccessed>
    <b:DayAccessed>15</b:DayAccessed>
    <b:URL>https://www.investopedia.com/terms/b/business-continuity-planning.asp</b:URL>
    <b:InternetSiteTitle>Investopedia</b:InternetSiteTitle>
    <b:RefOrder>22</b:RefOrder>
  </b:Source>
</b:Sources>
</file>

<file path=customXml/itemProps1.xml><?xml version="1.0" encoding="utf-8"?>
<ds:datastoreItem xmlns:ds="http://schemas.openxmlformats.org/officeDocument/2006/customXml" ds:itemID="{F623C2FC-C6D5-499B-BCC7-6B9001F3B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19227</TotalTime>
  <Pages>35</Pages>
  <Words>6913</Words>
  <Characters>39405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Tsui, Ed</dc:creator>
  <cp:keywords/>
  <dc:description/>
  <cp:lastModifiedBy>Tsui, Ed</cp:lastModifiedBy>
  <cp:revision>164</cp:revision>
  <cp:lastPrinted>2021-01-02T01:27:00Z</cp:lastPrinted>
  <dcterms:created xsi:type="dcterms:W3CDTF">2020-12-21T09:51:00Z</dcterms:created>
  <dcterms:modified xsi:type="dcterms:W3CDTF">2021-02-21T15:46:00Z</dcterms:modified>
</cp:coreProperties>
</file>