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3FC6" w:rsidRPr="0028464B" w:rsidRDefault="00FF3FC6" w:rsidP="00FF3FC6">
      <w:pPr>
        <w:rPr>
          <w:rFonts w:cs="Arial"/>
          <w:color w:val="auto"/>
          <w:sz w:val="36"/>
          <w:szCs w:val="36"/>
        </w:rPr>
      </w:pPr>
    </w:p>
    <w:p w:rsidR="00FF3FC6" w:rsidRPr="00394854" w:rsidRDefault="00FF3FC6" w:rsidP="00FF3FC6">
      <w:pPr>
        <w:jc w:val="center"/>
        <w:rPr>
          <w:rFonts w:cs="Arial"/>
          <w:color w:val="auto"/>
          <w:sz w:val="36"/>
          <w:szCs w:val="36"/>
          <w:u w:val="single"/>
        </w:rPr>
      </w:pPr>
      <w:r>
        <w:rPr>
          <w:rFonts w:cs="Arial"/>
          <w:color w:val="auto"/>
          <w:sz w:val="36"/>
          <w:szCs w:val="36"/>
          <w:u w:val="single"/>
        </w:rPr>
        <w:t>HRM Issues at Big Buses Limited</w:t>
      </w:r>
    </w:p>
    <w:p w:rsidR="00FF3FC6" w:rsidRPr="0028464B" w:rsidRDefault="00FF3FC6" w:rsidP="00FF3FC6">
      <w:pPr>
        <w:rPr>
          <w:rFonts w:cs="Arial"/>
          <w:color w:val="auto"/>
          <w:sz w:val="36"/>
          <w:szCs w:val="36"/>
        </w:rPr>
      </w:pPr>
    </w:p>
    <w:p w:rsidR="00FF3FC6" w:rsidRPr="0028464B" w:rsidRDefault="00FF3FC6" w:rsidP="00FF3FC6">
      <w:pPr>
        <w:rPr>
          <w:rFonts w:cs="Arial"/>
          <w:color w:val="auto"/>
          <w:sz w:val="36"/>
          <w:szCs w:val="36"/>
        </w:rPr>
      </w:pPr>
      <w:r w:rsidRPr="0028464B">
        <w:rPr>
          <w:rFonts w:cs="Arial"/>
          <w:color w:val="auto"/>
          <w:sz w:val="36"/>
          <w:szCs w:val="36"/>
        </w:rPr>
        <w:t xml:space="preserve">Word Count: </w:t>
      </w:r>
      <w:r w:rsidR="00637727">
        <w:rPr>
          <w:rFonts w:cs="Arial"/>
          <w:color w:val="auto"/>
          <w:sz w:val="36"/>
          <w:szCs w:val="36"/>
        </w:rPr>
        <w:t>48</w:t>
      </w:r>
      <w:r w:rsidR="00D409D3">
        <w:rPr>
          <w:rFonts w:cs="Arial"/>
          <w:color w:val="auto"/>
          <w:sz w:val="36"/>
          <w:szCs w:val="36"/>
        </w:rPr>
        <w:t>48</w:t>
      </w:r>
    </w:p>
    <w:p w:rsidR="00FF3FC6" w:rsidRPr="0028464B" w:rsidRDefault="00FF3FC6" w:rsidP="00FF3FC6">
      <w:pPr>
        <w:rPr>
          <w:rFonts w:cs="Arial"/>
          <w:color w:val="auto"/>
          <w:sz w:val="36"/>
          <w:szCs w:val="36"/>
        </w:rPr>
      </w:pPr>
    </w:p>
    <w:p w:rsidR="00FF3FC6" w:rsidRPr="0028464B" w:rsidRDefault="00FF3FC6" w:rsidP="00FF3FC6">
      <w:pPr>
        <w:rPr>
          <w:rFonts w:cs="Arial"/>
          <w:color w:val="auto"/>
          <w:sz w:val="36"/>
          <w:szCs w:val="36"/>
        </w:rPr>
      </w:pPr>
    </w:p>
    <w:p w:rsidR="00FF3FC6" w:rsidRPr="0028464B" w:rsidRDefault="00FF3FC6" w:rsidP="00FF3FC6">
      <w:pPr>
        <w:rPr>
          <w:rFonts w:cs="Arial"/>
          <w:color w:val="auto"/>
          <w:sz w:val="36"/>
          <w:szCs w:val="36"/>
        </w:rPr>
      </w:pPr>
      <w:r w:rsidRPr="0028464B">
        <w:rPr>
          <w:rFonts w:cs="Arial"/>
          <w:color w:val="auto"/>
          <w:sz w:val="36"/>
          <w:szCs w:val="36"/>
        </w:rPr>
        <w:t xml:space="preserve">Qualification: </w:t>
      </w:r>
      <w:r>
        <w:rPr>
          <w:rFonts w:cs="Arial"/>
          <w:color w:val="auto"/>
          <w:sz w:val="36"/>
          <w:szCs w:val="36"/>
        </w:rPr>
        <w:t>CIPD Postgraduate Diploma in HRM</w:t>
      </w:r>
    </w:p>
    <w:p w:rsidR="00FF3FC6" w:rsidRPr="0028464B" w:rsidRDefault="00FF3FC6" w:rsidP="00FF3FC6">
      <w:pPr>
        <w:rPr>
          <w:rFonts w:cs="Arial"/>
          <w:color w:val="auto"/>
          <w:sz w:val="36"/>
          <w:szCs w:val="36"/>
        </w:rPr>
      </w:pPr>
    </w:p>
    <w:p w:rsidR="00FF3FC6" w:rsidRDefault="00FF3FC6" w:rsidP="00FF3FC6">
      <w:pPr>
        <w:rPr>
          <w:rFonts w:cs="Arial"/>
          <w:color w:val="auto"/>
          <w:sz w:val="36"/>
          <w:szCs w:val="36"/>
        </w:rPr>
      </w:pPr>
      <w:r w:rsidRPr="0028464B">
        <w:rPr>
          <w:rFonts w:cs="Arial"/>
          <w:color w:val="auto"/>
          <w:sz w:val="36"/>
          <w:szCs w:val="36"/>
        </w:rPr>
        <w:t xml:space="preserve">Module Name: </w:t>
      </w:r>
      <w:r>
        <w:rPr>
          <w:rFonts w:cs="Arial"/>
          <w:color w:val="auto"/>
          <w:sz w:val="36"/>
          <w:szCs w:val="36"/>
        </w:rPr>
        <w:t>Employment Law</w:t>
      </w:r>
    </w:p>
    <w:p w:rsidR="00FF3FC6" w:rsidRPr="0028464B" w:rsidRDefault="00FF3FC6" w:rsidP="00FF3FC6">
      <w:pPr>
        <w:rPr>
          <w:rFonts w:cs="Arial"/>
          <w:color w:val="auto"/>
          <w:sz w:val="36"/>
          <w:szCs w:val="36"/>
        </w:rPr>
      </w:pPr>
      <w:r>
        <w:rPr>
          <w:rFonts w:cs="Arial"/>
          <w:color w:val="auto"/>
          <w:sz w:val="36"/>
          <w:szCs w:val="36"/>
        </w:rPr>
        <w:t>Module Code: BMHR7003</w:t>
      </w:r>
    </w:p>
    <w:p w:rsidR="00FF3FC6" w:rsidRPr="0028464B" w:rsidRDefault="00FF3FC6" w:rsidP="00FF3FC6">
      <w:pPr>
        <w:rPr>
          <w:rFonts w:cs="Arial"/>
          <w:color w:val="auto"/>
          <w:sz w:val="36"/>
          <w:szCs w:val="36"/>
        </w:rPr>
      </w:pPr>
    </w:p>
    <w:p w:rsidR="00FF3FC6" w:rsidRPr="0028464B" w:rsidRDefault="00FF3FC6" w:rsidP="00FF3FC6">
      <w:pPr>
        <w:rPr>
          <w:rFonts w:cs="Arial"/>
          <w:color w:val="auto"/>
          <w:sz w:val="36"/>
          <w:szCs w:val="36"/>
        </w:rPr>
      </w:pPr>
    </w:p>
    <w:p w:rsidR="00FF3FC6" w:rsidRPr="0028464B" w:rsidRDefault="00FF3FC6" w:rsidP="00FF3FC6">
      <w:pPr>
        <w:rPr>
          <w:rFonts w:cs="Arial"/>
          <w:color w:val="auto"/>
          <w:sz w:val="36"/>
          <w:szCs w:val="36"/>
        </w:rPr>
      </w:pPr>
      <w:r w:rsidRPr="0028464B">
        <w:rPr>
          <w:rFonts w:cs="Arial"/>
          <w:color w:val="auto"/>
          <w:sz w:val="36"/>
          <w:szCs w:val="36"/>
        </w:rPr>
        <w:t>Student Name: Katy Barron</w:t>
      </w:r>
    </w:p>
    <w:p w:rsidR="00FF3FC6" w:rsidRPr="0028464B" w:rsidRDefault="00FF3FC6" w:rsidP="00FF3FC6">
      <w:pPr>
        <w:rPr>
          <w:rFonts w:cs="Arial"/>
          <w:color w:val="auto"/>
          <w:sz w:val="36"/>
          <w:szCs w:val="36"/>
        </w:rPr>
      </w:pPr>
      <w:r w:rsidRPr="0028464B">
        <w:rPr>
          <w:rFonts w:cs="Arial"/>
          <w:color w:val="auto"/>
          <w:sz w:val="36"/>
          <w:szCs w:val="36"/>
        </w:rPr>
        <w:t xml:space="preserve">Student Number: 1811083 </w:t>
      </w:r>
    </w:p>
    <w:p w:rsidR="00FF3FC6" w:rsidRPr="0028464B" w:rsidRDefault="00FF3FC6" w:rsidP="00FF3FC6">
      <w:pPr>
        <w:rPr>
          <w:rFonts w:cs="Arial"/>
          <w:color w:val="auto"/>
          <w:sz w:val="36"/>
          <w:szCs w:val="36"/>
        </w:rPr>
      </w:pPr>
      <w:r w:rsidRPr="0028464B">
        <w:rPr>
          <w:rFonts w:cs="Arial"/>
          <w:color w:val="auto"/>
          <w:sz w:val="36"/>
          <w:szCs w:val="36"/>
        </w:rPr>
        <w:t>CIPD Membership Number: 5339341X</w:t>
      </w:r>
    </w:p>
    <w:p w:rsidR="00FF3FC6" w:rsidRPr="0028464B" w:rsidRDefault="00FF3FC6" w:rsidP="00FF3FC6">
      <w:pPr>
        <w:rPr>
          <w:rFonts w:cs="Arial"/>
          <w:color w:val="auto"/>
          <w:sz w:val="36"/>
          <w:szCs w:val="36"/>
        </w:rPr>
      </w:pPr>
    </w:p>
    <w:p w:rsidR="00FF3FC6" w:rsidRPr="0028464B" w:rsidRDefault="00FF3FC6" w:rsidP="00FF3FC6">
      <w:pPr>
        <w:rPr>
          <w:rFonts w:cs="Arial"/>
          <w:color w:val="auto"/>
          <w:sz w:val="36"/>
          <w:szCs w:val="36"/>
        </w:rPr>
      </w:pPr>
    </w:p>
    <w:p w:rsidR="00FF3FC6" w:rsidRPr="0028464B" w:rsidRDefault="00FF3FC6" w:rsidP="00FF3FC6">
      <w:pPr>
        <w:rPr>
          <w:rFonts w:cs="Arial"/>
          <w:color w:val="auto"/>
          <w:sz w:val="36"/>
          <w:szCs w:val="36"/>
        </w:rPr>
      </w:pPr>
    </w:p>
    <w:p w:rsidR="00FF3FC6" w:rsidRPr="0028464B" w:rsidRDefault="00FF3FC6" w:rsidP="00FF3FC6">
      <w:pPr>
        <w:rPr>
          <w:rFonts w:cs="Arial"/>
          <w:color w:val="auto"/>
          <w:sz w:val="36"/>
          <w:szCs w:val="36"/>
        </w:rPr>
      </w:pPr>
      <w:r w:rsidRPr="0028464B">
        <w:rPr>
          <w:rFonts w:cs="Arial"/>
          <w:color w:val="auto"/>
          <w:sz w:val="36"/>
          <w:szCs w:val="36"/>
        </w:rPr>
        <w:t xml:space="preserve">By signing below, I confirm that the work/evidence presented is my own, unaided work. I understand </w:t>
      </w:r>
      <w:r w:rsidRPr="0028464B">
        <w:rPr>
          <w:rFonts w:cs="Arial"/>
          <w:color w:val="auto"/>
          <w:sz w:val="36"/>
          <w:szCs w:val="36"/>
        </w:rPr>
        <w:lastRenderedPageBreak/>
        <w:t>the regulations pertaining to candidate malpractice and the action that may be taken as a result.</w:t>
      </w:r>
    </w:p>
    <w:p w:rsidR="00FF3FC6" w:rsidRPr="0028464B" w:rsidRDefault="00FF3FC6" w:rsidP="00FF3FC6">
      <w:pPr>
        <w:rPr>
          <w:rFonts w:cs="Arial"/>
          <w:color w:val="auto"/>
          <w:sz w:val="36"/>
          <w:szCs w:val="36"/>
        </w:rPr>
      </w:pPr>
    </w:p>
    <w:p w:rsidR="00FF3FC6" w:rsidRPr="0028464B" w:rsidRDefault="00FF3FC6" w:rsidP="00FF3FC6">
      <w:pPr>
        <w:rPr>
          <w:rFonts w:cs="Arial"/>
          <w:color w:val="auto"/>
          <w:sz w:val="36"/>
          <w:szCs w:val="36"/>
        </w:rPr>
      </w:pPr>
      <w:r w:rsidRPr="0028464B">
        <w:rPr>
          <w:rFonts w:cs="Arial"/>
          <w:color w:val="auto"/>
          <w:sz w:val="36"/>
          <w:szCs w:val="36"/>
        </w:rPr>
        <w:t xml:space="preserve">Signed: </w:t>
      </w:r>
      <w:r>
        <w:rPr>
          <w:noProof/>
          <w:lang w:eastAsia="en-GB"/>
        </w:rPr>
        <w:drawing>
          <wp:inline distT="0" distB="0" distL="0" distR="0" wp14:anchorId="6BA4E03F" wp14:editId="2F3BC4F4">
            <wp:extent cx="882595" cy="334778"/>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6358" t="52624" r="51560" b="40043"/>
                    <a:stretch/>
                  </pic:blipFill>
                  <pic:spPr bwMode="auto">
                    <a:xfrm>
                      <a:off x="0" y="0"/>
                      <a:ext cx="887390" cy="336597"/>
                    </a:xfrm>
                    <a:prstGeom prst="rect">
                      <a:avLst/>
                    </a:prstGeom>
                    <a:ln>
                      <a:noFill/>
                    </a:ln>
                    <a:extLst>
                      <a:ext uri="{53640926-AAD7-44D8-BBD7-CCE9431645EC}">
                        <a14:shadowObscured xmlns:a14="http://schemas.microsoft.com/office/drawing/2010/main"/>
                      </a:ext>
                    </a:extLst>
                  </pic:spPr>
                </pic:pic>
              </a:graphicData>
            </a:graphic>
          </wp:inline>
        </w:drawing>
      </w:r>
    </w:p>
    <w:p w:rsidR="00FF3FC6" w:rsidRDefault="00FF3FC6" w:rsidP="00FF3FC6">
      <w:pPr>
        <w:rPr>
          <w:rFonts w:cs="Arial"/>
          <w:color w:val="auto"/>
          <w:sz w:val="36"/>
          <w:szCs w:val="36"/>
        </w:rPr>
      </w:pPr>
      <w:r w:rsidRPr="0028464B">
        <w:rPr>
          <w:rFonts w:cs="Arial"/>
          <w:color w:val="auto"/>
          <w:sz w:val="36"/>
          <w:szCs w:val="36"/>
        </w:rPr>
        <w:t xml:space="preserve">Date: </w:t>
      </w:r>
      <w:r>
        <w:rPr>
          <w:rFonts w:cs="Arial"/>
          <w:color w:val="auto"/>
          <w:sz w:val="36"/>
          <w:szCs w:val="36"/>
        </w:rPr>
        <w:t>10/0</w:t>
      </w:r>
      <w:r w:rsidR="00637727">
        <w:rPr>
          <w:rFonts w:cs="Arial"/>
          <w:color w:val="auto"/>
          <w:sz w:val="36"/>
          <w:szCs w:val="36"/>
        </w:rPr>
        <w:t>5</w:t>
      </w:r>
      <w:r>
        <w:rPr>
          <w:rFonts w:cs="Arial"/>
          <w:color w:val="auto"/>
          <w:sz w:val="36"/>
          <w:szCs w:val="36"/>
        </w:rPr>
        <w:t>/2021</w:t>
      </w:r>
    </w:p>
    <w:p w:rsidR="00FF3FC6" w:rsidRDefault="00FF3FC6" w:rsidP="00FF3FC6">
      <w:pPr>
        <w:rPr>
          <w:rFonts w:cs="Arial"/>
          <w:color w:val="auto"/>
          <w:sz w:val="36"/>
          <w:szCs w:val="36"/>
        </w:rPr>
      </w:pPr>
    </w:p>
    <w:p w:rsidR="00FF3FC6" w:rsidRDefault="00FF3FC6" w:rsidP="00FF3FC6">
      <w:pPr>
        <w:rPr>
          <w:rFonts w:cs="Arial"/>
          <w:color w:val="auto"/>
          <w:sz w:val="36"/>
          <w:szCs w:val="36"/>
        </w:rPr>
      </w:pPr>
    </w:p>
    <w:p w:rsidR="00FF3FC6" w:rsidRDefault="00FF3FC6" w:rsidP="00FF3FC6">
      <w:pPr>
        <w:rPr>
          <w:rFonts w:cs="Arial"/>
          <w:color w:val="auto"/>
          <w:sz w:val="36"/>
          <w:szCs w:val="36"/>
        </w:rPr>
      </w:pPr>
    </w:p>
    <w:p w:rsidR="00FF3FC6" w:rsidRDefault="00FF3FC6" w:rsidP="00FF3FC6">
      <w:pPr>
        <w:rPr>
          <w:rFonts w:cs="Arial"/>
          <w:color w:val="auto"/>
          <w:sz w:val="36"/>
          <w:szCs w:val="36"/>
        </w:rPr>
      </w:pPr>
    </w:p>
    <w:p w:rsidR="00FF3FC6" w:rsidRDefault="00FF3FC6" w:rsidP="00FF3FC6">
      <w:pPr>
        <w:rPr>
          <w:rFonts w:cs="Arial"/>
          <w:color w:val="auto"/>
          <w:sz w:val="36"/>
          <w:szCs w:val="36"/>
        </w:rPr>
      </w:pPr>
    </w:p>
    <w:p w:rsidR="00FF3FC6" w:rsidRDefault="00FF3FC6" w:rsidP="00FF3FC6">
      <w:pPr>
        <w:rPr>
          <w:rFonts w:cs="Arial"/>
          <w:color w:val="auto"/>
          <w:sz w:val="36"/>
          <w:szCs w:val="36"/>
        </w:rPr>
      </w:pPr>
    </w:p>
    <w:p w:rsidR="00FF3FC6" w:rsidRDefault="00FF3FC6" w:rsidP="00FF3FC6">
      <w:pPr>
        <w:rPr>
          <w:rFonts w:cs="Arial"/>
          <w:color w:val="auto"/>
          <w:sz w:val="36"/>
          <w:szCs w:val="36"/>
        </w:rPr>
      </w:pPr>
    </w:p>
    <w:p w:rsidR="00FF3FC6" w:rsidRDefault="00FF3FC6" w:rsidP="00FF3FC6">
      <w:pPr>
        <w:rPr>
          <w:rFonts w:cs="Arial"/>
          <w:color w:val="auto"/>
          <w:sz w:val="36"/>
          <w:szCs w:val="36"/>
        </w:rPr>
      </w:pPr>
    </w:p>
    <w:p w:rsidR="00FF3FC6" w:rsidRPr="00D74BED" w:rsidRDefault="00FF3FC6" w:rsidP="00274313">
      <w:pPr>
        <w:spacing w:after="50"/>
        <w:rPr>
          <w:rFonts w:cs="Arial"/>
          <w:b/>
          <w:color w:val="auto"/>
          <w:sz w:val="24"/>
          <w:szCs w:val="36"/>
        </w:rPr>
      </w:pPr>
      <w:r w:rsidRPr="00D74BED">
        <w:rPr>
          <w:rFonts w:cs="Arial"/>
          <w:b/>
          <w:color w:val="auto"/>
          <w:sz w:val="24"/>
          <w:szCs w:val="36"/>
        </w:rPr>
        <w:t>Section A</w:t>
      </w:r>
    </w:p>
    <w:p w:rsidR="007E4782" w:rsidRDefault="007E4782" w:rsidP="00274313">
      <w:pPr>
        <w:spacing w:after="50"/>
        <w:rPr>
          <w:sz w:val="16"/>
        </w:rPr>
      </w:pPr>
    </w:p>
    <w:p w:rsidR="00FF3FC6" w:rsidRDefault="00FF3FC6" w:rsidP="00274313">
      <w:pPr>
        <w:spacing w:after="50"/>
        <w:rPr>
          <w:color w:val="auto"/>
          <w:sz w:val="24"/>
          <w:szCs w:val="24"/>
        </w:rPr>
      </w:pPr>
      <w:r w:rsidRPr="00FF3FC6">
        <w:rPr>
          <w:color w:val="auto"/>
          <w:sz w:val="24"/>
          <w:szCs w:val="24"/>
        </w:rPr>
        <w:t xml:space="preserve">Dear </w:t>
      </w:r>
      <w:r w:rsidR="00D74BED" w:rsidRPr="00FF3FC6">
        <w:rPr>
          <w:color w:val="auto"/>
          <w:sz w:val="24"/>
          <w:szCs w:val="24"/>
        </w:rPr>
        <w:t>Mr.</w:t>
      </w:r>
      <w:r w:rsidRPr="00FF3FC6">
        <w:rPr>
          <w:color w:val="auto"/>
          <w:sz w:val="24"/>
          <w:szCs w:val="24"/>
        </w:rPr>
        <w:t xml:space="preserve"> Thomas</w:t>
      </w:r>
    </w:p>
    <w:p w:rsidR="00FF3FC6" w:rsidRPr="00FF3FC6" w:rsidRDefault="00FF3FC6" w:rsidP="00274313">
      <w:pPr>
        <w:spacing w:after="50"/>
        <w:rPr>
          <w:color w:val="auto"/>
          <w:sz w:val="24"/>
          <w:szCs w:val="24"/>
        </w:rPr>
      </w:pPr>
    </w:p>
    <w:p w:rsidR="00FF3FC6" w:rsidRDefault="00FF3FC6" w:rsidP="00274313">
      <w:pPr>
        <w:spacing w:after="50"/>
        <w:rPr>
          <w:color w:val="auto"/>
          <w:sz w:val="24"/>
          <w:szCs w:val="24"/>
        </w:rPr>
      </w:pPr>
      <w:r w:rsidRPr="00FF3FC6">
        <w:rPr>
          <w:color w:val="auto"/>
          <w:sz w:val="24"/>
          <w:szCs w:val="24"/>
        </w:rPr>
        <w:t xml:space="preserve">Further to you receiving notification that Gethin Rees has submitted an ET1 in response to his recent dismissal, you would have received an ET3 form which you are required to complete and return by post or online (Gov, 2021) to the Employment Tribunal (ET) within 28 days of the date stated on the form. If you do not think it will be possible to respond to the response pack within the </w:t>
      </w:r>
      <w:r w:rsidRPr="00FF3FC6">
        <w:rPr>
          <w:color w:val="auto"/>
          <w:sz w:val="24"/>
          <w:szCs w:val="24"/>
        </w:rPr>
        <w:lastRenderedPageBreak/>
        <w:t>time frame, it is possible to request an extension to the 28-day deadline</w:t>
      </w:r>
      <w:r w:rsidR="002F701B">
        <w:rPr>
          <w:color w:val="auto"/>
          <w:sz w:val="24"/>
          <w:szCs w:val="24"/>
        </w:rPr>
        <w:t xml:space="preserve"> (</w:t>
      </w:r>
      <w:r w:rsidR="002F701B" w:rsidRPr="002F701B">
        <w:rPr>
          <w:color w:val="auto"/>
          <w:sz w:val="24"/>
          <w:szCs w:val="24"/>
        </w:rPr>
        <w:t>CIPD,2021a)</w:t>
      </w:r>
      <w:r w:rsidRPr="002F701B">
        <w:rPr>
          <w:color w:val="auto"/>
          <w:sz w:val="24"/>
          <w:szCs w:val="24"/>
        </w:rPr>
        <w:t xml:space="preserve">. </w:t>
      </w:r>
      <w:r w:rsidRPr="00FF3FC6">
        <w:rPr>
          <w:color w:val="auto"/>
          <w:sz w:val="24"/>
          <w:szCs w:val="24"/>
        </w:rPr>
        <w:t>If you fail to meet the deadline, the ET may form a decision against you without a hearing (</w:t>
      </w:r>
      <w:bookmarkStart w:id="0" w:name="_Hlk68004087"/>
      <w:r w:rsidRPr="00FF3FC6">
        <w:rPr>
          <w:color w:val="auto"/>
          <w:sz w:val="24"/>
          <w:szCs w:val="24"/>
        </w:rPr>
        <w:t>Employment Tribunal (Constitution and Rules of Procedure) Regulations 2013).</w:t>
      </w:r>
      <w:bookmarkEnd w:id="0"/>
      <w:r w:rsidRPr="00FF3FC6">
        <w:rPr>
          <w:color w:val="auto"/>
          <w:sz w:val="24"/>
          <w:szCs w:val="24"/>
        </w:rPr>
        <w:t xml:space="preserve"> Once the time frame has expired, the case will be filed for trial in the ET. </w:t>
      </w:r>
    </w:p>
    <w:p w:rsidR="00FF3FC6" w:rsidRPr="00FF3FC6" w:rsidRDefault="00FF3FC6" w:rsidP="00274313">
      <w:pPr>
        <w:spacing w:after="50"/>
        <w:rPr>
          <w:color w:val="auto"/>
          <w:sz w:val="24"/>
          <w:szCs w:val="24"/>
        </w:rPr>
      </w:pPr>
    </w:p>
    <w:p w:rsidR="00FF3FC6" w:rsidRPr="00FF3FC6" w:rsidRDefault="00FF3FC6" w:rsidP="00274313">
      <w:pPr>
        <w:spacing w:after="50"/>
        <w:rPr>
          <w:color w:val="auto"/>
          <w:sz w:val="24"/>
          <w:szCs w:val="24"/>
        </w:rPr>
      </w:pPr>
      <w:r w:rsidRPr="00FF3FC6">
        <w:rPr>
          <w:color w:val="auto"/>
          <w:sz w:val="24"/>
          <w:szCs w:val="24"/>
        </w:rPr>
        <w:t xml:space="preserve">When completing the ET3 you must confirm Big Buses Ltd company details, ACAS Early Conciliation details, Gethin’s employment details, earnings and benefits, if and how you intend to defend the claim, and details of the company’s representative. </w:t>
      </w:r>
    </w:p>
    <w:p w:rsidR="00FF3FC6" w:rsidRDefault="00FF3FC6" w:rsidP="00274313">
      <w:pPr>
        <w:spacing w:after="50"/>
        <w:rPr>
          <w:color w:val="auto"/>
          <w:sz w:val="24"/>
          <w:szCs w:val="24"/>
        </w:rPr>
      </w:pPr>
      <w:r w:rsidRPr="00FF3FC6">
        <w:rPr>
          <w:color w:val="auto"/>
          <w:sz w:val="24"/>
          <w:szCs w:val="24"/>
        </w:rPr>
        <w:t>In some circumstances, you may be invited to a preliminary hearing which allows for further clarification before the main hearing can take place. At this point, the Employment Judge may strike out any claims that they deem to be unlikely to succeed (Daniels, 2019).</w:t>
      </w:r>
    </w:p>
    <w:p w:rsidR="00FF3FC6" w:rsidRPr="00FF3FC6" w:rsidRDefault="00FF3FC6" w:rsidP="00274313">
      <w:pPr>
        <w:spacing w:after="50"/>
        <w:rPr>
          <w:color w:val="auto"/>
          <w:sz w:val="24"/>
          <w:szCs w:val="24"/>
        </w:rPr>
      </w:pPr>
    </w:p>
    <w:p w:rsidR="00637727" w:rsidRPr="00637727" w:rsidRDefault="00637727" w:rsidP="00274313">
      <w:pPr>
        <w:spacing w:after="50"/>
        <w:rPr>
          <w:b/>
          <w:color w:val="auto"/>
          <w:sz w:val="24"/>
          <w:szCs w:val="24"/>
          <w:u w:val="single"/>
        </w:rPr>
      </w:pPr>
      <w:r w:rsidRPr="00637727">
        <w:rPr>
          <w:b/>
          <w:color w:val="auto"/>
          <w:sz w:val="24"/>
          <w:szCs w:val="24"/>
          <w:u w:val="single"/>
        </w:rPr>
        <w:t>Potential claims</w:t>
      </w:r>
    </w:p>
    <w:p w:rsidR="00637727" w:rsidRDefault="00637727" w:rsidP="00274313">
      <w:pPr>
        <w:spacing w:after="50"/>
        <w:rPr>
          <w:color w:val="auto"/>
          <w:sz w:val="24"/>
          <w:szCs w:val="24"/>
        </w:rPr>
      </w:pPr>
    </w:p>
    <w:p w:rsidR="00FF3FC6" w:rsidRDefault="00FF3FC6" w:rsidP="00274313">
      <w:pPr>
        <w:spacing w:after="50"/>
        <w:rPr>
          <w:color w:val="auto"/>
          <w:sz w:val="24"/>
          <w:szCs w:val="24"/>
        </w:rPr>
      </w:pPr>
      <w:r w:rsidRPr="00FF3FC6">
        <w:rPr>
          <w:color w:val="auto"/>
          <w:sz w:val="24"/>
          <w:szCs w:val="24"/>
        </w:rPr>
        <w:t>From reading the documents provided to me, I believe Gethin has grounds to bring four</w:t>
      </w:r>
      <w:r w:rsidR="00D409D3">
        <w:rPr>
          <w:color w:val="auto"/>
          <w:sz w:val="24"/>
          <w:szCs w:val="24"/>
        </w:rPr>
        <w:t xml:space="preserve"> possible</w:t>
      </w:r>
      <w:r w:rsidRPr="00FF3FC6">
        <w:rPr>
          <w:color w:val="auto"/>
          <w:sz w:val="24"/>
          <w:szCs w:val="24"/>
        </w:rPr>
        <w:t xml:space="preserve"> claims forwards.</w:t>
      </w:r>
    </w:p>
    <w:p w:rsidR="00FF3FC6" w:rsidRPr="00FF3FC6" w:rsidRDefault="00FF3FC6" w:rsidP="00274313">
      <w:pPr>
        <w:spacing w:after="50"/>
        <w:rPr>
          <w:color w:val="auto"/>
          <w:sz w:val="24"/>
          <w:szCs w:val="24"/>
        </w:rPr>
      </w:pPr>
    </w:p>
    <w:p w:rsidR="00FF3FC6" w:rsidRPr="00FF3FC6" w:rsidRDefault="00FF3FC6" w:rsidP="00274313">
      <w:pPr>
        <w:spacing w:after="50"/>
        <w:rPr>
          <w:color w:val="auto"/>
          <w:sz w:val="24"/>
          <w:szCs w:val="24"/>
          <w:u w:val="single"/>
        </w:rPr>
      </w:pPr>
      <w:r w:rsidRPr="00FF3FC6">
        <w:rPr>
          <w:color w:val="auto"/>
          <w:sz w:val="24"/>
          <w:szCs w:val="24"/>
          <w:u w:val="single"/>
        </w:rPr>
        <w:t>Ordinary unfair dismissal</w:t>
      </w:r>
    </w:p>
    <w:p w:rsidR="00FF3FC6" w:rsidRDefault="00FF3FC6" w:rsidP="00274313">
      <w:pPr>
        <w:spacing w:after="50"/>
        <w:rPr>
          <w:color w:val="auto"/>
          <w:sz w:val="24"/>
          <w:szCs w:val="24"/>
        </w:rPr>
      </w:pPr>
      <w:r w:rsidRPr="00FF3FC6">
        <w:rPr>
          <w:color w:val="auto"/>
          <w:sz w:val="24"/>
          <w:szCs w:val="24"/>
        </w:rPr>
        <w:t xml:space="preserve">Firstly, it may be possible for Gethin to raise an ordinary unfair dismissal due to the investigation and dismissal process not being fairly followed as outlined by ACAS (2021). In accordance to the </w:t>
      </w:r>
      <w:r w:rsidRPr="00FF3FC6">
        <w:rPr>
          <w:i/>
          <w:color w:val="auto"/>
          <w:sz w:val="24"/>
          <w:szCs w:val="24"/>
        </w:rPr>
        <w:t>British Home Stores v Burchall 1977</w:t>
      </w:r>
      <w:r w:rsidRPr="00FF3FC6">
        <w:rPr>
          <w:color w:val="auto"/>
          <w:sz w:val="24"/>
          <w:szCs w:val="24"/>
        </w:rPr>
        <w:t xml:space="preserve"> case, in order to fairly dismiss for misconduct, the burden of proof on the balance of probability lies with the employer to show that there was genuine belief, based on reasonable grounds and investigation, that the employee had committed the misconduct accused of. </w:t>
      </w:r>
    </w:p>
    <w:p w:rsidR="00FF3FC6" w:rsidRPr="00FF3FC6" w:rsidRDefault="00FF3FC6" w:rsidP="00274313">
      <w:pPr>
        <w:spacing w:after="50"/>
        <w:rPr>
          <w:color w:val="auto"/>
          <w:sz w:val="24"/>
          <w:szCs w:val="24"/>
        </w:rPr>
      </w:pPr>
    </w:p>
    <w:p w:rsidR="00FF3FC6" w:rsidRDefault="00FF3FC6" w:rsidP="00274313">
      <w:pPr>
        <w:spacing w:after="50"/>
        <w:rPr>
          <w:color w:val="auto"/>
          <w:sz w:val="24"/>
          <w:szCs w:val="24"/>
        </w:rPr>
      </w:pPr>
      <w:r w:rsidRPr="00FF3FC6">
        <w:rPr>
          <w:color w:val="auto"/>
          <w:sz w:val="24"/>
          <w:szCs w:val="24"/>
        </w:rPr>
        <w:t xml:space="preserve">This test needs to be satisfied in order for the dismissal to be deemed as fair. The provided documents do not show that Gethin was given fair or reasonable opportunity during this investigation to comment on the case against him due to lack of sharing of evidence and witness statements. The investigating officer was also involved as a witness in the incident, therefore the process should have been managed by an independent party (ERA 1996, Section 98). </w:t>
      </w:r>
    </w:p>
    <w:p w:rsidR="00FF3FC6" w:rsidRPr="00FF3FC6" w:rsidRDefault="00FF3FC6" w:rsidP="00274313">
      <w:pPr>
        <w:spacing w:after="50"/>
        <w:rPr>
          <w:color w:val="auto"/>
          <w:sz w:val="24"/>
          <w:szCs w:val="24"/>
          <w:highlight w:val="yellow"/>
        </w:rPr>
      </w:pPr>
    </w:p>
    <w:p w:rsidR="00FF3FC6" w:rsidRDefault="00FF3FC6" w:rsidP="00274313">
      <w:pPr>
        <w:spacing w:after="50"/>
        <w:rPr>
          <w:color w:val="auto"/>
          <w:sz w:val="24"/>
          <w:szCs w:val="24"/>
          <w:u w:val="single"/>
        </w:rPr>
      </w:pPr>
      <w:r w:rsidRPr="00FF3FC6">
        <w:rPr>
          <w:color w:val="auto"/>
          <w:sz w:val="24"/>
          <w:szCs w:val="24"/>
          <w:u w:val="single"/>
        </w:rPr>
        <w:t>Wrongful dismissal</w:t>
      </w:r>
    </w:p>
    <w:p w:rsidR="00FF3FC6" w:rsidRPr="00FF3FC6" w:rsidRDefault="00FF3FC6" w:rsidP="00274313">
      <w:pPr>
        <w:spacing w:after="50"/>
        <w:rPr>
          <w:color w:val="auto"/>
          <w:sz w:val="24"/>
          <w:szCs w:val="24"/>
          <w:u w:val="single"/>
        </w:rPr>
      </w:pPr>
    </w:p>
    <w:p w:rsidR="00FF3FC6" w:rsidRDefault="00FF3FC6" w:rsidP="00274313">
      <w:pPr>
        <w:spacing w:after="50"/>
        <w:rPr>
          <w:color w:val="auto"/>
          <w:sz w:val="24"/>
          <w:szCs w:val="24"/>
        </w:rPr>
      </w:pPr>
      <w:r w:rsidRPr="00FF3FC6">
        <w:rPr>
          <w:color w:val="auto"/>
          <w:sz w:val="24"/>
          <w:szCs w:val="24"/>
        </w:rPr>
        <w:t>Big Buses Ltd failed to pay Gethin his notice, as well as any possible accrued holiday and pension contributions. Failure to do so is in breach of the written or oral terms of the contract of employment and is deemed as a wrongful dismissal (CIPD, 2020a).</w:t>
      </w:r>
    </w:p>
    <w:p w:rsidR="00FF3FC6" w:rsidRDefault="00FF3FC6" w:rsidP="00274313">
      <w:pPr>
        <w:spacing w:after="50"/>
        <w:rPr>
          <w:color w:val="auto"/>
          <w:sz w:val="24"/>
          <w:szCs w:val="24"/>
        </w:rPr>
      </w:pPr>
    </w:p>
    <w:p w:rsidR="00FF3FC6" w:rsidRDefault="00FF3FC6" w:rsidP="00274313">
      <w:pPr>
        <w:spacing w:after="50"/>
        <w:rPr>
          <w:color w:val="auto"/>
          <w:sz w:val="24"/>
          <w:szCs w:val="24"/>
        </w:rPr>
      </w:pPr>
    </w:p>
    <w:p w:rsidR="00FF3FC6" w:rsidRPr="00FF3FC6" w:rsidRDefault="00FF3FC6" w:rsidP="00274313">
      <w:pPr>
        <w:spacing w:after="50"/>
        <w:rPr>
          <w:color w:val="auto"/>
          <w:sz w:val="24"/>
          <w:szCs w:val="24"/>
        </w:rPr>
      </w:pPr>
    </w:p>
    <w:p w:rsidR="00FF3FC6" w:rsidRDefault="00FF3FC6" w:rsidP="00274313">
      <w:pPr>
        <w:spacing w:after="50"/>
        <w:rPr>
          <w:color w:val="auto"/>
          <w:sz w:val="24"/>
          <w:szCs w:val="24"/>
          <w:u w:val="single"/>
        </w:rPr>
      </w:pPr>
      <w:r w:rsidRPr="00FF3FC6">
        <w:rPr>
          <w:color w:val="auto"/>
          <w:sz w:val="24"/>
          <w:szCs w:val="24"/>
          <w:u w:val="single"/>
        </w:rPr>
        <w:t xml:space="preserve">Automatic unfair dismissal due to Whistleblowing </w:t>
      </w:r>
    </w:p>
    <w:p w:rsidR="00FF3FC6" w:rsidRPr="00FF3FC6" w:rsidRDefault="00FF3FC6" w:rsidP="00274313">
      <w:pPr>
        <w:spacing w:after="50"/>
        <w:rPr>
          <w:color w:val="auto"/>
          <w:sz w:val="24"/>
          <w:szCs w:val="24"/>
          <w:u w:val="single"/>
        </w:rPr>
      </w:pPr>
    </w:p>
    <w:p w:rsidR="00FF3FC6" w:rsidRPr="00FF3FC6" w:rsidRDefault="00FF3FC6" w:rsidP="00274313">
      <w:pPr>
        <w:spacing w:after="50"/>
        <w:rPr>
          <w:color w:val="auto"/>
          <w:sz w:val="24"/>
          <w:szCs w:val="24"/>
        </w:rPr>
      </w:pPr>
      <w:r w:rsidRPr="00FF3FC6">
        <w:rPr>
          <w:color w:val="auto"/>
          <w:sz w:val="24"/>
          <w:szCs w:val="24"/>
        </w:rPr>
        <w:t>As Gethin has previously raised concerns and a legitimate protected disclosure regarding health and safety issues within his working environment, and was subsequently dismissed following an investigation, Gethin has grounds to raise a claim for automatic unfair dismissal due to being a whistle-blower. Section 103A of the ERA (1996) state that an employee has been unfairly dismissed if the main reason for the dismissal is because they raised a protected disclosure. There is no minimum length of service requirement to bring a claim relating to whistleblowing.</w:t>
      </w:r>
    </w:p>
    <w:p w:rsidR="00FF3FC6" w:rsidRDefault="00FF3FC6" w:rsidP="00274313">
      <w:pPr>
        <w:spacing w:after="50"/>
        <w:rPr>
          <w:color w:val="auto"/>
          <w:sz w:val="24"/>
          <w:szCs w:val="24"/>
        </w:rPr>
      </w:pPr>
      <w:r w:rsidRPr="00FF3FC6">
        <w:rPr>
          <w:color w:val="auto"/>
          <w:sz w:val="24"/>
          <w:szCs w:val="24"/>
        </w:rPr>
        <w:lastRenderedPageBreak/>
        <w:t>To qualify as a protect disclosure, the employee must have genuine belief that one of the following concerns is occurring</w:t>
      </w:r>
      <w:r w:rsidR="00637727">
        <w:rPr>
          <w:color w:val="auto"/>
          <w:sz w:val="24"/>
          <w:szCs w:val="24"/>
        </w:rPr>
        <w:t xml:space="preserve"> (Taylor and Wilkinson, 2016)</w:t>
      </w:r>
      <w:r w:rsidRPr="00FF3FC6">
        <w:rPr>
          <w:color w:val="auto"/>
          <w:sz w:val="24"/>
          <w:szCs w:val="24"/>
        </w:rPr>
        <w:t xml:space="preserve">; </w:t>
      </w:r>
    </w:p>
    <w:p w:rsidR="00FF3FC6" w:rsidRPr="00FF3FC6" w:rsidRDefault="00FF3FC6" w:rsidP="00274313">
      <w:pPr>
        <w:spacing w:after="50"/>
        <w:rPr>
          <w:color w:val="auto"/>
          <w:sz w:val="24"/>
          <w:szCs w:val="24"/>
        </w:rPr>
      </w:pPr>
    </w:p>
    <w:p w:rsidR="00FF3FC6" w:rsidRDefault="00FF3FC6" w:rsidP="00274313">
      <w:pPr>
        <w:spacing w:after="50"/>
        <w:rPr>
          <w:color w:val="auto"/>
          <w:sz w:val="24"/>
          <w:szCs w:val="24"/>
        </w:rPr>
      </w:pPr>
      <w:r w:rsidRPr="00FF3FC6">
        <w:rPr>
          <w:color w:val="auto"/>
          <w:sz w:val="24"/>
          <w:szCs w:val="24"/>
        </w:rPr>
        <w:t>A criminal offence</w:t>
      </w:r>
      <w:r w:rsidRPr="00FF3FC6">
        <w:rPr>
          <w:color w:val="auto"/>
          <w:sz w:val="24"/>
          <w:szCs w:val="24"/>
        </w:rPr>
        <w:br/>
        <w:t>The breach of legal obligation</w:t>
      </w:r>
      <w:r w:rsidRPr="00FF3FC6">
        <w:rPr>
          <w:color w:val="auto"/>
          <w:sz w:val="24"/>
          <w:szCs w:val="24"/>
        </w:rPr>
        <w:br/>
        <w:t>Miscarriage of justice</w:t>
      </w:r>
      <w:r w:rsidRPr="00FF3FC6">
        <w:rPr>
          <w:color w:val="auto"/>
          <w:sz w:val="24"/>
          <w:szCs w:val="24"/>
        </w:rPr>
        <w:br/>
        <w:t>Danger to the Health and Safety of individuals</w:t>
      </w:r>
      <w:r w:rsidRPr="00FF3FC6">
        <w:rPr>
          <w:color w:val="auto"/>
          <w:sz w:val="24"/>
          <w:szCs w:val="24"/>
        </w:rPr>
        <w:br/>
        <w:t>Damage to the environment</w:t>
      </w:r>
      <w:r w:rsidRPr="00FF3FC6">
        <w:rPr>
          <w:color w:val="auto"/>
          <w:sz w:val="24"/>
          <w:szCs w:val="24"/>
        </w:rPr>
        <w:br/>
        <w:t>Deliberate attempt to hide any of the above</w:t>
      </w:r>
    </w:p>
    <w:p w:rsidR="00FF3FC6" w:rsidRPr="00FF3FC6" w:rsidRDefault="00FF3FC6" w:rsidP="00274313">
      <w:pPr>
        <w:spacing w:after="50"/>
        <w:rPr>
          <w:color w:val="auto"/>
          <w:sz w:val="24"/>
          <w:szCs w:val="24"/>
        </w:rPr>
      </w:pPr>
    </w:p>
    <w:p w:rsidR="00FF3FC6" w:rsidRDefault="00FF3FC6" w:rsidP="00274313">
      <w:pPr>
        <w:spacing w:after="50"/>
        <w:rPr>
          <w:color w:val="auto"/>
          <w:sz w:val="24"/>
          <w:szCs w:val="24"/>
        </w:rPr>
      </w:pPr>
      <w:r w:rsidRPr="00FF3FC6">
        <w:rPr>
          <w:color w:val="auto"/>
          <w:sz w:val="24"/>
          <w:szCs w:val="24"/>
        </w:rPr>
        <w:t>Gethin claims to have complained about his colleagues not wearing the face masks despite it being a requirement. Big Buses Ltd has not shown any enforcement of wearing such masks and has failed to keep the premises COVID-19 secure in line with Health and Safety guidelines (HSE, 2021) and Coronavirus Act (2020).</w:t>
      </w:r>
    </w:p>
    <w:p w:rsidR="00FF3FC6" w:rsidRPr="00FF3FC6" w:rsidRDefault="00FF3FC6" w:rsidP="00274313">
      <w:pPr>
        <w:spacing w:after="50"/>
        <w:rPr>
          <w:color w:val="auto"/>
          <w:sz w:val="24"/>
          <w:szCs w:val="24"/>
        </w:rPr>
      </w:pPr>
    </w:p>
    <w:p w:rsidR="00FF3FC6" w:rsidRDefault="00FF3FC6" w:rsidP="00274313">
      <w:pPr>
        <w:spacing w:after="50"/>
        <w:rPr>
          <w:color w:val="auto"/>
          <w:sz w:val="24"/>
          <w:szCs w:val="24"/>
          <w:u w:val="single"/>
        </w:rPr>
      </w:pPr>
      <w:r w:rsidRPr="00FF3FC6">
        <w:rPr>
          <w:color w:val="auto"/>
          <w:sz w:val="24"/>
          <w:szCs w:val="24"/>
          <w:u w:val="single"/>
        </w:rPr>
        <w:t xml:space="preserve">Section 100 automatic unfair dismissal </w:t>
      </w:r>
    </w:p>
    <w:p w:rsidR="00FF3FC6" w:rsidRPr="00FF3FC6" w:rsidRDefault="00FF3FC6" w:rsidP="00274313">
      <w:pPr>
        <w:spacing w:after="50"/>
        <w:rPr>
          <w:color w:val="auto"/>
          <w:sz w:val="24"/>
          <w:szCs w:val="24"/>
          <w:u w:val="single"/>
        </w:rPr>
      </w:pPr>
    </w:p>
    <w:p w:rsidR="00FF3FC6" w:rsidRDefault="00FF3FC6" w:rsidP="00274313">
      <w:pPr>
        <w:spacing w:after="50"/>
        <w:rPr>
          <w:color w:val="auto"/>
          <w:sz w:val="24"/>
          <w:szCs w:val="24"/>
        </w:rPr>
      </w:pPr>
      <w:r w:rsidRPr="00FF3FC6">
        <w:rPr>
          <w:color w:val="auto"/>
          <w:sz w:val="24"/>
          <w:szCs w:val="24"/>
        </w:rPr>
        <w:t>Similarly, to whistleblowing, if the employee works at an organisation with no safety committee and brought these concerns to the employer’s attention by reasonable means, and that these concerns are harmful or potentially harmful to health and safety, and have subsequently been dismissed in relation to raising these concerns, then this will be deemed an unfair dismissal in accordance to Section 100 of the ERA 1996.</w:t>
      </w:r>
    </w:p>
    <w:p w:rsidR="00FF3FC6" w:rsidRPr="00FF3FC6" w:rsidRDefault="00FF3FC6" w:rsidP="00274313">
      <w:pPr>
        <w:spacing w:after="50"/>
        <w:rPr>
          <w:color w:val="auto"/>
          <w:sz w:val="24"/>
          <w:szCs w:val="24"/>
        </w:rPr>
      </w:pPr>
    </w:p>
    <w:p w:rsidR="00FF3FC6" w:rsidRDefault="00FF3FC6" w:rsidP="00274313">
      <w:pPr>
        <w:spacing w:after="50"/>
        <w:rPr>
          <w:color w:val="auto"/>
          <w:sz w:val="24"/>
          <w:szCs w:val="24"/>
        </w:rPr>
      </w:pPr>
      <w:r w:rsidRPr="00FF3FC6">
        <w:rPr>
          <w:color w:val="auto"/>
          <w:sz w:val="24"/>
          <w:szCs w:val="24"/>
        </w:rPr>
        <w:t>Gethin qualifies to make a claim of ordinary unfair dismissal due to have minimum of 2 years’ continuous service. There is no qualifying period required to raise a claim of wrongful dismissal, automatic unfair dismissal relating to whistleblowing or section 100.</w:t>
      </w:r>
    </w:p>
    <w:p w:rsidR="00FF3FC6" w:rsidRPr="00FF3FC6" w:rsidRDefault="00FF3FC6" w:rsidP="00274313">
      <w:pPr>
        <w:spacing w:after="50"/>
        <w:rPr>
          <w:color w:val="auto"/>
          <w:sz w:val="24"/>
          <w:szCs w:val="24"/>
        </w:rPr>
      </w:pPr>
    </w:p>
    <w:p w:rsidR="00FF3FC6" w:rsidRDefault="00FF3FC6" w:rsidP="00274313">
      <w:pPr>
        <w:spacing w:after="50"/>
        <w:rPr>
          <w:color w:val="auto"/>
          <w:sz w:val="24"/>
          <w:szCs w:val="24"/>
        </w:rPr>
      </w:pPr>
      <w:r w:rsidRPr="00FF3FC6">
        <w:rPr>
          <w:color w:val="auto"/>
          <w:sz w:val="24"/>
          <w:szCs w:val="24"/>
        </w:rPr>
        <w:t xml:space="preserve">Assuming you will be responding to the ET3 stating you will be defending the claims brought by Gethin, I have outlined the defenses available for the claims. </w:t>
      </w:r>
    </w:p>
    <w:p w:rsidR="00FF3FC6" w:rsidRPr="00FF3FC6" w:rsidRDefault="00FF3FC6" w:rsidP="00274313">
      <w:pPr>
        <w:spacing w:after="50"/>
        <w:rPr>
          <w:color w:val="auto"/>
          <w:sz w:val="24"/>
          <w:szCs w:val="24"/>
        </w:rPr>
      </w:pPr>
    </w:p>
    <w:p w:rsidR="00FF3FC6" w:rsidRDefault="00FF3FC6" w:rsidP="00274313">
      <w:pPr>
        <w:spacing w:after="50"/>
        <w:rPr>
          <w:b/>
          <w:color w:val="auto"/>
          <w:sz w:val="24"/>
          <w:szCs w:val="24"/>
          <w:u w:val="single"/>
        </w:rPr>
      </w:pPr>
      <w:r w:rsidRPr="00FF3FC6">
        <w:rPr>
          <w:b/>
          <w:color w:val="auto"/>
          <w:sz w:val="24"/>
          <w:szCs w:val="24"/>
          <w:u w:val="single"/>
        </w:rPr>
        <w:t>How to defend gross misconduct?</w:t>
      </w:r>
    </w:p>
    <w:p w:rsidR="00FF3FC6" w:rsidRPr="00FF3FC6" w:rsidRDefault="00FF3FC6" w:rsidP="00274313">
      <w:pPr>
        <w:spacing w:after="50"/>
        <w:rPr>
          <w:b/>
          <w:color w:val="auto"/>
          <w:sz w:val="24"/>
          <w:szCs w:val="24"/>
          <w:u w:val="single"/>
        </w:rPr>
      </w:pPr>
    </w:p>
    <w:p w:rsidR="00FF3FC6" w:rsidRDefault="00FF3FC6" w:rsidP="00274313">
      <w:pPr>
        <w:spacing w:after="50"/>
        <w:rPr>
          <w:color w:val="auto"/>
          <w:sz w:val="24"/>
          <w:szCs w:val="24"/>
          <w:u w:val="single"/>
        </w:rPr>
      </w:pPr>
      <w:r w:rsidRPr="00FF3FC6">
        <w:rPr>
          <w:color w:val="auto"/>
          <w:sz w:val="24"/>
          <w:szCs w:val="24"/>
          <w:u w:val="single"/>
        </w:rPr>
        <w:t>Ordinary unfair dismissal</w:t>
      </w:r>
    </w:p>
    <w:p w:rsidR="00FF3FC6" w:rsidRPr="00FF3FC6" w:rsidRDefault="00FF3FC6" w:rsidP="00274313">
      <w:pPr>
        <w:spacing w:after="50"/>
        <w:rPr>
          <w:color w:val="auto"/>
          <w:sz w:val="24"/>
          <w:szCs w:val="24"/>
          <w:u w:val="single"/>
        </w:rPr>
      </w:pPr>
    </w:p>
    <w:p w:rsidR="00FF3FC6" w:rsidRDefault="00FF3FC6" w:rsidP="00274313">
      <w:pPr>
        <w:spacing w:after="50"/>
        <w:rPr>
          <w:color w:val="auto"/>
          <w:sz w:val="24"/>
          <w:szCs w:val="24"/>
        </w:rPr>
      </w:pPr>
      <w:r w:rsidRPr="00FF3FC6">
        <w:rPr>
          <w:color w:val="auto"/>
          <w:sz w:val="24"/>
          <w:szCs w:val="24"/>
        </w:rPr>
        <w:t xml:space="preserve">Established policies would usually outline </w:t>
      </w:r>
      <w:r w:rsidR="00D74BED" w:rsidRPr="00FF3FC6">
        <w:rPr>
          <w:color w:val="auto"/>
          <w:sz w:val="24"/>
          <w:szCs w:val="24"/>
        </w:rPr>
        <w:t>behaviors</w:t>
      </w:r>
      <w:r w:rsidRPr="00FF3FC6">
        <w:rPr>
          <w:color w:val="auto"/>
          <w:sz w:val="24"/>
          <w:szCs w:val="24"/>
        </w:rPr>
        <w:t xml:space="preserve"> that would be regarded as gross misconduct, with physical violence being one. The investigation report does not show that any of the witnesses who provided statements were witness to any provocative </w:t>
      </w:r>
      <w:r w:rsidR="00D74BED" w:rsidRPr="00FF3FC6">
        <w:rPr>
          <w:color w:val="auto"/>
          <w:sz w:val="24"/>
          <w:szCs w:val="24"/>
        </w:rPr>
        <w:t>behavior</w:t>
      </w:r>
      <w:r w:rsidRPr="00FF3FC6">
        <w:rPr>
          <w:color w:val="auto"/>
          <w:sz w:val="24"/>
          <w:szCs w:val="24"/>
        </w:rPr>
        <w:t xml:space="preserve"> by Robert Twist. Steve Smith did however witness an altercation between Gethin and Robert to which there was upturned workshop equipment and spilled chemicals, with Gethin approaching Steve in his officer shortly after without a mask on. </w:t>
      </w:r>
    </w:p>
    <w:p w:rsidR="00FF3FC6" w:rsidRPr="00FF3FC6" w:rsidRDefault="00FF3FC6" w:rsidP="00274313">
      <w:pPr>
        <w:spacing w:after="50"/>
        <w:rPr>
          <w:color w:val="auto"/>
          <w:sz w:val="24"/>
          <w:szCs w:val="24"/>
        </w:rPr>
      </w:pPr>
    </w:p>
    <w:p w:rsidR="00FF3FC6" w:rsidRDefault="00FF3FC6" w:rsidP="00274313">
      <w:pPr>
        <w:spacing w:after="50"/>
        <w:rPr>
          <w:color w:val="auto"/>
          <w:sz w:val="24"/>
          <w:szCs w:val="24"/>
        </w:rPr>
      </w:pPr>
      <w:r w:rsidRPr="00FF3FC6">
        <w:rPr>
          <w:color w:val="auto"/>
          <w:sz w:val="24"/>
          <w:szCs w:val="24"/>
        </w:rPr>
        <w:t>Therefore, based on the witness statements, not having any evidence that Robert provoked Gethin and with Robert denying provoking Gethin, a genuine belief held on reasonable ground following a reasonable investigation concluded that the employee conducted gross misconduct.</w:t>
      </w:r>
    </w:p>
    <w:p w:rsidR="00FF3FC6" w:rsidRPr="00FF3FC6" w:rsidRDefault="00FF3FC6" w:rsidP="00274313">
      <w:pPr>
        <w:spacing w:after="50"/>
        <w:rPr>
          <w:color w:val="auto"/>
          <w:sz w:val="24"/>
          <w:szCs w:val="24"/>
        </w:rPr>
      </w:pPr>
    </w:p>
    <w:p w:rsidR="00FF3FC6" w:rsidRDefault="00FF3FC6" w:rsidP="00274313">
      <w:pPr>
        <w:spacing w:after="50"/>
        <w:rPr>
          <w:color w:val="auto"/>
          <w:sz w:val="24"/>
          <w:szCs w:val="24"/>
          <w:u w:val="single"/>
        </w:rPr>
      </w:pPr>
      <w:r w:rsidRPr="00FF3FC6">
        <w:rPr>
          <w:color w:val="auto"/>
          <w:sz w:val="24"/>
          <w:szCs w:val="24"/>
          <w:u w:val="single"/>
        </w:rPr>
        <w:t>Wrongful dismissal</w:t>
      </w:r>
    </w:p>
    <w:p w:rsidR="00FF3FC6" w:rsidRPr="00FF3FC6" w:rsidRDefault="00FF3FC6" w:rsidP="00274313">
      <w:pPr>
        <w:spacing w:after="50"/>
        <w:rPr>
          <w:color w:val="auto"/>
          <w:sz w:val="24"/>
          <w:szCs w:val="24"/>
          <w:u w:val="single"/>
        </w:rPr>
      </w:pPr>
    </w:p>
    <w:p w:rsidR="00FF3FC6" w:rsidRDefault="00FF3FC6" w:rsidP="00274313">
      <w:pPr>
        <w:spacing w:after="50"/>
        <w:rPr>
          <w:color w:val="auto"/>
          <w:sz w:val="24"/>
          <w:szCs w:val="24"/>
        </w:rPr>
      </w:pPr>
      <w:r w:rsidRPr="00FF3FC6">
        <w:rPr>
          <w:color w:val="auto"/>
          <w:sz w:val="24"/>
          <w:szCs w:val="24"/>
        </w:rPr>
        <w:t>Big Buses Ltd consider the act to be gross misconduct and are within rights to dismiss Gethin on these grounds without notice or further payment following the investigation which concluded that there was an unprovoked attack on an employee in an area that could cause damage and health and safety concerns, which in turn breaches the contract of employment held between Big Buses Ltd and Gethin.</w:t>
      </w:r>
    </w:p>
    <w:p w:rsidR="00FF3FC6" w:rsidRPr="00FF3FC6" w:rsidRDefault="00FF3FC6" w:rsidP="00274313">
      <w:pPr>
        <w:spacing w:after="50"/>
        <w:rPr>
          <w:color w:val="auto"/>
          <w:sz w:val="24"/>
          <w:szCs w:val="24"/>
        </w:rPr>
      </w:pPr>
    </w:p>
    <w:p w:rsidR="00FF3FC6" w:rsidRDefault="00FF3FC6" w:rsidP="00274313">
      <w:pPr>
        <w:spacing w:after="50"/>
        <w:rPr>
          <w:color w:val="auto"/>
          <w:sz w:val="24"/>
          <w:szCs w:val="24"/>
          <w:u w:val="single"/>
        </w:rPr>
      </w:pPr>
      <w:r w:rsidRPr="00FF3FC6">
        <w:rPr>
          <w:color w:val="auto"/>
          <w:sz w:val="24"/>
          <w:szCs w:val="24"/>
          <w:u w:val="single"/>
        </w:rPr>
        <w:t>Automatic unfair dismissal – Whistleblowing</w:t>
      </w:r>
    </w:p>
    <w:p w:rsidR="00FF3FC6" w:rsidRPr="00FF3FC6" w:rsidRDefault="00FF3FC6" w:rsidP="00274313">
      <w:pPr>
        <w:spacing w:after="50"/>
        <w:rPr>
          <w:color w:val="auto"/>
          <w:sz w:val="24"/>
          <w:szCs w:val="24"/>
          <w:u w:val="single"/>
        </w:rPr>
      </w:pPr>
    </w:p>
    <w:p w:rsidR="00FF3FC6" w:rsidRDefault="00FF3FC6" w:rsidP="00274313">
      <w:pPr>
        <w:spacing w:after="50"/>
        <w:rPr>
          <w:color w:val="auto"/>
          <w:sz w:val="24"/>
          <w:szCs w:val="24"/>
        </w:rPr>
      </w:pPr>
      <w:r w:rsidRPr="00FF3FC6">
        <w:rPr>
          <w:color w:val="auto"/>
          <w:sz w:val="24"/>
          <w:szCs w:val="24"/>
        </w:rPr>
        <w:t xml:space="preserve">Steve has not acknowledged that Gethin raised repetitive concerns surrounding staff not wearing face masks and Steve has attempted to enforce face masks to be worn by sending out a number of reminders to staff. After the incident, Gethin in fact approaches Steve without wearing a face masks which contradicts any whistleblowing concerns that he is claiming to have made. However, Steve was able to confirm that he witnessed Robert on the floor with over spilled storage containers with Gethin stood over.  </w:t>
      </w:r>
    </w:p>
    <w:p w:rsidR="00FF3FC6" w:rsidRPr="00FF3FC6" w:rsidRDefault="00FF3FC6" w:rsidP="00274313">
      <w:pPr>
        <w:spacing w:after="50"/>
        <w:rPr>
          <w:color w:val="auto"/>
          <w:sz w:val="24"/>
          <w:szCs w:val="24"/>
        </w:rPr>
      </w:pPr>
    </w:p>
    <w:p w:rsidR="00FF3FC6" w:rsidRDefault="00FF3FC6" w:rsidP="00274313">
      <w:pPr>
        <w:spacing w:after="50"/>
        <w:rPr>
          <w:color w:val="auto"/>
          <w:sz w:val="24"/>
          <w:szCs w:val="24"/>
        </w:rPr>
      </w:pPr>
      <w:r w:rsidRPr="00FF3FC6">
        <w:rPr>
          <w:color w:val="auto"/>
          <w:sz w:val="24"/>
          <w:szCs w:val="24"/>
        </w:rPr>
        <w:t xml:space="preserve">Gethin may bring a claim on the grounds of automatic unfair dismissal for making a protected disclosure but the reason for his dismissal was for gross misconduct and therefore there is no link between the whistleblowing and dismissal. </w:t>
      </w:r>
    </w:p>
    <w:p w:rsidR="00FF3FC6" w:rsidRPr="00FF3FC6" w:rsidRDefault="00FF3FC6" w:rsidP="00274313">
      <w:pPr>
        <w:spacing w:after="50"/>
        <w:rPr>
          <w:color w:val="auto"/>
          <w:sz w:val="24"/>
          <w:szCs w:val="24"/>
        </w:rPr>
      </w:pPr>
    </w:p>
    <w:p w:rsidR="00FF3FC6" w:rsidRDefault="00FF3FC6" w:rsidP="00274313">
      <w:pPr>
        <w:spacing w:after="50"/>
        <w:rPr>
          <w:color w:val="auto"/>
          <w:sz w:val="24"/>
          <w:szCs w:val="24"/>
          <w:u w:val="single"/>
        </w:rPr>
      </w:pPr>
      <w:r w:rsidRPr="00FF3FC6">
        <w:rPr>
          <w:color w:val="auto"/>
          <w:sz w:val="24"/>
          <w:szCs w:val="24"/>
          <w:u w:val="single"/>
        </w:rPr>
        <w:t>Section 100</w:t>
      </w:r>
    </w:p>
    <w:p w:rsidR="00FF3FC6" w:rsidRPr="00FF3FC6" w:rsidRDefault="00FF3FC6" w:rsidP="00274313">
      <w:pPr>
        <w:spacing w:after="50"/>
        <w:rPr>
          <w:color w:val="auto"/>
          <w:sz w:val="24"/>
          <w:szCs w:val="24"/>
          <w:u w:val="single"/>
        </w:rPr>
      </w:pPr>
    </w:p>
    <w:p w:rsidR="00FF3FC6" w:rsidRDefault="00FF3FC6" w:rsidP="00274313">
      <w:pPr>
        <w:spacing w:after="50"/>
        <w:rPr>
          <w:color w:val="auto"/>
          <w:sz w:val="24"/>
          <w:szCs w:val="24"/>
        </w:rPr>
      </w:pPr>
      <w:r w:rsidRPr="00FF3FC6">
        <w:rPr>
          <w:color w:val="auto"/>
          <w:sz w:val="24"/>
          <w:szCs w:val="24"/>
        </w:rPr>
        <w:t>Gethin claims that he brought to his employers’ attention that there were health and safety concerns connected to his work that he believed were harmful. However, neither Steve or Gavin confirmed that these concerns were raised with them, and as they were the two involved with the investigation and dismissal procedure there is no causal link between the two. The reason for dismissing Gethin was due to the altercation between himself and Robert where there were equipment and Robert lying on the floor, all whilst Gethin was shouting with no mask on.</w:t>
      </w:r>
    </w:p>
    <w:p w:rsidR="00FF3FC6" w:rsidRPr="00FF3FC6" w:rsidRDefault="00FF3FC6" w:rsidP="00274313">
      <w:pPr>
        <w:spacing w:after="50"/>
        <w:rPr>
          <w:color w:val="auto"/>
          <w:sz w:val="24"/>
          <w:szCs w:val="24"/>
        </w:rPr>
      </w:pPr>
    </w:p>
    <w:p w:rsidR="00FF3FC6" w:rsidRDefault="00FF3FC6" w:rsidP="00274313">
      <w:pPr>
        <w:spacing w:after="50"/>
        <w:rPr>
          <w:b/>
          <w:color w:val="auto"/>
          <w:sz w:val="24"/>
          <w:szCs w:val="24"/>
          <w:u w:val="single"/>
        </w:rPr>
      </w:pPr>
      <w:r w:rsidRPr="00FF3FC6">
        <w:rPr>
          <w:b/>
          <w:color w:val="auto"/>
          <w:sz w:val="24"/>
          <w:szCs w:val="24"/>
          <w:u w:val="single"/>
        </w:rPr>
        <w:t>Legal principals</w:t>
      </w:r>
    </w:p>
    <w:p w:rsidR="00FF3FC6" w:rsidRPr="00FF3FC6" w:rsidRDefault="00FF3FC6" w:rsidP="00274313">
      <w:pPr>
        <w:spacing w:after="50"/>
        <w:rPr>
          <w:b/>
          <w:color w:val="auto"/>
          <w:sz w:val="24"/>
          <w:szCs w:val="24"/>
          <w:u w:val="single"/>
        </w:rPr>
      </w:pPr>
    </w:p>
    <w:p w:rsidR="00FF3FC6" w:rsidRPr="00FF3FC6" w:rsidRDefault="00FF3FC6" w:rsidP="00274313">
      <w:pPr>
        <w:spacing w:after="50"/>
        <w:rPr>
          <w:color w:val="auto"/>
          <w:sz w:val="24"/>
          <w:szCs w:val="24"/>
        </w:rPr>
      </w:pPr>
      <w:r w:rsidRPr="00FF3FC6">
        <w:rPr>
          <w:color w:val="auto"/>
          <w:sz w:val="24"/>
          <w:szCs w:val="24"/>
        </w:rPr>
        <w:t>The British Home Stores Ltd v Burchell (1978) IRLR 379 case is mostly used and referred to during employment law cases. The test which was devised as a result of this case is used during ET to establish whether employers have acted fairly and reasonably when dismissing employees for capability and misconduct issues. The test consists of three stages to consider, ‘did the employer establish a genuine belief, held on reasonable grounds, following a reasonable investigation’. It is necessary that Steve satisfied this test when dismissing Gethin to avoid wrongful or unfair dismissal claims brought against the company.</w:t>
      </w:r>
    </w:p>
    <w:p w:rsidR="00FF3FC6" w:rsidRDefault="00FF3FC6" w:rsidP="00274313">
      <w:pPr>
        <w:spacing w:after="50"/>
        <w:rPr>
          <w:color w:val="auto"/>
          <w:sz w:val="24"/>
          <w:szCs w:val="24"/>
        </w:rPr>
      </w:pPr>
      <w:r w:rsidRPr="00FF3FC6">
        <w:rPr>
          <w:color w:val="auto"/>
          <w:sz w:val="24"/>
          <w:szCs w:val="24"/>
        </w:rPr>
        <w:t xml:space="preserve">When a whistle-blower raises concerns relating to health and safety to which they have reasonable belief that doing so is in the public interest, and shows one or more of the 6 types of wrongdoings stated in section 43B of the ERA 1996, then this is knows as a qualifying disclosure. If criteria of raising a qualifying disclosure is satisfied then this employee is protected from being unfairly dismissed. However, if the employee claims they were dismissed due to ‘blowing the whistle’ then they must identify a causal link between them being dismissed and the reason for the dismissal (Honeyball, 2014). </w:t>
      </w:r>
    </w:p>
    <w:p w:rsidR="00FF3FC6" w:rsidRPr="00FF3FC6" w:rsidRDefault="00FF3FC6" w:rsidP="00274313">
      <w:pPr>
        <w:spacing w:after="50"/>
        <w:rPr>
          <w:color w:val="auto"/>
          <w:sz w:val="24"/>
          <w:szCs w:val="24"/>
        </w:rPr>
      </w:pPr>
    </w:p>
    <w:p w:rsidR="00FF3FC6" w:rsidRDefault="00FF3FC6" w:rsidP="00274313">
      <w:pPr>
        <w:spacing w:after="50"/>
        <w:rPr>
          <w:bCs/>
          <w:color w:val="auto"/>
          <w:sz w:val="24"/>
          <w:szCs w:val="24"/>
        </w:rPr>
      </w:pPr>
      <w:r w:rsidRPr="00FF3FC6">
        <w:rPr>
          <w:color w:val="auto"/>
          <w:sz w:val="24"/>
          <w:szCs w:val="24"/>
        </w:rPr>
        <w:t xml:space="preserve">In Gethin’s case, he must provide justification that his dismissal was relating to his whistleblowing, which may prove difficult as his dismissal was based upon his gross misconduct </w:t>
      </w:r>
      <w:r w:rsidR="00D74BED" w:rsidRPr="00FF3FC6">
        <w:rPr>
          <w:color w:val="auto"/>
          <w:sz w:val="24"/>
          <w:szCs w:val="24"/>
        </w:rPr>
        <w:t>behavior</w:t>
      </w:r>
      <w:r w:rsidRPr="00FF3FC6">
        <w:rPr>
          <w:color w:val="auto"/>
          <w:sz w:val="24"/>
          <w:szCs w:val="24"/>
        </w:rPr>
        <w:t xml:space="preserve"> and there is no evidence that he made a protected disclosure. In the </w:t>
      </w:r>
      <w:r w:rsidRPr="00FF3FC6">
        <w:rPr>
          <w:bCs/>
          <w:i/>
          <w:color w:val="auto"/>
          <w:sz w:val="24"/>
          <w:szCs w:val="24"/>
        </w:rPr>
        <w:t>Aspinall v MSI Forge Ltd case,</w:t>
      </w:r>
      <w:r w:rsidRPr="00FF3FC6">
        <w:rPr>
          <w:bCs/>
          <w:color w:val="auto"/>
          <w:sz w:val="24"/>
          <w:szCs w:val="24"/>
        </w:rPr>
        <w:t xml:space="preserve"> it concluded that a protected disclosure had been made by the filming of the workshop, yet the reason for the employee’s resignation had no causal link to the whistleblowing and was therefore dismissed.</w:t>
      </w:r>
    </w:p>
    <w:p w:rsidR="00FF3FC6" w:rsidRPr="00FF3FC6" w:rsidRDefault="00FF3FC6" w:rsidP="00274313">
      <w:pPr>
        <w:spacing w:after="50"/>
        <w:rPr>
          <w:bCs/>
          <w:color w:val="auto"/>
          <w:sz w:val="24"/>
          <w:szCs w:val="24"/>
        </w:rPr>
      </w:pPr>
    </w:p>
    <w:p w:rsidR="00FF3FC6" w:rsidRPr="00FF3FC6" w:rsidRDefault="00FF3FC6" w:rsidP="00274313">
      <w:pPr>
        <w:spacing w:after="50"/>
        <w:rPr>
          <w:color w:val="auto"/>
          <w:sz w:val="24"/>
          <w:szCs w:val="24"/>
          <w:highlight w:val="yellow"/>
        </w:rPr>
      </w:pPr>
      <w:r w:rsidRPr="00FF3FC6">
        <w:rPr>
          <w:color w:val="auto"/>
          <w:sz w:val="24"/>
          <w:szCs w:val="24"/>
        </w:rPr>
        <w:t>There is no qualifying period for someone to raise an automatic unfair dismissal under Section 100 of the ERA 1996; similarly, to whistleblowing, employees are protected from dismissal on the ground of health and safety. Again, Gethin needs to demonstrate that he was dismissed because he raised the issue.</w:t>
      </w:r>
    </w:p>
    <w:p w:rsidR="00FF3FC6" w:rsidRPr="00FF3FC6" w:rsidRDefault="00FF3FC6" w:rsidP="00274313">
      <w:pPr>
        <w:spacing w:after="50"/>
        <w:rPr>
          <w:color w:val="auto"/>
          <w:sz w:val="24"/>
          <w:szCs w:val="24"/>
        </w:rPr>
      </w:pPr>
    </w:p>
    <w:p w:rsidR="00FF3FC6" w:rsidRPr="00FF3FC6" w:rsidRDefault="00FF3FC6" w:rsidP="00274313">
      <w:pPr>
        <w:spacing w:after="50"/>
        <w:rPr>
          <w:color w:val="auto"/>
          <w:sz w:val="24"/>
          <w:szCs w:val="24"/>
        </w:rPr>
      </w:pPr>
    </w:p>
    <w:p w:rsidR="00FF3FC6" w:rsidRDefault="00FF3FC6" w:rsidP="00274313">
      <w:pPr>
        <w:spacing w:after="50"/>
        <w:rPr>
          <w:b/>
          <w:color w:val="auto"/>
          <w:sz w:val="24"/>
          <w:szCs w:val="24"/>
          <w:u w:val="single"/>
        </w:rPr>
      </w:pPr>
      <w:r w:rsidRPr="00FF3FC6">
        <w:rPr>
          <w:b/>
          <w:color w:val="auto"/>
          <w:sz w:val="24"/>
          <w:szCs w:val="24"/>
          <w:u w:val="single"/>
        </w:rPr>
        <w:t>Strengths of the claim</w:t>
      </w:r>
    </w:p>
    <w:p w:rsidR="00FF3FC6" w:rsidRPr="00FF3FC6" w:rsidRDefault="00FF3FC6" w:rsidP="00274313">
      <w:pPr>
        <w:spacing w:after="50"/>
        <w:rPr>
          <w:b/>
          <w:color w:val="auto"/>
          <w:sz w:val="24"/>
          <w:szCs w:val="24"/>
          <w:u w:val="single"/>
        </w:rPr>
      </w:pPr>
    </w:p>
    <w:p w:rsidR="00FF3FC6" w:rsidRDefault="00FF3FC6" w:rsidP="00274313">
      <w:pPr>
        <w:spacing w:after="50"/>
        <w:rPr>
          <w:color w:val="auto"/>
          <w:sz w:val="24"/>
          <w:szCs w:val="24"/>
        </w:rPr>
      </w:pPr>
      <w:r w:rsidRPr="00FF3FC6">
        <w:rPr>
          <w:color w:val="auto"/>
          <w:sz w:val="24"/>
          <w:szCs w:val="24"/>
        </w:rPr>
        <w:t xml:space="preserve">Due to the poor process not being followed properly or fairly, in line with the ACAS code of conduct on disciplinary and grievance procedures (2015), this leaves Gethin in a good position to propose his case and argument; </w:t>
      </w:r>
      <w:r w:rsidR="00D74BED" w:rsidRPr="00FF3FC6">
        <w:rPr>
          <w:color w:val="auto"/>
          <w:sz w:val="24"/>
          <w:szCs w:val="24"/>
        </w:rPr>
        <w:t>organisation’s</w:t>
      </w:r>
      <w:r w:rsidRPr="00FF3FC6">
        <w:rPr>
          <w:color w:val="auto"/>
          <w:sz w:val="24"/>
          <w:szCs w:val="24"/>
        </w:rPr>
        <w:t xml:space="preserve"> should abide by ACAS (2015) at the very least. An independent individual should direct the investigation and process; however, Steve was responsible for meeting with witnesses and obtaining statements, yet he was a witness and was involved in the incident Gethin is being accused of, which could discredit Steve’s rationality during the process. Gethin was not provided with an opportunity to comment on the witness statements prior to the disciplinary and claims he was unable to state his case during the hearing, which contradicts the guidance provided by ACAS (2015).</w:t>
      </w:r>
    </w:p>
    <w:p w:rsidR="00FF3FC6" w:rsidRPr="00FF3FC6" w:rsidRDefault="00FF3FC6" w:rsidP="00274313">
      <w:pPr>
        <w:spacing w:after="50"/>
        <w:rPr>
          <w:color w:val="auto"/>
          <w:sz w:val="24"/>
          <w:szCs w:val="24"/>
        </w:rPr>
      </w:pPr>
      <w:r w:rsidRPr="00FF3FC6">
        <w:rPr>
          <w:color w:val="auto"/>
          <w:sz w:val="24"/>
          <w:szCs w:val="24"/>
        </w:rPr>
        <w:t xml:space="preserve"> </w:t>
      </w:r>
    </w:p>
    <w:p w:rsidR="00FF3FC6" w:rsidRDefault="00FF3FC6" w:rsidP="00274313">
      <w:pPr>
        <w:spacing w:after="50"/>
        <w:rPr>
          <w:color w:val="auto"/>
          <w:sz w:val="24"/>
          <w:szCs w:val="24"/>
        </w:rPr>
      </w:pPr>
      <w:r w:rsidRPr="00FF3FC6">
        <w:rPr>
          <w:color w:val="auto"/>
          <w:sz w:val="24"/>
          <w:szCs w:val="24"/>
        </w:rPr>
        <w:t>The documents provided highlight consequences of Gethin’s accused actions, yet Robert did not receive any informal or formal repercussions, which could argue Steve’s credibility and strengthen Gethin’s accusations that Steve has always deliberately disliked him.</w:t>
      </w:r>
    </w:p>
    <w:p w:rsidR="00FF3FC6" w:rsidRPr="00FF3FC6" w:rsidRDefault="00FF3FC6" w:rsidP="00274313">
      <w:pPr>
        <w:spacing w:after="50"/>
        <w:rPr>
          <w:color w:val="auto"/>
          <w:sz w:val="24"/>
          <w:szCs w:val="24"/>
          <w:highlight w:val="yellow"/>
        </w:rPr>
      </w:pPr>
    </w:p>
    <w:p w:rsidR="00FF3FC6" w:rsidRDefault="00FF3FC6" w:rsidP="00274313">
      <w:pPr>
        <w:spacing w:after="50"/>
        <w:rPr>
          <w:color w:val="auto"/>
          <w:sz w:val="24"/>
          <w:szCs w:val="24"/>
        </w:rPr>
      </w:pPr>
      <w:r w:rsidRPr="00FF3FC6">
        <w:rPr>
          <w:color w:val="auto"/>
          <w:sz w:val="24"/>
          <w:szCs w:val="24"/>
        </w:rPr>
        <w:t xml:space="preserve">Despite having one spent verbal warning for poor timekeeping, Gethin has good </w:t>
      </w:r>
      <w:r w:rsidR="00D74BED" w:rsidRPr="00FF3FC6">
        <w:rPr>
          <w:color w:val="auto"/>
          <w:sz w:val="24"/>
          <w:szCs w:val="24"/>
        </w:rPr>
        <w:t>behavior</w:t>
      </w:r>
      <w:r w:rsidRPr="00FF3FC6">
        <w:rPr>
          <w:color w:val="auto"/>
          <w:sz w:val="24"/>
          <w:szCs w:val="24"/>
        </w:rPr>
        <w:t xml:space="preserve"> and disciplinary record which Steve has not shown to have taken into consideration. The length of service and previous acceptable history does not reflect an individual who has allegedly conducted gross misconduct. </w:t>
      </w:r>
    </w:p>
    <w:p w:rsidR="00FF3FC6" w:rsidRPr="00FF3FC6" w:rsidRDefault="00FF3FC6" w:rsidP="00274313">
      <w:pPr>
        <w:spacing w:after="50"/>
        <w:rPr>
          <w:color w:val="auto"/>
          <w:sz w:val="24"/>
          <w:szCs w:val="24"/>
        </w:rPr>
      </w:pPr>
    </w:p>
    <w:p w:rsidR="00FF3FC6" w:rsidRDefault="00FF3FC6" w:rsidP="00274313">
      <w:pPr>
        <w:spacing w:after="50"/>
        <w:rPr>
          <w:color w:val="auto"/>
          <w:sz w:val="24"/>
          <w:szCs w:val="24"/>
        </w:rPr>
      </w:pPr>
      <w:r w:rsidRPr="00FF3FC6">
        <w:rPr>
          <w:color w:val="auto"/>
          <w:sz w:val="24"/>
          <w:szCs w:val="24"/>
        </w:rPr>
        <w:t>Failing to conduct a fair and impartial process powerfully increases Gethin’s argument.</w:t>
      </w:r>
    </w:p>
    <w:p w:rsidR="00FF3FC6" w:rsidRDefault="00FF3FC6" w:rsidP="00274313">
      <w:pPr>
        <w:spacing w:after="50"/>
        <w:rPr>
          <w:color w:val="auto"/>
          <w:sz w:val="24"/>
          <w:szCs w:val="24"/>
        </w:rPr>
      </w:pPr>
    </w:p>
    <w:p w:rsidR="00FF3FC6" w:rsidRPr="00FF3FC6" w:rsidRDefault="00FF3FC6" w:rsidP="00274313">
      <w:pPr>
        <w:spacing w:after="50"/>
        <w:rPr>
          <w:color w:val="auto"/>
          <w:sz w:val="24"/>
          <w:szCs w:val="24"/>
        </w:rPr>
      </w:pPr>
    </w:p>
    <w:p w:rsidR="00FF3FC6" w:rsidRDefault="00FF3FC6" w:rsidP="00274313">
      <w:pPr>
        <w:spacing w:after="50"/>
        <w:rPr>
          <w:b/>
          <w:color w:val="auto"/>
          <w:sz w:val="24"/>
          <w:szCs w:val="24"/>
          <w:u w:val="single"/>
        </w:rPr>
      </w:pPr>
      <w:r w:rsidRPr="00FF3FC6">
        <w:rPr>
          <w:b/>
          <w:color w:val="auto"/>
          <w:sz w:val="24"/>
          <w:szCs w:val="24"/>
          <w:u w:val="single"/>
        </w:rPr>
        <w:t>Weaknesses of the claim</w:t>
      </w:r>
    </w:p>
    <w:p w:rsidR="00FF3FC6" w:rsidRPr="00FF3FC6" w:rsidRDefault="00FF3FC6" w:rsidP="00274313">
      <w:pPr>
        <w:spacing w:after="50"/>
        <w:rPr>
          <w:b/>
          <w:color w:val="auto"/>
          <w:sz w:val="24"/>
          <w:szCs w:val="24"/>
          <w:u w:val="single"/>
        </w:rPr>
      </w:pPr>
    </w:p>
    <w:p w:rsidR="00FF3FC6" w:rsidRDefault="00FF3FC6" w:rsidP="00274313">
      <w:pPr>
        <w:spacing w:after="50"/>
        <w:rPr>
          <w:color w:val="auto"/>
          <w:sz w:val="24"/>
          <w:szCs w:val="24"/>
        </w:rPr>
      </w:pPr>
      <w:r w:rsidRPr="00FF3FC6">
        <w:rPr>
          <w:color w:val="auto"/>
          <w:sz w:val="24"/>
          <w:szCs w:val="24"/>
        </w:rPr>
        <w:t xml:space="preserve">During the hearing on 11 November 2020, Gethin was accompanied by Andy Painter who, when questioned, was unable to confidently advocate Gethin’s story as he had only seen Robert fall backwards and the laughing of fellow mechanics, and no prior provocation or discussion between Gethin and Robert. Due to having no strong corroboration of Gethin’s claims, there would be no suitable witness or evidence to support Gethin in an ET hearing. </w:t>
      </w:r>
    </w:p>
    <w:p w:rsidR="00FF3FC6" w:rsidRPr="00FF3FC6" w:rsidRDefault="00FF3FC6" w:rsidP="00274313">
      <w:pPr>
        <w:spacing w:after="50"/>
        <w:rPr>
          <w:color w:val="auto"/>
          <w:sz w:val="24"/>
          <w:szCs w:val="24"/>
        </w:rPr>
      </w:pPr>
    </w:p>
    <w:p w:rsidR="00FF3FC6" w:rsidRDefault="00FF3FC6" w:rsidP="00274313">
      <w:pPr>
        <w:spacing w:after="50"/>
        <w:rPr>
          <w:b/>
          <w:color w:val="auto"/>
          <w:sz w:val="24"/>
          <w:szCs w:val="24"/>
          <w:u w:val="single"/>
        </w:rPr>
      </w:pPr>
      <w:r w:rsidRPr="00FF3FC6">
        <w:rPr>
          <w:b/>
          <w:color w:val="auto"/>
          <w:sz w:val="24"/>
          <w:szCs w:val="24"/>
          <w:u w:val="single"/>
        </w:rPr>
        <w:t>Remedies available</w:t>
      </w:r>
    </w:p>
    <w:p w:rsidR="00FF3FC6" w:rsidRPr="00FF3FC6" w:rsidRDefault="00FF3FC6" w:rsidP="00274313">
      <w:pPr>
        <w:spacing w:after="50"/>
        <w:rPr>
          <w:b/>
          <w:color w:val="auto"/>
          <w:sz w:val="24"/>
          <w:szCs w:val="24"/>
          <w:u w:val="single"/>
        </w:rPr>
      </w:pPr>
    </w:p>
    <w:p w:rsidR="00FF3FC6" w:rsidRPr="00FF3FC6" w:rsidRDefault="00FF3FC6" w:rsidP="00274313">
      <w:pPr>
        <w:spacing w:after="50"/>
        <w:rPr>
          <w:color w:val="auto"/>
          <w:sz w:val="24"/>
          <w:szCs w:val="24"/>
        </w:rPr>
      </w:pPr>
      <w:r w:rsidRPr="00FF3FC6">
        <w:rPr>
          <w:color w:val="auto"/>
          <w:sz w:val="24"/>
          <w:szCs w:val="24"/>
        </w:rPr>
        <w:t>The ET will conclude whether Gethin has been unfairly or wrongfully dismissed, and will agree on one of the below remedies:</w:t>
      </w:r>
    </w:p>
    <w:p w:rsidR="00FF3FC6" w:rsidRPr="00FF3FC6" w:rsidRDefault="00FF3FC6" w:rsidP="00274313">
      <w:pPr>
        <w:pStyle w:val="ListParagraph"/>
        <w:numPr>
          <w:ilvl w:val="0"/>
          <w:numId w:val="1"/>
        </w:numPr>
        <w:spacing w:after="50"/>
        <w:rPr>
          <w:i/>
          <w:sz w:val="24"/>
          <w:szCs w:val="24"/>
        </w:rPr>
      </w:pPr>
      <w:r w:rsidRPr="00FF3FC6">
        <w:rPr>
          <w:i/>
          <w:sz w:val="24"/>
          <w:szCs w:val="24"/>
        </w:rPr>
        <w:t>Reinstatement – this is where Gethin will be reemployed into the same role of a mechanic</w:t>
      </w:r>
    </w:p>
    <w:p w:rsidR="00FF3FC6" w:rsidRPr="00FF3FC6" w:rsidRDefault="00FF3FC6" w:rsidP="00274313">
      <w:pPr>
        <w:pStyle w:val="ListParagraph"/>
        <w:numPr>
          <w:ilvl w:val="0"/>
          <w:numId w:val="1"/>
        </w:numPr>
        <w:spacing w:after="50"/>
        <w:rPr>
          <w:i/>
          <w:sz w:val="24"/>
          <w:szCs w:val="24"/>
        </w:rPr>
      </w:pPr>
      <w:r w:rsidRPr="00FF3FC6">
        <w:rPr>
          <w:i/>
          <w:sz w:val="24"/>
          <w:szCs w:val="24"/>
        </w:rPr>
        <w:t>Reengagement – this is where Gethin will be reemployed by Big Buses Ltd but into a new role</w:t>
      </w:r>
    </w:p>
    <w:p w:rsidR="00FF3FC6" w:rsidRPr="00FF3FC6" w:rsidRDefault="00FF3FC6" w:rsidP="00274313">
      <w:pPr>
        <w:pStyle w:val="ListParagraph"/>
        <w:numPr>
          <w:ilvl w:val="0"/>
          <w:numId w:val="1"/>
        </w:numPr>
        <w:spacing w:after="50"/>
        <w:rPr>
          <w:i/>
          <w:sz w:val="24"/>
          <w:szCs w:val="24"/>
        </w:rPr>
      </w:pPr>
      <w:r w:rsidRPr="00FF3FC6">
        <w:rPr>
          <w:i/>
          <w:sz w:val="24"/>
          <w:szCs w:val="24"/>
        </w:rPr>
        <w:t>Compensation – where the ET will decide the financial compensation Gethin will receive.</w:t>
      </w:r>
      <w:r w:rsidRPr="00FF3FC6">
        <w:rPr>
          <w:sz w:val="24"/>
          <w:szCs w:val="24"/>
        </w:rPr>
        <w:br/>
      </w:r>
    </w:p>
    <w:p w:rsidR="00FF3FC6" w:rsidRDefault="00FF3FC6" w:rsidP="00274313">
      <w:pPr>
        <w:spacing w:after="50"/>
        <w:rPr>
          <w:color w:val="auto"/>
          <w:sz w:val="24"/>
          <w:szCs w:val="24"/>
        </w:rPr>
      </w:pPr>
      <w:r w:rsidRPr="00FF3FC6">
        <w:rPr>
          <w:color w:val="auto"/>
          <w:sz w:val="24"/>
          <w:szCs w:val="24"/>
        </w:rPr>
        <w:t xml:space="preserve">In order to assist the ET’s decision, a number of factors will need to be considered. Firstly, the ET will have access to what type of remedy the claimant is seeking by looking at the ET1 form. This is often the compensation remedy as reinstatement and reengagement are uncommon (Lewis and </w:t>
      </w:r>
      <w:proofErr w:type="spellStart"/>
      <w:r w:rsidRPr="00FF3FC6">
        <w:rPr>
          <w:color w:val="auto"/>
          <w:sz w:val="24"/>
          <w:szCs w:val="24"/>
        </w:rPr>
        <w:t>Sargeant</w:t>
      </w:r>
      <w:proofErr w:type="spellEnd"/>
      <w:r w:rsidRPr="00FF3FC6">
        <w:rPr>
          <w:color w:val="auto"/>
          <w:sz w:val="24"/>
          <w:szCs w:val="24"/>
        </w:rPr>
        <w:t xml:space="preserve">, 2019). </w:t>
      </w:r>
    </w:p>
    <w:p w:rsidR="00FF3FC6" w:rsidRPr="00FF3FC6" w:rsidRDefault="00FF3FC6" w:rsidP="00274313">
      <w:pPr>
        <w:spacing w:after="50"/>
        <w:rPr>
          <w:color w:val="auto"/>
          <w:sz w:val="24"/>
          <w:szCs w:val="24"/>
        </w:rPr>
      </w:pPr>
    </w:p>
    <w:p w:rsidR="00FF3FC6" w:rsidRPr="00FF3FC6" w:rsidRDefault="00FF3FC6" w:rsidP="00274313">
      <w:pPr>
        <w:spacing w:after="50"/>
        <w:rPr>
          <w:color w:val="auto"/>
          <w:sz w:val="24"/>
          <w:szCs w:val="24"/>
        </w:rPr>
      </w:pPr>
      <w:r w:rsidRPr="00FF3FC6">
        <w:rPr>
          <w:color w:val="auto"/>
          <w:sz w:val="24"/>
          <w:szCs w:val="24"/>
        </w:rPr>
        <w:t xml:space="preserve">The ER will assess the employment relationship and consider whether reinstating or reengaging the employee into the company is reasonably practicable; if the working relationship has broken down, they may continue facing relationship difficulties. If the employee has found new employment, it may not be feasible for them to be reinstated or reengaged unless they choose to leave their new employers. Likewise, if Big Buses Ltd has replaced Gethin, there may not be capacity to reemploy him. </w:t>
      </w:r>
    </w:p>
    <w:p w:rsidR="00FF3FC6" w:rsidRDefault="00FF3FC6" w:rsidP="00274313">
      <w:pPr>
        <w:spacing w:after="50"/>
        <w:rPr>
          <w:color w:val="auto"/>
          <w:sz w:val="24"/>
          <w:szCs w:val="24"/>
        </w:rPr>
      </w:pPr>
      <w:r w:rsidRPr="00FF3FC6">
        <w:rPr>
          <w:color w:val="auto"/>
          <w:sz w:val="24"/>
          <w:szCs w:val="24"/>
        </w:rPr>
        <w:t>When reinstating or reengaging a previously dismissed employee, the company must treat the individual as if they had never been dismissed, meaning all owed monies between the date of the dismissal and reemployment are paid to the individual.</w:t>
      </w:r>
    </w:p>
    <w:p w:rsidR="00FF3FC6" w:rsidRPr="00FF3FC6" w:rsidRDefault="00FF3FC6" w:rsidP="00274313">
      <w:pPr>
        <w:spacing w:after="50"/>
        <w:rPr>
          <w:color w:val="auto"/>
          <w:sz w:val="24"/>
          <w:szCs w:val="24"/>
        </w:rPr>
      </w:pPr>
    </w:p>
    <w:p w:rsidR="00FF3FC6" w:rsidRDefault="00FF3FC6" w:rsidP="00274313">
      <w:pPr>
        <w:spacing w:after="50"/>
        <w:rPr>
          <w:b/>
          <w:color w:val="auto"/>
          <w:sz w:val="24"/>
          <w:szCs w:val="24"/>
          <w:u w:val="single"/>
        </w:rPr>
      </w:pPr>
      <w:r w:rsidRPr="00FF3FC6">
        <w:rPr>
          <w:b/>
          <w:color w:val="auto"/>
          <w:sz w:val="24"/>
          <w:szCs w:val="24"/>
          <w:u w:val="single"/>
        </w:rPr>
        <w:t>Financial Award</w:t>
      </w:r>
    </w:p>
    <w:p w:rsidR="00FF3FC6" w:rsidRPr="00FF3FC6" w:rsidRDefault="00FF3FC6" w:rsidP="00274313">
      <w:pPr>
        <w:spacing w:after="50"/>
        <w:rPr>
          <w:b/>
          <w:color w:val="auto"/>
          <w:sz w:val="24"/>
          <w:szCs w:val="24"/>
          <w:u w:val="single"/>
        </w:rPr>
      </w:pPr>
    </w:p>
    <w:p w:rsidR="00FF3FC6" w:rsidRDefault="00FF3FC6" w:rsidP="00274313">
      <w:pPr>
        <w:spacing w:after="50"/>
        <w:rPr>
          <w:color w:val="auto"/>
          <w:sz w:val="24"/>
          <w:szCs w:val="24"/>
        </w:rPr>
      </w:pPr>
      <w:r w:rsidRPr="00FF3FC6">
        <w:rPr>
          <w:color w:val="auto"/>
          <w:sz w:val="24"/>
          <w:szCs w:val="24"/>
        </w:rPr>
        <w:t xml:space="preserve">If the ET awards compensation, there are two parts to consider, basic award and compensatory award (Section 118, ERA 1996). </w:t>
      </w:r>
    </w:p>
    <w:p w:rsidR="00FF3FC6" w:rsidRDefault="00FF3FC6" w:rsidP="00274313">
      <w:pPr>
        <w:spacing w:after="50"/>
        <w:rPr>
          <w:color w:val="auto"/>
          <w:sz w:val="24"/>
          <w:szCs w:val="24"/>
        </w:rPr>
      </w:pPr>
    </w:p>
    <w:p w:rsidR="00FF3FC6" w:rsidRPr="00FF3FC6" w:rsidRDefault="00FF3FC6" w:rsidP="00274313">
      <w:pPr>
        <w:spacing w:after="50"/>
        <w:rPr>
          <w:color w:val="auto"/>
          <w:sz w:val="24"/>
          <w:szCs w:val="24"/>
        </w:rPr>
      </w:pPr>
      <w:r w:rsidRPr="00FF3FC6">
        <w:rPr>
          <w:color w:val="auto"/>
          <w:sz w:val="24"/>
          <w:szCs w:val="24"/>
        </w:rPr>
        <w:t>To calculate the basic award, the employee’s length of service, age during the years worked at the organisation, and weekly pay are considered. Therefore, Gethin could receive a maximum of £3,000 basic award by using the following calculation; 6 years’ service x 1 week pay (for each year worked between the ages of 22 and 40) x £500 (weekly earning) = £3,000.</w:t>
      </w:r>
    </w:p>
    <w:p w:rsidR="00FF3FC6" w:rsidRDefault="00FF3FC6" w:rsidP="00274313">
      <w:pPr>
        <w:spacing w:after="50"/>
        <w:rPr>
          <w:color w:val="auto"/>
          <w:sz w:val="24"/>
          <w:szCs w:val="24"/>
        </w:rPr>
      </w:pPr>
      <w:r w:rsidRPr="00FF3FC6">
        <w:rPr>
          <w:color w:val="auto"/>
          <w:sz w:val="24"/>
          <w:szCs w:val="24"/>
        </w:rPr>
        <w:t>It is worth noting that if it is agreed that Gethin has been unfairly dismissed because of a reason relating to health and safety, as of April 2021, there is a minimum basic award of £6,634 (Govb, 2021).</w:t>
      </w:r>
    </w:p>
    <w:p w:rsidR="00FF3FC6" w:rsidRPr="00FF3FC6" w:rsidRDefault="00FF3FC6" w:rsidP="00274313">
      <w:pPr>
        <w:spacing w:after="50"/>
        <w:rPr>
          <w:color w:val="auto"/>
          <w:sz w:val="24"/>
          <w:szCs w:val="24"/>
        </w:rPr>
      </w:pPr>
    </w:p>
    <w:p w:rsidR="00FF3FC6" w:rsidRDefault="00FF3FC6" w:rsidP="00274313">
      <w:pPr>
        <w:spacing w:after="50"/>
        <w:rPr>
          <w:color w:val="auto"/>
          <w:sz w:val="24"/>
          <w:szCs w:val="24"/>
        </w:rPr>
      </w:pPr>
      <w:r w:rsidRPr="00FF3FC6">
        <w:rPr>
          <w:color w:val="auto"/>
          <w:sz w:val="24"/>
          <w:szCs w:val="24"/>
        </w:rPr>
        <w:t xml:space="preserve">The maximum compensatory award for individuals would be the lowest of either their annual salary of £89,493 (CIPD, 2021). In Gethin’s case his maximum compensatory award would </w:t>
      </w:r>
      <w:r w:rsidR="0098552D">
        <w:rPr>
          <w:color w:val="auto"/>
          <w:sz w:val="24"/>
          <w:szCs w:val="24"/>
        </w:rPr>
        <w:t xml:space="preserve">his salary of </w:t>
      </w:r>
      <w:r w:rsidRPr="00FF3FC6">
        <w:rPr>
          <w:color w:val="auto"/>
          <w:sz w:val="24"/>
          <w:szCs w:val="24"/>
        </w:rPr>
        <w:t>£26,000.</w:t>
      </w:r>
    </w:p>
    <w:p w:rsidR="00FF3FC6" w:rsidRPr="00FF3FC6" w:rsidRDefault="00FF3FC6" w:rsidP="00274313">
      <w:pPr>
        <w:spacing w:after="50"/>
        <w:rPr>
          <w:color w:val="auto"/>
          <w:sz w:val="24"/>
          <w:szCs w:val="24"/>
        </w:rPr>
      </w:pPr>
    </w:p>
    <w:p w:rsidR="0098552D" w:rsidRDefault="00FF3FC6" w:rsidP="00274313">
      <w:pPr>
        <w:spacing w:after="50"/>
        <w:rPr>
          <w:color w:val="auto"/>
          <w:sz w:val="24"/>
          <w:szCs w:val="24"/>
        </w:rPr>
      </w:pPr>
      <w:r w:rsidRPr="00FF3FC6">
        <w:rPr>
          <w:color w:val="auto"/>
          <w:sz w:val="24"/>
          <w:szCs w:val="24"/>
        </w:rPr>
        <w:t xml:space="preserve">When determining the compensatory award, the ET will examine the loss of earnings from the date of the dismissal to the ET date, </w:t>
      </w:r>
      <w:r w:rsidR="0098552D">
        <w:rPr>
          <w:color w:val="auto"/>
          <w:sz w:val="24"/>
          <w:szCs w:val="24"/>
        </w:rPr>
        <w:t xml:space="preserve">the </w:t>
      </w:r>
      <w:r w:rsidRPr="00FF3FC6">
        <w:rPr>
          <w:color w:val="auto"/>
          <w:sz w:val="24"/>
          <w:szCs w:val="24"/>
        </w:rPr>
        <w:t>potential future loss of earnings from the date of the ET and any point in the future agreed by the ET, loss of statutory industrial rights, pension rights, benefits and expenses incurred when looking for alternative employment. The dismissed employee must mitigate losses by making attempts to seek new employment, if successful in seeking other employment then the employee will only receive compensatory award of the difference between previous and new salary</w:t>
      </w:r>
      <w:r w:rsidR="002F701B">
        <w:rPr>
          <w:color w:val="auto"/>
          <w:sz w:val="24"/>
          <w:szCs w:val="24"/>
        </w:rPr>
        <w:t xml:space="preserve"> (</w:t>
      </w:r>
      <w:r w:rsidR="002F701B" w:rsidRPr="002F701B">
        <w:rPr>
          <w:color w:val="auto"/>
          <w:sz w:val="24"/>
          <w:szCs w:val="24"/>
        </w:rPr>
        <w:t>CIPD, 2020b)</w:t>
      </w:r>
      <w:r w:rsidRPr="002F701B">
        <w:rPr>
          <w:color w:val="auto"/>
          <w:sz w:val="24"/>
          <w:szCs w:val="24"/>
        </w:rPr>
        <w:t xml:space="preserve">. </w:t>
      </w:r>
    </w:p>
    <w:p w:rsidR="0098552D" w:rsidRDefault="0098552D" w:rsidP="00274313">
      <w:pPr>
        <w:spacing w:after="50"/>
        <w:rPr>
          <w:color w:val="auto"/>
          <w:sz w:val="24"/>
          <w:szCs w:val="24"/>
        </w:rPr>
      </w:pPr>
    </w:p>
    <w:p w:rsidR="00FF3FC6" w:rsidRDefault="00FF3FC6" w:rsidP="00274313">
      <w:pPr>
        <w:spacing w:after="50"/>
        <w:rPr>
          <w:color w:val="auto"/>
          <w:sz w:val="24"/>
          <w:szCs w:val="24"/>
        </w:rPr>
      </w:pPr>
      <w:r w:rsidRPr="002F701B">
        <w:rPr>
          <w:color w:val="auto"/>
          <w:sz w:val="24"/>
          <w:szCs w:val="24"/>
        </w:rPr>
        <w:t>Therefore</w:t>
      </w:r>
      <w:r w:rsidRPr="00FF3FC6">
        <w:rPr>
          <w:color w:val="auto"/>
          <w:sz w:val="24"/>
          <w:szCs w:val="24"/>
        </w:rPr>
        <w:t xml:space="preserve">, </w:t>
      </w:r>
      <w:r w:rsidRPr="002F701B">
        <w:rPr>
          <w:color w:val="auto"/>
          <w:sz w:val="24"/>
          <w:szCs w:val="24"/>
        </w:rPr>
        <w:t xml:space="preserve">the maximum compensation that Gethin could receive would be </w:t>
      </w:r>
      <w:r w:rsidR="0098552D">
        <w:rPr>
          <w:color w:val="auto"/>
          <w:sz w:val="24"/>
          <w:szCs w:val="24"/>
        </w:rPr>
        <w:t xml:space="preserve">the </w:t>
      </w:r>
      <w:r w:rsidRPr="002F701B">
        <w:rPr>
          <w:color w:val="auto"/>
          <w:sz w:val="24"/>
          <w:szCs w:val="24"/>
        </w:rPr>
        <w:t xml:space="preserve">basic award </w:t>
      </w:r>
      <w:r w:rsidR="0098552D">
        <w:rPr>
          <w:color w:val="auto"/>
          <w:sz w:val="24"/>
          <w:szCs w:val="24"/>
        </w:rPr>
        <w:t>(</w:t>
      </w:r>
      <w:r w:rsidRPr="002F701B">
        <w:rPr>
          <w:color w:val="auto"/>
          <w:sz w:val="24"/>
          <w:szCs w:val="24"/>
        </w:rPr>
        <w:t>£3,000</w:t>
      </w:r>
      <w:r w:rsidR="0098552D">
        <w:rPr>
          <w:color w:val="auto"/>
          <w:sz w:val="24"/>
          <w:szCs w:val="24"/>
        </w:rPr>
        <w:t>)</w:t>
      </w:r>
      <w:r w:rsidRPr="002F701B">
        <w:rPr>
          <w:color w:val="auto"/>
          <w:sz w:val="24"/>
          <w:szCs w:val="24"/>
        </w:rPr>
        <w:t xml:space="preserve"> plus the compensatory award </w:t>
      </w:r>
      <w:r w:rsidR="0098552D">
        <w:rPr>
          <w:color w:val="auto"/>
          <w:sz w:val="24"/>
          <w:szCs w:val="24"/>
        </w:rPr>
        <w:t>(</w:t>
      </w:r>
      <w:r w:rsidRPr="002F701B">
        <w:rPr>
          <w:color w:val="auto"/>
          <w:sz w:val="24"/>
          <w:szCs w:val="24"/>
        </w:rPr>
        <w:t>£26,000</w:t>
      </w:r>
      <w:r w:rsidR="0098552D">
        <w:rPr>
          <w:color w:val="auto"/>
          <w:sz w:val="24"/>
          <w:szCs w:val="24"/>
        </w:rPr>
        <w:t>)</w:t>
      </w:r>
      <w:r w:rsidRPr="002F701B">
        <w:rPr>
          <w:color w:val="auto"/>
          <w:sz w:val="24"/>
          <w:szCs w:val="24"/>
        </w:rPr>
        <w:t xml:space="preserve"> which totals £29,000 less any loss of earning (Collins, 2012).</w:t>
      </w:r>
    </w:p>
    <w:p w:rsidR="00FF3FC6" w:rsidRPr="00FF3FC6" w:rsidRDefault="00FF3FC6" w:rsidP="00274313">
      <w:pPr>
        <w:spacing w:after="50"/>
        <w:rPr>
          <w:color w:val="auto"/>
          <w:sz w:val="24"/>
          <w:szCs w:val="24"/>
        </w:rPr>
      </w:pPr>
    </w:p>
    <w:p w:rsidR="00FF3FC6" w:rsidRDefault="00FF3FC6" w:rsidP="00274313">
      <w:pPr>
        <w:spacing w:after="50"/>
        <w:rPr>
          <w:color w:val="auto"/>
          <w:sz w:val="24"/>
          <w:szCs w:val="24"/>
        </w:rPr>
      </w:pPr>
      <w:r w:rsidRPr="00FF3FC6">
        <w:rPr>
          <w:color w:val="auto"/>
          <w:sz w:val="24"/>
          <w:szCs w:val="24"/>
        </w:rPr>
        <w:t xml:space="preserve">In the </w:t>
      </w:r>
      <w:r w:rsidRPr="00FF3FC6">
        <w:rPr>
          <w:i/>
          <w:color w:val="auto"/>
          <w:sz w:val="24"/>
          <w:szCs w:val="24"/>
        </w:rPr>
        <w:t>Algosh v Care Property Management Ltd</w:t>
      </w:r>
      <w:r w:rsidRPr="00FF3FC6">
        <w:rPr>
          <w:color w:val="auto"/>
          <w:sz w:val="24"/>
          <w:szCs w:val="24"/>
        </w:rPr>
        <w:t xml:space="preserve"> case, Algosh was awarded an additional 25% to the compensatory award due to Care Property Management Ltd failing to comply with ACAS Code of Practice on Disciplinary and Grievance Procedures. </w:t>
      </w:r>
    </w:p>
    <w:p w:rsidR="00FF3FC6" w:rsidRPr="00FF3FC6" w:rsidRDefault="00FF3FC6" w:rsidP="00274313">
      <w:pPr>
        <w:spacing w:after="50"/>
        <w:rPr>
          <w:color w:val="auto"/>
          <w:sz w:val="24"/>
          <w:szCs w:val="24"/>
        </w:rPr>
      </w:pPr>
    </w:p>
    <w:p w:rsidR="00FF3FC6" w:rsidRDefault="00FF3FC6" w:rsidP="00274313">
      <w:pPr>
        <w:spacing w:after="50"/>
        <w:rPr>
          <w:color w:val="auto"/>
          <w:sz w:val="24"/>
          <w:szCs w:val="24"/>
        </w:rPr>
      </w:pPr>
      <w:r w:rsidRPr="00FF3FC6">
        <w:rPr>
          <w:color w:val="auto"/>
          <w:sz w:val="24"/>
          <w:szCs w:val="24"/>
        </w:rPr>
        <w:t xml:space="preserve">Within the ET1, Gethin has recorded that he would like to be reinstated at Big Buses Ltd and also receive compensation. If the ET is satisfied that Gethin was properly dismissed for gross misconduct then they may agree to reinstatement or reengagement. </w:t>
      </w:r>
    </w:p>
    <w:p w:rsidR="00FF3FC6" w:rsidRPr="00FF3FC6" w:rsidRDefault="00FF3FC6" w:rsidP="00274313">
      <w:pPr>
        <w:spacing w:after="50"/>
        <w:rPr>
          <w:color w:val="auto"/>
          <w:sz w:val="24"/>
          <w:szCs w:val="24"/>
        </w:rPr>
      </w:pPr>
    </w:p>
    <w:p w:rsidR="00FF3FC6" w:rsidRDefault="00FF3FC6" w:rsidP="00274313">
      <w:pPr>
        <w:spacing w:after="50"/>
        <w:rPr>
          <w:b/>
          <w:color w:val="auto"/>
          <w:sz w:val="24"/>
          <w:szCs w:val="24"/>
          <w:u w:val="single"/>
        </w:rPr>
      </w:pPr>
      <w:r w:rsidRPr="00FF3FC6">
        <w:rPr>
          <w:b/>
          <w:color w:val="auto"/>
          <w:sz w:val="24"/>
          <w:szCs w:val="24"/>
          <w:u w:val="single"/>
        </w:rPr>
        <w:t>Factors that might reduce or increase financial award</w:t>
      </w:r>
    </w:p>
    <w:p w:rsidR="00FF3FC6" w:rsidRPr="00FF3FC6" w:rsidRDefault="00FF3FC6" w:rsidP="00274313">
      <w:pPr>
        <w:spacing w:after="50"/>
        <w:rPr>
          <w:b/>
          <w:color w:val="auto"/>
          <w:sz w:val="24"/>
          <w:szCs w:val="24"/>
          <w:u w:val="single"/>
        </w:rPr>
      </w:pPr>
    </w:p>
    <w:p w:rsidR="00FF3FC6" w:rsidRDefault="00FF3FC6" w:rsidP="00274313">
      <w:pPr>
        <w:spacing w:after="50"/>
        <w:rPr>
          <w:color w:val="auto"/>
          <w:sz w:val="24"/>
          <w:szCs w:val="24"/>
        </w:rPr>
      </w:pPr>
      <w:r w:rsidRPr="00FF3FC6">
        <w:rPr>
          <w:color w:val="auto"/>
          <w:sz w:val="24"/>
          <w:szCs w:val="24"/>
        </w:rPr>
        <w:t>Factors that may increase Gethin’s financial award may be that if the ET believe that the company failed to follow the ACAS code of practice (2015) by not complying with the advised investigation process and not providing a longer appeal time, a percentage increase can be added on any compensation awarded up to a maximum of 25%. However, the ET could argue that not only did Big Buses Ltd neglect the advice provided by ACAS, but Gethin himself did not exercise his right to appeal against the dismissal.</w:t>
      </w:r>
    </w:p>
    <w:p w:rsidR="00FF3FC6" w:rsidRPr="00FF3FC6" w:rsidRDefault="00FF3FC6" w:rsidP="00274313">
      <w:pPr>
        <w:spacing w:after="50"/>
        <w:rPr>
          <w:color w:val="auto"/>
          <w:sz w:val="24"/>
          <w:szCs w:val="24"/>
        </w:rPr>
      </w:pPr>
    </w:p>
    <w:p w:rsidR="00FF3FC6" w:rsidRDefault="00FF3FC6" w:rsidP="00274313">
      <w:pPr>
        <w:spacing w:after="50"/>
        <w:rPr>
          <w:color w:val="auto"/>
          <w:sz w:val="24"/>
          <w:szCs w:val="24"/>
        </w:rPr>
      </w:pPr>
      <w:r w:rsidRPr="00FF3FC6">
        <w:rPr>
          <w:color w:val="auto"/>
          <w:sz w:val="24"/>
          <w:szCs w:val="24"/>
        </w:rPr>
        <w:t xml:space="preserve">Should Gethin successfully win the whistleblowing claim then this may also increase his compensatory award due to whistleblowing awards being uncapped. It has been known for some cases to be awarded high financial compensatory, such as the case </w:t>
      </w:r>
      <w:bookmarkStart w:id="1" w:name="_Hlk68876814"/>
      <w:r w:rsidRPr="00FF3FC6">
        <w:rPr>
          <w:i/>
          <w:color w:val="auto"/>
          <w:sz w:val="24"/>
          <w:szCs w:val="24"/>
        </w:rPr>
        <w:t>Watkinson V Royal Cornwall Hospital NHS Trust</w:t>
      </w:r>
      <w:r w:rsidRPr="00FF3FC6">
        <w:rPr>
          <w:color w:val="auto"/>
          <w:sz w:val="24"/>
          <w:szCs w:val="24"/>
        </w:rPr>
        <w:t xml:space="preserve"> </w:t>
      </w:r>
      <w:bookmarkEnd w:id="1"/>
      <w:r w:rsidRPr="00FF3FC6">
        <w:rPr>
          <w:color w:val="auto"/>
          <w:sz w:val="24"/>
          <w:szCs w:val="24"/>
        </w:rPr>
        <w:t xml:space="preserve">where £1,201,453 was </w:t>
      </w:r>
      <w:r>
        <w:rPr>
          <w:color w:val="auto"/>
          <w:sz w:val="24"/>
          <w:szCs w:val="24"/>
        </w:rPr>
        <w:t>awarded</w:t>
      </w:r>
      <w:r w:rsidRPr="00FF3FC6">
        <w:rPr>
          <w:color w:val="auto"/>
          <w:sz w:val="24"/>
          <w:szCs w:val="24"/>
        </w:rPr>
        <w:t>.</w:t>
      </w:r>
    </w:p>
    <w:p w:rsidR="00FF3FC6" w:rsidRPr="00FF3FC6" w:rsidRDefault="00FF3FC6" w:rsidP="00274313">
      <w:pPr>
        <w:spacing w:after="50"/>
        <w:rPr>
          <w:color w:val="auto"/>
          <w:sz w:val="24"/>
          <w:szCs w:val="24"/>
        </w:rPr>
      </w:pPr>
    </w:p>
    <w:p w:rsidR="00FF3FC6" w:rsidRPr="00FF3FC6" w:rsidRDefault="00FF3FC6" w:rsidP="00274313">
      <w:pPr>
        <w:spacing w:after="50"/>
        <w:rPr>
          <w:color w:val="auto"/>
          <w:sz w:val="24"/>
          <w:szCs w:val="24"/>
        </w:rPr>
      </w:pPr>
      <w:r w:rsidRPr="00FF3FC6">
        <w:rPr>
          <w:color w:val="auto"/>
          <w:sz w:val="24"/>
          <w:szCs w:val="24"/>
        </w:rPr>
        <w:t xml:space="preserve">Gethin’s financial award may be reduced if the ET believe that regardless of any aggravated </w:t>
      </w:r>
      <w:r w:rsidR="00D74BED" w:rsidRPr="00FF3FC6">
        <w:rPr>
          <w:color w:val="auto"/>
          <w:sz w:val="24"/>
          <w:szCs w:val="24"/>
        </w:rPr>
        <w:t>behavior</w:t>
      </w:r>
      <w:r w:rsidRPr="00FF3FC6">
        <w:rPr>
          <w:color w:val="auto"/>
          <w:sz w:val="24"/>
          <w:szCs w:val="24"/>
        </w:rPr>
        <w:t xml:space="preserve"> from Robert, Gethin’s reaction was inappropriate, and this is what led to the dismissal, despite the investigation process. This is referred to as contributory fault, where by the employee contributed towards their dismissal.</w:t>
      </w:r>
    </w:p>
    <w:p w:rsidR="00FF3FC6" w:rsidRDefault="00FF3FC6" w:rsidP="00274313">
      <w:pPr>
        <w:spacing w:after="50"/>
        <w:rPr>
          <w:color w:val="auto"/>
          <w:sz w:val="24"/>
          <w:szCs w:val="24"/>
        </w:rPr>
      </w:pPr>
    </w:p>
    <w:p w:rsidR="00FF3FC6" w:rsidRDefault="00FF3FC6" w:rsidP="00274313">
      <w:pPr>
        <w:spacing w:after="50"/>
        <w:rPr>
          <w:color w:val="auto"/>
          <w:sz w:val="24"/>
          <w:szCs w:val="24"/>
        </w:rPr>
      </w:pPr>
      <w:r w:rsidRPr="00FF3FC6">
        <w:rPr>
          <w:color w:val="auto"/>
          <w:sz w:val="24"/>
          <w:szCs w:val="24"/>
        </w:rPr>
        <w:t xml:space="preserve">A second factor which could reduce an award given to the claimant is known as Polkey deduction. During an unfair dismissal claim if the company has clearly undertaken an unfair process, but the result to dismiss would have remained the same albeit if the process has been abided by accurately, then the ET are entitled to reduce the compensatory award based on this. The Polkey deduction was devised from the </w:t>
      </w:r>
      <w:bookmarkStart w:id="2" w:name="_Hlk68877655"/>
      <w:r w:rsidRPr="00FF3FC6">
        <w:rPr>
          <w:i/>
          <w:color w:val="auto"/>
          <w:sz w:val="24"/>
          <w:szCs w:val="24"/>
        </w:rPr>
        <w:t xml:space="preserve">Polkey V AE Dayton Service Ltd (1987) IRLR 503 </w:t>
      </w:r>
      <w:bookmarkEnd w:id="2"/>
      <w:r w:rsidRPr="00FF3FC6">
        <w:rPr>
          <w:color w:val="auto"/>
          <w:sz w:val="24"/>
          <w:szCs w:val="24"/>
        </w:rPr>
        <w:t>case</w:t>
      </w:r>
      <w:r>
        <w:rPr>
          <w:color w:val="auto"/>
          <w:sz w:val="24"/>
          <w:szCs w:val="24"/>
        </w:rPr>
        <w:t>.</w:t>
      </w:r>
    </w:p>
    <w:p w:rsidR="00FF3FC6" w:rsidRPr="00FF3FC6" w:rsidRDefault="00FF3FC6" w:rsidP="00274313">
      <w:pPr>
        <w:spacing w:after="50"/>
        <w:rPr>
          <w:color w:val="auto"/>
          <w:sz w:val="24"/>
          <w:szCs w:val="24"/>
        </w:rPr>
      </w:pPr>
    </w:p>
    <w:p w:rsidR="00FF3FC6" w:rsidRDefault="00FF3FC6" w:rsidP="00274313">
      <w:pPr>
        <w:spacing w:after="50"/>
        <w:rPr>
          <w:b/>
          <w:color w:val="auto"/>
          <w:sz w:val="24"/>
          <w:szCs w:val="24"/>
          <w:u w:val="single"/>
        </w:rPr>
      </w:pPr>
      <w:r w:rsidRPr="00FF3FC6">
        <w:rPr>
          <w:b/>
          <w:color w:val="auto"/>
          <w:sz w:val="24"/>
          <w:szCs w:val="24"/>
          <w:u w:val="single"/>
        </w:rPr>
        <w:t>Settling</w:t>
      </w:r>
    </w:p>
    <w:p w:rsidR="00FF3FC6" w:rsidRPr="00FF3FC6" w:rsidRDefault="00FF3FC6" w:rsidP="00274313">
      <w:pPr>
        <w:spacing w:after="50"/>
        <w:rPr>
          <w:b/>
          <w:color w:val="auto"/>
          <w:sz w:val="24"/>
          <w:szCs w:val="24"/>
          <w:u w:val="single"/>
        </w:rPr>
      </w:pPr>
    </w:p>
    <w:p w:rsidR="00FF3FC6" w:rsidRDefault="00FF3FC6" w:rsidP="00274313">
      <w:pPr>
        <w:spacing w:after="50"/>
        <w:rPr>
          <w:color w:val="auto"/>
          <w:sz w:val="24"/>
          <w:szCs w:val="24"/>
        </w:rPr>
      </w:pPr>
      <w:r w:rsidRPr="00FF3FC6">
        <w:rPr>
          <w:color w:val="auto"/>
          <w:sz w:val="24"/>
          <w:szCs w:val="24"/>
        </w:rPr>
        <w:t xml:space="preserve">By settling prior to the hearing, both parties negotiate and settle through ACAS. A COT3 is issued to confirm the settlement and outlines the principles of </w:t>
      </w:r>
      <w:r w:rsidR="00D74BED" w:rsidRPr="00FF3FC6">
        <w:rPr>
          <w:color w:val="auto"/>
          <w:sz w:val="24"/>
          <w:szCs w:val="24"/>
        </w:rPr>
        <w:t>behavior</w:t>
      </w:r>
      <w:r w:rsidRPr="00FF3FC6">
        <w:rPr>
          <w:color w:val="auto"/>
          <w:sz w:val="24"/>
          <w:szCs w:val="24"/>
        </w:rPr>
        <w:t>; the employee can not disclose the settlement which helps to conclude the situation without becoming public knowledge or progressing to an ET (ACAS, 2013).</w:t>
      </w:r>
    </w:p>
    <w:p w:rsidR="00FF3FC6" w:rsidRPr="00FF3FC6" w:rsidRDefault="00FF3FC6" w:rsidP="00274313">
      <w:pPr>
        <w:spacing w:after="50"/>
        <w:rPr>
          <w:color w:val="auto"/>
          <w:sz w:val="24"/>
          <w:szCs w:val="24"/>
        </w:rPr>
      </w:pPr>
    </w:p>
    <w:p w:rsidR="00FF3FC6" w:rsidRDefault="00FF3FC6" w:rsidP="00274313">
      <w:pPr>
        <w:spacing w:after="50"/>
        <w:rPr>
          <w:color w:val="auto"/>
          <w:sz w:val="24"/>
          <w:szCs w:val="24"/>
        </w:rPr>
      </w:pPr>
      <w:r w:rsidRPr="00FF3FC6">
        <w:rPr>
          <w:color w:val="auto"/>
          <w:sz w:val="24"/>
          <w:szCs w:val="24"/>
        </w:rPr>
        <w:t xml:space="preserve">If there is no settlement agreement, this will result in large amount of time and legal fees being spent on fighting the claims. The maximum Gethin would be awarded in the ET forms reasonable justification to explore settling before going to ET. </w:t>
      </w:r>
    </w:p>
    <w:p w:rsidR="00FF3FC6" w:rsidRPr="00FF3FC6" w:rsidRDefault="00FF3FC6" w:rsidP="00274313">
      <w:pPr>
        <w:spacing w:after="50"/>
        <w:rPr>
          <w:color w:val="auto"/>
          <w:sz w:val="24"/>
          <w:szCs w:val="24"/>
        </w:rPr>
      </w:pPr>
    </w:p>
    <w:p w:rsidR="00FF3FC6" w:rsidRDefault="00FF3FC6" w:rsidP="00274313">
      <w:pPr>
        <w:spacing w:after="50"/>
        <w:rPr>
          <w:color w:val="auto"/>
          <w:sz w:val="24"/>
          <w:szCs w:val="24"/>
        </w:rPr>
      </w:pPr>
      <w:r w:rsidRPr="00FF3FC6">
        <w:rPr>
          <w:color w:val="auto"/>
          <w:sz w:val="24"/>
          <w:szCs w:val="24"/>
        </w:rPr>
        <w:t xml:space="preserve">Due to the poor procedure, it is likely that the ET will criticize Big Buses Ltd on how the process was conducted; with ET hearings being published online, the reputational damage this could have on the company is immense. The company supplies services to local schools, and by having the case </w:t>
      </w:r>
      <w:r w:rsidR="00D74BED" w:rsidRPr="00FF3FC6">
        <w:rPr>
          <w:color w:val="auto"/>
          <w:sz w:val="24"/>
          <w:szCs w:val="24"/>
        </w:rPr>
        <w:t>publicized</w:t>
      </w:r>
      <w:r w:rsidRPr="00FF3FC6">
        <w:rPr>
          <w:color w:val="auto"/>
          <w:sz w:val="24"/>
          <w:szCs w:val="24"/>
        </w:rPr>
        <w:t xml:space="preserve"> and becoming public property, there is a possibility that future contracts could be lost, as external organisation will not want to be associated with a company who dismisses whistle-blowers or employs staff in poor working conditions. </w:t>
      </w:r>
    </w:p>
    <w:p w:rsidR="00FF3FC6" w:rsidRPr="00FF3FC6" w:rsidRDefault="00FF3FC6" w:rsidP="00274313">
      <w:pPr>
        <w:spacing w:after="50"/>
        <w:rPr>
          <w:color w:val="auto"/>
          <w:sz w:val="24"/>
          <w:szCs w:val="24"/>
        </w:rPr>
      </w:pPr>
    </w:p>
    <w:p w:rsidR="00FF3FC6" w:rsidRDefault="00FF3FC6" w:rsidP="00274313">
      <w:pPr>
        <w:spacing w:after="50"/>
        <w:rPr>
          <w:color w:val="auto"/>
          <w:sz w:val="24"/>
          <w:szCs w:val="24"/>
        </w:rPr>
      </w:pPr>
      <w:r w:rsidRPr="00FF3FC6">
        <w:rPr>
          <w:color w:val="auto"/>
          <w:sz w:val="24"/>
          <w:szCs w:val="24"/>
        </w:rPr>
        <w:t>On balance and taking the above into consideration, I would recommend settling with Gethin prior to an ET hearing to avoid high costs of money, time and maintain a good reputation.</w:t>
      </w:r>
    </w:p>
    <w:p w:rsidR="00637727" w:rsidRDefault="00637727" w:rsidP="00274313">
      <w:pPr>
        <w:spacing w:after="50"/>
        <w:rPr>
          <w:color w:val="auto"/>
          <w:sz w:val="24"/>
          <w:szCs w:val="24"/>
        </w:rPr>
      </w:pPr>
    </w:p>
    <w:p w:rsidR="00637727" w:rsidRDefault="00637727" w:rsidP="00274313">
      <w:pPr>
        <w:spacing w:after="50"/>
        <w:rPr>
          <w:color w:val="auto"/>
          <w:sz w:val="24"/>
          <w:szCs w:val="24"/>
        </w:rPr>
      </w:pPr>
    </w:p>
    <w:p w:rsidR="00637727" w:rsidRDefault="00637727" w:rsidP="00274313">
      <w:pPr>
        <w:spacing w:after="50"/>
        <w:rPr>
          <w:color w:val="auto"/>
          <w:sz w:val="24"/>
          <w:szCs w:val="24"/>
        </w:rPr>
      </w:pPr>
    </w:p>
    <w:p w:rsidR="00637727" w:rsidRDefault="00637727" w:rsidP="00274313">
      <w:pPr>
        <w:spacing w:after="50"/>
        <w:rPr>
          <w:color w:val="auto"/>
          <w:sz w:val="24"/>
          <w:szCs w:val="24"/>
        </w:rPr>
      </w:pPr>
    </w:p>
    <w:p w:rsidR="00637727" w:rsidRDefault="00637727" w:rsidP="00274313">
      <w:pPr>
        <w:spacing w:after="50"/>
        <w:rPr>
          <w:color w:val="auto"/>
          <w:sz w:val="24"/>
          <w:szCs w:val="24"/>
        </w:rPr>
      </w:pPr>
    </w:p>
    <w:p w:rsidR="00637727" w:rsidRDefault="00637727" w:rsidP="00274313">
      <w:pPr>
        <w:spacing w:after="50"/>
        <w:rPr>
          <w:color w:val="auto"/>
          <w:sz w:val="24"/>
          <w:szCs w:val="24"/>
        </w:rPr>
      </w:pPr>
    </w:p>
    <w:p w:rsidR="00637727" w:rsidRDefault="00637727" w:rsidP="00274313">
      <w:pPr>
        <w:spacing w:after="50"/>
        <w:rPr>
          <w:color w:val="auto"/>
          <w:sz w:val="24"/>
          <w:szCs w:val="24"/>
        </w:rPr>
      </w:pPr>
    </w:p>
    <w:p w:rsidR="00637727" w:rsidRDefault="00637727" w:rsidP="00274313">
      <w:pPr>
        <w:spacing w:after="50"/>
        <w:rPr>
          <w:color w:val="auto"/>
          <w:sz w:val="24"/>
          <w:szCs w:val="24"/>
        </w:rPr>
      </w:pPr>
    </w:p>
    <w:p w:rsidR="007B6F20" w:rsidRDefault="007B6F20" w:rsidP="00274313">
      <w:pPr>
        <w:spacing w:after="50"/>
        <w:rPr>
          <w:color w:val="auto"/>
          <w:sz w:val="24"/>
          <w:szCs w:val="24"/>
        </w:rPr>
      </w:pPr>
    </w:p>
    <w:p w:rsidR="007B6F20" w:rsidRDefault="007B6F20" w:rsidP="00274313">
      <w:pPr>
        <w:spacing w:after="50"/>
        <w:rPr>
          <w:color w:val="auto"/>
          <w:sz w:val="24"/>
          <w:szCs w:val="24"/>
        </w:rPr>
      </w:pPr>
    </w:p>
    <w:p w:rsidR="007B6F20" w:rsidRDefault="007B6F20" w:rsidP="00274313">
      <w:pPr>
        <w:spacing w:after="50"/>
        <w:rPr>
          <w:color w:val="auto"/>
          <w:sz w:val="24"/>
          <w:szCs w:val="24"/>
        </w:rPr>
      </w:pPr>
    </w:p>
    <w:p w:rsidR="007B6F20" w:rsidRDefault="007B6F20" w:rsidP="00274313">
      <w:pPr>
        <w:spacing w:after="50"/>
        <w:rPr>
          <w:color w:val="auto"/>
          <w:sz w:val="24"/>
          <w:szCs w:val="24"/>
        </w:rPr>
      </w:pPr>
    </w:p>
    <w:p w:rsidR="007B6F20" w:rsidRDefault="007B6F20" w:rsidP="00274313">
      <w:pPr>
        <w:spacing w:after="50"/>
        <w:rPr>
          <w:color w:val="auto"/>
          <w:sz w:val="24"/>
          <w:szCs w:val="24"/>
        </w:rPr>
      </w:pPr>
    </w:p>
    <w:p w:rsidR="007B6F20" w:rsidRDefault="007B6F20" w:rsidP="00274313">
      <w:pPr>
        <w:spacing w:after="50"/>
        <w:rPr>
          <w:color w:val="auto"/>
          <w:sz w:val="24"/>
          <w:szCs w:val="24"/>
        </w:rPr>
      </w:pPr>
    </w:p>
    <w:p w:rsidR="007B6F20" w:rsidRDefault="007B6F20" w:rsidP="00274313">
      <w:pPr>
        <w:spacing w:after="50"/>
        <w:rPr>
          <w:color w:val="auto"/>
          <w:sz w:val="24"/>
          <w:szCs w:val="24"/>
        </w:rPr>
      </w:pPr>
    </w:p>
    <w:p w:rsidR="007B6F20" w:rsidRDefault="007B6F20" w:rsidP="00274313">
      <w:pPr>
        <w:spacing w:after="50"/>
        <w:rPr>
          <w:color w:val="auto"/>
          <w:sz w:val="24"/>
          <w:szCs w:val="24"/>
        </w:rPr>
      </w:pPr>
    </w:p>
    <w:p w:rsidR="007B6F20" w:rsidRDefault="007B6F20" w:rsidP="00274313">
      <w:pPr>
        <w:spacing w:after="50"/>
        <w:rPr>
          <w:color w:val="auto"/>
          <w:sz w:val="24"/>
          <w:szCs w:val="24"/>
        </w:rPr>
      </w:pPr>
    </w:p>
    <w:p w:rsidR="007B6F20" w:rsidRDefault="007B6F20" w:rsidP="00274313">
      <w:pPr>
        <w:spacing w:after="50"/>
        <w:rPr>
          <w:color w:val="auto"/>
          <w:sz w:val="24"/>
          <w:szCs w:val="24"/>
        </w:rPr>
      </w:pPr>
    </w:p>
    <w:p w:rsidR="007B6F20" w:rsidRDefault="007B6F20" w:rsidP="00274313">
      <w:pPr>
        <w:spacing w:after="50"/>
        <w:rPr>
          <w:color w:val="auto"/>
          <w:sz w:val="24"/>
          <w:szCs w:val="24"/>
        </w:rPr>
      </w:pPr>
    </w:p>
    <w:p w:rsidR="007B6F20" w:rsidRDefault="007B6F20" w:rsidP="00274313">
      <w:pPr>
        <w:spacing w:after="50"/>
        <w:rPr>
          <w:color w:val="auto"/>
          <w:sz w:val="24"/>
          <w:szCs w:val="24"/>
        </w:rPr>
      </w:pPr>
    </w:p>
    <w:p w:rsidR="007B6F20" w:rsidRDefault="007B6F20" w:rsidP="00274313">
      <w:pPr>
        <w:spacing w:after="50"/>
        <w:rPr>
          <w:color w:val="auto"/>
          <w:sz w:val="24"/>
          <w:szCs w:val="24"/>
        </w:rPr>
      </w:pPr>
    </w:p>
    <w:p w:rsidR="007B6F20" w:rsidRDefault="007B6F20" w:rsidP="00274313">
      <w:pPr>
        <w:spacing w:after="50"/>
        <w:rPr>
          <w:color w:val="auto"/>
          <w:sz w:val="24"/>
          <w:szCs w:val="24"/>
        </w:rPr>
      </w:pPr>
    </w:p>
    <w:p w:rsidR="007B6F20" w:rsidRDefault="007B6F20" w:rsidP="00274313">
      <w:pPr>
        <w:spacing w:after="50"/>
        <w:rPr>
          <w:color w:val="auto"/>
          <w:sz w:val="24"/>
          <w:szCs w:val="24"/>
        </w:rPr>
      </w:pPr>
    </w:p>
    <w:p w:rsidR="007B6F20" w:rsidRDefault="007B6F20" w:rsidP="00274313">
      <w:pPr>
        <w:spacing w:after="50"/>
        <w:rPr>
          <w:color w:val="auto"/>
          <w:sz w:val="24"/>
          <w:szCs w:val="24"/>
        </w:rPr>
      </w:pPr>
    </w:p>
    <w:p w:rsidR="007B6F20" w:rsidRDefault="007B6F20" w:rsidP="00274313">
      <w:pPr>
        <w:spacing w:after="50"/>
        <w:rPr>
          <w:color w:val="auto"/>
          <w:sz w:val="24"/>
          <w:szCs w:val="24"/>
        </w:rPr>
      </w:pPr>
    </w:p>
    <w:p w:rsidR="007B6F20" w:rsidRDefault="007B6F20" w:rsidP="00274313">
      <w:pPr>
        <w:spacing w:after="50"/>
        <w:rPr>
          <w:color w:val="auto"/>
          <w:sz w:val="24"/>
          <w:szCs w:val="24"/>
        </w:rPr>
      </w:pPr>
    </w:p>
    <w:p w:rsidR="007B6F20" w:rsidRDefault="007B6F20" w:rsidP="00274313">
      <w:pPr>
        <w:spacing w:after="50"/>
        <w:rPr>
          <w:color w:val="auto"/>
          <w:sz w:val="24"/>
          <w:szCs w:val="24"/>
        </w:rPr>
      </w:pPr>
    </w:p>
    <w:p w:rsidR="00637727" w:rsidRDefault="00637727" w:rsidP="00274313">
      <w:pPr>
        <w:spacing w:after="50"/>
        <w:rPr>
          <w:color w:val="auto"/>
          <w:sz w:val="24"/>
          <w:szCs w:val="24"/>
        </w:rPr>
      </w:pPr>
    </w:p>
    <w:p w:rsidR="00637727" w:rsidRDefault="00637727" w:rsidP="00274313">
      <w:pPr>
        <w:spacing w:after="50"/>
        <w:rPr>
          <w:color w:val="auto"/>
          <w:sz w:val="24"/>
          <w:szCs w:val="24"/>
        </w:rPr>
      </w:pPr>
    </w:p>
    <w:p w:rsidR="00637727" w:rsidRDefault="00637727" w:rsidP="00274313">
      <w:pPr>
        <w:spacing w:after="50"/>
        <w:rPr>
          <w:color w:val="auto"/>
          <w:sz w:val="24"/>
          <w:szCs w:val="24"/>
        </w:rPr>
      </w:pPr>
    </w:p>
    <w:p w:rsidR="00637727" w:rsidRDefault="00637727" w:rsidP="00274313">
      <w:pPr>
        <w:spacing w:after="50"/>
        <w:rPr>
          <w:color w:val="auto"/>
          <w:sz w:val="24"/>
          <w:szCs w:val="24"/>
        </w:rPr>
      </w:pPr>
    </w:p>
    <w:p w:rsidR="00637727" w:rsidRDefault="00637727" w:rsidP="00274313">
      <w:pPr>
        <w:spacing w:after="50"/>
        <w:rPr>
          <w:color w:val="auto"/>
          <w:sz w:val="24"/>
          <w:szCs w:val="24"/>
        </w:rPr>
      </w:pPr>
    </w:p>
    <w:p w:rsidR="00637727" w:rsidRDefault="00637727" w:rsidP="00274313">
      <w:pPr>
        <w:spacing w:after="50"/>
        <w:rPr>
          <w:color w:val="auto"/>
          <w:sz w:val="24"/>
          <w:szCs w:val="24"/>
        </w:rPr>
      </w:pPr>
    </w:p>
    <w:p w:rsidR="00637727" w:rsidRDefault="00637727" w:rsidP="00274313">
      <w:pPr>
        <w:spacing w:after="50"/>
        <w:rPr>
          <w:color w:val="auto"/>
          <w:sz w:val="24"/>
          <w:szCs w:val="24"/>
        </w:rPr>
      </w:pPr>
    </w:p>
    <w:p w:rsidR="00637727" w:rsidRDefault="00637727" w:rsidP="00274313">
      <w:pPr>
        <w:spacing w:after="50"/>
        <w:rPr>
          <w:color w:val="auto"/>
          <w:sz w:val="24"/>
          <w:szCs w:val="24"/>
        </w:rPr>
      </w:pPr>
    </w:p>
    <w:p w:rsidR="00637727" w:rsidRDefault="00637727" w:rsidP="00274313">
      <w:pPr>
        <w:spacing w:after="50"/>
        <w:rPr>
          <w:color w:val="auto"/>
          <w:sz w:val="24"/>
          <w:szCs w:val="24"/>
        </w:rPr>
      </w:pPr>
    </w:p>
    <w:p w:rsidR="00637727" w:rsidRDefault="00637727" w:rsidP="00274313">
      <w:pPr>
        <w:spacing w:after="50"/>
        <w:rPr>
          <w:color w:val="auto"/>
          <w:sz w:val="24"/>
          <w:szCs w:val="24"/>
        </w:rPr>
      </w:pPr>
    </w:p>
    <w:p w:rsidR="00637727" w:rsidRDefault="00637727" w:rsidP="00274313">
      <w:pPr>
        <w:spacing w:after="50"/>
        <w:rPr>
          <w:color w:val="auto"/>
          <w:sz w:val="24"/>
          <w:szCs w:val="24"/>
        </w:rPr>
      </w:pPr>
    </w:p>
    <w:p w:rsidR="00637727" w:rsidRDefault="00637727" w:rsidP="00274313">
      <w:pPr>
        <w:spacing w:after="50"/>
        <w:rPr>
          <w:color w:val="auto"/>
          <w:sz w:val="24"/>
          <w:szCs w:val="24"/>
        </w:rPr>
      </w:pPr>
    </w:p>
    <w:p w:rsidR="00637727" w:rsidRDefault="00637727" w:rsidP="00274313">
      <w:pPr>
        <w:spacing w:after="50"/>
        <w:rPr>
          <w:color w:val="auto"/>
          <w:sz w:val="24"/>
          <w:szCs w:val="24"/>
        </w:rPr>
      </w:pPr>
    </w:p>
    <w:p w:rsidR="00D74BED" w:rsidRPr="00D74BED" w:rsidRDefault="00D74BED" w:rsidP="00274313">
      <w:pPr>
        <w:spacing w:after="50"/>
        <w:rPr>
          <w:rFonts w:cs="Arial"/>
          <w:b/>
          <w:color w:val="000000" w:themeColor="text1"/>
          <w:sz w:val="24"/>
          <w:szCs w:val="24"/>
        </w:rPr>
      </w:pPr>
      <w:bookmarkStart w:id="3" w:name="_Hlk71292376"/>
      <w:r w:rsidRPr="00D74BED">
        <w:rPr>
          <w:rFonts w:cs="Arial"/>
          <w:b/>
          <w:color w:val="000000" w:themeColor="text1"/>
          <w:sz w:val="24"/>
          <w:szCs w:val="24"/>
        </w:rPr>
        <w:t>Section B</w:t>
      </w:r>
    </w:p>
    <w:p w:rsidR="00D74BED" w:rsidRDefault="00D74BED" w:rsidP="00274313">
      <w:pPr>
        <w:spacing w:after="50"/>
        <w:rPr>
          <w:rFonts w:cs="Arial"/>
          <w:color w:val="000000" w:themeColor="text1"/>
          <w:sz w:val="24"/>
          <w:szCs w:val="24"/>
        </w:rPr>
      </w:pPr>
    </w:p>
    <w:p w:rsidR="00637727" w:rsidRDefault="00637727" w:rsidP="00274313">
      <w:pPr>
        <w:spacing w:after="50"/>
        <w:rPr>
          <w:rFonts w:cs="Arial"/>
          <w:color w:val="000000" w:themeColor="text1"/>
          <w:sz w:val="24"/>
          <w:szCs w:val="24"/>
        </w:rPr>
      </w:pPr>
      <w:r w:rsidRPr="00637727">
        <w:rPr>
          <w:rFonts w:cs="Arial"/>
          <w:color w:val="000000" w:themeColor="text1"/>
          <w:sz w:val="24"/>
          <w:szCs w:val="24"/>
        </w:rPr>
        <w:t>Dear Big Buses Limited</w:t>
      </w:r>
    </w:p>
    <w:p w:rsidR="00637727" w:rsidRPr="00637727" w:rsidRDefault="00637727" w:rsidP="00274313">
      <w:pPr>
        <w:spacing w:after="50"/>
        <w:rPr>
          <w:rFonts w:cs="Arial"/>
          <w:color w:val="000000" w:themeColor="text1"/>
          <w:sz w:val="24"/>
          <w:szCs w:val="24"/>
        </w:rPr>
      </w:pPr>
    </w:p>
    <w:p w:rsidR="00637727" w:rsidRDefault="00637727" w:rsidP="00274313">
      <w:pPr>
        <w:spacing w:after="50"/>
        <w:rPr>
          <w:rFonts w:cs="Arial"/>
          <w:color w:val="000000" w:themeColor="text1"/>
          <w:sz w:val="24"/>
          <w:szCs w:val="24"/>
        </w:rPr>
      </w:pPr>
      <w:r w:rsidRPr="00637727">
        <w:rPr>
          <w:rFonts w:cs="Arial"/>
          <w:color w:val="000000" w:themeColor="text1"/>
          <w:sz w:val="24"/>
          <w:szCs w:val="24"/>
        </w:rPr>
        <w:t>Further to your previous email which identified two recent problems regarding Julie Davies and Lucy Bell, please note my reply below.</w:t>
      </w:r>
    </w:p>
    <w:p w:rsidR="00637727" w:rsidRPr="00637727" w:rsidRDefault="00637727" w:rsidP="00274313">
      <w:pPr>
        <w:spacing w:after="50"/>
        <w:rPr>
          <w:rFonts w:cs="Arial"/>
          <w:color w:val="000000" w:themeColor="text1"/>
          <w:sz w:val="24"/>
          <w:szCs w:val="24"/>
        </w:rPr>
      </w:pPr>
    </w:p>
    <w:p w:rsidR="00637727" w:rsidRPr="00637727" w:rsidRDefault="00637727" w:rsidP="00274313">
      <w:pPr>
        <w:pStyle w:val="ListParagraph"/>
        <w:numPr>
          <w:ilvl w:val="0"/>
          <w:numId w:val="3"/>
        </w:numPr>
        <w:spacing w:after="50"/>
        <w:rPr>
          <w:rFonts w:ascii="Arial" w:hAnsi="Arial" w:cs="Arial"/>
          <w:color w:val="000000" w:themeColor="text1"/>
          <w:sz w:val="24"/>
          <w:szCs w:val="24"/>
        </w:rPr>
      </w:pPr>
      <w:r w:rsidRPr="00637727">
        <w:rPr>
          <w:rFonts w:ascii="Arial" w:hAnsi="Arial" w:cs="Arial"/>
          <w:color w:val="000000" w:themeColor="text1"/>
          <w:sz w:val="24"/>
          <w:szCs w:val="24"/>
        </w:rPr>
        <w:t xml:space="preserve"> Julie Davies</w:t>
      </w:r>
    </w:p>
    <w:p w:rsidR="00637727" w:rsidRDefault="00637727" w:rsidP="00274313">
      <w:pPr>
        <w:spacing w:after="50"/>
        <w:rPr>
          <w:rFonts w:cs="Arial"/>
          <w:color w:val="000000" w:themeColor="text1"/>
          <w:sz w:val="24"/>
          <w:szCs w:val="24"/>
        </w:rPr>
      </w:pPr>
      <w:r w:rsidRPr="00637727">
        <w:rPr>
          <w:rFonts w:cs="Arial"/>
          <w:color w:val="000000" w:themeColor="text1"/>
          <w:sz w:val="24"/>
          <w:szCs w:val="24"/>
        </w:rPr>
        <w:t>An employee is entitled to submit a flexible working request on the basis that they are classed as an employee, have been working at the organisation for a minimum of 26 weeks and that no previous flexible working requests have been submitted within the last 12 years. The information provided by you confirms that Julie has been an employee for 19 months, and unless stated in the flexible working request, has not made similar requests within the year, meaning she is entitled for her request to be considered (ACAS, 2021b).</w:t>
      </w:r>
    </w:p>
    <w:p w:rsidR="00637727" w:rsidRPr="00637727" w:rsidRDefault="00637727" w:rsidP="00274313">
      <w:pPr>
        <w:spacing w:after="50"/>
        <w:rPr>
          <w:rFonts w:cs="Arial"/>
          <w:color w:val="000000" w:themeColor="text1"/>
          <w:sz w:val="24"/>
          <w:szCs w:val="24"/>
        </w:rPr>
      </w:pPr>
    </w:p>
    <w:p w:rsidR="00637727" w:rsidRDefault="00637727" w:rsidP="00274313">
      <w:pPr>
        <w:spacing w:after="50"/>
        <w:rPr>
          <w:rFonts w:cs="Arial"/>
          <w:color w:val="000000" w:themeColor="text1"/>
          <w:sz w:val="24"/>
          <w:szCs w:val="24"/>
        </w:rPr>
      </w:pPr>
      <w:r w:rsidRPr="00637727">
        <w:rPr>
          <w:rFonts w:cs="Arial"/>
          <w:color w:val="000000" w:themeColor="text1"/>
          <w:sz w:val="24"/>
          <w:szCs w:val="24"/>
        </w:rPr>
        <w:t xml:space="preserve">To manage the process of flexible working requests, you must abide by the </w:t>
      </w:r>
      <w:r w:rsidR="00D74BED" w:rsidRPr="00637727">
        <w:rPr>
          <w:rFonts w:cs="Arial"/>
          <w:color w:val="000000" w:themeColor="text1"/>
          <w:sz w:val="24"/>
          <w:szCs w:val="24"/>
        </w:rPr>
        <w:t>organisation’s</w:t>
      </w:r>
      <w:r w:rsidRPr="00637727">
        <w:rPr>
          <w:rFonts w:cs="Arial"/>
          <w:color w:val="000000" w:themeColor="text1"/>
          <w:sz w:val="24"/>
          <w:szCs w:val="24"/>
        </w:rPr>
        <w:t xml:space="preserve"> policy if ACAS compliant, otherwise you must refer to the ACAS guidance as a minimum (ACAS, 2021c).</w:t>
      </w:r>
    </w:p>
    <w:p w:rsidR="00637727" w:rsidRPr="00637727" w:rsidRDefault="00637727" w:rsidP="00274313">
      <w:pPr>
        <w:spacing w:after="50"/>
        <w:rPr>
          <w:rFonts w:cs="Arial"/>
          <w:color w:val="000000" w:themeColor="text1"/>
          <w:sz w:val="24"/>
          <w:szCs w:val="24"/>
        </w:rPr>
      </w:pPr>
    </w:p>
    <w:p w:rsidR="00637727" w:rsidRDefault="00637727" w:rsidP="00274313">
      <w:pPr>
        <w:spacing w:after="50"/>
        <w:rPr>
          <w:rFonts w:cs="Arial"/>
          <w:color w:val="000000" w:themeColor="text1"/>
          <w:sz w:val="24"/>
          <w:szCs w:val="24"/>
        </w:rPr>
      </w:pPr>
      <w:r w:rsidRPr="00637727">
        <w:rPr>
          <w:rFonts w:cs="Arial"/>
          <w:color w:val="000000" w:themeColor="text1"/>
          <w:sz w:val="24"/>
          <w:szCs w:val="24"/>
        </w:rPr>
        <w:t xml:space="preserve">Despite having received the request from Julie in writing, it is best practice for the employee to provide further information by stating the reasons why they are submitting the flexible working request, as well as how these changes will not negatively impact colleagues and the organisation. </w:t>
      </w:r>
    </w:p>
    <w:p w:rsidR="00637727" w:rsidRPr="00637727" w:rsidRDefault="00637727" w:rsidP="00274313">
      <w:pPr>
        <w:spacing w:after="50"/>
        <w:rPr>
          <w:rFonts w:cs="Arial"/>
          <w:color w:val="000000" w:themeColor="text1"/>
          <w:sz w:val="24"/>
          <w:szCs w:val="24"/>
        </w:rPr>
      </w:pPr>
    </w:p>
    <w:p w:rsidR="00637727" w:rsidRDefault="00637727" w:rsidP="00274313">
      <w:pPr>
        <w:spacing w:after="50"/>
        <w:rPr>
          <w:rFonts w:cs="Arial"/>
          <w:color w:val="000000" w:themeColor="text1"/>
          <w:sz w:val="24"/>
          <w:szCs w:val="24"/>
        </w:rPr>
      </w:pPr>
      <w:r w:rsidRPr="00637727">
        <w:rPr>
          <w:rFonts w:cs="Arial"/>
          <w:color w:val="000000" w:themeColor="text1"/>
          <w:sz w:val="24"/>
          <w:szCs w:val="24"/>
        </w:rPr>
        <w:t>Share the policy and forms with Julie and ask to complete and return. The additional information that will be provided will set the scene for the meeting. Once the completed paper work has been returned, a meeting must be arranged with Julie, to which she is entitled to be accompanied by a Trade Union representative or colleague, to discuss the request. The outcome must be made within 3 months of receiving the flexible working request (Daniels, 2019).</w:t>
      </w:r>
    </w:p>
    <w:p w:rsidR="00637727" w:rsidRPr="00637727" w:rsidRDefault="00637727" w:rsidP="00274313">
      <w:pPr>
        <w:spacing w:after="50"/>
        <w:rPr>
          <w:rFonts w:cs="Arial"/>
          <w:color w:val="000000" w:themeColor="text1"/>
          <w:sz w:val="24"/>
          <w:szCs w:val="24"/>
        </w:rPr>
      </w:pPr>
    </w:p>
    <w:p w:rsidR="00637727" w:rsidRDefault="00637727" w:rsidP="00274313">
      <w:pPr>
        <w:spacing w:after="50"/>
        <w:rPr>
          <w:rFonts w:cs="Arial"/>
          <w:color w:val="000000" w:themeColor="text1"/>
          <w:sz w:val="24"/>
          <w:szCs w:val="24"/>
        </w:rPr>
      </w:pPr>
      <w:r w:rsidRPr="00637727">
        <w:rPr>
          <w:rFonts w:cs="Arial"/>
          <w:color w:val="000000" w:themeColor="text1"/>
          <w:sz w:val="24"/>
          <w:szCs w:val="24"/>
        </w:rPr>
        <w:t>Should you grant the flexible working request, you must issue a change of contract, stating the start date of the changes. Unless specified otherwise, this will be a permanent legal binding change with no requirement to revert back to her previous contract.</w:t>
      </w:r>
    </w:p>
    <w:p w:rsidR="00637727" w:rsidRPr="00637727" w:rsidRDefault="00637727" w:rsidP="00274313">
      <w:pPr>
        <w:spacing w:after="50"/>
        <w:rPr>
          <w:rFonts w:cs="Arial"/>
          <w:color w:val="000000" w:themeColor="text1"/>
          <w:sz w:val="24"/>
          <w:szCs w:val="24"/>
        </w:rPr>
      </w:pPr>
    </w:p>
    <w:p w:rsidR="00637727" w:rsidRDefault="00637727" w:rsidP="00274313">
      <w:pPr>
        <w:spacing w:after="50"/>
        <w:rPr>
          <w:rFonts w:cs="Arial"/>
          <w:color w:val="000000" w:themeColor="text1"/>
          <w:sz w:val="24"/>
          <w:szCs w:val="24"/>
        </w:rPr>
      </w:pPr>
      <w:r w:rsidRPr="00637727">
        <w:rPr>
          <w:rFonts w:cs="Arial"/>
          <w:color w:val="000000" w:themeColor="text1"/>
          <w:sz w:val="24"/>
          <w:szCs w:val="24"/>
        </w:rPr>
        <w:t>There are two steps to the flexible working process, and you must consider which personnel will be involved. At the initial meeting and decision making, it would be advisable that Julie’s line manager is involved at this stage. This would release you to participate with the appeal hearing, if required. This would suggest appropriate hierarchy has been applied to the process.</w:t>
      </w:r>
    </w:p>
    <w:p w:rsidR="00637727" w:rsidRPr="00637727" w:rsidRDefault="00637727" w:rsidP="00274313">
      <w:pPr>
        <w:spacing w:after="50"/>
        <w:rPr>
          <w:rFonts w:cs="Arial"/>
          <w:color w:val="000000" w:themeColor="text1"/>
          <w:sz w:val="24"/>
          <w:szCs w:val="24"/>
        </w:rPr>
      </w:pPr>
    </w:p>
    <w:p w:rsidR="00637727" w:rsidRDefault="00637727" w:rsidP="00274313">
      <w:pPr>
        <w:spacing w:after="50"/>
        <w:rPr>
          <w:rFonts w:cs="Arial"/>
          <w:color w:val="000000" w:themeColor="text1"/>
          <w:sz w:val="24"/>
          <w:szCs w:val="24"/>
        </w:rPr>
      </w:pPr>
      <w:r w:rsidRPr="00637727">
        <w:rPr>
          <w:rFonts w:cs="Arial"/>
          <w:color w:val="000000" w:themeColor="text1"/>
          <w:sz w:val="24"/>
          <w:szCs w:val="24"/>
        </w:rPr>
        <w:t>The Flexible Working Regulations (2014) does allow an employer to turn down a flexible working request if one of the following statements applies</w:t>
      </w:r>
    </w:p>
    <w:p w:rsidR="00637727" w:rsidRPr="00637727" w:rsidRDefault="00637727" w:rsidP="00274313">
      <w:pPr>
        <w:spacing w:after="50"/>
        <w:rPr>
          <w:rFonts w:cs="Arial"/>
          <w:color w:val="000000" w:themeColor="text1"/>
          <w:sz w:val="24"/>
          <w:szCs w:val="24"/>
        </w:rPr>
      </w:pPr>
    </w:p>
    <w:p w:rsidR="00637727" w:rsidRPr="00637727" w:rsidRDefault="00637727" w:rsidP="00274313">
      <w:pPr>
        <w:pStyle w:val="ListParagraph"/>
        <w:numPr>
          <w:ilvl w:val="0"/>
          <w:numId w:val="4"/>
        </w:numPr>
        <w:spacing w:after="50"/>
        <w:rPr>
          <w:rFonts w:ascii="Arial" w:hAnsi="Arial" w:cs="Arial"/>
          <w:color w:val="000000" w:themeColor="text1"/>
          <w:sz w:val="24"/>
          <w:szCs w:val="24"/>
        </w:rPr>
      </w:pPr>
      <w:r w:rsidRPr="00637727">
        <w:rPr>
          <w:rFonts w:ascii="Arial" w:hAnsi="Arial" w:cs="Arial"/>
          <w:color w:val="000000" w:themeColor="text1"/>
          <w:sz w:val="24"/>
          <w:szCs w:val="24"/>
        </w:rPr>
        <w:t>Difficulty of the additional costs</w:t>
      </w:r>
    </w:p>
    <w:p w:rsidR="00637727" w:rsidRPr="00637727" w:rsidRDefault="00637727" w:rsidP="00274313">
      <w:pPr>
        <w:pStyle w:val="ListParagraph"/>
        <w:numPr>
          <w:ilvl w:val="0"/>
          <w:numId w:val="4"/>
        </w:numPr>
        <w:spacing w:after="50"/>
        <w:rPr>
          <w:rFonts w:ascii="Arial" w:hAnsi="Arial" w:cs="Arial"/>
          <w:color w:val="000000" w:themeColor="text1"/>
          <w:sz w:val="24"/>
          <w:szCs w:val="24"/>
        </w:rPr>
      </w:pPr>
      <w:r w:rsidRPr="00637727">
        <w:rPr>
          <w:rFonts w:ascii="Arial" w:hAnsi="Arial" w:cs="Arial"/>
          <w:color w:val="000000" w:themeColor="text1"/>
          <w:sz w:val="24"/>
          <w:szCs w:val="24"/>
        </w:rPr>
        <w:t>Negative effect on the ability to meet demand</w:t>
      </w:r>
    </w:p>
    <w:p w:rsidR="00637727" w:rsidRPr="00637727" w:rsidRDefault="00637727" w:rsidP="00274313">
      <w:pPr>
        <w:pStyle w:val="ListParagraph"/>
        <w:numPr>
          <w:ilvl w:val="0"/>
          <w:numId w:val="4"/>
        </w:numPr>
        <w:spacing w:after="50"/>
        <w:rPr>
          <w:rFonts w:ascii="Arial" w:hAnsi="Arial" w:cs="Arial"/>
          <w:color w:val="000000" w:themeColor="text1"/>
          <w:sz w:val="24"/>
          <w:szCs w:val="24"/>
        </w:rPr>
      </w:pPr>
      <w:r w:rsidRPr="00637727">
        <w:rPr>
          <w:rFonts w:ascii="Arial" w:hAnsi="Arial" w:cs="Arial"/>
          <w:color w:val="000000" w:themeColor="text1"/>
          <w:sz w:val="24"/>
          <w:szCs w:val="24"/>
        </w:rPr>
        <w:t>Failure to recognise work among existing staff</w:t>
      </w:r>
    </w:p>
    <w:p w:rsidR="00637727" w:rsidRPr="00637727" w:rsidRDefault="00637727" w:rsidP="00274313">
      <w:pPr>
        <w:pStyle w:val="ListParagraph"/>
        <w:numPr>
          <w:ilvl w:val="0"/>
          <w:numId w:val="4"/>
        </w:numPr>
        <w:spacing w:after="50"/>
        <w:rPr>
          <w:rFonts w:ascii="Arial" w:hAnsi="Arial" w:cs="Arial"/>
          <w:color w:val="000000" w:themeColor="text1"/>
          <w:sz w:val="24"/>
          <w:szCs w:val="24"/>
        </w:rPr>
      </w:pPr>
      <w:r w:rsidRPr="00637727">
        <w:rPr>
          <w:rFonts w:ascii="Arial" w:hAnsi="Arial" w:cs="Arial"/>
          <w:color w:val="000000" w:themeColor="text1"/>
          <w:sz w:val="24"/>
          <w:szCs w:val="24"/>
        </w:rPr>
        <w:t>Inability to recruit further staff</w:t>
      </w:r>
    </w:p>
    <w:p w:rsidR="00637727" w:rsidRPr="00637727" w:rsidRDefault="00637727" w:rsidP="00274313">
      <w:pPr>
        <w:pStyle w:val="ListParagraph"/>
        <w:numPr>
          <w:ilvl w:val="0"/>
          <w:numId w:val="4"/>
        </w:numPr>
        <w:spacing w:after="50"/>
        <w:rPr>
          <w:rFonts w:ascii="Arial" w:hAnsi="Arial" w:cs="Arial"/>
          <w:color w:val="000000" w:themeColor="text1"/>
          <w:sz w:val="24"/>
          <w:szCs w:val="24"/>
        </w:rPr>
      </w:pPr>
      <w:r w:rsidRPr="00637727">
        <w:rPr>
          <w:rFonts w:ascii="Arial" w:hAnsi="Arial" w:cs="Arial"/>
          <w:color w:val="000000" w:themeColor="text1"/>
          <w:sz w:val="24"/>
          <w:szCs w:val="24"/>
        </w:rPr>
        <w:t>Adverse effect on quality and/or performance</w:t>
      </w:r>
    </w:p>
    <w:p w:rsidR="00637727" w:rsidRPr="00637727" w:rsidRDefault="00637727" w:rsidP="00274313">
      <w:pPr>
        <w:pStyle w:val="ListParagraph"/>
        <w:numPr>
          <w:ilvl w:val="0"/>
          <w:numId w:val="4"/>
        </w:numPr>
        <w:spacing w:after="50"/>
        <w:rPr>
          <w:rFonts w:ascii="Arial" w:hAnsi="Arial" w:cs="Arial"/>
          <w:color w:val="000000" w:themeColor="text1"/>
          <w:sz w:val="24"/>
          <w:szCs w:val="24"/>
        </w:rPr>
      </w:pPr>
      <w:r w:rsidRPr="00637727">
        <w:rPr>
          <w:rFonts w:ascii="Arial" w:hAnsi="Arial" w:cs="Arial"/>
          <w:color w:val="000000" w:themeColor="text1"/>
          <w:sz w:val="24"/>
          <w:szCs w:val="24"/>
        </w:rPr>
        <w:t>Lack of work during the proposed working periods</w:t>
      </w:r>
    </w:p>
    <w:p w:rsidR="00637727" w:rsidRPr="00637727" w:rsidRDefault="00637727" w:rsidP="00274313">
      <w:pPr>
        <w:pStyle w:val="ListParagraph"/>
        <w:numPr>
          <w:ilvl w:val="0"/>
          <w:numId w:val="4"/>
        </w:numPr>
        <w:spacing w:after="50"/>
        <w:rPr>
          <w:rFonts w:ascii="Arial" w:hAnsi="Arial" w:cs="Arial"/>
          <w:color w:val="000000" w:themeColor="text1"/>
          <w:sz w:val="24"/>
          <w:szCs w:val="24"/>
        </w:rPr>
      </w:pPr>
      <w:r w:rsidRPr="00637727">
        <w:rPr>
          <w:rFonts w:ascii="Arial" w:hAnsi="Arial" w:cs="Arial"/>
          <w:color w:val="000000" w:themeColor="text1"/>
          <w:sz w:val="24"/>
          <w:szCs w:val="24"/>
        </w:rPr>
        <w:t>Structural changes</w:t>
      </w:r>
    </w:p>
    <w:p w:rsidR="00637727" w:rsidRDefault="00637727" w:rsidP="00274313">
      <w:pPr>
        <w:pStyle w:val="ListParagraph"/>
        <w:numPr>
          <w:ilvl w:val="0"/>
          <w:numId w:val="4"/>
        </w:numPr>
        <w:spacing w:after="50"/>
        <w:rPr>
          <w:rFonts w:ascii="Arial" w:hAnsi="Arial" w:cs="Arial"/>
          <w:color w:val="000000" w:themeColor="text1"/>
          <w:sz w:val="24"/>
          <w:szCs w:val="24"/>
        </w:rPr>
      </w:pPr>
      <w:r w:rsidRPr="00637727">
        <w:rPr>
          <w:rFonts w:ascii="Arial" w:hAnsi="Arial" w:cs="Arial"/>
          <w:color w:val="000000" w:themeColor="text1"/>
          <w:sz w:val="24"/>
          <w:szCs w:val="24"/>
        </w:rPr>
        <w:t>‘Any other ground the Secretary of State may specify by regulations’</w:t>
      </w:r>
    </w:p>
    <w:p w:rsidR="00637727" w:rsidRPr="00637727" w:rsidRDefault="00637727" w:rsidP="00274313">
      <w:pPr>
        <w:pStyle w:val="ListParagraph"/>
        <w:spacing w:after="50"/>
        <w:rPr>
          <w:rFonts w:ascii="Arial" w:hAnsi="Arial" w:cs="Arial"/>
          <w:color w:val="000000" w:themeColor="text1"/>
          <w:sz w:val="24"/>
          <w:szCs w:val="24"/>
        </w:rPr>
      </w:pPr>
    </w:p>
    <w:p w:rsidR="00637727" w:rsidRDefault="00637727" w:rsidP="00274313">
      <w:pPr>
        <w:spacing w:after="50"/>
        <w:rPr>
          <w:rFonts w:cs="Arial"/>
          <w:color w:val="000000" w:themeColor="text1"/>
          <w:sz w:val="24"/>
          <w:szCs w:val="24"/>
        </w:rPr>
      </w:pPr>
      <w:r w:rsidRPr="00637727">
        <w:rPr>
          <w:rFonts w:cs="Arial"/>
          <w:color w:val="000000" w:themeColor="text1"/>
          <w:sz w:val="24"/>
          <w:szCs w:val="24"/>
        </w:rPr>
        <w:t>It would be sensible to consider Julie’s flexible working request as two separate requests; to work from home Monday and Friday, and secondly to change her working hours.</w:t>
      </w:r>
    </w:p>
    <w:p w:rsidR="00637727" w:rsidRPr="00637727" w:rsidRDefault="00637727" w:rsidP="00274313">
      <w:pPr>
        <w:spacing w:after="50"/>
        <w:rPr>
          <w:rFonts w:cs="Arial"/>
          <w:color w:val="000000" w:themeColor="text1"/>
          <w:sz w:val="24"/>
          <w:szCs w:val="24"/>
        </w:rPr>
      </w:pPr>
    </w:p>
    <w:p w:rsidR="00637727" w:rsidRDefault="00637727" w:rsidP="00274313">
      <w:pPr>
        <w:spacing w:after="50"/>
        <w:rPr>
          <w:rFonts w:cs="Arial"/>
          <w:color w:val="000000" w:themeColor="text1"/>
          <w:sz w:val="24"/>
          <w:szCs w:val="24"/>
        </w:rPr>
      </w:pPr>
      <w:r w:rsidRPr="00637727">
        <w:rPr>
          <w:rFonts w:cs="Arial"/>
          <w:color w:val="000000" w:themeColor="text1"/>
          <w:sz w:val="24"/>
          <w:szCs w:val="24"/>
        </w:rPr>
        <w:t xml:space="preserve">During the lockdown when your employees were working from home, consider whether the performance and output of Julie’s work had been satisfactory, or had any concerns been raised. This element of the request may be more problematic to reject given the previous year where many </w:t>
      </w:r>
      <w:r w:rsidR="00D74BED" w:rsidRPr="00637727">
        <w:rPr>
          <w:rFonts w:cs="Arial"/>
          <w:color w:val="000000" w:themeColor="text1"/>
          <w:sz w:val="24"/>
          <w:szCs w:val="24"/>
        </w:rPr>
        <w:t>organisation’s</w:t>
      </w:r>
      <w:r w:rsidRPr="00637727">
        <w:rPr>
          <w:rFonts w:cs="Arial"/>
          <w:color w:val="000000" w:themeColor="text1"/>
          <w:sz w:val="24"/>
          <w:szCs w:val="24"/>
        </w:rPr>
        <w:t xml:space="preserve"> and employees were required to work remotely. If Julie is able to fulfil her duties at home and no performance issues have been raised, it would be difficult to reject this request.</w:t>
      </w:r>
    </w:p>
    <w:p w:rsidR="00637727" w:rsidRPr="00637727" w:rsidRDefault="00637727" w:rsidP="00274313">
      <w:pPr>
        <w:spacing w:after="50"/>
        <w:rPr>
          <w:rFonts w:cs="Arial"/>
          <w:color w:val="000000" w:themeColor="text1"/>
          <w:sz w:val="24"/>
          <w:szCs w:val="24"/>
        </w:rPr>
      </w:pPr>
    </w:p>
    <w:p w:rsidR="00637727" w:rsidRDefault="00637727" w:rsidP="00274313">
      <w:pPr>
        <w:spacing w:after="50"/>
        <w:rPr>
          <w:rFonts w:cs="Arial"/>
          <w:color w:val="000000" w:themeColor="text1"/>
          <w:sz w:val="24"/>
          <w:szCs w:val="24"/>
        </w:rPr>
      </w:pPr>
      <w:r w:rsidRPr="00637727">
        <w:rPr>
          <w:rFonts w:cs="Arial"/>
          <w:color w:val="000000" w:themeColor="text1"/>
          <w:sz w:val="24"/>
          <w:szCs w:val="24"/>
        </w:rPr>
        <w:t xml:space="preserve">You should also be aware that Julie may claim disability by association (ERA, 2010) if this request is turned down, as this could make caring for her elderly mother more difficult. However, Julie would have to provide evidence that the refusal is relating to her mother whom has a disability. </w:t>
      </w:r>
    </w:p>
    <w:p w:rsidR="00637727" w:rsidRPr="00637727" w:rsidRDefault="00637727" w:rsidP="00274313">
      <w:pPr>
        <w:spacing w:after="50"/>
        <w:rPr>
          <w:rFonts w:cs="Arial"/>
          <w:color w:val="000000" w:themeColor="text1"/>
          <w:sz w:val="24"/>
          <w:szCs w:val="24"/>
        </w:rPr>
      </w:pPr>
    </w:p>
    <w:p w:rsidR="00637727" w:rsidRDefault="00637727" w:rsidP="00274313">
      <w:pPr>
        <w:spacing w:after="50"/>
        <w:rPr>
          <w:rFonts w:cs="Arial"/>
          <w:color w:val="000000" w:themeColor="text1"/>
          <w:sz w:val="24"/>
          <w:szCs w:val="24"/>
        </w:rPr>
      </w:pPr>
      <w:r w:rsidRPr="00637727">
        <w:rPr>
          <w:rFonts w:cs="Arial"/>
          <w:color w:val="000000" w:themeColor="text1"/>
          <w:sz w:val="24"/>
          <w:szCs w:val="24"/>
        </w:rPr>
        <w:t>I understand that Julie has provided you with a suggestion on how she envisages her proposed working week. However, in line with the Working Time Regulations 1998, when employees are working more than 6 hours, they are legally obliged to have a minimum rest break of 20 minutes; thus, making Julies suggestion of 8:00 – 15:00 with no lunch break, illegal</w:t>
      </w:r>
      <w:r>
        <w:rPr>
          <w:rFonts w:cs="Arial"/>
          <w:color w:val="000000" w:themeColor="text1"/>
          <w:sz w:val="24"/>
          <w:szCs w:val="24"/>
        </w:rPr>
        <w:t xml:space="preserve"> (Kidner, 2014).</w:t>
      </w:r>
    </w:p>
    <w:p w:rsidR="00637727" w:rsidRPr="00637727" w:rsidRDefault="00637727" w:rsidP="00274313">
      <w:pPr>
        <w:spacing w:after="50"/>
        <w:rPr>
          <w:rFonts w:cs="Arial"/>
          <w:color w:val="000000" w:themeColor="text1"/>
          <w:sz w:val="24"/>
          <w:szCs w:val="24"/>
        </w:rPr>
      </w:pPr>
    </w:p>
    <w:p w:rsidR="00637727" w:rsidRPr="00637727" w:rsidRDefault="00637727" w:rsidP="00274313">
      <w:pPr>
        <w:spacing w:after="50"/>
        <w:rPr>
          <w:rFonts w:cs="Arial"/>
          <w:color w:val="000000" w:themeColor="text1"/>
          <w:sz w:val="24"/>
          <w:szCs w:val="24"/>
        </w:rPr>
      </w:pPr>
      <w:r w:rsidRPr="00637727">
        <w:rPr>
          <w:rFonts w:cs="Arial"/>
          <w:color w:val="000000" w:themeColor="text1"/>
          <w:sz w:val="24"/>
          <w:szCs w:val="24"/>
        </w:rPr>
        <w:t xml:space="preserve">Given that Julie would be unsupervised before 09:00, and the inability to distribute work load with others, and being unable to fund or recruit additional staff to take on the work from 15:00, I would suggest that this would be legitimate grounds to decline this part of the request in line with the Flexible Working Regulations (2014). </w:t>
      </w:r>
    </w:p>
    <w:p w:rsidR="00637727" w:rsidRDefault="00637727" w:rsidP="00274313">
      <w:pPr>
        <w:spacing w:after="50"/>
        <w:rPr>
          <w:rFonts w:cs="Arial"/>
          <w:color w:val="000000" w:themeColor="text1"/>
          <w:sz w:val="24"/>
          <w:szCs w:val="24"/>
        </w:rPr>
      </w:pPr>
      <w:r w:rsidRPr="00637727">
        <w:rPr>
          <w:rFonts w:cs="Arial"/>
          <w:color w:val="000000" w:themeColor="text1"/>
          <w:sz w:val="24"/>
          <w:szCs w:val="24"/>
        </w:rPr>
        <w:t xml:space="preserve">It may be worth considering whether the reduction in Julies hours could alleviate funds to pay for overtime, and could the refusal of this request suggest the demand of presenteeism in Big Buses Ltd. </w:t>
      </w:r>
    </w:p>
    <w:p w:rsidR="00637727" w:rsidRPr="00637727" w:rsidRDefault="00637727" w:rsidP="00274313">
      <w:pPr>
        <w:spacing w:after="50"/>
        <w:rPr>
          <w:rFonts w:cs="Arial"/>
          <w:color w:val="000000" w:themeColor="text1"/>
          <w:sz w:val="24"/>
          <w:szCs w:val="24"/>
        </w:rPr>
      </w:pPr>
    </w:p>
    <w:p w:rsidR="00637727" w:rsidRDefault="00637727" w:rsidP="00274313">
      <w:pPr>
        <w:spacing w:after="50"/>
        <w:rPr>
          <w:rFonts w:cs="Arial"/>
          <w:color w:val="000000" w:themeColor="text1"/>
          <w:sz w:val="24"/>
          <w:szCs w:val="24"/>
        </w:rPr>
      </w:pPr>
      <w:r w:rsidRPr="00637727">
        <w:rPr>
          <w:rFonts w:cs="Arial"/>
          <w:color w:val="000000" w:themeColor="text1"/>
          <w:sz w:val="24"/>
          <w:szCs w:val="24"/>
        </w:rPr>
        <w:t xml:space="preserve">If a request cannot be approved, it is good practice to consider alternative options; such as, could Julie undertake her contractual hours within a different working pattern. </w:t>
      </w:r>
    </w:p>
    <w:p w:rsidR="00637727" w:rsidRPr="00637727" w:rsidRDefault="00637727" w:rsidP="00274313">
      <w:pPr>
        <w:spacing w:after="50"/>
        <w:rPr>
          <w:rFonts w:cs="Arial"/>
          <w:color w:val="000000" w:themeColor="text1"/>
          <w:sz w:val="24"/>
          <w:szCs w:val="24"/>
        </w:rPr>
      </w:pPr>
    </w:p>
    <w:p w:rsidR="00637727" w:rsidRDefault="00637727" w:rsidP="00274313">
      <w:pPr>
        <w:spacing w:after="50"/>
        <w:rPr>
          <w:rFonts w:cs="Arial"/>
          <w:color w:val="000000" w:themeColor="text1"/>
          <w:sz w:val="24"/>
          <w:szCs w:val="24"/>
        </w:rPr>
      </w:pPr>
      <w:r w:rsidRPr="00637727">
        <w:rPr>
          <w:rFonts w:cs="Arial"/>
          <w:color w:val="000000" w:themeColor="text1"/>
          <w:sz w:val="24"/>
          <w:szCs w:val="24"/>
        </w:rPr>
        <w:t>Once the line manager has arrived at a decision, this must be communicated to Julie in writing. The outcome letter must state whether the individual requests have been approved, otherwise the reason for the rejection must be clearly explained. Julie is within her rights to appeal the decision if the decision is to decline the flexible working request.</w:t>
      </w:r>
    </w:p>
    <w:p w:rsidR="00637727" w:rsidRPr="00637727" w:rsidRDefault="00637727" w:rsidP="00274313">
      <w:pPr>
        <w:spacing w:after="50"/>
        <w:rPr>
          <w:rFonts w:cs="Arial"/>
          <w:color w:val="000000" w:themeColor="text1"/>
          <w:sz w:val="24"/>
          <w:szCs w:val="24"/>
        </w:rPr>
      </w:pPr>
    </w:p>
    <w:p w:rsidR="00637727" w:rsidRPr="00637727" w:rsidRDefault="00637727" w:rsidP="00274313">
      <w:pPr>
        <w:spacing w:after="50"/>
        <w:rPr>
          <w:rFonts w:cs="Arial"/>
          <w:color w:val="000000" w:themeColor="text1"/>
          <w:sz w:val="24"/>
          <w:szCs w:val="24"/>
        </w:rPr>
      </w:pPr>
      <w:r w:rsidRPr="00637727">
        <w:rPr>
          <w:rFonts w:cs="Arial"/>
          <w:color w:val="000000" w:themeColor="text1"/>
          <w:sz w:val="24"/>
          <w:szCs w:val="24"/>
        </w:rPr>
        <w:t xml:space="preserve">If one of the requests has been approved, this shows that the manager has shown due consideration and has provided reasonable justification to the requests, this would make the appeal difficult for Julie to fight. Again, by approving the working from home request, any possible discrimination claim would be harder for Julie to challenge. </w:t>
      </w:r>
    </w:p>
    <w:p w:rsidR="007B6F20" w:rsidRPr="00637727" w:rsidRDefault="007B6F20" w:rsidP="00274313">
      <w:pPr>
        <w:spacing w:after="50"/>
        <w:rPr>
          <w:rFonts w:cs="Arial"/>
          <w:color w:val="000000" w:themeColor="text1"/>
          <w:sz w:val="24"/>
          <w:szCs w:val="24"/>
        </w:rPr>
      </w:pPr>
    </w:p>
    <w:p w:rsidR="00637727" w:rsidRPr="00637727" w:rsidRDefault="00637727" w:rsidP="00274313">
      <w:pPr>
        <w:spacing w:after="50"/>
        <w:rPr>
          <w:rFonts w:cs="Arial"/>
          <w:color w:val="000000" w:themeColor="text1"/>
          <w:sz w:val="24"/>
          <w:szCs w:val="24"/>
        </w:rPr>
      </w:pPr>
    </w:p>
    <w:p w:rsidR="00637727" w:rsidRPr="00637727" w:rsidRDefault="00637727" w:rsidP="00274313">
      <w:pPr>
        <w:pStyle w:val="ListParagraph"/>
        <w:numPr>
          <w:ilvl w:val="0"/>
          <w:numId w:val="3"/>
        </w:numPr>
        <w:spacing w:after="50"/>
        <w:rPr>
          <w:rFonts w:ascii="Arial" w:hAnsi="Arial" w:cs="Arial"/>
          <w:color w:val="000000" w:themeColor="text1"/>
          <w:sz w:val="24"/>
          <w:szCs w:val="24"/>
        </w:rPr>
      </w:pPr>
      <w:r w:rsidRPr="00637727">
        <w:rPr>
          <w:rFonts w:ascii="Arial" w:hAnsi="Arial" w:cs="Arial"/>
          <w:color w:val="000000" w:themeColor="text1"/>
          <w:sz w:val="24"/>
          <w:szCs w:val="24"/>
        </w:rPr>
        <w:t>Lucy Bell</w:t>
      </w:r>
    </w:p>
    <w:p w:rsidR="00637727" w:rsidRPr="00637727" w:rsidRDefault="00637727" w:rsidP="00274313">
      <w:pPr>
        <w:spacing w:after="50"/>
        <w:rPr>
          <w:rFonts w:cs="Arial"/>
          <w:color w:val="000000" w:themeColor="text1"/>
          <w:sz w:val="24"/>
          <w:szCs w:val="24"/>
        </w:rPr>
      </w:pPr>
    </w:p>
    <w:p w:rsidR="00637727" w:rsidRDefault="00637727" w:rsidP="00274313">
      <w:pPr>
        <w:spacing w:after="50"/>
        <w:rPr>
          <w:rFonts w:cs="Arial"/>
          <w:color w:val="000000" w:themeColor="text1"/>
          <w:sz w:val="24"/>
          <w:szCs w:val="24"/>
        </w:rPr>
      </w:pPr>
      <w:r w:rsidRPr="00637727">
        <w:rPr>
          <w:rFonts w:cs="Arial"/>
          <w:color w:val="000000" w:themeColor="text1"/>
          <w:sz w:val="24"/>
          <w:szCs w:val="24"/>
        </w:rPr>
        <w:t>In order to deal with Lucy’s grievance, you must abide</w:t>
      </w:r>
      <w:r w:rsidR="0098552D">
        <w:rPr>
          <w:rFonts w:cs="Arial"/>
          <w:color w:val="000000" w:themeColor="text1"/>
          <w:sz w:val="24"/>
          <w:szCs w:val="24"/>
        </w:rPr>
        <w:t xml:space="preserve"> by</w:t>
      </w:r>
      <w:r w:rsidRPr="00637727">
        <w:rPr>
          <w:rFonts w:cs="Arial"/>
          <w:color w:val="000000" w:themeColor="text1"/>
          <w:sz w:val="24"/>
          <w:szCs w:val="24"/>
        </w:rPr>
        <w:t xml:space="preserve"> the company’s grievance policy if it meets the ACAS’s guidance, otherwise you must ensure the ACAS Code is followed (ACAS, 2015).</w:t>
      </w:r>
    </w:p>
    <w:p w:rsidR="00637727" w:rsidRPr="00637727" w:rsidRDefault="00637727" w:rsidP="00274313">
      <w:pPr>
        <w:spacing w:after="50"/>
        <w:rPr>
          <w:rFonts w:cs="Arial"/>
          <w:color w:val="000000" w:themeColor="text1"/>
          <w:sz w:val="24"/>
          <w:szCs w:val="24"/>
        </w:rPr>
      </w:pPr>
    </w:p>
    <w:p w:rsidR="00637727" w:rsidRDefault="00637727" w:rsidP="00274313">
      <w:pPr>
        <w:spacing w:after="50"/>
        <w:rPr>
          <w:rFonts w:cs="Arial"/>
          <w:color w:val="000000" w:themeColor="text1"/>
          <w:sz w:val="24"/>
          <w:szCs w:val="24"/>
        </w:rPr>
      </w:pPr>
      <w:r w:rsidRPr="00637727">
        <w:rPr>
          <w:rFonts w:cs="Arial"/>
          <w:color w:val="000000" w:themeColor="text1"/>
          <w:sz w:val="24"/>
          <w:szCs w:val="24"/>
        </w:rPr>
        <w:t xml:space="preserve">You must respond to Lucy without unreasonable delay by acknowledging the grievance and asking for the grievance to be submitted in writing. It is good practice to try and resolve grievances informally as this can avoid long term tension between employees and save company time by refraining from formal proceedings. It would be advisable to appoint an independent person to investigate and conduct meetings, someone other than Lucy’s line manager. </w:t>
      </w:r>
    </w:p>
    <w:p w:rsidR="00637727" w:rsidRPr="00637727" w:rsidRDefault="00637727" w:rsidP="00274313">
      <w:pPr>
        <w:spacing w:after="50"/>
        <w:rPr>
          <w:rFonts w:cs="Arial"/>
          <w:color w:val="000000" w:themeColor="text1"/>
          <w:sz w:val="24"/>
          <w:szCs w:val="24"/>
        </w:rPr>
      </w:pPr>
    </w:p>
    <w:p w:rsidR="00637727" w:rsidRDefault="00637727" w:rsidP="00274313">
      <w:pPr>
        <w:spacing w:after="50"/>
        <w:rPr>
          <w:rFonts w:cs="Arial"/>
          <w:color w:val="000000" w:themeColor="text1"/>
          <w:sz w:val="24"/>
          <w:szCs w:val="24"/>
        </w:rPr>
      </w:pPr>
      <w:r w:rsidRPr="00637727">
        <w:rPr>
          <w:rFonts w:cs="Arial"/>
          <w:color w:val="000000" w:themeColor="text1"/>
          <w:sz w:val="24"/>
          <w:szCs w:val="24"/>
        </w:rPr>
        <w:t>Firstly, it would be reasonable for you to meet with Lucy to discuss resolving her grievance informally. However, if this is unsuccessful, or Lucy requests the grievance to be dealt with formally, then this must be managed in accordance to the company policy, in line with ACAS’ Code (ACAS, 2015).</w:t>
      </w:r>
    </w:p>
    <w:p w:rsidR="00637727" w:rsidRPr="00637727" w:rsidRDefault="00637727" w:rsidP="00274313">
      <w:pPr>
        <w:spacing w:after="50"/>
        <w:rPr>
          <w:rFonts w:cs="Arial"/>
          <w:color w:val="000000" w:themeColor="text1"/>
          <w:sz w:val="24"/>
          <w:szCs w:val="24"/>
        </w:rPr>
      </w:pPr>
    </w:p>
    <w:p w:rsidR="00637727" w:rsidRPr="00637727" w:rsidRDefault="00637727" w:rsidP="00274313">
      <w:pPr>
        <w:spacing w:after="50"/>
        <w:rPr>
          <w:rFonts w:cs="Arial"/>
          <w:color w:val="000000" w:themeColor="text1"/>
          <w:sz w:val="24"/>
          <w:szCs w:val="24"/>
        </w:rPr>
      </w:pPr>
      <w:r w:rsidRPr="00637727">
        <w:rPr>
          <w:rFonts w:cs="Arial"/>
          <w:color w:val="000000" w:themeColor="text1"/>
          <w:sz w:val="24"/>
          <w:szCs w:val="24"/>
        </w:rPr>
        <w:t>It is important to consider the personnel who will be involved in the process. Considering the grievance surrounds the line manager, it would be advisable to avoid using Lucy’s line manager as a decision maker at any stage of the process.</w:t>
      </w:r>
    </w:p>
    <w:p w:rsidR="00637727" w:rsidRDefault="00637727" w:rsidP="00274313">
      <w:pPr>
        <w:spacing w:after="50"/>
        <w:rPr>
          <w:rFonts w:cs="Arial"/>
          <w:color w:val="000000" w:themeColor="text1"/>
          <w:sz w:val="24"/>
          <w:szCs w:val="24"/>
        </w:rPr>
      </w:pPr>
      <w:r w:rsidRPr="00637727">
        <w:rPr>
          <w:rFonts w:cs="Arial"/>
          <w:color w:val="000000" w:themeColor="text1"/>
          <w:sz w:val="24"/>
          <w:szCs w:val="24"/>
        </w:rPr>
        <w:t>As stated in ACAS (2015) guidance, the first approach to a formal grievance is arranging a meeting with the employee, to which they are entitled to be accompanied by a Trade Union representative or colleague. At this meeting, an independent person should be appointed to conduct the meeting and any investigation that may be required. Lucy should be given a fair and reasonable opportunity to voice her concerns and identify her preferred outcome. The meeting may be adjourned to complete any necessary investigations and gather further evidence.</w:t>
      </w:r>
    </w:p>
    <w:p w:rsidR="00637727" w:rsidRPr="00637727" w:rsidRDefault="00637727" w:rsidP="00274313">
      <w:pPr>
        <w:spacing w:after="50"/>
        <w:rPr>
          <w:rFonts w:cs="Arial"/>
          <w:color w:val="000000" w:themeColor="text1"/>
          <w:sz w:val="24"/>
          <w:szCs w:val="24"/>
        </w:rPr>
      </w:pPr>
    </w:p>
    <w:p w:rsidR="00637727" w:rsidRDefault="00637727" w:rsidP="00274313">
      <w:pPr>
        <w:spacing w:after="50"/>
        <w:rPr>
          <w:rFonts w:cs="Arial"/>
          <w:color w:val="000000" w:themeColor="text1"/>
          <w:sz w:val="24"/>
          <w:szCs w:val="24"/>
        </w:rPr>
      </w:pPr>
      <w:r w:rsidRPr="00637727">
        <w:rPr>
          <w:rFonts w:cs="Arial"/>
          <w:color w:val="000000" w:themeColor="text1"/>
          <w:sz w:val="24"/>
          <w:szCs w:val="24"/>
        </w:rPr>
        <w:t xml:space="preserve">Following the initial grievance meeting, the independent person will need to produce a report based on the evidence and information collected during the investigation. This report will be presented to the grievance officer who will form a decision and inform Lucy of the outcome in writing. </w:t>
      </w:r>
    </w:p>
    <w:p w:rsidR="00637727" w:rsidRPr="00637727" w:rsidRDefault="00637727" w:rsidP="00274313">
      <w:pPr>
        <w:spacing w:after="50"/>
        <w:rPr>
          <w:rFonts w:cs="Arial"/>
          <w:color w:val="000000" w:themeColor="text1"/>
          <w:sz w:val="24"/>
          <w:szCs w:val="24"/>
        </w:rPr>
      </w:pPr>
    </w:p>
    <w:p w:rsidR="00637727" w:rsidRDefault="00637727" w:rsidP="00274313">
      <w:pPr>
        <w:spacing w:after="50"/>
        <w:rPr>
          <w:rFonts w:cs="Arial"/>
          <w:color w:val="000000" w:themeColor="text1"/>
          <w:sz w:val="24"/>
          <w:szCs w:val="24"/>
        </w:rPr>
      </w:pPr>
      <w:r w:rsidRPr="00637727">
        <w:rPr>
          <w:rFonts w:cs="Arial"/>
          <w:color w:val="000000" w:themeColor="text1"/>
          <w:sz w:val="24"/>
          <w:szCs w:val="24"/>
        </w:rPr>
        <w:t>The concluded outcome may not be the outcome that Lucy had hoped for, therefore it is possible that Lucy will want to appeal the decision. Lucy is within her rights to have her appeal heard by an appeal officer. As managing director, it would be reasonable to appoint yourself as the appeal officer to manager the appeal process. Similarly, the outcome of this process would be confirmed to Lucy in writing.</w:t>
      </w:r>
    </w:p>
    <w:p w:rsidR="0098552D" w:rsidRPr="00637727" w:rsidRDefault="0098552D" w:rsidP="00274313">
      <w:pPr>
        <w:spacing w:after="50"/>
        <w:rPr>
          <w:rFonts w:cs="Arial"/>
          <w:color w:val="000000" w:themeColor="text1"/>
          <w:sz w:val="24"/>
          <w:szCs w:val="24"/>
        </w:rPr>
      </w:pPr>
    </w:p>
    <w:p w:rsidR="00637727" w:rsidRDefault="00637727" w:rsidP="00274313">
      <w:pPr>
        <w:spacing w:after="50"/>
        <w:rPr>
          <w:rFonts w:cs="Arial"/>
          <w:color w:val="000000" w:themeColor="text1"/>
          <w:sz w:val="24"/>
          <w:szCs w:val="24"/>
        </w:rPr>
      </w:pPr>
      <w:r w:rsidRPr="00637727">
        <w:rPr>
          <w:rFonts w:cs="Arial"/>
          <w:color w:val="000000" w:themeColor="text1"/>
          <w:sz w:val="24"/>
          <w:szCs w:val="24"/>
        </w:rPr>
        <w:t>I</w:t>
      </w:r>
      <w:r w:rsidR="0098552D">
        <w:rPr>
          <w:rFonts w:cs="Arial"/>
          <w:color w:val="000000" w:themeColor="text1"/>
          <w:sz w:val="24"/>
          <w:szCs w:val="24"/>
        </w:rPr>
        <w:t xml:space="preserve">f </w:t>
      </w:r>
      <w:r w:rsidRPr="00637727">
        <w:rPr>
          <w:rFonts w:cs="Arial"/>
          <w:color w:val="000000" w:themeColor="text1"/>
          <w:sz w:val="24"/>
          <w:szCs w:val="24"/>
        </w:rPr>
        <w:t>unlawful processing of sensitive personal data has taken place</w:t>
      </w:r>
      <w:r w:rsidR="0098552D">
        <w:rPr>
          <w:rFonts w:cs="Arial"/>
          <w:color w:val="000000" w:themeColor="text1"/>
          <w:sz w:val="24"/>
          <w:szCs w:val="24"/>
        </w:rPr>
        <w:t xml:space="preserve">, </w:t>
      </w:r>
      <w:r w:rsidRPr="00637727">
        <w:rPr>
          <w:rFonts w:cs="Arial"/>
          <w:color w:val="000000" w:themeColor="text1"/>
          <w:sz w:val="24"/>
          <w:szCs w:val="24"/>
        </w:rPr>
        <w:t>the extent of this will arise during an investigation</w:t>
      </w:r>
      <w:r w:rsidR="0098552D">
        <w:rPr>
          <w:rFonts w:cs="Arial"/>
          <w:color w:val="000000" w:themeColor="text1"/>
          <w:sz w:val="24"/>
          <w:szCs w:val="24"/>
        </w:rPr>
        <w:t>; this may lead to disciplinary proceedings</w:t>
      </w:r>
      <w:r w:rsidRPr="00637727">
        <w:rPr>
          <w:rFonts w:cs="Arial"/>
          <w:color w:val="000000" w:themeColor="text1"/>
          <w:sz w:val="24"/>
          <w:szCs w:val="24"/>
        </w:rPr>
        <w:t xml:space="preserve">. Lucy is within her right to complain to the Information Commissioners Office (ICO, 2021) regarding the breach of sensitive information, as personal sensitive information was shared with others without her consent (GDPR, 2018). </w:t>
      </w:r>
    </w:p>
    <w:p w:rsidR="00637727" w:rsidRPr="00637727" w:rsidRDefault="00637727" w:rsidP="00274313">
      <w:pPr>
        <w:spacing w:after="50"/>
        <w:rPr>
          <w:rFonts w:cs="Arial"/>
          <w:color w:val="000000" w:themeColor="text1"/>
          <w:sz w:val="24"/>
          <w:szCs w:val="24"/>
        </w:rPr>
      </w:pPr>
    </w:p>
    <w:p w:rsidR="00637727" w:rsidRDefault="00637727" w:rsidP="00274313">
      <w:pPr>
        <w:spacing w:after="50"/>
        <w:rPr>
          <w:rFonts w:cs="Arial"/>
          <w:color w:val="000000" w:themeColor="text1"/>
          <w:sz w:val="24"/>
          <w:szCs w:val="24"/>
        </w:rPr>
      </w:pPr>
      <w:r w:rsidRPr="00637727">
        <w:rPr>
          <w:rFonts w:cs="Arial"/>
          <w:color w:val="000000" w:themeColor="text1"/>
          <w:sz w:val="24"/>
          <w:szCs w:val="24"/>
        </w:rPr>
        <w:t>I</w:t>
      </w:r>
      <w:r w:rsidR="0098552D">
        <w:rPr>
          <w:rFonts w:cs="Arial"/>
          <w:color w:val="000000" w:themeColor="text1"/>
          <w:sz w:val="24"/>
          <w:szCs w:val="24"/>
        </w:rPr>
        <w:t>f the allegation made towards the line manager is true, then i</w:t>
      </w:r>
      <w:r w:rsidRPr="00637727">
        <w:rPr>
          <w:rFonts w:cs="Arial"/>
          <w:color w:val="000000" w:themeColor="text1"/>
          <w:sz w:val="24"/>
          <w:szCs w:val="24"/>
        </w:rPr>
        <w:t>t is important that you inform and reassure Lucy that the situation will be addressed with the manager to ensure strictest confidentiality of informa</w:t>
      </w:r>
      <w:r w:rsidR="0098552D">
        <w:rPr>
          <w:rFonts w:cs="Arial"/>
          <w:color w:val="000000" w:themeColor="text1"/>
          <w:sz w:val="24"/>
          <w:szCs w:val="24"/>
        </w:rPr>
        <w:t>tion moving forward</w:t>
      </w:r>
      <w:r w:rsidRPr="00637727">
        <w:rPr>
          <w:rFonts w:cs="Arial"/>
          <w:color w:val="000000" w:themeColor="text1"/>
          <w:sz w:val="24"/>
          <w:szCs w:val="24"/>
        </w:rPr>
        <w:t xml:space="preserve">. It is understandable that managers need to arrange appropriate cover when their staff are absent, however the reasons for an employee’s absence is confidential and this should not be shared unless the employee has consented to sharing personal information. In Lucy’s case, staff did not need to be made aware of the underlying reason for her shielding, it would be sufficient enough to only inform staff that Lucy is absent. </w:t>
      </w:r>
    </w:p>
    <w:p w:rsidR="00637727" w:rsidRPr="00637727" w:rsidRDefault="00637727" w:rsidP="00274313">
      <w:pPr>
        <w:spacing w:after="50"/>
        <w:rPr>
          <w:rFonts w:cs="Arial"/>
          <w:color w:val="000000" w:themeColor="text1"/>
          <w:sz w:val="24"/>
          <w:szCs w:val="24"/>
        </w:rPr>
      </w:pPr>
    </w:p>
    <w:p w:rsidR="00637727" w:rsidRDefault="00637727" w:rsidP="00274313">
      <w:pPr>
        <w:spacing w:after="50"/>
        <w:rPr>
          <w:rFonts w:cs="Arial"/>
          <w:color w:val="000000" w:themeColor="text1"/>
          <w:sz w:val="24"/>
          <w:szCs w:val="24"/>
        </w:rPr>
      </w:pPr>
      <w:r w:rsidRPr="00637727">
        <w:rPr>
          <w:rFonts w:cs="Arial"/>
          <w:color w:val="000000" w:themeColor="text1"/>
          <w:sz w:val="24"/>
          <w:szCs w:val="24"/>
        </w:rPr>
        <w:t>It is important for employees at Big Buses Ltd to understand the principal of proportionality, by identifying who actually needs to know as this may vary in every circumstance. The manager did not need to send an email to all staff at Big Buses Ltd. A situation where the company would have legal duty to inform their employees of an absence would be if a member of staff tested positive and this affected. In this circumstance, it would be reasonable to inform the staff who may have been exposed to this positive employee.</w:t>
      </w:r>
    </w:p>
    <w:p w:rsidR="00637727" w:rsidRPr="00637727" w:rsidRDefault="00637727" w:rsidP="00274313">
      <w:pPr>
        <w:spacing w:after="50"/>
        <w:rPr>
          <w:rFonts w:cs="Arial"/>
          <w:color w:val="000000" w:themeColor="text1"/>
          <w:sz w:val="24"/>
          <w:szCs w:val="24"/>
        </w:rPr>
      </w:pPr>
    </w:p>
    <w:p w:rsidR="00637727" w:rsidRDefault="00637727" w:rsidP="00274313">
      <w:pPr>
        <w:spacing w:after="50"/>
        <w:rPr>
          <w:rFonts w:cs="Arial"/>
          <w:color w:val="000000" w:themeColor="text1"/>
          <w:sz w:val="24"/>
          <w:szCs w:val="24"/>
        </w:rPr>
      </w:pPr>
      <w:r w:rsidRPr="00637727">
        <w:rPr>
          <w:rFonts w:cs="Arial"/>
          <w:color w:val="000000" w:themeColor="text1"/>
          <w:sz w:val="24"/>
          <w:szCs w:val="24"/>
        </w:rPr>
        <w:t xml:space="preserve">GDPR 2018 and the DPA 2018 advise </w:t>
      </w:r>
      <w:r w:rsidR="00D74BED" w:rsidRPr="00637727">
        <w:rPr>
          <w:rFonts w:cs="Arial"/>
          <w:color w:val="000000" w:themeColor="text1"/>
          <w:sz w:val="24"/>
          <w:szCs w:val="24"/>
        </w:rPr>
        <w:t>organisation’s</w:t>
      </w:r>
      <w:r w:rsidRPr="00637727">
        <w:rPr>
          <w:rFonts w:cs="Arial"/>
          <w:color w:val="000000" w:themeColor="text1"/>
          <w:sz w:val="24"/>
          <w:szCs w:val="24"/>
        </w:rPr>
        <w:t xml:space="preserve"> to not keep personal data for any unreasonable and unlawful period. The CIPD (2020) state that there is no specific statutory retention period for documentation relating to sickness absences. However, they do advise to keep records for a minimum of 6 months after the end of every sick leave, in case a disability claim arises, and up to 6 years as this would encapsulate the 3-year personal injury claim limitation period.</w:t>
      </w:r>
    </w:p>
    <w:p w:rsidR="00637727" w:rsidRPr="00637727" w:rsidRDefault="00637727" w:rsidP="00274313">
      <w:pPr>
        <w:spacing w:after="50"/>
        <w:rPr>
          <w:rFonts w:cs="Arial"/>
          <w:color w:val="000000" w:themeColor="text1"/>
          <w:sz w:val="24"/>
          <w:szCs w:val="24"/>
        </w:rPr>
      </w:pPr>
    </w:p>
    <w:p w:rsidR="00637727" w:rsidRPr="00637727" w:rsidRDefault="00637727" w:rsidP="00274313">
      <w:pPr>
        <w:spacing w:after="50"/>
        <w:rPr>
          <w:rFonts w:cs="Arial"/>
          <w:color w:val="000000" w:themeColor="text1"/>
          <w:sz w:val="24"/>
          <w:szCs w:val="24"/>
        </w:rPr>
      </w:pPr>
      <w:r w:rsidRPr="00637727">
        <w:rPr>
          <w:rFonts w:cs="Arial"/>
          <w:color w:val="000000" w:themeColor="text1"/>
          <w:sz w:val="24"/>
          <w:szCs w:val="24"/>
        </w:rPr>
        <w:t xml:space="preserve">Various consequences can follow for breaching data protection regulations. These can be financial consequences, bans on data processing, warnings and reprimands. </w:t>
      </w:r>
    </w:p>
    <w:p w:rsidR="00637727" w:rsidRDefault="00637727" w:rsidP="00274313">
      <w:pPr>
        <w:spacing w:after="50"/>
        <w:rPr>
          <w:rFonts w:cs="Arial"/>
          <w:color w:val="000000" w:themeColor="text1"/>
          <w:sz w:val="24"/>
          <w:szCs w:val="24"/>
        </w:rPr>
      </w:pPr>
      <w:r w:rsidRPr="00637727">
        <w:rPr>
          <w:rFonts w:cs="Arial"/>
          <w:color w:val="000000" w:themeColor="text1"/>
          <w:sz w:val="24"/>
          <w:szCs w:val="24"/>
        </w:rPr>
        <w:t>It would be advisable to remind the line manager of the importance of complying with confidentiality and information security; attending further GDPR and information security training may be beneficial in raising and enhancing awareness. CIPD (2020c) provide an action plan for employers to ensure compliance with GDPR, DPR and Freedom of information regulations, which may be relevant for yourself and managers to read and implement.</w:t>
      </w:r>
    </w:p>
    <w:p w:rsidR="00637727" w:rsidRPr="00637727" w:rsidRDefault="00637727" w:rsidP="00274313">
      <w:pPr>
        <w:spacing w:after="50"/>
        <w:rPr>
          <w:rFonts w:cs="Arial"/>
          <w:color w:val="000000" w:themeColor="text1"/>
          <w:sz w:val="24"/>
          <w:szCs w:val="24"/>
        </w:rPr>
      </w:pPr>
    </w:p>
    <w:p w:rsidR="00637727" w:rsidRDefault="00637727" w:rsidP="00274313">
      <w:pPr>
        <w:spacing w:after="50"/>
        <w:rPr>
          <w:rFonts w:cs="Arial"/>
          <w:color w:val="000000" w:themeColor="text1"/>
          <w:sz w:val="24"/>
          <w:szCs w:val="24"/>
        </w:rPr>
      </w:pPr>
      <w:r w:rsidRPr="00637727">
        <w:rPr>
          <w:rFonts w:cs="Arial"/>
          <w:color w:val="000000" w:themeColor="text1"/>
          <w:sz w:val="24"/>
          <w:szCs w:val="24"/>
        </w:rPr>
        <w:t xml:space="preserve">To record absences, Big Buses Ltd should follow the guidance stated in your sickness management policy if ACAS compliant, otherwise ACAS (2021d) provide advice on best practices. The process of recording sickness absences relating to covid-19 or self-isolation periods should be recorded differently to non covid-19 related absences. CIPD (2021) advise employers to disregard covid-19 absences when looking at trigger points if included as part of the sickness management policy. Therefore, it is important that you manage the recording of absences accurately and fairly. </w:t>
      </w:r>
    </w:p>
    <w:p w:rsidR="00637727" w:rsidRPr="00637727" w:rsidRDefault="00637727" w:rsidP="00274313">
      <w:pPr>
        <w:spacing w:after="50"/>
        <w:rPr>
          <w:rFonts w:cs="Arial"/>
          <w:color w:val="000000" w:themeColor="text1"/>
          <w:sz w:val="24"/>
          <w:szCs w:val="24"/>
        </w:rPr>
      </w:pPr>
    </w:p>
    <w:p w:rsidR="00637727" w:rsidRDefault="00637727" w:rsidP="00274313">
      <w:pPr>
        <w:spacing w:after="50"/>
        <w:rPr>
          <w:rFonts w:cs="Arial"/>
          <w:color w:val="000000" w:themeColor="text1"/>
          <w:sz w:val="24"/>
          <w:szCs w:val="24"/>
        </w:rPr>
      </w:pPr>
      <w:r w:rsidRPr="00637727">
        <w:rPr>
          <w:rFonts w:cs="Arial"/>
          <w:color w:val="000000" w:themeColor="text1"/>
          <w:sz w:val="24"/>
          <w:szCs w:val="24"/>
        </w:rPr>
        <w:t>In regards to Lucy objecting to return to work meetings, it would be unreasonable for her to not attend. Big Buses L</w:t>
      </w:r>
      <w:bookmarkStart w:id="4" w:name="_GoBack"/>
      <w:bookmarkEnd w:id="4"/>
      <w:r w:rsidRPr="00637727">
        <w:rPr>
          <w:rFonts w:cs="Arial"/>
          <w:color w:val="000000" w:themeColor="text1"/>
          <w:sz w:val="24"/>
          <w:szCs w:val="24"/>
        </w:rPr>
        <w:t>td have a duty of care to ensure employers who return to working are safe, ready and well enough to do so (HSE, 2021). This includes those who return from sickness to continue working remotely. By failing to undertake return to work meetings, the company would not be complying with health and safety and its legal obligations, therefore breaching policies and procedures in line with the HSAWA, 1974 (Daniels, 2019).</w:t>
      </w:r>
    </w:p>
    <w:p w:rsidR="00637727" w:rsidRPr="00637727" w:rsidRDefault="00637727" w:rsidP="00274313">
      <w:pPr>
        <w:spacing w:after="50"/>
        <w:rPr>
          <w:rFonts w:cs="Arial"/>
          <w:color w:val="000000" w:themeColor="text1"/>
          <w:sz w:val="24"/>
          <w:szCs w:val="24"/>
        </w:rPr>
      </w:pPr>
    </w:p>
    <w:p w:rsidR="00637727" w:rsidRPr="00637727" w:rsidRDefault="00637727" w:rsidP="00274313">
      <w:pPr>
        <w:spacing w:after="50"/>
        <w:rPr>
          <w:rFonts w:cs="Arial"/>
          <w:color w:val="000000" w:themeColor="text1"/>
          <w:sz w:val="24"/>
          <w:szCs w:val="24"/>
        </w:rPr>
      </w:pPr>
      <w:r w:rsidRPr="00637727">
        <w:rPr>
          <w:rFonts w:cs="Arial"/>
          <w:color w:val="000000" w:themeColor="text1"/>
          <w:sz w:val="24"/>
          <w:szCs w:val="24"/>
        </w:rPr>
        <w:t xml:space="preserve">These meetings are in the employees’ best interest and are a legitimate practice, therefore allowing Big Buses Ltd to be assertive in asking Lucy to attend. </w:t>
      </w:r>
    </w:p>
    <w:p w:rsidR="00637727" w:rsidRPr="00637727" w:rsidRDefault="00637727" w:rsidP="00274313">
      <w:pPr>
        <w:spacing w:after="50"/>
        <w:rPr>
          <w:rFonts w:cs="Arial"/>
          <w:color w:val="000000" w:themeColor="text1"/>
          <w:sz w:val="24"/>
          <w:szCs w:val="24"/>
        </w:rPr>
      </w:pPr>
    </w:p>
    <w:p w:rsidR="00637727" w:rsidRDefault="00637727" w:rsidP="00274313">
      <w:pPr>
        <w:spacing w:after="50"/>
        <w:rPr>
          <w:rFonts w:cs="Arial"/>
          <w:color w:val="000000" w:themeColor="text1"/>
          <w:sz w:val="24"/>
          <w:szCs w:val="24"/>
        </w:rPr>
      </w:pPr>
      <w:r w:rsidRPr="00637727">
        <w:rPr>
          <w:rFonts w:cs="Arial"/>
          <w:color w:val="000000" w:themeColor="text1"/>
          <w:sz w:val="24"/>
          <w:szCs w:val="24"/>
        </w:rPr>
        <w:t xml:space="preserve">If you have any questions regarding the above or require further information, please do not hesitate to contact me. </w:t>
      </w:r>
    </w:p>
    <w:p w:rsidR="00637727" w:rsidRPr="00637727" w:rsidRDefault="00637727" w:rsidP="00274313">
      <w:pPr>
        <w:spacing w:after="50"/>
        <w:rPr>
          <w:rFonts w:cs="Arial"/>
          <w:color w:val="000000" w:themeColor="text1"/>
          <w:sz w:val="24"/>
          <w:szCs w:val="24"/>
        </w:rPr>
      </w:pPr>
    </w:p>
    <w:p w:rsidR="00637727" w:rsidRPr="00637727" w:rsidRDefault="00637727" w:rsidP="00274313">
      <w:pPr>
        <w:spacing w:after="50"/>
        <w:rPr>
          <w:rFonts w:cs="Arial"/>
          <w:color w:val="000000" w:themeColor="text1"/>
          <w:sz w:val="24"/>
          <w:szCs w:val="24"/>
        </w:rPr>
      </w:pPr>
      <w:r w:rsidRPr="00637727">
        <w:rPr>
          <w:rFonts w:cs="Arial"/>
          <w:color w:val="000000" w:themeColor="text1"/>
          <w:sz w:val="24"/>
          <w:szCs w:val="24"/>
        </w:rPr>
        <w:t>Kind regards</w:t>
      </w:r>
    </w:p>
    <w:p w:rsidR="00637727" w:rsidRPr="00637727" w:rsidRDefault="00637727" w:rsidP="00274313">
      <w:pPr>
        <w:spacing w:after="50"/>
        <w:rPr>
          <w:rFonts w:cs="Arial"/>
          <w:color w:val="000000" w:themeColor="text1"/>
          <w:sz w:val="24"/>
          <w:szCs w:val="24"/>
        </w:rPr>
      </w:pPr>
      <w:r w:rsidRPr="00637727">
        <w:rPr>
          <w:rFonts w:cs="Arial"/>
          <w:color w:val="000000" w:themeColor="text1"/>
          <w:sz w:val="24"/>
          <w:szCs w:val="24"/>
        </w:rPr>
        <w:t xml:space="preserve">Katy </w:t>
      </w:r>
    </w:p>
    <w:bookmarkEnd w:id="3"/>
    <w:p w:rsidR="00637727" w:rsidRPr="00FF3FC6" w:rsidRDefault="00637727" w:rsidP="00FF3FC6">
      <w:pPr>
        <w:rPr>
          <w:color w:val="auto"/>
          <w:sz w:val="24"/>
          <w:szCs w:val="24"/>
        </w:rPr>
      </w:pPr>
    </w:p>
    <w:p w:rsidR="00FF3FC6" w:rsidRDefault="00FF3FC6">
      <w:pPr>
        <w:rPr>
          <w:sz w:val="16"/>
        </w:rPr>
      </w:pPr>
    </w:p>
    <w:p w:rsidR="002F701B" w:rsidRDefault="002F701B">
      <w:pPr>
        <w:rPr>
          <w:sz w:val="16"/>
        </w:rPr>
      </w:pPr>
    </w:p>
    <w:p w:rsidR="002F701B" w:rsidRDefault="002F701B">
      <w:pPr>
        <w:rPr>
          <w:sz w:val="16"/>
        </w:rPr>
      </w:pPr>
    </w:p>
    <w:p w:rsidR="002F701B" w:rsidRDefault="002F701B">
      <w:pPr>
        <w:rPr>
          <w:sz w:val="16"/>
        </w:rPr>
      </w:pPr>
    </w:p>
    <w:p w:rsidR="002F701B" w:rsidRDefault="002F701B">
      <w:pPr>
        <w:rPr>
          <w:sz w:val="16"/>
        </w:rPr>
      </w:pPr>
    </w:p>
    <w:p w:rsidR="002F701B" w:rsidRDefault="002F701B">
      <w:pPr>
        <w:rPr>
          <w:sz w:val="16"/>
        </w:rPr>
      </w:pPr>
    </w:p>
    <w:p w:rsidR="002F701B" w:rsidRDefault="002F701B">
      <w:pPr>
        <w:rPr>
          <w:sz w:val="16"/>
        </w:rPr>
      </w:pPr>
    </w:p>
    <w:p w:rsidR="002F701B" w:rsidRDefault="002F701B">
      <w:pPr>
        <w:rPr>
          <w:sz w:val="16"/>
        </w:rPr>
      </w:pPr>
    </w:p>
    <w:p w:rsidR="002F701B" w:rsidRDefault="002F701B">
      <w:pPr>
        <w:rPr>
          <w:sz w:val="16"/>
        </w:rPr>
      </w:pPr>
    </w:p>
    <w:p w:rsidR="002F701B" w:rsidRDefault="002F701B">
      <w:pPr>
        <w:rPr>
          <w:sz w:val="16"/>
        </w:rPr>
      </w:pPr>
    </w:p>
    <w:p w:rsidR="002F701B" w:rsidRDefault="002F701B">
      <w:pPr>
        <w:rPr>
          <w:sz w:val="16"/>
        </w:rPr>
      </w:pPr>
    </w:p>
    <w:p w:rsidR="002F701B" w:rsidRDefault="002F701B">
      <w:pPr>
        <w:rPr>
          <w:sz w:val="16"/>
        </w:rPr>
      </w:pPr>
    </w:p>
    <w:p w:rsidR="002F701B" w:rsidRDefault="002F701B">
      <w:pPr>
        <w:rPr>
          <w:sz w:val="16"/>
        </w:rPr>
      </w:pPr>
    </w:p>
    <w:p w:rsidR="002F701B" w:rsidRDefault="002F701B">
      <w:pPr>
        <w:rPr>
          <w:sz w:val="16"/>
        </w:rPr>
      </w:pPr>
    </w:p>
    <w:p w:rsidR="002F701B" w:rsidRDefault="002F701B">
      <w:pPr>
        <w:rPr>
          <w:sz w:val="16"/>
        </w:rPr>
      </w:pPr>
    </w:p>
    <w:p w:rsidR="002F701B" w:rsidRDefault="002F701B">
      <w:pPr>
        <w:rPr>
          <w:sz w:val="16"/>
        </w:rPr>
      </w:pPr>
    </w:p>
    <w:p w:rsidR="002F701B" w:rsidRDefault="002F701B">
      <w:pPr>
        <w:rPr>
          <w:sz w:val="16"/>
        </w:rPr>
      </w:pPr>
    </w:p>
    <w:p w:rsidR="002F701B" w:rsidRDefault="002F701B">
      <w:pPr>
        <w:rPr>
          <w:sz w:val="16"/>
        </w:rPr>
      </w:pPr>
    </w:p>
    <w:p w:rsidR="002F701B" w:rsidRDefault="002F701B">
      <w:pPr>
        <w:rPr>
          <w:sz w:val="16"/>
        </w:rPr>
      </w:pPr>
    </w:p>
    <w:p w:rsidR="002F701B" w:rsidRDefault="002F701B">
      <w:pPr>
        <w:rPr>
          <w:sz w:val="16"/>
        </w:rPr>
      </w:pPr>
    </w:p>
    <w:p w:rsidR="002F701B" w:rsidRDefault="002F701B">
      <w:pPr>
        <w:rPr>
          <w:sz w:val="16"/>
        </w:rPr>
      </w:pPr>
    </w:p>
    <w:p w:rsidR="002F701B" w:rsidRDefault="002F701B">
      <w:pPr>
        <w:rPr>
          <w:sz w:val="16"/>
        </w:rPr>
      </w:pPr>
    </w:p>
    <w:p w:rsidR="002F701B" w:rsidRDefault="002F701B">
      <w:pPr>
        <w:rPr>
          <w:sz w:val="16"/>
        </w:rPr>
      </w:pPr>
    </w:p>
    <w:p w:rsidR="002F701B" w:rsidRDefault="002F701B">
      <w:pPr>
        <w:rPr>
          <w:sz w:val="16"/>
        </w:rPr>
      </w:pPr>
    </w:p>
    <w:p w:rsidR="002F701B" w:rsidRDefault="002F701B">
      <w:pPr>
        <w:rPr>
          <w:sz w:val="16"/>
        </w:rPr>
      </w:pPr>
    </w:p>
    <w:p w:rsidR="002F701B" w:rsidRDefault="002F701B">
      <w:pPr>
        <w:rPr>
          <w:sz w:val="16"/>
        </w:rPr>
      </w:pPr>
    </w:p>
    <w:p w:rsidR="002F701B" w:rsidRDefault="002F701B">
      <w:pPr>
        <w:rPr>
          <w:sz w:val="16"/>
        </w:rPr>
      </w:pPr>
    </w:p>
    <w:p w:rsidR="002F701B" w:rsidRDefault="002F701B">
      <w:pPr>
        <w:rPr>
          <w:sz w:val="16"/>
        </w:rPr>
      </w:pPr>
    </w:p>
    <w:p w:rsidR="002F701B" w:rsidRDefault="002F701B">
      <w:pPr>
        <w:rPr>
          <w:sz w:val="16"/>
        </w:rPr>
      </w:pPr>
    </w:p>
    <w:p w:rsidR="00637727" w:rsidRDefault="00637727">
      <w:pPr>
        <w:rPr>
          <w:sz w:val="16"/>
        </w:rPr>
      </w:pPr>
    </w:p>
    <w:p w:rsidR="00637727" w:rsidRDefault="00637727">
      <w:pPr>
        <w:rPr>
          <w:sz w:val="16"/>
        </w:rPr>
      </w:pPr>
    </w:p>
    <w:p w:rsidR="00637727" w:rsidRDefault="00637727">
      <w:pPr>
        <w:rPr>
          <w:sz w:val="16"/>
        </w:rPr>
      </w:pPr>
    </w:p>
    <w:p w:rsidR="00637727" w:rsidRDefault="00637727">
      <w:pPr>
        <w:rPr>
          <w:sz w:val="16"/>
        </w:rPr>
      </w:pPr>
    </w:p>
    <w:p w:rsidR="00637727" w:rsidRDefault="00637727">
      <w:pPr>
        <w:rPr>
          <w:sz w:val="16"/>
        </w:rPr>
      </w:pPr>
    </w:p>
    <w:p w:rsidR="00637727" w:rsidRDefault="00637727">
      <w:pPr>
        <w:rPr>
          <w:sz w:val="16"/>
        </w:rPr>
      </w:pPr>
    </w:p>
    <w:p w:rsidR="00637727" w:rsidRDefault="00637727">
      <w:pPr>
        <w:rPr>
          <w:sz w:val="16"/>
        </w:rPr>
      </w:pPr>
    </w:p>
    <w:p w:rsidR="00637727" w:rsidRDefault="00637727">
      <w:pPr>
        <w:rPr>
          <w:sz w:val="16"/>
        </w:rPr>
      </w:pPr>
    </w:p>
    <w:p w:rsidR="007B6F20" w:rsidRDefault="007B6F20">
      <w:pPr>
        <w:rPr>
          <w:sz w:val="16"/>
        </w:rPr>
      </w:pPr>
    </w:p>
    <w:p w:rsidR="00637727" w:rsidRDefault="00637727">
      <w:pPr>
        <w:rPr>
          <w:sz w:val="16"/>
        </w:rPr>
      </w:pPr>
    </w:p>
    <w:p w:rsidR="002F701B" w:rsidRDefault="002F701B">
      <w:pPr>
        <w:rPr>
          <w:sz w:val="16"/>
        </w:rPr>
      </w:pPr>
    </w:p>
    <w:p w:rsidR="002F701B" w:rsidRDefault="002F701B">
      <w:pPr>
        <w:rPr>
          <w:sz w:val="16"/>
        </w:rPr>
      </w:pPr>
    </w:p>
    <w:p w:rsidR="002F701B" w:rsidRDefault="002F701B">
      <w:pPr>
        <w:rPr>
          <w:sz w:val="16"/>
        </w:rPr>
      </w:pPr>
    </w:p>
    <w:p w:rsidR="002F701B" w:rsidRPr="00637727" w:rsidRDefault="002F701B" w:rsidP="002F701B">
      <w:pPr>
        <w:rPr>
          <w:b/>
          <w:color w:val="auto"/>
          <w:sz w:val="24"/>
          <w:u w:val="single"/>
        </w:rPr>
      </w:pPr>
      <w:r w:rsidRPr="00637727">
        <w:rPr>
          <w:b/>
          <w:color w:val="auto"/>
          <w:sz w:val="24"/>
          <w:u w:val="single"/>
        </w:rPr>
        <w:t>References</w:t>
      </w:r>
    </w:p>
    <w:p w:rsidR="002F701B" w:rsidRPr="002F701B" w:rsidRDefault="002F701B" w:rsidP="002F701B">
      <w:pPr>
        <w:rPr>
          <w:color w:val="auto"/>
          <w:sz w:val="24"/>
          <w:szCs w:val="24"/>
        </w:rPr>
      </w:pPr>
    </w:p>
    <w:p w:rsidR="002F701B" w:rsidRPr="002F701B" w:rsidRDefault="002F701B" w:rsidP="002F701B">
      <w:pPr>
        <w:pStyle w:val="ListParagraph"/>
        <w:numPr>
          <w:ilvl w:val="0"/>
          <w:numId w:val="2"/>
        </w:numPr>
        <w:rPr>
          <w:rFonts w:ascii="Arial" w:hAnsi="Arial" w:cs="Arial"/>
          <w:sz w:val="24"/>
          <w:szCs w:val="24"/>
        </w:rPr>
      </w:pPr>
      <w:r w:rsidRPr="002F701B">
        <w:rPr>
          <w:rFonts w:ascii="Arial" w:hAnsi="Arial" w:cs="Arial"/>
          <w:sz w:val="24"/>
          <w:szCs w:val="24"/>
        </w:rPr>
        <w:t xml:space="preserve">ACAS (2013) </w:t>
      </w:r>
      <w:r w:rsidRPr="002F701B">
        <w:rPr>
          <w:rFonts w:ascii="Arial" w:hAnsi="Arial" w:cs="Arial"/>
          <w:i/>
          <w:sz w:val="24"/>
          <w:szCs w:val="24"/>
        </w:rPr>
        <w:t>Code of Practice on Settlement Agreements.</w:t>
      </w:r>
      <w:r w:rsidRPr="002F701B">
        <w:rPr>
          <w:rFonts w:ascii="Arial" w:hAnsi="Arial" w:cs="Arial"/>
          <w:sz w:val="24"/>
          <w:szCs w:val="24"/>
        </w:rPr>
        <w:t xml:space="preserve"> Available at: </w:t>
      </w:r>
      <w:hyperlink r:id="rId7" w:history="1">
        <w:r w:rsidR="00637727" w:rsidRPr="00B06A50">
          <w:rPr>
            <w:rStyle w:val="Hyperlink"/>
            <w:rFonts w:ascii="Arial" w:hAnsi="Arial" w:cs="Arial"/>
            <w:sz w:val="24"/>
            <w:szCs w:val="24"/>
          </w:rPr>
          <w:t>https://www.acas.org.uk/code-of-practice-settlement-agreements</w:t>
        </w:r>
      </w:hyperlink>
      <w:r w:rsidRPr="002F701B">
        <w:rPr>
          <w:rFonts w:ascii="Arial" w:hAnsi="Arial" w:cs="Arial"/>
          <w:sz w:val="24"/>
          <w:szCs w:val="24"/>
        </w:rPr>
        <w:t xml:space="preserve"> [Accessed: 9 April 2021]</w:t>
      </w:r>
      <w:r w:rsidR="00637727">
        <w:rPr>
          <w:rFonts w:ascii="Arial" w:hAnsi="Arial" w:cs="Arial"/>
          <w:sz w:val="24"/>
          <w:szCs w:val="24"/>
        </w:rPr>
        <w:br/>
      </w:r>
    </w:p>
    <w:p w:rsidR="002F701B" w:rsidRPr="002F701B" w:rsidRDefault="002F701B" w:rsidP="002F701B">
      <w:pPr>
        <w:pStyle w:val="ListParagraph"/>
        <w:numPr>
          <w:ilvl w:val="0"/>
          <w:numId w:val="2"/>
        </w:numPr>
        <w:rPr>
          <w:rFonts w:ascii="Arial" w:hAnsi="Arial" w:cs="Arial"/>
          <w:sz w:val="24"/>
          <w:szCs w:val="24"/>
        </w:rPr>
      </w:pPr>
      <w:r w:rsidRPr="002F701B">
        <w:rPr>
          <w:rFonts w:ascii="Arial" w:hAnsi="Arial" w:cs="Arial"/>
          <w:sz w:val="24"/>
          <w:szCs w:val="24"/>
        </w:rPr>
        <w:t xml:space="preserve">ACAS (2015) </w:t>
      </w:r>
      <w:r w:rsidRPr="002F701B">
        <w:rPr>
          <w:rFonts w:ascii="Arial" w:hAnsi="Arial" w:cs="Arial"/>
          <w:i/>
          <w:sz w:val="24"/>
          <w:szCs w:val="24"/>
        </w:rPr>
        <w:t>Code of Practice on disciplinary and grievance procedures</w:t>
      </w:r>
      <w:r w:rsidRPr="002F701B">
        <w:rPr>
          <w:rFonts w:ascii="Arial" w:hAnsi="Arial" w:cs="Arial"/>
          <w:sz w:val="24"/>
          <w:szCs w:val="24"/>
        </w:rPr>
        <w:t xml:space="preserve">. Available at: </w:t>
      </w:r>
      <w:hyperlink r:id="rId8" w:history="1">
        <w:r w:rsidR="00637727" w:rsidRPr="00B06A50">
          <w:rPr>
            <w:rStyle w:val="Hyperlink"/>
            <w:rFonts w:ascii="Arial" w:hAnsi="Arial" w:cs="Arial"/>
            <w:sz w:val="24"/>
            <w:szCs w:val="24"/>
          </w:rPr>
          <w:t>https://www.acas.org.uk/acas-code-of-practice-for-disciplinary-and-grievance-procedures/html</w:t>
        </w:r>
      </w:hyperlink>
      <w:r w:rsidRPr="002F701B">
        <w:rPr>
          <w:rFonts w:ascii="Arial" w:hAnsi="Arial" w:cs="Arial"/>
          <w:sz w:val="24"/>
          <w:szCs w:val="24"/>
        </w:rPr>
        <w:t xml:space="preserve"> [Accessed: 8 April 2021]</w:t>
      </w:r>
      <w:r w:rsidR="00637727">
        <w:rPr>
          <w:rFonts w:ascii="Arial" w:hAnsi="Arial" w:cs="Arial"/>
          <w:sz w:val="24"/>
          <w:szCs w:val="24"/>
        </w:rPr>
        <w:br/>
      </w:r>
    </w:p>
    <w:p w:rsidR="002F701B" w:rsidRPr="002F701B" w:rsidRDefault="002F701B" w:rsidP="002F701B">
      <w:pPr>
        <w:pStyle w:val="ListParagraph"/>
        <w:numPr>
          <w:ilvl w:val="0"/>
          <w:numId w:val="2"/>
        </w:numPr>
        <w:rPr>
          <w:rFonts w:ascii="Arial" w:hAnsi="Arial" w:cs="Arial"/>
          <w:sz w:val="24"/>
          <w:szCs w:val="24"/>
        </w:rPr>
      </w:pPr>
      <w:r w:rsidRPr="002F701B">
        <w:rPr>
          <w:rFonts w:ascii="Arial" w:hAnsi="Arial" w:cs="Arial"/>
          <w:sz w:val="24"/>
          <w:szCs w:val="24"/>
        </w:rPr>
        <w:t xml:space="preserve">ACAS (2021) </w:t>
      </w:r>
      <w:r w:rsidRPr="002F701B">
        <w:rPr>
          <w:rFonts w:ascii="Arial" w:hAnsi="Arial" w:cs="Arial"/>
          <w:i/>
          <w:sz w:val="24"/>
          <w:szCs w:val="24"/>
        </w:rPr>
        <w:t>Whistle-blowing: Public Interest Disclosure</w:t>
      </w:r>
      <w:r w:rsidRPr="002F701B">
        <w:rPr>
          <w:rFonts w:ascii="Arial" w:hAnsi="Arial" w:cs="Arial"/>
          <w:sz w:val="24"/>
          <w:szCs w:val="24"/>
        </w:rPr>
        <w:t xml:space="preserve">. Available at: </w:t>
      </w:r>
      <w:hyperlink r:id="rId9" w:history="1">
        <w:r w:rsidR="00637727" w:rsidRPr="00B06A50">
          <w:rPr>
            <w:rStyle w:val="Hyperlink"/>
            <w:rFonts w:ascii="Arial" w:hAnsi="Arial" w:cs="Arial"/>
            <w:sz w:val="24"/>
            <w:szCs w:val="24"/>
          </w:rPr>
          <w:t>https://archive.acas.org.uk/index.aspx?articleid=1919</w:t>
        </w:r>
      </w:hyperlink>
      <w:r w:rsidRPr="002F701B">
        <w:rPr>
          <w:rFonts w:ascii="Arial" w:hAnsi="Arial" w:cs="Arial"/>
          <w:sz w:val="24"/>
          <w:szCs w:val="24"/>
        </w:rPr>
        <w:t xml:space="preserve"> [Accessed: 30 March 2021]</w:t>
      </w:r>
      <w:r w:rsidR="00637727">
        <w:rPr>
          <w:rFonts w:ascii="Arial" w:hAnsi="Arial" w:cs="Arial"/>
          <w:sz w:val="24"/>
          <w:szCs w:val="24"/>
        </w:rPr>
        <w:br/>
      </w:r>
    </w:p>
    <w:p w:rsidR="002F701B" w:rsidRPr="002F701B" w:rsidRDefault="002F701B" w:rsidP="002F701B">
      <w:pPr>
        <w:pStyle w:val="ListParagraph"/>
        <w:numPr>
          <w:ilvl w:val="0"/>
          <w:numId w:val="2"/>
        </w:numPr>
        <w:rPr>
          <w:rFonts w:ascii="Arial" w:hAnsi="Arial" w:cs="Arial"/>
          <w:sz w:val="24"/>
          <w:szCs w:val="24"/>
        </w:rPr>
      </w:pPr>
      <w:r w:rsidRPr="002F701B">
        <w:rPr>
          <w:rFonts w:ascii="Arial" w:hAnsi="Arial" w:cs="Arial"/>
          <w:sz w:val="24"/>
          <w:szCs w:val="24"/>
        </w:rPr>
        <w:t xml:space="preserve">ACAS (2021a) </w:t>
      </w:r>
      <w:r w:rsidRPr="002F701B">
        <w:rPr>
          <w:rFonts w:ascii="Arial" w:hAnsi="Arial" w:cs="Arial"/>
          <w:i/>
          <w:sz w:val="24"/>
          <w:szCs w:val="24"/>
        </w:rPr>
        <w:t>Dismissal</w:t>
      </w:r>
      <w:r w:rsidRPr="002F701B">
        <w:rPr>
          <w:rFonts w:ascii="Arial" w:hAnsi="Arial" w:cs="Arial"/>
          <w:sz w:val="24"/>
          <w:szCs w:val="24"/>
        </w:rPr>
        <w:t xml:space="preserve">. Available at: </w:t>
      </w:r>
      <w:hyperlink r:id="rId10" w:history="1">
        <w:r w:rsidR="00637727" w:rsidRPr="00B06A50">
          <w:rPr>
            <w:rStyle w:val="Hyperlink"/>
            <w:rFonts w:ascii="Arial" w:hAnsi="Arial" w:cs="Arial"/>
            <w:sz w:val="24"/>
            <w:szCs w:val="24"/>
          </w:rPr>
          <w:t>https://www.acas.org.uk/dismissals</w:t>
        </w:r>
      </w:hyperlink>
      <w:r w:rsidRPr="002F701B">
        <w:rPr>
          <w:rFonts w:ascii="Arial" w:hAnsi="Arial" w:cs="Arial"/>
          <w:sz w:val="24"/>
          <w:szCs w:val="24"/>
        </w:rPr>
        <w:t xml:space="preserve"> [Accessed: 30 March 2021]</w:t>
      </w:r>
      <w:r w:rsidR="00637727">
        <w:rPr>
          <w:rFonts w:ascii="Arial" w:hAnsi="Arial" w:cs="Arial"/>
          <w:sz w:val="24"/>
          <w:szCs w:val="24"/>
        </w:rPr>
        <w:br/>
      </w:r>
    </w:p>
    <w:p w:rsidR="002F701B" w:rsidRPr="002F701B" w:rsidRDefault="002F701B" w:rsidP="002F701B">
      <w:pPr>
        <w:pStyle w:val="ListParagraph"/>
        <w:numPr>
          <w:ilvl w:val="0"/>
          <w:numId w:val="2"/>
        </w:numPr>
        <w:rPr>
          <w:rFonts w:ascii="Arial" w:hAnsi="Arial" w:cs="Arial"/>
          <w:sz w:val="24"/>
        </w:rPr>
      </w:pPr>
      <w:r w:rsidRPr="002F701B">
        <w:rPr>
          <w:rFonts w:ascii="Arial" w:hAnsi="Arial" w:cs="Arial"/>
          <w:sz w:val="24"/>
        </w:rPr>
        <w:t>ACAS (2021</w:t>
      </w:r>
      <w:r w:rsidR="00637727">
        <w:rPr>
          <w:rFonts w:ascii="Arial" w:hAnsi="Arial" w:cs="Arial"/>
          <w:sz w:val="24"/>
        </w:rPr>
        <w:t>b</w:t>
      </w:r>
      <w:r w:rsidRPr="002F701B">
        <w:rPr>
          <w:rFonts w:ascii="Arial" w:hAnsi="Arial" w:cs="Arial"/>
          <w:sz w:val="24"/>
        </w:rPr>
        <w:t xml:space="preserve">) </w:t>
      </w:r>
      <w:r w:rsidRPr="00637727">
        <w:rPr>
          <w:rFonts w:ascii="Arial" w:hAnsi="Arial" w:cs="Arial"/>
          <w:i/>
          <w:sz w:val="24"/>
        </w:rPr>
        <w:t>Making a Flexible Working Request.</w:t>
      </w:r>
      <w:r w:rsidRPr="002F701B">
        <w:rPr>
          <w:rFonts w:ascii="Arial" w:hAnsi="Arial" w:cs="Arial"/>
          <w:sz w:val="24"/>
        </w:rPr>
        <w:t xml:space="preserve"> Available at: </w:t>
      </w:r>
      <w:hyperlink r:id="rId11" w:history="1">
        <w:r w:rsidR="00637727" w:rsidRPr="00B06A50">
          <w:rPr>
            <w:rStyle w:val="Hyperlink"/>
            <w:rFonts w:ascii="Arial" w:hAnsi="Arial" w:cs="Arial"/>
            <w:sz w:val="24"/>
          </w:rPr>
          <w:t>https://www.acas.org.uk/making-a-flexible-working-request</w:t>
        </w:r>
      </w:hyperlink>
      <w:r w:rsidRPr="002F701B">
        <w:rPr>
          <w:rFonts w:ascii="Arial" w:hAnsi="Arial" w:cs="Arial"/>
          <w:sz w:val="24"/>
        </w:rPr>
        <w:t xml:space="preserve"> [Accessed: 1 February 2021] </w:t>
      </w:r>
      <w:r w:rsidR="00637727">
        <w:rPr>
          <w:rFonts w:ascii="Arial" w:hAnsi="Arial" w:cs="Arial"/>
          <w:sz w:val="24"/>
        </w:rPr>
        <w:br/>
      </w:r>
    </w:p>
    <w:p w:rsidR="002F701B" w:rsidRPr="002F701B" w:rsidRDefault="002F701B" w:rsidP="002F701B">
      <w:pPr>
        <w:pStyle w:val="ListParagraph"/>
        <w:numPr>
          <w:ilvl w:val="0"/>
          <w:numId w:val="2"/>
        </w:numPr>
        <w:rPr>
          <w:rFonts w:ascii="Arial" w:hAnsi="Arial" w:cs="Arial"/>
          <w:sz w:val="24"/>
        </w:rPr>
      </w:pPr>
      <w:r w:rsidRPr="002F701B">
        <w:rPr>
          <w:rFonts w:ascii="Arial" w:hAnsi="Arial" w:cs="Arial"/>
          <w:sz w:val="24"/>
        </w:rPr>
        <w:t>ACAS (2021</w:t>
      </w:r>
      <w:r w:rsidR="00637727">
        <w:rPr>
          <w:rFonts w:ascii="Arial" w:hAnsi="Arial" w:cs="Arial"/>
          <w:sz w:val="24"/>
        </w:rPr>
        <w:t>c</w:t>
      </w:r>
      <w:r w:rsidRPr="002F701B">
        <w:rPr>
          <w:rFonts w:ascii="Arial" w:hAnsi="Arial" w:cs="Arial"/>
          <w:sz w:val="24"/>
        </w:rPr>
        <w:t xml:space="preserve">) </w:t>
      </w:r>
      <w:r w:rsidRPr="002F701B">
        <w:rPr>
          <w:rFonts w:ascii="Arial" w:hAnsi="Arial" w:cs="Arial"/>
          <w:i/>
          <w:sz w:val="24"/>
        </w:rPr>
        <w:t>Responding to a Flexible Working Request</w:t>
      </w:r>
      <w:r w:rsidRPr="002F701B">
        <w:rPr>
          <w:rFonts w:ascii="Arial" w:hAnsi="Arial" w:cs="Arial"/>
          <w:sz w:val="24"/>
        </w:rPr>
        <w:t xml:space="preserve">. Available at: </w:t>
      </w:r>
      <w:hyperlink r:id="rId12" w:history="1">
        <w:r w:rsidR="00637727" w:rsidRPr="00B06A50">
          <w:rPr>
            <w:rStyle w:val="Hyperlink"/>
            <w:rFonts w:ascii="Arial" w:hAnsi="Arial" w:cs="Arial"/>
            <w:sz w:val="24"/>
          </w:rPr>
          <w:t>https://www.acas.org.uk/responding-to-a-flexible-working-request</w:t>
        </w:r>
      </w:hyperlink>
      <w:r w:rsidRPr="002F701B">
        <w:rPr>
          <w:rFonts w:ascii="Arial" w:hAnsi="Arial" w:cs="Arial"/>
          <w:sz w:val="24"/>
        </w:rPr>
        <w:t xml:space="preserve"> [Accessed: 21 April 2021]</w:t>
      </w:r>
      <w:r w:rsidR="00637727">
        <w:rPr>
          <w:rFonts w:ascii="Arial" w:hAnsi="Arial" w:cs="Arial"/>
          <w:sz w:val="24"/>
        </w:rPr>
        <w:br/>
      </w:r>
    </w:p>
    <w:p w:rsidR="002F701B" w:rsidRPr="002F701B" w:rsidRDefault="002F701B" w:rsidP="002F701B">
      <w:pPr>
        <w:pStyle w:val="ListParagraph"/>
        <w:numPr>
          <w:ilvl w:val="0"/>
          <w:numId w:val="2"/>
        </w:numPr>
        <w:rPr>
          <w:rFonts w:ascii="Arial" w:hAnsi="Arial" w:cs="Arial"/>
          <w:sz w:val="24"/>
        </w:rPr>
      </w:pPr>
      <w:r w:rsidRPr="002F701B">
        <w:rPr>
          <w:rFonts w:ascii="Arial" w:hAnsi="Arial" w:cs="Arial"/>
          <w:sz w:val="24"/>
        </w:rPr>
        <w:t>ACAS (2021</w:t>
      </w:r>
      <w:r w:rsidR="00637727">
        <w:rPr>
          <w:rFonts w:ascii="Arial" w:hAnsi="Arial" w:cs="Arial"/>
          <w:sz w:val="24"/>
        </w:rPr>
        <w:t>d</w:t>
      </w:r>
      <w:r w:rsidRPr="002F701B">
        <w:rPr>
          <w:rFonts w:ascii="Arial" w:hAnsi="Arial" w:cs="Arial"/>
          <w:sz w:val="24"/>
        </w:rPr>
        <w:t xml:space="preserve">) </w:t>
      </w:r>
      <w:r w:rsidRPr="00637727">
        <w:rPr>
          <w:rFonts w:ascii="Arial" w:hAnsi="Arial" w:cs="Arial"/>
          <w:i/>
          <w:sz w:val="24"/>
        </w:rPr>
        <w:t>Absence from work</w:t>
      </w:r>
      <w:r w:rsidRPr="002F701B">
        <w:rPr>
          <w:rFonts w:ascii="Arial" w:hAnsi="Arial" w:cs="Arial"/>
          <w:sz w:val="24"/>
        </w:rPr>
        <w:t xml:space="preserve">. Available at: </w:t>
      </w:r>
      <w:hyperlink r:id="rId13" w:history="1">
        <w:r w:rsidR="00637727" w:rsidRPr="00B06A50">
          <w:rPr>
            <w:rStyle w:val="Hyperlink"/>
            <w:rFonts w:ascii="Arial" w:hAnsi="Arial" w:cs="Arial"/>
            <w:sz w:val="24"/>
          </w:rPr>
          <w:t>https://www.acas.org.uk/absence-from-work</w:t>
        </w:r>
      </w:hyperlink>
      <w:r w:rsidRPr="002F701B">
        <w:rPr>
          <w:rFonts w:ascii="Arial" w:hAnsi="Arial" w:cs="Arial"/>
          <w:sz w:val="24"/>
        </w:rPr>
        <w:t xml:space="preserve"> [Accessed: 27 April 2021]</w:t>
      </w:r>
      <w:r w:rsidR="00637727">
        <w:rPr>
          <w:rFonts w:ascii="Arial" w:hAnsi="Arial" w:cs="Arial"/>
          <w:sz w:val="24"/>
        </w:rPr>
        <w:br/>
      </w:r>
    </w:p>
    <w:p w:rsidR="002F701B" w:rsidRPr="002F701B" w:rsidRDefault="002F701B" w:rsidP="002F701B">
      <w:pPr>
        <w:pStyle w:val="ListParagraph"/>
        <w:numPr>
          <w:ilvl w:val="0"/>
          <w:numId w:val="2"/>
        </w:numPr>
        <w:rPr>
          <w:rFonts w:ascii="Arial" w:hAnsi="Arial" w:cs="Arial"/>
          <w:sz w:val="24"/>
          <w:szCs w:val="24"/>
        </w:rPr>
      </w:pPr>
      <w:r w:rsidRPr="002F701B">
        <w:rPr>
          <w:rFonts w:ascii="Arial" w:hAnsi="Arial" w:cs="Arial"/>
          <w:i/>
          <w:sz w:val="24"/>
          <w:szCs w:val="24"/>
        </w:rPr>
        <w:t>Algosh v Care Property Management Ltd</w:t>
      </w:r>
      <w:r w:rsidRPr="002F701B">
        <w:rPr>
          <w:rFonts w:ascii="Arial" w:hAnsi="Arial" w:cs="Arial"/>
          <w:sz w:val="24"/>
          <w:szCs w:val="24"/>
        </w:rPr>
        <w:t xml:space="preserve"> (2021) Available at: </w:t>
      </w:r>
      <w:hyperlink r:id="rId14" w:history="1">
        <w:r w:rsidR="00637727" w:rsidRPr="00B06A50">
          <w:rPr>
            <w:rStyle w:val="Hyperlink"/>
            <w:rFonts w:ascii="Arial" w:hAnsi="Arial" w:cs="Arial"/>
            <w:sz w:val="24"/>
            <w:szCs w:val="24"/>
          </w:rPr>
          <w:t>https://assets.publishing.service.gov.uk/media/6059abffd3bf7f2f0cd61ceb/A_Algosh_v_Care_Property_Management_Limited.pdf</w:t>
        </w:r>
      </w:hyperlink>
      <w:r w:rsidRPr="002F701B">
        <w:rPr>
          <w:rFonts w:ascii="Arial" w:hAnsi="Arial" w:cs="Arial"/>
          <w:sz w:val="24"/>
          <w:szCs w:val="24"/>
        </w:rPr>
        <w:t xml:space="preserve"> [Accessed: 4 May 2021]</w:t>
      </w:r>
      <w:r w:rsidR="00637727">
        <w:rPr>
          <w:rFonts w:ascii="Arial" w:hAnsi="Arial" w:cs="Arial"/>
          <w:sz w:val="24"/>
          <w:szCs w:val="24"/>
        </w:rPr>
        <w:br/>
      </w:r>
    </w:p>
    <w:p w:rsidR="002F701B" w:rsidRPr="002F701B" w:rsidRDefault="002F701B" w:rsidP="002F701B">
      <w:pPr>
        <w:pStyle w:val="ListParagraph"/>
        <w:numPr>
          <w:ilvl w:val="0"/>
          <w:numId w:val="2"/>
        </w:numPr>
        <w:rPr>
          <w:rFonts w:ascii="Arial" w:hAnsi="Arial" w:cs="Arial"/>
          <w:bCs/>
          <w:sz w:val="24"/>
          <w:szCs w:val="24"/>
        </w:rPr>
      </w:pPr>
      <w:r w:rsidRPr="002F701B">
        <w:rPr>
          <w:rFonts w:ascii="Arial" w:hAnsi="Arial" w:cs="Arial"/>
          <w:bCs/>
          <w:i/>
          <w:sz w:val="24"/>
          <w:szCs w:val="24"/>
        </w:rPr>
        <w:t>Aspinall v MSI Forge Ltd</w:t>
      </w:r>
      <w:r w:rsidRPr="002F701B">
        <w:rPr>
          <w:rFonts w:ascii="Arial" w:hAnsi="Arial" w:cs="Arial"/>
          <w:bCs/>
          <w:sz w:val="24"/>
          <w:szCs w:val="24"/>
        </w:rPr>
        <w:t xml:space="preserve"> (2002) Available at: </w:t>
      </w:r>
      <w:hyperlink r:id="rId15" w:history="1">
        <w:r w:rsidR="00637727" w:rsidRPr="00B06A50">
          <w:rPr>
            <w:rStyle w:val="Hyperlink"/>
            <w:rFonts w:ascii="Arial" w:hAnsi="Arial" w:cs="Arial"/>
            <w:bCs/>
            <w:sz w:val="24"/>
            <w:szCs w:val="24"/>
          </w:rPr>
          <w:t>https://www.casemine.com/judgement/uk/5a8ff78f60d03e7f57eaf2ac</w:t>
        </w:r>
      </w:hyperlink>
      <w:r w:rsidRPr="002F701B">
        <w:rPr>
          <w:rFonts w:ascii="Arial" w:hAnsi="Arial" w:cs="Arial"/>
          <w:bCs/>
          <w:sz w:val="24"/>
          <w:szCs w:val="24"/>
        </w:rPr>
        <w:t xml:space="preserve"> [ Accessed: 8 April 2021]</w:t>
      </w:r>
      <w:r w:rsidR="00637727">
        <w:rPr>
          <w:rFonts w:ascii="Arial" w:hAnsi="Arial" w:cs="Arial"/>
          <w:bCs/>
          <w:sz w:val="24"/>
          <w:szCs w:val="24"/>
        </w:rPr>
        <w:br/>
      </w:r>
    </w:p>
    <w:p w:rsidR="002F701B" w:rsidRPr="002F701B" w:rsidRDefault="002F701B" w:rsidP="002F701B">
      <w:pPr>
        <w:pStyle w:val="ListParagraph"/>
        <w:numPr>
          <w:ilvl w:val="0"/>
          <w:numId w:val="2"/>
        </w:numPr>
        <w:rPr>
          <w:rFonts w:ascii="Arial" w:hAnsi="Arial" w:cs="Arial"/>
          <w:sz w:val="24"/>
          <w:szCs w:val="24"/>
        </w:rPr>
      </w:pPr>
      <w:r w:rsidRPr="002F701B">
        <w:rPr>
          <w:rFonts w:ascii="Arial" w:hAnsi="Arial" w:cs="Arial"/>
          <w:i/>
          <w:sz w:val="24"/>
          <w:szCs w:val="24"/>
        </w:rPr>
        <w:t>British Home Stores Ltd v Burchell</w:t>
      </w:r>
      <w:r w:rsidRPr="002F701B">
        <w:rPr>
          <w:rFonts w:ascii="Arial" w:hAnsi="Arial" w:cs="Arial"/>
          <w:sz w:val="24"/>
          <w:szCs w:val="24"/>
        </w:rPr>
        <w:t xml:space="preserve"> (1980) IRLR 379 Available at: </w:t>
      </w:r>
      <w:hyperlink r:id="rId16" w:history="1">
        <w:r w:rsidR="00637727" w:rsidRPr="00B06A50">
          <w:rPr>
            <w:rStyle w:val="Hyperlink"/>
            <w:rFonts w:ascii="Arial" w:hAnsi="Arial" w:cs="Arial"/>
            <w:sz w:val="24"/>
            <w:szCs w:val="24"/>
          </w:rPr>
          <w:t>http://www.bailii.org/uk/cases/UKEAT/1978/108_78_2007.html</w:t>
        </w:r>
      </w:hyperlink>
      <w:r w:rsidRPr="002F701B">
        <w:rPr>
          <w:rFonts w:ascii="Arial" w:hAnsi="Arial" w:cs="Arial"/>
          <w:sz w:val="24"/>
          <w:szCs w:val="24"/>
        </w:rPr>
        <w:t xml:space="preserve"> [Accessed: 8 April 2021]</w:t>
      </w:r>
      <w:r w:rsidR="00637727">
        <w:rPr>
          <w:rFonts w:ascii="Arial" w:hAnsi="Arial" w:cs="Arial"/>
          <w:sz w:val="24"/>
          <w:szCs w:val="24"/>
        </w:rPr>
        <w:br/>
      </w:r>
    </w:p>
    <w:p w:rsidR="002F701B" w:rsidRDefault="002F701B" w:rsidP="002F701B">
      <w:pPr>
        <w:pStyle w:val="ListParagraph"/>
        <w:numPr>
          <w:ilvl w:val="0"/>
          <w:numId w:val="2"/>
        </w:numPr>
        <w:rPr>
          <w:rFonts w:ascii="Arial" w:hAnsi="Arial" w:cs="Arial"/>
          <w:sz w:val="24"/>
        </w:rPr>
      </w:pPr>
      <w:r w:rsidRPr="002F701B">
        <w:rPr>
          <w:rFonts w:ascii="Arial" w:hAnsi="Arial" w:cs="Arial"/>
          <w:sz w:val="24"/>
        </w:rPr>
        <w:t xml:space="preserve">CIPD (2020) </w:t>
      </w:r>
      <w:r w:rsidRPr="00637727">
        <w:rPr>
          <w:rFonts w:ascii="Arial" w:hAnsi="Arial" w:cs="Arial"/>
          <w:i/>
          <w:sz w:val="24"/>
        </w:rPr>
        <w:t>Retention of HR Records</w:t>
      </w:r>
      <w:r w:rsidRPr="002F701B">
        <w:rPr>
          <w:rFonts w:ascii="Arial" w:hAnsi="Arial" w:cs="Arial"/>
          <w:sz w:val="24"/>
        </w:rPr>
        <w:t xml:space="preserve">. Available at: </w:t>
      </w:r>
      <w:hyperlink r:id="rId17" w:anchor="gref" w:history="1">
        <w:r w:rsidR="00637727" w:rsidRPr="00B06A50">
          <w:rPr>
            <w:rStyle w:val="Hyperlink"/>
            <w:rFonts w:ascii="Arial" w:hAnsi="Arial" w:cs="Arial"/>
            <w:sz w:val="24"/>
          </w:rPr>
          <w:t>https://www.cipd.co.uk/knowledge/fundamentals/people/hr/keeping-records-factsheet#gref</w:t>
        </w:r>
      </w:hyperlink>
      <w:r w:rsidRPr="002F701B">
        <w:rPr>
          <w:rFonts w:ascii="Arial" w:hAnsi="Arial" w:cs="Arial"/>
          <w:sz w:val="24"/>
        </w:rPr>
        <w:t xml:space="preserve"> [Accessed: 27 April 2021]</w:t>
      </w:r>
    </w:p>
    <w:p w:rsidR="00637727" w:rsidRPr="002F701B" w:rsidRDefault="00637727" w:rsidP="002F701B">
      <w:pPr>
        <w:pStyle w:val="ListParagraph"/>
        <w:numPr>
          <w:ilvl w:val="0"/>
          <w:numId w:val="2"/>
        </w:numPr>
        <w:rPr>
          <w:rFonts w:ascii="Arial" w:hAnsi="Arial" w:cs="Arial"/>
          <w:sz w:val="24"/>
        </w:rPr>
      </w:pPr>
    </w:p>
    <w:p w:rsidR="002F701B" w:rsidRDefault="002F701B" w:rsidP="002F701B">
      <w:pPr>
        <w:pStyle w:val="ListParagraph"/>
        <w:numPr>
          <w:ilvl w:val="0"/>
          <w:numId w:val="2"/>
        </w:numPr>
        <w:rPr>
          <w:rFonts w:ascii="Arial" w:hAnsi="Arial" w:cs="Arial"/>
          <w:sz w:val="24"/>
          <w:szCs w:val="24"/>
        </w:rPr>
      </w:pPr>
      <w:r w:rsidRPr="002F701B">
        <w:rPr>
          <w:rFonts w:ascii="Arial" w:hAnsi="Arial" w:cs="Arial"/>
          <w:sz w:val="24"/>
          <w:szCs w:val="24"/>
        </w:rPr>
        <w:t xml:space="preserve">CIPD (2020a) </w:t>
      </w:r>
      <w:r w:rsidRPr="002F701B">
        <w:rPr>
          <w:rFonts w:ascii="Arial" w:hAnsi="Arial" w:cs="Arial"/>
          <w:i/>
          <w:sz w:val="24"/>
          <w:szCs w:val="24"/>
        </w:rPr>
        <w:t>Wrongful dismissal Q&amp;A’s</w:t>
      </w:r>
      <w:r w:rsidRPr="002F701B">
        <w:rPr>
          <w:rFonts w:ascii="Arial" w:hAnsi="Arial" w:cs="Arial"/>
          <w:sz w:val="24"/>
          <w:szCs w:val="24"/>
        </w:rPr>
        <w:t xml:space="preserve">. Available at: </w:t>
      </w:r>
      <w:hyperlink r:id="rId18" w:anchor="gref" w:history="1">
        <w:r w:rsidR="00637727" w:rsidRPr="00B06A50">
          <w:rPr>
            <w:rStyle w:val="Hyperlink"/>
            <w:rFonts w:ascii="Arial" w:hAnsi="Arial" w:cs="Arial"/>
            <w:sz w:val="24"/>
            <w:szCs w:val="24"/>
          </w:rPr>
          <w:t>https://www.cipd.co.uk/knowledge/fundamentals/emp-law/dismissal/wrongful-dismissal-questions#gref</w:t>
        </w:r>
      </w:hyperlink>
      <w:r w:rsidRPr="002F701B">
        <w:rPr>
          <w:rFonts w:ascii="Arial" w:hAnsi="Arial" w:cs="Arial"/>
          <w:sz w:val="24"/>
          <w:szCs w:val="24"/>
        </w:rPr>
        <w:t xml:space="preserve"> [Accessed: 30 March 2021]</w:t>
      </w:r>
    </w:p>
    <w:p w:rsidR="002F701B" w:rsidRDefault="002F701B" w:rsidP="002F701B">
      <w:pPr>
        <w:pStyle w:val="ListParagraph"/>
        <w:numPr>
          <w:ilvl w:val="0"/>
          <w:numId w:val="2"/>
        </w:numPr>
        <w:rPr>
          <w:rFonts w:ascii="Arial" w:hAnsi="Arial" w:cs="Arial"/>
          <w:sz w:val="24"/>
          <w:szCs w:val="24"/>
        </w:rPr>
      </w:pPr>
      <w:r>
        <w:rPr>
          <w:rFonts w:ascii="Arial" w:hAnsi="Arial" w:cs="Arial"/>
          <w:sz w:val="24"/>
          <w:szCs w:val="24"/>
        </w:rPr>
        <w:t xml:space="preserve">CIPD (2020b) </w:t>
      </w:r>
      <w:r w:rsidRPr="002F701B">
        <w:rPr>
          <w:rFonts w:ascii="Arial" w:hAnsi="Arial" w:cs="Arial"/>
          <w:i/>
          <w:sz w:val="24"/>
          <w:szCs w:val="24"/>
        </w:rPr>
        <w:t>Dismissal Procedures</w:t>
      </w:r>
      <w:r>
        <w:rPr>
          <w:rFonts w:ascii="Arial" w:hAnsi="Arial" w:cs="Arial"/>
          <w:sz w:val="24"/>
          <w:szCs w:val="24"/>
        </w:rPr>
        <w:t xml:space="preserve">. Available at: </w:t>
      </w:r>
      <w:hyperlink r:id="rId19" w:anchor="7021" w:history="1">
        <w:r w:rsidR="00637727" w:rsidRPr="00B06A50">
          <w:rPr>
            <w:rStyle w:val="Hyperlink"/>
            <w:rFonts w:ascii="Arial" w:hAnsi="Arial" w:cs="Arial"/>
            <w:sz w:val="24"/>
            <w:szCs w:val="24"/>
          </w:rPr>
          <w:t>https://www.cipd.co.uk/knowledge/fundamentals/emp-law/dismissal/factsheet#7021</w:t>
        </w:r>
      </w:hyperlink>
      <w:r>
        <w:rPr>
          <w:rFonts w:ascii="Arial" w:hAnsi="Arial" w:cs="Arial"/>
          <w:sz w:val="24"/>
          <w:szCs w:val="24"/>
        </w:rPr>
        <w:t xml:space="preserve"> [Accessed: 4 May 2021]</w:t>
      </w:r>
      <w:r w:rsidR="00637727">
        <w:rPr>
          <w:rFonts w:ascii="Arial" w:hAnsi="Arial" w:cs="Arial"/>
          <w:sz w:val="24"/>
          <w:szCs w:val="24"/>
        </w:rPr>
        <w:br/>
      </w:r>
    </w:p>
    <w:p w:rsidR="002F701B" w:rsidRDefault="002F701B" w:rsidP="002F701B">
      <w:pPr>
        <w:pStyle w:val="ListParagraph"/>
        <w:numPr>
          <w:ilvl w:val="0"/>
          <w:numId w:val="2"/>
        </w:numPr>
        <w:rPr>
          <w:rFonts w:ascii="Arial" w:hAnsi="Arial" w:cs="Arial"/>
          <w:sz w:val="24"/>
          <w:szCs w:val="24"/>
        </w:rPr>
      </w:pPr>
      <w:r>
        <w:rPr>
          <w:rFonts w:ascii="Arial" w:hAnsi="Arial" w:cs="Arial"/>
          <w:sz w:val="24"/>
          <w:szCs w:val="24"/>
        </w:rPr>
        <w:t xml:space="preserve">CIPD (2020c) </w:t>
      </w:r>
      <w:r w:rsidRPr="00637727">
        <w:rPr>
          <w:rFonts w:ascii="Arial" w:hAnsi="Arial" w:cs="Arial"/>
          <w:i/>
          <w:sz w:val="24"/>
          <w:szCs w:val="24"/>
        </w:rPr>
        <w:t>Data Protection and GDPR in the Workplace</w:t>
      </w:r>
      <w:r>
        <w:rPr>
          <w:rFonts w:ascii="Arial" w:hAnsi="Arial" w:cs="Arial"/>
          <w:sz w:val="24"/>
          <w:szCs w:val="24"/>
        </w:rPr>
        <w:t xml:space="preserve">. Available at: </w:t>
      </w:r>
      <w:hyperlink r:id="rId20" w:anchor="6131" w:history="1">
        <w:r w:rsidRPr="00DA52E7">
          <w:rPr>
            <w:rStyle w:val="Hyperlink"/>
            <w:rFonts w:ascii="Arial" w:hAnsi="Arial" w:cs="Arial"/>
            <w:sz w:val="24"/>
            <w:szCs w:val="24"/>
          </w:rPr>
          <w:t>https://www.cipd.co.uk/knowledge/fundamentals/emp-law/data-protection/factsheet#6131</w:t>
        </w:r>
      </w:hyperlink>
      <w:r>
        <w:rPr>
          <w:rFonts w:ascii="Arial" w:hAnsi="Arial" w:cs="Arial"/>
          <w:sz w:val="24"/>
          <w:szCs w:val="24"/>
        </w:rPr>
        <w:t xml:space="preserve"> [Accessed: 4 May 2021]</w:t>
      </w:r>
      <w:r w:rsidR="00637727">
        <w:rPr>
          <w:rFonts w:ascii="Arial" w:hAnsi="Arial" w:cs="Arial"/>
          <w:sz w:val="24"/>
          <w:szCs w:val="24"/>
        </w:rPr>
        <w:br/>
      </w:r>
    </w:p>
    <w:p w:rsidR="002F701B" w:rsidRPr="002F701B" w:rsidRDefault="002F701B" w:rsidP="002F701B">
      <w:pPr>
        <w:pStyle w:val="ListParagraph"/>
        <w:numPr>
          <w:ilvl w:val="0"/>
          <w:numId w:val="2"/>
        </w:numPr>
        <w:rPr>
          <w:rFonts w:ascii="Arial" w:hAnsi="Arial" w:cs="Arial"/>
          <w:sz w:val="24"/>
        </w:rPr>
      </w:pPr>
      <w:r w:rsidRPr="002F701B">
        <w:rPr>
          <w:rFonts w:ascii="Arial" w:hAnsi="Arial" w:cs="Arial"/>
          <w:sz w:val="24"/>
        </w:rPr>
        <w:t>CIPD (2021</w:t>
      </w:r>
      <w:r>
        <w:rPr>
          <w:rFonts w:ascii="Arial" w:hAnsi="Arial" w:cs="Arial"/>
          <w:sz w:val="24"/>
        </w:rPr>
        <w:t>a</w:t>
      </w:r>
      <w:r w:rsidRPr="002F701B">
        <w:rPr>
          <w:rFonts w:ascii="Arial" w:hAnsi="Arial" w:cs="Arial"/>
          <w:sz w:val="24"/>
        </w:rPr>
        <w:t xml:space="preserve">) </w:t>
      </w:r>
      <w:r w:rsidRPr="00637727">
        <w:rPr>
          <w:rFonts w:ascii="Arial" w:hAnsi="Arial" w:cs="Arial"/>
          <w:i/>
          <w:sz w:val="24"/>
        </w:rPr>
        <w:t>The Role of Employment Tribunals</w:t>
      </w:r>
      <w:r w:rsidRPr="002F701B">
        <w:rPr>
          <w:rFonts w:ascii="Arial" w:hAnsi="Arial" w:cs="Arial"/>
          <w:sz w:val="24"/>
        </w:rPr>
        <w:t xml:space="preserve">. Available at: </w:t>
      </w:r>
      <w:hyperlink r:id="rId21" w:anchor="26516" w:history="1">
        <w:r w:rsidRPr="002F701B">
          <w:rPr>
            <w:rStyle w:val="Hyperlink"/>
            <w:rFonts w:ascii="Arial" w:hAnsi="Arial" w:cs="Arial"/>
            <w:sz w:val="24"/>
          </w:rPr>
          <w:t>https://www.cipd.co.uk/knowledge/fundamentals/emp-law/tribunals/factsheet#26516</w:t>
        </w:r>
      </w:hyperlink>
      <w:r w:rsidRPr="002F701B">
        <w:rPr>
          <w:rFonts w:ascii="Arial" w:hAnsi="Arial" w:cs="Arial"/>
          <w:sz w:val="24"/>
        </w:rPr>
        <w:t xml:space="preserve"> [Accessed: 4 May 2021]</w:t>
      </w:r>
      <w:r w:rsidR="00637727">
        <w:rPr>
          <w:rFonts w:ascii="Arial" w:hAnsi="Arial" w:cs="Arial"/>
          <w:sz w:val="24"/>
        </w:rPr>
        <w:br/>
      </w:r>
    </w:p>
    <w:p w:rsidR="002F701B" w:rsidRPr="002F701B" w:rsidRDefault="002F701B" w:rsidP="002F701B">
      <w:pPr>
        <w:pStyle w:val="ListParagraph"/>
        <w:numPr>
          <w:ilvl w:val="0"/>
          <w:numId w:val="2"/>
        </w:numPr>
        <w:rPr>
          <w:rFonts w:ascii="Arial" w:hAnsi="Arial" w:cs="Arial"/>
          <w:sz w:val="24"/>
        </w:rPr>
      </w:pPr>
      <w:r w:rsidRPr="002F701B">
        <w:rPr>
          <w:rFonts w:ascii="Arial" w:hAnsi="Arial" w:cs="Arial"/>
          <w:sz w:val="24"/>
        </w:rPr>
        <w:t xml:space="preserve">CIPD (2021) </w:t>
      </w:r>
      <w:r w:rsidRPr="00637727">
        <w:rPr>
          <w:rFonts w:ascii="Arial" w:hAnsi="Arial" w:cs="Arial"/>
          <w:i/>
          <w:sz w:val="24"/>
        </w:rPr>
        <w:t>Absence Measurement and Management</w:t>
      </w:r>
      <w:r w:rsidRPr="002F701B">
        <w:rPr>
          <w:rFonts w:ascii="Arial" w:hAnsi="Arial" w:cs="Arial"/>
          <w:sz w:val="24"/>
        </w:rPr>
        <w:t xml:space="preserve">. Available at: </w:t>
      </w:r>
      <w:hyperlink r:id="rId22" w:anchor="gref" w:history="1">
        <w:r w:rsidR="00637727" w:rsidRPr="00B06A50">
          <w:rPr>
            <w:rStyle w:val="Hyperlink"/>
            <w:rFonts w:ascii="Arial" w:hAnsi="Arial" w:cs="Arial"/>
            <w:sz w:val="24"/>
          </w:rPr>
          <w:t>https://www.cipd.co.uk/knowledge/fundamentals/relations/absence/factsheet#gref</w:t>
        </w:r>
      </w:hyperlink>
      <w:r w:rsidRPr="002F701B">
        <w:rPr>
          <w:rFonts w:ascii="Arial" w:hAnsi="Arial" w:cs="Arial"/>
          <w:sz w:val="24"/>
        </w:rPr>
        <w:t xml:space="preserve"> [Accessed: April 27 2021]</w:t>
      </w:r>
      <w:r w:rsidR="00637727">
        <w:rPr>
          <w:rFonts w:ascii="Arial" w:hAnsi="Arial" w:cs="Arial"/>
          <w:sz w:val="24"/>
        </w:rPr>
        <w:br/>
      </w:r>
    </w:p>
    <w:p w:rsidR="002F701B" w:rsidRPr="002F701B" w:rsidRDefault="002F701B" w:rsidP="002F701B">
      <w:pPr>
        <w:pStyle w:val="ListParagraph"/>
        <w:numPr>
          <w:ilvl w:val="0"/>
          <w:numId w:val="2"/>
        </w:numPr>
        <w:rPr>
          <w:rFonts w:ascii="Arial" w:hAnsi="Arial" w:cs="Arial"/>
          <w:sz w:val="24"/>
          <w:szCs w:val="24"/>
        </w:rPr>
      </w:pPr>
      <w:r w:rsidRPr="002F701B">
        <w:rPr>
          <w:rFonts w:ascii="Arial" w:hAnsi="Arial" w:cs="Arial"/>
          <w:sz w:val="24"/>
          <w:szCs w:val="24"/>
        </w:rPr>
        <w:t xml:space="preserve">CIPD (2021) </w:t>
      </w:r>
      <w:r w:rsidRPr="002F701B">
        <w:rPr>
          <w:rFonts w:ascii="Arial" w:hAnsi="Arial" w:cs="Arial"/>
          <w:i/>
          <w:sz w:val="24"/>
          <w:szCs w:val="24"/>
        </w:rPr>
        <w:t>Statutory rates and compensatory limits</w:t>
      </w:r>
      <w:r w:rsidRPr="002F701B">
        <w:rPr>
          <w:rFonts w:ascii="Arial" w:hAnsi="Arial" w:cs="Arial"/>
          <w:sz w:val="24"/>
          <w:szCs w:val="24"/>
        </w:rPr>
        <w:t xml:space="preserve">. Available at: </w:t>
      </w:r>
      <w:hyperlink r:id="rId23" w:anchor="gref" w:history="1">
        <w:r w:rsidR="00637727" w:rsidRPr="00B06A50">
          <w:rPr>
            <w:rStyle w:val="Hyperlink"/>
            <w:rFonts w:ascii="Arial" w:hAnsi="Arial" w:cs="Arial"/>
            <w:sz w:val="24"/>
            <w:szCs w:val="24"/>
          </w:rPr>
          <w:t>https://www.cipd.co.uk/knowledge/fundamentals/emp-law/about/statutory-rates#gref</w:t>
        </w:r>
      </w:hyperlink>
      <w:r w:rsidRPr="002F701B">
        <w:rPr>
          <w:rFonts w:ascii="Arial" w:hAnsi="Arial" w:cs="Arial"/>
          <w:sz w:val="24"/>
          <w:szCs w:val="24"/>
        </w:rPr>
        <w:t xml:space="preserve"> [Accessed: 9 April 2021]</w:t>
      </w:r>
      <w:r w:rsidR="00637727">
        <w:rPr>
          <w:rFonts w:ascii="Arial" w:hAnsi="Arial" w:cs="Arial"/>
          <w:sz w:val="24"/>
          <w:szCs w:val="24"/>
        </w:rPr>
        <w:br/>
      </w:r>
    </w:p>
    <w:p w:rsidR="002F701B" w:rsidRPr="002F701B" w:rsidRDefault="002F701B" w:rsidP="002F701B">
      <w:pPr>
        <w:pStyle w:val="ListParagraph"/>
        <w:numPr>
          <w:ilvl w:val="0"/>
          <w:numId w:val="2"/>
        </w:numPr>
        <w:rPr>
          <w:rFonts w:ascii="Arial" w:hAnsi="Arial" w:cs="Arial"/>
          <w:sz w:val="24"/>
          <w:szCs w:val="24"/>
        </w:rPr>
      </w:pPr>
      <w:r w:rsidRPr="002F701B">
        <w:rPr>
          <w:rFonts w:ascii="Arial" w:hAnsi="Arial" w:cs="Arial"/>
          <w:sz w:val="24"/>
          <w:szCs w:val="24"/>
          <w:shd w:val="clear" w:color="auto" w:fill="FFFFFF"/>
        </w:rPr>
        <w:t xml:space="preserve">Collins, H (2012) </w:t>
      </w:r>
      <w:r w:rsidRPr="00637727">
        <w:rPr>
          <w:rFonts w:ascii="Arial" w:hAnsi="Arial" w:cs="Arial"/>
          <w:i/>
          <w:sz w:val="24"/>
          <w:szCs w:val="24"/>
          <w:shd w:val="clear" w:color="auto" w:fill="FFFFFF"/>
        </w:rPr>
        <w:t>Employment law</w:t>
      </w:r>
      <w:r w:rsidRPr="002F701B">
        <w:rPr>
          <w:rFonts w:ascii="Arial" w:hAnsi="Arial" w:cs="Arial"/>
          <w:sz w:val="24"/>
          <w:szCs w:val="24"/>
          <w:shd w:val="clear" w:color="auto" w:fill="FFFFFF"/>
        </w:rPr>
        <w:t>. 2nd ed. Oxford, Oxford University Press.</w:t>
      </w:r>
      <w:r w:rsidR="00637727">
        <w:rPr>
          <w:rFonts w:ascii="Arial" w:hAnsi="Arial" w:cs="Arial"/>
          <w:sz w:val="24"/>
          <w:szCs w:val="24"/>
          <w:shd w:val="clear" w:color="auto" w:fill="FFFFFF"/>
        </w:rPr>
        <w:br/>
      </w:r>
    </w:p>
    <w:p w:rsidR="002F701B" w:rsidRDefault="002F701B" w:rsidP="002F701B">
      <w:pPr>
        <w:pStyle w:val="ListParagraph"/>
        <w:numPr>
          <w:ilvl w:val="0"/>
          <w:numId w:val="2"/>
        </w:numPr>
        <w:rPr>
          <w:rFonts w:ascii="Arial" w:hAnsi="Arial" w:cs="Arial"/>
          <w:sz w:val="24"/>
          <w:szCs w:val="24"/>
        </w:rPr>
      </w:pPr>
      <w:r w:rsidRPr="002F701B">
        <w:rPr>
          <w:rFonts w:ascii="Arial" w:hAnsi="Arial" w:cs="Arial"/>
          <w:sz w:val="24"/>
          <w:szCs w:val="24"/>
        </w:rPr>
        <w:t xml:space="preserve">Coronavirus Act (2020) Available at: </w:t>
      </w:r>
      <w:hyperlink r:id="rId24" w:history="1">
        <w:r w:rsidR="00637727" w:rsidRPr="00B06A50">
          <w:rPr>
            <w:rStyle w:val="Hyperlink"/>
            <w:rFonts w:ascii="Arial" w:hAnsi="Arial" w:cs="Arial"/>
            <w:sz w:val="24"/>
            <w:szCs w:val="24"/>
          </w:rPr>
          <w:t>https://www.legislation.gov.uk/ukpga/2020/7/contents/enacted</w:t>
        </w:r>
      </w:hyperlink>
      <w:r w:rsidRPr="002F701B">
        <w:rPr>
          <w:rFonts w:ascii="Arial" w:hAnsi="Arial" w:cs="Arial"/>
          <w:sz w:val="24"/>
          <w:szCs w:val="24"/>
        </w:rPr>
        <w:t xml:space="preserve"> [Accessed: 4 May 2021]</w:t>
      </w:r>
    </w:p>
    <w:p w:rsidR="00637727" w:rsidRPr="002F701B" w:rsidRDefault="00637727" w:rsidP="00637727">
      <w:pPr>
        <w:pStyle w:val="ListParagraph"/>
        <w:rPr>
          <w:rFonts w:ascii="Arial" w:hAnsi="Arial" w:cs="Arial"/>
          <w:sz w:val="24"/>
          <w:szCs w:val="24"/>
        </w:rPr>
      </w:pPr>
    </w:p>
    <w:p w:rsidR="002F701B" w:rsidRPr="002F701B" w:rsidRDefault="002F701B" w:rsidP="002F701B">
      <w:pPr>
        <w:pStyle w:val="ListParagraph"/>
        <w:numPr>
          <w:ilvl w:val="0"/>
          <w:numId w:val="2"/>
        </w:numPr>
        <w:rPr>
          <w:rFonts w:ascii="Arial" w:hAnsi="Arial" w:cs="Arial"/>
          <w:sz w:val="24"/>
        </w:rPr>
      </w:pPr>
      <w:r w:rsidRPr="002F701B">
        <w:rPr>
          <w:rFonts w:ascii="Arial" w:hAnsi="Arial" w:cs="Arial"/>
          <w:sz w:val="24"/>
        </w:rPr>
        <w:t xml:space="preserve">Daniels, K. (2019) </w:t>
      </w:r>
      <w:r w:rsidRPr="002F701B">
        <w:rPr>
          <w:rFonts w:ascii="Arial" w:hAnsi="Arial" w:cs="Arial"/>
          <w:i/>
          <w:sz w:val="24"/>
        </w:rPr>
        <w:t>Introduction to Employment Law.</w:t>
      </w:r>
      <w:r w:rsidRPr="002F701B">
        <w:rPr>
          <w:rFonts w:ascii="Arial" w:hAnsi="Arial" w:cs="Arial"/>
          <w:sz w:val="24"/>
        </w:rPr>
        <w:t xml:space="preserve"> 5</w:t>
      </w:r>
      <w:r w:rsidRPr="002F701B">
        <w:rPr>
          <w:rFonts w:ascii="Arial" w:hAnsi="Arial" w:cs="Arial"/>
          <w:sz w:val="24"/>
          <w:vertAlign w:val="superscript"/>
        </w:rPr>
        <w:t>th</w:t>
      </w:r>
      <w:r w:rsidRPr="002F701B">
        <w:rPr>
          <w:rFonts w:ascii="Arial" w:hAnsi="Arial" w:cs="Arial"/>
          <w:sz w:val="24"/>
        </w:rPr>
        <w:t xml:space="preserve"> ed. London: Kogan Page.</w:t>
      </w:r>
      <w:r w:rsidR="00637727">
        <w:rPr>
          <w:rFonts w:ascii="Arial" w:hAnsi="Arial" w:cs="Arial"/>
          <w:sz w:val="24"/>
        </w:rPr>
        <w:br/>
      </w:r>
    </w:p>
    <w:p w:rsidR="002F701B" w:rsidRPr="002F701B" w:rsidRDefault="002F701B" w:rsidP="002F701B">
      <w:pPr>
        <w:pStyle w:val="ListParagraph"/>
        <w:numPr>
          <w:ilvl w:val="0"/>
          <w:numId w:val="2"/>
        </w:numPr>
        <w:rPr>
          <w:rFonts w:ascii="Arial" w:hAnsi="Arial" w:cs="Arial"/>
          <w:sz w:val="24"/>
        </w:rPr>
      </w:pPr>
      <w:r w:rsidRPr="002F701B">
        <w:rPr>
          <w:rFonts w:ascii="Arial" w:hAnsi="Arial" w:cs="Arial"/>
          <w:sz w:val="24"/>
        </w:rPr>
        <w:t xml:space="preserve">Data Protection Act (2018) Available at: </w:t>
      </w:r>
      <w:hyperlink r:id="rId25" w:history="1">
        <w:r w:rsidR="00637727" w:rsidRPr="00B06A50">
          <w:rPr>
            <w:rStyle w:val="Hyperlink"/>
            <w:rFonts w:ascii="Arial" w:hAnsi="Arial" w:cs="Arial"/>
            <w:sz w:val="24"/>
          </w:rPr>
          <w:t>https://www.legislation.gov.uk/ukpga/2018/12/contents/enacted</w:t>
        </w:r>
      </w:hyperlink>
      <w:r w:rsidRPr="002F701B">
        <w:rPr>
          <w:rFonts w:ascii="Arial" w:hAnsi="Arial" w:cs="Arial"/>
          <w:sz w:val="24"/>
        </w:rPr>
        <w:t xml:space="preserve"> [Accessed: 27 April 2021]</w:t>
      </w:r>
      <w:r w:rsidR="00637727">
        <w:rPr>
          <w:rFonts w:ascii="Arial" w:hAnsi="Arial" w:cs="Arial"/>
          <w:sz w:val="24"/>
        </w:rPr>
        <w:br/>
      </w:r>
    </w:p>
    <w:p w:rsidR="002F701B" w:rsidRPr="002F701B" w:rsidRDefault="002F701B" w:rsidP="002F701B">
      <w:pPr>
        <w:pStyle w:val="ListParagraph"/>
        <w:numPr>
          <w:ilvl w:val="0"/>
          <w:numId w:val="2"/>
        </w:numPr>
        <w:rPr>
          <w:rFonts w:ascii="Arial" w:hAnsi="Arial" w:cs="Arial"/>
          <w:sz w:val="24"/>
          <w:szCs w:val="24"/>
        </w:rPr>
      </w:pPr>
      <w:r w:rsidRPr="002F701B">
        <w:rPr>
          <w:rFonts w:ascii="Arial" w:hAnsi="Arial" w:cs="Arial"/>
          <w:sz w:val="24"/>
          <w:szCs w:val="24"/>
        </w:rPr>
        <w:t xml:space="preserve">David, L. (2017) </w:t>
      </w:r>
      <w:r w:rsidRPr="002F701B">
        <w:rPr>
          <w:rFonts w:ascii="Arial" w:hAnsi="Arial" w:cs="Arial"/>
          <w:i/>
          <w:sz w:val="24"/>
          <w:szCs w:val="24"/>
        </w:rPr>
        <w:t>Employment Law: the essentials</w:t>
      </w:r>
      <w:r w:rsidRPr="002F701B">
        <w:rPr>
          <w:rFonts w:ascii="Arial" w:hAnsi="Arial" w:cs="Arial"/>
          <w:sz w:val="24"/>
          <w:szCs w:val="24"/>
        </w:rPr>
        <w:t>. 14</w:t>
      </w:r>
      <w:r w:rsidRPr="002F701B">
        <w:rPr>
          <w:rFonts w:ascii="Arial" w:hAnsi="Arial" w:cs="Arial"/>
          <w:sz w:val="24"/>
          <w:szCs w:val="24"/>
          <w:vertAlign w:val="superscript"/>
        </w:rPr>
        <w:t>th</w:t>
      </w:r>
      <w:r w:rsidRPr="002F701B">
        <w:rPr>
          <w:rFonts w:ascii="Arial" w:hAnsi="Arial" w:cs="Arial"/>
          <w:sz w:val="24"/>
          <w:szCs w:val="24"/>
        </w:rPr>
        <w:t xml:space="preserve"> ed. London: Chartered Institute of Personnel and Development</w:t>
      </w:r>
      <w:r w:rsidR="00637727">
        <w:rPr>
          <w:rFonts w:ascii="Arial" w:hAnsi="Arial" w:cs="Arial"/>
          <w:sz w:val="24"/>
          <w:szCs w:val="24"/>
        </w:rPr>
        <w:br/>
      </w:r>
    </w:p>
    <w:p w:rsidR="002F701B" w:rsidRPr="002F701B" w:rsidRDefault="002F701B" w:rsidP="002F701B">
      <w:pPr>
        <w:pStyle w:val="ListParagraph"/>
        <w:numPr>
          <w:ilvl w:val="0"/>
          <w:numId w:val="2"/>
        </w:numPr>
        <w:rPr>
          <w:rFonts w:ascii="Arial" w:hAnsi="Arial" w:cs="Arial"/>
          <w:sz w:val="24"/>
          <w:szCs w:val="24"/>
        </w:rPr>
      </w:pPr>
      <w:r w:rsidRPr="002F701B">
        <w:rPr>
          <w:rFonts w:ascii="Arial" w:hAnsi="Arial" w:cs="Arial"/>
          <w:sz w:val="24"/>
          <w:szCs w:val="24"/>
        </w:rPr>
        <w:t xml:space="preserve">Employment Rights Act (1996) Section 43B Available at: </w:t>
      </w:r>
      <w:hyperlink r:id="rId26" w:history="1">
        <w:r w:rsidR="00637727" w:rsidRPr="00B06A50">
          <w:rPr>
            <w:rStyle w:val="Hyperlink"/>
            <w:rFonts w:ascii="Arial" w:hAnsi="Arial" w:cs="Arial"/>
            <w:sz w:val="24"/>
            <w:szCs w:val="24"/>
          </w:rPr>
          <w:t>https://www.legislation.gov.uk/ukpga/1996/18/section/43B</w:t>
        </w:r>
      </w:hyperlink>
      <w:r w:rsidRPr="002F701B">
        <w:rPr>
          <w:rFonts w:ascii="Arial" w:hAnsi="Arial" w:cs="Arial"/>
          <w:sz w:val="24"/>
          <w:szCs w:val="24"/>
        </w:rPr>
        <w:t xml:space="preserve"> [Accessed: 8 April 2021]</w:t>
      </w:r>
      <w:r w:rsidR="00637727">
        <w:rPr>
          <w:rFonts w:ascii="Arial" w:hAnsi="Arial" w:cs="Arial"/>
          <w:sz w:val="24"/>
          <w:szCs w:val="24"/>
        </w:rPr>
        <w:br/>
      </w:r>
    </w:p>
    <w:p w:rsidR="002F701B" w:rsidRPr="002F701B" w:rsidRDefault="002F701B" w:rsidP="002F701B">
      <w:pPr>
        <w:pStyle w:val="ListParagraph"/>
        <w:numPr>
          <w:ilvl w:val="0"/>
          <w:numId w:val="2"/>
        </w:numPr>
        <w:rPr>
          <w:rFonts w:ascii="Arial" w:hAnsi="Arial" w:cs="Arial"/>
          <w:sz w:val="24"/>
          <w:szCs w:val="24"/>
        </w:rPr>
      </w:pPr>
      <w:r w:rsidRPr="002F701B">
        <w:rPr>
          <w:rFonts w:ascii="Arial" w:hAnsi="Arial" w:cs="Arial"/>
          <w:sz w:val="24"/>
          <w:szCs w:val="24"/>
        </w:rPr>
        <w:t xml:space="preserve">Employment Rights Act 1996, Section 100. Available at: </w:t>
      </w:r>
      <w:hyperlink r:id="rId27" w:history="1">
        <w:r w:rsidR="00637727" w:rsidRPr="00B06A50">
          <w:rPr>
            <w:rStyle w:val="Hyperlink"/>
            <w:rFonts w:ascii="Arial" w:hAnsi="Arial" w:cs="Arial"/>
            <w:sz w:val="24"/>
            <w:szCs w:val="24"/>
          </w:rPr>
          <w:t>https://www.legislation.gov.uk/ukpga/1996/18/section/100</w:t>
        </w:r>
      </w:hyperlink>
      <w:r w:rsidRPr="002F701B">
        <w:rPr>
          <w:rFonts w:ascii="Arial" w:hAnsi="Arial" w:cs="Arial"/>
          <w:sz w:val="24"/>
          <w:szCs w:val="24"/>
        </w:rPr>
        <w:t xml:space="preserve"> [Accessed: 30 March 2020]</w:t>
      </w:r>
      <w:r w:rsidR="00637727">
        <w:rPr>
          <w:rFonts w:ascii="Arial" w:hAnsi="Arial" w:cs="Arial"/>
          <w:sz w:val="24"/>
          <w:szCs w:val="24"/>
        </w:rPr>
        <w:br/>
      </w:r>
    </w:p>
    <w:p w:rsidR="002F701B" w:rsidRPr="002F701B" w:rsidRDefault="002F701B" w:rsidP="002F701B">
      <w:pPr>
        <w:pStyle w:val="ListParagraph"/>
        <w:numPr>
          <w:ilvl w:val="0"/>
          <w:numId w:val="2"/>
        </w:numPr>
        <w:rPr>
          <w:rFonts w:ascii="Arial" w:hAnsi="Arial" w:cs="Arial"/>
          <w:sz w:val="24"/>
          <w:szCs w:val="24"/>
        </w:rPr>
      </w:pPr>
      <w:r w:rsidRPr="002F701B">
        <w:rPr>
          <w:rFonts w:ascii="Arial" w:hAnsi="Arial" w:cs="Arial"/>
          <w:sz w:val="24"/>
          <w:szCs w:val="24"/>
        </w:rPr>
        <w:t xml:space="preserve">Employment Rights Act 1996, Section 103A. Available at: </w:t>
      </w:r>
      <w:hyperlink r:id="rId28" w:history="1">
        <w:r w:rsidR="00637727" w:rsidRPr="00B06A50">
          <w:rPr>
            <w:rStyle w:val="Hyperlink"/>
            <w:rFonts w:ascii="Arial" w:hAnsi="Arial" w:cs="Arial"/>
            <w:sz w:val="24"/>
            <w:szCs w:val="24"/>
          </w:rPr>
          <w:t>https://www.legislation.gov.uk/ukpga/1996/18/section/103A</w:t>
        </w:r>
      </w:hyperlink>
      <w:r w:rsidRPr="002F701B">
        <w:rPr>
          <w:rFonts w:ascii="Arial" w:hAnsi="Arial" w:cs="Arial"/>
          <w:sz w:val="24"/>
          <w:szCs w:val="24"/>
        </w:rPr>
        <w:t xml:space="preserve"> [Accessed: 30 March 2021]</w:t>
      </w:r>
      <w:r w:rsidR="00637727">
        <w:rPr>
          <w:rFonts w:ascii="Arial" w:hAnsi="Arial" w:cs="Arial"/>
          <w:sz w:val="24"/>
          <w:szCs w:val="24"/>
        </w:rPr>
        <w:br/>
      </w:r>
    </w:p>
    <w:p w:rsidR="002F701B" w:rsidRPr="002F701B" w:rsidRDefault="002F701B" w:rsidP="002F701B">
      <w:pPr>
        <w:pStyle w:val="ListParagraph"/>
        <w:numPr>
          <w:ilvl w:val="0"/>
          <w:numId w:val="2"/>
        </w:numPr>
        <w:rPr>
          <w:rFonts w:ascii="Arial" w:hAnsi="Arial" w:cs="Arial"/>
          <w:sz w:val="24"/>
          <w:szCs w:val="24"/>
        </w:rPr>
      </w:pPr>
      <w:r w:rsidRPr="002F701B">
        <w:rPr>
          <w:rFonts w:ascii="Arial" w:hAnsi="Arial" w:cs="Arial"/>
          <w:sz w:val="24"/>
          <w:szCs w:val="24"/>
        </w:rPr>
        <w:t xml:space="preserve">Employment Rights Act 1996, Section 98 Available at: </w:t>
      </w:r>
      <w:hyperlink r:id="rId29" w:history="1">
        <w:r w:rsidR="00637727" w:rsidRPr="00B06A50">
          <w:rPr>
            <w:rStyle w:val="Hyperlink"/>
            <w:rFonts w:ascii="Arial" w:hAnsi="Arial" w:cs="Arial"/>
            <w:sz w:val="24"/>
            <w:szCs w:val="24"/>
          </w:rPr>
          <w:t>https://www.legislation.gov.uk/ukpga/1996/18/section/98</w:t>
        </w:r>
      </w:hyperlink>
      <w:r w:rsidRPr="002F701B">
        <w:rPr>
          <w:rFonts w:ascii="Arial" w:hAnsi="Arial" w:cs="Arial"/>
          <w:sz w:val="24"/>
          <w:szCs w:val="24"/>
        </w:rPr>
        <w:t xml:space="preserve"> [Accessed: 30 March 2021]</w:t>
      </w:r>
      <w:r w:rsidR="00637727">
        <w:rPr>
          <w:rFonts w:ascii="Arial" w:hAnsi="Arial" w:cs="Arial"/>
          <w:sz w:val="24"/>
          <w:szCs w:val="24"/>
        </w:rPr>
        <w:br/>
      </w:r>
    </w:p>
    <w:p w:rsidR="002F701B" w:rsidRPr="002F701B" w:rsidRDefault="002F701B" w:rsidP="002F701B">
      <w:pPr>
        <w:pStyle w:val="ListParagraph"/>
        <w:numPr>
          <w:ilvl w:val="0"/>
          <w:numId w:val="2"/>
        </w:numPr>
        <w:rPr>
          <w:rFonts w:ascii="Arial" w:hAnsi="Arial" w:cs="Arial"/>
          <w:sz w:val="24"/>
          <w:szCs w:val="24"/>
        </w:rPr>
      </w:pPr>
      <w:r w:rsidRPr="002F701B">
        <w:rPr>
          <w:rFonts w:ascii="Arial" w:hAnsi="Arial" w:cs="Arial"/>
          <w:sz w:val="24"/>
          <w:szCs w:val="24"/>
        </w:rPr>
        <w:t xml:space="preserve">Employment Rights Act 1996. Available at: </w:t>
      </w:r>
      <w:hyperlink r:id="rId30" w:history="1">
        <w:r w:rsidR="00637727" w:rsidRPr="00B06A50">
          <w:rPr>
            <w:rStyle w:val="Hyperlink"/>
            <w:rFonts w:ascii="Arial" w:hAnsi="Arial" w:cs="Arial"/>
            <w:sz w:val="24"/>
            <w:szCs w:val="24"/>
          </w:rPr>
          <w:t>https://www.legislation.gov.uk/ukpga/1996/18/contents</w:t>
        </w:r>
      </w:hyperlink>
      <w:r w:rsidRPr="002F701B">
        <w:rPr>
          <w:rFonts w:ascii="Arial" w:hAnsi="Arial" w:cs="Arial"/>
          <w:sz w:val="24"/>
          <w:szCs w:val="24"/>
        </w:rPr>
        <w:t xml:space="preserve"> [Accessed: 30 March 2021]</w:t>
      </w:r>
      <w:r w:rsidR="00637727">
        <w:rPr>
          <w:rFonts w:ascii="Arial" w:hAnsi="Arial" w:cs="Arial"/>
          <w:sz w:val="24"/>
          <w:szCs w:val="24"/>
        </w:rPr>
        <w:br/>
      </w:r>
    </w:p>
    <w:p w:rsidR="002F701B" w:rsidRPr="002F701B" w:rsidRDefault="002F701B" w:rsidP="002F701B">
      <w:pPr>
        <w:pStyle w:val="ListParagraph"/>
        <w:numPr>
          <w:ilvl w:val="0"/>
          <w:numId w:val="2"/>
        </w:numPr>
        <w:rPr>
          <w:rFonts w:ascii="Arial" w:hAnsi="Arial" w:cs="Arial"/>
          <w:sz w:val="24"/>
          <w:szCs w:val="24"/>
        </w:rPr>
      </w:pPr>
      <w:r w:rsidRPr="002F701B">
        <w:rPr>
          <w:rFonts w:ascii="Arial" w:hAnsi="Arial" w:cs="Arial"/>
          <w:i/>
          <w:sz w:val="24"/>
          <w:szCs w:val="24"/>
        </w:rPr>
        <w:t>Employment Tribunal (Constitution and Rules of Procedure) Regulations 2013</w:t>
      </w:r>
      <w:r w:rsidRPr="002F701B">
        <w:rPr>
          <w:rFonts w:ascii="Arial" w:hAnsi="Arial" w:cs="Arial"/>
          <w:sz w:val="24"/>
          <w:szCs w:val="24"/>
        </w:rPr>
        <w:t xml:space="preserve"> Available at: </w:t>
      </w:r>
      <w:hyperlink r:id="rId31" w:history="1">
        <w:r w:rsidR="00637727" w:rsidRPr="00B06A50">
          <w:rPr>
            <w:rStyle w:val="Hyperlink"/>
            <w:rFonts w:ascii="Arial" w:hAnsi="Arial" w:cs="Arial"/>
            <w:sz w:val="24"/>
            <w:szCs w:val="24"/>
          </w:rPr>
          <w:t>https://www.legislation.gov.uk/uksi/2013/1237/schedule/1/made</w:t>
        </w:r>
      </w:hyperlink>
      <w:r w:rsidRPr="002F701B">
        <w:rPr>
          <w:rFonts w:ascii="Arial" w:hAnsi="Arial" w:cs="Arial"/>
          <w:sz w:val="24"/>
          <w:szCs w:val="24"/>
        </w:rPr>
        <w:t xml:space="preserve"> [Accessed: 30 March 2021]</w:t>
      </w:r>
      <w:r w:rsidR="00637727">
        <w:rPr>
          <w:rFonts w:ascii="Arial" w:hAnsi="Arial" w:cs="Arial"/>
          <w:sz w:val="24"/>
          <w:szCs w:val="24"/>
        </w:rPr>
        <w:br/>
      </w:r>
    </w:p>
    <w:p w:rsidR="002F701B" w:rsidRPr="002F701B" w:rsidRDefault="002F701B" w:rsidP="002F701B">
      <w:pPr>
        <w:pStyle w:val="ListParagraph"/>
        <w:numPr>
          <w:ilvl w:val="0"/>
          <w:numId w:val="2"/>
        </w:numPr>
        <w:rPr>
          <w:rFonts w:ascii="Arial" w:hAnsi="Arial" w:cs="Arial"/>
          <w:sz w:val="24"/>
        </w:rPr>
      </w:pPr>
      <w:r w:rsidRPr="002F701B">
        <w:rPr>
          <w:rFonts w:ascii="Arial" w:hAnsi="Arial" w:cs="Arial"/>
          <w:sz w:val="24"/>
        </w:rPr>
        <w:t xml:space="preserve">Equality Rights Act (2010) Available at: </w:t>
      </w:r>
      <w:hyperlink r:id="rId32" w:history="1">
        <w:r w:rsidR="00637727" w:rsidRPr="00B06A50">
          <w:rPr>
            <w:rStyle w:val="Hyperlink"/>
            <w:rFonts w:ascii="Arial" w:hAnsi="Arial" w:cs="Arial"/>
            <w:sz w:val="24"/>
          </w:rPr>
          <w:t>https://www.equalityhumanrights.com/en/advice-and-guidance/your-rights-under-equality-act-2010</w:t>
        </w:r>
      </w:hyperlink>
      <w:r w:rsidRPr="002F701B">
        <w:rPr>
          <w:rFonts w:ascii="Arial" w:hAnsi="Arial" w:cs="Arial"/>
          <w:sz w:val="24"/>
        </w:rPr>
        <w:t xml:space="preserve"> [Accessed: 21 April]</w:t>
      </w:r>
      <w:r w:rsidR="00637727">
        <w:rPr>
          <w:rFonts w:ascii="Arial" w:hAnsi="Arial" w:cs="Arial"/>
          <w:sz w:val="24"/>
        </w:rPr>
        <w:br/>
      </w:r>
    </w:p>
    <w:p w:rsidR="002F701B" w:rsidRDefault="002F701B" w:rsidP="002F701B">
      <w:pPr>
        <w:pStyle w:val="ListParagraph"/>
        <w:numPr>
          <w:ilvl w:val="0"/>
          <w:numId w:val="2"/>
        </w:numPr>
        <w:rPr>
          <w:rFonts w:ascii="Arial" w:hAnsi="Arial" w:cs="Arial"/>
          <w:sz w:val="24"/>
          <w:szCs w:val="24"/>
        </w:rPr>
      </w:pPr>
      <w:r w:rsidRPr="002F701B">
        <w:rPr>
          <w:rFonts w:ascii="Arial" w:hAnsi="Arial" w:cs="Arial"/>
          <w:sz w:val="24"/>
          <w:szCs w:val="24"/>
        </w:rPr>
        <w:t xml:space="preserve">Employment Rights Act 1996 Section 118 Available at: </w:t>
      </w:r>
      <w:hyperlink r:id="rId33" w:history="1">
        <w:r w:rsidR="00637727" w:rsidRPr="00B06A50">
          <w:rPr>
            <w:rStyle w:val="Hyperlink"/>
            <w:rFonts w:ascii="Arial" w:hAnsi="Arial" w:cs="Arial"/>
            <w:sz w:val="24"/>
            <w:szCs w:val="24"/>
          </w:rPr>
          <w:t>https://www.legislation.gov.uk/ukpga/1996/18/section/118</w:t>
        </w:r>
      </w:hyperlink>
      <w:r w:rsidRPr="002F701B">
        <w:rPr>
          <w:rFonts w:ascii="Arial" w:hAnsi="Arial" w:cs="Arial"/>
          <w:sz w:val="24"/>
          <w:szCs w:val="24"/>
        </w:rPr>
        <w:t xml:space="preserve"> [Accessed: 9 April 2021]</w:t>
      </w:r>
      <w:r w:rsidR="00637727">
        <w:rPr>
          <w:rFonts w:ascii="Arial" w:hAnsi="Arial" w:cs="Arial"/>
          <w:sz w:val="24"/>
          <w:szCs w:val="24"/>
        </w:rPr>
        <w:br/>
      </w:r>
    </w:p>
    <w:p w:rsidR="002F701B" w:rsidRPr="002F701B" w:rsidRDefault="002F701B" w:rsidP="002F701B">
      <w:pPr>
        <w:pStyle w:val="ListParagraph"/>
        <w:numPr>
          <w:ilvl w:val="0"/>
          <w:numId w:val="2"/>
        </w:numPr>
        <w:rPr>
          <w:rFonts w:ascii="Arial" w:hAnsi="Arial" w:cs="Arial"/>
          <w:sz w:val="24"/>
          <w:szCs w:val="24"/>
        </w:rPr>
      </w:pPr>
      <w:r>
        <w:rPr>
          <w:rFonts w:ascii="Arial" w:hAnsi="Arial" w:cs="Arial"/>
          <w:sz w:val="24"/>
          <w:szCs w:val="24"/>
        </w:rPr>
        <w:t xml:space="preserve">Freedom of Information Act 2000. Available at: </w:t>
      </w:r>
      <w:hyperlink r:id="rId34" w:history="1">
        <w:r w:rsidRPr="00DA52E7">
          <w:rPr>
            <w:rStyle w:val="Hyperlink"/>
            <w:rFonts w:ascii="Arial" w:hAnsi="Arial" w:cs="Arial"/>
            <w:sz w:val="24"/>
            <w:szCs w:val="24"/>
          </w:rPr>
          <w:t>https://www.legislation.gov.uk/ukpga/2000/36/contents</w:t>
        </w:r>
      </w:hyperlink>
      <w:r>
        <w:rPr>
          <w:rFonts w:ascii="Arial" w:hAnsi="Arial" w:cs="Arial"/>
          <w:sz w:val="24"/>
          <w:szCs w:val="24"/>
        </w:rPr>
        <w:t xml:space="preserve"> </w:t>
      </w:r>
      <w:r w:rsidR="00637727">
        <w:rPr>
          <w:rFonts w:ascii="Arial" w:hAnsi="Arial" w:cs="Arial"/>
          <w:sz w:val="24"/>
          <w:szCs w:val="24"/>
        </w:rPr>
        <w:br/>
      </w:r>
    </w:p>
    <w:p w:rsidR="002F701B" w:rsidRPr="002F701B" w:rsidRDefault="002F701B" w:rsidP="002F701B">
      <w:pPr>
        <w:pStyle w:val="ListParagraph"/>
        <w:numPr>
          <w:ilvl w:val="0"/>
          <w:numId w:val="2"/>
        </w:numPr>
        <w:rPr>
          <w:rFonts w:ascii="Arial" w:hAnsi="Arial" w:cs="Arial"/>
          <w:sz w:val="24"/>
        </w:rPr>
      </w:pPr>
      <w:r w:rsidRPr="002F701B">
        <w:rPr>
          <w:rFonts w:ascii="Arial" w:hAnsi="Arial" w:cs="Arial"/>
          <w:sz w:val="24"/>
        </w:rPr>
        <w:t xml:space="preserve">GDPR (2018) </w:t>
      </w:r>
      <w:r w:rsidRPr="00637727">
        <w:rPr>
          <w:rFonts w:ascii="Arial" w:hAnsi="Arial" w:cs="Arial"/>
          <w:i/>
          <w:sz w:val="24"/>
        </w:rPr>
        <w:t>Data Protection Act</w:t>
      </w:r>
      <w:r w:rsidRPr="002F701B">
        <w:rPr>
          <w:rFonts w:ascii="Arial" w:hAnsi="Arial" w:cs="Arial"/>
          <w:sz w:val="24"/>
        </w:rPr>
        <w:t xml:space="preserve"> Available at: </w:t>
      </w:r>
      <w:hyperlink r:id="rId35" w:history="1">
        <w:r w:rsidRPr="00DA52E7">
          <w:rPr>
            <w:rStyle w:val="Hyperlink"/>
            <w:rFonts w:ascii="Arial" w:hAnsi="Arial" w:cs="Arial"/>
            <w:sz w:val="24"/>
          </w:rPr>
          <w:t>https://www.legislation.gov.uk/ukpga/2018/12/contents/enacted</w:t>
        </w:r>
      </w:hyperlink>
      <w:r w:rsidRPr="002F701B">
        <w:rPr>
          <w:rFonts w:ascii="Arial" w:hAnsi="Arial" w:cs="Arial"/>
          <w:sz w:val="24"/>
        </w:rPr>
        <w:t xml:space="preserve"> [Accessed: 27 April 2021]</w:t>
      </w:r>
      <w:r w:rsidR="00637727">
        <w:rPr>
          <w:rFonts w:ascii="Arial" w:hAnsi="Arial" w:cs="Arial"/>
          <w:sz w:val="24"/>
        </w:rPr>
        <w:br/>
      </w:r>
    </w:p>
    <w:p w:rsidR="002F701B" w:rsidRPr="002F701B" w:rsidRDefault="002F701B" w:rsidP="002F701B">
      <w:pPr>
        <w:pStyle w:val="ListParagraph"/>
        <w:numPr>
          <w:ilvl w:val="0"/>
          <w:numId w:val="2"/>
        </w:numPr>
        <w:rPr>
          <w:rFonts w:ascii="Arial" w:hAnsi="Arial" w:cs="Arial"/>
          <w:sz w:val="24"/>
          <w:szCs w:val="24"/>
        </w:rPr>
      </w:pPr>
      <w:r w:rsidRPr="002F701B">
        <w:rPr>
          <w:rFonts w:ascii="Arial" w:hAnsi="Arial" w:cs="Arial"/>
          <w:sz w:val="24"/>
          <w:szCs w:val="24"/>
        </w:rPr>
        <w:t xml:space="preserve">Gov (2021a) </w:t>
      </w:r>
      <w:r w:rsidRPr="002F701B">
        <w:rPr>
          <w:rFonts w:ascii="Arial" w:hAnsi="Arial" w:cs="Arial"/>
          <w:i/>
          <w:sz w:val="24"/>
          <w:szCs w:val="24"/>
        </w:rPr>
        <w:t>Being taken to an Employment Tribunal</w:t>
      </w:r>
      <w:r w:rsidRPr="002F701B">
        <w:rPr>
          <w:rFonts w:ascii="Arial" w:hAnsi="Arial" w:cs="Arial"/>
          <w:sz w:val="24"/>
          <w:szCs w:val="24"/>
        </w:rPr>
        <w:t xml:space="preserve"> Available at: </w:t>
      </w:r>
      <w:hyperlink r:id="rId36" w:history="1">
        <w:r w:rsidR="00637727" w:rsidRPr="00B06A50">
          <w:rPr>
            <w:rStyle w:val="Hyperlink"/>
            <w:rFonts w:ascii="Arial" w:hAnsi="Arial" w:cs="Arial"/>
            <w:sz w:val="24"/>
            <w:szCs w:val="24"/>
          </w:rPr>
          <w:t>https://www.gov.uk/being-taken-to-employment-tribunal-by-employee</w:t>
        </w:r>
      </w:hyperlink>
      <w:r w:rsidRPr="002F701B">
        <w:rPr>
          <w:rFonts w:ascii="Arial" w:hAnsi="Arial" w:cs="Arial"/>
          <w:sz w:val="24"/>
          <w:szCs w:val="24"/>
        </w:rPr>
        <w:t xml:space="preserve"> [Accessed: 30 March 2021]</w:t>
      </w:r>
      <w:r w:rsidR="00637727">
        <w:rPr>
          <w:rFonts w:ascii="Arial" w:hAnsi="Arial" w:cs="Arial"/>
          <w:sz w:val="24"/>
          <w:szCs w:val="24"/>
        </w:rPr>
        <w:br/>
      </w:r>
    </w:p>
    <w:p w:rsidR="002F701B" w:rsidRPr="002F701B" w:rsidRDefault="002F701B" w:rsidP="002F701B">
      <w:pPr>
        <w:pStyle w:val="ListParagraph"/>
        <w:numPr>
          <w:ilvl w:val="0"/>
          <w:numId w:val="2"/>
        </w:numPr>
        <w:rPr>
          <w:rFonts w:ascii="Arial" w:hAnsi="Arial" w:cs="Arial"/>
          <w:sz w:val="24"/>
          <w:szCs w:val="24"/>
        </w:rPr>
      </w:pPr>
      <w:r w:rsidRPr="002F701B">
        <w:rPr>
          <w:rFonts w:ascii="Arial" w:hAnsi="Arial" w:cs="Arial"/>
          <w:sz w:val="24"/>
          <w:szCs w:val="24"/>
        </w:rPr>
        <w:t xml:space="preserve">Gov (2021b) </w:t>
      </w:r>
      <w:r w:rsidRPr="002F701B">
        <w:rPr>
          <w:rFonts w:ascii="Arial" w:hAnsi="Arial" w:cs="Arial"/>
          <w:i/>
          <w:sz w:val="24"/>
          <w:szCs w:val="24"/>
        </w:rPr>
        <w:t>The Employment Rights (Increase of Limits) Orders 2021</w:t>
      </w:r>
      <w:r w:rsidRPr="002F701B">
        <w:rPr>
          <w:rFonts w:ascii="Arial" w:hAnsi="Arial" w:cs="Arial"/>
          <w:sz w:val="24"/>
          <w:szCs w:val="24"/>
        </w:rPr>
        <w:t xml:space="preserve">. Available at: </w:t>
      </w:r>
      <w:hyperlink r:id="rId37" w:history="1">
        <w:r w:rsidR="00637727" w:rsidRPr="00B06A50">
          <w:rPr>
            <w:rStyle w:val="Hyperlink"/>
            <w:rFonts w:ascii="Arial" w:hAnsi="Arial" w:cs="Arial"/>
            <w:sz w:val="24"/>
            <w:szCs w:val="24"/>
          </w:rPr>
          <w:t>https://www.legislation.gov.uk/uksi/2021/208/made</w:t>
        </w:r>
      </w:hyperlink>
      <w:r w:rsidRPr="002F701B">
        <w:rPr>
          <w:rFonts w:ascii="Arial" w:hAnsi="Arial" w:cs="Arial"/>
          <w:sz w:val="24"/>
          <w:szCs w:val="24"/>
        </w:rPr>
        <w:t xml:space="preserve"> [Accessed: 9 April 2021]</w:t>
      </w:r>
      <w:r w:rsidR="00637727">
        <w:rPr>
          <w:rFonts w:ascii="Arial" w:hAnsi="Arial" w:cs="Arial"/>
          <w:sz w:val="24"/>
          <w:szCs w:val="24"/>
        </w:rPr>
        <w:br/>
      </w:r>
    </w:p>
    <w:p w:rsidR="002F701B" w:rsidRPr="002F701B" w:rsidRDefault="002F701B" w:rsidP="002F701B">
      <w:pPr>
        <w:pStyle w:val="ListParagraph"/>
        <w:numPr>
          <w:ilvl w:val="0"/>
          <w:numId w:val="2"/>
        </w:numPr>
        <w:rPr>
          <w:rFonts w:ascii="Arial" w:hAnsi="Arial" w:cs="Arial"/>
          <w:sz w:val="24"/>
        </w:rPr>
      </w:pPr>
      <w:r w:rsidRPr="002F701B">
        <w:rPr>
          <w:rFonts w:ascii="Arial" w:hAnsi="Arial" w:cs="Arial"/>
          <w:sz w:val="24"/>
        </w:rPr>
        <w:t xml:space="preserve">Health and Safety at Work Act 1974. Available at: </w:t>
      </w:r>
      <w:hyperlink r:id="rId38" w:history="1">
        <w:r w:rsidR="00637727" w:rsidRPr="00B06A50">
          <w:rPr>
            <w:rStyle w:val="Hyperlink"/>
            <w:rFonts w:ascii="Arial" w:hAnsi="Arial" w:cs="Arial"/>
            <w:sz w:val="24"/>
          </w:rPr>
          <w:t>https://www.hse.gov.uk/legislation/hswa.htm</w:t>
        </w:r>
      </w:hyperlink>
      <w:r w:rsidRPr="002F701B">
        <w:rPr>
          <w:rFonts w:ascii="Arial" w:hAnsi="Arial" w:cs="Arial"/>
          <w:sz w:val="24"/>
        </w:rPr>
        <w:t xml:space="preserve"> [Accessed: 27 April 2021]</w:t>
      </w:r>
      <w:r w:rsidR="00637727">
        <w:rPr>
          <w:rFonts w:ascii="Arial" w:hAnsi="Arial" w:cs="Arial"/>
          <w:sz w:val="24"/>
        </w:rPr>
        <w:br/>
      </w:r>
    </w:p>
    <w:p w:rsidR="002F701B" w:rsidRPr="002F701B" w:rsidRDefault="002F701B" w:rsidP="002F701B">
      <w:pPr>
        <w:pStyle w:val="ListParagraph"/>
        <w:numPr>
          <w:ilvl w:val="0"/>
          <w:numId w:val="2"/>
        </w:numPr>
        <w:rPr>
          <w:rFonts w:ascii="Arial" w:hAnsi="Arial" w:cs="Arial"/>
          <w:sz w:val="24"/>
          <w:szCs w:val="24"/>
        </w:rPr>
      </w:pPr>
      <w:r w:rsidRPr="002F701B">
        <w:rPr>
          <w:rFonts w:ascii="Arial" w:hAnsi="Arial" w:cs="Arial"/>
          <w:sz w:val="24"/>
          <w:szCs w:val="24"/>
        </w:rPr>
        <w:t xml:space="preserve">Health and Safety Executive (2021a) </w:t>
      </w:r>
      <w:r w:rsidRPr="002F701B">
        <w:rPr>
          <w:rFonts w:ascii="Arial" w:hAnsi="Arial" w:cs="Arial"/>
          <w:i/>
          <w:sz w:val="24"/>
          <w:szCs w:val="24"/>
        </w:rPr>
        <w:t>Making your workplace COVID-secure during the coronavirus pandemic</w:t>
      </w:r>
      <w:r w:rsidRPr="002F701B">
        <w:rPr>
          <w:rFonts w:ascii="Arial" w:hAnsi="Arial" w:cs="Arial"/>
          <w:sz w:val="24"/>
          <w:szCs w:val="24"/>
        </w:rPr>
        <w:t xml:space="preserve">. Available at: </w:t>
      </w:r>
      <w:hyperlink r:id="rId39" w:history="1">
        <w:r w:rsidR="00637727" w:rsidRPr="00B06A50">
          <w:rPr>
            <w:rStyle w:val="Hyperlink"/>
            <w:rFonts w:ascii="Arial" w:hAnsi="Arial" w:cs="Arial"/>
            <w:sz w:val="24"/>
            <w:szCs w:val="24"/>
          </w:rPr>
          <w:t>https://www.hse.gov.uk/coronavirus/index.htm</w:t>
        </w:r>
      </w:hyperlink>
      <w:r w:rsidRPr="002F701B">
        <w:rPr>
          <w:rFonts w:ascii="Arial" w:hAnsi="Arial" w:cs="Arial"/>
          <w:sz w:val="24"/>
          <w:szCs w:val="24"/>
        </w:rPr>
        <w:t xml:space="preserve"> [Accessed: 30 March 2021]</w:t>
      </w:r>
      <w:r w:rsidR="00637727">
        <w:rPr>
          <w:rFonts w:ascii="Arial" w:hAnsi="Arial" w:cs="Arial"/>
          <w:sz w:val="24"/>
          <w:szCs w:val="24"/>
        </w:rPr>
        <w:br/>
      </w:r>
    </w:p>
    <w:p w:rsidR="002F701B" w:rsidRPr="002F701B" w:rsidRDefault="002F701B" w:rsidP="002F701B">
      <w:pPr>
        <w:pStyle w:val="ListParagraph"/>
        <w:numPr>
          <w:ilvl w:val="0"/>
          <w:numId w:val="2"/>
        </w:numPr>
        <w:rPr>
          <w:rFonts w:ascii="Arial" w:hAnsi="Arial" w:cs="Arial"/>
          <w:sz w:val="24"/>
          <w:szCs w:val="24"/>
        </w:rPr>
      </w:pPr>
      <w:r w:rsidRPr="002F701B">
        <w:rPr>
          <w:rFonts w:ascii="Arial" w:hAnsi="Arial" w:cs="Arial"/>
          <w:sz w:val="24"/>
          <w:szCs w:val="24"/>
        </w:rPr>
        <w:t xml:space="preserve">Honeyball, S. (2014) </w:t>
      </w:r>
      <w:r w:rsidRPr="002F701B">
        <w:rPr>
          <w:rFonts w:ascii="Arial" w:hAnsi="Arial" w:cs="Arial"/>
          <w:i/>
          <w:sz w:val="24"/>
          <w:szCs w:val="24"/>
        </w:rPr>
        <w:t>Honeyball and Bower’s textbook on Employment Law.</w:t>
      </w:r>
      <w:r w:rsidRPr="002F701B">
        <w:rPr>
          <w:rFonts w:ascii="Arial" w:hAnsi="Arial" w:cs="Arial"/>
          <w:sz w:val="24"/>
          <w:szCs w:val="24"/>
        </w:rPr>
        <w:t xml:space="preserve"> 13</w:t>
      </w:r>
      <w:r w:rsidRPr="002F701B">
        <w:rPr>
          <w:rFonts w:ascii="Arial" w:hAnsi="Arial" w:cs="Arial"/>
          <w:sz w:val="24"/>
          <w:szCs w:val="24"/>
          <w:vertAlign w:val="superscript"/>
        </w:rPr>
        <w:t>th</w:t>
      </w:r>
      <w:r w:rsidRPr="002F701B">
        <w:rPr>
          <w:rFonts w:ascii="Arial" w:hAnsi="Arial" w:cs="Arial"/>
          <w:sz w:val="24"/>
          <w:szCs w:val="24"/>
        </w:rPr>
        <w:t xml:space="preserve"> ed. Oxford University Press.</w:t>
      </w:r>
      <w:r w:rsidR="0098552D">
        <w:rPr>
          <w:rFonts w:ascii="Arial" w:hAnsi="Arial" w:cs="Arial"/>
          <w:sz w:val="24"/>
          <w:szCs w:val="24"/>
        </w:rPr>
        <w:br/>
      </w:r>
    </w:p>
    <w:p w:rsidR="002F701B" w:rsidRPr="002F701B" w:rsidRDefault="002F701B" w:rsidP="002F701B">
      <w:pPr>
        <w:pStyle w:val="ListParagraph"/>
        <w:numPr>
          <w:ilvl w:val="0"/>
          <w:numId w:val="2"/>
        </w:numPr>
        <w:rPr>
          <w:rFonts w:ascii="Arial" w:hAnsi="Arial" w:cs="Arial"/>
          <w:sz w:val="24"/>
        </w:rPr>
      </w:pPr>
      <w:r w:rsidRPr="002F701B">
        <w:rPr>
          <w:rFonts w:ascii="Arial" w:hAnsi="Arial" w:cs="Arial"/>
          <w:sz w:val="24"/>
        </w:rPr>
        <w:t xml:space="preserve">HSE (2021) </w:t>
      </w:r>
      <w:r w:rsidRPr="00637727">
        <w:rPr>
          <w:rFonts w:ascii="Arial" w:hAnsi="Arial" w:cs="Arial"/>
          <w:i/>
          <w:sz w:val="24"/>
        </w:rPr>
        <w:t>Employer’s responsibilities</w:t>
      </w:r>
      <w:r w:rsidRPr="002F701B">
        <w:rPr>
          <w:rFonts w:ascii="Arial" w:hAnsi="Arial" w:cs="Arial"/>
          <w:sz w:val="24"/>
        </w:rPr>
        <w:t xml:space="preserve">. Available at: </w:t>
      </w:r>
      <w:hyperlink r:id="rId40" w:anchor=":~:text=It%20is%20an%20employer's%20duty,reasonably%20practicable%20to%20achieve%20this.&amp;text=Employers%20have%20duties%20under%20health,assess%20risks%20in%20the%20workplace" w:history="1">
        <w:r w:rsidR="00637727" w:rsidRPr="00B06A50">
          <w:rPr>
            <w:rStyle w:val="Hyperlink"/>
            <w:rFonts w:ascii="Arial" w:hAnsi="Arial" w:cs="Arial"/>
            <w:sz w:val="24"/>
          </w:rPr>
          <w:t>https://www.hse.gov.uk/workers/employers.htm#:~:text=It%20is%20an%20employer's%20duty,reasonably%20practicable%20to%20achieve%20this.&amp;text=Employers%20have%20duties%20under%20health,assess%20risks%20in%20the%20workplace</w:t>
        </w:r>
      </w:hyperlink>
      <w:r w:rsidRPr="002F701B">
        <w:rPr>
          <w:rFonts w:ascii="Arial" w:hAnsi="Arial" w:cs="Arial"/>
          <w:sz w:val="24"/>
        </w:rPr>
        <w:t>. [Accessed: 27 April 2021]</w:t>
      </w:r>
      <w:r w:rsidR="00637727">
        <w:rPr>
          <w:rFonts w:ascii="Arial" w:hAnsi="Arial" w:cs="Arial"/>
          <w:sz w:val="24"/>
        </w:rPr>
        <w:br/>
      </w:r>
    </w:p>
    <w:p w:rsidR="002F701B" w:rsidRDefault="002F701B" w:rsidP="002F701B">
      <w:pPr>
        <w:pStyle w:val="ListParagraph"/>
        <w:numPr>
          <w:ilvl w:val="0"/>
          <w:numId w:val="2"/>
        </w:numPr>
        <w:rPr>
          <w:rFonts w:ascii="Arial" w:hAnsi="Arial" w:cs="Arial"/>
          <w:sz w:val="24"/>
        </w:rPr>
      </w:pPr>
      <w:r w:rsidRPr="002F701B">
        <w:rPr>
          <w:rFonts w:ascii="Arial" w:hAnsi="Arial" w:cs="Arial"/>
          <w:sz w:val="24"/>
        </w:rPr>
        <w:t xml:space="preserve">ICO (2021) </w:t>
      </w:r>
      <w:r w:rsidRPr="00637727">
        <w:rPr>
          <w:rFonts w:ascii="Arial" w:hAnsi="Arial" w:cs="Arial"/>
          <w:i/>
          <w:sz w:val="24"/>
        </w:rPr>
        <w:t>Information Commissioner’s Office</w:t>
      </w:r>
      <w:r w:rsidR="00637727">
        <w:rPr>
          <w:rFonts w:ascii="Arial" w:hAnsi="Arial" w:cs="Arial"/>
          <w:i/>
          <w:sz w:val="24"/>
        </w:rPr>
        <w:t>:</w:t>
      </w:r>
      <w:r w:rsidRPr="002F701B">
        <w:rPr>
          <w:rFonts w:ascii="Arial" w:hAnsi="Arial" w:cs="Arial"/>
          <w:sz w:val="24"/>
        </w:rPr>
        <w:t xml:space="preserve"> Available at: </w:t>
      </w:r>
      <w:hyperlink r:id="rId41" w:history="1">
        <w:r w:rsidR="00637727" w:rsidRPr="00B06A50">
          <w:rPr>
            <w:rStyle w:val="Hyperlink"/>
            <w:rFonts w:ascii="Arial" w:hAnsi="Arial" w:cs="Arial"/>
            <w:sz w:val="24"/>
          </w:rPr>
          <w:t>https://ico.org.uk/</w:t>
        </w:r>
      </w:hyperlink>
      <w:r w:rsidRPr="002F701B">
        <w:rPr>
          <w:rFonts w:ascii="Arial" w:hAnsi="Arial" w:cs="Arial"/>
          <w:sz w:val="24"/>
        </w:rPr>
        <w:t xml:space="preserve"> [Accessed: 27 April 2021]</w:t>
      </w:r>
      <w:r w:rsidR="00637727">
        <w:rPr>
          <w:rFonts w:ascii="Arial" w:hAnsi="Arial" w:cs="Arial"/>
          <w:sz w:val="24"/>
        </w:rPr>
        <w:br/>
      </w:r>
    </w:p>
    <w:p w:rsidR="00637727" w:rsidRPr="002F701B" w:rsidRDefault="00637727" w:rsidP="002F701B">
      <w:pPr>
        <w:pStyle w:val="ListParagraph"/>
        <w:numPr>
          <w:ilvl w:val="0"/>
          <w:numId w:val="2"/>
        </w:numPr>
        <w:rPr>
          <w:rFonts w:ascii="Arial" w:hAnsi="Arial" w:cs="Arial"/>
          <w:sz w:val="24"/>
        </w:rPr>
      </w:pPr>
      <w:r>
        <w:rPr>
          <w:rFonts w:ascii="Arial" w:hAnsi="Arial" w:cs="Arial"/>
          <w:sz w:val="24"/>
        </w:rPr>
        <w:t xml:space="preserve">Kidner, R. (2014) </w:t>
      </w:r>
      <w:r w:rsidRPr="00637727">
        <w:rPr>
          <w:rFonts w:ascii="Arial" w:hAnsi="Arial" w:cs="Arial"/>
          <w:i/>
          <w:sz w:val="24"/>
        </w:rPr>
        <w:t>Blackstone’s statutes on Employment Law 2014-2015</w:t>
      </w:r>
      <w:r>
        <w:rPr>
          <w:rFonts w:ascii="Arial" w:hAnsi="Arial" w:cs="Arial"/>
          <w:sz w:val="24"/>
        </w:rPr>
        <w:t>. 24</w:t>
      </w:r>
      <w:r w:rsidRPr="00637727">
        <w:rPr>
          <w:rFonts w:ascii="Arial" w:hAnsi="Arial" w:cs="Arial"/>
          <w:sz w:val="24"/>
          <w:vertAlign w:val="superscript"/>
        </w:rPr>
        <w:t>th</w:t>
      </w:r>
      <w:r>
        <w:rPr>
          <w:rFonts w:ascii="Arial" w:hAnsi="Arial" w:cs="Arial"/>
          <w:sz w:val="24"/>
        </w:rPr>
        <w:t xml:space="preserve"> ed. Oxford: Oxford University Press.</w:t>
      </w:r>
      <w:r>
        <w:rPr>
          <w:rFonts w:ascii="Arial" w:hAnsi="Arial" w:cs="Arial"/>
          <w:sz w:val="24"/>
        </w:rPr>
        <w:br/>
      </w:r>
    </w:p>
    <w:p w:rsidR="002F701B" w:rsidRPr="00637727" w:rsidRDefault="002F701B" w:rsidP="00637727">
      <w:pPr>
        <w:pStyle w:val="ListParagraph"/>
        <w:numPr>
          <w:ilvl w:val="0"/>
          <w:numId w:val="2"/>
        </w:numPr>
        <w:rPr>
          <w:rFonts w:ascii="Arial" w:hAnsi="Arial" w:cs="Arial"/>
          <w:sz w:val="24"/>
          <w:szCs w:val="24"/>
        </w:rPr>
      </w:pPr>
      <w:r w:rsidRPr="002F701B">
        <w:rPr>
          <w:rFonts w:ascii="Arial" w:hAnsi="Arial" w:cs="Arial"/>
          <w:sz w:val="24"/>
          <w:szCs w:val="24"/>
        </w:rPr>
        <w:t xml:space="preserve">Lewis, D. and Sargeant, M. (2019) </w:t>
      </w:r>
      <w:r w:rsidRPr="002F701B">
        <w:rPr>
          <w:rFonts w:ascii="Arial" w:hAnsi="Arial" w:cs="Arial"/>
          <w:i/>
          <w:sz w:val="24"/>
          <w:szCs w:val="24"/>
        </w:rPr>
        <w:t>Essentials of Employment Law</w:t>
      </w:r>
      <w:r w:rsidRPr="002F701B">
        <w:rPr>
          <w:rFonts w:ascii="Arial" w:hAnsi="Arial" w:cs="Arial"/>
          <w:sz w:val="24"/>
          <w:szCs w:val="24"/>
        </w:rPr>
        <w:t>. 15</w:t>
      </w:r>
      <w:r w:rsidRPr="002F701B">
        <w:rPr>
          <w:rFonts w:ascii="Arial" w:hAnsi="Arial" w:cs="Arial"/>
          <w:sz w:val="24"/>
          <w:szCs w:val="24"/>
          <w:vertAlign w:val="superscript"/>
        </w:rPr>
        <w:t>th</w:t>
      </w:r>
      <w:r w:rsidRPr="002F701B">
        <w:rPr>
          <w:rFonts w:ascii="Arial" w:hAnsi="Arial" w:cs="Arial"/>
          <w:sz w:val="24"/>
          <w:szCs w:val="24"/>
        </w:rPr>
        <w:t xml:space="preserve"> ed. London: Chartered Institute of Personnel and Development.</w:t>
      </w:r>
      <w:r w:rsidR="00637727" w:rsidRPr="00637727">
        <w:rPr>
          <w:rFonts w:cs="Arial"/>
          <w:sz w:val="24"/>
          <w:szCs w:val="24"/>
          <w:highlight w:val="yellow"/>
          <w:shd w:val="clear" w:color="auto" w:fill="FFFFFF"/>
        </w:rPr>
        <w:br/>
      </w:r>
    </w:p>
    <w:p w:rsidR="002F701B" w:rsidRPr="002F701B" w:rsidRDefault="002F701B" w:rsidP="002F701B">
      <w:pPr>
        <w:pStyle w:val="ListParagraph"/>
        <w:numPr>
          <w:ilvl w:val="0"/>
          <w:numId w:val="2"/>
        </w:numPr>
        <w:rPr>
          <w:rFonts w:ascii="Arial" w:hAnsi="Arial" w:cs="Arial"/>
          <w:sz w:val="24"/>
        </w:rPr>
      </w:pPr>
      <w:r w:rsidRPr="002F701B">
        <w:rPr>
          <w:rFonts w:ascii="Arial" w:hAnsi="Arial" w:cs="Arial"/>
          <w:sz w:val="24"/>
        </w:rPr>
        <w:t xml:space="preserve">Public Interest Disclosure Act (1998) Available at </w:t>
      </w:r>
      <w:hyperlink r:id="rId42" w:history="1">
        <w:r w:rsidR="00637727" w:rsidRPr="00B06A50">
          <w:rPr>
            <w:rStyle w:val="Hyperlink"/>
            <w:rFonts w:ascii="Arial" w:hAnsi="Arial" w:cs="Arial"/>
            <w:sz w:val="24"/>
          </w:rPr>
          <w:t>https://www.legislation.gov.uk/ukpga/1998/23/contents</w:t>
        </w:r>
      </w:hyperlink>
      <w:r w:rsidRPr="002F701B">
        <w:rPr>
          <w:rFonts w:ascii="Arial" w:hAnsi="Arial" w:cs="Arial"/>
          <w:sz w:val="24"/>
        </w:rPr>
        <w:t xml:space="preserve"> [Accessed: 4 May 2021]</w:t>
      </w:r>
      <w:r w:rsidR="00637727">
        <w:rPr>
          <w:rFonts w:ascii="Arial" w:hAnsi="Arial" w:cs="Arial"/>
          <w:sz w:val="24"/>
        </w:rPr>
        <w:br/>
      </w:r>
    </w:p>
    <w:p w:rsidR="002F701B" w:rsidRPr="002F701B" w:rsidRDefault="002F701B" w:rsidP="002F701B">
      <w:pPr>
        <w:pStyle w:val="ListParagraph"/>
        <w:numPr>
          <w:ilvl w:val="0"/>
          <w:numId w:val="2"/>
        </w:numPr>
        <w:rPr>
          <w:rFonts w:ascii="Arial" w:hAnsi="Arial" w:cs="Arial"/>
          <w:sz w:val="24"/>
          <w:szCs w:val="24"/>
        </w:rPr>
      </w:pPr>
      <w:r w:rsidRPr="002F701B">
        <w:rPr>
          <w:rFonts w:ascii="Arial" w:hAnsi="Arial" w:cs="Arial"/>
          <w:i/>
          <w:sz w:val="24"/>
          <w:szCs w:val="24"/>
        </w:rPr>
        <w:t xml:space="preserve">Polkey V AE Dayton Service Ltd (1987) IRLR 503  </w:t>
      </w:r>
      <w:r w:rsidRPr="002F701B">
        <w:rPr>
          <w:rFonts w:ascii="Arial" w:hAnsi="Arial" w:cs="Arial"/>
          <w:sz w:val="24"/>
          <w:szCs w:val="24"/>
        </w:rPr>
        <w:t xml:space="preserve">Available at: </w:t>
      </w:r>
      <w:hyperlink r:id="rId43" w:history="1">
        <w:r w:rsidR="00637727" w:rsidRPr="00B06A50">
          <w:rPr>
            <w:rStyle w:val="Hyperlink"/>
            <w:rFonts w:ascii="Arial" w:hAnsi="Arial" w:cs="Arial"/>
            <w:sz w:val="24"/>
            <w:szCs w:val="24"/>
          </w:rPr>
          <w:t>https://uk.practicallaw.thomsonreuters.com/7-201-7057?transitionType=Default&amp;contextData=(sc.Default)&amp;firstPage=true</w:t>
        </w:r>
      </w:hyperlink>
      <w:r w:rsidRPr="002F701B">
        <w:rPr>
          <w:rFonts w:ascii="Arial" w:hAnsi="Arial" w:cs="Arial"/>
          <w:sz w:val="24"/>
          <w:szCs w:val="24"/>
        </w:rPr>
        <w:t xml:space="preserve"> [Accessed: 9 April 2021]</w:t>
      </w:r>
      <w:r w:rsidR="00637727">
        <w:rPr>
          <w:rFonts w:ascii="Arial" w:hAnsi="Arial" w:cs="Arial"/>
          <w:sz w:val="24"/>
          <w:szCs w:val="24"/>
        </w:rPr>
        <w:br/>
      </w:r>
    </w:p>
    <w:p w:rsidR="002F701B" w:rsidRPr="002F701B" w:rsidRDefault="002F701B" w:rsidP="002F701B">
      <w:pPr>
        <w:pStyle w:val="ListParagraph"/>
        <w:numPr>
          <w:ilvl w:val="0"/>
          <w:numId w:val="2"/>
        </w:numPr>
        <w:rPr>
          <w:rFonts w:ascii="Arial" w:hAnsi="Arial" w:cs="Arial"/>
          <w:sz w:val="24"/>
        </w:rPr>
      </w:pPr>
      <w:r w:rsidRPr="002F701B">
        <w:rPr>
          <w:rFonts w:ascii="Arial" w:hAnsi="Arial" w:cs="Arial"/>
          <w:sz w:val="24"/>
        </w:rPr>
        <w:t xml:space="preserve">The Flexible Working Regulations 2014 Available at: </w:t>
      </w:r>
      <w:hyperlink r:id="rId44" w:history="1">
        <w:r w:rsidR="00637727" w:rsidRPr="00B06A50">
          <w:rPr>
            <w:rStyle w:val="Hyperlink"/>
            <w:rFonts w:ascii="Arial" w:hAnsi="Arial" w:cs="Arial"/>
            <w:sz w:val="24"/>
          </w:rPr>
          <w:t>https://www.legislation.gov.uk/uksi/2014/1398/made</w:t>
        </w:r>
      </w:hyperlink>
      <w:r w:rsidRPr="002F701B">
        <w:rPr>
          <w:rFonts w:ascii="Arial" w:hAnsi="Arial" w:cs="Arial"/>
          <w:sz w:val="24"/>
        </w:rPr>
        <w:t xml:space="preserve"> [Accessed: 13 March 2021]</w:t>
      </w:r>
      <w:r w:rsidR="00637727">
        <w:rPr>
          <w:rFonts w:ascii="Arial" w:hAnsi="Arial" w:cs="Arial"/>
          <w:sz w:val="24"/>
        </w:rPr>
        <w:br/>
      </w:r>
    </w:p>
    <w:p w:rsidR="002F701B" w:rsidRPr="002F701B" w:rsidRDefault="002F701B" w:rsidP="002F701B">
      <w:pPr>
        <w:pStyle w:val="ListParagraph"/>
        <w:numPr>
          <w:ilvl w:val="0"/>
          <w:numId w:val="2"/>
        </w:numPr>
        <w:rPr>
          <w:rFonts w:ascii="Arial" w:hAnsi="Arial" w:cs="Arial"/>
          <w:sz w:val="24"/>
        </w:rPr>
      </w:pPr>
      <w:r w:rsidRPr="002F701B">
        <w:rPr>
          <w:rFonts w:ascii="Arial" w:hAnsi="Arial" w:cs="Arial"/>
          <w:sz w:val="24"/>
        </w:rPr>
        <w:t xml:space="preserve">The Working Time Regulations 1998 Available at: </w:t>
      </w:r>
      <w:hyperlink r:id="rId45" w:history="1">
        <w:r w:rsidR="00637727" w:rsidRPr="00B06A50">
          <w:rPr>
            <w:rStyle w:val="Hyperlink"/>
            <w:rFonts w:ascii="Arial" w:hAnsi="Arial" w:cs="Arial"/>
            <w:sz w:val="24"/>
          </w:rPr>
          <w:t>https://www.legislation.gov.uk/uksi/1998/1833/regulation/12/made</w:t>
        </w:r>
      </w:hyperlink>
      <w:r w:rsidRPr="002F701B">
        <w:rPr>
          <w:rFonts w:ascii="Arial" w:hAnsi="Arial" w:cs="Arial"/>
          <w:sz w:val="24"/>
        </w:rPr>
        <w:t xml:space="preserve"> [Accessed: 1 February 2021]</w:t>
      </w:r>
      <w:r w:rsidR="00637727">
        <w:rPr>
          <w:rFonts w:ascii="Arial" w:hAnsi="Arial" w:cs="Arial"/>
          <w:sz w:val="24"/>
        </w:rPr>
        <w:br/>
      </w:r>
    </w:p>
    <w:p w:rsidR="002F701B" w:rsidRDefault="002F701B" w:rsidP="002F701B">
      <w:pPr>
        <w:pStyle w:val="ListParagraph"/>
        <w:numPr>
          <w:ilvl w:val="0"/>
          <w:numId w:val="2"/>
        </w:numPr>
        <w:rPr>
          <w:rFonts w:ascii="Arial" w:hAnsi="Arial" w:cs="Arial"/>
          <w:sz w:val="24"/>
          <w:szCs w:val="24"/>
        </w:rPr>
      </w:pPr>
      <w:r w:rsidRPr="002F701B">
        <w:rPr>
          <w:rFonts w:ascii="Arial" w:hAnsi="Arial" w:cs="Arial"/>
          <w:i/>
          <w:sz w:val="24"/>
          <w:szCs w:val="24"/>
        </w:rPr>
        <w:t xml:space="preserve">Watkinson V Royal Cornwall Hospital NHS Trust (2011) </w:t>
      </w:r>
      <w:r w:rsidRPr="002F701B">
        <w:rPr>
          <w:rFonts w:ascii="Arial" w:hAnsi="Arial" w:cs="Arial"/>
          <w:sz w:val="24"/>
          <w:szCs w:val="24"/>
        </w:rPr>
        <w:t xml:space="preserve">Available at: </w:t>
      </w:r>
      <w:hyperlink r:id="rId46" w:anchor=":~:text=The%20Royal%20Cornwall%20Hospitals%20Trust,act%20as%20a%20%22whistleblower%22" w:history="1">
        <w:r w:rsidR="00637727" w:rsidRPr="00B06A50">
          <w:rPr>
            <w:rStyle w:val="Hyperlink"/>
            <w:rFonts w:ascii="Arial" w:hAnsi="Arial" w:cs="Arial"/>
            <w:sz w:val="24"/>
            <w:szCs w:val="24"/>
          </w:rPr>
          <w:t>https://www.bbc.co.uk/news/uk-england-cornwall-14560685#:~:text=The%20Royal%20Cornwall%20Hospitals%20Trust,act%20as%20a%20%22whistleblower%22</w:t>
        </w:r>
      </w:hyperlink>
      <w:r w:rsidRPr="002F701B">
        <w:rPr>
          <w:rFonts w:ascii="Arial" w:hAnsi="Arial" w:cs="Arial"/>
          <w:sz w:val="24"/>
          <w:szCs w:val="24"/>
        </w:rPr>
        <w:t xml:space="preserve"> [Accessed: 9 April 2021]</w:t>
      </w:r>
      <w:r w:rsidR="00637727">
        <w:rPr>
          <w:rFonts w:ascii="Arial" w:hAnsi="Arial" w:cs="Arial"/>
          <w:sz w:val="24"/>
          <w:szCs w:val="24"/>
        </w:rPr>
        <w:br/>
      </w:r>
    </w:p>
    <w:p w:rsidR="00637727" w:rsidRPr="00637727" w:rsidRDefault="00637727" w:rsidP="002F701B">
      <w:pPr>
        <w:pStyle w:val="ListParagraph"/>
        <w:numPr>
          <w:ilvl w:val="0"/>
          <w:numId w:val="2"/>
        </w:numPr>
        <w:rPr>
          <w:rFonts w:ascii="Arial" w:hAnsi="Arial" w:cs="Arial"/>
          <w:sz w:val="24"/>
          <w:szCs w:val="24"/>
        </w:rPr>
      </w:pPr>
      <w:r w:rsidRPr="00637727">
        <w:rPr>
          <w:rFonts w:ascii="Arial" w:hAnsi="Arial" w:cs="Arial"/>
          <w:sz w:val="24"/>
          <w:szCs w:val="24"/>
        </w:rPr>
        <w:t>Taylor, S. and Wilkinson, K. (2016)</w:t>
      </w:r>
      <w:r>
        <w:rPr>
          <w:rFonts w:ascii="Arial" w:hAnsi="Arial" w:cs="Arial"/>
          <w:i/>
          <w:sz w:val="24"/>
          <w:szCs w:val="24"/>
        </w:rPr>
        <w:t xml:space="preserve"> Employment Law </w:t>
      </w:r>
      <w:r w:rsidRPr="00637727">
        <w:rPr>
          <w:rFonts w:ascii="Arial" w:hAnsi="Arial" w:cs="Arial"/>
          <w:sz w:val="24"/>
          <w:szCs w:val="24"/>
        </w:rPr>
        <w:t>in Taylor, S. and Woodhams, C. (2016) Human Resource Management: People and Organisation. 2</w:t>
      </w:r>
      <w:r w:rsidRPr="00637727">
        <w:rPr>
          <w:rFonts w:ascii="Arial" w:hAnsi="Arial" w:cs="Arial"/>
          <w:sz w:val="24"/>
          <w:szCs w:val="24"/>
          <w:vertAlign w:val="superscript"/>
        </w:rPr>
        <w:t xml:space="preserve">nd </w:t>
      </w:r>
      <w:r w:rsidRPr="00637727">
        <w:rPr>
          <w:rFonts w:ascii="Arial" w:hAnsi="Arial" w:cs="Arial"/>
          <w:sz w:val="24"/>
          <w:szCs w:val="24"/>
        </w:rPr>
        <w:t>ed. London: Chartered Institute of Personnel and Development</w:t>
      </w:r>
    </w:p>
    <w:p w:rsidR="002F701B" w:rsidRPr="002F701B" w:rsidRDefault="002F701B" w:rsidP="002F701B">
      <w:pPr>
        <w:rPr>
          <w:color w:val="auto"/>
          <w:sz w:val="24"/>
        </w:rPr>
      </w:pPr>
    </w:p>
    <w:p w:rsidR="002F701B" w:rsidRPr="002F701B" w:rsidRDefault="002F701B">
      <w:pPr>
        <w:rPr>
          <w:color w:val="auto"/>
          <w:sz w:val="28"/>
        </w:rPr>
      </w:pPr>
    </w:p>
    <w:sectPr w:rsidR="002F701B" w:rsidRPr="002F70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16807"/>
    <w:multiLevelType w:val="hybridMultilevel"/>
    <w:tmpl w:val="2B723D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B575AE"/>
    <w:multiLevelType w:val="hybridMultilevel"/>
    <w:tmpl w:val="B35C7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C949F9"/>
    <w:multiLevelType w:val="hybridMultilevel"/>
    <w:tmpl w:val="16D2B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CC28CD"/>
    <w:multiLevelType w:val="hybridMultilevel"/>
    <w:tmpl w:val="6E8C8B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FC6"/>
    <w:rsid w:val="00274313"/>
    <w:rsid w:val="002F701B"/>
    <w:rsid w:val="005B5284"/>
    <w:rsid w:val="00637727"/>
    <w:rsid w:val="006C5C22"/>
    <w:rsid w:val="00734B28"/>
    <w:rsid w:val="007B6F20"/>
    <w:rsid w:val="007E4782"/>
    <w:rsid w:val="0098552D"/>
    <w:rsid w:val="00D409D3"/>
    <w:rsid w:val="00D74BED"/>
    <w:rsid w:val="00E8142B"/>
    <w:rsid w:val="00FF3F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784EF"/>
  <w15:chartTrackingRefBased/>
  <w15:docId w15:val="{DA14343F-3DB6-465F-B1EF-01A52E6BA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3FC6"/>
    <w:pPr>
      <w:spacing w:after="0" w:line="240" w:lineRule="auto"/>
    </w:pPr>
    <w:rPr>
      <w:rFonts w:ascii="Arial" w:eastAsia="Calibri" w:hAnsi="Arial" w:cs="Times New Roman"/>
      <w:color w:val="1F497D"/>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3FC6"/>
    <w:pPr>
      <w:spacing w:after="160" w:line="259" w:lineRule="auto"/>
      <w:ind w:left="720"/>
      <w:contextualSpacing/>
    </w:pPr>
    <w:rPr>
      <w:rFonts w:asciiTheme="minorHAnsi" w:eastAsiaTheme="minorHAnsi" w:hAnsiTheme="minorHAnsi" w:cstheme="minorBidi"/>
      <w:color w:val="auto"/>
      <w:lang w:val="en-GB"/>
    </w:rPr>
  </w:style>
  <w:style w:type="character" w:styleId="Hyperlink">
    <w:name w:val="Hyperlink"/>
    <w:basedOn w:val="DefaultParagraphFont"/>
    <w:uiPriority w:val="99"/>
    <w:unhideWhenUsed/>
    <w:rsid w:val="002F701B"/>
    <w:rPr>
      <w:color w:val="0563C1" w:themeColor="hyperlink"/>
      <w:u w:val="single"/>
    </w:rPr>
  </w:style>
  <w:style w:type="character" w:styleId="FollowedHyperlink">
    <w:name w:val="FollowedHyperlink"/>
    <w:basedOn w:val="DefaultParagraphFont"/>
    <w:uiPriority w:val="99"/>
    <w:semiHidden/>
    <w:unhideWhenUsed/>
    <w:rsid w:val="002F701B"/>
    <w:rPr>
      <w:color w:val="954F72" w:themeColor="followedHyperlink"/>
      <w:u w:val="single"/>
    </w:rPr>
  </w:style>
  <w:style w:type="character" w:styleId="UnresolvedMention">
    <w:name w:val="Unresolved Mention"/>
    <w:basedOn w:val="DefaultParagraphFont"/>
    <w:uiPriority w:val="99"/>
    <w:semiHidden/>
    <w:unhideWhenUsed/>
    <w:rsid w:val="002F70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absence-from-work" TargetMode="External"/><Relationship Id="rId18" Type="http://schemas.openxmlformats.org/officeDocument/2006/relationships/hyperlink" Target="https://www.cipd.co.uk/knowledge/fundamentals/emp-law/dismissal/wrongful-dismissal-questions" TargetMode="External"/><Relationship Id="rId26" Type="http://schemas.openxmlformats.org/officeDocument/2006/relationships/hyperlink" Target="https://www.legislation.gov.uk/ukpga/1996/18/section/43B" TargetMode="External"/><Relationship Id="rId39" Type="http://schemas.openxmlformats.org/officeDocument/2006/relationships/hyperlink" Target="https://www.hse.gov.uk/coronavirus/index.htm" TargetMode="External"/><Relationship Id="rId21" Type="http://schemas.openxmlformats.org/officeDocument/2006/relationships/hyperlink" Target="https://www.cipd.co.uk/knowledge/fundamentals/emp-law/tribunals/factsheet" TargetMode="External"/><Relationship Id="rId34" Type="http://schemas.openxmlformats.org/officeDocument/2006/relationships/hyperlink" Target="https://www.legislation.gov.uk/ukpga/2000/36/contents" TargetMode="External"/><Relationship Id="rId42" Type="http://schemas.openxmlformats.org/officeDocument/2006/relationships/hyperlink" Target="https://www.legislation.gov.uk/ukpga/1998/23/contents" TargetMode="External"/><Relationship Id="rId47" Type="http://schemas.openxmlformats.org/officeDocument/2006/relationships/fontTable" Target="fontTable.xml"/><Relationship Id="rId7" Type="http://schemas.openxmlformats.org/officeDocument/2006/relationships/hyperlink" Target="https://www.acas.org.uk/code-of-practice-settlement-agreements" TargetMode="External"/><Relationship Id="rId2" Type="http://schemas.openxmlformats.org/officeDocument/2006/relationships/numbering" Target="numbering.xml"/><Relationship Id="rId16" Type="http://schemas.openxmlformats.org/officeDocument/2006/relationships/hyperlink" Target="http://www.bailii.org/uk/cases/UKEAT/1978/108_78_2007.html" TargetMode="External"/><Relationship Id="rId29" Type="http://schemas.openxmlformats.org/officeDocument/2006/relationships/hyperlink" Target="https://www.legislation.gov.uk/ukpga/1996/18/section/98"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acas.org.uk/making-a-flexible-working-request" TargetMode="External"/><Relationship Id="rId24" Type="http://schemas.openxmlformats.org/officeDocument/2006/relationships/hyperlink" Target="https://www.legislation.gov.uk/ukpga/2020/7/contents/enacted" TargetMode="External"/><Relationship Id="rId32" Type="http://schemas.openxmlformats.org/officeDocument/2006/relationships/hyperlink" Target="https://www.equalityhumanrights.com/en/advice-and-guidance/your-rights-under-equality-act-2010" TargetMode="External"/><Relationship Id="rId37" Type="http://schemas.openxmlformats.org/officeDocument/2006/relationships/hyperlink" Target="https://www.legislation.gov.uk/uksi/2021/208/made" TargetMode="External"/><Relationship Id="rId40" Type="http://schemas.openxmlformats.org/officeDocument/2006/relationships/hyperlink" Target="https://www.hse.gov.uk/workers/employers.htm" TargetMode="External"/><Relationship Id="rId45" Type="http://schemas.openxmlformats.org/officeDocument/2006/relationships/hyperlink" Target="https://www.legislation.gov.uk/uksi/1998/1833/regulation/12/made" TargetMode="External"/><Relationship Id="rId5" Type="http://schemas.openxmlformats.org/officeDocument/2006/relationships/webSettings" Target="webSettings.xml"/><Relationship Id="rId15" Type="http://schemas.openxmlformats.org/officeDocument/2006/relationships/hyperlink" Target="https://www.casemine.com/judgement/uk/5a8ff78f60d03e7f57eaf2ac" TargetMode="External"/><Relationship Id="rId23" Type="http://schemas.openxmlformats.org/officeDocument/2006/relationships/hyperlink" Target="https://www.cipd.co.uk/knowledge/fundamentals/emp-law/about/statutory-rates" TargetMode="External"/><Relationship Id="rId28" Type="http://schemas.openxmlformats.org/officeDocument/2006/relationships/hyperlink" Target="https://www.legislation.gov.uk/ukpga/1996/18/section/103A" TargetMode="External"/><Relationship Id="rId36" Type="http://schemas.openxmlformats.org/officeDocument/2006/relationships/hyperlink" Target="https://www.gov.uk/being-taken-to-employment-tribunal-by-employee" TargetMode="External"/><Relationship Id="rId10" Type="http://schemas.openxmlformats.org/officeDocument/2006/relationships/hyperlink" Target="https://www.acas.org.uk/dismissals" TargetMode="External"/><Relationship Id="rId19" Type="http://schemas.openxmlformats.org/officeDocument/2006/relationships/hyperlink" Target="https://www.cipd.co.uk/knowledge/fundamentals/emp-law/dismissal/factsheet" TargetMode="External"/><Relationship Id="rId31" Type="http://schemas.openxmlformats.org/officeDocument/2006/relationships/hyperlink" Target="https://www.legislation.gov.uk/uksi/2013/1237/schedule/1/made" TargetMode="External"/><Relationship Id="rId44" Type="http://schemas.openxmlformats.org/officeDocument/2006/relationships/hyperlink" Target="https://www.legislation.gov.uk/uksi/2014/1398/made" TargetMode="External"/><Relationship Id="rId4" Type="http://schemas.openxmlformats.org/officeDocument/2006/relationships/settings" Target="settings.xml"/><Relationship Id="rId9" Type="http://schemas.openxmlformats.org/officeDocument/2006/relationships/hyperlink" Target="https://archive.acas.org.uk/index.aspx?articleid=1919" TargetMode="External"/><Relationship Id="rId14" Type="http://schemas.openxmlformats.org/officeDocument/2006/relationships/hyperlink" Target="https://assets.publishing.service.gov.uk/media/6059abffd3bf7f2f0cd61ceb/A_Algosh_v_Care_Property_Management_Limited.pdf" TargetMode="External"/><Relationship Id="rId22" Type="http://schemas.openxmlformats.org/officeDocument/2006/relationships/hyperlink" Target="https://www.cipd.co.uk/knowledge/fundamentals/relations/absence/factsheet" TargetMode="External"/><Relationship Id="rId27" Type="http://schemas.openxmlformats.org/officeDocument/2006/relationships/hyperlink" Target="https://www.legislation.gov.uk/ukpga/1996/18/section/100" TargetMode="External"/><Relationship Id="rId30" Type="http://schemas.openxmlformats.org/officeDocument/2006/relationships/hyperlink" Target="https://www.legislation.gov.uk/ukpga/1996/18/contents" TargetMode="External"/><Relationship Id="rId35" Type="http://schemas.openxmlformats.org/officeDocument/2006/relationships/hyperlink" Target="https://www.legislation.gov.uk/ukpga/2018/12/contents/enacted" TargetMode="External"/><Relationship Id="rId43" Type="http://schemas.openxmlformats.org/officeDocument/2006/relationships/hyperlink" Target="https://uk.practicallaw.thomsonreuters.com/7-201-7057?transitionType=Default&amp;contextData=(sc.Default)&amp;firstPage=true" TargetMode="External"/><Relationship Id="rId48" Type="http://schemas.openxmlformats.org/officeDocument/2006/relationships/theme" Target="theme/theme1.xml"/><Relationship Id="rId8" Type="http://schemas.openxmlformats.org/officeDocument/2006/relationships/hyperlink" Target="https://www.acas.org.uk/acas-code-of-practice-for-disciplinary-and-grievance-procedures/html" TargetMode="External"/><Relationship Id="rId3" Type="http://schemas.openxmlformats.org/officeDocument/2006/relationships/styles" Target="styles.xml"/><Relationship Id="rId12" Type="http://schemas.openxmlformats.org/officeDocument/2006/relationships/hyperlink" Target="https://www.acas.org.uk/responding-to-a-flexible-working-request" TargetMode="External"/><Relationship Id="rId17" Type="http://schemas.openxmlformats.org/officeDocument/2006/relationships/hyperlink" Target="https://www.cipd.co.uk/knowledge/fundamentals/people/hr/keeping-records-factsheet" TargetMode="External"/><Relationship Id="rId25" Type="http://schemas.openxmlformats.org/officeDocument/2006/relationships/hyperlink" Target="https://www.legislation.gov.uk/ukpga/2018/12/contents/enacted" TargetMode="External"/><Relationship Id="rId33" Type="http://schemas.openxmlformats.org/officeDocument/2006/relationships/hyperlink" Target="https://www.legislation.gov.uk/ukpga/1996/18/section/118" TargetMode="External"/><Relationship Id="rId38" Type="http://schemas.openxmlformats.org/officeDocument/2006/relationships/hyperlink" Target="https://www.hse.gov.uk/legislation/hswa.htm" TargetMode="External"/><Relationship Id="rId46" Type="http://schemas.openxmlformats.org/officeDocument/2006/relationships/hyperlink" Target="https://www.bbc.co.uk/news/uk-england-cornwall-14560685" TargetMode="External"/><Relationship Id="rId20" Type="http://schemas.openxmlformats.org/officeDocument/2006/relationships/hyperlink" Target="https://www.cipd.co.uk/knowledge/fundamentals/emp-law/data-protection/factsheet" TargetMode="External"/><Relationship Id="rId41" Type="http://schemas.openxmlformats.org/officeDocument/2006/relationships/hyperlink" Target="https://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4B525A-FD37-40A8-AE85-528759474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18</Pages>
  <Words>6159</Words>
  <Characters>35108</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Louise Barron (1811083)</dc:creator>
  <cp:keywords/>
  <dc:description/>
  <cp:lastModifiedBy>Katy Louise Barron (1811083)</cp:lastModifiedBy>
  <cp:revision>14</cp:revision>
  <dcterms:created xsi:type="dcterms:W3CDTF">2021-05-04T13:45:00Z</dcterms:created>
  <dcterms:modified xsi:type="dcterms:W3CDTF">2021-05-08T19:45:00Z</dcterms:modified>
</cp:coreProperties>
</file>