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278EA" w14:textId="3E7F6B20" w:rsidR="004210D9" w:rsidRPr="00B61BF0" w:rsidRDefault="0024632A" w:rsidP="00B61BF0">
      <w:pPr>
        <w:jc w:val="center"/>
        <w:rPr>
          <w:rFonts w:eastAsia="Arial" w:cs="Times New Roman"/>
          <w:b/>
          <w:bCs/>
          <w:szCs w:val="24"/>
          <w:lang w:val="en-GB"/>
        </w:rPr>
      </w:pPr>
      <w:r w:rsidRPr="00B61BF0">
        <w:rPr>
          <w:rFonts w:cs="Times New Roman"/>
          <w:b/>
          <w:bCs/>
          <w:lang w:val="en-GB"/>
        </w:rPr>
        <w:t>Executive Summary</w:t>
      </w:r>
    </w:p>
    <w:p w14:paraId="51C012EF" w14:textId="71C56573" w:rsidR="00F5514D" w:rsidRPr="00F5514D" w:rsidRDefault="00F5514D" w:rsidP="00F5514D">
      <w:pPr>
        <w:rPr>
          <w:rFonts w:cs="Times New Roman"/>
          <w:lang w:val="en-GB"/>
        </w:rPr>
      </w:pPr>
      <w:r w:rsidRPr="00F5514D">
        <w:rPr>
          <w:rFonts w:cs="Times New Roman"/>
          <w:lang w:val="en-GB"/>
        </w:rPr>
        <w:t>Chow Tai Fook, established in 1929, is a leader in the jewellery industry with a strong brand presence in Greater China and beyond. The company’s revenue is primarily driven by its gold jewellery segment, which contributed 82.0% of total revenue in the fiscal year 2024. The company operates an extensive retail network and has introduced new product collections to adapt to changing consumer preferences.</w:t>
      </w:r>
    </w:p>
    <w:p w14:paraId="50A3406D" w14:textId="54A2E787" w:rsidR="00F5514D" w:rsidRPr="00F5514D" w:rsidRDefault="00F5514D" w:rsidP="00F5514D">
      <w:pPr>
        <w:rPr>
          <w:rFonts w:cs="Times New Roman"/>
          <w:lang w:val="en-GB"/>
        </w:rPr>
      </w:pPr>
      <w:r w:rsidRPr="00F5514D">
        <w:rPr>
          <w:rFonts w:cs="Times New Roman"/>
          <w:lang w:val="en-GB"/>
        </w:rPr>
        <w:t xml:space="preserve">The financial analysis highlights a gradual decline in Chow Tai Fook’s bankruptcy Z-score, indicating increasing financial risk over time. The company’s financial structure shows a balanced approach between fixed assets and long-term liabilities, though liquidity concerns have emerged. Comparatively, Luk Fook exhibits stronger financial health, while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xml:space="preserve"> faces significant financial distress.</w:t>
      </w:r>
    </w:p>
    <w:p w14:paraId="21EB7B21" w14:textId="23F16737" w:rsidR="00F5514D" w:rsidRPr="00F5514D" w:rsidRDefault="00F5514D" w:rsidP="00F5514D">
      <w:pPr>
        <w:rPr>
          <w:rFonts w:cs="Times New Roman"/>
          <w:lang w:val="en-GB"/>
        </w:rPr>
      </w:pPr>
      <w:r w:rsidRPr="00F5514D">
        <w:rPr>
          <w:rFonts w:cs="Times New Roman"/>
          <w:lang w:val="en-GB"/>
        </w:rPr>
        <w:t>Chow Tai Fook’s corporate governance is robust, guided by its "4T" principles. However, areas for improvement include increasing board diversity, strengthening whistleblower protection, and enhancing transparency in ESG reporting.</w:t>
      </w:r>
    </w:p>
    <w:p w14:paraId="6CB6D954" w14:textId="7A87901C" w:rsidR="00F5514D" w:rsidRDefault="00F5514D" w:rsidP="00F5514D">
      <w:pPr>
        <w:rPr>
          <w:rFonts w:cs="Times New Roman"/>
          <w:lang w:val="en-GB"/>
        </w:rPr>
      </w:pPr>
      <w:r w:rsidRPr="00F5514D">
        <w:rPr>
          <w:rFonts w:cs="Times New Roman"/>
          <w:lang w:val="en-GB"/>
        </w:rPr>
        <w:t>The investment appraisal suggests that Chow Tai Fook’s new outlet project is financially viable, with a positive NPV and IRR</w:t>
      </w:r>
      <w:r>
        <w:rPr>
          <w:rFonts w:cs="Times New Roman"/>
          <w:lang w:val="en-GB"/>
        </w:rPr>
        <w:t xml:space="preserve"> significantly</w:t>
      </w:r>
      <w:r w:rsidRPr="00F5514D">
        <w:rPr>
          <w:rFonts w:cs="Times New Roman"/>
          <w:lang w:val="en-GB"/>
        </w:rPr>
        <w:t xml:space="preserve"> exceeding the current interest rate. However, the payback period extends to five years, which may require reconsideration if faster returns are desired.</w:t>
      </w:r>
    </w:p>
    <w:p w14:paraId="72D63AFF" w14:textId="66B8CA60" w:rsidR="00B61BF0" w:rsidRDefault="00F5514D" w:rsidP="00B61BF0">
      <w:pPr>
        <w:rPr>
          <w:rFonts w:cs="Times New Roman"/>
          <w:lang w:val="en-GB"/>
        </w:rPr>
      </w:pPr>
      <w:r w:rsidRPr="00F5514D">
        <w:rPr>
          <w:rFonts w:cs="Times New Roman"/>
          <w:lang w:val="en-GB"/>
        </w:rPr>
        <w:t>An action plan has been developed to address the identified financial and operational challenges, focusing on improving financial stability, operational efficiency, and corporate governance over the next four quarters.</w:t>
      </w:r>
    </w:p>
    <w:p w14:paraId="21AE70A5" w14:textId="77777777" w:rsidR="00B61BF0" w:rsidRDefault="00B61BF0">
      <w:pPr>
        <w:spacing w:after="200" w:line="276" w:lineRule="auto"/>
        <w:jc w:val="left"/>
        <w:rPr>
          <w:rFonts w:cs="Times New Roman"/>
          <w:lang w:val="en-GB"/>
        </w:rPr>
        <w:sectPr w:rsidR="00B61BF0" w:rsidSect="00B61BF0">
          <w:headerReference w:type="default" r:id="rId8"/>
          <w:footerReference w:type="default" r:id="rId9"/>
          <w:pgSz w:w="11906" w:h="16838"/>
          <w:pgMar w:top="1440" w:right="1440" w:bottom="1440" w:left="1440" w:header="709" w:footer="709" w:gutter="0"/>
          <w:pgNumType w:start="1"/>
          <w:cols w:space="708"/>
          <w:docGrid w:linePitch="360"/>
        </w:sectPr>
      </w:pPr>
    </w:p>
    <w:p w14:paraId="1F9F774F" w14:textId="77777777" w:rsidR="0024632A" w:rsidRPr="00F5514D" w:rsidRDefault="0024632A" w:rsidP="00B61BF0">
      <w:pPr>
        <w:rPr>
          <w:rFonts w:cs="Times New Roman"/>
          <w:lang w:val="en-GB"/>
        </w:rPr>
      </w:pPr>
    </w:p>
    <w:sdt>
      <w:sdtPr>
        <w:rPr>
          <w:rFonts w:ascii="Times New Roman" w:eastAsiaTheme="minorHAnsi" w:hAnsi="Times New Roman" w:cstheme="minorBidi"/>
          <w:color w:val="auto"/>
          <w:sz w:val="24"/>
          <w:szCs w:val="22"/>
        </w:rPr>
        <w:id w:val="735356805"/>
        <w:docPartObj>
          <w:docPartGallery w:val="Table of Contents"/>
          <w:docPartUnique/>
        </w:docPartObj>
      </w:sdtPr>
      <w:sdtEndPr>
        <w:rPr>
          <w:rFonts w:eastAsia="SimSun"/>
          <w:b/>
          <w:bCs/>
          <w:noProof/>
        </w:rPr>
      </w:sdtEndPr>
      <w:sdtContent>
        <w:p w14:paraId="51D81ECF" w14:textId="0695EE45" w:rsidR="003377F3" w:rsidRPr="003377F3" w:rsidRDefault="003377F3" w:rsidP="003377F3">
          <w:pPr>
            <w:pStyle w:val="TOCHeading"/>
            <w:spacing w:before="0" w:line="360" w:lineRule="auto"/>
            <w:jc w:val="center"/>
            <w:rPr>
              <w:rFonts w:ascii="Times New Roman" w:hAnsi="Times New Roman" w:cs="Times New Roman"/>
              <w:b/>
              <w:bCs/>
              <w:color w:val="auto"/>
              <w:sz w:val="24"/>
              <w:szCs w:val="24"/>
            </w:rPr>
          </w:pPr>
          <w:r w:rsidRPr="003377F3">
            <w:rPr>
              <w:rFonts w:ascii="Times New Roman" w:hAnsi="Times New Roman" w:cs="Times New Roman"/>
              <w:b/>
              <w:bCs/>
              <w:color w:val="auto"/>
              <w:sz w:val="24"/>
              <w:szCs w:val="24"/>
            </w:rPr>
            <w:t>Table of Contents</w:t>
          </w:r>
        </w:p>
        <w:p w14:paraId="166C9E85" w14:textId="2AA3858F" w:rsidR="0099326B" w:rsidRDefault="003377F3"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r>
            <w:fldChar w:fldCharType="begin"/>
          </w:r>
          <w:r>
            <w:instrText xml:space="preserve"> TOC \o "1-3" \h \z \u </w:instrText>
          </w:r>
          <w:r>
            <w:fldChar w:fldCharType="separate"/>
          </w:r>
          <w:hyperlink w:anchor="_Toc175504239" w:history="1">
            <w:r w:rsidR="0099326B" w:rsidRPr="00751805">
              <w:rPr>
                <w:rStyle w:val="Hyperlink"/>
                <w:rFonts w:cs="Times New Roman"/>
                <w:noProof/>
                <w:lang w:val="en-GB"/>
              </w:rPr>
              <w:t>1. Introduction</w:t>
            </w:r>
            <w:r w:rsidR="0099326B">
              <w:rPr>
                <w:noProof/>
                <w:webHidden/>
              </w:rPr>
              <w:tab/>
            </w:r>
            <w:r w:rsidR="0099326B">
              <w:rPr>
                <w:noProof/>
                <w:webHidden/>
              </w:rPr>
              <w:fldChar w:fldCharType="begin"/>
            </w:r>
            <w:r w:rsidR="0099326B">
              <w:rPr>
                <w:noProof/>
                <w:webHidden/>
              </w:rPr>
              <w:instrText xml:space="preserve"> PAGEREF _Toc175504239 \h </w:instrText>
            </w:r>
            <w:r w:rsidR="0099326B">
              <w:rPr>
                <w:noProof/>
                <w:webHidden/>
              </w:rPr>
            </w:r>
            <w:r w:rsidR="0099326B">
              <w:rPr>
                <w:noProof/>
                <w:webHidden/>
              </w:rPr>
              <w:fldChar w:fldCharType="separate"/>
            </w:r>
            <w:r w:rsidR="0099326B">
              <w:rPr>
                <w:noProof/>
                <w:webHidden/>
              </w:rPr>
              <w:t>1</w:t>
            </w:r>
            <w:r w:rsidR="0099326B">
              <w:rPr>
                <w:noProof/>
                <w:webHidden/>
              </w:rPr>
              <w:fldChar w:fldCharType="end"/>
            </w:r>
          </w:hyperlink>
        </w:p>
        <w:p w14:paraId="600A1B1F" w14:textId="460EEB4A"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0" w:history="1">
            <w:r w:rsidR="0099326B" w:rsidRPr="00751805">
              <w:rPr>
                <w:rStyle w:val="Hyperlink"/>
                <w:rFonts w:cs="Times New Roman"/>
                <w:noProof/>
                <w:lang w:val="en-GB"/>
              </w:rPr>
              <w:t>1.1 Company Background</w:t>
            </w:r>
            <w:r w:rsidR="0099326B">
              <w:rPr>
                <w:noProof/>
                <w:webHidden/>
              </w:rPr>
              <w:tab/>
            </w:r>
            <w:r w:rsidR="0099326B">
              <w:rPr>
                <w:noProof/>
                <w:webHidden/>
              </w:rPr>
              <w:fldChar w:fldCharType="begin"/>
            </w:r>
            <w:r w:rsidR="0099326B">
              <w:rPr>
                <w:noProof/>
                <w:webHidden/>
              </w:rPr>
              <w:instrText xml:space="preserve"> PAGEREF _Toc175504240 \h </w:instrText>
            </w:r>
            <w:r w:rsidR="0099326B">
              <w:rPr>
                <w:noProof/>
                <w:webHidden/>
              </w:rPr>
            </w:r>
            <w:r w:rsidR="0099326B">
              <w:rPr>
                <w:noProof/>
                <w:webHidden/>
              </w:rPr>
              <w:fldChar w:fldCharType="separate"/>
            </w:r>
            <w:r w:rsidR="0099326B">
              <w:rPr>
                <w:noProof/>
                <w:webHidden/>
              </w:rPr>
              <w:t>1</w:t>
            </w:r>
            <w:r w:rsidR="0099326B">
              <w:rPr>
                <w:noProof/>
                <w:webHidden/>
              </w:rPr>
              <w:fldChar w:fldCharType="end"/>
            </w:r>
          </w:hyperlink>
        </w:p>
        <w:p w14:paraId="7EBF670C" w14:textId="73686407"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1" w:history="1">
            <w:r w:rsidR="0099326B" w:rsidRPr="00751805">
              <w:rPr>
                <w:rStyle w:val="Hyperlink"/>
                <w:rFonts w:cs="Times New Roman"/>
                <w:noProof/>
                <w:lang w:val="en-GB"/>
              </w:rPr>
              <w:t>1.2 Operating Business Overview</w:t>
            </w:r>
            <w:r w:rsidR="0099326B">
              <w:rPr>
                <w:noProof/>
                <w:webHidden/>
              </w:rPr>
              <w:tab/>
            </w:r>
            <w:r w:rsidR="0099326B">
              <w:rPr>
                <w:noProof/>
                <w:webHidden/>
              </w:rPr>
              <w:fldChar w:fldCharType="begin"/>
            </w:r>
            <w:r w:rsidR="0099326B">
              <w:rPr>
                <w:noProof/>
                <w:webHidden/>
              </w:rPr>
              <w:instrText xml:space="preserve"> PAGEREF _Toc175504241 \h </w:instrText>
            </w:r>
            <w:r w:rsidR="0099326B">
              <w:rPr>
                <w:noProof/>
                <w:webHidden/>
              </w:rPr>
            </w:r>
            <w:r w:rsidR="0099326B">
              <w:rPr>
                <w:noProof/>
                <w:webHidden/>
              </w:rPr>
              <w:fldChar w:fldCharType="separate"/>
            </w:r>
            <w:r w:rsidR="0099326B">
              <w:rPr>
                <w:noProof/>
                <w:webHidden/>
              </w:rPr>
              <w:t>1</w:t>
            </w:r>
            <w:r w:rsidR="0099326B">
              <w:rPr>
                <w:noProof/>
                <w:webHidden/>
              </w:rPr>
              <w:fldChar w:fldCharType="end"/>
            </w:r>
          </w:hyperlink>
        </w:p>
        <w:p w14:paraId="0FE1420E" w14:textId="65DE8253"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2" w:history="1">
            <w:r w:rsidR="0099326B" w:rsidRPr="00751805">
              <w:rPr>
                <w:rStyle w:val="Hyperlink"/>
                <w:rFonts w:cs="Times New Roman"/>
                <w:noProof/>
                <w:lang w:val="en-GB"/>
              </w:rPr>
              <w:t>1.3 Today's Business Environment</w:t>
            </w:r>
            <w:r w:rsidR="0099326B">
              <w:rPr>
                <w:noProof/>
                <w:webHidden/>
              </w:rPr>
              <w:tab/>
            </w:r>
            <w:r w:rsidR="0099326B">
              <w:rPr>
                <w:noProof/>
                <w:webHidden/>
              </w:rPr>
              <w:fldChar w:fldCharType="begin"/>
            </w:r>
            <w:r w:rsidR="0099326B">
              <w:rPr>
                <w:noProof/>
                <w:webHidden/>
              </w:rPr>
              <w:instrText xml:space="preserve"> PAGEREF _Toc175504242 \h </w:instrText>
            </w:r>
            <w:r w:rsidR="0099326B">
              <w:rPr>
                <w:noProof/>
                <w:webHidden/>
              </w:rPr>
            </w:r>
            <w:r w:rsidR="0099326B">
              <w:rPr>
                <w:noProof/>
                <w:webHidden/>
              </w:rPr>
              <w:fldChar w:fldCharType="separate"/>
            </w:r>
            <w:r w:rsidR="0099326B">
              <w:rPr>
                <w:noProof/>
                <w:webHidden/>
              </w:rPr>
              <w:t>2</w:t>
            </w:r>
            <w:r w:rsidR="0099326B">
              <w:rPr>
                <w:noProof/>
                <w:webHidden/>
              </w:rPr>
              <w:fldChar w:fldCharType="end"/>
            </w:r>
          </w:hyperlink>
        </w:p>
        <w:p w14:paraId="4FAFCEF4" w14:textId="08BE86B1"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3" w:history="1">
            <w:r w:rsidR="0099326B" w:rsidRPr="00751805">
              <w:rPr>
                <w:rStyle w:val="Hyperlink"/>
                <w:rFonts w:cs="Times New Roman"/>
                <w:noProof/>
                <w:lang w:val="en-GB"/>
              </w:rPr>
              <w:t>1.4 Company Structure</w:t>
            </w:r>
            <w:r w:rsidR="0099326B">
              <w:rPr>
                <w:noProof/>
                <w:webHidden/>
              </w:rPr>
              <w:tab/>
            </w:r>
            <w:r w:rsidR="0099326B">
              <w:rPr>
                <w:noProof/>
                <w:webHidden/>
              </w:rPr>
              <w:fldChar w:fldCharType="begin"/>
            </w:r>
            <w:r w:rsidR="0099326B">
              <w:rPr>
                <w:noProof/>
                <w:webHidden/>
              </w:rPr>
              <w:instrText xml:space="preserve"> PAGEREF _Toc175504243 \h </w:instrText>
            </w:r>
            <w:r w:rsidR="0099326B">
              <w:rPr>
                <w:noProof/>
                <w:webHidden/>
              </w:rPr>
            </w:r>
            <w:r w:rsidR="0099326B">
              <w:rPr>
                <w:noProof/>
                <w:webHidden/>
              </w:rPr>
              <w:fldChar w:fldCharType="separate"/>
            </w:r>
            <w:r w:rsidR="0099326B">
              <w:rPr>
                <w:noProof/>
                <w:webHidden/>
              </w:rPr>
              <w:t>2</w:t>
            </w:r>
            <w:r w:rsidR="0099326B">
              <w:rPr>
                <w:noProof/>
                <w:webHidden/>
              </w:rPr>
              <w:fldChar w:fldCharType="end"/>
            </w:r>
          </w:hyperlink>
        </w:p>
        <w:p w14:paraId="26A34580" w14:textId="333A46D9"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4" w:history="1">
            <w:r w:rsidR="0099326B" w:rsidRPr="00751805">
              <w:rPr>
                <w:rStyle w:val="Hyperlink"/>
                <w:rFonts w:cs="Times New Roman"/>
                <w:noProof/>
                <w:lang w:val="en-GB"/>
              </w:rPr>
              <w:t>1.5 Research Comparison Company Information</w:t>
            </w:r>
            <w:r w:rsidR="0099326B">
              <w:rPr>
                <w:noProof/>
                <w:webHidden/>
              </w:rPr>
              <w:tab/>
            </w:r>
            <w:r w:rsidR="0099326B">
              <w:rPr>
                <w:noProof/>
                <w:webHidden/>
              </w:rPr>
              <w:fldChar w:fldCharType="begin"/>
            </w:r>
            <w:r w:rsidR="0099326B">
              <w:rPr>
                <w:noProof/>
                <w:webHidden/>
              </w:rPr>
              <w:instrText xml:space="preserve"> PAGEREF _Toc175504244 \h </w:instrText>
            </w:r>
            <w:r w:rsidR="0099326B">
              <w:rPr>
                <w:noProof/>
                <w:webHidden/>
              </w:rPr>
            </w:r>
            <w:r w:rsidR="0099326B">
              <w:rPr>
                <w:noProof/>
                <w:webHidden/>
              </w:rPr>
              <w:fldChar w:fldCharType="separate"/>
            </w:r>
            <w:r w:rsidR="0099326B">
              <w:rPr>
                <w:noProof/>
                <w:webHidden/>
              </w:rPr>
              <w:t>2</w:t>
            </w:r>
            <w:r w:rsidR="0099326B">
              <w:rPr>
                <w:noProof/>
                <w:webHidden/>
              </w:rPr>
              <w:fldChar w:fldCharType="end"/>
            </w:r>
          </w:hyperlink>
        </w:p>
        <w:p w14:paraId="60AE17B0" w14:textId="2985B177"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45" w:history="1">
            <w:r w:rsidR="0099326B" w:rsidRPr="00751805">
              <w:rPr>
                <w:rStyle w:val="Hyperlink"/>
                <w:rFonts w:cs="Times New Roman"/>
                <w:noProof/>
                <w:lang w:val="en-GB"/>
              </w:rPr>
              <w:t>2. Financial Analysis</w:t>
            </w:r>
            <w:r w:rsidR="0099326B">
              <w:rPr>
                <w:noProof/>
                <w:webHidden/>
              </w:rPr>
              <w:tab/>
            </w:r>
            <w:r w:rsidR="0099326B">
              <w:rPr>
                <w:noProof/>
                <w:webHidden/>
              </w:rPr>
              <w:fldChar w:fldCharType="begin"/>
            </w:r>
            <w:r w:rsidR="0099326B">
              <w:rPr>
                <w:noProof/>
                <w:webHidden/>
              </w:rPr>
              <w:instrText xml:space="preserve"> PAGEREF _Toc175504245 \h </w:instrText>
            </w:r>
            <w:r w:rsidR="0099326B">
              <w:rPr>
                <w:noProof/>
                <w:webHidden/>
              </w:rPr>
            </w:r>
            <w:r w:rsidR="0099326B">
              <w:rPr>
                <w:noProof/>
                <w:webHidden/>
              </w:rPr>
              <w:fldChar w:fldCharType="separate"/>
            </w:r>
            <w:r w:rsidR="0099326B">
              <w:rPr>
                <w:noProof/>
                <w:webHidden/>
              </w:rPr>
              <w:t>4</w:t>
            </w:r>
            <w:r w:rsidR="0099326B">
              <w:rPr>
                <w:noProof/>
                <w:webHidden/>
              </w:rPr>
              <w:fldChar w:fldCharType="end"/>
            </w:r>
          </w:hyperlink>
        </w:p>
        <w:p w14:paraId="11CFB320" w14:textId="10CBB7B3"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6" w:history="1">
            <w:r w:rsidR="0099326B" w:rsidRPr="00751805">
              <w:rPr>
                <w:rStyle w:val="Hyperlink"/>
                <w:rFonts w:cs="Times New Roman"/>
                <w:noProof/>
                <w:lang w:val="en-GB"/>
              </w:rPr>
              <w:t>2.1 Bankruptcy Z-Score Calculations</w:t>
            </w:r>
            <w:r w:rsidR="0099326B">
              <w:rPr>
                <w:noProof/>
                <w:webHidden/>
              </w:rPr>
              <w:tab/>
            </w:r>
            <w:r w:rsidR="0099326B">
              <w:rPr>
                <w:noProof/>
                <w:webHidden/>
              </w:rPr>
              <w:fldChar w:fldCharType="begin"/>
            </w:r>
            <w:r w:rsidR="0099326B">
              <w:rPr>
                <w:noProof/>
                <w:webHidden/>
              </w:rPr>
              <w:instrText xml:space="preserve"> PAGEREF _Toc175504246 \h </w:instrText>
            </w:r>
            <w:r w:rsidR="0099326B">
              <w:rPr>
                <w:noProof/>
                <w:webHidden/>
              </w:rPr>
            </w:r>
            <w:r w:rsidR="0099326B">
              <w:rPr>
                <w:noProof/>
                <w:webHidden/>
              </w:rPr>
              <w:fldChar w:fldCharType="separate"/>
            </w:r>
            <w:r w:rsidR="0099326B">
              <w:rPr>
                <w:noProof/>
                <w:webHidden/>
              </w:rPr>
              <w:t>4</w:t>
            </w:r>
            <w:r w:rsidR="0099326B">
              <w:rPr>
                <w:noProof/>
                <w:webHidden/>
              </w:rPr>
              <w:fldChar w:fldCharType="end"/>
            </w:r>
          </w:hyperlink>
        </w:p>
        <w:p w14:paraId="68179396" w14:textId="193AACA0"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7" w:history="1">
            <w:r w:rsidR="0099326B" w:rsidRPr="00751805">
              <w:rPr>
                <w:rStyle w:val="Hyperlink"/>
                <w:rFonts w:cs="Times New Roman"/>
                <w:noProof/>
                <w:lang w:val="en-GB"/>
              </w:rPr>
              <w:t>2.2 Financial Structure</w:t>
            </w:r>
            <w:r w:rsidR="0099326B">
              <w:rPr>
                <w:noProof/>
                <w:webHidden/>
              </w:rPr>
              <w:tab/>
            </w:r>
            <w:r w:rsidR="0099326B">
              <w:rPr>
                <w:noProof/>
                <w:webHidden/>
              </w:rPr>
              <w:fldChar w:fldCharType="begin"/>
            </w:r>
            <w:r w:rsidR="0099326B">
              <w:rPr>
                <w:noProof/>
                <w:webHidden/>
              </w:rPr>
              <w:instrText xml:space="preserve"> PAGEREF _Toc175504247 \h </w:instrText>
            </w:r>
            <w:r w:rsidR="0099326B">
              <w:rPr>
                <w:noProof/>
                <w:webHidden/>
              </w:rPr>
            </w:r>
            <w:r w:rsidR="0099326B">
              <w:rPr>
                <w:noProof/>
                <w:webHidden/>
              </w:rPr>
              <w:fldChar w:fldCharType="separate"/>
            </w:r>
            <w:r w:rsidR="0099326B">
              <w:rPr>
                <w:noProof/>
                <w:webHidden/>
              </w:rPr>
              <w:t>6</w:t>
            </w:r>
            <w:r w:rsidR="0099326B">
              <w:rPr>
                <w:noProof/>
                <w:webHidden/>
              </w:rPr>
              <w:fldChar w:fldCharType="end"/>
            </w:r>
          </w:hyperlink>
        </w:p>
        <w:p w14:paraId="6B85CDD6" w14:textId="039CFB6A"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8" w:history="1">
            <w:r w:rsidR="0099326B" w:rsidRPr="00751805">
              <w:rPr>
                <w:rStyle w:val="Hyperlink"/>
                <w:rFonts w:cs="Times New Roman"/>
                <w:noProof/>
                <w:lang w:val="en-GB"/>
              </w:rPr>
              <w:t>2.3 Paying Debt Ability</w:t>
            </w:r>
            <w:r w:rsidR="0099326B">
              <w:rPr>
                <w:noProof/>
                <w:webHidden/>
              </w:rPr>
              <w:tab/>
            </w:r>
            <w:r w:rsidR="0099326B">
              <w:rPr>
                <w:noProof/>
                <w:webHidden/>
              </w:rPr>
              <w:fldChar w:fldCharType="begin"/>
            </w:r>
            <w:r w:rsidR="0099326B">
              <w:rPr>
                <w:noProof/>
                <w:webHidden/>
              </w:rPr>
              <w:instrText xml:space="preserve"> PAGEREF _Toc175504248 \h </w:instrText>
            </w:r>
            <w:r w:rsidR="0099326B">
              <w:rPr>
                <w:noProof/>
                <w:webHidden/>
              </w:rPr>
            </w:r>
            <w:r w:rsidR="0099326B">
              <w:rPr>
                <w:noProof/>
                <w:webHidden/>
              </w:rPr>
              <w:fldChar w:fldCharType="separate"/>
            </w:r>
            <w:r w:rsidR="0099326B">
              <w:rPr>
                <w:noProof/>
                <w:webHidden/>
              </w:rPr>
              <w:t>7</w:t>
            </w:r>
            <w:r w:rsidR="0099326B">
              <w:rPr>
                <w:noProof/>
                <w:webHidden/>
              </w:rPr>
              <w:fldChar w:fldCharType="end"/>
            </w:r>
          </w:hyperlink>
        </w:p>
        <w:p w14:paraId="07367D9C" w14:textId="3B5E4AD2"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49" w:history="1">
            <w:r w:rsidR="0099326B" w:rsidRPr="00751805">
              <w:rPr>
                <w:rStyle w:val="Hyperlink"/>
                <w:rFonts w:cs="Times New Roman"/>
                <w:noProof/>
                <w:lang w:val="en-GB"/>
              </w:rPr>
              <w:t>2.4 Operating Capacity</w:t>
            </w:r>
            <w:r w:rsidR="0099326B">
              <w:rPr>
                <w:noProof/>
                <w:webHidden/>
              </w:rPr>
              <w:tab/>
            </w:r>
            <w:r w:rsidR="0099326B">
              <w:rPr>
                <w:noProof/>
                <w:webHidden/>
              </w:rPr>
              <w:fldChar w:fldCharType="begin"/>
            </w:r>
            <w:r w:rsidR="0099326B">
              <w:rPr>
                <w:noProof/>
                <w:webHidden/>
              </w:rPr>
              <w:instrText xml:space="preserve"> PAGEREF _Toc175504249 \h </w:instrText>
            </w:r>
            <w:r w:rsidR="0099326B">
              <w:rPr>
                <w:noProof/>
                <w:webHidden/>
              </w:rPr>
            </w:r>
            <w:r w:rsidR="0099326B">
              <w:rPr>
                <w:noProof/>
                <w:webHidden/>
              </w:rPr>
              <w:fldChar w:fldCharType="separate"/>
            </w:r>
            <w:r w:rsidR="0099326B">
              <w:rPr>
                <w:noProof/>
                <w:webHidden/>
              </w:rPr>
              <w:t>8</w:t>
            </w:r>
            <w:r w:rsidR="0099326B">
              <w:rPr>
                <w:noProof/>
                <w:webHidden/>
              </w:rPr>
              <w:fldChar w:fldCharType="end"/>
            </w:r>
          </w:hyperlink>
        </w:p>
        <w:p w14:paraId="507D8EAE" w14:textId="36305321"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0" w:history="1">
            <w:r w:rsidR="0099326B" w:rsidRPr="00751805">
              <w:rPr>
                <w:rStyle w:val="Hyperlink"/>
                <w:rFonts w:cs="Times New Roman"/>
                <w:noProof/>
                <w:lang w:val="en-GB"/>
              </w:rPr>
              <w:t>2.5 Profitability</w:t>
            </w:r>
            <w:r w:rsidR="0099326B">
              <w:rPr>
                <w:noProof/>
                <w:webHidden/>
              </w:rPr>
              <w:tab/>
            </w:r>
            <w:r w:rsidR="0099326B">
              <w:rPr>
                <w:noProof/>
                <w:webHidden/>
              </w:rPr>
              <w:fldChar w:fldCharType="begin"/>
            </w:r>
            <w:r w:rsidR="0099326B">
              <w:rPr>
                <w:noProof/>
                <w:webHidden/>
              </w:rPr>
              <w:instrText xml:space="preserve"> PAGEREF _Toc175504250 \h </w:instrText>
            </w:r>
            <w:r w:rsidR="0099326B">
              <w:rPr>
                <w:noProof/>
                <w:webHidden/>
              </w:rPr>
            </w:r>
            <w:r w:rsidR="0099326B">
              <w:rPr>
                <w:noProof/>
                <w:webHidden/>
              </w:rPr>
              <w:fldChar w:fldCharType="separate"/>
            </w:r>
            <w:r w:rsidR="0099326B">
              <w:rPr>
                <w:noProof/>
                <w:webHidden/>
              </w:rPr>
              <w:t>9</w:t>
            </w:r>
            <w:r w:rsidR="0099326B">
              <w:rPr>
                <w:noProof/>
                <w:webHidden/>
              </w:rPr>
              <w:fldChar w:fldCharType="end"/>
            </w:r>
          </w:hyperlink>
        </w:p>
        <w:p w14:paraId="7BD78E36" w14:textId="40236EE3"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1" w:history="1">
            <w:r w:rsidR="0099326B" w:rsidRPr="00751805">
              <w:rPr>
                <w:rStyle w:val="Hyperlink"/>
                <w:rFonts w:cs="Times New Roman"/>
                <w:noProof/>
                <w:lang w:val="en-GB"/>
              </w:rPr>
              <w:t>2.6 Growth Capacity</w:t>
            </w:r>
            <w:r w:rsidR="0099326B">
              <w:rPr>
                <w:noProof/>
                <w:webHidden/>
              </w:rPr>
              <w:tab/>
            </w:r>
            <w:r w:rsidR="0099326B">
              <w:rPr>
                <w:noProof/>
                <w:webHidden/>
              </w:rPr>
              <w:fldChar w:fldCharType="begin"/>
            </w:r>
            <w:r w:rsidR="0099326B">
              <w:rPr>
                <w:noProof/>
                <w:webHidden/>
              </w:rPr>
              <w:instrText xml:space="preserve"> PAGEREF _Toc175504251 \h </w:instrText>
            </w:r>
            <w:r w:rsidR="0099326B">
              <w:rPr>
                <w:noProof/>
                <w:webHidden/>
              </w:rPr>
            </w:r>
            <w:r w:rsidR="0099326B">
              <w:rPr>
                <w:noProof/>
                <w:webHidden/>
              </w:rPr>
              <w:fldChar w:fldCharType="separate"/>
            </w:r>
            <w:r w:rsidR="0099326B">
              <w:rPr>
                <w:noProof/>
                <w:webHidden/>
              </w:rPr>
              <w:t>10</w:t>
            </w:r>
            <w:r w:rsidR="0099326B">
              <w:rPr>
                <w:noProof/>
                <w:webHidden/>
              </w:rPr>
              <w:fldChar w:fldCharType="end"/>
            </w:r>
          </w:hyperlink>
        </w:p>
        <w:p w14:paraId="1777A821" w14:textId="783D0ADE"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2" w:history="1">
            <w:r w:rsidR="0099326B" w:rsidRPr="00751805">
              <w:rPr>
                <w:rStyle w:val="Hyperlink"/>
                <w:noProof/>
                <w:lang w:val="en-GB"/>
              </w:rPr>
              <w:t>2.7 Stock Market Prospect Analysis</w:t>
            </w:r>
            <w:r w:rsidR="0099326B">
              <w:rPr>
                <w:noProof/>
                <w:webHidden/>
              </w:rPr>
              <w:tab/>
            </w:r>
            <w:r w:rsidR="0099326B">
              <w:rPr>
                <w:noProof/>
                <w:webHidden/>
              </w:rPr>
              <w:fldChar w:fldCharType="begin"/>
            </w:r>
            <w:r w:rsidR="0099326B">
              <w:rPr>
                <w:noProof/>
                <w:webHidden/>
              </w:rPr>
              <w:instrText xml:space="preserve"> PAGEREF _Toc175504252 \h </w:instrText>
            </w:r>
            <w:r w:rsidR="0099326B">
              <w:rPr>
                <w:noProof/>
                <w:webHidden/>
              </w:rPr>
            </w:r>
            <w:r w:rsidR="0099326B">
              <w:rPr>
                <w:noProof/>
                <w:webHidden/>
              </w:rPr>
              <w:fldChar w:fldCharType="separate"/>
            </w:r>
            <w:r w:rsidR="0099326B">
              <w:rPr>
                <w:noProof/>
                <w:webHidden/>
              </w:rPr>
              <w:t>11</w:t>
            </w:r>
            <w:r w:rsidR="0099326B">
              <w:rPr>
                <w:noProof/>
                <w:webHidden/>
              </w:rPr>
              <w:fldChar w:fldCharType="end"/>
            </w:r>
          </w:hyperlink>
        </w:p>
        <w:p w14:paraId="6479ACDD" w14:textId="2F3E851F"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53" w:history="1">
            <w:r w:rsidR="0099326B" w:rsidRPr="00751805">
              <w:rPr>
                <w:rStyle w:val="Hyperlink"/>
                <w:rFonts w:cs="Times New Roman"/>
                <w:noProof/>
                <w:lang w:val="en-GB"/>
              </w:rPr>
              <w:t>3. Company's Corporate Governance Assessment</w:t>
            </w:r>
            <w:r w:rsidR="0099326B">
              <w:rPr>
                <w:noProof/>
                <w:webHidden/>
              </w:rPr>
              <w:tab/>
            </w:r>
            <w:r w:rsidR="0099326B">
              <w:rPr>
                <w:noProof/>
                <w:webHidden/>
              </w:rPr>
              <w:fldChar w:fldCharType="begin"/>
            </w:r>
            <w:r w:rsidR="0099326B">
              <w:rPr>
                <w:noProof/>
                <w:webHidden/>
              </w:rPr>
              <w:instrText xml:space="preserve"> PAGEREF _Toc175504253 \h </w:instrText>
            </w:r>
            <w:r w:rsidR="0099326B">
              <w:rPr>
                <w:noProof/>
                <w:webHidden/>
              </w:rPr>
            </w:r>
            <w:r w:rsidR="0099326B">
              <w:rPr>
                <w:noProof/>
                <w:webHidden/>
              </w:rPr>
              <w:fldChar w:fldCharType="separate"/>
            </w:r>
            <w:r w:rsidR="0099326B">
              <w:rPr>
                <w:noProof/>
                <w:webHidden/>
              </w:rPr>
              <w:t>13</w:t>
            </w:r>
            <w:r w:rsidR="0099326B">
              <w:rPr>
                <w:noProof/>
                <w:webHidden/>
              </w:rPr>
              <w:fldChar w:fldCharType="end"/>
            </w:r>
          </w:hyperlink>
        </w:p>
        <w:p w14:paraId="2AE980F0" w14:textId="4D434AEE"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4" w:history="1">
            <w:r w:rsidR="0099326B" w:rsidRPr="00751805">
              <w:rPr>
                <w:rStyle w:val="Hyperlink"/>
                <w:noProof/>
                <w:lang w:val="en-GB"/>
              </w:rPr>
              <w:t>3.1 Corporate Governance of Business Organisation and Its Importance</w:t>
            </w:r>
            <w:r w:rsidR="0099326B">
              <w:rPr>
                <w:noProof/>
                <w:webHidden/>
              </w:rPr>
              <w:tab/>
            </w:r>
            <w:r w:rsidR="0099326B">
              <w:rPr>
                <w:noProof/>
                <w:webHidden/>
              </w:rPr>
              <w:fldChar w:fldCharType="begin"/>
            </w:r>
            <w:r w:rsidR="0099326B">
              <w:rPr>
                <w:noProof/>
                <w:webHidden/>
              </w:rPr>
              <w:instrText xml:space="preserve"> PAGEREF _Toc175504254 \h </w:instrText>
            </w:r>
            <w:r w:rsidR="0099326B">
              <w:rPr>
                <w:noProof/>
                <w:webHidden/>
              </w:rPr>
            </w:r>
            <w:r w:rsidR="0099326B">
              <w:rPr>
                <w:noProof/>
                <w:webHidden/>
              </w:rPr>
              <w:fldChar w:fldCharType="separate"/>
            </w:r>
            <w:r w:rsidR="0099326B">
              <w:rPr>
                <w:noProof/>
                <w:webHidden/>
              </w:rPr>
              <w:t>13</w:t>
            </w:r>
            <w:r w:rsidR="0099326B">
              <w:rPr>
                <w:noProof/>
                <w:webHidden/>
              </w:rPr>
              <w:fldChar w:fldCharType="end"/>
            </w:r>
          </w:hyperlink>
        </w:p>
        <w:p w14:paraId="5B044B2E" w14:textId="153B4DCB"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5" w:history="1">
            <w:r w:rsidR="0099326B" w:rsidRPr="00751805">
              <w:rPr>
                <w:rStyle w:val="Hyperlink"/>
                <w:noProof/>
                <w:lang w:val="en-GB"/>
              </w:rPr>
              <w:t>3.2 Company Existing Corporate Governance</w:t>
            </w:r>
            <w:r w:rsidR="0099326B">
              <w:rPr>
                <w:noProof/>
                <w:webHidden/>
              </w:rPr>
              <w:tab/>
            </w:r>
            <w:r w:rsidR="0099326B">
              <w:rPr>
                <w:noProof/>
                <w:webHidden/>
              </w:rPr>
              <w:fldChar w:fldCharType="begin"/>
            </w:r>
            <w:r w:rsidR="0099326B">
              <w:rPr>
                <w:noProof/>
                <w:webHidden/>
              </w:rPr>
              <w:instrText xml:space="preserve"> PAGEREF _Toc175504255 \h </w:instrText>
            </w:r>
            <w:r w:rsidR="0099326B">
              <w:rPr>
                <w:noProof/>
                <w:webHidden/>
              </w:rPr>
            </w:r>
            <w:r w:rsidR="0099326B">
              <w:rPr>
                <w:noProof/>
                <w:webHidden/>
              </w:rPr>
              <w:fldChar w:fldCharType="separate"/>
            </w:r>
            <w:r w:rsidR="0099326B">
              <w:rPr>
                <w:noProof/>
                <w:webHidden/>
              </w:rPr>
              <w:t>13</w:t>
            </w:r>
            <w:r w:rsidR="0099326B">
              <w:rPr>
                <w:noProof/>
                <w:webHidden/>
              </w:rPr>
              <w:fldChar w:fldCharType="end"/>
            </w:r>
          </w:hyperlink>
        </w:p>
        <w:p w14:paraId="4EC5154D" w14:textId="24A6AA24"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6" w:history="1">
            <w:r w:rsidR="0099326B" w:rsidRPr="00751805">
              <w:rPr>
                <w:rStyle w:val="Hyperlink"/>
                <w:noProof/>
                <w:lang w:val="en-GB"/>
              </w:rPr>
              <w:t>3.3 Suggestion for Improvement</w:t>
            </w:r>
            <w:r w:rsidR="0099326B">
              <w:rPr>
                <w:noProof/>
                <w:webHidden/>
              </w:rPr>
              <w:tab/>
            </w:r>
            <w:r w:rsidR="0099326B">
              <w:rPr>
                <w:noProof/>
                <w:webHidden/>
              </w:rPr>
              <w:fldChar w:fldCharType="begin"/>
            </w:r>
            <w:r w:rsidR="0099326B">
              <w:rPr>
                <w:noProof/>
                <w:webHidden/>
              </w:rPr>
              <w:instrText xml:space="preserve"> PAGEREF _Toc175504256 \h </w:instrText>
            </w:r>
            <w:r w:rsidR="0099326B">
              <w:rPr>
                <w:noProof/>
                <w:webHidden/>
              </w:rPr>
            </w:r>
            <w:r w:rsidR="0099326B">
              <w:rPr>
                <w:noProof/>
                <w:webHidden/>
              </w:rPr>
              <w:fldChar w:fldCharType="separate"/>
            </w:r>
            <w:r w:rsidR="0099326B">
              <w:rPr>
                <w:noProof/>
                <w:webHidden/>
              </w:rPr>
              <w:t>14</w:t>
            </w:r>
            <w:r w:rsidR="0099326B">
              <w:rPr>
                <w:noProof/>
                <w:webHidden/>
              </w:rPr>
              <w:fldChar w:fldCharType="end"/>
            </w:r>
          </w:hyperlink>
        </w:p>
        <w:p w14:paraId="79CF12E5" w14:textId="088D80EB"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57" w:history="1">
            <w:r w:rsidR="0099326B" w:rsidRPr="00751805">
              <w:rPr>
                <w:rStyle w:val="Hyperlink"/>
                <w:rFonts w:cs="Times New Roman"/>
                <w:noProof/>
                <w:lang w:val="en-GB"/>
              </w:rPr>
              <w:t>4. Investment Appraisal</w:t>
            </w:r>
            <w:r w:rsidR="0099326B">
              <w:rPr>
                <w:noProof/>
                <w:webHidden/>
              </w:rPr>
              <w:tab/>
            </w:r>
            <w:r w:rsidR="0099326B">
              <w:rPr>
                <w:noProof/>
                <w:webHidden/>
              </w:rPr>
              <w:fldChar w:fldCharType="begin"/>
            </w:r>
            <w:r w:rsidR="0099326B">
              <w:rPr>
                <w:noProof/>
                <w:webHidden/>
              </w:rPr>
              <w:instrText xml:space="preserve"> PAGEREF _Toc175504257 \h </w:instrText>
            </w:r>
            <w:r w:rsidR="0099326B">
              <w:rPr>
                <w:noProof/>
                <w:webHidden/>
              </w:rPr>
            </w:r>
            <w:r w:rsidR="0099326B">
              <w:rPr>
                <w:noProof/>
                <w:webHidden/>
              </w:rPr>
              <w:fldChar w:fldCharType="separate"/>
            </w:r>
            <w:r w:rsidR="0099326B">
              <w:rPr>
                <w:noProof/>
                <w:webHidden/>
              </w:rPr>
              <w:t>15</w:t>
            </w:r>
            <w:r w:rsidR="0099326B">
              <w:rPr>
                <w:noProof/>
                <w:webHidden/>
              </w:rPr>
              <w:fldChar w:fldCharType="end"/>
            </w:r>
          </w:hyperlink>
        </w:p>
        <w:p w14:paraId="1814D8ED" w14:textId="036CFFDD"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8" w:history="1">
            <w:r w:rsidR="0099326B" w:rsidRPr="00751805">
              <w:rPr>
                <w:rStyle w:val="Hyperlink"/>
                <w:noProof/>
                <w:lang w:val="en-GB"/>
              </w:rPr>
              <w:t>4.1 Project Basic Information</w:t>
            </w:r>
            <w:r w:rsidR="0099326B">
              <w:rPr>
                <w:noProof/>
                <w:webHidden/>
              </w:rPr>
              <w:tab/>
            </w:r>
            <w:r w:rsidR="0099326B">
              <w:rPr>
                <w:noProof/>
                <w:webHidden/>
              </w:rPr>
              <w:fldChar w:fldCharType="begin"/>
            </w:r>
            <w:r w:rsidR="0099326B">
              <w:rPr>
                <w:noProof/>
                <w:webHidden/>
              </w:rPr>
              <w:instrText xml:space="preserve"> PAGEREF _Toc175504258 \h </w:instrText>
            </w:r>
            <w:r w:rsidR="0099326B">
              <w:rPr>
                <w:noProof/>
                <w:webHidden/>
              </w:rPr>
            </w:r>
            <w:r w:rsidR="0099326B">
              <w:rPr>
                <w:noProof/>
                <w:webHidden/>
              </w:rPr>
              <w:fldChar w:fldCharType="separate"/>
            </w:r>
            <w:r w:rsidR="0099326B">
              <w:rPr>
                <w:noProof/>
                <w:webHidden/>
              </w:rPr>
              <w:t>15</w:t>
            </w:r>
            <w:r w:rsidR="0099326B">
              <w:rPr>
                <w:noProof/>
                <w:webHidden/>
              </w:rPr>
              <w:fldChar w:fldCharType="end"/>
            </w:r>
          </w:hyperlink>
        </w:p>
        <w:p w14:paraId="72D2A7A1" w14:textId="6A509BFC"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59" w:history="1">
            <w:r w:rsidR="0099326B" w:rsidRPr="00751805">
              <w:rPr>
                <w:rStyle w:val="Hyperlink"/>
                <w:noProof/>
                <w:lang w:val="en-GB"/>
              </w:rPr>
              <w:t>4.2 First Year Calculation of Sales</w:t>
            </w:r>
            <w:r w:rsidR="0099326B">
              <w:rPr>
                <w:noProof/>
                <w:webHidden/>
              </w:rPr>
              <w:tab/>
            </w:r>
            <w:r w:rsidR="0099326B">
              <w:rPr>
                <w:noProof/>
                <w:webHidden/>
              </w:rPr>
              <w:fldChar w:fldCharType="begin"/>
            </w:r>
            <w:r w:rsidR="0099326B">
              <w:rPr>
                <w:noProof/>
                <w:webHidden/>
              </w:rPr>
              <w:instrText xml:space="preserve"> PAGEREF _Toc175504259 \h </w:instrText>
            </w:r>
            <w:r w:rsidR="0099326B">
              <w:rPr>
                <w:noProof/>
                <w:webHidden/>
              </w:rPr>
            </w:r>
            <w:r w:rsidR="0099326B">
              <w:rPr>
                <w:noProof/>
                <w:webHidden/>
              </w:rPr>
              <w:fldChar w:fldCharType="separate"/>
            </w:r>
            <w:r w:rsidR="0099326B">
              <w:rPr>
                <w:noProof/>
                <w:webHidden/>
              </w:rPr>
              <w:t>16</w:t>
            </w:r>
            <w:r w:rsidR="0099326B">
              <w:rPr>
                <w:noProof/>
                <w:webHidden/>
              </w:rPr>
              <w:fldChar w:fldCharType="end"/>
            </w:r>
          </w:hyperlink>
        </w:p>
        <w:p w14:paraId="1675B9C9" w14:textId="6EE36F91"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0" w:history="1">
            <w:r w:rsidR="0099326B" w:rsidRPr="00751805">
              <w:rPr>
                <w:rStyle w:val="Hyperlink"/>
                <w:noProof/>
                <w:lang w:val="en-GB"/>
              </w:rPr>
              <w:t>4.4 Monthly Cashflow Calculation</w:t>
            </w:r>
            <w:r w:rsidR="0099326B">
              <w:rPr>
                <w:noProof/>
                <w:webHidden/>
              </w:rPr>
              <w:tab/>
            </w:r>
            <w:r w:rsidR="0099326B">
              <w:rPr>
                <w:noProof/>
                <w:webHidden/>
              </w:rPr>
              <w:fldChar w:fldCharType="begin"/>
            </w:r>
            <w:r w:rsidR="0099326B">
              <w:rPr>
                <w:noProof/>
                <w:webHidden/>
              </w:rPr>
              <w:instrText xml:space="preserve"> PAGEREF _Toc175504260 \h </w:instrText>
            </w:r>
            <w:r w:rsidR="0099326B">
              <w:rPr>
                <w:noProof/>
                <w:webHidden/>
              </w:rPr>
            </w:r>
            <w:r w:rsidR="0099326B">
              <w:rPr>
                <w:noProof/>
                <w:webHidden/>
              </w:rPr>
              <w:fldChar w:fldCharType="separate"/>
            </w:r>
            <w:r w:rsidR="0099326B">
              <w:rPr>
                <w:noProof/>
                <w:webHidden/>
              </w:rPr>
              <w:t>16</w:t>
            </w:r>
            <w:r w:rsidR="0099326B">
              <w:rPr>
                <w:noProof/>
                <w:webHidden/>
              </w:rPr>
              <w:fldChar w:fldCharType="end"/>
            </w:r>
          </w:hyperlink>
        </w:p>
        <w:p w14:paraId="3D6515E2" w14:textId="16F2F41E"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1" w:history="1">
            <w:r w:rsidR="0099326B" w:rsidRPr="00751805">
              <w:rPr>
                <w:rStyle w:val="Hyperlink"/>
                <w:noProof/>
                <w:lang w:val="en-GB"/>
              </w:rPr>
              <w:t>4.3 Tax Calculation</w:t>
            </w:r>
            <w:r w:rsidR="0099326B">
              <w:rPr>
                <w:noProof/>
                <w:webHidden/>
              </w:rPr>
              <w:tab/>
            </w:r>
            <w:r w:rsidR="0099326B">
              <w:rPr>
                <w:noProof/>
                <w:webHidden/>
              </w:rPr>
              <w:fldChar w:fldCharType="begin"/>
            </w:r>
            <w:r w:rsidR="0099326B">
              <w:rPr>
                <w:noProof/>
                <w:webHidden/>
              </w:rPr>
              <w:instrText xml:space="preserve"> PAGEREF _Toc175504261 \h </w:instrText>
            </w:r>
            <w:r w:rsidR="0099326B">
              <w:rPr>
                <w:noProof/>
                <w:webHidden/>
              </w:rPr>
            </w:r>
            <w:r w:rsidR="0099326B">
              <w:rPr>
                <w:noProof/>
                <w:webHidden/>
              </w:rPr>
              <w:fldChar w:fldCharType="separate"/>
            </w:r>
            <w:r w:rsidR="0099326B">
              <w:rPr>
                <w:noProof/>
                <w:webHidden/>
              </w:rPr>
              <w:t>18</w:t>
            </w:r>
            <w:r w:rsidR="0099326B">
              <w:rPr>
                <w:noProof/>
                <w:webHidden/>
              </w:rPr>
              <w:fldChar w:fldCharType="end"/>
            </w:r>
          </w:hyperlink>
        </w:p>
        <w:p w14:paraId="6A054BFA" w14:textId="096DD0D3"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2" w:history="1">
            <w:r w:rsidR="0099326B" w:rsidRPr="00751805">
              <w:rPr>
                <w:rStyle w:val="Hyperlink"/>
                <w:noProof/>
                <w:lang w:val="en-GB"/>
              </w:rPr>
              <w:t>4.5 NPV and ARR</w:t>
            </w:r>
            <w:r w:rsidR="0099326B">
              <w:rPr>
                <w:noProof/>
                <w:webHidden/>
              </w:rPr>
              <w:tab/>
            </w:r>
            <w:r w:rsidR="0099326B">
              <w:rPr>
                <w:noProof/>
                <w:webHidden/>
              </w:rPr>
              <w:fldChar w:fldCharType="begin"/>
            </w:r>
            <w:r w:rsidR="0099326B">
              <w:rPr>
                <w:noProof/>
                <w:webHidden/>
              </w:rPr>
              <w:instrText xml:space="preserve"> PAGEREF _Toc175504262 \h </w:instrText>
            </w:r>
            <w:r w:rsidR="0099326B">
              <w:rPr>
                <w:noProof/>
                <w:webHidden/>
              </w:rPr>
            </w:r>
            <w:r w:rsidR="0099326B">
              <w:rPr>
                <w:noProof/>
                <w:webHidden/>
              </w:rPr>
              <w:fldChar w:fldCharType="separate"/>
            </w:r>
            <w:r w:rsidR="0099326B">
              <w:rPr>
                <w:noProof/>
                <w:webHidden/>
              </w:rPr>
              <w:t>18</w:t>
            </w:r>
            <w:r w:rsidR="0099326B">
              <w:rPr>
                <w:noProof/>
                <w:webHidden/>
              </w:rPr>
              <w:fldChar w:fldCharType="end"/>
            </w:r>
          </w:hyperlink>
        </w:p>
        <w:p w14:paraId="68409D98" w14:textId="68E06ED0"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3" w:history="1">
            <w:r w:rsidR="0099326B" w:rsidRPr="00751805">
              <w:rPr>
                <w:rStyle w:val="Hyperlink"/>
                <w:noProof/>
                <w:lang w:val="en-GB"/>
              </w:rPr>
              <w:t>4.6 IRR and Payback Period</w:t>
            </w:r>
            <w:r w:rsidR="0099326B">
              <w:rPr>
                <w:noProof/>
                <w:webHidden/>
              </w:rPr>
              <w:tab/>
            </w:r>
            <w:r w:rsidR="0099326B">
              <w:rPr>
                <w:noProof/>
                <w:webHidden/>
              </w:rPr>
              <w:fldChar w:fldCharType="begin"/>
            </w:r>
            <w:r w:rsidR="0099326B">
              <w:rPr>
                <w:noProof/>
                <w:webHidden/>
              </w:rPr>
              <w:instrText xml:space="preserve"> PAGEREF _Toc175504263 \h </w:instrText>
            </w:r>
            <w:r w:rsidR="0099326B">
              <w:rPr>
                <w:noProof/>
                <w:webHidden/>
              </w:rPr>
            </w:r>
            <w:r w:rsidR="0099326B">
              <w:rPr>
                <w:noProof/>
                <w:webHidden/>
              </w:rPr>
              <w:fldChar w:fldCharType="separate"/>
            </w:r>
            <w:r w:rsidR="0099326B">
              <w:rPr>
                <w:noProof/>
                <w:webHidden/>
              </w:rPr>
              <w:t>19</w:t>
            </w:r>
            <w:r w:rsidR="0099326B">
              <w:rPr>
                <w:noProof/>
                <w:webHidden/>
              </w:rPr>
              <w:fldChar w:fldCharType="end"/>
            </w:r>
          </w:hyperlink>
        </w:p>
        <w:p w14:paraId="11EAC004" w14:textId="777B83DB"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4" w:history="1">
            <w:r w:rsidR="0099326B" w:rsidRPr="00751805">
              <w:rPr>
                <w:rStyle w:val="Hyperlink"/>
                <w:noProof/>
                <w:lang w:val="en-GB"/>
              </w:rPr>
              <w:t>4.7 Investment Appraisal</w:t>
            </w:r>
            <w:r w:rsidR="0099326B">
              <w:rPr>
                <w:noProof/>
                <w:webHidden/>
              </w:rPr>
              <w:tab/>
            </w:r>
            <w:r w:rsidR="0099326B">
              <w:rPr>
                <w:noProof/>
                <w:webHidden/>
              </w:rPr>
              <w:fldChar w:fldCharType="begin"/>
            </w:r>
            <w:r w:rsidR="0099326B">
              <w:rPr>
                <w:noProof/>
                <w:webHidden/>
              </w:rPr>
              <w:instrText xml:space="preserve"> PAGEREF _Toc175504264 \h </w:instrText>
            </w:r>
            <w:r w:rsidR="0099326B">
              <w:rPr>
                <w:noProof/>
                <w:webHidden/>
              </w:rPr>
            </w:r>
            <w:r w:rsidR="0099326B">
              <w:rPr>
                <w:noProof/>
                <w:webHidden/>
              </w:rPr>
              <w:fldChar w:fldCharType="separate"/>
            </w:r>
            <w:r w:rsidR="0099326B">
              <w:rPr>
                <w:noProof/>
                <w:webHidden/>
              </w:rPr>
              <w:t>20</w:t>
            </w:r>
            <w:r w:rsidR="0099326B">
              <w:rPr>
                <w:noProof/>
                <w:webHidden/>
              </w:rPr>
              <w:fldChar w:fldCharType="end"/>
            </w:r>
          </w:hyperlink>
        </w:p>
        <w:p w14:paraId="75D50D3A" w14:textId="541F6859"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5" w:history="1">
            <w:r w:rsidR="0099326B" w:rsidRPr="00751805">
              <w:rPr>
                <w:rStyle w:val="Hyperlink"/>
                <w:noProof/>
                <w:lang w:val="en-GB"/>
              </w:rPr>
              <w:t>4.8 New Project Appraisal Methods for Analysis</w:t>
            </w:r>
            <w:r w:rsidR="0099326B">
              <w:rPr>
                <w:noProof/>
                <w:webHidden/>
              </w:rPr>
              <w:tab/>
            </w:r>
            <w:r w:rsidR="0099326B">
              <w:rPr>
                <w:noProof/>
                <w:webHidden/>
              </w:rPr>
              <w:fldChar w:fldCharType="begin"/>
            </w:r>
            <w:r w:rsidR="0099326B">
              <w:rPr>
                <w:noProof/>
                <w:webHidden/>
              </w:rPr>
              <w:instrText xml:space="preserve"> PAGEREF _Toc175504265 \h </w:instrText>
            </w:r>
            <w:r w:rsidR="0099326B">
              <w:rPr>
                <w:noProof/>
                <w:webHidden/>
              </w:rPr>
            </w:r>
            <w:r w:rsidR="0099326B">
              <w:rPr>
                <w:noProof/>
                <w:webHidden/>
              </w:rPr>
              <w:fldChar w:fldCharType="separate"/>
            </w:r>
            <w:r w:rsidR="0099326B">
              <w:rPr>
                <w:noProof/>
                <w:webHidden/>
              </w:rPr>
              <w:t>21</w:t>
            </w:r>
            <w:r w:rsidR="0099326B">
              <w:rPr>
                <w:noProof/>
                <w:webHidden/>
              </w:rPr>
              <w:fldChar w:fldCharType="end"/>
            </w:r>
          </w:hyperlink>
        </w:p>
        <w:p w14:paraId="0969579E" w14:textId="50B49FE5"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6" w:history="1">
            <w:r w:rsidR="0099326B" w:rsidRPr="00751805">
              <w:rPr>
                <w:rStyle w:val="Hyperlink"/>
                <w:noProof/>
                <w:lang w:val="en-GB"/>
              </w:rPr>
              <w:t>4.9 Suggestion for Cashflow of New Project</w:t>
            </w:r>
            <w:r w:rsidR="0099326B">
              <w:rPr>
                <w:noProof/>
                <w:webHidden/>
              </w:rPr>
              <w:tab/>
            </w:r>
            <w:r w:rsidR="0099326B">
              <w:rPr>
                <w:noProof/>
                <w:webHidden/>
              </w:rPr>
              <w:fldChar w:fldCharType="begin"/>
            </w:r>
            <w:r w:rsidR="0099326B">
              <w:rPr>
                <w:noProof/>
                <w:webHidden/>
              </w:rPr>
              <w:instrText xml:space="preserve"> PAGEREF _Toc175504266 \h </w:instrText>
            </w:r>
            <w:r w:rsidR="0099326B">
              <w:rPr>
                <w:noProof/>
                <w:webHidden/>
              </w:rPr>
            </w:r>
            <w:r w:rsidR="0099326B">
              <w:rPr>
                <w:noProof/>
                <w:webHidden/>
              </w:rPr>
              <w:fldChar w:fldCharType="separate"/>
            </w:r>
            <w:r w:rsidR="0099326B">
              <w:rPr>
                <w:noProof/>
                <w:webHidden/>
              </w:rPr>
              <w:t>21</w:t>
            </w:r>
            <w:r w:rsidR="0099326B">
              <w:rPr>
                <w:noProof/>
                <w:webHidden/>
              </w:rPr>
              <w:fldChar w:fldCharType="end"/>
            </w:r>
          </w:hyperlink>
        </w:p>
        <w:p w14:paraId="2953114E" w14:textId="062D2275"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67" w:history="1">
            <w:r w:rsidR="0099326B" w:rsidRPr="00751805">
              <w:rPr>
                <w:rStyle w:val="Hyperlink"/>
                <w:noProof/>
                <w:lang w:val="en-GB"/>
              </w:rPr>
              <w:t>5. Financing and Capital Management</w:t>
            </w:r>
            <w:r w:rsidR="0099326B">
              <w:rPr>
                <w:noProof/>
                <w:webHidden/>
              </w:rPr>
              <w:tab/>
            </w:r>
            <w:r w:rsidR="0099326B">
              <w:rPr>
                <w:noProof/>
                <w:webHidden/>
              </w:rPr>
              <w:fldChar w:fldCharType="begin"/>
            </w:r>
            <w:r w:rsidR="0099326B">
              <w:rPr>
                <w:noProof/>
                <w:webHidden/>
              </w:rPr>
              <w:instrText xml:space="preserve"> PAGEREF _Toc175504267 \h </w:instrText>
            </w:r>
            <w:r w:rsidR="0099326B">
              <w:rPr>
                <w:noProof/>
                <w:webHidden/>
              </w:rPr>
            </w:r>
            <w:r w:rsidR="0099326B">
              <w:rPr>
                <w:noProof/>
                <w:webHidden/>
              </w:rPr>
              <w:fldChar w:fldCharType="separate"/>
            </w:r>
            <w:r w:rsidR="0099326B">
              <w:rPr>
                <w:noProof/>
                <w:webHidden/>
              </w:rPr>
              <w:t>22</w:t>
            </w:r>
            <w:r w:rsidR="0099326B">
              <w:rPr>
                <w:noProof/>
                <w:webHidden/>
              </w:rPr>
              <w:fldChar w:fldCharType="end"/>
            </w:r>
          </w:hyperlink>
        </w:p>
        <w:p w14:paraId="72CBAD0F" w14:textId="5A116F63"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8" w:history="1">
            <w:r w:rsidR="0099326B" w:rsidRPr="00751805">
              <w:rPr>
                <w:rStyle w:val="Hyperlink"/>
                <w:noProof/>
                <w:lang w:val="en-GB"/>
              </w:rPr>
              <w:t>5.1 Financing Methods for Analysing</w:t>
            </w:r>
            <w:r w:rsidR="0099326B">
              <w:rPr>
                <w:noProof/>
                <w:webHidden/>
              </w:rPr>
              <w:tab/>
            </w:r>
            <w:r w:rsidR="0099326B">
              <w:rPr>
                <w:noProof/>
                <w:webHidden/>
              </w:rPr>
              <w:fldChar w:fldCharType="begin"/>
            </w:r>
            <w:r w:rsidR="0099326B">
              <w:rPr>
                <w:noProof/>
                <w:webHidden/>
              </w:rPr>
              <w:instrText xml:space="preserve"> PAGEREF _Toc175504268 \h </w:instrText>
            </w:r>
            <w:r w:rsidR="0099326B">
              <w:rPr>
                <w:noProof/>
                <w:webHidden/>
              </w:rPr>
            </w:r>
            <w:r w:rsidR="0099326B">
              <w:rPr>
                <w:noProof/>
                <w:webHidden/>
              </w:rPr>
              <w:fldChar w:fldCharType="separate"/>
            </w:r>
            <w:r w:rsidR="0099326B">
              <w:rPr>
                <w:noProof/>
                <w:webHidden/>
              </w:rPr>
              <w:t>22</w:t>
            </w:r>
            <w:r w:rsidR="0099326B">
              <w:rPr>
                <w:noProof/>
                <w:webHidden/>
              </w:rPr>
              <w:fldChar w:fldCharType="end"/>
            </w:r>
          </w:hyperlink>
        </w:p>
        <w:p w14:paraId="0ABAFC7B" w14:textId="02463AA8" w:rsidR="0099326B" w:rsidRDefault="00000000" w:rsidP="0099326B">
          <w:pPr>
            <w:pStyle w:val="TOC2"/>
            <w:tabs>
              <w:tab w:val="right" w:leader="dot" w:pos="9016"/>
            </w:tabs>
            <w:rPr>
              <w:rFonts w:asciiTheme="minorHAnsi" w:eastAsiaTheme="minorEastAsia" w:hAnsiTheme="minorHAnsi"/>
              <w:noProof/>
              <w:kern w:val="2"/>
              <w:szCs w:val="24"/>
              <w:lang w:val="en-HK" w:eastAsia="zh-CN"/>
              <w14:ligatures w14:val="standardContextual"/>
            </w:rPr>
          </w:pPr>
          <w:hyperlink w:anchor="_Toc175504269" w:history="1">
            <w:r w:rsidR="0099326B" w:rsidRPr="00751805">
              <w:rPr>
                <w:rStyle w:val="Hyperlink"/>
                <w:noProof/>
                <w:lang w:val="en-GB"/>
              </w:rPr>
              <w:t>5.2 Financing Method Proposed</w:t>
            </w:r>
            <w:r w:rsidR="0099326B">
              <w:rPr>
                <w:noProof/>
                <w:webHidden/>
              </w:rPr>
              <w:tab/>
            </w:r>
            <w:r w:rsidR="0099326B">
              <w:rPr>
                <w:noProof/>
                <w:webHidden/>
              </w:rPr>
              <w:fldChar w:fldCharType="begin"/>
            </w:r>
            <w:r w:rsidR="0099326B">
              <w:rPr>
                <w:noProof/>
                <w:webHidden/>
              </w:rPr>
              <w:instrText xml:space="preserve"> PAGEREF _Toc175504269 \h </w:instrText>
            </w:r>
            <w:r w:rsidR="0099326B">
              <w:rPr>
                <w:noProof/>
                <w:webHidden/>
              </w:rPr>
            </w:r>
            <w:r w:rsidR="0099326B">
              <w:rPr>
                <w:noProof/>
                <w:webHidden/>
              </w:rPr>
              <w:fldChar w:fldCharType="separate"/>
            </w:r>
            <w:r w:rsidR="0099326B">
              <w:rPr>
                <w:noProof/>
                <w:webHidden/>
              </w:rPr>
              <w:t>22</w:t>
            </w:r>
            <w:r w:rsidR="0099326B">
              <w:rPr>
                <w:noProof/>
                <w:webHidden/>
              </w:rPr>
              <w:fldChar w:fldCharType="end"/>
            </w:r>
          </w:hyperlink>
        </w:p>
        <w:p w14:paraId="4274C10B" w14:textId="70997EF2"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70" w:history="1">
            <w:r w:rsidR="0099326B" w:rsidRPr="00751805">
              <w:rPr>
                <w:rStyle w:val="Hyperlink"/>
                <w:noProof/>
                <w:lang w:val="en-GB"/>
              </w:rPr>
              <w:t>6. Recommendations and Action Plan</w:t>
            </w:r>
            <w:r w:rsidR="0099326B">
              <w:rPr>
                <w:noProof/>
                <w:webHidden/>
              </w:rPr>
              <w:tab/>
            </w:r>
            <w:r w:rsidR="0099326B">
              <w:rPr>
                <w:noProof/>
                <w:webHidden/>
              </w:rPr>
              <w:fldChar w:fldCharType="begin"/>
            </w:r>
            <w:r w:rsidR="0099326B">
              <w:rPr>
                <w:noProof/>
                <w:webHidden/>
              </w:rPr>
              <w:instrText xml:space="preserve"> PAGEREF _Toc175504270 \h </w:instrText>
            </w:r>
            <w:r w:rsidR="0099326B">
              <w:rPr>
                <w:noProof/>
                <w:webHidden/>
              </w:rPr>
            </w:r>
            <w:r w:rsidR="0099326B">
              <w:rPr>
                <w:noProof/>
                <w:webHidden/>
              </w:rPr>
              <w:fldChar w:fldCharType="separate"/>
            </w:r>
            <w:r w:rsidR="0099326B">
              <w:rPr>
                <w:noProof/>
                <w:webHidden/>
              </w:rPr>
              <w:t>23</w:t>
            </w:r>
            <w:r w:rsidR="0099326B">
              <w:rPr>
                <w:noProof/>
                <w:webHidden/>
              </w:rPr>
              <w:fldChar w:fldCharType="end"/>
            </w:r>
          </w:hyperlink>
        </w:p>
        <w:p w14:paraId="141E8BFB" w14:textId="62BBB77D"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71" w:history="1">
            <w:r w:rsidR="0099326B" w:rsidRPr="00751805">
              <w:rPr>
                <w:rStyle w:val="Hyperlink"/>
                <w:noProof/>
                <w:lang w:val="en-GB"/>
              </w:rPr>
              <w:t>7. Conclusion</w:t>
            </w:r>
            <w:r w:rsidR="0099326B">
              <w:rPr>
                <w:noProof/>
                <w:webHidden/>
              </w:rPr>
              <w:tab/>
            </w:r>
            <w:r w:rsidR="0099326B">
              <w:rPr>
                <w:noProof/>
                <w:webHidden/>
              </w:rPr>
              <w:fldChar w:fldCharType="begin"/>
            </w:r>
            <w:r w:rsidR="0099326B">
              <w:rPr>
                <w:noProof/>
                <w:webHidden/>
              </w:rPr>
              <w:instrText xml:space="preserve"> PAGEREF _Toc175504271 \h </w:instrText>
            </w:r>
            <w:r w:rsidR="0099326B">
              <w:rPr>
                <w:noProof/>
                <w:webHidden/>
              </w:rPr>
            </w:r>
            <w:r w:rsidR="0099326B">
              <w:rPr>
                <w:noProof/>
                <w:webHidden/>
              </w:rPr>
              <w:fldChar w:fldCharType="separate"/>
            </w:r>
            <w:r w:rsidR="0099326B">
              <w:rPr>
                <w:noProof/>
                <w:webHidden/>
              </w:rPr>
              <w:t>24</w:t>
            </w:r>
            <w:r w:rsidR="0099326B">
              <w:rPr>
                <w:noProof/>
                <w:webHidden/>
              </w:rPr>
              <w:fldChar w:fldCharType="end"/>
            </w:r>
          </w:hyperlink>
        </w:p>
        <w:p w14:paraId="72ECCC82" w14:textId="45F3B208"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72" w:history="1">
            <w:r w:rsidR="0099326B" w:rsidRPr="00751805">
              <w:rPr>
                <w:rStyle w:val="Hyperlink"/>
                <w:rFonts w:cs="Times New Roman"/>
                <w:noProof/>
                <w:lang w:val="en-GB"/>
              </w:rPr>
              <w:t>References</w:t>
            </w:r>
            <w:r w:rsidR="0099326B">
              <w:rPr>
                <w:noProof/>
                <w:webHidden/>
              </w:rPr>
              <w:tab/>
            </w:r>
            <w:r w:rsidR="0099326B">
              <w:rPr>
                <w:noProof/>
                <w:webHidden/>
              </w:rPr>
              <w:fldChar w:fldCharType="begin"/>
            </w:r>
            <w:r w:rsidR="0099326B">
              <w:rPr>
                <w:noProof/>
                <w:webHidden/>
              </w:rPr>
              <w:instrText xml:space="preserve"> PAGEREF _Toc175504272 \h </w:instrText>
            </w:r>
            <w:r w:rsidR="0099326B">
              <w:rPr>
                <w:noProof/>
                <w:webHidden/>
              </w:rPr>
            </w:r>
            <w:r w:rsidR="0099326B">
              <w:rPr>
                <w:noProof/>
                <w:webHidden/>
              </w:rPr>
              <w:fldChar w:fldCharType="separate"/>
            </w:r>
            <w:r w:rsidR="0099326B">
              <w:rPr>
                <w:noProof/>
                <w:webHidden/>
              </w:rPr>
              <w:t>25</w:t>
            </w:r>
            <w:r w:rsidR="0099326B">
              <w:rPr>
                <w:noProof/>
                <w:webHidden/>
              </w:rPr>
              <w:fldChar w:fldCharType="end"/>
            </w:r>
          </w:hyperlink>
        </w:p>
        <w:p w14:paraId="016E9D81" w14:textId="6CB79D51" w:rsidR="0099326B" w:rsidRDefault="00000000" w:rsidP="0099326B">
          <w:pPr>
            <w:pStyle w:val="TOC1"/>
            <w:tabs>
              <w:tab w:val="right" w:leader="dot" w:pos="9016"/>
            </w:tabs>
            <w:rPr>
              <w:rFonts w:asciiTheme="minorHAnsi" w:eastAsiaTheme="minorEastAsia" w:hAnsiTheme="minorHAnsi"/>
              <w:noProof/>
              <w:kern w:val="2"/>
              <w:szCs w:val="24"/>
              <w:lang w:val="en-HK" w:eastAsia="zh-CN"/>
              <w14:ligatures w14:val="standardContextual"/>
            </w:rPr>
          </w:pPr>
          <w:hyperlink w:anchor="_Toc175504273" w:history="1">
            <w:r w:rsidR="0099326B" w:rsidRPr="00751805">
              <w:rPr>
                <w:rStyle w:val="Hyperlink"/>
                <w:noProof/>
                <w:lang w:val="en-GB"/>
              </w:rPr>
              <w:t>Appendix A: Critical Financials</w:t>
            </w:r>
            <w:r w:rsidR="0099326B">
              <w:rPr>
                <w:noProof/>
                <w:webHidden/>
              </w:rPr>
              <w:tab/>
            </w:r>
            <w:r w:rsidR="0099326B">
              <w:rPr>
                <w:noProof/>
                <w:webHidden/>
              </w:rPr>
              <w:fldChar w:fldCharType="begin"/>
            </w:r>
            <w:r w:rsidR="0099326B">
              <w:rPr>
                <w:noProof/>
                <w:webHidden/>
              </w:rPr>
              <w:instrText xml:space="preserve"> PAGEREF _Toc175504273 \h </w:instrText>
            </w:r>
            <w:r w:rsidR="0099326B">
              <w:rPr>
                <w:noProof/>
                <w:webHidden/>
              </w:rPr>
            </w:r>
            <w:r w:rsidR="0099326B">
              <w:rPr>
                <w:noProof/>
                <w:webHidden/>
              </w:rPr>
              <w:fldChar w:fldCharType="separate"/>
            </w:r>
            <w:r w:rsidR="0099326B">
              <w:rPr>
                <w:noProof/>
                <w:webHidden/>
              </w:rPr>
              <w:t>27</w:t>
            </w:r>
            <w:r w:rsidR="0099326B">
              <w:rPr>
                <w:noProof/>
                <w:webHidden/>
              </w:rPr>
              <w:fldChar w:fldCharType="end"/>
            </w:r>
          </w:hyperlink>
        </w:p>
        <w:p w14:paraId="5A7959A9" w14:textId="0B9CFE29" w:rsidR="00B61BF0" w:rsidRPr="00B61BF0" w:rsidRDefault="003377F3" w:rsidP="0099326B">
          <w:r>
            <w:rPr>
              <w:b/>
              <w:bCs/>
              <w:noProof/>
            </w:rPr>
            <w:fldChar w:fldCharType="end"/>
          </w:r>
        </w:p>
      </w:sdtContent>
    </w:sdt>
    <w:p w14:paraId="24EE8233" w14:textId="77777777" w:rsidR="0024632A" w:rsidRPr="00F5514D" w:rsidRDefault="0024632A" w:rsidP="00170E4F">
      <w:pPr>
        <w:jc w:val="left"/>
        <w:rPr>
          <w:rFonts w:cs="Times New Roman"/>
          <w:lang w:val="en-GB"/>
        </w:rPr>
      </w:pPr>
    </w:p>
    <w:p w14:paraId="5E1375A9" w14:textId="77777777" w:rsidR="0099326B" w:rsidRDefault="0099326B" w:rsidP="0099326B">
      <w:pPr>
        <w:spacing w:after="200" w:line="276" w:lineRule="auto"/>
        <w:jc w:val="left"/>
        <w:rPr>
          <w:rFonts w:cs="Times New Roman"/>
          <w:lang w:val="en-GB"/>
        </w:rPr>
        <w:sectPr w:rsidR="0099326B" w:rsidSect="00B61BF0">
          <w:pgSz w:w="11906" w:h="16838"/>
          <w:pgMar w:top="1440" w:right="1440" w:bottom="1440" w:left="1440" w:header="709" w:footer="709" w:gutter="0"/>
          <w:pgNumType w:start="1"/>
          <w:cols w:space="708"/>
          <w:docGrid w:linePitch="360"/>
        </w:sectPr>
      </w:pPr>
    </w:p>
    <w:p w14:paraId="2BE58F38" w14:textId="4878D1BF" w:rsidR="0024632A" w:rsidRPr="0099326B" w:rsidRDefault="00B47903" w:rsidP="0099326B">
      <w:pPr>
        <w:pStyle w:val="Heading1"/>
        <w:rPr>
          <w:rFonts w:cs="Times New Roman"/>
          <w:lang w:val="en-GB"/>
        </w:rPr>
      </w:pPr>
      <w:bookmarkStart w:id="0" w:name="_Toc175504239"/>
      <w:r w:rsidRPr="0099326B">
        <w:rPr>
          <w:rFonts w:cs="Times New Roman"/>
          <w:lang w:val="en-GB"/>
        </w:rPr>
        <w:lastRenderedPageBreak/>
        <w:t>1</w:t>
      </w:r>
      <w:r w:rsidR="0024632A" w:rsidRPr="0099326B">
        <w:rPr>
          <w:rFonts w:cs="Times New Roman"/>
          <w:lang w:val="en-GB"/>
        </w:rPr>
        <w:t>. Introduction</w:t>
      </w:r>
      <w:bookmarkEnd w:id="0"/>
    </w:p>
    <w:p w14:paraId="5923B2D9" w14:textId="35DE674B" w:rsidR="00136A8A" w:rsidRPr="00F5514D" w:rsidRDefault="00136A8A" w:rsidP="00136A8A">
      <w:pPr>
        <w:ind w:firstLine="720"/>
        <w:rPr>
          <w:rFonts w:cs="Times New Roman"/>
          <w:lang w:val="en-GB"/>
        </w:rPr>
      </w:pPr>
      <w:r w:rsidRPr="00F5514D">
        <w:rPr>
          <w:rFonts w:cs="Times New Roman"/>
          <w:lang w:val="en-GB"/>
        </w:rPr>
        <w:t xml:space="preserve">The purpose of this report is to conduct a comprehensive financial and operational analysis of Chow Tai Fook Jewellery Group Limited, comparing its performance with two industry peers, Luk Fook Holdings and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xml:space="preserve"> Jewellery. Additionally, the report evaluates the corporate governance structure, internal control mechanisms, and risk management practices of Chow Tai Fook, proposing improvements for enhanced efficiency. Furthermore, an investment appraisal exercise and financing options analysis will be conducted to support strategic decision-making and fund-raising initiatives. Finally, a quarterly operational plan will be drafted to address identified financial issues and prioritize management actions for the upcoming year.</w:t>
      </w:r>
    </w:p>
    <w:p w14:paraId="108CF5BD" w14:textId="77777777" w:rsidR="00170E4F" w:rsidRPr="00F5514D" w:rsidRDefault="00170E4F" w:rsidP="00170E4F">
      <w:pPr>
        <w:pStyle w:val="Heading2"/>
        <w:rPr>
          <w:rFonts w:cs="Times New Roman"/>
          <w:lang w:val="en-GB"/>
        </w:rPr>
      </w:pPr>
      <w:bookmarkStart w:id="1" w:name="_Toc175504240"/>
      <w:r w:rsidRPr="00F5514D">
        <w:rPr>
          <w:rFonts w:cs="Times New Roman"/>
          <w:lang w:val="en-GB"/>
        </w:rPr>
        <w:t>1.1 Company Background</w:t>
      </w:r>
      <w:bookmarkEnd w:id="1"/>
    </w:p>
    <w:p w14:paraId="0ABC033E" w14:textId="686FF1D7" w:rsidR="00170E4F" w:rsidRPr="00F5514D" w:rsidRDefault="00170E4F" w:rsidP="00136A8A">
      <w:pPr>
        <w:ind w:firstLine="720"/>
        <w:rPr>
          <w:rFonts w:cs="Times New Roman"/>
          <w:lang w:val="en-GB"/>
        </w:rPr>
      </w:pPr>
      <w:r w:rsidRPr="00F5514D">
        <w:rPr>
          <w:rFonts w:cs="Times New Roman"/>
          <w:lang w:val="en-GB"/>
        </w:rPr>
        <w:t>Chow Tai Fook Jewellery Group Limited, a renowned Hong Kong-based company, is a leader in the jewellery industry, known for its high-quality craftsmanship and extensive product range. Established in 1929, the company has built a strong brand presence through its dedication to authenticity, innovation, and sustainability</w:t>
      </w:r>
      <w:r w:rsidR="00714069">
        <w:rPr>
          <w:rFonts w:cs="Times New Roman"/>
          <w:lang w:val="en-GB"/>
        </w:rPr>
        <w:t xml:space="preserve"> (</w:t>
      </w:r>
      <w:r w:rsidR="00714069" w:rsidRPr="00F5514D">
        <w:rPr>
          <w:rFonts w:cs="Times New Roman"/>
          <w:lang w:val="en-GB"/>
        </w:rPr>
        <w:t>Chow Tai Fook</w:t>
      </w:r>
      <w:r w:rsidR="00714069">
        <w:rPr>
          <w:rFonts w:cs="Times New Roman"/>
          <w:lang w:val="en-GB"/>
        </w:rPr>
        <w:t xml:space="preserve">, </w:t>
      </w:r>
      <w:proofErr w:type="spellStart"/>
      <w:r w:rsidR="00714069">
        <w:rPr>
          <w:rFonts w:cs="Times New Roman"/>
          <w:lang w:val="en-GB"/>
        </w:rPr>
        <w:t>nd</w:t>
      </w:r>
      <w:proofErr w:type="spellEnd"/>
      <w:r w:rsidR="00714069">
        <w:rPr>
          <w:rFonts w:cs="Times New Roman"/>
          <w:lang w:val="en-GB"/>
        </w:rPr>
        <w:t>)</w:t>
      </w:r>
      <w:r w:rsidRPr="00F5514D">
        <w:rPr>
          <w:rFonts w:cs="Times New Roman"/>
          <w:lang w:val="en-GB"/>
        </w:rPr>
        <w:t>. With a comprehensive portfolio that includes gold jewellery, gem-set jewellery, platinum, and K-gold jewellery, Chow Tai Fook has become a household name in Greater China and beyond. The company operates a vast network of retail outlets, strategically expanding its reach to include markets in Mainland China, Hong Kong, Macau, and other international locations</w:t>
      </w:r>
      <w:r w:rsidR="00714069">
        <w:rPr>
          <w:rFonts w:cs="Times New Roman"/>
          <w:lang w:val="en-GB"/>
        </w:rPr>
        <w:t xml:space="preserve"> (</w:t>
      </w:r>
      <w:r w:rsidR="00714069" w:rsidRPr="00F5514D">
        <w:rPr>
          <w:rFonts w:cs="Times New Roman"/>
          <w:lang w:val="en-GB"/>
        </w:rPr>
        <w:t>Chow Tai Fook</w:t>
      </w:r>
      <w:r w:rsidR="00714069">
        <w:rPr>
          <w:rFonts w:cs="Times New Roman"/>
          <w:lang w:val="en-GB"/>
        </w:rPr>
        <w:t xml:space="preserve">, </w:t>
      </w:r>
      <w:proofErr w:type="spellStart"/>
      <w:r w:rsidR="00714069">
        <w:rPr>
          <w:rFonts w:cs="Times New Roman"/>
          <w:lang w:val="en-GB"/>
        </w:rPr>
        <w:t>nd</w:t>
      </w:r>
      <w:proofErr w:type="spellEnd"/>
      <w:r w:rsidR="00714069">
        <w:rPr>
          <w:rFonts w:cs="Times New Roman"/>
          <w:lang w:val="en-GB"/>
        </w:rPr>
        <w:t>)</w:t>
      </w:r>
      <w:r w:rsidRPr="00F5514D">
        <w:rPr>
          <w:rFonts w:cs="Times New Roman"/>
          <w:lang w:val="en-GB"/>
        </w:rPr>
        <w:t xml:space="preserve">. Chow Tai Fook's commitment to excellence is evident in its stringent quality control processes, innovative product designs, and customer-centric approach. </w:t>
      </w:r>
    </w:p>
    <w:p w14:paraId="69D5221C" w14:textId="50D5ACE4" w:rsidR="00170E4F" w:rsidRPr="00F5514D" w:rsidRDefault="00170E4F" w:rsidP="00170E4F">
      <w:pPr>
        <w:pStyle w:val="Heading2"/>
        <w:rPr>
          <w:rFonts w:cs="Times New Roman"/>
          <w:lang w:val="en-GB"/>
        </w:rPr>
      </w:pPr>
      <w:bookmarkStart w:id="2" w:name="_Toc175504241"/>
      <w:r w:rsidRPr="00F5514D">
        <w:rPr>
          <w:rFonts w:cs="Times New Roman"/>
          <w:lang w:val="en-GB"/>
        </w:rPr>
        <w:t>1.2 Operating Business Overview</w:t>
      </w:r>
      <w:bookmarkEnd w:id="2"/>
    </w:p>
    <w:p w14:paraId="4BC56CBD" w14:textId="67EACAD9" w:rsidR="00170E4F" w:rsidRPr="00F5514D" w:rsidRDefault="00170E4F" w:rsidP="00136A8A">
      <w:pPr>
        <w:ind w:firstLine="720"/>
        <w:rPr>
          <w:rFonts w:cs="Times New Roman"/>
          <w:lang w:val="en-GB"/>
        </w:rPr>
      </w:pPr>
      <w:r w:rsidRPr="00F5514D">
        <w:rPr>
          <w:rFonts w:cs="Times New Roman"/>
          <w:lang w:val="en-GB"/>
        </w:rPr>
        <w:t>Chow Tai Fook Jewellery Group's operating business is segmented into various product categories, including gold jewellery and products, gem-set jewellery, platinum jewellery, and watches. The company’s flagship products, particularly gold jewellery, account for a significant portion of its revenue, driven by their perceived value preservation and popularity among consumers</w:t>
      </w:r>
      <w:r w:rsidR="00714069">
        <w:rPr>
          <w:rFonts w:cs="Times New Roman"/>
          <w:lang w:val="en-GB"/>
        </w:rPr>
        <w:t xml:space="preserve"> (</w:t>
      </w:r>
      <w:r w:rsidR="00714069" w:rsidRPr="00F5514D">
        <w:rPr>
          <w:rFonts w:cs="Times New Roman"/>
          <w:lang w:val="en-GB"/>
        </w:rPr>
        <w:t>Chow Tai Fook</w:t>
      </w:r>
      <w:r w:rsidR="00714069">
        <w:rPr>
          <w:rFonts w:cs="Times New Roman"/>
          <w:lang w:val="en-GB"/>
        </w:rPr>
        <w:t>, 2024)</w:t>
      </w:r>
      <w:r w:rsidRPr="00F5514D">
        <w:rPr>
          <w:rFonts w:cs="Times New Roman"/>
          <w:lang w:val="en-GB"/>
        </w:rPr>
        <w:t>. In the fiscal year 2024, gold jewellery and products contributed 82.0% to the company's revenue, highlighting the robust demand in this segment</w:t>
      </w:r>
      <w:r w:rsidR="00714069">
        <w:rPr>
          <w:rFonts w:cs="Times New Roman"/>
          <w:lang w:val="en-GB"/>
        </w:rPr>
        <w:t xml:space="preserve"> (</w:t>
      </w:r>
      <w:r w:rsidR="00714069" w:rsidRPr="00F5514D">
        <w:rPr>
          <w:rFonts w:cs="Times New Roman"/>
          <w:lang w:val="en-GB"/>
        </w:rPr>
        <w:t>Chow Tai Fook</w:t>
      </w:r>
      <w:r w:rsidR="00714069">
        <w:rPr>
          <w:rFonts w:cs="Times New Roman"/>
          <w:lang w:val="en-GB"/>
        </w:rPr>
        <w:t>, 2024)</w:t>
      </w:r>
      <w:r w:rsidRPr="00F5514D">
        <w:rPr>
          <w:rFonts w:cs="Times New Roman"/>
          <w:lang w:val="en-GB"/>
        </w:rPr>
        <w:t>. The company has strategically introduced new product collections, such as the HUÁ Collection, to cater to evolving consumer preferences and enhance market penetration.</w:t>
      </w:r>
      <w:r w:rsidR="00B343BD" w:rsidRPr="00F5514D">
        <w:rPr>
          <w:rFonts w:cs="Times New Roman"/>
          <w:lang w:val="en-GB"/>
        </w:rPr>
        <w:t xml:space="preserve"> </w:t>
      </w:r>
      <w:r w:rsidRPr="00F5514D">
        <w:rPr>
          <w:rFonts w:cs="Times New Roman"/>
          <w:lang w:val="en-GB"/>
        </w:rPr>
        <w:t>Chow Tai Fook operates an extensive retail network across Mainland China, Hong Kong, Macau, and other international markets. The company’s sales strategy includes both retail and wholesale channels, allowing it to reach a broad customer base</w:t>
      </w:r>
    </w:p>
    <w:p w14:paraId="6FE97815" w14:textId="77777777" w:rsidR="00170E4F" w:rsidRPr="00F5514D" w:rsidRDefault="00170E4F" w:rsidP="00170E4F">
      <w:pPr>
        <w:pStyle w:val="Heading2"/>
        <w:rPr>
          <w:rFonts w:cs="Times New Roman"/>
          <w:lang w:val="en-GB"/>
        </w:rPr>
      </w:pPr>
      <w:bookmarkStart w:id="3" w:name="_Toc175504242"/>
      <w:r w:rsidRPr="00F5514D">
        <w:rPr>
          <w:rFonts w:cs="Times New Roman"/>
          <w:lang w:val="en-GB"/>
        </w:rPr>
        <w:lastRenderedPageBreak/>
        <w:t>1.3 Today's Business Environment</w:t>
      </w:r>
      <w:bookmarkEnd w:id="3"/>
    </w:p>
    <w:p w14:paraId="16F422C9" w14:textId="79FF1030" w:rsidR="00170E4F" w:rsidRPr="00F5514D" w:rsidRDefault="00242AC4" w:rsidP="00136A8A">
      <w:pPr>
        <w:ind w:firstLine="720"/>
        <w:rPr>
          <w:rFonts w:cs="Times New Roman"/>
          <w:lang w:val="en-GB"/>
        </w:rPr>
      </w:pPr>
      <w:r w:rsidRPr="00242AC4">
        <w:rPr>
          <w:rFonts w:cs="Times New Roman"/>
        </w:rPr>
        <w:t>Chow Tai Fook navigates a dynamic business environment, influenced by macroeconomic and geopolitical factors. Despite uncertainties, the company remains optimistic due to strong domestic demand and a recovering tourism sector, particularly in Hong Kong and Macau</w:t>
      </w:r>
      <w:r w:rsidR="00714069">
        <w:rPr>
          <w:rFonts w:cs="Times New Roman"/>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242AC4">
        <w:rPr>
          <w:rFonts w:cs="Times New Roman"/>
        </w:rPr>
        <w:t>. The rising middle class and increased spending in Southeast Asia, along with supportive Chinese government policies, are expected to fuel long-term growth</w:t>
      </w:r>
      <w:r w:rsidR="00714069">
        <w:rPr>
          <w:rFonts w:cs="Times New Roman"/>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242AC4">
        <w:rPr>
          <w:rFonts w:cs="Times New Roman"/>
        </w:rPr>
        <w:t>. However, risks like fluctuating gold prices and evolving consumer preferences persist. To manage these, Chow Tai Fook prioritizes robust risk management, innovation, and strategic growth, focusing on sustainability and regulatory compliance to maintain competitiveness and achieve sustainable growth</w:t>
      </w:r>
      <w:r w:rsidR="00714069">
        <w:rPr>
          <w:rFonts w:cs="Times New Roman"/>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242AC4">
        <w:rPr>
          <w:rFonts w:cs="Times New Roman"/>
        </w:rPr>
        <w:t>.</w:t>
      </w:r>
    </w:p>
    <w:p w14:paraId="2862B5C2" w14:textId="6147D8D6" w:rsidR="0024632A" w:rsidRPr="00F5514D" w:rsidRDefault="00136A8A" w:rsidP="00136A8A">
      <w:pPr>
        <w:pStyle w:val="Heading2"/>
        <w:rPr>
          <w:rFonts w:cs="Times New Roman"/>
          <w:lang w:val="en-GB"/>
        </w:rPr>
      </w:pPr>
      <w:bookmarkStart w:id="4" w:name="_Toc175504243"/>
      <w:r w:rsidRPr="00F5514D">
        <w:rPr>
          <w:rFonts w:cs="Times New Roman"/>
          <w:lang w:val="en-GB"/>
        </w:rPr>
        <w:t>1.4 Company Structure</w:t>
      </w:r>
      <w:bookmarkEnd w:id="4"/>
    </w:p>
    <w:p w14:paraId="4DCCA06A" w14:textId="21CD75C2" w:rsidR="00136A8A" w:rsidRPr="00F5514D" w:rsidRDefault="00EF2C83" w:rsidP="00136A8A">
      <w:pPr>
        <w:ind w:firstLine="720"/>
        <w:rPr>
          <w:rFonts w:eastAsia="Arial" w:cs="Times New Roman"/>
          <w:bCs/>
          <w:szCs w:val="24"/>
          <w:lang w:val="en-GB"/>
        </w:rPr>
      </w:pPr>
      <w:r w:rsidRPr="00EF2C83">
        <w:rPr>
          <w:rFonts w:eastAsia="Arial" w:cs="Times New Roman"/>
          <w:bCs/>
          <w:szCs w:val="24"/>
        </w:rPr>
        <w:t xml:space="preserve">Chow Tai Fook </w:t>
      </w:r>
      <w:proofErr w:type="spellStart"/>
      <w:r w:rsidRPr="00EF2C83">
        <w:rPr>
          <w:rFonts w:eastAsia="Arial" w:cs="Times New Roman"/>
          <w:bCs/>
          <w:szCs w:val="24"/>
        </w:rPr>
        <w:t>Jewellery</w:t>
      </w:r>
      <w:proofErr w:type="spellEnd"/>
      <w:r w:rsidRPr="00EF2C83">
        <w:rPr>
          <w:rFonts w:eastAsia="Arial" w:cs="Times New Roman"/>
          <w:bCs/>
          <w:szCs w:val="24"/>
        </w:rPr>
        <w:t xml:space="preserve"> Group Limited operates with a strategic structure that enhances management efficiency and supports its diverse business activities across multiple regions and products. The Board of Directors oversees strategic direction, risk management, and governance, supported by various committees such as Nomination, Remuneration, Audit, Sustainability, and Strategy and Transformation</w:t>
      </w:r>
      <w:r w:rsidR="00714069">
        <w:rPr>
          <w:rFonts w:eastAsia="Arial" w:cs="Times New Roman"/>
          <w:bCs/>
          <w:szCs w:val="24"/>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EF2C83">
        <w:rPr>
          <w:rFonts w:eastAsia="Arial" w:cs="Times New Roman"/>
          <w:bCs/>
          <w:szCs w:val="24"/>
        </w:rPr>
        <w:t>. The Nomination Committee manages board nominations and performance evaluations, while the Remuneration Committee handles pay policies and advises on organizational structure and talent development</w:t>
      </w:r>
      <w:r w:rsidR="00714069">
        <w:rPr>
          <w:rFonts w:eastAsia="Arial" w:cs="Times New Roman"/>
          <w:bCs/>
          <w:szCs w:val="24"/>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EF2C83">
        <w:rPr>
          <w:rFonts w:eastAsia="Arial" w:cs="Times New Roman"/>
          <w:bCs/>
          <w:szCs w:val="24"/>
        </w:rPr>
        <w:t>. The Audit Committee ensures the integrity of financial reporting and risk management</w:t>
      </w:r>
      <w:r w:rsidR="00714069">
        <w:rPr>
          <w:rFonts w:eastAsia="Arial" w:cs="Times New Roman"/>
          <w:bCs/>
          <w:szCs w:val="24"/>
        </w:rPr>
        <w:t xml:space="preserve"> </w:t>
      </w:r>
      <w:r w:rsidR="00714069">
        <w:rPr>
          <w:rFonts w:cs="Times New Roman"/>
          <w:lang w:val="en-GB"/>
        </w:rPr>
        <w:t>(</w:t>
      </w:r>
      <w:r w:rsidR="00714069" w:rsidRPr="00F5514D">
        <w:rPr>
          <w:rFonts w:cs="Times New Roman"/>
          <w:lang w:val="en-GB"/>
        </w:rPr>
        <w:t>Chow Tai Fook</w:t>
      </w:r>
      <w:r w:rsidR="00714069">
        <w:rPr>
          <w:rFonts w:cs="Times New Roman"/>
          <w:lang w:val="en-GB"/>
        </w:rPr>
        <w:t>, 2024)</w:t>
      </w:r>
      <w:r w:rsidRPr="00EF2C83">
        <w:rPr>
          <w:rFonts w:eastAsia="Arial" w:cs="Times New Roman"/>
          <w:bCs/>
          <w:szCs w:val="24"/>
        </w:rPr>
        <w:t xml:space="preserve">. The company also runs numerous subsidiaries and joint ventures in Mainland China, Hong Kong, Macau, and internationally, focusing on manufacturing, sales, and distribution of </w:t>
      </w:r>
      <w:proofErr w:type="spellStart"/>
      <w:r w:rsidRPr="00EF2C83">
        <w:rPr>
          <w:rFonts w:eastAsia="Arial" w:cs="Times New Roman"/>
          <w:bCs/>
          <w:szCs w:val="24"/>
        </w:rPr>
        <w:t>jewellery</w:t>
      </w:r>
      <w:proofErr w:type="spellEnd"/>
      <w:r w:rsidRPr="00EF2C83">
        <w:rPr>
          <w:rFonts w:eastAsia="Arial" w:cs="Times New Roman"/>
          <w:bCs/>
          <w:szCs w:val="24"/>
        </w:rPr>
        <w:t xml:space="preserve"> and related products, with subsidiaries like Shenzhen CTF Watch Company and Shenzhen Qianhai Chow Tai Fook </w:t>
      </w:r>
      <w:proofErr w:type="spellStart"/>
      <w:r w:rsidRPr="00EF2C83">
        <w:rPr>
          <w:rFonts w:eastAsia="Arial" w:cs="Times New Roman"/>
          <w:bCs/>
          <w:szCs w:val="24"/>
        </w:rPr>
        <w:t>Jewellery</w:t>
      </w:r>
      <w:proofErr w:type="spellEnd"/>
      <w:r w:rsidRPr="00EF2C83">
        <w:rPr>
          <w:rFonts w:eastAsia="Arial" w:cs="Times New Roman"/>
          <w:bCs/>
          <w:szCs w:val="24"/>
        </w:rPr>
        <w:t xml:space="preserve"> handling specific segments.</w:t>
      </w:r>
    </w:p>
    <w:p w14:paraId="68EB3591" w14:textId="047A6D54" w:rsidR="0024632A" w:rsidRPr="00F5514D" w:rsidRDefault="00EF7BC0" w:rsidP="00EF7BC0">
      <w:pPr>
        <w:pStyle w:val="Heading2"/>
        <w:rPr>
          <w:rFonts w:cs="Times New Roman"/>
          <w:lang w:val="en-GB"/>
        </w:rPr>
      </w:pPr>
      <w:bookmarkStart w:id="5" w:name="_Toc175504244"/>
      <w:r w:rsidRPr="00F5514D">
        <w:rPr>
          <w:rFonts w:cs="Times New Roman"/>
          <w:lang w:val="en-GB"/>
        </w:rPr>
        <w:t>1.5 Research Comparison Company Information</w:t>
      </w:r>
      <w:bookmarkEnd w:id="5"/>
    </w:p>
    <w:p w14:paraId="64E5F62C" w14:textId="1412BF4A" w:rsidR="00B47903" w:rsidRPr="00F5514D" w:rsidRDefault="00EF2C83" w:rsidP="00B47903">
      <w:pPr>
        <w:ind w:firstLine="720"/>
        <w:rPr>
          <w:rFonts w:cs="Times New Roman"/>
          <w:lang w:val="en-GB"/>
        </w:rPr>
      </w:pPr>
      <w:r w:rsidRPr="00EF2C83">
        <w:rPr>
          <w:rFonts w:cs="Times New Roman"/>
        </w:rPr>
        <w:t xml:space="preserve">Chow Tai Fook, Luk Fook, and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xml:space="preserve"> are prominent Asian jewelry firms, each with distinct market strategies and operational scales. Chow Tai Fook leads with 7,548 sales points globally, showcasing its vast network and market dominance (Chow Tai Fook, 2024). Luk Fook maintains a strong presence with 2,100 outlets (Luk Fook, </w:t>
      </w:r>
      <w:r w:rsidR="00714069">
        <w:rPr>
          <w:rFonts w:cs="Times New Roman"/>
        </w:rPr>
        <w:t>2024</w:t>
      </w:r>
      <w:r w:rsidRPr="00EF2C83">
        <w:rPr>
          <w:rFonts w:cs="Times New Roman"/>
        </w:rPr>
        <w:t xml:space="preserve">), while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xml:space="preserve"> focuses on craftsmanship and innovation across 500 outlets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xml:space="preserve">, 2024). Employment figures show Chow Tai Fook employing 30,000 people, Luk Fook 9,000, and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xml:space="preserve"> 1,800, reflecting their varying market influence (Chow Tai Fook, </w:t>
      </w:r>
      <w:proofErr w:type="spellStart"/>
      <w:r w:rsidR="00714069">
        <w:rPr>
          <w:rFonts w:cs="Times New Roman"/>
        </w:rPr>
        <w:t>nd</w:t>
      </w:r>
      <w:proofErr w:type="spellEnd"/>
      <w:r w:rsidRPr="00EF2C83">
        <w:rPr>
          <w:rFonts w:cs="Times New Roman"/>
        </w:rPr>
        <w:t xml:space="preserve">; Luk Fook, </w:t>
      </w:r>
      <w:proofErr w:type="spellStart"/>
      <w:r w:rsidR="00714069">
        <w:rPr>
          <w:rFonts w:cs="Times New Roman"/>
        </w:rPr>
        <w:t>nd</w:t>
      </w:r>
      <w:proofErr w:type="spellEnd"/>
      <w:r w:rsidRPr="00EF2C83">
        <w:rPr>
          <w:rFonts w:cs="Times New Roman"/>
        </w:rPr>
        <w:t xml:space="preserve">;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xml:space="preserve">, </w:t>
      </w:r>
      <w:proofErr w:type="spellStart"/>
      <w:r w:rsidR="00714069">
        <w:rPr>
          <w:rFonts w:cs="Times New Roman"/>
        </w:rPr>
        <w:t>nd</w:t>
      </w:r>
      <w:proofErr w:type="spellEnd"/>
      <w:r w:rsidRPr="00EF2C83">
        <w:rPr>
          <w:rFonts w:cs="Times New Roman"/>
        </w:rPr>
        <w:t xml:space="preserve">). Financially, Chow Tai Fook leads with an annual revenue of HK$108,713 million </w:t>
      </w:r>
      <w:r w:rsidRPr="00EF2C83">
        <w:rPr>
          <w:rFonts w:cs="Times New Roman"/>
        </w:rPr>
        <w:lastRenderedPageBreak/>
        <w:t xml:space="preserve">for 2023-2024, significantly outpacing Luk Fook’s HK$15,325 million and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Luen’s</w:t>
      </w:r>
      <w:proofErr w:type="spellEnd"/>
      <w:r w:rsidRPr="00EF2C83">
        <w:rPr>
          <w:rFonts w:cs="Times New Roman"/>
        </w:rPr>
        <w:t xml:space="preserve"> HK$2,655 million (Chow Tai Fook, 2024; Luk Fook, 2024; </w:t>
      </w:r>
      <w:proofErr w:type="spellStart"/>
      <w:r w:rsidRPr="00EF2C83">
        <w:rPr>
          <w:rFonts w:cs="Times New Roman"/>
        </w:rPr>
        <w:t>Tse</w:t>
      </w:r>
      <w:proofErr w:type="spellEnd"/>
      <w:r w:rsidRPr="00EF2C83">
        <w:rPr>
          <w:rFonts w:cs="Times New Roman"/>
        </w:rPr>
        <w:t xml:space="preserve"> Sui </w:t>
      </w:r>
      <w:proofErr w:type="spellStart"/>
      <w:r w:rsidRPr="00EF2C83">
        <w:rPr>
          <w:rFonts w:cs="Times New Roman"/>
        </w:rPr>
        <w:t>Luen</w:t>
      </w:r>
      <w:proofErr w:type="spellEnd"/>
      <w:r w:rsidRPr="00EF2C83">
        <w:rPr>
          <w:rFonts w:cs="Times New Roman"/>
        </w:rPr>
        <w:t>, 2024). Each company’s core values support its unique business approach and customer engagement strategies.</w:t>
      </w:r>
      <w:r>
        <w:rPr>
          <w:rFonts w:cs="Times New Roman"/>
        </w:rPr>
        <w:t xml:space="preserve"> </w:t>
      </w:r>
      <w:r w:rsidR="00F04B12" w:rsidRPr="00F5514D">
        <w:rPr>
          <w:rFonts w:cs="Times New Roman"/>
          <w:lang w:val="en-GB"/>
        </w:rPr>
        <w:t>Overall, comparative analysis is provided in Table 1 below.</w:t>
      </w:r>
    </w:p>
    <w:p w14:paraId="6D1CC116" w14:textId="54C8B9CB" w:rsidR="00B47903" w:rsidRPr="00F5514D" w:rsidRDefault="00B47903" w:rsidP="00B47903">
      <w:pPr>
        <w:rPr>
          <w:rFonts w:cs="Times New Roman"/>
          <w:lang w:val="en-GB"/>
        </w:rPr>
      </w:pPr>
      <w:r w:rsidRPr="00F5514D">
        <w:rPr>
          <w:rFonts w:cs="Times New Roman"/>
          <w:b/>
          <w:bCs/>
          <w:lang w:val="en-GB"/>
        </w:rPr>
        <w:t xml:space="preserve">Table 1. </w:t>
      </w:r>
      <w:r w:rsidRPr="00F5514D">
        <w:rPr>
          <w:rFonts w:cs="Times New Roman"/>
          <w:lang w:val="en-GB"/>
        </w:rPr>
        <w:t>Comparative analysis of companies</w:t>
      </w:r>
    </w:p>
    <w:p w14:paraId="49A033B0" w14:textId="11CAE24E" w:rsidR="00EF2C83" w:rsidRDefault="00621F5D" w:rsidP="00EF2C83">
      <w:pPr>
        <w:rPr>
          <w:rFonts w:cs="Times New Roman"/>
          <w:lang w:val="en-GB"/>
        </w:rPr>
      </w:pPr>
      <w:r w:rsidRPr="00F5514D">
        <w:rPr>
          <w:noProof/>
          <w:lang w:val="en-GB"/>
        </w:rPr>
        <w:drawing>
          <wp:inline distT="0" distB="0" distL="0" distR="0" wp14:anchorId="2F588A07" wp14:editId="50DCB9A5">
            <wp:extent cx="5731510" cy="21431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69D7006A" w14:textId="77777777" w:rsidR="00EF2C83" w:rsidRDefault="00EF2C83">
      <w:pPr>
        <w:spacing w:after="200" w:line="276" w:lineRule="auto"/>
        <w:jc w:val="left"/>
        <w:rPr>
          <w:rFonts w:eastAsiaTheme="majorEastAsia" w:cs="Times New Roman"/>
          <w:b/>
          <w:szCs w:val="32"/>
          <w:lang w:val="en-GB"/>
        </w:rPr>
      </w:pPr>
      <w:r>
        <w:rPr>
          <w:rFonts w:cs="Times New Roman"/>
          <w:lang w:val="en-GB"/>
        </w:rPr>
        <w:br w:type="page"/>
      </w:r>
    </w:p>
    <w:p w14:paraId="20522F96" w14:textId="21EBB04B" w:rsidR="00B47903" w:rsidRDefault="00527CDB" w:rsidP="00B47903">
      <w:pPr>
        <w:pStyle w:val="Heading1"/>
        <w:rPr>
          <w:rFonts w:cs="Times New Roman"/>
          <w:lang w:val="en-GB"/>
        </w:rPr>
      </w:pPr>
      <w:bookmarkStart w:id="6" w:name="_Toc175504245"/>
      <w:r w:rsidRPr="00F5514D">
        <w:rPr>
          <w:rFonts w:cs="Times New Roman"/>
          <w:lang w:val="en-GB"/>
        </w:rPr>
        <w:lastRenderedPageBreak/>
        <w:t>2</w:t>
      </w:r>
      <w:r w:rsidR="00B47903" w:rsidRPr="00F5514D">
        <w:rPr>
          <w:rFonts w:cs="Times New Roman"/>
          <w:lang w:val="en-GB"/>
        </w:rPr>
        <w:t xml:space="preserve">. </w:t>
      </w:r>
      <w:r w:rsidRPr="00F5514D">
        <w:rPr>
          <w:rFonts w:cs="Times New Roman"/>
          <w:lang w:val="en-GB"/>
        </w:rPr>
        <w:t>Financial Analysis</w:t>
      </w:r>
      <w:bookmarkEnd w:id="6"/>
    </w:p>
    <w:p w14:paraId="2B8C2E4C" w14:textId="3CE87009" w:rsidR="008A2711" w:rsidRPr="008A2711" w:rsidRDefault="008A2711" w:rsidP="008A2711">
      <w:pPr>
        <w:ind w:firstLine="720"/>
        <w:rPr>
          <w:lang w:val="en-GB"/>
        </w:rPr>
      </w:pPr>
      <w:r>
        <w:rPr>
          <w:lang w:val="en-GB"/>
        </w:rPr>
        <w:t>This section focuses on analysis of financial performance of Chow Tai Fook in comparison with its two competitors. The financial information for the companies was extracted from Yahoo Finance (2024a, 2024b, 2024c), which are provided in Appendix A.</w:t>
      </w:r>
    </w:p>
    <w:p w14:paraId="1AC71525" w14:textId="564A8DFB" w:rsidR="00527CDB" w:rsidRPr="00F5514D" w:rsidRDefault="00527CDB" w:rsidP="00527CDB">
      <w:pPr>
        <w:pStyle w:val="Heading2"/>
        <w:rPr>
          <w:rFonts w:cs="Times New Roman"/>
          <w:lang w:val="en-GB"/>
        </w:rPr>
      </w:pPr>
      <w:bookmarkStart w:id="7" w:name="_Toc175504246"/>
      <w:r w:rsidRPr="00F5514D">
        <w:rPr>
          <w:rFonts w:cs="Times New Roman"/>
          <w:lang w:val="en-GB"/>
        </w:rPr>
        <w:t>2.1 Bankruptcy Z-Score Calculations</w:t>
      </w:r>
      <w:bookmarkEnd w:id="7"/>
    </w:p>
    <w:p w14:paraId="638F5B78" w14:textId="241CC894" w:rsidR="00045258" w:rsidRPr="00F5514D" w:rsidRDefault="00527CDB" w:rsidP="00045258">
      <w:pPr>
        <w:ind w:firstLine="720"/>
        <w:rPr>
          <w:rFonts w:cs="Times New Roman"/>
          <w:lang w:val="en-GB"/>
        </w:rPr>
      </w:pPr>
      <w:r w:rsidRPr="00F5514D">
        <w:rPr>
          <w:rFonts w:cs="Times New Roman"/>
          <w:lang w:val="en-GB"/>
        </w:rPr>
        <w:t xml:space="preserve">First, the financial analysis of Chow Tai Fook focuses on the analysis bankruptcy Z-score calculation and its comparison to the key competitors. </w:t>
      </w:r>
      <w:r w:rsidR="00045258" w:rsidRPr="00F5514D">
        <w:rPr>
          <w:rFonts w:cs="Times New Roman"/>
          <w:lang w:val="en-GB"/>
        </w:rPr>
        <w:t>The Bankruptcy Index Z-Score is a financial metric developed by Edward I. Altman to predict the likelihood of a company entering bankruptcy within the next two years by combining five financial ratios related to liquidity, profitability, leverage, solvency, and activity (Altman, 1968). A Z-Score greater than 2.99 indicates financial stability, while a score below 1.81 suggests a high probability of bankruptcy (Altman, 1968). The Z-score formula is provided below:</w:t>
      </w:r>
    </w:p>
    <w:p w14:paraId="38AE6C5B" w14:textId="569081D9" w:rsidR="00045258" w:rsidRPr="00F5514D" w:rsidRDefault="00045258" w:rsidP="00045258">
      <w:pPr>
        <w:rPr>
          <w:rFonts w:cs="Times New Roman"/>
          <w:lang w:val="en-GB"/>
        </w:rPr>
      </w:pPr>
      <m:oMathPara>
        <m:oMath>
          <m:r>
            <w:rPr>
              <w:rFonts w:ascii="Cambria Math" w:hAnsi="Cambria Math" w:cs="Times New Roman"/>
              <w:lang w:val="en-GB"/>
            </w:rPr>
            <m:t>Z=1.2A+1.4B+3.3C+0.6D+0.999E</m:t>
          </m:r>
        </m:oMath>
      </m:oMathPara>
    </w:p>
    <w:p w14:paraId="11598350" w14:textId="6FF6A890" w:rsidR="00045258" w:rsidRPr="00F5514D" w:rsidRDefault="00045258" w:rsidP="00045258">
      <w:pPr>
        <w:ind w:firstLine="720"/>
        <w:rPr>
          <w:rFonts w:cs="Times New Roman"/>
          <w:lang w:val="en-GB"/>
        </w:rPr>
      </w:pPr>
      <w:r w:rsidRPr="00F5514D">
        <w:rPr>
          <w:rFonts w:cs="Times New Roman"/>
          <w:lang w:val="en-GB"/>
        </w:rPr>
        <w:t>The financial data used to calculate the Z-score is provided in Table 2 below</w:t>
      </w:r>
    </w:p>
    <w:p w14:paraId="087E3900" w14:textId="342CED22" w:rsidR="00045258" w:rsidRPr="00F5514D" w:rsidRDefault="00045258" w:rsidP="00045258">
      <w:pPr>
        <w:rPr>
          <w:rFonts w:cs="Times New Roman"/>
          <w:lang w:val="en-GB"/>
        </w:rPr>
      </w:pPr>
      <w:r w:rsidRPr="00F5514D">
        <w:rPr>
          <w:rFonts w:cs="Times New Roman"/>
          <w:b/>
          <w:bCs/>
          <w:lang w:val="en-GB"/>
        </w:rPr>
        <w:t xml:space="preserve">Table 2. </w:t>
      </w:r>
      <w:r w:rsidRPr="00F5514D">
        <w:rPr>
          <w:rFonts w:cs="Times New Roman"/>
          <w:lang w:val="en-GB"/>
        </w:rPr>
        <w:t>Financials for Z-score of Chow Tai Fook</w:t>
      </w:r>
    </w:p>
    <w:p w14:paraId="28598F97" w14:textId="4E465A49" w:rsidR="00045258" w:rsidRPr="00F5514D" w:rsidRDefault="00621F5D" w:rsidP="00045258">
      <w:pPr>
        <w:rPr>
          <w:rFonts w:cs="Times New Roman"/>
          <w:lang w:val="en-GB"/>
        </w:rPr>
      </w:pPr>
      <w:r w:rsidRPr="00F5514D">
        <w:rPr>
          <w:rFonts w:cs="Times New Roman"/>
          <w:noProof/>
          <w:lang w:val="en-GB"/>
        </w:rPr>
        <w:drawing>
          <wp:inline distT="0" distB="0" distL="0" distR="0" wp14:anchorId="7C0285CC" wp14:editId="7B996F57">
            <wp:extent cx="5301365" cy="1624817"/>
            <wp:effectExtent l="0" t="0" r="0" b="0"/>
            <wp:docPr id="6" name="Picture 6" descr="A table with numbers and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table with numbers and a number of peop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090" cy="1646493"/>
                    </a:xfrm>
                    <a:prstGeom prst="rect">
                      <a:avLst/>
                    </a:prstGeom>
                    <a:noFill/>
                  </pic:spPr>
                </pic:pic>
              </a:graphicData>
            </a:graphic>
          </wp:inline>
        </w:drawing>
      </w:r>
    </w:p>
    <w:p w14:paraId="19BDC599" w14:textId="7CD7D5EF" w:rsidR="00EF7BC0" w:rsidRPr="00F5514D" w:rsidRDefault="006712D3" w:rsidP="00527CDB">
      <w:pPr>
        <w:ind w:firstLine="720"/>
        <w:rPr>
          <w:rFonts w:cs="Times New Roman"/>
          <w:lang w:val="en-GB"/>
        </w:rPr>
      </w:pPr>
      <w:r w:rsidRPr="00F5514D">
        <w:rPr>
          <w:rFonts w:cs="Times New Roman"/>
          <w:lang w:val="en-GB"/>
        </w:rPr>
        <w:t>The Z-score calculations are provided in Table 3 below.</w:t>
      </w:r>
    </w:p>
    <w:p w14:paraId="45959971" w14:textId="7686F80C" w:rsidR="006712D3" w:rsidRPr="00F5514D" w:rsidRDefault="006712D3" w:rsidP="006712D3">
      <w:pPr>
        <w:rPr>
          <w:rFonts w:cs="Times New Roman"/>
          <w:lang w:val="en-GB"/>
        </w:rPr>
      </w:pPr>
      <w:r w:rsidRPr="00F5514D">
        <w:rPr>
          <w:rFonts w:cs="Times New Roman"/>
          <w:b/>
          <w:bCs/>
          <w:lang w:val="en-GB"/>
        </w:rPr>
        <w:t xml:space="preserve">Table 3. </w:t>
      </w:r>
      <w:r w:rsidRPr="00F5514D">
        <w:rPr>
          <w:rFonts w:cs="Times New Roman"/>
          <w:lang w:val="en-GB"/>
        </w:rPr>
        <w:t>Z-score calculations for Chow Tai Fook</w:t>
      </w:r>
    </w:p>
    <w:p w14:paraId="32E6DAE6" w14:textId="66947ACB" w:rsidR="00924022" w:rsidRPr="00F5514D" w:rsidRDefault="00924022" w:rsidP="006712D3">
      <w:pPr>
        <w:rPr>
          <w:rFonts w:cs="Times New Roman"/>
          <w:lang w:val="en-GB"/>
        </w:rPr>
      </w:pPr>
      <w:r w:rsidRPr="00F5514D">
        <w:rPr>
          <w:noProof/>
          <w:lang w:val="en-GB"/>
        </w:rPr>
        <w:drawing>
          <wp:inline distT="0" distB="0" distL="0" distR="0" wp14:anchorId="6DA4EAC1" wp14:editId="58C7B86D">
            <wp:extent cx="5186361" cy="2530549"/>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7132" cy="2535804"/>
                    </a:xfrm>
                    <a:prstGeom prst="rect">
                      <a:avLst/>
                    </a:prstGeom>
                    <a:noFill/>
                    <a:ln>
                      <a:noFill/>
                    </a:ln>
                  </pic:spPr>
                </pic:pic>
              </a:graphicData>
            </a:graphic>
          </wp:inline>
        </w:drawing>
      </w:r>
    </w:p>
    <w:p w14:paraId="50C48E1D" w14:textId="47EB1090" w:rsidR="006712D3" w:rsidRPr="00F5514D" w:rsidRDefault="00746B67" w:rsidP="00746B67">
      <w:pPr>
        <w:ind w:firstLine="720"/>
        <w:rPr>
          <w:rFonts w:cs="Times New Roman"/>
          <w:lang w:val="en-GB"/>
        </w:rPr>
      </w:pPr>
      <w:r w:rsidRPr="00F5514D">
        <w:rPr>
          <w:rFonts w:cs="Times New Roman"/>
          <w:lang w:val="en-GB"/>
        </w:rPr>
        <w:lastRenderedPageBreak/>
        <w:t>The calculations demonstrate a gradual decline in the bankruptcy Z-score of Chow Tai Fook, which may be concerning for the company’s shareholders. However, before arriving at any conclusions, it is crucial to compare the company’s performance to the competitors. The calculations of Z-scores are provided in Table 4 and 5 below.</w:t>
      </w:r>
    </w:p>
    <w:p w14:paraId="1FE73FF4" w14:textId="42C5983C" w:rsidR="00746B67" w:rsidRPr="00F5514D" w:rsidRDefault="00746B67" w:rsidP="00746B67">
      <w:pPr>
        <w:rPr>
          <w:rFonts w:cs="Times New Roman"/>
          <w:lang w:val="en-GB"/>
        </w:rPr>
      </w:pPr>
      <w:r w:rsidRPr="00F5514D">
        <w:rPr>
          <w:rFonts w:cs="Times New Roman"/>
          <w:b/>
          <w:bCs/>
          <w:lang w:val="en-GB"/>
        </w:rPr>
        <w:t xml:space="preserve">Table 4. </w:t>
      </w:r>
      <w:r w:rsidRPr="00F5514D">
        <w:rPr>
          <w:rFonts w:cs="Times New Roman"/>
          <w:lang w:val="en-GB"/>
        </w:rPr>
        <w:t>Calculations of Z-scores for Luk Fook.</w:t>
      </w:r>
    </w:p>
    <w:p w14:paraId="316E1ABA" w14:textId="451F06DF" w:rsidR="00746B67" w:rsidRPr="00F5514D" w:rsidRDefault="00924022" w:rsidP="00746B67">
      <w:pPr>
        <w:rPr>
          <w:rFonts w:cs="Times New Roman"/>
          <w:lang w:val="en-GB"/>
        </w:rPr>
      </w:pPr>
      <w:r w:rsidRPr="00F5514D">
        <w:rPr>
          <w:noProof/>
          <w:lang w:val="en-GB"/>
        </w:rPr>
        <w:drawing>
          <wp:inline distT="0" distB="0" distL="0" distR="0" wp14:anchorId="3A86111A" wp14:editId="2252CFBE">
            <wp:extent cx="5533682" cy="27502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1272" cy="2754060"/>
                    </a:xfrm>
                    <a:prstGeom prst="rect">
                      <a:avLst/>
                    </a:prstGeom>
                    <a:noFill/>
                    <a:ln>
                      <a:noFill/>
                    </a:ln>
                  </pic:spPr>
                </pic:pic>
              </a:graphicData>
            </a:graphic>
          </wp:inline>
        </w:drawing>
      </w:r>
    </w:p>
    <w:p w14:paraId="1E253E4E" w14:textId="12858C7E" w:rsidR="00746B67" w:rsidRPr="00F5514D" w:rsidRDefault="00746B67" w:rsidP="00746B67">
      <w:pPr>
        <w:spacing w:after="200" w:line="276" w:lineRule="auto"/>
        <w:jc w:val="left"/>
        <w:rPr>
          <w:rFonts w:cs="Times New Roman"/>
          <w:b/>
          <w:bCs/>
          <w:lang w:val="en-GB"/>
        </w:rPr>
      </w:pPr>
      <w:r w:rsidRPr="00F5514D">
        <w:rPr>
          <w:rFonts w:cs="Times New Roman"/>
          <w:b/>
          <w:bCs/>
          <w:lang w:val="en-GB"/>
        </w:rPr>
        <w:t xml:space="preserve">Table 5. </w:t>
      </w:r>
      <w:r w:rsidR="00814001" w:rsidRPr="00F5514D">
        <w:rPr>
          <w:rFonts w:cs="Times New Roman"/>
          <w:lang w:val="en-GB"/>
        </w:rPr>
        <w:t xml:space="preserve">Calculations of Z-scores for </w:t>
      </w:r>
      <w:proofErr w:type="spellStart"/>
      <w:r w:rsidR="00814001" w:rsidRPr="00F5514D">
        <w:rPr>
          <w:rFonts w:cs="Times New Roman"/>
          <w:lang w:val="en-GB"/>
        </w:rPr>
        <w:t>TseSui</w:t>
      </w:r>
      <w:proofErr w:type="spellEnd"/>
      <w:r w:rsidR="00814001" w:rsidRPr="00F5514D">
        <w:rPr>
          <w:rFonts w:cs="Times New Roman"/>
          <w:lang w:val="en-GB"/>
        </w:rPr>
        <w:t xml:space="preserve"> </w:t>
      </w:r>
      <w:proofErr w:type="spellStart"/>
      <w:r w:rsidR="00814001" w:rsidRPr="00F5514D">
        <w:rPr>
          <w:rFonts w:cs="Times New Roman"/>
          <w:lang w:val="en-GB"/>
        </w:rPr>
        <w:t>Luen</w:t>
      </w:r>
      <w:proofErr w:type="spellEnd"/>
    </w:p>
    <w:p w14:paraId="3F8237CA" w14:textId="4D0E0943" w:rsidR="00814001" w:rsidRPr="00F5514D" w:rsidRDefault="00924022" w:rsidP="00746B67">
      <w:pPr>
        <w:spacing w:after="200" w:line="276" w:lineRule="auto"/>
        <w:jc w:val="left"/>
        <w:rPr>
          <w:rFonts w:cs="Times New Roman"/>
          <w:lang w:val="en-GB"/>
        </w:rPr>
      </w:pPr>
      <w:r w:rsidRPr="00F5514D">
        <w:rPr>
          <w:noProof/>
          <w:lang w:val="en-GB"/>
        </w:rPr>
        <w:drawing>
          <wp:inline distT="0" distB="0" distL="0" distR="0" wp14:anchorId="230E244E" wp14:editId="6F315A4E">
            <wp:extent cx="5731510" cy="28276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inline>
        </w:drawing>
      </w:r>
    </w:p>
    <w:p w14:paraId="02E75DFB" w14:textId="77777777" w:rsidR="00814001" w:rsidRPr="00F5514D" w:rsidRDefault="00814001" w:rsidP="00814001">
      <w:pPr>
        <w:spacing w:after="200" w:line="276" w:lineRule="auto"/>
        <w:ind w:firstLine="720"/>
        <w:jc w:val="left"/>
        <w:rPr>
          <w:rFonts w:cs="Times New Roman"/>
          <w:lang w:val="en-GB"/>
        </w:rPr>
      </w:pPr>
      <w:r w:rsidRPr="00F5514D">
        <w:rPr>
          <w:rFonts w:cs="Times New Roman"/>
          <w:lang w:val="en-GB"/>
        </w:rPr>
        <w:t>The comparative analysis of the companies’ z-scores is visualised in Figure 1 below.</w:t>
      </w:r>
    </w:p>
    <w:p w14:paraId="3A7A1B8C" w14:textId="55F53A78" w:rsidR="00814001" w:rsidRPr="00F5514D" w:rsidRDefault="00DF156E" w:rsidP="00814001">
      <w:pPr>
        <w:keepNext/>
        <w:spacing w:after="200" w:line="276" w:lineRule="auto"/>
        <w:jc w:val="center"/>
        <w:rPr>
          <w:lang w:val="en-GB"/>
        </w:rPr>
      </w:pPr>
      <w:r w:rsidRPr="00F5514D">
        <w:rPr>
          <w:noProof/>
          <w:lang w:val="en-GB"/>
        </w:rPr>
        <w:lastRenderedPageBreak/>
        <w:drawing>
          <wp:inline distT="0" distB="0" distL="0" distR="0" wp14:anchorId="5C8E6980" wp14:editId="70F175FA">
            <wp:extent cx="5342977" cy="3216161"/>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0290" cy="3226583"/>
                    </a:xfrm>
                    <a:prstGeom prst="rect">
                      <a:avLst/>
                    </a:prstGeom>
                    <a:noFill/>
                  </pic:spPr>
                </pic:pic>
              </a:graphicData>
            </a:graphic>
          </wp:inline>
        </w:drawing>
      </w:r>
    </w:p>
    <w:p w14:paraId="7D4940E9" w14:textId="46C35FEF" w:rsidR="006712D3" w:rsidRPr="00F5514D" w:rsidRDefault="00814001" w:rsidP="00814001">
      <w:pPr>
        <w:pStyle w:val="Caption"/>
        <w:jc w:val="center"/>
        <w:rPr>
          <w:rFonts w:cs="Times New Roman"/>
          <w:lang w:val="en-GB"/>
        </w:rPr>
      </w:pPr>
      <w:r w:rsidRPr="00F5514D">
        <w:rPr>
          <w:lang w:val="en-GB"/>
        </w:rPr>
        <w:t xml:space="preserve">Figure </w:t>
      </w:r>
      <w:r w:rsidRPr="00F5514D">
        <w:rPr>
          <w:lang w:val="en-GB"/>
        </w:rPr>
        <w:fldChar w:fldCharType="begin"/>
      </w:r>
      <w:r w:rsidRPr="00F5514D">
        <w:rPr>
          <w:lang w:val="en-GB"/>
        </w:rPr>
        <w:instrText xml:space="preserve"> SEQ Figure \* ARABIC </w:instrText>
      </w:r>
      <w:r w:rsidRPr="00F5514D">
        <w:rPr>
          <w:lang w:val="en-GB"/>
        </w:rPr>
        <w:fldChar w:fldCharType="separate"/>
      </w:r>
      <w:r w:rsidRPr="00F5514D">
        <w:rPr>
          <w:noProof/>
          <w:lang w:val="en-GB"/>
        </w:rPr>
        <w:t>1</w:t>
      </w:r>
      <w:r w:rsidRPr="00F5514D">
        <w:rPr>
          <w:lang w:val="en-GB"/>
        </w:rPr>
        <w:fldChar w:fldCharType="end"/>
      </w:r>
      <w:r w:rsidRPr="00F5514D">
        <w:rPr>
          <w:lang w:val="en-GB"/>
        </w:rPr>
        <w:t xml:space="preserve">. </w:t>
      </w:r>
      <w:r w:rsidRPr="00F5514D">
        <w:rPr>
          <w:i w:val="0"/>
          <w:iCs w:val="0"/>
          <w:lang w:val="en-GB"/>
        </w:rPr>
        <w:t>Bankruptcy Z-score Analysis</w:t>
      </w:r>
    </w:p>
    <w:p w14:paraId="29AA068E" w14:textId="01B77B7E" w:rsidR="00814001" w:rsidRPr="00F5514D" w:rsidRDefault="00814001" w:rsidP="00814001">
      <w:pPr>
        <w:ind w:firstLine="720"/>
        <w:rPr>
          <w:rFonts w:cs="Times New Roman"/>
          <w:lang w:val="en-GB"/>
        </w:rPr>
      </w:pPr>
      <w:r w:rsidRPr="00F5514D">
        <w:rPr>
          <w:rFonts w:cs="Times New Roman"/>
          <w:lang w:val="en-GB"/>
        </w:rPr>
        <w:t>The comparative analysis demonstrates that Chow Tai Fook's financial performance, as indicated by its Z-Scores (5.1</w:t>
      </w:r>
      <w:r w:rsidR="00DF156E" w:rsidRPr="00F5514D">
        <w:rPr>
          <w:rFonts w:cs="Times New Roman"/>
          <w:lang w:val="en-GB"/>
        </w:rPr>
        <w:t>3</w:t>
      </w:r>
      <w:r w:rsidRPr="00F5514D">
        <w:rPr>
          <w:rFonts w:cs="Times New Roman"/>
          <w:lang w:val="en-GB"/>
        </w:rPr>
        <w:t xml:space="preserve"> in 2022, </w:t>
      </w:r>
      <w:r w:rsidR="00DF156E" w:rsidRPr="00F5514D">
        <w:rPr>
          <w:rFonts w:cs="Times New Roman"/>
          <w:lang w:val="en-GB"/>
        </w:rPr>
        <w:t>5.39</w:t>
      </w:r>
      <w:r w:rsidRPr="00F5514D">
        <w:rPr>
          <w:rFonts w:cs="Times New Roman"/>
          <w:lang w:val="en-GB"/>
        </w:rPr>
        <w:t xml:space="preserve"> in 2023, and </w:t>
      </w:r>
      <w:r w:rsidR="00DF156E" w:rsidRPr="00F5514D">
        <w:rPr>
          <w:rFonts w:cs="Times New Roman"/>
          <w:lang w:val="en-GB"/>
        </w:rPr>
        <w:t>4.53</w:t>
      </w:r>
      <w:r w:rsidRPr="00F5514D">
        <w:rPr>
          <w:rFonts w:cs="Times New Roman"/>
          <w:lang w:val="en-GB"/>
        </w:rPr>
        <w:t xml:space="preserve"> in 2024), shows strong financial stability with a slight downward trend, suggesting increasing financial risk over time. Comparatively, Luk Fook consistently outperformed Chow Tai Fook</w:t>
      </w:r>
      <w:r w:rsidR="00EF2C83">
        <w:rPr>
          <w:rFonts w:cs="Times New Roman"/>
          <w:lang w:val="en-GB"/>
        </w:rPr>
        <w:t xml:space="preserve">, while </w:t>
      </w:r>
      <w:r w:rsidRPr="00F5514D">
        <w:rPr>
          <w:rFonts w:cs="Times New Roman"/>
          <w:lang w:val="en-GB"/>
        </w:rPr>
        <w:t xml:space="preserve">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exhibited significantly lower Z-Scores</w:t>
      </w:r>
      <w:r w:rsidR="00EF2C83">
        <w:rPr>
          <w:rFonts w:cs="Times New Roman"/>
          <w:lang w:val="en-GB"/>
        </w:rPr>
        <w:t>.</w:t>
      </w:r>
    </w:p>
    <w:p w14:paraId="7D5BB350" w14:textId="5803E1F2" w:rsidR="00814001" w:rsidRPr="00F5514D" w:rsidRDefault="00814001" w:rsidP="00814001">
      <w:pPr>
        <w:pStyle w:val="Heading2"/>
        <w:rPr>
          <w:rFonts w:cs="Times New Roman"/>
          <w:lang w:val="en-GB"/>
        </w:rPr>
      </w:pPr>
      <w:bookmarkStart w:id="8" w:name="_Toc175504247"/>
      <w:r w:rsidRPr="00F5514D">
        <w:rPr>
          <w:rFonts w:cs="Times New Roman"/>
          <w:lang w:val="en-GB"/>
        </w:rPr>
        <w:t>2.2 Financial Structure</w:t>
      </w:r>
      <w:bookmarkEnd w:id="8"/>
    </w:p>
    <w:p w14:paraId="3A706725" w14:textId="729CEE10" w:rsidR="00814001" w:rsidRPr="00F5514D" w:rsidRDefault="00762DA9" w:rsidP="00762DA9">
      <w:pPr>
        <w:ind w:firstLine="720"/>
        <w:rPr>
          <w:rFonts w:cs="Times New Roman"/>
          <w:lang w:val="en-GB"/>
        </w:rPr>
      </w:pPr>
      <w:r w:rsidRPr="00F5514D">
        <w:rPr>
          <w:rFonts w:cs="Times New Roman"/>
          <w:lang w:val="en-GB"/>
        </w:rPr>
        <w:t xml:space="preserve">Analysis of financial structures of firms is crucial to determine if they are using adequate combinations of equity and debt to finance their operations. </w:t>
      </w:r>
      <w:r w:rsidR="00965016" w:rsidRPr="00F5514D">
        <w:rPr>
          <w:rFonts w:cs="Times New Roman"/>
          <w:lang w:val="en-GB"/>
        </w:rPr>
        <w:t xml:space="preserve">Financial structure is </w:t>
      </w:r>
      <w:r w:rsidR="00611FA3" w:rsidRPr="00F5514D">
        <w:rPr>
          <w:rFonts w:cs="Times New Roman"/>
          <w:lang w:val="en-GB"/>
        </w:rPr>
        <w:t>visualised in Table 6 below.</w:t>
      </w:r>
    </w:p>
    <w:p w14:paraId="0965CED5" w14:textId="5362441E" w:rsidR="00AB6F04" w:rsidRPr="00F5514D" w:rsidRDefault="00AB6F04" w:rsidP="00AB6F04">
      <w:pPr>
        <w:rPr>
          <w:rFonts w:cs="Times New Roman"/>
          <w:lang w:val="en-GB"/>
        </w:rPr>
      </w:pPr>
      <w:r w:rsidRPr="00F5514D">
        <w:rPr>
          <w:rFonts w:cs="Times New Roman"/>
          <w:b/>
          <w:bCs/>
          <w:lang w:val="en-GB"/>
        </w:rPr>
        <w:t xml:space="preserve">Table 6. </w:t>
      </w:r>
      <w:r w:rsidRPr="00F5514D">
        <w:rPr>
          <w:rFonts w:cs="Times New Roman"/>
          <w:lang w:val="en-GB"/>
        </w:rPr>
        <w:t>Financial structure ratios</w:t>
      </w:r>
    </w:p>
    <w:p w14:paraId="7BDC0E62" w14:textId="473B01C6" w:rsidR="00924022" w:rsidRPr="00F5514D" w:rsidRDefault="00924022" w:rsidP="00924022">
      <w:pPr>
        <w:jc w:val="center"/>
        <w:rPr>
          <w:rFonts w:cs="Times New Roman"/>
          <w:lang w:val="en-GB"/>
        </w:rPr>
      </w:pPr>
      <w:r w:rsidRPr="00F5514D">
        <w:rPr>
          <w:noProof/>
          <w:lang w:val="en-GB"/>
        </w:rPr>
        <w:drawing>
          <wp:inline distT="0" distB="0" distL="0" distR="0" wp14:anchorId="36710566" wp14:editId="4D2BAC22">
            <wp:extent cx="5841124" cy="2287009"/>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8907" cy="2301802"/>
                    </a:xfrm>
                    <a:prstGeom prst="rect">
                      <a:avLst/>
                    </a:prstGeom>
                    <a:noFill/>
                    <a:ln>
                      <a:noFill/>
                    </a:ln>
                  </pic:spPr>
                </pic:pic>
              </a:graphicData>
            </a:graphic>
          </wp:inline>
        </w:drawing>
      </w:r>
    </w:p>
    <w:p w14:paraId="6BA6C372" w14:textId="5EBE19FB" w:rsidR="00AB6F04" w:rsidRPr="00F5514D" w:rsidRDefault="00AB6F04" w:rsidP="00AB6F04">
      <w:pPr>
        <w:ind w:firstLine="720"/>
        <w:rPr>
          <w:rFonts w:eastAsia="Times New Roman" w:cs="Times New Roman"/>
          <w:szCs w:val="24"/>
          <w:lang w:val="en-GB"/>
        </w:rPr>
      </w:pPr>
      <w:r w:rsidRPr="00F5514D">
        <w:rPr>
          <w:rFonts w:eastAsia="Times New Roman" w:cs="Times New Roman"/>
          <w:szCs w:val="24"/>
          <w:lang w:val="en-GB"/>
        </w:rPr>
        <w:lastRenderedPageBreak/>
        <w:t xml:space="preserve">Chow Tai Fook's financial structure reveals a balanced approach between fixed assets and long-term liabilities, with ratios decreasing from 2.71 in 2022 to 2.12 in 2024. This suggests moderate long-term debt management supported by fixed assets. However, the increasing current liabilities to stock ratio, rising from 1.48 in 2022 to 2.24 in 2024, indicates growing inventory pressure relative to short-term obligations, potentially </w:t>
      </w:r>
      <w:proofErr w:type="spellStart"/>
      <w:r w:rsidRPr="00F5514D">
        <w:rPr>
          <w:rFonts w:eastAsia="Times New Roman" w:cs="Times New Roman"/>
          <w:szCs w:val="24"/>
          <w:lang w:val="en-GB"/>
        </w:rPr>
        <w:t>signaling</w:t>
      </w:r>
      <w:proofErr w:type="spellEnd"/>
      <w:r w:rsidRPr="00F5514D">
        <w:rPr>
          <w:rFonts w:eastAsia="Times New Roman" w:cs="Times New Roman"/>
          <w:szCs w:val="24"/>
          <w:lang w:val="en-GB"/>
        </w:rPr>
        <w:t xml:space="preserve"> tightening liquidity. Comparatively, Luk Fook exhibits a much stronger position, with fixed assets to long-term liabilities ratios ranging from 13.80 in 2022 to 9.55 in 2024, reflecting substantial asset management and superior liquidity, as indicated by its lower current liabilities to stock ratio (Ross, Westerfield, </w:t>
      </w:r>
      <w:r w:rsidR="00F65C2F" w:rsidRPr="00F5514D">
        <w:rPr>
          <w:rFonts w:eastAsia="Times New Roman" w:cs="Times New Roman"/>
          <w:szCs w:val="24"/>
          <w:lang w:val="en-GB"/>
        </w:rPr>
        <w:t>and</w:t>
      </w:r>
      <w:r w:rsidRPr="00F5514D">
        <w:rPr>
          <w:rFonts w:eastAsia="Times New Roman" w:cs="Times New Roman"/>
          <w:szCs w:val="24"/>
          <w:lang w:val="en-GB"/>
        </w:rPr>
        <w:t xml:space="preserve"> Jordan, 2019; Brealey, Myers, </w:t>
      </w:r>
      <w:r w:rsidR="00F65C2F" w:rsidRPr="00F5514D">
        <w:rPr>
          <w:rFonts w:eastAsia="Times New Roman" w:cs="Times New Roman"/>
          <w:szCs w:val="24"/>
          <w:lang w:val="en-GB"/>
        </w:rPr>
        <w:t>and</w:t>
      </w:r>
      <w:r w:rsidRPr="00F5514D">
        <w:rPr>
          <w:rFonts w:eastAsia="Times New Roman" w:cs="Times New Roman"/>
          <w:szCs w:val="24"/>
          <w:lang w:val="en-GB"/>
        </w:rPr>
        <w:t xml:space="preserve"> Allen, 2020). In contrast, </w:t>
      </w:r>
      <w:proofErr w:type="spellStart"/>
      <w:r w:rsidRPr="00F5514D">
        <w:rPr>
          <w:rFonts w:eastAsia="Times New Roman" w:cs="Times New Roman"/>
          <w:szCs w:val="24"/>
          <w:lang w:val="en-GB"/>
        </w:rPr>
        <w:t>Tse</w:t>
      </w:r>
      <w:proofErr w:type="spellEnd"/>
      <w:r w:rsidRPr="00F5514D">
        <w:rPr>
          <w:rFonts w:eastAsia="Times New Roman" w:cs="Times New Roman"/>
          <w:szCs w:val="24"/>
          <w:lang w:val="en-GB"/>
        </w:rPr>
        <w:t xml:space="preserve"> Sui </w:t>
      </w:r>
      <w:proofErr w:type="spellStart"/>
      <w:r w:rsidRPr="00F5514D">
        <w:rPr>
          <w:rFonts w:eastAsia="Times New Roman" w:cs="Times New Roman"/>
          <w:szCs w:val="24"/>
          <w:lang w:val="en-GB"/>
        </w:rPr>
        <w:t>Luen’s</w:t>
      </w:r>
      <w:proofErr w:type="spellEnd"/>
      <w:r w:rsidRPr="00F5514D">
        <w:rPr>
          <w:rFonts w:eastAsia="Times New Roman" w:cs="Times New Roman"/>
          <w:szCs w:val="24"/>
          <w:lang w:val="en-GB"/>
        </w:rPr>
        <w:t xml:space="preserve"> sharp decline in the fixed assets to long-term liabilities ratio, from 4.22 in 2022 to 0.85 in 2024, alongside an </w:t>
      </w:r>
      <w:proofErr w:type="gramStart"/>
      <w:r w:rsidRPr="00F5514D">
        <w:rPr>
          <w:rFonts w:eastAsia="Times New Roman" w:cs="Times New Roman"/>
          <w:szCs w:val="24"/>
          <w:lang w:val="en-GB"/>
        </w:rPr>
        <w:t>increasing current liabilities</w:t>
      </w:r>
      <w:proofErr w:type="gramEnd"/>
      <w:r w:rsidRPr="00F5514D">
        <w:rPr>
          <w:rFonts w:eastAsia="Times New Roman" w:cs="Times New Roman"/>
          <w:szCs w:val="24"/>
          <w:lang w:val="en-GB"/>
        </w:rPr>
        <w:t xml:space="preserve"> to stock ratio, indicates financial instability. This could lead to challenges in securing financing and sustaining operations (Brigham </w:t>
      </w:r>
      <w:r w:rsidR="00F65C2F" w:rsidRPr="00F5514D">
        <w:rPr>
          <w:rFonts w:eastAsia="Times New Roman" w:cs="Times New Roman"/>
          <w:szCs w:val="24"/>
          <w:lang w:val="en-GB"/>
        </w:rPr>
        <w:t>and</w:t>
      </w:r>
      <w:r w:rsidRPr="00F5514D">
        <w:rPr>
          <w:rFonts w:eastAsia="Times New Roman" w:cs="Times New Roman"/>
          <w:szCs w:val="24"/>
          <w:lang w:val="en-GB"/>
        </w:rPr>
        <w:t xml:space="preserve"> Ehrhardt, 2021). These findings suggest that while Luk Fook is well-positioned, Chow Tai Fook and </w:t>
      </w:r>
      <w:proofErr w:type="spellStart"/>
      <w:r w:rsidRPr="00F5514D">
        <w:rPr>
          <w:rFonts w:eastAsia="Times New Roman" w:cs="Times New Roman"/>
          <w:szCs w:val="24"/>
          <w:lang w:val="en-GB"/>
        </w:rPr>
        <w:t>Tse</w:t>
      </w:r>
      <w:proofErr w:type="spellEnd"/>
      <w:r w:rsidRPr="00F5514D">
        <w:rPr>
          <w:rFonts w:eastAsia="Times New Roman" w:cs="Times New Roman"/>
          <w:szCs w:val="24"/>
          <w:lang w:val="en-GB"/>
        </w:rPr>
        <w:t xml:space="preserve"> Sui </w:t>
      </w:r>
      <w:proofErr w:type="spellStart"/>
      <w:r w:rsidRPr="00F5514D">
        <w:rPr>
          <w:rFonts w:eastAsia="Times New Roman" w:cs="Times New Roman"/>
          <w:szCs w:val="24"/>
          <w:lang w:val="en-GB"/>
        </w:rPr>
        <w:t>Luen</w:t>
      </w:r>
      <w:proofErr w:type="spellEnd"/>
      <w:r w:rsidRPr="00F5514D">
        <w:rPr>
          <w:rFonts w:eastAsia="Times New Roman" w:cs="Times New Roman"/>
          <w:szCs w:val="24"/>
          <w:lang w:val="en-GB"/>
        </w:rPr>
        <w:t xml:space="preserve"> may need strategic adjustments to improve financial resilience and long-term viability.</w:t>
      </w:r>
    </w:p>
    <w:p w14:paraId="058D6FC5" w14:textId="76900525" w:rsidR="00DF156E" w:rsidRDefault="00DF156E" w:rsidP="00DF156E">
      <w:pPr>
        <w:pStyle w:val="Heading2"/>
        <w:rPr>
          <w:rFonts w:cs="Times New Roman"/>
          <w:lang w:val="en-GB"/>
        </w:rPr>
      </w:pPr>
      <w:bookmarkStart w:id="9" w:name="_Toc175504248"/>
      <w:r w:rsidRPr="00F5514D">
        <w:rPr>
          <w:rFonts w:cs="Times New Roman"/>
          <w:lang w:val="en-GB"/>
        </w:rPr>
        <w:t>2.3 Paying Debt Ability</w:t>
      </w:r>
      <w:bookmarkEnd w:id="9"/>
    </w:p>
    <w:p w14:paraId="159644AA" w14:textId="77777777" w:rsidR="00EF2C83" w:rsidRPr="00EF2C83" w:rsidRDefault="00EF2C83" w:rsidP="00EF2C83">
      <w:pPr>
        <w:ind w:firstLine="720"/>
      </w:pPr>
      <w:r w:rsidRPr="00EF2C83">
        <w:t xml:space="preserve">The financial stability of a company, crucial for attracting investment, hinges on its ability to manage both short-term and long-term debt. Brealey et al. (2020) emphasize that investors scrutinize these capabilities to gauge investment risk. This assessment focuses on Chow Tai Fook’s debt management compared to its competitors, using liquidity and solvency ratios. Over time, Chow Tai Fook's liquidity has declined, with the current ratio dropping from 157.42% in 2022 to 137.66% in 2024, and the cash ratio falling sharply from 30.11% to 13.38%, signaling weaker short-term financial health. The debt-to-equity ratio worsened from 1.58 to 2.41, indicating increased reliance on debt. Conversely, Luk Fook maintained robust liquidity, with a current ratio above 300% and a cash ratio of 55% in 2024, alongside a stable low debt-to-equity ratio of 0.31. </w:t>
      </w:r>
      <w:proofErr w:type="spellStart"/>
      <w:r w:rsidRPr="00EF2C83">
        <w:t>Tse</w:t>
      </w:r>
      <w:proofErr w:type="spellEnd"/>
      <w:r w:rsidRPr="00EF2C83">
        <w:t xml:space="preserve"> Sui </w:t>
      </w:r>
      <w:proofErr w:type="spellStart"/>
      <w:r w:rsidRPr="00EF2C83">
        <w:t>Luen</w:t>
      </w:r>
      <w:proofErr w:type="spellEnd"/>
      <w:r w:rsidRPr="00EF2C83">
        <w:t>, though more volatile, shows a concerning rise in debt-to-equity ratio from 1.58 in 2022 to 3.27 in 2024, reflecting greater financial risk.</w:t>
      </w:r>
    </w:p>
    <w:p w14:paraId="06B13CCC" w14:textId="771D02A7" w:rsidR="00EF2C83" w:rsidRPr="00EF2C83" w:rsidRDefault="00AB6F04" w:rsidP="00EF2C83">
      <w:pPr>
        <w:ind w:firstLine="720"/>
        <w:rPr>
          <w:rFonts w:eastAsia="Arial" w:cs="Times New Roman"/>
          <w:szCs w:val="24"/>
          <w:lang w:val="en-GB"/>
        </w:rPr>
      </w:pPr>
      <w:r w:rsidRPr="00F5514D">
        <w:rPr>
          <w:rFonts w:eastAsia="Arial"/>
          <w:lang w:val="en-GB"/>
        </w:rPr>
        <w:t xml:space="preserve">The declining liquidity ratios for Chow Tai Fook, combined with its increasing reliance on debt, suggest that the company may face growing financial strain, potentially impacting its ability to fund operations and invest in growth. In contrast, Luk Fook's stronger liquidity and lower debt levels indicate a more sustainable financial position, allowing it to better withstand economic fluctuations (Brigham </w:t>
      </w:r>
      <w:r w:rsidR="00F65C2F" w:rsidRPr="00F5514D">
        <w:rPr>
          <w:rFonts w:eastAsia="Arial"/>
          <w:lang w:val="en-GB"/>
        </w:rPr>
        <w:t>and</w:t>
      </w:r>
      <w:r w:rsidRPr="00F5514D">
        <w:rPr>
          <w:rFonts w:eastAsia="Arial"/>
          <w:lang w:val="en-GB"/>
        </w:rPr>
        <w:t xml:space="preserve"> Houston, 2019). </w:t>
      </w:r>
      <w:proofErr w:type="spellStart"/>
      <w:r w:rsidRPr="00F5514D">
        <w:rPr>
          <w:rFonts w:eastAsia="Arial"/>
          <w:lang w:val="en-GB"/>
        </w:rPr>
        <w:t>Tse</w:t>
      </w:r>
      <w:proofErr w:type="spellEnd"/>
      <w:r w:rsidRPr="00F5514D">
        <w:rPr>
          <w:rFonts w:eastAsia="Arial"/>
          <w:lang w:val="en-GB"/>
        </w:rPr>
        <w:t xml:space="preserve"> Sui </w:t>
      </w:r>
      <w:proofErr w:type="spellStart"/>
      <w:r w:rsidRPr="00F5514D">
        <w:rPr>
          <w:rFonts w:eastAsia="Arial"/>
          <w:lang w:val="en-GB"/>
        </w:rPr>
        <w:t>Luen's</w:t>
      </w:r>
      <w:proofErr w:type="spellEnd"/>
      <w:r w:rsidRPr="00F5514D">
        <w:rPr>
          <w:rFonts w:eastAsia="Arial"/>
          <w:lang w:val="en-GB"/>
        </w:rPr>
        <w:t xml:space="preserve"> higher volatility and increased leverage further heighten its financial risk, which could lead to difficulties in </w:t>
      </w:r>
      <w:r w:rsidRPr="00F5514D">
        <w:rPr>
          <w:rFonts w:eastAsia="Arial"/>
          <w:lang w:val="en-GB"/>
        </w:rPr>
        <w:lastRenderedPageBreak/>
        <w:t>maintaining operational stability if market conditions deteriorate (Higgins, 2022).</w:t>
      </w:r>
      <w:r w:rsidR="00EF2C83" w:rsidRPr="00EF2C83">
        <w:rPr>
          <w:rFonts w:eastAsia="Arial" w:cs="Times New Roman"/>
          <w:b/>
          <w:bCs/>
          <w:szCs w:val="24"/>
          <w:lang w:val="en-GB"/>
        </w:rPr>
        <w:t xml:space="preserve"> </w:t>
      </w:r>
      <w:r w:rsidR="00EF2C83">
        <w:rPr>
          <w:rFonts w:eastAsia="Arial" w:cs="Times New Roman"/>
          <w:b/>
          <w:bCs/>
          <w:szCs w:val="24"/>
          <w:lang w:val="en-GB"/>
        </w:rPr>
        <w:t xml:space="preserve"> </w:t>
      </w:r>
      <w:r w:rsidR="00EF2C83">
        <w:rPr>
          <w:rFonts w:eastAsia="Arial" w:cs="Times New Roman"/>
          <w:szCs w:val="24"/>
          <w:lang w:val="en-GB"/>
        </w:rPr>
        <w:t xml:space="preserve">Table 7 below summarises the companies’ ability to pay debt. </w:t>
      </w:r>
    </w:p>
    <w:p w14:paraId="1ECA9E92" w14:textId="76FDEE70" w:rsidR="00EF2C83" w:rsidRPr="00F5514D" w:rsidRDefault="00EF2C83" w:rsidP="00EF2C83">
      <w:pPr>
        <w:rPr>
          <w:rFonts w:eastAsia="Arial" w:cs="Times New Roman"/>
          <w:szCs w:val="24"/>
          <w:lang w:val="en-GB"/>
        </w:rPr>
      </w:pPr>
      <w:r w:rsidRPr="00F5514D">
        <w:rPr>
          <w:rFonts w:eastAsia="Arial" w:cs="Times New Roman"/>
          <w:b/>
          <w:bCs/>
          <w:szCs w:val="24"/>
          <w:lang w:val="en-GB"/>
        </w:rPr>
        <w:t xml:space="preserve">Table 7. </w:t>
      </w:r>
      <w:r w:rsidRPr="00F5514D">
        <w:rPr>
          <w:rFonts w:eastAsia="Arial" w:cs="Times New Roman"/>
          <w:szCs w:val="24"/>
          <w:lang w:val="en-GB"/>
        </w:rPr>
        <w:t>Ability to pay debt ratios</w:t>
      </w:r>
    </w:p>
    <w:p w14:paraId="5E32072D" w14:textId="77777777" w:rsidR="00EF2C83" w:rsidRPr="00F5514D" w:rsidRDefault="00EF2C83" w:rsidP="00EF2C83">
      <w:pPr>
        <w:jc w:val="center"/>
        <w:rPr>
          <w:rFonts w:eastAsia="Arial" w:cs="Times New Roman"/>
          <w:szCs w:val="24"/>
          <w:lang w:val="en-GB"/>
        </w:rPr>
      </w:pPr>
      <w:r w:rsidRPr="00F5514D">
        <w:rPr>
          <w:rFonts w:eastAsia="Arial" w:cs="Times New Roman"/>
          <w:noProof/>
          <w:szCs w:val="24"/>
          <w:lang w:val="en-GB"/>
        </w:rPr>
        <w:drawing>
          <wp:inline distT="0" distB="0" distL="0" distR="0" wp14:anchorId="79FD9A09" wp14:editId="509BFA6F">
            <wp:extent cx="5081718" cy="3764695"/>
            <wp:effectExtent l="0" t="0" r="508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2803" cy="3772907"/>
                    </a:xfrm>
                    <a:prstGeom prst="rect">
                      <a:avLst/>
                    </a:prstGeom>
                    <a:noFill/>
                  </pic:spPr>
                </pic:pic>
              </a:graphicData>
            </a:graphic>
          </wp:inline>
        </w:drawing>
      </w:r>
    </w:p>
    <w:p w14:paraId="35D28EA4" w14:textId="404A35C5" w:rsidR="00AB6F04" w:rsidRPr="00F5514D" w:rsidRDefault="00AB6F04" w:rsidP="00AB6F04">
      <w:pPr>
        <w:ind w:firstLine="720"/>
        <w:rPr>
          <w:rFonts w:eastAsia="Arial"/>
          <w:lang w:val="en-GB"/>
        </w:rPr>
      </w:pPr>
    </w:p>
    <w:p w14:paraId="0E5F033F" w14:textId="358E577B" w:rsidR="00937054" w:rsidRPr="00F5514D" w:rsidRDefault="00937054" w:rsidP="00937054">
      <w:pPr>
        <w:pStyle w:val="Heading2"/>
        <w:rPr>
          <w:rFonts w:cs="Times New Roman"/>
          <w:lang w:val="en-GB"/>
        </w:rPr>
      </w:pPr>
      <w:bookmarkStart w:id="10" w:name="_Toc175504249"/>
      <w:r w:rsidRPr="00F5514D">
        <w:rPr>
          <w:rFonts w:cs="Times New Roman"/>
          <w:lang w:val="en-GB"/>
        </w:rPr>
        <w:t>2.4 Operating Capacity</w:t>
      </w:r>
      <w:bookmarkEnd w:id="10"/>
      <w:r w:rsidRPr="00F5514D">
        <w:rPr>
          <w:rFonts w:cs="Times New Roman"/>
          <w:lang w:val="en-GB"/>
        </w:rPr>
        <w:t xml:space="preserve"> </w:t>
      </w:r>
    </w:p>
    <w:p w14:paraId="30BEDFED" w14:textId="68CF8586" w:rsidR="00937054" w:rsidRPr="00F5514D" w:rsidRDefault="00937054" w:rsidP="00937054">
      <w:pPr>
        <w:ind w:firstLine="720"/>
        <w:rPr>
          <w:lang w:val="en-GB"/>
        </w:rPr>
      </w:pPr>
      <w:r w:rsidRPr="00F5514D">
        <w:rPr>
          <w:lang w:val="en-GB"/>
        </w:rPr>
        <w:t xml:space="preserve">Operating capacity demonstrates how efficiently a company uses its assets to generate sales and income. Chow Tai Fook’s operating capacity was analysed using three ratios, including return on assets (ROA), return on equity (ROE), and asset turnover ratio, and comparing these ratios to the competitors. </w:t>
      </w:r>
      <w:r w:rsidR="00846E25" w:rsidRPr="00F5514D">
        <w:rPr>
          <w:lang w:val="en-GB"/>
        </w:rPr>
        <w:t>Table</w:t>
      </w:r>
      <w:r w:rsidR="00093674" w:rsidRPr="00F5514D">
        <w:rPr>
          <w:lang w:val="en-GB"/>
        </w:rPr>
        <w:t xml:space="preserve"> </w:t>
      </w:r>
      <w:r w:rsidR="00846E25" w:rsidRPr="00F5514D">
        <w:rPr>
          <w:lang w:val="en-GB"/>
        </w:rPr>
        <w:t>8 below</w:t>
      </w:r>
      <w:r w:rsidRPr="00F5514D">
        <w:rPr>
          <w:lang w:val="en-GB"/>
        </w:rPr>
        <w:t xml:space="preserve"> visualises the companies’ performance in term of efficiency ratios.</w:t>
      </w:r>
    </w:p>
    <w:p w14:paraId="7C4255B2" w14:textId="10F50698" w:rsidR="00924022" w:rsidRPr="00F5514D" w:rsidRDefault="00924022" w:rsidP="00924022">
      <w:pPr>
        <w:rPr>
          <w:lang w:val="en-GB"/>
        </w:rPr>
      </w:pPr>
      <w:r w:rsidRPr="00F5514D">
        <w:rPr>
          <w:b/>
          <w:bCs/>
          <w:lang w:val="en-GB"/>
        </w:rPr>
        <w:t xml:space="preserve">Table 8. </w:t>
      </w:r>
      <w:r w:rsidRPr="00F5514D">
        <w:rPr>
          <w:lang w:val="en-GB"/>
        </w:rPr>
        <w:t>Operating ratios</w:t>
      </w:r>
    </w:p>
    <w:p w14:paraId="444F0E5C" w14:textId="73C4F468" w:rsidR="00AB6F04" w:rsidRPr="00F5514D" w:rsidRDefault="00924022" w:rsidP="00EF2C83">
      <w:pPr>
        <w:jc w:val="center"/>
        <w:rPr>
          <w:rFonts w:eastAsia="Arial" w:cs="Times New Roman"/>
          <w:szCs w:val="24"/>
          <w:lang w:val="en-GB"/>
        </w:rPr>
      </w:pPr>
      <w:r w:rsidRPr="00F5514D">
        <w:rPr>
          <w:rFonts w:eastAsia="Arial" w:cs="Times New Roman"/>
          <w:noProof/>
          <w:szCs w:val="24"/>
          <w:lang w:val="en-GB"/>
        </w:rPr>
        <w:drawing>
          <wp:inline distT="0" distB="0" distL="0" distR="0" wp14:anchorId="46867570" wp14:editId="6167C7CA">
            <wp:extent cx="5051666" cy="1948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3009" cy="1964542"/>
                    </a:xfrm>
                    <a:prstGeom prst="rect">
                      <a:avLst/>
                    </a:prstGeom>
                    <a:noFill/>
                  </pic:spPr>
                </pic:pic>
              </a:graphicData>
            </a:graphic>
          </wp:inline>
        </w:drawing>
      </w:r>
    </w:p>
    <w:p w14:paraId="4FF7B7F3" w14:textId="1B1139DD" w:rsidR="00307E28" w:rsidRPr="00F5514D" w:rsidRDefault="00307E28" w:rsidP="00307E28">
      <w:pPr>
        <w:ind w:firstLine="720"/>
        <w:rPr>
          <w:rFonts w:cs="Times New Roman"/>
          <w:lang w:val="en-GB"/>
        </w:rPr>
      </w:pPr>
      <w:r w:rsidRPr="00F5514D">
        <w:rPr>
          <w:rFonts w:cs="Times New Roman"/>
          <w:lang w:val="en-GB"/>
        </w:rPr>
        <w:lastRenderedPageBreak/>
        <w:t>Chow Tai Fook's operating efficiency, as evidenced by its financial metrics, shows a stable yet moderate performance. The company's ROA remained steady at 0.10 across the years, indicating consistent but average asset utilization. ROE for Chow Tai Fook, however, significantly improved from 0.26 in 2022 to 0.35 in 2024, highlighting an increase in profitability relative to shareholders' equity, possibly due to better operational management or effective use of leverage (</w:t>
      </w:r>
      <w:proofErr w:type="spellStart"/>
      <w:r w:rsidR="00245BEF">
        <w:rPr>
          <w:rFonts w:cs="Times New Roman"/>
          <w:lang w:val="en-GB"/>
        </w:rPr>
        <w:t>Dallocchio</w:t>
      </w:r>
      <w:proofErr w:type="spellEnd"/>
      <w:r w:rsidR="00245BEF">
        <w:rPr>
          <w:rFonts w:cs="Times New Roman"/>
          <w:lang w:val="en-GB"/>
        </w:rPr>
        <w:t xml:space="preserve"> et al., 2017</w:t>
      </w:r>
      <w:r w:rsidRPr="00F5514D">
        <w:rPr>
          <w:rFonts w:cs="Times New Roman"/>
          <w:lang w:val="en-GB"/>
        </w:rPr>
        <w:t>). Additionally, Chow Tai Fook's asset turnover ratio increased slightly from 1.12 in 2022 to 1.22 in 2024, suggesting that the company is becoming more efficient in generating revenue from its assets.</w:t>
      </w:r>
    </w:p>
    <w:p w14:paraId="7ECB8909" w14:textId="3F0CDDC9" w:rsidR="00307E28" w:rsidRPr="00F5514D" w:rsidRDefault="00307E28" w:rsidP="00307E28">
      <w:pPr>
        <w:ind w:firstLine="720"/>
        <w:rPr>
          <w:rFonts w:cs="Times New Roman"/>
          <w:lang w:val="en-GB"/>
        </w:rPr>
      </w:pPr>
      <w:r w:rsidRPr="00F5514D">
        <w:rPr>
          <w:rFonts w:cs="Times New Roman"/>
          <w:lang w:val="en-GB"/>
        </w:rPr>
        <w:t xml:space="preserve">In comparison, Luk Fook demonstrates a slightly better asset management capability, with its ROA improving from 0.10 to 0.12 and its asset turnover ratio also rising from 0.72 to 0.91 over the same period. However, Luk Fook's ROE, which increased modestly to 0.16 in 2024, remains lower than Chow Tai Fook's, indicating that while Luk Fook is efficient in using its assets, it is less effective in maximizing shareholder returns. On the other hand,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Luen's</w:t>
      </w:r>
      <w:proofErr w:type="spellEnd"/>
      <w:r w:rsidRPr="00F5514D">
        <w:rPr>
          <w:rFonts w:cs="Times New Roman"/>
          <w:lang w:val="en-GB"/>
        </w:rPr>
        <w:t xml:space="preserve"> negative ROA and ROE in 2023 and 2024 reflect serious operational inefficiencies and potential financial distress. Despite an improved asset turnover ratio, these negative returns suggest that the company is struggling to generate profits from its operations.</w:t>
      </w:r>
    </w:p>
    <w:p w14:paraId="61551794" w14:textId="7DBBC428" w:rsidR="00307E28" w:rsidRPr="00F5514D" w:rsidRDefault="00307E28" w:rsidP="00307E28">
      <w:pPr>
        <w:ind w:firstLine="720"/>
        <w:rPr>
          <w:rFonts w:cs="Times New Roman"/>
          <w:lang w:val="en-GB"/>
        </w:rPr>
      </w:pPr>
      <w:r w:rsidRPr="00F5514D">
        <w:rPr>
          <w:rFonts w:cs="Times New Roman"/>
          <w:lang w:val="en-GB"/>
        </w:rPr>
        <w:t xml:space="preserve">For Chow Tai Fook, the consistent ROA and the notable improvement in ROE suggest solid operational performance and effective financial management, positioning it ahead of Luk Fook in terms of shareholder returns. However,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Luen’s</w:t>
      </w:r>
      <w:proofErr w:type="spellEnd"/>
      <w:r w:rsidRPr="00F5514D">
        <w:rPr>
          <w:rFonts w:cs="Times New Roman"/>
          <w:lang w:val="en-GB"/>
        </w:rPr>
        <w:t xml:space="preserve"> declining metrics underscore the importance of sustaining operational efficiency to remain competitive in the market (Brigham </w:t>
      </w:r>
      <w:r w:rsidR="00F65C2F" w:rsidRPr="00F5514D">
        <w:rPr>
          <w:rFonts w:cs="Times New Roman"/>
          <w:lang w:val="en-GB"/>
        </w:rPr>
        <w:t>and</w:t>
      </w:r>
      <w:r w:rsidRPr="00F5514D">
        <w:rPr>
          <w:rFonts w:cs="Times New Roman"/>
          <w:lang w:val="en-GB"/>
        </w:rPr>
        <w:t xml:space="preserve"> Ehrhardt, 2021).</w:t>
      </w:r>
    </w:p>
    <w:p w14:paraId="0C04D63D" w14:textId="6363D793" w:rsidR="00426175" w:rsidRPr="00F5514D" w:rsidRDefault="00426175" w:rsidP="00426175">
      <w:pPr>
        <w:pStyle w:val="Heading2"/>
        <w:rPr>
          <w:rFonts w:cs="Times New Roman"/>
          <w:lang w:val="en-GB"/>
        </w:rPr>
      </w:pPr>
      <w:bookmarkStart w:id="11" w:name="_Toc175504250"/>
      <w:r w:rsidRPr="00F5514D">
        <w:rPr>
          <w:rFonts w:cs="Times New Roman"/>
          <w:lang w:val="en-GB"/>
        </w:rPr>
        <w:t>2.5 Profitability</w:t>
      </w:r>
      <w:bookmarkEnd w:id="11"/>
    </w:p>
    <w:p w14:paraId="55AE7AE1" w14:textId="0AAE8E59" w:rsidR="00AB6F04" w:rsidRPr="00F5514D" w:rsidRDefault="007E7028" w:rsidP="00AB6F04">
      <w:pPr>
        <w:ind w:firstLine="720"/>
        <w:rPr>
          <w:rFonts w:cs="Times New Roman"/>
          <w:lang w:val="en-GB"/>
        </w:rPr>
      </w:pPr>
      <w:r w:rsidRPr="00F5514D">
        <w:rPr>
          <w:rFonts w:cs="Times New Roman"/>
          <w:lang w:val="en-GB"/>
        </w:rPr>
        <w:t>Profitability is often considered one of the most important financial metrics, that is often measured using gross profit margin, operating profit margin, and net profit margin. These ratios of the three companies are provided in Table 9 below.</w:t>
      </w:r>
    </w:p>
    <w:p w14:paraId="6597A6B4" w14:textId="491384CB" w:rsidR="008D796E" w:rsidRPr="00F5514D" w:rsidRDefault="008D796E" w:rsidP="008D796E">
      <w:pPr>
        <w:rPr>
          <w:rFonts w:cs="Times New Roman"/>
          <w:lang w:val="en-GB"/>
        </w:rPr>
      </w:pPr>
      <w:r w:rsidRPr="00F5514D">
        <w:rPr>
          <w:rFonts w:cs="Times New Roman"/>
          <w:b/>
          <w:bCs/>
          <w:lang w:val="en-GB"/>
        </w:rPr>
        <w:t xml:space="preserve">Table 9. </w:t>
      </w:r>
      <w:r w:rsidRPr="00F5514D">
        <w:rPr>
          <w:rFonts w:cs="Times New Roman"/>
          <w:lang w:val="en-GB"/>
        </w:rPr>
        <w:t>Profitability ratios</w:t>
      </w:r>
    </w:p>
    <w:p w14:paraId="53EA888D" w14:textId="0CDA3013" w:rsidR="007E7028" w:rsidRPr="00F5514D" w:rsidRDefault="008D796E" w:rsidP="00761673">
      <w:pPr>
        <w:jc w:val="center"/>
        <w:rPr>
          <w:rFonts w:cs="Times New Roman"/>
          <w:lang w:val="en-GB"/>
        </w:rPr>
      </w:pPr>
      <w:r w:rsidRPr="00F5514D">
        <w:rPr>
          <w:rFonts w:cs="Times New Roman"/>
          <w:noProof/>
          <w:lang w:val="en-GB"/>
        </w:rPr>
        <w:drawing>
          <wp:inline distT="0" distB="0" distL="0" distR="0" wp14:anchorId="5C41A573" wp14:editId="2AAAE0A9">
            <wp:extent cx="4604034" cy="1999466"/>
            <wp:effectExtent l="0" t="0" r="635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2514" cy="2020520"/>
                    </a:xfrm>
                    <a:prstGeom prst="rect">
                      <a:avLst/>
                    </a:prstGeom>
                    <a:noFill/>
                  </pic:spPr>
                </pic:pic>
              </a:graphicData>
            </a:graphic>
          </wp:inline>
        </w:drawing>
      </w:r>
    </w:p>
    <w:p w14:paraId="494870D4" w14:textId="77777777" w:rsidR="008D796E" w:rsidRPr="00F5514D" w:rsidRDefault="008D796E" w:rsidP="008D796E">
      <w:pPr>
        <w:ind w:firstLine="720"/>
        <w:rPr>
          <w:rFonts w:cs="Times New Roman"/>
          <w:lang w:val="en-GB"/>
        </w:rPr>
      </w:pPr>
      <w:r w:rsidRPr="00F5514D">
        <w:rPr>
          <w:rFonts w:cs="Times New Roman"/>
          <w:lang w:val="en-GB"/>
        </w:rPr>
        <w:lastRenderedPageBreak/>
        <w:t>Chow Tai Fook's profitability metrics show a moderate decline over the years. The Gross Profit Margin fell from 22.76% in 2022 to 20.50% in 2024, indicating pressure on the company’s ability to generate profit from sales. Similarly, the Operating Profit Margin slightly decreased from 8.73% to 8.34%, reflecting stable but strained operational efficiency. The Net Profit Margin also dropped from 6.82% to 5.98%, suggesting that overall profitability is impacted by rising costs or slower revenue growth.</w:t>
      </w:r>
    </w:p>
    <w:p w14:paraId="2C3C3231" w14:textId="22338533" w:rsidR="008D796E" w:rsidRPr="00F5514D" w:rsidRDefault="008D796E" w:rsidP="008D796E">
      <w:pPr>
        <w:ind w:firstLine="720"/>
        <w:rPr>
          <w:rFonts w:cs="Times New Roman"/>
          <w:lang w:val="en-GB"/>
        </w:rPr>
      </w:pPr>
      <w:r w:rsidRPr="00F5514D">
        <w:rPr>
          <w:rFonts w:cs="Times New Roman"/>
          <w:lang w:val="en-GB"/>
        </w:rPr>
        <w:t xml:space="preserve">In comparison, Luk Fook demonstrates stronger profitability, with its Gross Profit Margin consistently above 27%, and its Operating Profit Margin improving to 13.07% in 2024. Luk Fook’s Net Profit Margin, although dipping in 2023, recovered to 11.53% in 2024, indicating better cost management and profit generation compared to Chow Tai Fook.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xml:space="preserve"> shows a concerning decline in profitability, with its Gross Profit Margin falling from 38.40% in 2022 to 29.60% in 2024, and both Operating and Net Profit Margins turning negative. This suggests significant operational challenges, potentially threatening the company's financial sustainability.</w:t>
      </w:r>
    </w:p>
    <w:p w14:paraId="2972F197" w14:textId="64DE6718" w:rsidR="008D796E" w:rsidRPr="00F5514D" w:rsidRDefault="008D796E" w:rsidP="008D796E">
      <w:pPr>
        <w:ind w:firstLine="720"/>
        <w:rPr>
          <w:rFonts w:cs="Times New Roman"/>
          <w:lang w:val="en-GB"/>
        </w:rPr>
      </w:pPr>
      <w:r w:rsidRPr="00F5514D">
        <w:rPr>
          <w:rFonts w:cs="Times New Roman"/>
          <w:lang w:val="en-GB"/>
        </w:rPr>
        <w:t xml:space="preserve">Overall, while Chow Tai Fook maintains profitability, the declining margins suggest that it faces increasing pressure on its cost structure or competitive pricing. Luk Fook's relatively stable profitability positions it well against Chow Tai Fook, indicating more efficient cost management. In contrast,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Luen’s</w:t>
      </w:r>
      <w:proofErr w:type="spellEnd"/>
      <w:r w:rsidRPr="00F5514D">
        <w:rPr>
          <w:rFonts w:cs="Times New Roman"/>
          <w:lang w:val="en-GB"/>
        </w:rPr>
        <w:t xml:space="preserve"> declining profitability underscores significant financial distress, which could threaten its sustainability without substantial strategic intervention.</w:t>
      </w:r>
    </w:p>
    <w:p w14:paraId="3079BDC4" w14:textId="05841999" w:rsidR="008B57FA" w:rsidRPr="00F5514D" w:rsidRDefault="008B57FA" w:rsidP="008B57FA">
      <w:pPr>
        <w:pStyle w:val="Heading2"/>
        <w:rPr>
          <w:rFonts w:cs="Times New Roman"/>
          <w:lang w:val="en-GB"/>
        </w:rPr>
      </w:pPr>
      <w:bookmarkStart w:id="12" w:name="_Toc175504251"/>
      <w:r w:rsidRPr="00F5514D">
        <w:rPr>
          <w:rFonts w:cs="Times New Roman"/>
          <w:lang w:val="en-GB"/>
        </w:rPr>
        <w:t>2.6 Growth Capacity</w:t>
      </w:r>
      <w:bookmarkEnd w:id="12"/>
    </w:p>
    <w:p w14:paraId="4991FA35" w14:textId="083AC8CC" w:rsidR="00761673" w:rsidRPr="00F5514D" w:rsidRDefault="00761673" w:rsidP="00761673">
      <w:pPr>
        <w:ind w:firstLine="720"/>
        <w:rPr>
          <w:rFonts w:cs="Times New Roman"/>
          <w:lang w:val="en-GB"/>
        </w:rPr>
      </w:pPr>
      <w:r w:rsidRPr="00F5514D">
        <w:rPr>
          <w:rFonts w:cs="Times New Roman"/>
          <w:lang w:val="en-GB"/>
        </w:rPr>
        <w:t xml:space="preserve">Chow Tai Fook's growth capacity, marked by a strong recovery in 2023 and 2024, contrasts with its competitors Luk Fook and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Chow Tai Fook's revenue grew by 14.82% in 2024, recovering from a 3.77% decline in 2022, while net income surged by 20.71% in 2024, reflecting robust profitability. However, the company’s equity declined by 20.63% in 2023 and continued to fall in 2024, suggesting increasing reliance on debt financing.</w:t>
      </w:r>
    </w:p>
    <w:p w14:paraId="0038AA22" w14:textId="77777777" w:rsidR="00761673" w:rsidRPr="00F5514D" w:rsidRDefault="00761673" w:rsidP="00761673">
      <w:pPr>
        <w:ind w:firstLine="720"/>
        <w:rPr>
          <w:rFonts w:cs="Times New Roman"/>
          <w:lang w:val="en-GB"/>
        </w:rPr>
      </w:pPr>
      <w:r w:rsidRPr="00F5514D">
        <w:rPr>
          <w:rFonts w:cs="Times New Roman"/>
          <w:lang w:val="en-GB"/>
        </w:rPr>
        <w:t xml:space="preserve">In comparison, Luk Fook experienced steady revenue growth, with a notable 27.95% increase in 2024, and consistent net income growth of 37.56%, indicating strong financial performance. Luk Fook’s total assets and equity both showed positive growth, with equity increasing by 5.26% in 2024, highlighting its stable financial foundation and effective use of resources.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xml:space="preserve">, on the other hand, faced severe challenges, with a drastic 423.83% decline in net income in 2024 and a 38.11% drop in equity, indicating financial distress. Although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Luen’s</w:t>
      </w:r>
      <w:proofErr w:type="spellEnd"/>
      <w:r w:rsidRPr="00F5514D">
        <w:rPr>
          <w:rFonts w:cs="Times New Roman"/>
          <w:lang w:val="en-GB"/>
        </w:rPr>
        <w:t xml:space="preserve"> revenue grew slightly in 2024, the company’s negative net income and declining equity suggest significant operational and financial difficulties. Overall, while </w:t>
      </w:r>
      <w:r w:rsidRPr="00F5514D">
        <w:rPr>
          <w:rFonts w:cs="Times New Roman"/>
          <w:lang w:val="en-GB"/>
        </w:rPr>
        <w:lastRenderedPageBreak/>
        <w:t xml:space="preserve">Chow Tai Fook shows strong growth potential, Luk Fook outperforms it with more stable equity growth, and </w:t>
      </w:r>
      <w:proofErr w:type="spellStart"/>
      <w:r w:rsidRPr="00F5514D">
        <w:rPr>
          <w:rFonts w:cs="Times New Roman"/>
          <w:lang w:val="en-GB"/>
        </w:rPr>
        <w:t>Tse</w:t>
      </w:r>
      <w:proofErr w:type="spellEnd"/>
      <w:r w:rsidRPr="00F5514D">
        <w:rPr>
          <w:rFonts w:cs="Times New Roman"/>
          <w:lang w:val="en-GB"/>
        </w:rPr>
        <w:t xml:space="preserve"> Sui </w:t>
      </w:r>
      <w:proofErr w:type="spellStart"/>
      <w:r w:rsidRPr="00F5514D">
        <w:rPr>
          <w:rFonts w:cs="Times New Roman"/>
          <w:lang w:val="en-GB"/>
        </w:rPr>
        <w:t>Luen</w:t>
      </w:r>
      <w:proofErr w:type="spellEnd"/>
      <w:r w:rsidRPr="00F5514D">
        <w:rPr>
          <w:rFonts w:cs="Times New Roman"/>
          <w:lang w:val="en-GB"/>
        </w:rPr>
        <w:t xml:space="preserve"> struggles with severe financial instability.</w:t>
      </w:r>
    </w:p>
    <w:p w14:paraId="1D79D147" w14:textId="18E39CE4" w:rsidR="00253C21" w:rsidRPr="00F5514D" w:rsidRDefault="00253C21" w:rsidP="00253C21">
      <w:pPr>
        <w:ind w:firstLine="720"/>
        <w:jc w:val="left"/>
        <w:rPr>
          <w:rFonts w:cs="Times New Roman"/>
          <w:lang w:val="en-GB"/>
        </w:rPr>
      </w:pPr>
      <w:r w:rsidRPr="00F5514D">
        <w:rPr>
          <w:rFonts w:cs="Times New Roman"/>
          <w:lang w:val="en-GB"/>
        </w:rPr>
        <w:t>The overview of the growth in these metrics is provided in Table 10 below.</w:t>
      </w:r>
    </w:p>
    <w:p w14:paraId="48B8B1FF" w14:textId="525A933E" w:rsidR="00690B83" w:rsidRPr="00F5514D" w:rsidRDefault="00690B83" w:rsidP="00690B83">
      <w:pPr>
        <w:jc w:val="left"/>
        <w:rPr>
          <w:rFonts w:cs="Times New Roman"/>
          <w:lang w:val="en-GB"/>
        </w:rPr>
      </w:pPr>
      <w:r w:rsidRPr="00F5514D">
        <w:rPr>
          <w:rFonts w:cs="Times New Roman"/>
          <w:b/>
          <w:bCs/>
          <w:lang w:val="en-GB"/>
        </w:rPr>
        <w:t xml:space="preserve">Table 10. </w:t>
      </w:r>
      <w:r w:rsidRPr="00F5514D">
        <w:rPr>
          <w:rFonts w:cs="Times New Roman"/>
          <w:lang w:val="en-GB"/>
        </w:rPr>
        <w:t>Growth capacity table (in HK$,000)</w:t>
      </w:r>
    </w:p>
    <w:p w14:paraId="053870AC" w14:textId="5230B990" w:rsidR="00253C21" w:rsidRPr="00F5514D" w:rsidRDefault="00E2664B" w:rsidP="00253C21">
      <w:pPr>
        <w:jc w:val="left"/>
        <w:rPr>
          <w:rFonts w:cs="Times New Roman"/>
          <w:lang w:val="en-GB"/>
        </w:rPr>
      </w:pPr>
      <w:r w:rsidRPr="00F5514D">
        <w:rPr>
          <w:rFonts w:cs="Times New Roman"/>
          <w:noProof/>
          <w:lang w:val="en-GB"/>
        </w:rPr>
        <w:drawing>
          <wp:inline distT="0" distB="0" distL="0" distR="0" wp14:anchorId="0DA0A601" wp14:editId="41E4D547">
            <wp:extent cx="5958589" cy="28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8589" cy="2862000"/>
                    </a:xfrm>
                    <a:prstGeom prst="rect">
                      <a:avLst/>
                    </a:prstGeom>
                    <a:noFill/>
                  </pic:spPr>
                </pic:pic>
              </a:graphicData>
            </a:graphic>
          </wp:inline>
        </w:drawing>
      </w:r>
    </w:p>
    <w:p w14:paraId="286CAE1B" w14:textId="0E7DFDD4" w:rsidR="00200687" w:rsidRPr="00F5514D" w:rsidRDefault="006E2B87" w:rsidP="006E2B87">
      <w:pPr>
        <w:pStyle w:val="Heading2"/>
        <w:rPr>
          <w:lang w:val="en-GB"/>
        </w:rPr>
      </w:pPr>
      <w:bookmarkStart w:id="13" w:name="_Toc175504252"/>
      <w:r w:rsidRPr="00F5514D">
        <w:rPr>
          <w:lang w:val="en-GB"/>
        </w:rPr>
        <w:t xml:space="preserve">2.7 </w:t>
      </w:r>
      <w:r w:rsidR="005C77A4" w:rsidRPr="00F5514D">
        <w:rPr>
          <w:lang w:val="en-GB"/>
        </w:rPr>
        <w:t>Stock Market Prospect Analysis</w:t>
      </w:r>
      <w:bookmarkEnd w:id="13"/>
    </w:p>
    <w:p w14:paraId="3BD4900F" w14:textId="09ED3BB7" w:rsidR="005C77A4" w:rsidRPr="00F5514D" w:rsidRDefault="005C77A4" w:rsidP="005C77A4">
      <w:pPr>
        <w:ind w:firstLine="720"/>
        <w:jc w:val="left"/>
        <w:rPr>
          <w:rFonts w:cs="Times New Roman"/>
          <w:lang w:val="en-GB"/>
        </w:rPr>
      </w:pPr>
      <w:r w:rsidRPr="00F5514D">
        <w:rPr>
          <w:rFonts w:cs="Times New Roman"/>
          <w:lang w:val="en-GB"/>
        </w:rPr>
        <w:t>Stock market prospects were analysed using investment ratios, including earnings per share (EPS) and price-to-earnings (P-E) ratios. The comparative analysis is provided in Table 11 below.</w:t>
      </w:r>
    </w:p>
    <w:p w14:paraId="6D188FA1" w14:textId="28CFB7F6" w:rsidR="005C77A4" w:rsidRPr="00F5514D" w:rsidRDefault="005C77A4" w:rsidP="005C77A4">
      <w:pPr>
        <w:jc w:val="left"/>
        <w:rPr>
          <w:rFonts w:cs="Times New Roman"/>
          <w:lang w:val="en-GB"/>
        </w:rPr>
      </w:pPr>
      <w:r w:rsidRPr="00F5514D">
        <w:rPr>
          <w:rFonts w:cs="Times New Roman"/>
          <w:b/>
          <w:bCs/>
          <w:lang w:val="en-GB"/>
        </w:rPr>
        <w:t xml:space="preserve">Table 11. </w:t>
      </w:r>
      <w:r w:rsidRPr="00F5514D">
        <w:rPr>
          <w:rFonts w:cs="Times New Roman"/>
          <w:lang w:val="en-GB"/>
        </w:rPr>
        <w:t>Investment ratio analysis</w:t>
      </w:r>
    </w:p>
    <w:p w14:paraId="5B5C5F99" w14:textId="77777777" w:rsidR="00046BE8" w:rsidRPr="00F5514D" w:rsidRDefault="005C77A4" w:rsidP="005C77A4">
      <w:pPr>
        <w:spacing w:after="200" w:line="276" w:lineRule="auto"/>
        <w:jc w:val="left"/>
        <w:rPr>
          <w:rFonts w:cs="Times New Roman"/>
          <w:lang w:val="en-GB"/>
        </w:rPr>
      </w:pPr>
      <w:r w:rsidRPr="00F5514D">
        <w:rPr>
          <w:rFonts w:cs="Times New Roman"/>
          <w:noProof/>
          <w:lang w:val="en-GB"/>
        </w:rPr>
        <w:drawing>
          <wp:inline distT="0" distB="0" distL="0" distR="0" wp14:anchorId="68544BA1" wp14:editId="1611F89F">
            <wp:extent cx="4737538" cy="1455372"/>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0232" cy="1471560"/>
                    </a:xfrm>
                    <a:prstGeom prst="rect">
                      <a:avLst/>
                    </a:prstGeom>
                    <a:noFill/>
                  </pic:spPr>
                </pic:pic>
              </a:graphicData>
            </a:graphic>
          </wp:inline>
        </w:drawing>
      </w:r>
    </w:p>
    <w:p w14:paraId="74D7A64E" w14:textId="77777777" w:rsidR="00046BE8" w:rsidRPr="00046BE8" w:rsidRDefault="00046BE8" w:rsidP="00AE318A">
      <w:pPr>
        <w:ind w:firstLine="720"/>
        <w:rPr>
          <w:rFonts w:cs="Times New Roman"/>
          <w:lang w:val="en-GB"/>
        </w:rPr>
      </w:pPr>
      <w:r w:rsidRPr="00046BE8">
        <w:rPr>
          <w:rFonts w:cs="Times New Roman"/>
          <w:lang w:val="en-GB"/>
        </w:rPr>
        <w:t>Chow Tai Fook's attractiveness for investors, as indicated by its Earnings Per Share (EPS) and Price-to-Earnings (P/E) ratio, presents a mixed picture. In 2022, Chow Tai Fook had an EPS of 0.67 and a P/E ratio of 21.01, suggesting that the market valued its earnings relatively highly. However, the P/E ratio spiked to 28.94 in 2023, despite a drop in EPS to 0.54, indicating that the stock may have been overvalued at that time. By 2024, the EPS recovered to 0.65, and the P/E ratio adjusted to 17.83, reflecting a more balanced valuation, though still relatively high compared to competitors.</w:t>
      </w:r>
    </w:p>
    <w:p w14:paraId="4BF295D1" w14:textId="397B4044" w:rsidR="00046BE8" w:rsidRPr="00F5514D" w:rsidRDefault="00046BE8" w:rsidP="00AE318A">
      <w:pPr>
        <w:ind w:firstLine="720"/>
        <w:rPr>
          <w:rFonts w:cs="Times New Roman"/>
          <w:lang w:val="en-GB"/>
        </w:rPr>
      </w:pPr>
      <w:r w:rsidRPr="00046BE8">
        <w:rPr>
          <w:rFonts w:cs="Times New Roman"/>
          <w:lang w:val="en-GB"/>
        </w:rPr>
        <w:lastRenderedPageBreak/>
        <w:t>Luk Fook, on the other hand, demonstrated more stable and attractive investment metrics. Its EPS, while higher than Chow Tai Fook’s, showed a steady performance, increasing from 2.37 in 2022 to 3.01 in 2024. Luk Fook’s P/E ratio remained lower, dropping to 7.11 in 2024, indicating that the stock was potentially undervalued, making it a more attractive investment opportunity in terms of earnings potential.</w:t>
      </w:r>
      <w:r w:rsidRPr="00F5514D">
        <w:rPr>
          <w:rFonts w:cs="Times New Roman"/>
          <w:lang w:val="en-GB"/>
        </w:rPr>
        <w:t xml:space="preserve"> </w:t>
      </w:r>
      <w:proofErr w:type="spellStart"/>
      <w:r w:rsidRPr="00046BE8">
        <w:rPr>
          <w:rFonts w:cs="Times New Roman"/>
          <w:lang w:val="en-GB"/>
        </w:rPr>
        <w:t>Tse</w:t>
      </w:r>
      <w:proofErr w:type="spellEnd"/>
      <w:r w:rsidRPr="00046BE8">
        <w:rPr>
          <w:rFonts w:cs="Times New Roman"/>
          <w:lang w:val="en-GB"/>
        </w:rPr>
        <w:t xml:space="preserve"> Sui </w:t>
      </w:r>
      <w:proofErr w:type="spellStart"/>
      <w:r w:rsidRPr="00046BE8">
        <w:rPr>
          <w:rFonts w:cs="Times New Roman"/>
          <w:lang w:val="en-GB"/>
        </w:rPr>
        <w:t>Luen</w:t>
      </w:r>
      <w:proofErr w:type="spellEnd"/>
      <w:r w:rsidRPr="00046BE8">
        <w:rPr>
          <w:rFonts w:cs="Times New Roman"/>
          <w:lang w:val="en-GB"/>
        </w:rPr>
        <w:t>, however, appears to be struggling, with negative EPS in both 2023 and 2024 and a negative P/E ratio, reflecting poor profitability and a lack of investor confidence. The negative P/E indicates that the company is not generating sufficient earnings to justify its market valuation, making it a risky investment.</w:t>
      </w:r>
      <w:r w:rsidRPr="00F5514D">
        <w:rPr>
          <w:rFonts w:cs="Times New Roman"/>
          <w:lang w:val="en-GB"/>
        </w:rPr>
        <w:t xml:space="preserve"> </w:t>
      </w:r>
      <w:r w:rsidRPr="00046BE8">
        <w:rPr>
          <w:rFonts w:cs="Times New Roman"/>
          <w:lang w:val="en-GB"/>
        </w:rPr>
        <w:t xml:space="preserve">Overall, while Chow Tai Fook offers moderate attractiveness to investors, Luk Fook presents a stronger and more stable investment opportunity, whereas </w:t>
      </w:r>
      <w:proofErr w:type="spellStart"/>
      <w:r w:rsidRPr="00046BE8">
        <w:rPr>
          <w:rFonts w:cs="Times New Roman"/>
          <w:lang w:val="en-GB"/>
        </w:rPr>
        <w:t>Tse</w:t>
      </w:r>
      <w:proofErr w:type="spellEnd"/>
      <w:r w:rsidRPr="00046BE8">
        <w:rPr>
          <w:rFonts w:cs="Times New Roman"/>
          <w:lang w:val="en-GB"/>
        </w:rPr>
        <w:t xml:space="preserve"> Sui </w:t>
      </w:r>
      <w:proofErr w:type="spellStart"/>
      <w:r w:rsidRPr="00046BE8">
        <w:rPr>
          <w:rFonts w:cs="Times New Roman"/>
          <w:lang w:val="en-GB"/>
        </w:rPr>
        <w:t>Luen’s</w:t>
      </w:r>
      <w:proofErr w:type="spellEnd"/>
      <w:r w:rsidRPr="00046BE8">
        <w:rPr>
          <w:rFonts w:cs="Times New Roman"/>
          <w:lang w:val="en-GB"/>
        </w:rPr>
        <w:t xml:space="preserve"> negative financial metrics suggest significant risks.</w:t>
      </w:r>
    </w:p>
    <w:p w14:paraId="485D55B5" w14:textId="3FADD4E6" w:rsidR="00AE318A" w:rsidRPr="00F5514D" w:rsidRDefault="00AE318A">
      <w:pPr>
        <w:spacing w:after="200" w:line="276" w:lineRule="auto"/>
        <w:jc w:val="left"/>
        <w:rPr>
          <w:rFonts w:cs="Times New Roman"/>
          <w:lang w:val="en-GB"/>
        </w:rPr>
      </w:pPr>
      <w:r w:rsidRPr="00F5514D">
        <w:rPr>
          <w:rFonts w:cs="Times New Roman"/>
          <w:lang w:val="en-GB"/>
        </w:rPr>
        <w:br w:type="page"/>
      </w:r>
    </w:p>
    <w:p w14:paraId="0237F688" w14:textId="058E9397" w:rsidR="00AE318A" w:rsidRPr="00F5514D" w:rsidRDefault="00AE318A" w:rsidP="00AE318A">
      <w:pPr>
        <w:pStyle w:val="Heading1"/>
        <w:rPr>
          <w:rFonts w:cs="Times New Roman"/>
          <w:lang w:val="en-GB"/>
        </w:rPr>
      </w:pPr>
      <w:bookmarkStart w:id="14" w:name="_Toc175504253"/>
      <w:r w:rsidRPr="00F5514D">
        <w:rPr>
          <w:rFonts w:cs="Times New Roman"/>
          <w:lang w:val="en-GB"/>
        </w:rPr>
        <w:lastRenderedPageBreak/>
        <w:t xml:space="preserve">3. </w:t>
      </w:r>
      <w:r w:rsidR="00B343BD" w:rsidRPr="00F5514D">
        <w:rPr>
          <w:rFonts w:cs="Times New Roman"/>
          <w:lang w:val="en-GB"/>
        </w:rPr>
        <w:t>Company's Corporate Governance Assessment</w:t>
      </w:r>
      <w:bookmarkEnd w:id="14"/>
    </w:p>
    <w:p w14:paraId="546FE440" w14:textId="77777777" w:rsidR="00F04B12" w:rsidRPr="00F5514D" w:rsidRDefault="00F04B12" w:rsidP="00F04B12">
      <w:pPr>
        <w:pStyle w:val="Heading2"/>
        <w:rPr>
          <w:lang w:val="en-GB"/>
        </w:rPr>
      </w:pPr>
      <w:bookmarkStart w:id="15" w:name="_Toc175504254"/>
      <w:r w:rsidRPr="00F5514D">
        <w:rPr>
          <w:lang w:val="en-GB"/>
        </w:rPr>
        <w:t>3.1 Corporate Governance of Business Organisation and Its Importance</w:t>
      </w:r>
      <w:bookmarkEnd w:id="15"/>
    </w:p>
    <w:p w14:paraId="214A78EA" w14:textId="77777777" w:rsidR="00F04B12" w:rsidRPr="00F5514D" w:rsidRDefault="00F04B12" w:rsidP="00F04B12">
      <w:pPr>
        <w:ind w:firstLine="720"/>
        <w:rPr>
          <w:rFonts w:cs="Times New Roman"/>
          <w:lang w:val="en-GB"/>
        </w:rPr>
      </w:pPr>
      <w:r w:rsidRPr="00F04B12">
        <w:rPr>
          <w:rFonts w:cs="Times New Roman"/>
          <w:lang w:val="en-GB"/>
        </w:rPr>
        <w:t xml:space="preserve">Corporate governance is the framework of rules, relationships, systems, and processes within and by which authority is exercised and controlled in corporations. It influences how the objectives of the company are set and achieved, how risk is monitored and assessed, and how performance is optimized. Effective corporate governance ensures that companies operate with integrity, transparency, and accountability, safeguarding the interests of all stakeholders, including shareholders, employees, customers, and the community. The importance of corporate governance cannot be overstated, as it provides a structure that guides the company towards achieving its goals while mitigating risks. For example, companies with strong governance are better positioned to identify and manage risks, which can lead to enhanced financial performance and investor confidence. </w:t>
      </w:r>
    </w:p>
    <w:p w14:paraId="63945CEA" w14:textId="3C0B8718" w:rsidR="00F04B12" w:rsidRPr="00F04B12" w:rsidRDefault="00F04B12" w:rsidP="00F04B12">
      <w:pPr>
        <w:ind w:firstLine="720"/>
        <w:rPr>
          <w:rFonts w:cs="Times New Roman"/>
          <w:lang w:val="en-GB"/>
        </w:rPr>
      </w:pPr>
      <w:r w:rsidRPr="00F04B12">
        <w:rPr>
          <w:rFonts w:cs="Times New Roman"/>
          <w:lang w:val="en-GB"/>
        </w:rPr>
        <w:t xml:space="preserve">Moreover, good governance practices can prevent corporate scandals and fraud, which can have devastating effects on a company's reputation and financial standing. Corporate governance also plays a crucial role in fostering ethical </w:t>
      </w:r>
      <w:proofErr w:type="spellStart"/>
      <w:r w:rsidRPr="00F04B12">
        <w:rPr>
          <w:rFonts w:cs="Times New Roman"/>
          <w:lang w:val="en-GB"/>
        </w:rPr>
        <w:t>behavior</w:t>
      </w:r>
      <w:proofErr w:type="spellEnd"/>
      <w:r w:rsidRPr="00F04B12">
        <w:rPr>
          <w:rFonts w:cs="Times New Roman"/>
          <w:lang w:val="en-GB"/>
        </w:rPr>
        <w:t xml:space="preserve"> and corporate social responsibility, ensuring that the company operates in a manner that is sustainable and beneficial to society. Overall, effective corporate governance is essential for the long-term success and sustainability of a business, as it provides the foundation for sound decision-making, strategic planning, and risk management.</w:t>
      </w:r>
    </w:p>
    <w:p w14:paraId="4DBD6BE7" w14:textId="77777777" w:rsidR="00F04B12" w:rsidRPr="00F5514D" w:rsidRDefault="00F04B12" w:rsidP="00F04B12">
      <w:pPr>
        <w:pStyle w:val="Heading2"/>
        <w:rPr>
          <w:lang w:val="en-GB"/>
        </w:rPr>
      </w:pPr>
      <w:bookmarkStart w:id="16" w:name="_Toc175504255"/>
      <w:r w:rsidRPr="00F5514D">
        <w:rPr>
          <w:lang w:val="en-GB"/>
        </w:rPr>
        <w:t>3.2 Company Existing Corporate Governance</w:t>
      </w:r>
      <w:bookmarkEnd w:id="16"/>
    </w:p>
    <w:p w14:paraId="10A28689" w14:textId="77777777" w:rsidR="00F04B12" w:rsidRPr="00F5514D" w:rsidRDefault="00F04B12" w:rsidP="00F04B12">
      <w:pPr>
        <w:ind w:firstLine="720"/>
        <w:rPr>
          <w:rFonts w:cs="Times New Roman"/>
          <w:lang w:val="en-GB"/>
        </w:rPr>
      </w:pPr>
      <w:r w:rsidRPr="00F04B12">
        <w:rPr>
          <w:rFonts w:cs="Times New Roman"/>
          <w:lang w:val="en-GB"/>
        </w:rPr>
        <w:t xml:space="preserve">Chow Tai Fook has established a robust corporate governance framework that aligns with its commitment to transparency, accountability, and sustainable growth. The company's governance structure is built on its "4T" principles—Transparent, Thoughtful, Truthful, and Traceable—which guide its operations and interactions with stakeholders. The company has fully complied with the Corporate Governance Code as set out in Appendix C1 to the Listing Rules, demonstrating its adherence to the highest standards of governance practices. The board of directors, which is at the core of Chow Tai Fook's governance framework, is responsible for overseeing the company's strategic direction, risk management, and overall governance policies. </w:t>
      </w:r>
    </w:p>
    <w:p w14:paraId="76E15029" w14:textId="5A9B3DE6" w:rsidR="00F04B12" w:rsidRPr="00F04B12" w:rsidRDefault="00F04B12" w:rsidP="00F04B12">
      <w:pPr>
        <w:ind w:firstLine="720"/>
        <w:rPr>
          <w:rFonts w:cs="Times New Roman"/>
          <w:lang w:val="en-GB"/>
        </w:rPr>
      </w:pPr>
      <w:r w:rsidRPr="00F04B12">
        <w:rPr>
          <w:rFonts w:cs="Times New Roman"/>
          <w:lang w:val="en-GB"/>
        </w:rPr>
        <w:t xml:space="preserve">The board is supported by key committees, including the Audit Committee, Nomination Committee, and Remuneration Committee, each of which plays a vital role in ensuring the company's financial integrity, managing risks, and overseeing executive compensation. The Audit Committee, for instance, is tasked with monitoring the company's financial reporting processes and ensuring the accuracy and reliability of its financial statements. The Nomination </w:t>
      </w:r>
      <w:r w:rsidRPr="00F04B12">
        <w:rPr>
          <w:rFonts w:cs="Times New Roman"/>
          <w:lang w:val="en-GB"/>
        </w:rPr>
        <w:lastRenderedPageBreak/>
        <w:t>Committee is responsible for evaluating the composition of the board and recommending new members who possess the necessary skills and experience to contribute to the company's strategic objectives. The Remuneration Committee oversees the development and implementation of fair and transparent executive compensation policies that align with the company's long-term goals. Through these structures, Chow Tai Fook ensures that its governance practices are aligned with industry best practices and that it remains accountable to its stakeholders.</w:t>
      </w:r>
    </w:p>
    <w:p w14:paraId="1494BA91" w14:textId="77777777" w:rsidR="007E7B61" w:rsidRPr="00F5514D" w:rsidRDefault="007E7B61" w:rsidP="007E7B61">
      <w:pPr>
        <w:pStyle w:val="Heading2"/>
        <w:rPr>
          <w:lang w:val="en-GB"/>
        </w:rPr>
      </w:pPr>
      <w:bookmarkStart w:id="17" w:name="_Toc175504256"/>
      <w:r w:rsidRPr="00F5514D">
        <w:rPr>
          <w:lang w:val="en-GB"/>
        </w:rPr>
        <w:t>3.3 Suggestion for Improvement</w:t>
      </w:r>
      <w:bookmarkEnd w:id="17"/>
    </w:p>
    <w:p w14:paraId="796FFDC0" w14:textId="4C49E583" w:rsidR="007E7B61" w:rsidRPr="00F5514D" w:rsidRDefault="007E7B61" w:rsidP="007E7B61">
      <w:pPr>
        <w:ind w:firstLine="720"/>
        <w:rPr>
          <w:rFonts w:cs="Times New Roman"/>
          <w:lang w:val="en-GB"/>
        </w:rPr>
      </w:pPr>
      <w:r w:rsidRPr="007E7B61">
        <w:rPr>
          <w:rFonts w:cs="Times New Roman"/>
          <w:lang w:val="en-GB"/>
        </w:rPr>
        <w:t xml:space="preserve">While Chow Tai Fook has a strong corporate governance framework in place, there are areas where improvements could further enhance its effectiveness. First, increasing the diversity of the board of directors is crucial. A more diverse board, in terms of gender, ethnicity, and professional background, can bring a wider range of perspectives and experiences to the decision-making process, leading to more innovative and effective strategies (Adams </w:t>
      </w:r>
      <w:r w:rsidR="00F65C2F" w:rsidRPr="00F5514D">
        <w:rPr>
          <w:rFonts w:cs="Times New Roman"/>
          <w:lang w:val="en-GB"/>
        </w:rPr>
        <w:t>and</w:t>
      </w:r>
      <w:r w:rsidRPr="007E7B61">
        <w:rPr>
          <w:rFonts w:cs="Times New Roman"/>
          <w:lang w:val="en-GB"/>
        </w:rPr>
        <w:t xml:space="preserve"> Ferreira, 2009). This diversity can also enhance the company’s ability to navigate complex global markets and respond to the needs of a diverse customer base (Carter, Simkins, </w:t>
      </w:r>
      <w:r w:rsidR="00F65C2F" w:rsidRPr="00F5514D">
        <w:rPr>
          <w:rFonts w:cs="Times New Roman"/>
          <w:lang w:val="en-GB"/>
        </w:rPr>
        <w:t>and</w:t>
      </w:r>
      <w:r w:rsidRPr="007E7B61">
        <w:rPr>
          <w:rFonts w:cs="Times New Roman"/>
          <w:lang w:val="en-GB"/>
        </w:rPr>
        <w:t xml:space="preserve"> Simpson, 2003). Second, Chow Tai Fook should consider strengthening its </w:t>
      </w:r>
      <w:r w:rsidR="00C1189B" w:rsidRPr="007E7B61">
        <w:rPr>
          <w:rFonts w:cs="Times New Roman"/>
          <w:lang w:val="en-GB"/>
        </w:rPr>
        <w:t>whistle-blower</w:t>
      </w:r>
      <w:r w:rsidRPr="007E7B61">
        <w:rPr>
          <w:rFonts w:cs="Times New Roman"/>
          <w:lang w:val="en-GB"/>
        </w:rPr>
        <w:t xml:space="preserve"> protection mechanisms. Ensuring that employees feel safe and protected when reporting unethical or illegal activities is critical for maintaining a culture of integrity and transparency (Miceli, Near, </w:t>
      </w:r>
      <w:r w:rsidR="00F65C2F" w:rsidRPr="00F5514D">
        <w:rPr>
          <w:rFonts w:cs="Times New Roman"/>
          <w:lang w:val="en-GB"/>
        </w:rPr>
        <w:t>and</w:t>
      </w:r>
      <w:r w:rsidRPr="007E7B61">
        <w:rPr>
          <w:rFonts w:cs="Times New Roman"/>
          <w:lang w:val="en-GB"/>
        </w:rPr>
        <w:t xml:space="preserve"> Dworkin, 2008). This could involve implementing more robust policies and procedures for handling </w:t>
      </w:r>
      <w:r w:rsidR="00C1189B" w:rsidRPr="007E7B61">
        <w:rPr>
          <w:rFonts w:cs="Times New Roman"/>
          <w:lang w:val="en-GB"/>
        </w:rPr>
        <w:t>whistle-blower</w:t>
      </w:r>
      <w:r w:rsidRPr="007E7B61">
        <w:rPr>
          <w:rFonts w:cs="Times New Roman"/>
          <w:lang w:val="en-GB"/>
        </w:rPr>
        <w:t xml:space="preserve"> reports, as well as providing regular training to employees on their rights and protections (Callahan </w:t>
      </w:r>
      <w:r w:rsidR="00F65C2F" w:rsidRPr="00F5514D">
        <w:rPr>
          <w:rFonts w:cs="Times New Roman"/>
          <w:lang w:val="en-GB"/>
        </w:rPr>
        <w:t>and</w:t>
      </w:r>
      <w:r w:rsidRPr="007E7B61">
        <w:rPr>
          <w:rFonts w:cs="Times New Roman"/>
          <w:lang w:val="en-GB"/>
        </w:rPr>
        <w:t xml:space="preserve"> Dworkin, 1994). </w:t>
      </w:r>
    </w:p>
    <w:p w14:paraId="5284A17D" w14:textId="3A17BDA6" w:rsidR="00046BE8" w:rsidRPr="00F5514D" w:rsidRDefault="007E7B61" w:rsidP="00A7517F">
      <w:pPr>
        <w:ind w:firstLine="720"/>
        <w:rPr>
          <w:rFonts w:cs="Times New Roman"/>
          <w:lang w:val="en-GB"/>
        </w:rPr>
      </w:pPr>
      <w:r w:rsidRPr="007E7B61">
        <w:rPr>
          <w:rFonts w:cs="Times New Roman"/>
          <w:lang w:val="en-GB"/>
        </w:rPr>
        <w:t xml:space="preserve">Third, the company could benefit from adopting more rigorous performance metrics for executive compensation. Linking executive pay more closely to long-term performance and shareholder value creation can help align the interests of management with those of the shareholders, reducing the risk of short-termism in decision-making (Jensen </w:t>
      </w:r>
      <w:r w:rsidR="00F65C2F" w:rsidRPr="00F5514D">
        <w:rPr>
          <w:rFonts w:cs="Times New Roman"/>
          <w:lang w:val="en-GB"/>
        </w:rPr>
        <w:t>and</w:t>
      </w:r>
      <w:r w:rsidRPr="007E7B61">
        <w:rPr>
          <w:rFonts w:cs="Times New Roman"/>
          <w:lang w:val="en-GB"/>
        </w:rPr>
        <w:t xml:space="preserve"> Murphy, 1990). Finally, enhancing transparency in reporting, particularly with regard to environmental, social, and governance (ESG) practices, could improve stakeholder trust and align Chow Tai Fook with global best practices (Eccles, Ioannou, </w:t>
      </w:r>
      <w:r w:rsidR="00F65C2F" w:rsidRPr="00F5514D">
        <w:rPr>
          <w:rFonts w:cs="Times New Roman"/>
          <w:lang w:val="en-GB"/>
        </w:rPr>
        <w:t>and</w:t>
      </w:r>
      <w:r w:rsidRPr="007E7B61">
        <w:rPr>
          <w:rFonts w:cs="Times New Roman"/>
          <w:lang w:val="en-GB"/>
        </w:rPr>
        <w:t xml:space="preserve"> </w:t>
      </w:r>
      <w:proofErr w:type="spellStart"/>
      <w:r w:rsidRPr="007E7B61">
        <w:rPr>
          <w:rFonts w:cs="Times New Roman"/>
          <w:lang w:val="en-GB"/>
        </w:rPr>
        <w:t>Serafeim</w:t>
      </w:r>
      <w:proofErr w:type="spellEnd"/>
      <w:r w:rsidRPr="007E7B61">
        <w:rPr>
          <w:rFonts w:cs="Times New Roman"/>
          <w:lang w:val="en-GB"/>
        </w:rPr>
        <w:t>, 2014). This could involve providing more detailed disclosures on the company’s sustainability initiatives, as well as setting clear targets and benchmarks for ESG performance. By addressing these areas, Chow Tai Fook can strengthen its corporate governance and ensure its continued success and sustainability in the long term.</w:t>
      </w:r>
    </w:p>
    <w:p w14:paraId="6CDAE5C0" w14:textId="24ACF3A8" w:rsidR="00A7517F" w:rsidRPr="00F5514D" w:rsidRDefault="00A7517F">
      <w:pPr>
        <w:spacing w:after="200" w:line="276" w:lineRule="auto"/>
        <w:jc w:val="left"/>
        <w:rPr>
          <w:rFonts w:cs="Times New Roman"/>
          <w:lang w:val="en-GB"/>
        </w:rPr>
      </w:pPr>
      <w:r w:rsidRPr="00F5514D">
        <w:rPr>
          <w:rFonts w:cs="Times New Roman"/>
          <w:lang w:val="en-GB"/>
        </w:rPr>
        <w:br w:type="page"/>
      </w:r>
    </w:p>
    <w:p w14:paraId="63E94322" w14:textId="19809ED1" w:rsidR="00A7517F" w:rsidRPr="00F5514D" w:rsidRDefault="00A7517F" w:rsidP="00A7517F">
      <w:pPr>
        <w:pStyle w:val="Heading1"/>
        <w:rPr>
          <w:rFonts w:cs="Times New Roman"/>
          <w:lang w:val="en-GB"/>
        </w:rPr>
      </w:pPr>
      <w:bookmarkStart w:id="18" w:name="_Toc175504257"/>
      <w:r w:rsidRPr="00F5514D">
        <w:rPr>
          <w:rFonts w:cs="Times New Roman"/>
          <w:lang w:val="en-GB"/>
        </w:rPr>
        <w:lastRenderedPageBreak/>
        <w:t xml:space="preserve">4. </w:t>
      </w:r>
      <w:r w:rsidR="002721A3" w:rsidRPr="00F5514D">
        <w:rPr>
          <w:rFonts w:cs="Times New Roman"/>
          <w:lang w:val="en-GB"/>
        </w:rPr>
        <w:t>Investment Appraisal</w:t>
      </w:r>
      <w:bookmarkEnd w:id="18"/>
    </w:p>
    <w:p w14:paraId="1A0C4615" w14:textId="0D7214DB" w:rsidR="00A7517F" w:rsidRPr="00F5514D" w:rsidRDefault="00294C94" w:rsidP="00294C94">
      <w:pPr>
        <w:pStyle w:val="Heading2"/>
        <w:rPr>
          <w:lang w:val="en-GB"/>
        </w:rPr>
      </w:pPr>
      <w:bookmarkStart w:id="19" w:name="_Toc175504258"/>
      <w:r w:rsidRPr="00F5514D">
        <w:rPr>
          <w:lang w:val="en-GB"/>
        </w:rPr>
        <w:t>4.1 Project Basic Information</w:t>
      </w:r>
      <w:bookmarkEnd w:id="19"/>
    </w:p>
    <w:p w14:paraId="6197B288" w14:textId="57564C3F" w:rsidR="00294C94" w:rsidRPr="00F5514D" w:rsidRDefault="00C1189B" w:rsidP="00294C94">
      <w:pPr>
        <w:ind w:firstLine="720"/>
        <w:rPr>
          <w:lang w:val="en-GB"/>
        </w:rPr>
      </w:pPr>
      <w:r w:rsidRPr="00C1189B">
        <w:t xml:space="preserve">The project is strategically positioned to capitalize on increasing consumer demand. This new location is expected to </w:t>
      </w:r>
      <w:r>
        <w:t>yield 150%</w:t>
      </w:r>
      <w:r w:rsidRPr="00C1189B">
        <w:t xml:space="preserve"> </w:t>
      </w:r>
      <w:r>
        <w:t xml:space="preserve">from </w:t>
      </w:r>
      <w:r w:rsidRPr="00C1189B">
        <w:t xml:space="preserve">the average revenue generated by existing outlets, contributing significantly to the company’s overall growth. </w:t>
      </w:r>
      <w:r>
        <w:t xml:space="preserve">Moreover, the operating costs are expected to be twice as low in comparison with average operating expenses. </w:t>
      </w:r>
      <w:r w:rsidRPr="00C1189B">
        <w:t xml:space="preserve">The decision to invest is grounded in the potential to achieve higher profitability through efficient operations, as the operating costs are projected to be lower than the average for similar outlets. The initial capital outlay for this project, calculated as 5% of the last fiscal year’s revenue, will be </w:t>
      </w:r>
      <w:r w:rsidRPr="00C1189B">
        <w:rPr>
          <w:b/>
          <w:bCs/>
        </w:rPr>
        <w:t>HK$5,435,650,000</w:t>
      </w:r>
      <w:r w:rsidRPr="00C1189B">
        <w:t xml:space="preserve">. This amount is justified by the anticipated steady revenue increase, which is expected to reach over </w:t>
      </w:r>
      <w:r w:rsidRPr="00C1189B">
        <w:rPr>
          <w:b/>
          <w:bCs/>
        </w:rPr>
        <w:t>HK$831,643,000</w:t>
      </w:r>
      <w:r w:rsidRPr="00C1189B">
        <w:t xml:space="preserve"> in monthly revenue by the 12th month of operation. The outlet will enhance Chow Tai Fook's market presence and cater to a wider customer base. The assumptions of the project are provided in Table 12 below.</w:t>
      </w:r>
    </w:p>
    <w:p w14:paraId="11B2FB0E" w14:textId="6FE09B02" w:rsidR="00C7020D" w:rsidRPr="00C7020D" w:rsidRDefault="00294C94" w:rsidP="00C7020D">
      <w:pPr>
        <w:rPr>
          <w:rFonts w:hint="eastAsia"/>
          <w:lang w:val="en-GB" w:eastAsia="zh-CN"/>
        </w:rPr>
      </w:pPr>
      <w:r w:rsidRPr="00F5514D">
        <w:rPr>
          <w:b/>
          <w:bCs/>
          <w:lang w:val="en-GB"/>
        </w:rPr>
        <w:t xml:space="preserve">Table 12. </w:t>
      </w:r>
      <w:r w:rsidRPr="00F5514D">
        <w:rPr>
          <w:lang w:val="en-GB"/>
        </w:rPr>
        <w:t>Project assumptions</w:t>
      </w:r>
    </w:p>
    <w:p w14:paraId="5D73088D" w14:textId="3BA2312E" w:rsidR="00294C94" w:rsidRPr="00B22A3E" w:rsidRDefault="00A71C36" w:rsidP="00294C94">
      <w:pPr>
        <w:rPr>
          <w:lang w:val="en-HK"/>
        </w:rPr>
      </w:pPr>
      <w:r w:rsidRPr="00A71C36">
        <w:rPr>
          <w:lang w:val="en-HK"/>
        </w:rPr>
        <w:drawing>
          <wp:inline distT="0" distB="0" distL="0" distR="0" wp14:anchorId="584574B2" wp14:editId="46756B9C">
            <wp:extent cx="4994407" cy="4914000"/>
            <wp:effectExtent l="0" t="0" r="0" b="1270"/>
            <wp:docPr id="40070134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01346" name="Picture 1" descr="A table with numbers and text&#10;&#10;Description automatically generated"/>
                    <pic:cNvPicPr/>
                  </pic:nvPicPr>
                  <pic:blipFill>
                    <a:blip r:embed="rId22"/>
                    <a:stretch>
                      <a:fillRect/>
                    </a:stretch>
                  </pic:blipFill>
                  <pic:spPr>
                    <a:xfrm>
                      <a:off x="0" y="0"/>
                      <a:ext cx="4994407" cy="4914000"/>
                    </a:xfrm>
                    <a:prstGeom prst="rect">
                      <a:avLst/>
                    </a:prstGeom>
                  </pic:spPr>
                </pic:pic>
              </a:graphicData>
            </a:graphic>
          </wp:inline>
        </w:drawing>
      </w:r>
    </w:p>
    <w:p w14:paraId="6C96CB34" w14:textId="0235E32E" w:rsidR="00294C94" w:rsidRPr="00F5514D" w:rsidRDefault="00294C94" w:rsidP="00294C94">
      <w:pPr>
        <w:pStyle w:val="Heading2"/>
        <w:rPr>
          <w:lang w:val="en-GB"/>
        </w:rPr>
      </w:pPr>
      <w:bookmarkStart w:id="20" w:name="_Toc175504259"/>
      <w:r w:rsidRPr="00F5514D">
        <w:rPr>
          <w:lang w:val="en-GB"/>
        </w:rPr>
        <w:lastRenderedPageBreak/>
        <w:t xml:space="preserve">4.2 First </w:t>
      </w:r>
      <w:r w:rsidR="003374AC" w:rsidRPr="00F5514D">
        <w:rPr>
          <w:lang w:val="en-GB"/>
        </w:rPr>
        <w:t>Y</w:t>
      </w:r>
      <w:r w:rsidRPr="00F5514D">
        <w:rPr>
          <w:lang w:val="en-GB"/>
        </w:rPr>
        <w:t xml:space="preserve">ear </w:t>
      </w:r>
      <w:r w:rsidR="003374AC" w:rsidRPr="00F5514D">
        <w:rPr>
          <w:lang w:val="en-GB"/>
        </w:rPr>
        <w:t>C</w:t>
      </w:r>
      <w:r w:rsidRPr="00F5514D">
        <w:rPr>
          <w:lang w:val="en-GB"/>
        </w:rPr>
        <w:t xml:space="preserve">alculation of </w:t>
      </w:r>
      <w:r w:rsidR="003374AC" w:rsidRPr="00F5514D">
        <w:rPr>
          <w:lang w:val="en-GB"/>
        </w:rPr>
        <w:t>S</w:t>
      </w:r>
      <w:r w:rsidRPr="00F5514D">
        <w:rPr>
          <w:lang w:val="en-GB"/>
        </w:rPr>
        <w:t>ales</w:t>
      </w:r>
      <w:bookmarkEnd w:id="20"/>
    </w:p>
    <w:p w14:paraId="18A58F98" w14:textId="745B6588" w:rsidR="00294C94" w:rsidRPr="00F5514D" w:rsidRDefault="00294C94" w:rsidP="003374AC">
      <w:pPr>
        <w:ind w:firstLine="720"/>
        <w:rPr>
          <w:rFonts w:cs="Times New Roman"/>
          <w:lang w:val="en-GB"/>
        </w:rPr>
      </w:pPr>
      <w:r w:rsidRPr="00F5514D">
        <w:rPr>
          <w:rFonts w:cs="Times New Roman"/>
          <w:lang w:val="en-GB"/>
        </w:rPr>
        <w:t xml:space="preserve">The </w:t>
      </w:r>
      <w:r w:rsidR="00255BDE" w:rsidRPr="00F5514D">
        <w:rPr>
          <w:rFonts w:cs="Times New Roman"/>
          <w:lang w:val="en-GB"/>
        </w:rPr>
        <w:t>first-year</w:t>
      </w:r>
      <w:r w:rsidRPr="00F5514D">
        <w:rPr>
          <w:rFonts w:cs="Times New Roman"/>
          <w:lang w:val="en-GB"/>
        </w:rPr>
        <w:t xml:space="preserve"> revenue </w:t>
      </w:r>
      <w:r w:rsidR="00255BDE" w:rsidRPr="00F5514D">
        <w:rPr>
          <w:rFonts w:cs="Times New Roman"/>
          <w:lang w:val="en-GB"/>
        </w:rPr>
        <w:t>is</w:t>
      </w:r>
      <w:r w:rsidRPr="00F5514D">
        <w:rPr>
          <w:rFonts w:cs="Times New Roman"/>
          <w:lang w:val="en-GB"/>
        </w:rPr>
        <w:t xml:space="preserve"> expected to be lower than that of all the following years, as it is assumed that the efficiency of </w:t>
      </w:r>
      <w:r w:rsidR="00255BDE" w:rsidRPr="00F5514D">
        <w:rPr>
          <w:rFonts w:cs="Times New Roman"/>
          <w:lang w:val="en-GB"/>
        </w:rPr>
        <w:t>asset use of the new outlet is expected to grow gradually, reaching its maximum efficiency during Month 12 of Year 1. Table 13 below provides a breakdown of monthly revenues.</w:t>
      </w:r>
    </w:p>
    <w:p w14:paraId="57BF026D" w14:textId="681616F4" w:rsidR="00255BDE" w:rsidRPr="00F5514D" w:rsidRDefault="00255BDE" w:rsidP="00255BDE">
      <w:pPr>
        <w:jc w:val="left"/>
        <w:rPr>
          <w:rFonts w:cs="Times New Roman"/>
          <w:lang w:val="en-GB"/>
        </w:rPr>
      </w:pPr>
      <w:r w:rsidRPr="00F5514D">
        <w:rPr>
          <w:rFonts w:cs="Times New Roman"/>
          <w:b/>
          <w:bCs/>
          <w:lang w:val="en-GB"/>
        </w:rPr>
        <w:t xml:space="preserve">Table 13. </w:t>
      </w:r>
      <w:r w:rsidRPr="00F5514D">
        <w:rPr>
          <w:rFonts w:cs="Times New Roman"/>
          <w:lang w:val="en-GB"/>
        </w:rPr>
        <w:t xml:space="preserve">Monthly </w:t>
      </w:r>
      <w:r w:rsidR="00A2710B" w:rsidRPr="00F5514D">
        <w:rPr>
          <w:rFonts w:cs="Times New Roman"/>
          <w:lang w:val="en-GB"/>
        </w:rPr>
        <w:t>revenues</w:t>
      </w:r>
      <w:r w:rsidRPr="00F5514D">
        <w:rPr>
          <w:rFonts w:cs="Times New Roman"/>
          <w:lang w:val="en-GB"/>
        </w:rPr>
        <w:t xml:space="preserve"> during Year 1</w:t>
      </w:r>
    </w:p>
    <w:p w14:paraId="37AE4A3F" w14:textId="2B68C096" w:rsidR="00A2710B" w:rsidRPr="00C1189B" w:rsidRDefault="00C1189B" w:rsidP="00A2710B">
      <w:pPr>
        <w:jc w:val="left"/>
        <w:rPr>
          <w:rFonts w:cs="Times New Roman"/>
        </w:rPr>
      </w:pPr>
      <w:r>
        <w:rPr>
          <w:rFonts w:cs="Times New Roman"/>
          <w:noProof/>
        </w:rPr>
        <w:drawing>
          <wp:inline distT="0" distB="0" distL="0" distR="0" wp14:anchorId="0501BA27" wp14:editId="2CDC49BE">
            <wp:extent cx="5785180" cy="2446779"/>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1798" cy="2470725"/>
                    </a:xfrm>
                    <a:prstGeom prst="rect">
                      <a:avLst/>
                    </a:prstGeom>
                    <a:noFill/>
                  </pic:spPr>
                </pic:pic>
              </a:graphicData>
            </a:graphic>
          </wp:inline>
        </w:drawing>
      </w:r>
    </w:p>
    <w:p w14:paraId="34832D2C" w14:textId="5A72AF18" w:rsidR="00A2710B" w:rsidRPr="00F5514D" w:rsidRDefault="00A2710B" w:rsidP="00A2710B">
      <w:pPr>
        <w:ind w:firstLine="720"/>
        <w:jc w:val="left"/>
        <w:rPr>
          <w:rFonts w:cs="Times New Roman"/>
          <w:lang w:val="en-GB"/>
        </w:rPr>
      </w:pPr>
      <w:r w:rsidRPr="00F5514D">
        <w:rPr>
          <w:rFonts w:cs="Times New Roman"/>
          <w:lang w:val="en-GB"/>
        </w:rPr>
        <w:t>The analysis table for the monthly revenues is provided in Table 14 below.</w:t>
      </w:r>
    </w:p>
    <w:p w14:paraId="7CB40362" w14:textId="72AD87C1" w:rsidR="00A2710B" w:rsidRDefault="00A2710B" w:rsidP="00A2710B">
      <w:pPr>
        <w:jc w:val="left"/>
        <w:rPr>
          <w:rFonts w:cs="Times New Roman"/>
          <w:lang w:val="en-GB"/>
        </w:rPr>
      </w:pPr>
      <w:r w:rsidRPr="00F5514D">
        <w:rPr>
          <w:rFonts w:cs="Times New Roman"/>
          <w:b/>
          <w:bCs/>
          <w:lang w:val="en-GB"/>
        </w:rPr>
        <w:t xml:space="preserve">Table 14. </w:t>
      </w:r>
      <w:r w:rsidRPr="00F5514D">
        <w:rPr>
          <w:rFonts w:cs="Times New Roman"/>
          <w:lang w:val="en-GB"/>
        </w:rPr>
        <w:t>Analysis table for monthly revenues during first year</w:t>
      </w:r>
    </w:p>
    <w:p w14:paraId="3B668645" w14:textId="535C2444" w:rsidR="00A71C36" w:rsidRPr="00F5514D" w:rsidRDefault="00A71C36" w:rsidP="00A2710B">
      <w:pPr>
        <w:jc w:val="left"/>
        <w:rPr>
          <w:rFonts w:cs="Times New Roman"/>
          <w:lang w:val="en-GB"/>
        </w:rPr>
      </w:pPr>
      <w:r w:rsidRPr="00A71C36">
        <w:rPr>
          <w:rFonts w:cs="Times New Roman"/>
          <w:lang w:val="en-GB"/>
        </w:rPr>
        <w:drawing>
          <wp:inline distT="0" distB="0" distL="0" distR="0" wp14:anchorId="29E4F7B0" wp14:editId="4FFEF4A0">
            <wp:extent cx="3733800" cy="965200"/>
            <wp:effectExtent l="0" t="0" r="0" b="0"/>
            <wp:docPr id="202779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96818" name=""/>
                    <pic:cNvPicPr/>
                  </pic:nvPicPr>
                  <pic:blipFill>
                    <a:blip r:embed="rId24"/>
                    <a:stretch>
                      <a:fillRect/>
                    </a:stretch>
                  </pic:blipFill>
                  <pic:spPr>
                    <a:xfrm>
                      <a:off x="0" y="0"/>
                      <a:ext cx="3733800" cy="965200"/>
                    </a:xfrm>
                    <a:prstGeom prst="rect">
                      <a:avLst/>
                    </a:prstGeom>
                  </pic:spPr>
                </pic:pic>
              </a:graphicData>
            </a:graphic>
          </wp:inline>
        </w:drawing>
      </w:r>
    </w:p>
    <w:p w14:paraId="7A6240CD" w14:textId="7D96446A" w:rsidR="00A2710B" w:rsidRPr="00F5514D" w:rsidRDefault="00A2710B" w:rsidP="00A2710B">
      <w:pPr>
        <w:ind w:firstLine="720"/>
        <w:jc w:val="left"/>
        <w:rPr>
          <w:rFonts w:cs="Times New Roman"/>
          <w:lang w:val="en-GB"/>
        </w:rPr>
      </w:pPr>
      <w:r w:rsidRPr="00F5514D">
        <w:rPr>
          <w:rFonts w:cs="Times New Roman"/>
          <w:lang w:val="en-GB"/>
        </w:rPr>
        <w:t xml:space="preserve">Overall, during the first year of sales, the new outlet is expected to generate a total revenue of </w:t>
      </w:r>
      <w:r w:rsidR="00C7020D">
        <w:rPr>
          <w:rFonts w:cs="Times New Roman"/>
          <w:lang w:val="en-GB"/>
        </w:rPr>
        <w:t>HK</w:t>
      </w:r>
      <w:r w:rsidRPr="00F5514D">
        <w:rPr>
          <w:rFonts w:cs="Times New Roman"/>
          <w:lang w:val="en-GB"/>
        </w:rPr>
        <w:t>$</w:t>
      </w:r>
      <w:r w:rsidR="00C7020D" w:rsidRPr="00C7020D">
        <w:rPr>
          <w:rFonts w:cs="Times New Roman"/>
          <w:lang w:val="en-GB"/>
        </w:rPr>
        <w:t>6,189,860</w:t>
      </w:r>
      <w:r w:rsidR="00C7020D">
        <w:rPr>
          <w:rFonts w:cs="Times New Roman"/>
          <w:lang w:val="en-GB"/>
        </w:rPr>
        <w:t>,000</w:t>
      </w:r>
      <w:r w:rsidRPr="00F5514D">
        <w:rPr>
          <w:rFonts w:cs="Times New Roman"/>
          <w:lang w:val="en-GB"/>
        </w:rPr>
        <w:t>.</w:t>
      </w:r>
    </w:p>
    <w:p w14:paraId="224FD4F8" w14:textId="3D211400" w:rsidR="00453702" w:rsidRPr="00F5514D" w:rsidRDefault="00453702" w:rsidP="00453702">
      <w:pPr>
        <w:pStyle w:val="Heading2"/>
        <w:rPr>
          <w:lang w:val="en-GB"/>
        </w:rPr>
      </w:pPr>
      <w:bookmarkStart w:id="21" w:name="_Toc175504260"/>
      <w:r w:rsidRPr="00F5514D">
        <w:rPr>
          <w:lang w:val="en-GB"/>
        </w:rPr>
        <w:t xml:space="preserve">4.4 </w:t>
      </w:r>
      <w:r w:rsidR="00C7020D">
        <w:rPr>
          <w:lang w:val="en-GB"/>
        </w:rPr>
        <w:t xml:space="preserve">Monthly </w:t>
      </w:r>
      <w:r w:rsidRPr="00F5514D">
        <w:rPr>
          <w:lang w:val="en-GB"/>
        </w:rPr>
        <w:t>Cashflow Calculation</w:t>
      </w:r>
      <w:bookmarkEnd w:id="21"/>
    </w:p>
    <w:p w14:paraId="242271DA" w14:textId="50827DA1" w:rsidR="00453702" w:rsidRPr="00F5514D" w:rsidRDefault="00453702" w:rsidP="00453702">
      <w:pPr>
        <w:ind w:firstLine="720"/>
        <w:rPr>
          <w:lang w:val="en-GB"/>
        </w:rPr>
      </w:pPr>
      <w:r w:rsidRPr="00F5514D">
        <w:rPr>
          <w:lang w:val="en-GB"/>
        </w:rPr>
        <w:t>Cashflow was calculated using the project assumptions provided in Table 12. First, Year 1 monthly cashflow were calculated</w:t>
      </w:r>
      <w:r w:rsidR="002641B3" w:rsidRPr="00F5514D">
        <w:rPr>
          <w:lang w:val="en-GB"/>
        </w:rPr>
        <w:t xml:space="preserve">, </w:t>
      </w:r>
      <w:r w:rsidR="00182C13" w:rsidRPr="00F5514D">
        <w:rPr>
          <w:lang w:val="en-GB"/>
        </w:rPr>
        <w:t>and then annual cashflows were estimated using the formulas provided in Table 1</w:t>
      </w:r>
      <w:r w:rsidR="00E17F34">
        <w:rPr>
          <w:lang w:val="en-GB"/>
        </w:rPr>
        <w:t>5</w:t>
      </w:r>
      <w:r w:rsidR="00182C13" w:rsidRPr="00F5514D">
        <w:rPr>
          <w:lang w:val="en-GB"/>
        </w:rPr>
        <w:t xml:space="preserve"> below.</w:t>
      </w:r>
    </w:p>
    <w:p w14:paraId="1F9A6C17" w14:textId="77777777" w:rsidR="00E17F34" w:rsidRDefault="00E17F34" w:rsidP="00453702">
      <w:pPr>
        <w:rPr>
          <w:b/>
          <w:bCs/>
          <w:lang w:val="en-GB"/>
        </w:rPr>
      </w:pPr>
    </w:p>
    <w:p w14:paraId="3E8B1722" w14:textId="77777777" w:rsidR="00E17F34" w:rsidRDefault="00E17F34" w:rsidP="00453702">
      <w:pPr>
        <w:rPr>
          <w:b/>
          <w:bCs/>
          <w:lang w:val="en-GB"/>
        </w:rPr>
      </w:pPr>
    </w:p>
    <w:p w14:paraId="0E9E3A83" w14:textId="77777777" w:rsidR="00E17F34" w:rsidRDefault="00E17F34" w:rsidP="00453702">
      <w:pPr>
        <w:rPr>
          <w:b/>
          <w:bCs/>
          <w:lang w:val="en-GB"/>
        </w:rPr>
      </w:pPr>
    </w:p>
    <w:p w14:paraId="5700603D" w14:textId="77777777" w:rsidR="00E17F34" w:rsidRDefault="00E17F34" w:rsidP="00453702">
      <w:pPr>
        <w:rPr>
          <w:b/>
          <w:bCs/>
          <w:lang w:val="en-GB"/>
        </w:rPr>
      </w:pPr>
    </w:p>
    <w:p w14:paraId="6D64E699" w14:textId="77777777" w:rsidR="00E17F34" w:rsidRDefault="00E17F34" w:rsidP="00453702">
      <w:pPr>
        <w:rPr>
          <w:b/>
          <w:bCs/>
          <w:lang w:val="en-GB"/>
        </w:rPr>
      </w:pPr>
    </w:p>
    <w:p w14:paraId="4752EC71" w14:textId="77777777" w:rsidR="00E17F34" w:rsidRDefault="00E17F34" w:rsidP="00453702">
      <w:pPr>
        <w:rPr>
          <w:b/>
          <w:bCs/>
          <w:lang w:val="en-GB"/>
        </w:rPr>
      </w:pPr>
    </w:p>
    <w:p w14:paraId="00C520B8" w14:textId="52EF7471" w:rsidR="00453702" w:rsidRDefault="00182C13" w:rsidP="00453702">
      <w:pPr>
        <w:rPr>
          <w:lang w:val="en-GB"/>
        </w:rPr>
      </w:pPr>
      <w:r w:rsidRPr="00F5514D">
        <w:rPr>
          <w:b/>
          <w:bCs/>
          <w:lang w:val="en-GB"/>
        </w:rPr>
        <w:lastRenderedPageBreak/>
        <w:t>Table 1</w:t>
      </w:r>
      <w:r w:rsidR="00C7020D">
        <w:rPr>
          <w:b/>
          <w:bCs/>
          <w:lang w:val="en-GB"/>
        </w:rPr>
        <w:t>5</w:t>
      </w:r>
      <w:r w:rsidRPr="00F5514D">
        <w:rPr>
          <w:b/>
          <w:bCs/>
          <w:lang w:val="en-GB"/>
        </w:rPr>
        <w:t xml:space="preserve">. </w:t>
      </w:r>
      <w:r w:rsidRPr="00F5514D">
        <w:rPr>
          <w:lang w:val="en-GB"/>
        </w:rPr>
        <w:t>Calculation table for cashflows</w:t>
      </w:r>
    </w:p>
    <w:p w14:paraId="5CD80D44" w14:textId="007C00A6" w:rsidR="00453702" w:rsidRPr="00674F56" w:rsidRDefault="00674F56" w:rsidP="00C7020D">
      <w:pPr>
        <w:jc w:val="left"/>
        <w:rPr>
          <w:lang w:val="en-HK"/>
        </w:rPr>
      </w:pPr>
      <w:r>
        <w:rPr>
          <w:noProof/>
        </w:rPr>
        <w:drawing>
          <wp:inline distT="0" distB="0" distL="0" distR="0" wp14:anchorId="30318CF7" wp14:editId="5FDDD576">
            <wp:extent cx="5731510" cy="4193540"/>
            <wp:effectExtent l="0" t="0" r="0" b="0"/>
            <wp:docPr id="576284139" name="Picture 9">
              <a:extLst xmlns:a="http://schemas.openxmlformats.org/drawingml/2006/main">
                <a:ext uri="{FF2B5EF4-FFF2-40B4-BE49-F238E27FC236}">
                  <a16:creationId xmlns:a16="http://schemas.microsoft.com/office/drawing/2014/main" id="{695F6E12-1235-E639-8829-5D39874762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695F6E12-1235-E639-8829-5D3987476299}"/>
                        </a:ext>
                      </a:extLst>
                    </pic:cNvPr>
                    <pic:cNvPicPr>
                      <a:picLocks noChangeAspect="1"/>
                    </pic:cNvPicPr>
                  </pic:nvPicPr>
                  <pic:blipFill>
                    <a:blip r:embed="rId25"/>
                    <a:stretch>
                      <a:fillRect/>
                    </a:stretch>
                  </pic:blipFill>
                  <pic:spPr>
                    <a:xfrm>
                      <a:off x="0" y="0"/>
                      <a:ext cx="5731510" cy="4193540"/>
                    </a:xfrm>
                    <a:prstGeom prst="rect">
                      <a:avLst/>
                    </a:prstGeom>
                  </pic:spPr>
                </pic:pic>
              </a:graphicData>
            </a:graphic>
          </wp:inline>
        </w:drawing>
      </w:r>
    </w:p>
    <w:p w14:paraId="7BB854D1" w14:textId="2A307B06" w:rsidR="00453702" w:rsidRPr="00F5514D" w:rsidRDefault="00182C13" w:rsidP="00182C13">
      <w:pPr>
        <w:ind w:firstLine="720"/>
        <w:rPr>
          <w:lang w:val="en-GB"/>
        </w:rPr>
      </w:pPr>
      <w:r w:rsidRPr="00F5514D">
        <w:rPr>
          <w:lang w:val="en-GB"/>
        </w:rPr>
        <w:t>The first-year cashflow breakdown is provided in Table 1</w:t>
      </w:r>
      <w:r w:rsidR="00E17F34">
        <w:rPr>
          <w:lang w:val="en-GB"/>
        </w:rPr>
        <w:t>6</w:t>
      </w:r>
      <w:r w:rsidRPr="00F5514D">
        <w:rPr>
          <w:lang w:val="en-GB"/>
        </w:rPr>
        <w:t xml:space="preserve"> below.</w:t>
      </w:r>
    </w:p>
    <w:p w14:paraId="14BC086C" w14:textId="26B443C9" w:rsidR="00182C13" w:rsidRPr="00F5514D" w:rsidRDefault="00182C13" w:rsidP="00182C13">
      <w:pPr>
        <w:rPr>
          <w:lang w:val="en-GB"/>
        </w:rPr>
      </w:pPr>
      <w:r w:rsidRPr="00F5514D">
        <w:rPr>
          <w:b/>
          <w:bCs/>
          <w:lang w:val="en-GB"/>
        </w:rPr>
        <w:t>Table 1</w:t>
      </w:r>
      <w:r w:rsidR="00E17F34">
        <w:rPr>
          <w:b/>
          <w:bCs/>
          <w:lang w:val="en-GB"/>
        </w:rPr>
        <w:t>6</w:t>
      </w:r>
      <w:r w:rsidRPr="00F5514D">
        <w:rPr>
          <w:b/>
          <w:bCs/>
          <w:lang w:val="en-GB"/>
        </w:rPr>
        <w:t xml:space="preserve">. </w:t>
      </w:r>
      <w:r w:rsidRPr="00F5514D">
        <w:rPr>
          <w:lang w:val="en-GB"/>
        </w:rPr>
        <w:t>Year 1 cashflows analysis table</w:t>
      </w:r>
    </w:p>
    <w:p w14:paraId="2BFE3573" w14:textId="3607F566" w:rsidR="00182C13" w:rsidRDefault="00E17F34" w:rsidP="00182C13">
      <w:pPr>
        <w:rPr>
          <w:lang w:val="en-GB"/>
        </w:rPr>
      </w:pPr>
      <w:r w:rsidRPr="00E17F34">
        <w:rPr>
          <w:noProof/>
        </w:rPr>
        <w:drawing>
          <wp:inline distT="0" distB="0" distL="0" distR="0" wp14:anchorId="44E57070" wp14:editId="0F0584C8">
            <wp:extent cx="5731510" cy="66167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661670"/>
                    </a:xfrm>
                    <a:prstGeom prst="rect">
                      <a:avLst/>
                    </a:prstGeom>
                    <a:noFill/>
                    <a:ln>
                      <a:noFill/>
                    </a:ln>
                  </pic:spPr>
                </pic:pic>
              </a:graphicData>
            </a:graphic>
          </wp:inline>
        </w:drawing>
      </w:r>
    </w:p>
    <w:p w14:paraId="34E50448" w14:textId="55EFF9C6" w:rsidR="00E17F34" w:rsidRPr="00F5514D" w:rsidRDefault="00E17F34" w:rsidP="00E17F34">
      <w:pPr>
        <w:ind w:firstLine="720"/>
        <w:rPr>
          <w:lang w:val="en-GB"/>
        </w:rPr>
      </w:pPr>
      <w:r w:rsidRPr="00F5514D">
        <w:rPr>
          <w:lang w:val="en-GB"/>
        </w:rPr>
        <w:t>Annual cashflows are provided in Table 1</w:t>
      </w:r>
      <w:r>
        <w:rPr>
          <w:lang w:val="en-GB"/>
        </w:rPr>
        <w:t>7</w:t>
      </w:r>
      <w:r w:rsidRPr="00F5514D">
        <w:rPr>
          <w:lang w:val="en-GB"/>
        </w:rPr>
        <w:t xml:space="preserve"> below. </w:t>
      </w:r>
    </w:p>
    <w:p w14:paraId="50E22089" w14:textId="37E1837A" w:rsidR="00E17F34" w:rsidRPr="00F5514D" w:rsidRDefault="00E17F34" w:rsidP="00E17F34">
      <w:pPr>
        <w:rPr>
          <w:lang w:val="en-GB"/>
        </w:rPr>
      </w:pPr>
      <w:r w:rsidRPr="00F5514D">
        <w:rPr>
          <w:b/>
          <w:bCs/>
          <w:lang w:val="en-GB"/>
        </w:rPr>
        <w:t>Table 1</w:t>
      </w:r>
      <w:r>
        <w:rPr>
          <w:b/>
          <w:bCs/>
          <w:lang w:val="en-GB"/>
        </w:rPr>
        <w:t>7</w:t>
      </w:r>
      <w:r w:rsidRPr="00F5514D">
        <w:rPr>
          <w:b/>
          <w:bCs/>
          <w:lang w:val="en-GB"/>
        </w:rPr>
        <w:t xml:space="preserve">. </w:t>
      </w:r>
      <w:r w:rsidRPr="00F5514D">
        <w:rPr>
          <w:lang w:val="en-GB"/>
        </w:rPr>
        <w:t>Annual cashflows of five years of operations analysis table</w:t>
      </w:r>
    </w:p>
    <w:p w14:paraId="6A5E0B51" w14:textId="3006842C" w:rsidR="00E17F34" w:rsidRPr="00F5514D" w:rsidRDefault="00E17F34" w:rsidP="00182C13">
      <w:pPr>
        <w:rPr>
          <w:lang w:val="en-GB"/>
        </w:rPr>
      </w:pPr>
      <w:r w:rsidRPr="00E17F34">
        <w:rPr>
          <w:noProof/>
        </w:rPr>
        <w:drawing>
          <wp:inline distT="0" distB="0" distL="0" distR="0" wp14:anchorId="30D98263" wp14:editId="38B91925">
            <wp:extent cx="5098415" cy="1155700"/>
            <wp:effectExtent l="0" t="0" r="6985"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98415" cy="1155700"/>
                    </a:xfrm>
                    <a:prstGeom prst="rect">
                      <a:avLst/>
                    </a:prstGeom>
                    <a:noFill/>
                    <a:ln>
                      <a:noFill/>
                    </a:ln>
                  </pic:spPr>
                </pic:pic>
              </a:graphicData>
            </a:graphic>
          </wp:inline>
        </w:drawing>
      </w:r>
    </w:p>
    <w:p w14:paraId="74C6CBC4" w14:textId="77777777" w:rsidR="00621F5D" w:rsidRDefault="00621F5D" w:rsidP="00C7020D">
      <w:pPr>
        <w:pStyle w:val="Heading2"/>
        <w:rPr>
          <w:lang w:val="en-GB"/>
        </w:rPr>
      </w:pPr>
      <w:bookmarkStart w:id="22" w:name="_Toc175504261"/>
    </w:p>
    <w:p w14:paraId="2A254943" w14:textId="77777777" w:rsidR="00621F5D" w:rsidRDefault="00621F5D" w:rsidP="00C7020D">
      <w:pPr>
        <w:pStyle w:val="Heading2"/>
        <w:rPr>
          <w:lang w:val="en-GB"/>
        </w:rPr>
      </w:pPr>
    </w:p>
    <w:p w14:paraId="77D12A45" w14:textId="77777777" w:rsidR="00621F5D" w:rsidRDefault="00621F5D">
      <w:pPr>
        <w:spacing w:after="200" w:line="276" w:lineRule="auto"/>
        <w:jc w:val="left"/>
        <w:rPr>
          <w:rFonts w:eastAsiaTheme="majorEastAsia" w:cstheme="majorBidi"/>
          <w:b/>
          <w:szCs w:val="26"/>
          <w:lang w:val="en-GB"/>
        </w:rPr>
      </w:pPr>
      <w:r>
        <w:rPr>
          <w:lang w:val="en-GB"/>
        </w:rPr>
        <w:br w:type="page"/>
      </w:r>
    </w:p>
    <w:p w14:paraId="7C196614" w14:textId="3D581958" w:rsidR="00C7020D" w:rsidRPr="00F5514D" w:rsidRDefault="00C7020D" w:rsidP="00C7020D">
      <w:pPr>
        <w:pStyle w:val="Heading2"/>
        <w:rPr>
          <w:lang w:val="en-GB"/>
        </w:rPr>
      </w:pPr>
      <w:r w:rsidRPr="00F5514D">
        <w:rPr>
          <w:lang w:val="en-GB"/>
        </w:rPr>
        <w:lastRenderedPageBreak/>
        <w:t>4.3 Tax Calculation</w:t>
      </w:r>
      <w:bookmarkEnd w:id="22"/>
    </w:p>
    <w:p w14:paraId="756E12C9" w14:textId="7F225388" w:rsidR="00C7020D" w:rsidRPr="00F5514D" w:rsidRDefault="00C7020D" w:rsidP="00C7020D">
      <w:pPr>
        <w:ind w:firstLine="720"/>
        <w:rPr>
          <w:lang w:val="en-GB"/>
        </w:rPr>
      </w:pPr>
      <w:r>
        <w:rPr>
          <w:lang w:val="en-GB"/>
        </w:rPr>
        <w:t xml:space="preserve">The effective tax rate for the company was 16.5%, which is the corporate tax rate in Hogg Kong. The tax expense was calculated taking into consideration depreciation </w:t>
      </w:r>
      <w:r w:rsidR="00E17F34">
        <w:rPr>
          <w:lang w:val="en-GB"/>
        </w:rPr>
        <w:t>calculated in Table 12 with basic assumptions of the project. Table 18 below provides a breakdown of tax calculations for annual cashflows.</w:t>
      </w:r>
    </w:p>
    <w:p w14:paraId="1AD39D3C" w14:textId="25424E8A" w:rsidR="00C7020D" w:rsidRPr="00F5514D" w:rsidRDefault="00C7020D" w:rsidP="00C7020D">
      <w:pPr>
        <w:rPr>
          <w:lang w:val="en-GB"/>
        </w:rPr>
      </w:pPr>
      <w:r w:rsidRPr="00F5514D">
        <w:rPr>
          <w:b/>
          <w:bCs/>
          <w:lang w:val="en-GB"/>
        </w:rPr>
        <w:t>Table 1</w:t>
      </w:r>
      <w:r w:rsidR="00E17F34">
        <w:rPr>
          <w:b/>
          <w:bCs/>
          <w:lang w:val="en-GB"/>
        </w:rPr>
        <w:t>8</w:t>
      </w:r>
      <w:r w:rsidRPr="00F5514D">
        <w:rPr>
          <w:b/>
          <w:bCs/>
          <w:lang w:val="en-GB"/>
        </w:rPr>
        <w:t xml:space="preserve">. </w:t>
      </w:r>
      <w:r w:rsidRPr="00F5514D">
        <w:rPr>
          <w:lang w:val="en-GB"/>
        </w:rPr>
        <w:t>Analysis and calculation table</w:t>
      </w:r>
    </w:p>
    <w:p w14:paraId="4343D625" w14:textId="5DCA8807" w:rsidR="00C7020D" w:rsidRPr="00F5514D" w:rsidRDefault="00E17F34" w:rsidP="00C7020D">
      <w:pPr>
        <w:rPr>
          <w:lang w:val="en-GB"/>
        </w:rPr>
      </w:pPr>
      <w:r w:rsidRPr="00E17F34">
        <w:rPr>
          <w:noProof/>
        </w:rPr>
        <w:drawing>
          <wp:inline distT="0" distB="0" distL="0" distR="0" wp14:anchorId="0A2183D1" wp14:editId="048E2FC0">
            <wp:extent cx="5098415" cy="1726565"/>
            <wp:effectExtent l="0" t="0" r="6985"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98415" cy="1726565"/>
                    </a:xfrm>
                    <a:prstGeom prst="rect">
                      <a:avLst/>
                    </a:prstGeom>
                    <a:noFill/>
                    <a:ln>
                      <a:noFill/>
                    </a:ln>
                  </pic:spPr>
                </pic:pic>
              </a:graphicData>
            </a:graphic>
          </wp:inline>
        </w:drawing>
      </w:r>
    </w:p>
    <w:p w14:paraId="790C1E0B" w14:textId="3303BBB6" w:rsidR="00BF01EE" w:rsidRDefault="00BF01EE" w:rsidP="00BF01EE">
      <w:pPr>
        <w:ind w:firstLine="720"/>
        <w:rPr>
          <w:lang w:val="en-GB"/>
        </w:rPr>
      </w:pPr>
      <w:r>
        <w:rPr>
          <w:lang w:val="en-GB"/>
        </w:rPr>
        <w:t>The overall analysis of cashflows after including tax and recover of the initial investment in working capital is provided in Table 19 below.</w:t>
      </w:r>
    </w:p>
    <w:p w14:paraId="3145133A" w14:textId="4D345F0F" w:rsidR="00BF01EE" w:rsidRPr="00BF01EE" w:rsidRDefault="00BF01EE" w:rsidP="00BF01EE">
      <w:pPr>
        <w:rPr>
          <w:lang w:val="en-GB"/>
        </w:rPr>
      </w:pPr>
      <w:r>
        <w:rPr>
          <w:b/>
          <w:bCs/>
          <w:lang w:val="en-GB"/>
        </w:rPr>
        <w:t xml:space="preserve">Table 19. </w:t>
      </w:r>
      <w:r w:rsidRPr="00BF01EE">
        <w:rPr>
          <w:lang w:val="en-GB"/>
        </w:rPr>
        <w:t>Final annual cashflows</w:t>
      </w:r>
    </w:p>
    <w:p w14:paraId="5A3A1B24" w14:textId="3A326F76" w:rsidR="00BF01EE" w:rsidRDefault="009F215C" w:rsidP="00BF01EE">
      <w:pPr>
        <w:rPr>
          <w:lang w:val="en-GB"/>
        </w:rPr>
      </w:pPr>
      <w:r w:rsidRPr="009F215C">
        <w:rPr>
          <w:lang w:val="en-GB"/>
        </w:rPr>
        <w:drawing>
          <wp:inline distT="0" distB="0" distL="0" distR="0" wp14:anchorId="3BEACE4B" wp14:editId="187BDA4E">
            <wp:extent cx="5731510" cy="2272030"/>
            <wp:effectExtent l="0" t="0" r="0" b="1270"/>
            <wp:docPr id="169713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35531" name=""/>
                    <pic:cNvPicPr/>
                  </pic:nvPicPr>
                  <pic:blipFill>
                    <a:blip r:embed="rId29"/>
                    <a:stretch>
                      <a:fillRect/>
                    </a:stretch>
                  </pic:blipFill>
                  <pic:spPr>
                    <a:xfrm>
                      <a:off x="0" y="0"/>
                      <a:ext cx="5731510" cy="2272030"/>
                    </a:xfrm>
                    <a:prstGeom prst="rect">
                      <a:avLst/>
                    </a:prstGeom>
                  </pic:spPr>
                </pic:pic>
              </a:graphicData>
            </a:graphic>
          </wp:inline>
        </w:drawing>
      </w:r>
    </w:p>
    <w:p w14:paraId="710D64A6" w14:textId="0A2C723C" w:rsidR="00453702" w:rsidRPr="00F5514D" w:rsidRDefault="00B40953" w:rsidP="00B40953">
      <w:pPr>
        <w:pStyle w:val="Heading2"/>
        <w:rPr>
          <w:lang w:val="en-GB"/>
        </w:rPr>
      </w:pPr>
      <w:bookmarkStart w:id="23" w:name="_Toc175504262"/>
      <w:r w:rsidRPr="00F5514D">
        <w:rPr>
          <w:lang w:val="en-GB"/>
        </w:rPr>
        <w:t>4.5 NPV and ARR</w:t>
      </w:r>
      <w:bookmarkEnd w:id="23"/>
    </w:p>
    <w:p w14:paraId="662721A4" w14:textId="6D2F8DD3" w:rsidR="00B40953" w:rsidRDefault="008465F1" w:rsidP="008465F1">
      <w:pPr>
        <w:ind w:firstLine="720"/>
        <w:rPr>
          <w:lang w:val="en-GB"/>
        </w:rPr>
      </w:pPr>
      <w:r w:rsidRPr="00F5514D">
        <w:rPr>
          <w:lang w:val="en-GB"/>
        </w:rPr>
        <w:t xml:space="preserve">NPV and ARR are crucial metrics that help to help the make a decision concerning taking up a project. Table </w:t>
      </w:r>
      <w:r w:rsidR="00BF01EE">
        <w:rPr>
          <w:lang w:val="en-GB"/>
        </w:rPr>
        <w:t>20</w:t>
      </w:r>
      <w:r w:rsidRPr="00F5514D">
        <w:rPr>
          <w:lang w:val="en-GB"/>
        </w:rPr>
        <w:t xml:space="preserve"> below demonstrates how NPV was calculated with interest rate (r) of 5%.</w:t>
      </w:r>
    </w:p>
    <w:p w14:paraId="5460CD83" w14:textId="77777777" w:rsidR="00BF01EE" w:rsidRPr="00F5514D" w:rsidRDefault="00BF01EE" w:rsidP="008465F1">
      <w:pPr>
        <w:ind w:firstLine="720"/>
        <w:rPr>
          <w:lang w:val="en-GB"/>
        </w:rPr>
      </w:pPr>
    </w:p>
    <w:p w14:paraId="14524D12" w14:textId="77777777" w:rsidR="0040267B" w:rsidRDefault="0040267B" w:rsidP="00BF01EE">
      <w:pPr>
        <w:rPr>
          <w:b/>
          <w:bCs/>
          <w:lang w:val="en-GB"/>
        </w:rPr>
      </w:pPr>
    </w:p>
    <w:p w14:paraId="6346ADDD" w14:textId="77777777" w:rsidR="0040267B" w:rsidRDefault="0040267B" w:rsidP="00BF01EE">
      <w:pPr>
        <w:rPr>
          <w:b/>
          <w:bCs/>
          <w:lang w:val="en-GB"/>
        </w:rPr>
      </w:pPr>
    </w:p>
    <w:p w14:paraId="1E1D06A9" w14:textId="77777777" w:rsidR="00A6213D" w:rsidRDefault="00A6213D" w:rsidP="00BF01EE">
      <w:pPr>
        <w:rPr>
          <w:b/>
          <w:bCs/>
          <w:lang w:val="en-GB"/>
        </w:rPr>
      </w:pPr>
    </w:p>
    <w:p w14:paraId="2EDE629D" w14:textId="77777777" w:rsidR="00A6213D" w:rsidRDefault="00A6213D" w:rsidP="00BF01EE">
      <w:pPr>
        <w:rPr>
          <w:b/>
          <w:bCs/>
          <w:lang w:val="en-GB"/>
        </w:rPr>
      </w:pPr>
    </w:p>
    <w:p w14:paraId="13864074" w14:textId="34635F2A" w:rsidR="00BF01EE" w:rsidRPr="00BF01EE" w:rsidRDefault="008465F1" w:rsidP="00BF01EE">
      <w:pPr>
        <w:rPr>
          <w:lang w:val="en-GB"/>
        </w:rPr>
      </w:pPr>
      <w:r w:rsidRPr="00F5514D">
        <w:rPr>
          <w:b/>
          <w:bCs/>
          <w:lang w:val="en-GB"/>
        </w:rPr>
        <w:lastRenderedPageBreak/>
        <w:t xml:space="preserve">Table </w:t>
      </w:r>
      <w:r w:rsidR="00BF01EE">
        <w:rPr>
          <w:b/>
          <w:bCs/>
          <w:lang w:val="en-GB"/>
        </w:rPr>
        <w:t>20</w:t>
      </w:r>
      <w:r w:rsidRPr="00F5514D">
        <w:rPr>
          <w:b/>
          <w:bCs/>
          <w:lang w:val="en-GB"/>
        </w:rPr>
        <w:t xml:space="preserve">. </w:t>
      </w:r>
      <w:r w:rsidRPr="00F5514D">
        <w:rPr>
          <w:lang w:val="en-GB"/>
        </w:rPr>
        <w:t>NPV calculation table</w:t>
      </w:r>
    </w:p>
    <w:p w14:paraId="53F86102" w14:textId="4BCC2A01" w:rsidR="00621F5D" w:rsidRDefault="00621F5D" w:rsidP="002042AE">
      <w:pPr>
        <w:rPr>
          <w:lang w:val="en-GB"/>
        </w:rPr>
      </w:pPr>
      <w:r w:rsidRPr="00621F5D">
        <w:rPr>
          <w:lang w:val="en-GB"/>
        </w:rPr>
        <w:drawing>
          <wp:inline distT="0" distB="0" distL="0" distR="0" wp14:anchorId="3835A174" wp14:editId="155AAD85">
            <wp:extent cx="5731510" cy="663575"/>
            <wp:effectExtent l="0" t="0" r="0" b="0"/>
            <wp:docPr id="1077938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38564" name=""/>
                    <pic:cNvPicPr/>
                  </pic:nvPicPr>
                  <pic:blipFill>
                    <a:blip r:embed="rId30"/>
                    <a:stretch>
                      <a:fillRect/>
                    </a:stretch>
                  </pic:blipFill>
                  <pic:spPr>
                    <a:xfrm>
                      <a:off x="0" y="0"/>
                      <a:ext cx="5731510" cy="663575"/>
                    </a:xfrm>
                    <a:prstGeom prst="rect">
                      <a:avLst/>
                    </a:prstGeom>
                  </pic:spPr>
                </pic:pic>
              </a:graphicData>
            </a:graphic>
          </wp:inline>
        </w:drawing>
      </w:r>
    </w:p>
    <w:p w14:paraId="0C9C9080" w14:textId="5941FF9F" w:rsidR="00453702" w:rsidRPr="00F5514D" w:rsidRDefault="008465F1" w:rsidP="008465F1">
      <w:pPr>
        <w:ind w:firstLine="720"/>
        <w:rPr>
          <w:lang w:val="en-GB"/>
        </w:rPr>
      </w:pPr>
      <w:r w:rsidRPr="00F5514D">
        <w:rPr>
          <w:lang w:val="en-GB"/>
        </w:rPr>
        <w:t>Table 2</w:t>
      </w:r>
      <w:r w:rsidR="002813CA">
        <w:rPr>
          <w:lang w:val="en-GB"/>
        </w:rPr>
        <w:t>1</w:t>
      </w:r>
      <w:r w:rsidRPr="00F5514D">
        <w:rPr>
          <w:lang w:val="en-GB"/>
        </w:rPr>
        <w:t xml:space="preserve"> below demonstrates how the ARR was calculated.</w:t>
      </w:r>
    </w:p>
    <w:p w14:paraId="3F08676B" w14:textId="067D0DFF" w:rsidR="002813CA" w:rsidRPr="002813CA" w:rsidRDefault="008E31DE" w:rsidP="002813CA">
      <w:pPr>
        <w:rPr>
          <w:lang w:val="en-GB"/>
        </w:rPr>
      </w:pPr>
      <w:r w:rsidRPr="00F5514D">
        <w:rPr>
          <w:b/>
          <w:bCs/>
          <w:lang w:val="en-GB"/>
        </w:rPr>
        <w:t>Table 2</w:t>
      </w:r>
      <w:r w:rsidR="002813CA">
        <w:rPr>
          <w:b/>
          <w:bCs/>
          <w:lang w:val="en-GB"/>
        </w:rPr>
        <w:t>1</w:t>
      </w:r>
      <w:r w:rsidRPr="00F5514D">
        <w:rPr>
          <w:b/>
          <w:bCs/>
          <w:lang w:val="en-GB"/>
        </w:rPr>
        <w:t xml:space="preserve">. </w:t>
      </w:r>
      <w:r w:rsidRPr="00F5514D">
        <w:rPr>
          <w:lang w:val="en-GB"/>
        </w:rPr>
        <w:t>ARR calculation</w:t>
      </w:r>
    </w:p>
    <w:p w14:paraId="6D28B42F" w14:textId="71DEBCF4" w:rsidR="00453702" w:rsidRPr="00F5514D" w:rsidRDefault="004F7B3B" w:rsidP="008E31DE">
      <w:pPr>
        <w:rPr>
          <w:lang w:val="en-GB"/>
        </w:rPr>
      </w:pPr>
      <w:r w:rsidRPr="004F7B3B">
        <w:rPr>
          <w:lang w:val="en-GB"/>
        </w:rPr>
        <w:drawing>
          <wp:inline distT="0" distB="0" distL="0" distR="0" wp14:anchorId="0903DFD8" wp14:editId="74AF170A">
            <wp:extent cx="4889500" cy="774700"/>
            <wp:effectExtent l="0" t="0" r="0" b="0"/>
            <wp:docPr id="123017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75583" name=""/>
                    <pic:cNvPicPr/>
                  </pic:nvPicPr>
                  <pic:blipFill>
                    <a:blip r:embed="rId31"/>
                    <a:stretch>
                      <a:fillRect/>
                    </a:stretch>
                  </pic:blipFill>
                  <pic:spPr>
                    <a:xfrm>
                      <a:off x="0" y="0"/>
                      <a:ext cx="4889500" cy="774700"/>
                    </a:xfrm>
                    <a:prstGeom prst="rect">
                      <a:avLst/>
                    </a:prstGeom>
                  </pic:spPr>
                </pic:pic>
              </a:graphicData>
            </a:graphic>
          </wp:inline>
        </w:drawing>
      </w:r>
    </w:p>
    <w:p w14:paraId="5009D202" w14:textId="0FD378B2" w:rsidR="00453702" w:rsidRPr="00F5514D" w:rsidRDefault="006B1679" w:rsidP="006B1679">
      <w:pPr>
        <w:ind w:firstLine="720"/>
        <w:rPr>
          <w:lang w:val="en-GB"/>
        </w:rPr>
      </w:pPr>
      <w:r w:rsidRPr="00F5514D">
        <w:rPr>
          <w:lang w:val="en-GB"/>
        </w:rPr>
        <w:t>The analysis table of NPV is provided in Table 2</w:t>
      </w:r>
      <w:r w:rsidR="002813CA">
        <w:rPr>
          <w:lang w:val="en-GB"/>
        </w:rPr>
        <w:t>2</w:t>
      </w:r>
      <w:r w:rsidRPr="00F5514D">
        <w:rPr>
          <w:lang w:val="en-GB"/>
        </w:rPr>
        <w:t xml:space="preserve"> below.</w:t>
      </w:r>
    </w:p>
    <w:p w14:paraId="56EC2AC8" w14:textId="109191A7" w:rsidR="002813CA" w:rsidRPr="002813CA" w:rsidRDefault="006B1679" w:rsidP="002813CA">
      <w:pPr>
        <w:rPr>
          <w:lang w:val="en-GB"/>
        </w:rPr>
      </w:pPr>
      <w:r w:rsidRPr="00F5514D">
        <w:rPr>
          <w:b/>
          <w:bCs/>
          <w:lang w:val="en-GB"/>
        </w:rPr>
        <w:t>Table 2</w:t>
      </w:r>
      <w:r w:rsidR="002813CA">
        <w:rPr>
          <w:b/>
          <w:bCs/>
          <w:lang w:val="en-GB"/>
        </w:rPr>
        <w:t>2</w:t>
      </w:r>
      <w:r w:rsidRPr="00F5514D">
        <w:rPr>
          <w:b/>
          <w:bCs/>
          <w:lang w:val="en-GB"/>
        </w:rPr>
        <w:t xml:space="preserve">. </w:t>
      </w:r>
      <w:r w:rsidRPr="00F5514D">
        <w:rPr>
          <w:lang w:val="en-GB"/>
        </w:rPr>
        <w:t>Analysis of NPV and ARR</w:t>
      </w:r>
    </w:p>
    <w:p w14:paraId="5D56E364" w14:textId="2410726C" w:rsidR="006B1679" w:rsidRPr="004F7B3B" w:rsidRDefault="006A1A59" w:rsidP="006B1679">
      <w:pPr>
        <w:rPr>
          <w:lang w:val="en-HK"/>
        </w:rPr>
      </w:pPr>
      <w:r w:rsidRPr="006A1A59">
        <w:rPr>
          <w:lang w:val="en-HK"/>
        </w:rPr>
        <w:drawing>
          <wp:inline distT="0" distB="0" distL="0" distR="0" wp14:anchorId="260255B4" wp14:editId="32371D90">
            <wp:extent cx="5731510" cy="2316480"/>
            <wp:effectExtent l="0" t="0" r="0" b="0"/>
            <wp:docPr id="1004241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41483" name=""/>
                    <pic:cNvPicPr/>
                  </pic:nvPicPr>
                  <pic:blipFill>
                    <a:blip r:embed="rId32"/>
                    <a:stretch>
                      <a:fillRect/>
                    </a:stretch>
                  </pic:blipFill>
                  <pic:spPr>
                    <a:xfrm>
                      <a:off x="0" y="0"/>
                      <a:ext cx="5731510" cy="2316480"/>
                    </a:xfrm>
                    <a:prstGeom prst="rect">
                      <a:avLst/>
                    </a:prstGeom>
                  </pic:spPr>
                </pic:pic>
              </a:graphicData>
            </a:graphic>
          </wp:inline>
        </w:drawing>
      </w:r>
    </w:p>
    <w:p w14:paraId="2F0736D0" w14:textId="6F87A2EF" w:rsidR="006B1679" w:rsidRPr="00F5514D" w:rsidRDefault="006B1679" w:rsidP="006B1679">
      <w:pPr>
        <w:ind w:firstLine="720"/>
        <w:rPr>
          <w:lang w:val="en-GB"/>
        </w:rPr>
      </w:pPr>
      <w:r w:rsidRPr="00F5514D">
        <w:rPr>
          <w:lang w:val="en-GB"/>
        </w:rPr>
        <w:t>Both NPV and ARR demonstrate that the proposed invest is associated with adding value to the company’s operations.</w:t>
      </w:r>
    </w:p>
    <w:p w14:paraId="418297C5" w14:textId="77777777" w:rsidR="006B1679" w:rsidRPr="00F5514D" w:rsidRDefault="006B1679" w:rsidP="006B1679">
      <w:pPr>
        <w:ind w:firstLine="720"/>
        <w:rPr>
          <w:lang w:val="en-GB"/>
        </w:rPr>
      </w:pPr>
    </w:p>
    <w:p w14:paraId="0B0D5A69" w14:textId="5B5C4EB1" w:rsidR="006B1679" w:rsidRPr="00F5514D" w:rsidRDefault="006B1679" w:rsidP="006B1679">
      <w:pPr>
        <w:pStyle w:val="Heading2"/>
        <w:rPr>
          <w:lang w:val="en-GB"/>
        </w:rPr>
      </w:pPr>
      <w:bookmarkStart w:id="24" w:name="_Toc175504263"/>
      <w:r w:rsidRPr="00F5514D">
        <w:rPr>
          <w:lang w:val="en-GB"/>
        </w:rPr>
        <w:t>4.6 IRR and Payback Period</w:t>
      </w:r>
      <w:bookmarkEnd w:id="24"/>
    </w:p>
    <w:p w14:paraId="655301DE" w14:textId="02602416" w:rsidR="006B1679" w:rsidRPr="00F5514D" w:rsidRDefault="006B1679" w:rsidP="006B1679">
      <w:pPr>
        <w:ind w:firstLine="720"/>
        <w:rPr>
          <w:rFonts w:cs="Times New Roman"/>
          <w:lang w:val="en-GB"/>
        </w:rPr>
      </w:pPr>
      <w:r w:rsidRPr="00F5514D">
        <w:rPr>
          <w:rFonts w:cs="Times New Roman"/>
          <w:lang w:val="en-GB"/>
        </w:rPr>
        <w:t>IRR and Payback Period are also crucial metrics for investment appraisal that can help to make investment decision</w:t>
      </w:r>
      <w:r w:rsidR="0012501F" w:rsidRPr="00F5514D">
        <w:rPr>
          <w:rFonts w:cs="Times New Roman"/>
          <w:lang w:val="en-GB"/>
        </w:rPr>
        <w:t>. The calculation table if provided in Table 2</w:t>
      </w:r>
      <w:r w:rsidR="00556965">
        <w:rPr>
          <w:rFonts w:cs="Times New Roman"/>
          <w:lang w:val="en-GB"/>
        </w:rPr>
        <w:t>3</w:t>
      </w:r>
      <w:r w:rsidR="0012501F" w:rsidRPr="00F5514D">
        <w:rPr>
          <w:rFonts w:cs="Times New Roman"/>
          <w:lang w:val="en-GB"/>
        </w:rPr>
        <w:t xml:space="preserve"> below.</w:t>
      </w:r>
    </w:p>
    <w:p w14:paraId="78F68072" w14:textId="77777777" w:rsidR="002813CA" w:rsidRDefault="002813CA" w:rsidP="0012501F">
      <w:pPr>
        <w:rPr>
          <w:rFonts w:cs="Times New Roman"/>
          <w:b/>
          <w:bCs/>
          <w:lang w:val="en-GB"/>
        </w:rPr>
      </w:pPr>
    </w:p>
    <w:p w14:paraId="5E71EBCD" w14:textId="77777777" w:rsidR="002813CA" w:rsidRDefault="002813CA" w:rsidP="0012501F">
      <w:pPr>
        <w:rPr>
          <w:rFonts w:cs="Times New Roman"/>
          <w:b/>
          <w:bCs/>
          <w:lang w:val="en-GB"/>
        </w:rPr>
      </w:pPr>
    </w:p>
    <w:p w14:paraId="28873C39" w14:textId="503C21CC" w:rsidR="006A1A59" w:rsidRDefault="002042AE" w:rsidP="002042AE">
      <w:pPr>
        <w:spacing w:after="200" w:line="276" w:lineRule="auto"/>
        <w:jc w:val="left"/>
        <w:rPr>
          <w:rFonts w:cs="Times New Roman"/>
          <w:b/>
          <w:bCs/>
          <w:lang w:val="en-GB"/>
        </w:rPr>
      </w:pPr>
      <w:r>
        <w:rPr>
          <w:rFonts w:cs="Times New Roman"/>
          <w:b/>
          <w:bCs/>
          <w:lang w:val="en-GB"/>
        </w:rPr>
        <w:br w:type="page"/>
      </w:r>
    </w:p>
    <w:p w14:paraId="3E139EC4" w14:textId="0417F16D" w:rsidR="0012501F" w:rsidRPr="00F5514D" w:rsidRDefault="0012501F" w:rsidP="0012501F">
      <w:pPr>
        <w:rPr>
          <w:rFonts w:cs="Times New Roman"/>
          <w:lang w:val="en-GB"/>
        </w:rPr>
      </w:pPr>
      <w:r w:rsidRPr="00F5514D">
        <w:rPr>
          <w:rFonts w:cs="Times New Roman"/>
          <w:b/>
          <w:bCs/>
          <w:lang w:val="en-GB"/>
        </w:rPr>
        <w:lastRenderedPageBreak/>
        <w:t>Table 2</w:t>
      </w:r>
      <w:r w:rsidR="00556965">
        <w:rPr>
          <w:rFonts w:cs="Times New Roman"/>
          <w:b/>
          <w:bCs/>
          <w:lang w:val="en-GB"/>
        </w:rPr>
        <w:t>3</w:t>
      </w:r>
      <w:r w:rsidRPr="00F5514D">
        <w:rPr>
          <w:rFonts w:cs="Times New Roman"/>
          <w:b/>
          <w:bCs/>
          <w:lang w:val="en-GB"/>
        </w:rPr>
        <w:t xml:space="preserve">. </w:t>
      </w:r>
      <w:r w:rsidRPr="00F5514D">
        <w:rPr>
          <w:rFonts w:cs="Times New Roman"/>
          <w:lang w:val="en-GB"/>
        </w:rPr>
        <w:t>Payback period and IRR calculation</w:t>
      </w:r>
    </w:p>
    <w:p w14:paraId="01D787FF" w14:textId="44A29340" w:rsidR="0012501F" w:rsidRPr="00F5514D" w:rsidRDefault="006A1A59" w:rsidP="0012501F">
      <w:pPr>
        <w:rPr>
          <w:rFonts w:cs="Times New Roman"/>
          <w:lang w:val="en-GB"/>
        </w:rPr>
      </w:pPr>
      <w:r w:rsidRPr="006A1A59">
        <w:rPr>
          <w:rFonts w:cs="Times New Roman"/>
          <w:lang w:val="en-GB"/>
        </w:rPr>
        <w:drawing>
          <wp:inline distT="0" distB="0" distL="0" distR="0" wp14:anchorId="2BF7C895" wp14:editId="17EED519">
            <wp:extent cx="5731510" cy="882015"/>
            <wp:effectExtent l="0" t="0" r="0" b="0"/>
            <wp:docPr id="108092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26671" name=""/>
                    <pic:cNvPicPr/>
                  </pic:nvPicPr>
                  <pic:blipFill>
                    <a:blip r:embed="rId33"/>
                    <a:stretch>
                      <a:fillRect/>
                    </a:stretch>
                  </pic:blipFill>
                  <pic:spPr>
                    <a:xfrm>
                      <a:off x="0" y="0"/>
                      <a:ext cx="5731510" cy="882015"/>
                    </a:xfrm>
                    <a:prstGeom prst="rect">
                      <a:avLst/>
                    </a:prstGeom>
                  </pic:spPr>
                </pic:pic>
              </a:graphicData>
            </a:graphic>
          </wp:inline>
        </w:drawing>
      </w:r>
    </w:p>
    <w:p w14:paraId="11694AA5" w14:textId="77F5B9B3" w:rsidR="0012501F" w:rsidRPr="00F5514D" w:rsidRDefault="0012501F" w:rsidP="0012501F">
      <w:pPr>
        <w:ind w:firstLine="720"/>
        <w:rPr>
          <w:rFonts w:cs="Times New Roman"/>
          <w:lang w:val="en-GB"/>
        </w:rPr>
      </w:pPr>
      <w:r w:rsidRPr="00F5514D">
        <w:rPr>
          <w:rFonts w:cs="Times New Roman"/>
          <w:lang w:val="en-GB"/>
        </w:rPr>
        <w:t>Table 2</w:t>
      </w:r>
      <w:r w:rsidR="00556965">
        <w:rPr>
          <w:rFonts w:cs="Times New Roman"/>
          <w:lang w:val="en-GB"/>
        </w:rPr>
        <w:t>4</w:t>
      </w:r>
      <w:r w:rsidRPr="00F5514D">
        <w:rPr>
          <w:rFonts w:cs="Times New Roman"/>
          <w:lang w:val="en-GB"/>
        </w:rPr>
        <w:t xml:space="preserve"> below provide a brief analysis of the estimations.</w:t>
      </w:r>
    </w:p>
    <w:p w14:paraId="7CA2A175" w14:textId="2C2B7172" w:rsidR="00556965" w:rsidRPr="00556965" w:rsidRDefault="0012501F" w:rsidP="00556965">
      <w:pPr>
        <w:rPr>
          <w:rFonts w:cs="Times New Roman"/>
          <w:lang w:val="en-GB"/>
        </w:rPr>
      </w:pPr>
      <w:r w:rsidRPr="00F5514D">
        <w:rPr>
          <w:rFonts w:cs="Times New Roman"/>
          <w:b/>
          <w:bCs/>
          <w:lang w:val="en-GB"/>
        </w:rPr>
        <w:t>Table 2</w:t>
      </w:r>
      <w:r w:rsidR="00556965">
        <w:rPr>
          <w:rFonts w:cs="Times New Roman"/>
          <w:b/>
          <w:bCs/>
          <w:lang w:val="en-GB"/>
        </w:rPr>
        <w:t>4</w:t>
      </w:r>
      <w:r w:rsidRPr="00F5514D">
        <w:rPr>
          <w:rFonts w:cs="Times New Roman"/>
          <w:b/>
          <w:bCs/>
          <w:lang w:val="en-GB"/>
        </w:rPr>
        <w:t xml:space="preserve">. </w:t>
      </w:r>
      <w:r w:rsidRPr="00F5514D">
        <w:rPr>
          <w:rFonts w:cs="Times New Roman"/>
          <w:lang w:val="en-GB"/>
        </w:rPr>
        <w:t>Analysis table of IRR and Payback Period</w:t>
      </w:r>
    </w:p>
    <w:p w14:paraId="3AB1A69C" w14:textId="29332A95" w:rsidR="0012501F" w:rsidRPr="0073026F" w:rsidRDefault="0073026F" w:rsidP="0012501F">
      <w:pPr>
        <w:rPr>
          <w:rFonts w:cs="Times New Roman"/>
          <w:lang w:val="en-HK"/>
        </w:rPr>
      </w:pPr>
      <w:r w:rsidRPr="0073026F">
        <w:rPr>
          <w:rFonts w:cs="Times New Roman"/>
          <w:lang w:val="en-HK"/>
        </w:rPr>
        <w:drawing>
          <wp:inline distT="0" distB="0" distL="0" distR="0" wp14:anchorId="2AF552E6" wp14:editId="21FB1500">
            <wp:extent cx="5731510" cy="3656330"/>
            <wp:effectExtent l="0" t="0" r="0" b="1270"/>
            <wp:docPr id="170114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40745" name=""/>
                    <pic:cNvPicPr/>
                  </pic:nvPicPr>
                  <pic:blipFill>
                    <a:blip r:embed="rId34"/>
                    <a:stretch>
                      <a:fillRect/>
                    </a:stretch>
                  </pic:blipFill>
                  <pic:spPr>
                    <a:xfrm>
                      <a:off x="0" y="0"/>
                      <a:ext cx="5731510" cy="3656330"/>
                    </a:xfrm>
                    <a:prstGeom prst="rect">
                      <a:avLst/>
                    </a:prstGeom>
                  </pic:spPr>
                </pic:pic>
              </a:graphicData>
            </a:graphic>
          </wp:inline>
        </w:drawing>
      </w:r>
    </w:p>
    <w:p w14:paraId="10580A03" w14:textId="524ACBC9" w:rsidR="006A33B6" w:rsidRPr="00F5514D" w:rsidRDefault="0012501F" w:rsidP="006A33B6">
      <w:pPr>
        <w:ind w:firstLine="720"/>
        <w:rPr>
          <w:rFonts w:cs="Times New Roman"/>
          <w:lang w:val="en-GB"/>
        </w:rPr>
      </w:pPr>
      <w:r w:rsidRPr="00F5514D">
        <w:rPr>
          <w:rFonts w:cs="Times New Roman"/>
          <w:lang w:val="en-GB"/>
        </w:rPr>
        <w:t xml:space="preserve">Overall, the metrics suggest that </w:t>
      </w:r>
      <w:r w:rsidR="006A33B6" w:rsidRPr="00F5514D">
        <w:rPr>
          <w:rFonts w:cs="Times New Roman"/>
          <w:lang w:val="en-GB"/>
        </w:rPr>
        <w:t>the proposed investment is expected to bring high profits within a reasonable time.</w:t>
      </w:r>
    </w:p>
    <w:p w14:paraId="139385B1" w14:textId="77777777" w:rsidR="006A33B6" w:rsidRPr="00F5514D" w:rsidRDefault="006A33B6" w:rsidP="006A33B6">
      <w:pPr>
        <w:pStyle w:val="Heading2"/>
        <w:rPr>
          <w:lang w:val="en-GB"/>
        </w:rPr>
      </w:pPr>
      <w:bookmarkStart w:id="25" w:name="_Toc175504264"/>
      <w:r w:rsidRPr="00F5514D">
        <w:rPr>
          <w:lang w:val="en-GB"/>
        </w:rPr>
        <w:t>4.7 Investment Appraisal</w:t>
      </w:r>
      <w:bookmarkEnd w:id="25"/>
    </w:p>
    <w:p w14:paraId="1D7C998A" w14:textId="0D35D8BD" w:rsidR="006A33B6" w:rsidRPr="006A33B6" w:rsidRDefault="006A33B6" w:rsidP="006A33B6">
      <w:pPr>
        <w:ind w:firstLine="720"/>
        <w:rPr>
          <w:rFonts w:cs="Times New Roman"/>
          <w:lang w:val="en-GB"/>
        </w:rPr>
      </w:pPr>
      <w:r w:rsidRPr="006A33B6">
        <w:rPr>
          <w:rFonts w:cs="Times New Roman"/>
          <w:lang w:val="en-GB"/>
        </w:rPr>
        <w:t xml:space="preserve">Investment appraisal involves evaluating the potential financial outcomes of a project to determine its feasibility and profitability. Techniques such as </w:t>
      </w:r>
      <w:r w:rsidRPr="00F5514D">
        <w:rPr>
          <w:rFonts w:cs="Times New Roman"/>
          <w:lang w:val="en-GB"/>
        </w:rPr>
        <w:t>NPV</w:t>
      </w:r>
      <w:r w:rsidRPr="006A33B6">
        <w:rPr>
          <w:rFonts w:cs="Times New Roman"/>
          <w:lang w:val="en-GB"/>
        </w:rPr>
        <w:t xml:space="preserve">, </w:t>
      </w:r>
      <w:r w:rsidRPr="00F5514D">
        <w:rPr>
          <w:rFonts w:cs="Times New Roman"/>
          <w:lang w:val="en-GB"/>
        </w:rPr>
        <w:t>IRR,</w:t>
      </w:r>
      <w:r w:rsidRPr="006A33B6">
        <w:rPr>
          <w:rFonts w:cs="Times New Roman"/>
          <w:lang w:val="en-GB"/>
        </w:rPr>
        <w:t xml:space="preserve"> and Payback Period provide crucial insights into whether the expected returns will justify the initial investment</w:t>
      </w:r>
      <w:r w:rsidRPr="00F5514D">
        <w:rPr>
          <w:rFonts w:cs="Times New Roman"/>
          <w:lang w:val="en-GB"/>
        </w:rPr>
        <w:t xml:space="preserve"> </w:t>
      </w:r>
      <w:r w:rsidRPr="006A33B6">
        <w:rPr>
          <w:rFonts w:cs="Times New Roman"/>
          <w:lang w:val="en-GB"/>
        </w:rPr>
        <w:t xml:space="preserve">(Harrison </w:t>
      </w:r>
      <w:r w:rsidR="00F65C2F" w:rsidRPr="00F5514D">
        <w:rPr>
          <w:rFonts w:cs="Times New Roman"/>
          <w:lang w:val="en-GB"/>
        </w:rPr>
        <w:t>and</w:t>
      </w:r>
      <w:r w:rsidRPr="006A33B6">
        <w:rPr>
          <w:rFonts w:cs="Times New Roman"/>
          <w:lang w:val="en-GB"/>
        </w:rPr>
        <w:t xml:space="preserve"> John, 20</w:t>
      </w:r>
      <w:r w:rsidR="00C60C49">
        <w:rPr>
          <w:rFonts w:cs="Times New Roman"/>
          <w:lang w:val="en-GB"/>
        </w:rPr>
        <w:t>13</w:t>
      </w:r>
      <w:r w:rsidRPr="006A33B6">
        <w:rPr>
          <w:rFonts w:cs="Times New Roman"/>
          <w:lang w:val="en-GB"/>
        </w:rPr>
        <w:t>). For Chow Tai Fook's new outlet, the positive NPV and an IRR exceeding the current interest rate suggest that the project is financially sound and likely to contribute positively to the company’s growth. These appraisal methods collectively ensure that the investment decisions are data-driven and aligned with the company's financial goals.</w:t>
      </w:r>
      <w:r w:rsidRPr="00F5514D">
        <w:rPr>
          <w:rFonts w:cs="Times New Roman"/>
          <w:lang w:val="en-GB"/>
        </w:rPr>
        <w:t xml:space="preserve"> However, the company should note that the investment will pay for itself only on Year 5, which demonstrates that if the stakeholders want faster payback, the investment should be reconsidered.</w:t>
      </w:r>
    </w:p>
    <w:p w14:paraId="501B0C7D" w14:textId="77777777" w:rsidR="006A33B6" w:rsidRPr="00F5514D" w:rsidRDefault="006A33B6" w:rsidP="006A33B6">
      <w:pPr>
        <w:pStyle w:val="Heading2"/>
        <w:rPr>
          <w:lang w:val="en-GB"/>
        </w:rPr>
      </w:pPr>
      <w:bookmarkStart w:id="26" w:name="_Toc175504265"/>
      <w:r w:rsidRPr="00F5514D">
        <w:rPr>
          <w:lang w:val="en-GB"/>
        </w:rPr>
        <w:lastRenderedPageBreak/>
        <w:t>4.8 New Project Appraisal Methods for Analysis</w:t>
      </w:r>
      <w:bookmarkEnd w:id="26"/>
    </w:p>
    <w:p w14:paraId="38BAEA95" w14:textId="64B55514" w:rsidR="006A33B6" w:rsidRPr="006A33B6" w:rsidRDefault="006A33B6" w:rsidP="006A33B6">
      <w:pPr>
        <w:ind w:firstLine="720"/>
        <w:rPr>
          <w:rFonts w:cs="Times New Roman"/>
          <w:lang w:val="en-GB"/>
        </w:rPr>
      </w:pPr>
      <w:r w:rsidRPr="006A33B6">
        <w:rPr>
          <w:rFonts w:cs="Times New Roman"/>
          <w:lang w:val="en-GB"/>
        </w:rPr>
        <w:t>Effective project appraisal requires the use of multiple methods to capture different aspects of financial viability. NPV and IRR are particularly valuable as they account for the time value of money, helping to compare the project’s cash inflows with the initial capital outlay over time. The Payback Period, while simpler, offers insights into the liquidity risks by indicating how quickly the initial investment will be recovered</w:t>
      </w:r>
      <w:r w:rsidRPr="00F5514D">
        <w:rPr>
          <w:rFonts w:cs="Times New Roman"/>
          <w:lang w:val="en-GB"/>
        </w:rPr>
        <w:t xml:space="preserve"> </w:t>
      </w:r>
      <w:r w:rsidRPr="006A33B6">
        <w:rPr>
          <w:rFonts w:cs="Times New Roman"/>
          <w:lang w:val="en-GB"/>
        </w:rPr>
        <w:t xml:space="preserve">(Fraser </w:t>
      </w:r>
      <w:r w:rsidR="00F65C2F" w:rsidRPr="00F5514D">
        <w:rPr>
          <w:rFonts w:cs="Times New Roman"/>
          <w:lang w:val="en-GB"/>
        </w:rPr>
        <w:t>and</w:t>
      </w:r>
      <w:r w:rsidRPr="006A33B6">
        <w:rPr>
          <w:rFonts w:cs="Times New Roman"/>
          <w:lang w:val="en-GB"/>
        </w:rPr>
        <w:t xml:space="preserve"> Ormiston, 202</w:t>
      </w:r>
      <w:r w:rsidR="00245BEF">
        <w:rPr>
          <w:rFonts w:cs="Times New Roman"/>
          <w:lang w:val="en-GB"/>
        </w:rPr>
        <w:t>3</w:t>
      </w:r>
      <w:r w:rsidRPr="006A33B6">
        <w:rPr>
          <w:rFonts w:cs="Times New Roman"/>
          <w:lang w:val="en-GB"/>
        </w:rPr>
        <w:t xml:space="preserve">). </w:t>
      </w:r>
      <w:r w:rsidRPr="00F5514D">
        <w:rPr>
          <w:rFonts w:cs="Times New Roman"/>
          <w:lang w:val="en-GB"/>
        </w:rPr>
        <w:t>C</w:t>
      </w:r>
      <w:r w:rsidRPr="006A33B6">
        <w:rPr>
          <w:rFonts w:cs="Times New Roman"/>
          <w:lang w:val="en-GB"/>
        </w:rPr>
        <w:t>ompanies can make more informed decisions, balancing the potential returns against the risks involved</w:t>
      </w:r>
      <w:r w:rsidRPr="00F5514D">
        <w:rPr>
          <w:rFonts w:cs="Times New Roman"/>
          <w:lang w:val="en-GB"/>
        </w:rPr>
        <w:t xml:space="preserve"> if the methods are used together.</w:t>
      </w:r>
    </w:p>
    <w:p w14:paraId="75C6216E" w14:textId="77777777" w:rsidR="006A33B6" w:rsidRPr="00F5514D" w:rsidRDefault="006A33B6" w:rsidP="006A33B6">
      <w:pPr>
        <w:pStyle w:val="Heading2"/>
        <w:rPr>
          <w:lang w:val="en-GB"/>
        </w:rPr>
      </w:pPr>
      <w:bookmarkStart w:id="27" w:name="_Toc175504266"/>
      <w:r w:rsidRPr="00F5514D">
        <w:rPr>
          <w:lang w:val="en-GB"/>
        </w:rPr>
        <w:t>4.9 Suggestion for Cashflow of New Project</w:t>
      </w:r>
      <w:bookmarkEnd w:id="27"/>
    </w:p>
    <w:p w14:paraId="4CFD67DB" w14:textId="5458265A" w:rsidR="006A33B6" w:rsidRPr="006A33B6" w:rsidRDefault="006A33B6" w:rsidP="006A33B6">
      <w:pPr>
        <w:ind w:firstLine="720"/>
        <w:rPr>
          <w:rFonts w:cs="Times New Roman"/>
          <w:lang w:val="en-GB"/>
        </w:rPr>
      </w:pPr>
      <w:r w:rsidRPr="006A33B6">
        <w:rPr>
          <w:rFonts w:cs="Times New Roman"/>
          <w:lang w:val="en-GB"/>
        </w:rPr>
        <w:t>To optimize the cash flow for Chow Tai Fook's new project, it is recommended to adopt a phased revenue growth strategy, beginning with conservative estimates and gradually increasing as the outlet gains market traction. This approach allows the company to monitor and adjust operations in response to market conditions, ensuring financial stability. Additionally, controlling operating expenses and maintaining a consistent margin on the cost of goods sold (COGS) will be critical for maximizing profitability</w:t>
      </w:r>
      <w:r w:rsidRPr="00F5514D">
        <w:rPr>
          <w:rFonts w:cs="Times New Roman"/>
          <w:lang w:val="en-GB"/>
        </w:rPr>
        <w:t xml:space="preserve"> </w:t>
      </w:r>
      <w:r w:rsidRPr="006A33B6">
        <w:rPr>
          <w:rFonts w:cs="Times New Roman"/>
          <w:lang w:val="en-GB"/>
        </w:rPr>
        <w:t>(</w:t>
      </w:r>
      <w:r w:rsidR="00DC7326" w:rsidRPr="00DC7326">
        <w:rPr>
          <w:rFonts w:cs="Times New Roman"/>
        </w:rPr>
        <w:t>Titman, Keown, and Martin</w:t>
      </w:r>
      <w:r w:rsidR="00DC7326">
        <w:rPr>
          <w:rFonts w:cs="Times New Roman"/>
        </w:rPr>
        <w:t>, 2021</w:t>
      </w:r>
      <w:r w:rsidRPr="006A33B6">
        <w:rPr>
          <w:rFonts w:cs="Times New Roman"/>
          <w:lang w:val="en-GB"/>
        </w:rPr>
        <w:t>). These strategies will help manage the project’s financial risks and ensure a stable cash flow that supports long-term success.</w:t>
      </w:r>
    </w:p>
    <w:p w14:paraId="7345A381" w14:textId="77777777" w:rsidR="00AF56AC" w:rsidRPr="00F5514D" w:rsidRDefault="00AF56AC">
      <w:pPr>
        <w:spacing w:after="200" w:line="276" w:lineRule="auto"/>
        <w:jc w:val="left"/>
        <w:rPr>
          <w:rFonts w:cs="Times New Roman"/>
          <w:lang w:val="en-GB"/>
        </w:rPr>
      </w:pPr>
    </w:p>
    <w:p w14:paraId="4B4AB018" w14:textId="77777777" w:rsidR="00AF56AC" w:rsidRPr="00F5514D" w:rsidRDefault="00AF56AC">
      <w:pPr>
        <w:spacing w:after="200" w:line="276" w:lineRule="auto"/>
        <w:jc w:val="left"/>
        <w:rPr>
          <w:rFonts w:cs="Times New Roman"/>
          <w:lang w:val="en-GB"/>
        </w:rPr>
      </w:pPr>
      <w:r w:rsidRPr="00F5514D">
        <w:rPr>
          <w:rFonts w:cs="Times New Roman"/>
          <w:lang w:val="en-GB"/>
        </w:rPr>
        <w:br w:type="page"/>
      </w:r>
    </w:p>
    <w:p w14:paraId="14A48F20" w14:textId="77777777" w:rsidR="00F65C2F" w:rsidRPr="00F5514D" w:rsidRDefault="00F65C2F" w:rsidP="00F65C2F">
      <w:pPr>
        <w:pStyle w:val="Heading1"/>
        <w:rPr>
          <w:sz w:val="27"/>
          <w:lang w:val="en-GB"/>
        </w:rPr>
      </w:pPr>
      <w:bookmarkStart w:id="28" w:name="_Toc175504267"/>
      <w:r w:rsidRPr="00F5514D">
        <w:rPr>
          <w:lang w:val="en-GB"/>
        </w:rPr>
        <w:lastRenderedPageBreak/>
        <w:t>5. Financing and Capital Management</w:t>
      </w:r>
      <w:bookmarkEnd w:id="28"/>
    </w:p>
    <w:p w14:paraId="08136B83" w14:textId="77777777" w:rsidR="00F65C2F" w:rsidRPr="00F5514D" w:rsidRDefault="00F65C2F" w:rsidP="00F65C2F">
      <w:pPr>
        <w:pStyle w:val="Heading2"/>
        <w:rPr>
          <w:lang w:val="en-GB"/>
        </w:rPr>
      </w:pPr>
      <w:bookmarkStart w:id="29" w:name="_Toc175504268"/>
      <w:r w:rsidRPr="00F5514D">
        <w:rPr>
          <w:lang w:val="en-GB"/>
        </w:rPr>
        <w:t>5.1 Financing Methods for Analysing</w:t>
      </w:r>
      <w:bookmarkEnd w:id="29"/>
    </w:p>
    <w:p w14:paraId="4387EEE9" w14:textId="206B8ABF" w:rsidR="00F65C2F" w:rsidRPr="00F5514D" w:rsidRDefault="00F65C2F" w:rsidP="00F65C2F">
      <w:pPr>
        <w:pStyle w:val="NormalWeb"/>
        <w:ind w:firstLine="720"/>
        <w:rPr>
          <w:lang w:val="en-GB"/>
        </w:rPr>
      </w:pPr>
      <w:r w:rsidRPr="00F5514D">
        <w:rPr>
          <w:lang w:val="en-GB"/>
        </w:rPr>
        <w:t xml:space="preserve">When considering financing options for raising funds equivalent to 3% of total assets, Chow Tai Fook has several avenues to explore. These include debt financing, equity financing, and hybrid instruments such as convertible bonds (Brealey, Myers, and Allen, 2020). </w:t>
      </w:r>
      <w:r w:rsidRPr="00F5514D">
        <w:rPr>
          <w:rStyle w:val="Strong"/>
          <w:b w:val="0"/>
          <w:bCs w:val="0"/>
          <w:lang w:val="en-GB"/>
        </w:rPr>
        <w:t>Debt Financing</w:t>
      </w:r>
      <w:r w:rsidRPr="00F5514D">
        <w:rPr>
          <w:lang w:val="en-GB"/>
        </w:rPr>
        <w:t xml:space="preserve"> involves borrowing funds from financial institutions or issuing bonds. The advantage of debt financing is the tax deductibility of interest payments, which can improve cash flow and profitability (Ross, Westerfield, and Jaffe, 2021). However, increasing debt raises the company's financial risk, as reflected in financial ratios like the debt-to-equity ratio, potentially leading to higher costs of future borrowing.</w:t>
      </w:r>
    </w:p>
    <w:p w14:paraId="0415C354" w14:textId="4A9A2888" w:rsidR="00F65C2F" w:rsidRPr="00F5514D" w:rsidRDefault="00F65C2F" w:rsidP="00F65C2F">
      <w:pPr>
        <w:pStyle w:val="NormalWeb"/>
        <w:ind w:firstLine="720"/>
        <w:rPr>
          <w:lang w:val="en-GB"/>
        </w:rPr>
      </w:pPr>
      <w:r w:rsidRPr="00F5514D">
        <w:rPr>
          <w:rStyle w:val="Strong"/>
          <w:b w:val="0"/>
          <w:bCs w:val="0"/>
          <w:lang w:val="en-GB"/>
        </w:rPr>
        <w:t>Equity Financing</w:t>
      </w:r>
      <w:r w:rsidRPr="00F5514D">
        <w:rPr>
          <w:lang w:val="en-GB"/>
        </w:rPr>
        <w:t xml:space="preserve"> involves issuing new shares to investors. This method does not require repayment and avoids interest costs, preserving the company's cash flow for operational needs (</w:t>
      </w:r>
      <w:proofErr w:type="spellStart"/>
      <w:r w:rsidR="00245BEF">
        <w:rPr>
          <w:lang w:val="en-GB"/>
        </w:rPr>
        <w:t>Dallocchio</w:t>
      </w:r>
      <w:proofErr w:type="spellEnd"/>
      <w:r w:rsidR="00245BEF">
        <w:rPr>
          <w:lang w:val="en-GB"/>
        </w:rPr>
        <w:t xml:space="preserve"> et al., 2017</w:t>
      </w:r>
      <w:r w:rsidRPr="00F5514D">
        <w:rPr>
          <w:lang w:val="en-GB"/>
        </w:rPr>
        <w:t xml:space="preserve">). The drawback is dilution of existing shareholders' equity and possible negative impacts on earnings per share and return on equity if the new capital does not generate proportional returns. </w:t>
      </w:r>
      <w:r w:rsidRPr="00F5514D">
        <w:rPr>
          <w:rStyle w:val="Strong"/>
          <w:b w:val="0"/>
          <w:bCs w:val="0"/>
          <w:lang w:val="en-GB"/>
        </w:rPr>
        <w:t>Hybrid Instruments</w:t>
      </w:r>
      <w:r w:rsidRPr="00F5514D">
        <w:rPr>
          <w:lang w:val="en-GB"/>
        </w:rPr>
        <w:t>, such as convertible bonds, offer flexibility, as they can be converted into equity at future dates. This reduces immediate dilution concerns and interest burdens, providing a strategic balance between debt and equity (Brealey, Myers, and Allen, 2020).</w:t>
      </w:r>
    </w:p>
    <w:p w14:paraId="51F31933" w14:textId="77777777" w:rsidR="00F65C2F" w:rsidRPr="00F5514D" w:rsidRDefault="00F65C2F" w:rsidP="00F65C2F">
      <w:pPr>
        <w:pStyle w:val="Heading2"/>
        <w:rPr>
          <w:lang w:val="en-GB"/>
        </w:rPr>
      </w:pPr>
      <w:bookmarkStart w:id="30" w:name="_Toc175504269"/>
      <w:r w:rsidRPr="00F5514D">
        <w:rPr>
          <w:lang w:val="en-GB"/>
        </w:rPr>
        <w:t>5.2 Financing Method Proposed</w:t>
      </w:r>
      <w:bookmarkEnd w:id="30"/>
    </w:p>
    <w:p w14:paraId="73FBF5AC" w14:textId="7B6C6931" w:rsidR="00F65C2F" w:rsidRPr="00F5514D" w:rsidRDefault="00F65C2F" w:rsidP="00F65C2F">
      <w:pPr>
        <w:pStyle w:val="NormalWeb"/>
        <w:ind w:firstLine="720"/>
        <w:rPr>
          <w:lang w:val="en-GB"/>
        </w:rPr>
      </w:pPr>
      <w:r w:rsidRPr="00F5514D">
        <w:rPr>
          <w:lang w:val="en-GB"/>
        </w:rPr>
        <w:t xml:space="preserve">Considering Chow Tai Fook's current financial structure and market conditions, a combination of debt financing and hybrid instruments is recommended. The company should consider issuing medium-term bonds combined with a smaller issuance of convertible bonds. This strategy allows Chow Tai Fook to leverage the lower interest rates associated with bonds while maintaining the flexibility to convert part of the debt into equity should the share price appreciate significantly. Issuing bonds will capitalise on the current low-interest environment, mitigating the impact on cash flows and preserving credit capacity for unforeseen needs (Ross, Westerfield, and Jaffe, </w:t>
      </w:r>
      <w:r w:rsidR="00DC7326">
        <w:rPr>
          <w:lang w:val="en-GB"/>
        </w:rPr>
        <w:t>2018</w:t>
      </w:r>
      <w:r w:rsidRPr="00F5514D">
        <w:rPr>
          <w:lang w:val="en-GB"/>
        </w:rPr>
        <w:t>). The convertible bonds will serve to attract investors looking for growth potential with reduced risk, offering a potential future conversion at a favourable conversion rate.</w:t>
      </w:r>
    </w:p>
    <w:p w14:paraId="23935D3D" w14:textId="20455082" w:rsidR="00042FED" w:rsidRPr="00F5514D" w:rsidRDefault="00F65C2F" w:rsidP="00F65C2F">
      <w:pPr>
        <w:pStyle w:val="NormalWeb"/>
        <w:ind w:firstLine="720"/>
        <w:rPr>
          <w:lang w:val="en-GB"/>
        </w:rPr>
      </w:pPr>
      <w:r w:rsidRPr="00F5514D">
        <w:rPr>
          <w:lang w:val="en-GB"/>
        </w:rPr>
        <w:t>This mixed approach balances the immediate need for cash with long-term strategic flexibility, minimising the dilution of ownership and keeping the company's leverage within manageable limits. It aligns with maintaining a healthy working capital cycle and optimising the company’s current and quick ratios, ensuring operational liquidity without compromising on strategic financial health (</w:t>
      </w:r>
      <w:proofErr w:type="spellStart"/>
      <w:r w:rsidR="00245BEF">
        <w:rPr>
          <w:lang w:val="en-GB"/>
        </w:rPr>
        <w:t>Dallocchio</w:t>
      </w:r>
      <w:proofErr w:type="spellEnd"/>
      <w:r w:rsidR="00245BEF">
        <w:rPr>
          <w:lang w:val="en-GB"/>
        </w:rPr>
        <w:t xml:space="preserve"> et al., 2017</w:t>
      </w:r>
      <w:r w:rsidRPr="00F5514D">
        <w:rPr>
          <w:lang w:val="en-GB"/>
        </w:rPr>
        <w:t>).</w:t>
      </w:r>
      <w:r w:rsidR="00042FED" w:rsidRPr="00F5514D">
        <w:rPr>
          <w:lang w:val="en-GB"/>
        </w:rPr>
        <w:br w:type="page"/>
      </w:r>
    </w:p>
    <w:p w14:paraId="35AC95D8" w14:textId="1F893BE6" w:rsidR="00042FED" w:rsidRPr="00F5514D" w:rsidRDefault="00042FED" w:rsidP="00042FED">
      <w:pPr>
        <w:pStyle w:val="Heading1"/>
        <w:rPr>
          <w:lang w:val="en-GB"/>
        </w:rPr>
      </w:pPr>
      <w:bookmarkStart w:id="31" w:name="_Toc175504270"/>
      <w:r w:rsidRPr="00F5514D">
        <w:rPr>
          <w:lang w:val="en-GB"/>
        </w:rPr>
        <w:lastRenderedPageBreak/>
        <w:t xml:space="preserve">6. Recommendations and </w:t>
      </w:r>
      <w:r w:rsidR="00F65C2F" w:rsidRPr="00F5514D">
        <w:rPr>
          <w:lang w:val="en-GB"/>
        </w:rPr>
        <w:t>Action Plan</w:t>
      </w:r>
      <w:bookmarkEnd w:id="31"/>
    </w:p>
    <w:p w14:paraId="5273C833" w14:textId="7158D091" w:rsidR="00042FED" w:rsidRPr="00F5514D" w:rsidRDefault="00F65C2F" w:rsidP="00F65C2F">
      <w:pPr>
        <w:ind w:firstLine="720"/>
        <w:rPr>
          <w:lang w:val="en-GB"/>
        </w:rPr>
      </w:pPr>
      <w:r w:rsidRPr="00F65C2F">
        <w:rPr>
          <w:lang w:val="en-GB"/>
        </w:rPr>
        <w:t>The following action plan outlines a strategic approach to addressing the critical financial and operational challenges identified in the earlier analysis of Chow Tai Fook. This plan is structured over four quarters, prioritizing actions that target key areas such as financial stability, operational efficiency, and corporate governance to ensure the company’s sustained growth and resilience. Each action is designed to improve specific financial metrics and operational outcomes, aligning with the company’s long-term objectives.</w:t>
      </w:r>
      <w:r w:rsidRPr="00F5514D">
        <w:rPr>
          <w:lang w:val="en-GB"/>
        </w:rPr>
        <w:t xml:space="preserve"> </w:t>
      </w:r>
      <w:r w:rsidR="00AF56AC" w:rsidRPr="00F5514D">
        <w:rPr>
          <w:lang w:val="en-GB"/>
        </w:rPr>
        <w:t>Table 2</w:t>
      </w:r>
      <w:r w:rsidR="00556965">
        <w:rPr>
          <w:lang w:val="en-GB"/>
        </w:rPr>
        <w:t>5</w:t>
      </w:r>
      <w:r w:rsidR="00AF56AC" w:rsidRPr="00F5514D">
        <w:rPr>
          <w:lang w:val="en-GB"/>
        </w:rPr>
        <w:t xml:space="preserve"> below </w:t>
      </w:r>
      <w:r w:rsidRPr="00F5514D">
        <w:rPr>
          <w:lang w:val="en-GB"/>
        </w:rPr>
        <w:t>provides</w:t>
      </w:r>
      <w:r w:rsidR="00AF56AC" w:rsidRPr="00F5514D">
        <w:rPr>
          <w:lang w:val="en-GB"/>
        </w:rPr>
        <w:t xml:space="preserve"> an audit plan</w:t>
      </w:r>
      <w:r w:rsidRPr="00F5514D">
        <w:rPr>
          <w:lang w:val="en-GB"/>
        </w:rPr>
        <w:t>.</w:t>
      </w:r>
    </w:p>
    <w:p w14:paraId="1B5A9A10" w14:textId="5A5DDD67" w:rsidR="00F65C2F" w:rsidRPr="00F5514D" w:rsidRDefault="00F65C2F" w:rsidP="00F65C2F">
      <w:pPr>
        <w:rPr>
          <w:lang w:val="en-GB"/>
        </w:rPr>
      </w:pPr>
      <w:r w:rsidRPr="00F5514D">
        <w:rPr>
          <w:b/>
          <w:bCs/>
          <w:lang w:val="en-GB"/>
        </w:rPr>
        <w:t>Table 2</w:t>
      </w:r>
      <w:r w:rsidR="00556965">
        <w:rPr>
          <w:b/>
          <w:bCs/>
          <w:lang w:val="en-GB"/>
        </w:rPr>
        <w:t>5</w:t>
      </w:r>
      <w:r w:rsidRPr="00F5514D">
        <w:rPr>
          <w:b/>
          <w:bCs/>
          <w:lang w:val="en-GB"/>
        </w:rPr>
        <w:t xml:space="preserve">. </w:t>
      </w:r>
      <w:r w:rsidRPr="00F5514D">
        <w:rPr>
          <w:lang w:val="en-GB"/>
        </w:rPr>
        <w:t>Action plan</w:t>
      </w:r>
    </w:p>
    <w:p w14:paraId="5D98AE1F" w14:textId="7D0124BA" w:rsidR="00042FED" w:rsidRPr="00F5514D" w:rsidRDefault="00043270" w:rsidP="00F65C2F">
      <w:pPr>
        <w:spacing w:line="240" w:lineRule="auto"/>
        <w:jc w:val="left"/>
        <w:rPr>
          <w:rFonts w:cs="Times New Roman"/>
          <w:lang w:val="en-GB"/>
        </w:rPr>
      </w:pPr>
      <w:r w:rsidRPr="00F5514D">
        <w:rPr>
          <w:rFonts w:cs="Times New Roman"/>
          <w:noProof/>
          <w:lang w:val="en-GB"/>
        </w:rPr>
        <w:drawing>
          <wp:inline distT="0" distB="0" distL="0" distR="0" wp14:anchorId="3C3AC1EA" wp14:editId="5C88AC1D">
            <wp:extent cx="5975131" cy="5465254"/>
            <wp:effectExtent l="0" t="0" r="6985"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89564" cy="5478455"/>
                    </a:xfrm>
                    <a:prstGeom prst="rect">
                      <a:avLst/>
                    </a:prstGeom>
                    <a:noFill/>
                  </pic:spPr>
                </pic:pic>
              </a:graphicData>
            </a:graphic>
          </wp:inline>
        </w:drawing>
      </w:r>
      <w:r w:rsidR="00042FED" w:rsidRPr="00F5514D">
        <w:rPr>
          <w:rFonts w:cs="Times New Roman"/>
          <w:lang w:val="en-GB"/>
        </w:rPr>
        <w:br w:type="page"/>
      </w:r>
    </w:p>
    <w:p w14:paraId="50817C51" w14:textId="77777777" w:rsidR="00042FED" w:rsidRPr="00F5514D" w:rsidRDefault="00042FED" w:rsidP="00042FED">
      <w:pPr>
        <w:pStyle w:val="Heading1"/>
        <w:rPr>
          <w:lang w:val="en-GB"/>
        </w:rPr>
      </w:pPr>
      <w:bookmarkStart w:id="32" w:name="_Toc175504271"/>
      <w:r w:rsidRPr="00F5514D">
        <w:rPr>
          <w:lang w:val="en-GB"/>
        </w:rPr>
        <w:lastRenderedPageBreak/>
        <w:t>7. Conclusion</w:t>
      </w:r>
      <w:bookmarkEnd w:id="32"/>
    </w:p>
    <w:p w14:paraId="0422F570" w14:textId="0D734405" w:rsidR="00917710" w:rsidRPr="00F5514D" w:rsidRDefault="00042FED" w:rsidP="00042FED">
      <w:pPr>
        <w:ind w:firstLine="720"/>
        <w:rPr>
          <w:rFonts w:cs="Times New Roman"/>
          <w:lang w:val="en-GB"/>
        </w:rPr>
      </w:pPr>
      <w:r w:rsidRPr="00042FED">
        <w:rPr>
          <w:rFonts w:cs="Times New Roman"/>
          <w:lang w:val="en-GB"/>
        </w:rPr>
        <w:t xml:space="preserve">This report has provided a comprehensive analysis of Chow Tai Fook's financial health, operational strategies, and market positioning compared to its competitors. Through detailed financial metrics </w:t>
      </w:r>
      <w:r w:rsidRPr="00F5514D">
        <w:rPr>
          <w:rFonts w:cs="Times New Roman"/>
          <w:lang w:val="en-GB"/>
        </w:rPr>
        <w:t>of profitability, efficien</w:t>
      </w:r>
      <w:r w:rsidR="00917710" w:rsidRPr="00F5514D">
        <w:rPr>
          <w:rFonts w:cs="Times New Roman"/>
          <w:lang w:val="en-GB"/>
        </w:rPr>
        <w:t>cy, solvency, and liquidity the report demonstrated that while the company demonstrates a stable financial performance, there are areas of improvement in managing the capital. The investment appraisal demonstrated one of the possible strategies for improving the current position. The company’s corporate governance approach is associated with high efficiency. However,</w:t>
      </w:r>
      <w:r w:rsidR="00043270" w:rsidRPr="00F5514D">
        <w:rPr>
          <w:rFonts w:cs="Times New Roman"/>
          <w:lang w:val="en-GB"/>
        </w:rPr>
        <w:t xml:space="preserve"> there are significant improvement that can be made in all areas. The action plan provided in Section 6 of this report provides a comprehensive path for Chow Tai Fook to acquire sustainable competitive advantage.</w:t>
      </w:r>
    </w:p>
    <w:p w14:paraId="2D3C0706" w14:textId="0F52F88E" w:rsidR="00042FED" w:rsidRPr="00042FED" w:rsidRDefault="00042FED" w:rsidP="00917710">
      <w:pPr>
        <w:ind w:firstLine="720"/>
        <w:rPr>
          <w:rFonts w:cs="Times New Roman"/>
          <w:lang w:val="en-GB"/>
        </w:rPr>
      </w:pPr>
    </w:p>
    <w:p w14:paraId="2EB3D2A6" w14:textId="0C060273" w:rsidR="00814001" w:rsidRPr="00F5514D" w:rsidRDefault="00814001" w:rsidP="006A33B6">
      <w:pPr>
        <w:ind w:firstLine="720"/>
        <w:rPr>
          <w:rFonts w:cs="Times New Roman"/>
          <w:lang w:val="en-GB"/>
        </w:rPr>
      </w:pPr>
      <w:r w:rsidRPr="00F5514D">
        <w:rPr>
          <w:rFonts w:cs="Times New Roman"/>
          <w:lang w:val="en-GB"/>
        </w:rPr>
        <w:br w:type="page"/>
      </w:r>
    </w:p>
    <w:p w14:paraId="292444A8" w14:textId="3C49FBAF" w:rsidR="004210D9" w:rsidRPr="00F5514D" w:rsidRDefault="004210D9" w:rsidP="00EF7BC0">
      <w:pPr>
        <w:pStyle w:val="Heading1"/>
        <w:rPr>
          <w:rFonts w:cs="Times New Roman"/>
          <w:lang w:val="en-GB"/>
        </w:rPr>
      </w:pPr>
      <w:bookmarkStart w:id="33" w:name="_Toc175504272"/>
      <w:r w:rsidRPr="00F5514D">
        <w:rPr>
          <w:rFonts w:cs="Times New Roman"/>
          <w:lang w:val="en-GB"/>
        </w:rPr>
        <w:lastRenderedPageBreak/>
        <w:t>References</w:t>
      </w:r>
      <w:bookmarkEnd w:id="33"/>
    </w:p>
    <w:p w14:paraId="77D9E38E" w14:textId="6C06A61A" w:rsidR="007535EA" w:rsidRPr="007535EA" w:rsidRDefault="007535EA" w:rsidP="007535EA">
      <w:pPr>
        <w:jc w:val="left"/>
        <w:rPr>
          <w:rFonts w:eastAsia="Arial" w:cs="Times New Roman"/>
          <w:szCs w:val="24"/>
        </w:rPr>
      </w:pPr>
      <w:r w:rsidRPr="007535EA">
        <w:rPr>
          <w:rFonts w:eastAsia="Arial" w:cs="Times New Roman"/>
          <w:szCs w:val="24"/>
        </w:rPr>
        <w:t xml:space="preserve">Adams, R.B. and Ferreira, D. (2009) 'Women in the boardroom and their impact on governance and performance', </w:t>
      </w:r>
      <w:r w:rsidRPr="007535EA">
        <w:rPr>
          <w:rFonts w:eastAsia="Arial" w:cs="Times New Roman"/>
          <w:i/>
          <w:iCs/>
          <w:szCs w:val="24"/>
        </w:rPr>
        <w:t>Journal of Financial Economics</w:t>
      </w:r>
      <w:r w:rsidRPr="007535EA">
        <w:rPr>
          <w:rFonts w:eastAsia="Arial" w:cs="Times New Roman"/>
          <w:szCs w:val="24"/>
        </w:rPr>
        <w:t>, 94(2), pp. 291-309.</w:t>
      </w:r>
      <w:r w:rsidR="0099326B">
        <w:rPr>
          <w:rFonts w:eastAsia="Arial" w:cs="Times New Roman"/>
          <w:szCs w:val="24"/>
        </w:rPr>
        <w:t xml:space="preserve"> Available at: </w:t>
      </w:r>
      <w:hyperlink r:id="rId36" w:history="1">
        <w:r w:rsidR="0099326B" w:rsidRPr="00171F50">
          <w:rPr>
            <w:rStyle w:val="Hyperlink"/>
            <w:rFonts w:eastAsia="Arial" w:cs="Times New Roman"/>
            <w:szCs w:val="24"/>
          </w:rPr>
          <w:t>https://doi.org/10.1016/j.jfineco.2008.10.007</w:t>
        </w:r>
      </w:hyperlink>
    </w:p>
    <w:p w14:paraId="7CFBBA84" w14:textId="33AA1AD5" w:rsidR="007535EA" w:rsidRPr="007535EA" w:rsidRDefault="007535EA" w:rsidP="007535EA">
      <w:pPr>
        <w:jc w:val="left"/>
        <w:rPr>
          <w:rFonts w:eastAsia="Arial" w:cs="Times New Roman"/>
          <w:szCs w:val="24"/>
        </w:rPr>
      </w:pPr>
      <w:r w:rsidRPr="007535EA">
        <w:rPr>
          <w:rFonts w:eastAsia="Arial" w:cs="Times New Roman"/>
          <w:szCs w:val="24"/>
        </w:rPr>
        <w:t xml:space="preserve">Altman, E.I. (1968) 'Financial Ratios, Discriminant Analysis and the Prediction of Corporate Bankruptcy', </w:t>
      </w:r>
      <w:r w:rsidRPr="007535EA">
        <w:rPr>
          <w:rFonts w:eastAsia="Arial" w:cs="Times New Roman"/>
          <w:i/>
          <w:iCs/>
          <w:szCs w:val="24"/>
        </w:rPr>
        <w:t>The Journal of Finance</w:t>
      </w:r>
      <w:r w:rsidRPr="007535EA">
        <w:rPr>
          <w:rFonts w:eastAsia="Arial" w:cs="Times New Roman"/>
          <w:szCs w:val="24"/>
        </w:rPr>
        <w:t>, 23(4), pp. 589-609.</w:t>
      </w:r>
      <w:r w:rsidR="0099326B">
        <w:rPr>
          <w:rFonts w:eastAsia="Arial" w:cs="Times New Roman"/>
          <w:szCs w:val="24"/>
        </w:rPr>
        <w:t xml:space="preserve"> Available at: </w:t>
      </w:r>
      <w:hyperlink r:id="rId37" w:history="1">
        <w:r w:rsidR="0099326B" w:rsidRPr="00171F50">
          <w:rPr>
            <w:rStyle w:val="Hyperlink"/>
            <w:rFonts w:eastAsia="Arial" w:cs="Times New Roman"/>
            <w:szCs w:val="24"/>
          </w:rPr>
          <w:t>https://www.jstor.org/stable/2978933</w:t>
        </w:r>
      </w:hyperlink>
    </w:p>
    <w:p w14:paraId="602F4493"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Brealey, R.A., Myers, S.C. and Allen, F. (2020) </w:t>
      </w:r>
      <w:r w:rsidRPr="007535EA">
        <w:rPr>
          <w:rFonts w:eastAsia="Arial" w:cs="Times New Roman"/>
          <w:i/>
          <w:iCs/>
          <w:szCs w:val="24"/>
        </w:rPr>
        <w:t>Principles of Corporate Finance</w:t>
      </w:r>
      <w:r w:rsidRPr="007535EA">
        <w:rPr>
          <w:rFonts w:eastAsia="Arial" w:cs="Times New Roman"/>
          <w:szCs w:val="24"/>
        </w:rPr>
        <w:t xml:space="preserve">. 13th </w:t>
      </w:r>
      <w:proofErr w:type="spellStart"/>
      <w:r w:rsidRPr="007535EA">
        <w:rPr>
          <w:rFonts w:eastAsia="Arial" w:cs="Times New Roman"/>
          <w:szCs w:val="24"/>
        </w:rPr>
        <w:t>edn</w:t>
      </w:r>
      <w:proofErr w:type="spellEnd"/>
      <w:r w:rsidRPr="007535EA">
        <w:rPr>
          <w:rFonts w:eastAsia="Arial" w:cs="Times New Roman"/>
          <w:szCs w:val="24"/>
        </w:rPr>
        <w:t>. New York, NY: McGraw-Hill Education.</w:t>
      </w:r>
    </w:p>
    <w:p w14:paraId="1066A787" w14:textId="603C0429" w:rsidR="007535EA" w:rsidRPr="007535EA" w:rsidRDefault="007535EA" w:rsidP="007535EA">
      <w:pPr>
        <w:jc w:val="left"/>
        <w:rPr>
          <w:rFonts w:eastAsia="Arial" w:cs="Times New Roman"/>
          <w:szCs w:val="24"/>
        </w:rPr>
      </w:pPr>
      <w:r w:rsidRPr="007535EA">
        <w:rPr>
          <w:rFonts w:eastAsia="Arial" w:cs="Times New Roman"/>
          <w:szCs w:val="24"/>
        </w:rPr>
        <w:t>Brigham, E.F. and Ehrhardt, M.C. (20</w:t>
      </w:r>
      <w:r w:rsidR="00AA7479">
        <w:rPr>
          <w:rFonts w:eastAsia="Arial" w:cs="Times New Roman"/>
          <w:szCs w:val="24"/>
        </w:rPr>
        <w:t>19</w:t>
      </w:r>
      <w:r w:rsidRPr="007535EA">
        <w:rPr>
          <w:rFonts w:eastAsia="Arial" w:cs="Times New Roman"/>
          <w:szCs w:val="24"/>
        </w:rPr>
        <w:t xml:space="preserve">) </w:t>
      </w:r>
      <w:r w:rsidRPr="007535EA">
        <w:rPr>
          <w:rFonts w:eastAsia="Arial" w:cs="Times New Roman"/>
          <w:i/>
          <w:iCs/>
          <w:szCs w:val="24"/>
        </w:rPr>
        <w:t>Financial Management: Theory and Practice</w:t>
      </w:r>
      <w:r w:rsidRPr="007535EA">
        <w:rPr>
          <w:rFonts w:eastAsia="Arial" w:cs="Times New Roman"/>
          <w:szCs w:val="24"/>
        </w:rPr>
        <w:t xml:space="preserve">. 16th </w:t>
      </w:r>
      <w:proofErr w:type="spellStart"/>
      <w:r w:rsidRPr="007535EA">
        <w:rPr>
          <w:rFonts w:eastAsia="Arial" w:cs="Times New Roman"/>
          <w:szCs w:val="24"/>
        </w:rPr>
        <w:t>edn</w:t>
      </w:r>
      <w:proofErr w:type="spellEnd"/>
      <w:r w:rsidRPr="007535EA">
        <w:rPr>
          <w:rFonts w:eastAsia="Arial" w:cs="Times New Roman"/>
          <w:szCs w:val="24"/>
        </w:rPr>
        <w:t>. Boston, MA: Cengage Learning.</w:t>
      </w:r>
    </w:p>
    <w:p w14:paraId="4D359DA4"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Brigham, E.F. and Houston, J.F. (2019) </w:t>
      </w:r>
      <w:r w:rsidRPr="007535EA">
        <w:rPr>
          <w:rFonts w:eastAsia="Arial" w:cs="Times New Roman"/>
          <w:i/>
          <w:iCs/>
          <w:szCs w:val="24"/>
        </w:rPr>
        <w:t>Fundamentals of Financial Management</w:t>
      </w:r>
      <w:r w:rsidRPr="007535EA">
        <w:rPr>
          <w:rFonts w:eastAsia="Arial" w:cs="Times New Roman"/>
          <w:szCs w:val="24"/>
        </w:rPr>
        <w:t xml:space="preserve">. 15th </w:t>
      </w:r>
      <w:proofErr w:type="spellStart"/>
      <w:r w:rsidRPr="007535EA">
        <w:rPr>
          <w:rFonts w:eastAsia="Arial" w:cs="Times New Roman"/>
          <w:szCs w:val="24"/>
        </w:rPr>
        <w:t>edn</w:t>
      </w:r>
      <w:proofErr w:type="spellEnd"/>
      <w:r w:rsidRPr="007535EA">
        <w:rPr>
          <w:rFonts w:eastAsia="Arial" w:cs="Times New Roman"/>
          <w:szCs w:val="24"/>
        </w:rPr>
        <w:t>. Boston, MA: Cengage Learning.</w:t>
      </w:r>
    </w:p>
    <w:p w14:paraId="1CED6DE1" w14:textId="6A39C1CD" w:rsidR="007535EA" w:rsidRPr="007535EA" w:rsidRDefault="007535EA" w:rsidP="007535EA">
      <w:pPr>
        <w:jc w:val="left"/>
        <w:rPr>
          <w:rFonts w:eastAsia="Arial" w:cs="Times New Roman"/>
          <w:szCs w:val="24"/>
        </w:rPr>
      </w:pPr>
      <w:r w:rsidRPr="007535EA">
        <w:rPr>
          <w:rFonts w:eastAsia="Arial" w:cs="Times New Roman"/>
          <w:szCs w:val="24"/>
        </w:rPr>
        <w:t xml:space="preserve">Callahan, E.S. and Dworkin, T.M. (1994) 'Who blows the whistle to the media, and why: Organizational characteristics of media whistleblowers', </w:t>
      </w:r>
      <w:r w:rsidRPr="007535EA">
        <w:rPr>
          <w:rFonts w:eastAsia="Arial" w:cs="Times New Roman"/>
          <w:i/>
          <w:iCs/>
          <w:szCs w:val="24"/>
        </w:rPr>
        <w:t>American Business Law Journal</w:t>
      </w:r>
      <w:r w:rsidRPr="007535EA">
        <w:rPr>
          <w:rFonts w:eastAsia="Arial" w:cs="Times New Roman"/>
          <w:szCs w:val="24"/>
        </w:rPr>
        <w:t>, 32(2), pp. 151-184.</w:t>
      </w:r>
      <w:r w:rsidR="0099326B">
        <w:rPr>
          <w:rFonts w:eastAsia="Arial" w:cs="Times New Roman"/>
          <w:szCs w:val="24"/>
        </w:rPr>
        <w:t xml:space="preserve"> Available at: </w:t>
      </w:r>
      <w:hyperlink r:id="rId38" w:history="1">
        <w:r w:rsidR="0099326B">
          <w:rPr>
            <w:rStyle w:val="Hyperlink"/>
            <w:rFonts w:eastAsia="Arial" w:cs="Times New Roman"/>
            <w:szCs w:val="24"/>
          </w:rPr>
          <w:t>https://doi.org/10.1111/j.1744-1714.1994.tb00933.x</w:t>
        </w:r>
      </w:hyperlink>
    </w:p>
    <w:p w14:paraId="5B9D0749" w14:textId="2F35E2B8" w:rsidR="007535EA" w:rsidRPr="007535EA" w:rsidRDefault="007535EA" w:rsidP="007535EA">
      <w:pPr>
        <w:jc w:val="left"/>
        <w:rPr>
          <w:rFonts w:eastAsia="Arial" w:cs="Times New Roman"/>
          <w:szCs w:val="24"/>
        </w:rPr>
      </w:pPr>
      <w:r w:rsidRPr="007535EA">
        <w:rPr>
          <w:rFonts w:eastAsia="Arial" w:cs="Times New Roman"/>
          <w:szCs w:val="24"/>
        </w:rPr>
        <w:t xml:space="preserve">Carter, D.A., Simkins, B.J. and Simpson, W.G. (2003) 'Corporate governance, board diversity, and firm value', </w:t>
      </w:r>
      <w:r w:rsidRPr="007535EA">
        <w:rPr>
          <w:rFonts w:eastAsia="Arial" w:cs="Times New Roman"/>
          <w:i/>
          <w:iCs/>
          <w:szCs w:val="24"/>
        </w:rPr>
        <w:t>The Financial Review</w:t>
      </w:r>
      <w:r w:rsidRPr="007535EA">
        <w:rPr>
          <w:rFonts w:eastAsia="Arial" w:cs="Times New Roman"/>
          <w:szCs w:val="24"/>
        </w:rPr>
        <w:t>, 38(1), pp. 33-53.</w:t>
      </w:r>
      <w:r w:rsidR="0099326B">
        <w:rPr>
          <w:rFonts w:eastAsia="Arial" w:cs="Times New Roman"/>
          <w:szCs w:val="24"/>
        </w:rPr>
        <w:t xml:space="preserve"> Available at: </w:t>
      </w:r>
      <w:hyperlink r:id="rId39" w:history="1">
        <w:r w:rsidR="0099326B" w:rsidRPr="00CA10EC">
          <w:rPr>
            <w:rStyle w:val="Hyperlink"/>
            <w:rFonts w:eastAsia="Arial" w:cs="Times New Roman"/>
            <w:szCs w:val="24"/>
          </w:rPr>
          <w:t>https://doi.org/10.1111/1540-6288.00034</w:t>
        </w:r>
      </w:hyperlink>
    </w:p>
    <w:p w14:paraId="322D5E5A" w14:textId="7B89BF81" w:rsidR="007535EA" w:rsidRPr="007535EA" w:rsidRDefault="007535EA" w:rsidP="007535EA">
      <w:pPr>
        <w:jc w:val="left"/>
        <w:rPr>
          <w:rFonts w:eastAsia="Arial" w:cs="Times New Roman"/>
          <w:szCs w:val="24"/>
        </w:rPr>
      </w:pPr>
      <w:r w:rsidRPr="007535EA">
        <w:rPr>
          <w:rFonts w:eastAsia="Arial" w:cs="Times New Roman"/>
          <w:szCs w:val="24"/>
        </w:rPr>
        <w:t xml:space="preserve">Chow Tai Fook </w:t>
      </w:r>
      <w:r w:rsidRPr="007535EA">
        <w:rPr>
          <w:rFonts w:eastAsia="Arial" w:cs="Times New Roman"/>
          <w:i/>
          <w:iCs/>
          <w:szCs w:val="24"/>
        </w:rPr>
        <w:t>Annual report 202</w:t>
      </w:r>
      <w:r w:rsidR="0099326B">
        <w:rPr>
          <w:rFonts w:eastAsia="Arial" w:cs="Times New Roman"/>
          <w:i/>
          <w:iCs/>
          <w:szCs w:val="24"/>
        </w:rPr>
        <w:t>2</w:t>
      </w:r>
      <w:r w:rsidRPr="007535EA">
        <w:rPr>
          <w:rFonts w:eastAsia="Arial" w:cs="Times New Roman"/>
          <w:i/>
          <w:iCs/>
          <w:szCs w:val="24"/>
        </w:rPr>
        <w:t>-2024</w:t>
      </w:r>
      <w:r w:rsidRPr="007535EA">
        <w:rPr>
          <w:rFonts w:eastAsia="Arial" w:cs="Times New Roman"/>
          <w:szCs w:val="24"/>
        </w:rPr>
        <w:t xml:space="preserve">. Available at: </w:t>
      </w:r>
      <w:hyperlink r:id="rId40" w:tgtFrame="_new" w:history="1">
        <w:r w:rsidRPr="007535EA">
          <w:rPr>
            <w:rStyle w:val="Hyperlink"/>
            <w:rFonts w:eastAsia="Arial" w:cs="Times New Roman"/>
            <w:szCs w:val="24"/>
          </w:rPr>
          <w:t>https://www.ctfjewellerygroup.com/en/investor-relations/reports.html</w:t>
        </w:r>
      </w:hyperlink>
      <w:r w:rsidRPr="007535EA">
        <w:rPr>
          <w:rFonts w:eastAsia="Arial" w:cs="Times New Roman"/>
          <w:szCs w:val="24"/>
        </w:rPr>
        <w:t xml:space="preserve"> (Accessed: 9 August 2024).</w:t>
      </w:r>
    </w:p>
    <w:p w14:paraId="11896C94"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Chow Tai Fook </w:t>
      </w:r>
      <w:proofErr w:type="spellStart"/>
      <w:r w:rsidRPr="007535EA">
        <w:rPr>
          <w:rFonts w:eastAsia="Arial" w:cs="Times New Roman"/>
          <w:szCs w:val="24"/>
        </w:rPr>
        <w:t>Jewellery</w:t>
      </w:r>
      <w:proofErr w:type="spellEnd"/>
      <w:r w:rsidRPr="007535EA">
        <w:rPr>
          <w:rFonts w:eastAsia="Arial" w:cs="Times New Roman"/>
          <w:szCs w:val="24"/>
        </w:rPr>
        <w:t xml:space="preserve"> Group (no date) </w:t>
      </w:r>
      <w:r w:rsidRPr="007535EA">
        <w:rPr>
          <w:rFonts w:eastAsia="Arial" w:cs="Times New Roman"/>
          <w:i/>
          <w:iCs/>
          <w:szCs w:val="24"/>
        </w:rPr>
        <w:t>Investor relations: Reports</w:t>
      </w:r>
      <w:r w:rsidRPr="007535EA">
        <w:rPr>
          <w:rFonts w:eastAsia="Arial" w:cs="Times New Roman"/>
          <w:szCs w:val="24"/>
        </w:rPr>
        <w:t xml:space="preserve">. Available at: </w:t>
      </w:r>
      <w:hyperlink r:id="rId41" w:tgtFrame="_new" w:history="1">
        <w:r w:rsidRPr="007535EA">
          <w:rPr>
            <w:rStyle w:val="Hyperlink"/>
            <w:rFonts w:eastAsia="Arial" w:cs="Times New Roman"/>
            <w:szCs w:val="24"/>
          </w:rPr>
          <w:t>https://www.ctfjewellerygroup.com/en/investor-relations/reports.html</w:t>
        </w:r>
      </w:hyperlink>
      <w:r w:rsidRPr="007535EA">
        <w:rPr>
          <w:rFonts w:eastAsia="Arial" w:cs="Times New Roman"/>
          <w:szCs w:val="24"/>
        </w:rPr>
        <w:t xml:space="preserve"> (Accessed: 11 August 2024).</w:t>
      </w:r>
    </w:p>
    <w:p w14:paraId="2C634900" w14:textId="57611A36" w:rsidR="00245BEF" w:rsidRDefault="00245BEF" w:rsidP="007535EA">
      <w:pPr>
        <w:jc w:val="left"/>
        <w:rPr>
          <w:rFonts w:eastAsia="Arial" w:cs="Times New Roman"/>
          <w:szCs w:val="24"/>
        </w:rPr>
      </w:pPr>
      <w:proofErr w:type="spellStart"/>
      <w:r w:rsidRPr="00245BEF">
        <w:rPr>
          <w:rFonts w:eastAsia="Arial" w:cs="Times New Roman"/>
          <w:szCs w:val="24"/>
        </w:rPr>
        <w:t>Dallocchio</w:t>
      </w:r>
      <w:proofErr w:type="spellEnd"/>
      <w:r w:rsidRPr="00245BEF">
        <w:rPr>
          <w:rFonts w:eastAsia="Arial" w:cs="Times New Roman"/>
          <w:szCs w:val="24"/>
        </w:rPr>
        <w:t xml:space="preserve">, M., Salvi, A., Le Fur, Y., </w:t>
      </w:r>
      <w:proofErr w:type="spellStart"/>
      <w:r w:rsidRPr="00245BEF">
        <w:rPr>
          <w:rFonts w:eastAsia="Arial" w:cs="Times New Roman"/>
          <w:szCs w:val="24"/>
        </w:rPr>
        <w:t>Quiry</w:t>
      </w:r>
      <w:proofErr w:type="spellEnd"/>
      <w:r w:rsidRPr="00245BEF">
        <w:rPr>
          <w:rFonts w:eastAsia="Arial" w:cs="Times New Roman"/>
          <w:szCs w:val="24"/>
        </w:rPr>
        <w:t xml:space="preserve">, P. and </w:t>
      </w:r>
      <w:proofErr w:type="spellStart"/>
      <w:r w:rsidRPr="00245BEF">
        <w:rPr>
          <w:rFonts w:eastAsia="Arial" w:cs="Times New Roman"/>
          <w:szCs w:val="24"/>
        </w:rPr>
        <w:t>Vernimmen</w:t>
      </w:r>
      <w:proofErr w:type="spellEnd"/>
      <w:r w:rsidRPr="00245BEF">
        <w:rPr>
          <w:rFonts w:eastAsia="Arial" w:cs="Times New Roman"/>
          <w:szCs w:val="24"/>
        </w:rPr>
        <w:t xml:space="preserve">, P. </w:t>
      </w:r>
      <w:r>
        <w:rPr>
          <w:rFonts w:eastAsia="Arial" w:cs="Times New Roman"/>
          <w:szCs w:val="24"/>
        </w:rPr>
        <w:t>(</w:t>
      </w:r>
      <w:r w:rsidRPr="00245BEF">
        <w:rPr>
          <w:rFonts w:eastAsia="Arial" w:cs="Times New Roman"/>
          <w:szCs w:val="24"/>
        </w:rPr>
        <w:t>2017</w:t>
      </w:r>
      <w:r>
        <w:rPr>
          <w:rFonts w:eastAsia="Arial" w:cs="Times New Roman"/>
          <w:szCs w:val="24"/>
        </w:rPr>
        <w:t>)</w:t>
      </w:r>
      <w:r w:rsidRPr="00245BEF">
        <w:rPr>
          <w:rFonts w:eastAsia="Arial" w:cs="Times New Roman"/>
          <w:szCs w:val="24"/>
        </w:rPr>
        <w:t xml:space="preserve"> </w:t>
      </w:r>
      <w:r w:rsidRPr="00245BEF">
        <w:rPr>
          <w:rFonts w:eastAsia="Arial" w:cs="Times New Roman"/>
          <w:i/>
          <w:iCs/>
          <w:szCs w:val="24"/>
        </w:rPr>
        <w:t>Corporate Finance: Theory and Practice.</w:t>
      </w:r>
      <w:r w:rsidRPr="00245BEF">
        <w:rPr>
          <w:rFonts w:eastAsia="Arial" w:cs="Times New Roman"/>
          <w:szCs w:val="24"/>
        </w:rPr>
        <w:t xml:space="preserve"> 5th ed. Hoboken: Wiley.</w:t>
      </w:r>
      <w:r w:rsidR="00AA7479">
        <w:rPr>
          <w:rFonts w:eastAsia="Arial" w:cs="Times New Roman"/>
          <w:szCs w:val="24"/>
        </w:rPr>
        <w:t xml:space="preserve"> (Accessed: 22 August 2024)</w:t>
      </w:r>
    </w:p>
    <w:p w14:paraId="72595EBA" w14:textId="677603E0" w:rsidR="007535EA" w:rsidRPr="007535EA" w:rsidRDefault="007535EA" w:rsidP="007535EA">
      <w:pPr>
        <w:jc w:val="left"/>
        <w:rPr>
          <w:rFonts w:eastAsia="Arial" w:cs="Times New Roman"/>
          <w:szCs w:val="24"/>
        </w:rPr>
      </w:pPr>
      <w:r w:rsidRPr="007535EA">
        <w:rPr>
          <w:rFonts w:eastAsia="Arial" w:cs="Times New Roman"/>
          <w:szCs w:val="24"/>
        </w:rPr>
        <w:t xml:space="preserve">Eccles, R.G., Ioannou, I. and </w:t>
      </w:r>
      <w:proofErr w:type="spellStart"/>
      <w:r w:rsidRPr="007535EA">
        <w:rPr>
          <w:rFonts w:eastAsia="Arial" w:cs="Times New Roman"/>
          <w:szCs w:val="24"/>
        </w:rPr>
        <w:t>Serafeim</w:t>
      </w:r>
      <w:proofErr w:type="spellEnd"/>
      <w:r w:rsidRPr="007535EA">
        <w:rPr>
          <w:rFonts w:eastAsia="Arial" w:cs="Times New Roman"/>
          <w:szCs w:val="24"/>
        </w:rPr>
        <w:t xml:space="preserve">, G. (2014) 'The impact of corporate sustainability on organizational processes and performance', </w:t>
      </w:r>
      <w:r w:rsidRPr="007535EA">
        <w:rPr>
          <w:rFonts w:eastAsia="Arial" w:cs="Times New Roman"/>
          <w:i/>
          <w:iCs/>
          <w:szCs w:val="24"/>
        </w:rPr>
        <w:t>Management Science</w:t>
      </w:r>
      <w:r w:rsidRPr="007535EA">
        <w:rPr>
          <w:rFonts w:eastAsia="Arial" w:cs="Times New Roman"/>
          <w:szCs w:val="24"/>
        </w:rPr>
        <w:t>, 60(11), pp. 2835-2857.</w:t>
      </w:r>
      <w:r w:rsidR="0099326B">
        <w:rPr>
          <w:rFonts w:eastAsia="Arial" w:cs="Times New Roman"/>
          <w:szCs w:val="24"/>
        </w:rPr>
        <w:t xml:space="preserve"> Available at: </w:t>
      </w:r>
      <w:hyperlink r:id="rId42" w:history="1">
        <w:r w:rsidR="0099326B" w:rsidRPr="00602208">
          <w:rPr>
            <w:rStyle w:val="Hyperlink"/>
            <w:rFonts w:eastAsia="Arial" w:cs="Times New Roman"/>
            <w:szCs w:val="24"/>
          </w:rPr>
          <w:t>https://doi.org/10.1287/mnsc.2014.1984</w:t>
        </w:r>
      </w:hyperlink>
    </w:p>
    <w:p w14:paraId="6993F716" w14:textId="220296A0" w:rsidR="007535EA" w:rsidRPr="007535EA" w:rsidRDefault="007535EA" w:rsidP="007535EA">
      <w:pPr>
        <w:jc w:val="left"/>
        <w:rPr>
          <w:rFonts w:eastAsia="Arial" w:cs="Times New Roman"/>
          <w:szCs w:val="24"/>
        </w:rPr>
      </w:pPr>
      <w:r w:rsidRPr="007535EA">
        <w:rPr>
          <w:rFonts w:eastAsia="Arial" w:cs="Times New Roman"/>
          <w:szCs w:val="24"/>
        </w:rPr>
        <w:t>Fraser, L.M. and Ormiston, A. (202</w:t>
      </w:r>
      <w:r w:rsidR="00245BEF">
        <w:rPr>
          <w:rFonts w:eastAsia="Arial" w:cs="Times New Roman"/>
          <w:szCs w:val="24"/>
        </w:rPr>
        <w:t>3</w:t>
      </w:r>
      <w:r w:rsidRPr="007535EA">
        <w:rPr>
          <w:rFonts w:eastAsia="Arial" w:cs="Times New Roman"/>
          <w:szCs w:val="24"/>
        </w:rPr>
        <w:t xml:space="preserve">) </w:t>
      </w:r>
      <w:r w:rsidRPr="007535EA">
        <w:rPr>
          <w:rFonts w:eastAsia="Arial" w:cs="Times New Roman"/>
          <w:i/>
          <w:iCs/>
          <w:szCs w:val="24"/>
        </w:rPr>
        <w:t>Understanding Financial Statements</w:t>
      </w:r>
      <w:r w:rsidRPr="007535EA">
        <w:rPr>
          <w:rFonts w:eastAsia="Arial" w:cs="Times New Roman"/>
          <w:szCs w:val="24"/>
        </w:rPr>
        <w:t xml:space="preserve">. 11th </w:t>
      </w:r>
      <w:proofErr w:type="spellStart"/>
      <w:r w:rsidRPr="007535EA">
        <w:rPr>
          <w:rFonts w:eastAsia="Arial" w:cs="Times New Roman"/>
          <w:szCs w:val="24"/>
        </w:rPr>
        <w:t>edn</w:t>
      </w:r>
      <w:proofErr w:type="spellEnd"/>
      <w:r w:rsidRPr="007535EA">
        <w:rPr>
          <w:rFonts w:eastAsia="Arial" w:cs="Times New Roman"/>
          <w:szCs w:val="24"/>
        </w:rPr>
        <w:t>. London: Pearson.</w:t>
      </w:r>
      <w:r w:rsidR="00283B00">
        <w:rPr>
          <w:rFonts w:eastAsia="Arial" w:cs="Times New Roman"/>
          <w:szCs w:val="24"/>
        </w:rPr>
        <w:t xml:space="preserve"> </w:t>
      </w:r>
      <w:r w:rsidR="00AA7479">
        <w:rPr>
          <w:rFonts w:eastAsia="Arial" w:cs="Times New Roman"/>
          <w:szCs w:val="24"/>
        </w:rPr>
        <w:t>(Accessed: 25 Aug 2024)</w:t>
      </w:r>
    </w:p>
    <w:p w14:paraId="6C7AE806" w14:textId="6A92279B" w:rsidR="007535EA" w:rsidRPr="007535EA" w:rsidRDefault="007535EA" w:rsidP="007535EA">
      <w:pPr>
        <w:jc w:val="left"/>
        <w:rPr>
          <w:rFonts w:eastAsia="Arial" w:cs="Times New Roman"/>
          <w:szCs w:val="24"/>
        </w:rPr>
      </w:pPr>
      <w:r w:rsidRPr="007535EA">
        <w:rPr>
          <w:rFonts w:eastAsia="Arial" w:cs="Times New Roman"/>
          <w:szCs w:val="24"/>
        </w:rPr>
        <w:t>Harrison, J.S. and John, C.H. (20</w:t>
      </w:r>
      <w:r w:rsidR="00C60C49">
        <w:rPr>
          <w:rFonts w:eastAsia="Arial" w:cs="Times New Roman"/>
          <w:szCs w:val="24"/>
        </w:rPr>
        <w:t>13</w:t>
      </w:r>
      <w:r w:rsidRPr="007535EA">
        <w:rPr>
          <w:rFonts w:eastAsia="Arial" w:cs="Times New Roman"/>
          <w:szCs w:val="24"/>
        </w:rPr>
        <w:t xml:space="preserve">) </w:t>
      </w:r>
      <w:r w:rsidRPr="007535EA">
        <w:rPr>
          <w:rFonts w:eastAsia="Arial" w:cs="Times New Roman"/>
          <w:i/>
          <w:iCs/>
          <w:szCs w:val="24"/>
        </w:rPr>
        <w:t>Foundations in Strategic Management</w:t>
      </w:r>
      <w:r w:rsidRPr="007535EA">
        <w:rPr>
          <w:rFonts w:eastAsia="Arial" w:cs="Times New Roman"/>
          <w:szCs w:val="24"/>
        </w:rPr>
        <w:t xml:space="preserve">. </w:t>
      </w:r>
      <w:r w:rsidR="00086E21">
        <w:rPr>
          <w:rFonts w:eastAsia="Arial" w:cs="Times New Roman"/>
          <w:szCs w:val="24"/>
        </w:rPr>
        <w:t>6</w:t>
      </w:r>
      <w:r w:rsidRPr="007535EA">
        <w:rPr>
          <w:rFonts w:eastAsia="Arial" w:cs="Times New Roman"/>
          <w:szCs w:val="24"/>
        </w:rPr>
        <w:t xml:space="preserve">th </w:t>
      </w:r>
      <w:proofErr w:type="spellStart"/>
      <w:r w:rsidRPr="007535EA">
        <w:rPr>
          <w:rFonts w:eastAsia="Arial" w:cs="Times New Roman"/>
          <w:szCs w:val="24"/>
        </w:rPr>
        <w:t>edn</w:t>
      </w:r>
      <w:proofErr w:type="spellEnd"/>
      <w:r w:rsidRPr="007535EA">
        <w:rPr>
          <w:rFonts w:eastAsia="Arial" w:cs="Times New Roman"/>
          <w:szCs w:val="24"/>
        </w:rPr>
        <w:t>. Boston, MA: Cengage Learning.</w:t>
      </w:r>
    </w:p>
    <w:p w14:paraId="422410A3" w14:textId="31AC1C29" w:rsidR="007535EA" w:rsidRPr="007535EA" w:rsidRDefault="007535EA" w:rsidP="007535EA">
      <w:pPr>
        <w:jc w:val="left"/>
        <w:rPr>
          <w:rFonts w:eastAsia="Arial" w:cs="Times New Roman"/>
          <w:szCs w:val="24"/>
        </w:rPr>
      </w:pPr>
      <w:r w:rsidRPr="007535EA">
        <w:rPr>
          <w:rFonts w:eastAsia="Arial" w:cs="Times New Roman"/>
          <w:szCs w:val="24"/>
        </w:rPr>
        <w:lastRenderedPageBreak/>
        <w:t>Higgins, R.C. (20</w:t>
      </w:r>
      <w:r w:rsidR="00B61BF0">
        <w:rPr>
          <w:rFonts w:eastAsia="Arial" w:cs="Times New Roman"/>
          <w:szCs w:val="24"/>
        </w:rPr>
        <w:t>18</w:t>
      </w:r>
      <w:r w:rsidRPr="007535EA">
        <w:rPr>
          <w:rFonts w:eastAsia="Arial" w:cs="Times New Roman"/>
          <w:szCs w:val="24"/>
        </w:rPr>
        <w:t xml:space="preserve">) </w:t>
      </w:r>
      <w:r w:rsidRPr="007535EA">
        <w:rPr>
          <w:rFonts w:eastAsia="Arial" w:cs="Times New Roman"/>
          <w:i/>
          <w:iCs/>
          <w:szCs w:val="24"/>
        </w:rPr>
        <w:t>Analysis for Financial Management</w:t>
      </w:r>
      <w:r w:rsidRPr="007535EA">
        <w:rPr>
          <w:rFonts w:eastAsia="Arial" w:cs="Times New Roman"/>
          <w:szCs w:val="24"/>
        </w:rPr>
        <w:t xml:space="preserve">. 12th </w:t>
      </w:r>
      <w:proofErr w:type="spellStart"/>
      <w:r w:rsidRPr="007535EA">
        <w:rPr>
          <w:rFonts w:eastAsia="Arial" w:cs="Times New Roman"/>
          <w:szCs w:val="24"/>
        </w:rPr>
        <w:t>edn</w:t>
      </w:r>
      <w:proofErr w:type="spellEnd"/>
      <w:r w:rsidRPr="007535EA">
        <w:rPr>
          <w:rFonts w:eastAsia="Arial" w:cs="Times New Roman"/>
          <w:szCs w:val="24"/>
        </w:rPr>
        <w:t>. New York, NY: McGraw-Hill Education.</w:t>
      </w:r>
    </w:p>
    <w:p w14:paraId="7C9F0AC3" w14:textId="790BADF9" w:rsidR="007535EA" w:rsidRPr="007535EA" w:rsidRDefault="007535EA" w:rsidP="007535EA">
      <w:pPr>
        <w:jc w:val="left"/>
        <w:rPr>
          <w:rFonts w:eastAsia="Arial" w:cs="Times New Roman"/>
          <w:szCs w:val="24"/>
        </w:rPr>
      </w:pPr>
      <w:r w:rsidRPr="007535EA">
        <w:rPr>
          <w:rFonts w:eastAsia="Arial" w:cs="Times New Roman"/>
          <w:szCs w:val="24"/>
        </w:rPr>
        <w:t xml:space="preserve">Jensen, M.C. and Murphy, K.J. (1990) 'Performance pay and top-management incentives', </w:t>
      </w:r>
      <w:r w:rsidRPr="007535EA">
        <w:rPr>
          <w:rFonts w:eastAsia="Arial" w:cs="Times New Roman"/>
          <w:i/>
          <w:iCs/>
          <w:szCs w:val="24"/>
        </w:rPr>
        <w:t>Journal of Political Economy</w:t>
      </w:r>
      <w:r w:rsidRPr="007535EA">
        <w:rPr>
          <w:rFonts w:eastAsia="Arial" w:cs="Times New Roman"/>
          <w:szCs w:val="24"/>
        </w:rPr>
        <w:t>, 98(2), pp. 225-264.</w:t>
      </w:r>
      <w:r w:rsidR="0099326B">
        <w:rPr>
          <w:rFonts w:eastAsia="Arial" w:cs="Times New Roman"/>
          <w:szCs w:val="24"/>
        </w:rPr>
        <w:t xml:space="preserve"> Available at: </w:t>
      </w:r>
      <w:hyperlink r:id="rId43" w:history="1">
        <w:r w:rsidR="0099326B" w:rsidRPr="002157A7">
          <w:rPr>
            <w:rStyle w:val="Hyperlink"/>
            <w:rFonts w:eastAsia="Arial" w:cs="Times New Roman"/>
            <w:szCs w:val="24"/>
          </w:rPr>
          <w:t>https://doi.org/10.1086/261677</w:t>
        </w:r>
      </w:hyperlink>
    </w:p>
    <w:p w14:paraId="7C6CDAF7" w14:textId="5F655749" w:rsidR="007535EA" w:rsidRPr="007535EA" w:rsidRDefault="007535EA" w:rsidP="007535EA">
      <w:pPr>
        <w:jc w:val="left"/>
        <w:rPr>
          <w:rFonts w:eastAsia="Arial" w:cs="Times New Roman"/>
          <w:szCs w:val="24"/>
        </w:rPr>
      </w:pPr>
      <w:r w:rsidRPr="007535EA">
        <w:rPr>
          <w:rFonts w:eastAsia="Arial" w:cs="Times New Roman"/>
          <w:szCs w:val="24"/>
        </w:rPr>
        <w:t>Luk Fook</w:t>
      </w:r>
      <w:r w:rsidR="0099326B">
        <w:rPr>
          <w:rFonts w:eastAsia="Arial" w:cs="Times New Roman"/>
          <w:szCs w:val="24"/>
        </w:rPr>
        <w:t xml:space="preserve"> </w:t>
      </w:r>
      <w:r w:rsidRPr="007535EA">
        <w:rPr>
          <w:rFonts w:eastAsia="Arial" w:cs="Times New Roman"/>
          <w:i/>
          <w:iCs/>
          <w:szCs w:val="24"/>
        </w:rPr>
        <w:t>Annual report 202</w:t>
      </w:r>
      <w:r w:rsidR="0099326B">
        <w:rPr>
          <w:rFonts w:eastAsia="Arial" w:cs="Times New Roman"/>
          <w:i/>
          <w:iCs/>
          <w:szCs w:val="24"/>
        </w:rPr>
        <w:t>2</w:t>
      </w:r>
      <w:r w:rsidRPr="007535EA">
        <w:rPr>
          <w:rFonts w:eastAsia="Arial" w:cs="Times New Roman"/>
          <w:i/>
          <w:iCs/>
          <w:szCs w:val="24"/>
        </w:rPr>
        <w:t>-2024</w:t>
      </w:r>
      <w:r w:rsidRPr="007535EA">
        <w:rPr>
          <w:rFonts w:eastAsia="Arial" w:cs="Times New Roman"/>
          <w:szCs w:val="24"/>
        </w:rPr>
        <w:t xml:space="preserve">. Available at: </w:t>
      </w:r>
      <w:hyperlink r:id="rId44" w:tgtFrame="_new" w:history="1">
        <w:r w:rsidRPr="007535EA">
          <w:rPr>
            <w:rStyle w:val="Hyperlink"/>
            <w:rFonts w:eastAsia="Arial" w:cs="Times New Roman"/>
            <w:szCs w:val="24"/>
          </w:rPr>
          <w:t>https://www.lukfook.com/en/page/investor-relations/financial-statement</w:t>
        </w:r>
      </w:hyperlink>
      <w:r w:rsidRPr="007535EA">
        <w:rPr>
          <w:rFonts w:eastAsia="Arial" w:cs="Times New Roman"/>
          <w:szCs w:val="24"/>
        </w:rPr>
        <w:t xml:space="preserve"> (Accessed: 7 August 2024).</w:t>
      </w:r>
    </w:p>
    <w:p w14:paraId="771926F2"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Luk Fook Holdings (International) Limited (no date) </w:t>
      </w:r>
      <w:r w:rsidRPr="007535EA">
        <w:rPr>
          <w:rFonts w:eastAsia="Arial" w:cs="Times New Roman"/>
          <w:i/>
          <w:iCs/>
          <w:szCs w:val="24"/>
        </w:rPr>
        <w:t>Investor relations: Financial statement</w:t>
      </w:r>
      <w:r w:rsidRPr="007535EA">
        <w:rPr>
          <w:rFonts w:eastAsia="Arial" w:cs="Times New Roman"/>
          <w:szCs w:val="24"/>
        </w:rPr>
        <w:t xml:space="preserve">. Available at: </w:t>
      </w:r>
      <w:hyperlink r:id="rId45" w:tgtFrame="_new" w:history="1">
        <w:r w:rsidRPr="007535EA">
          <w:rPr>
            <w:rStyle w:val="Hyperlink"/>
            <w:rFonts w:eastAsia="Arial" w:cs="Times New Roman"/>
            <w:szCs w:val="24"/>
          </w:rPr>
          <w:t>https://www.lukfook.com/en/page/investor-relations/financial-statement</w:t>
        </w:r>
      </w:hyperlink>
      <w:r w:rsidRPr="007535EA">
        <w:rPr>
          <w:rFonts w:eastAsia="Arial" w:cs="Times New Roman"/>
          <w:szCs w:val="24"/>
        </w:rPr>
        <w:t xml:space="preserve"> (Accessed: 11 August 2024).</w:t>
      </w:r>
    </w:p>
    <w:p w14:paraId="1AF7FD70" w14:textId="20A978A3" w:rsidR="007535EA" w:rsidRPr="00086E21" w:rsidRDefault="007535EA" w:rsidP="007535EA">
      <w:pPr>
        <w:jc w:val="left"/>
        <w:rPr>
          <w:rFonts w:ascii="Microsoft JhengHei" w:eastAsia="Microsoft JhengHei" w:hAnsi="Microsoft JhengHei" w:cs="Microsoft JhengHei"/>
          <w:szCs w:val="24"/>
          <w:lang w:eastAsia="zh-CN"/>
        </w:rPr>
      </w:pPr>
      <w:r w:rsidRPr="007535EA">
        <w:rPr>
          <w:rFonts w:eastAsia="Arial" w:cs="Times New Roman"/>
          <w:szCs w:val="24"/>
        </w:rPr>
        <w:t xml:space="preserve">Miceli, M.P., Near, J.P. and Dworkin, T.M. (2008) </w:t>
      </w:r>
      <w:r w:rsidRPr="007535EA">
        <w:rPr>
          <w:rFonts w:eastAsia="Arial" w:cs="Times New Roman"/>
          <w:i/>
          <w:iCs/>
          <w:szCs w:val="24"/>
        </w:rPr>
        <w:t>Whistle-blowing in organizations</w:t>
      </w:r>
      <w:r w:rsidRPr="007535EA">
        <w:rPr>
          <w:rFonts w:eastAsia="Arial" w:cs="Times New Roman"/>
          <w:szCs w:val="24"/>
        </w:rPr>
        <w:t>. London: Routledge.</w:t>
      </w:r>
      <w:r w:rsidR="00086E21">
        <w:rPr>
          <w:rFonts w:eastAsia="Arial" w:cs="Times New Roman"/>
          <w:szCs w:val="24"/>
        </w:rPr>
        <w:t xml:space="preserve"> Available at: </w:t>
      </w:r>
      <w:hyperlink r:id="rId46" w:history="1">
        <w:r w:rsidR="00086E21" w:rsidRPr="00086E21">
          <w:rPr>
            <w:rStyle w:val="Hyperlink"/>
            <w:rFonts w:eastAsia="Arial" w:cs="Times New Roman"/>
            <w:szCs w:val="24"/>
          </w:rPr>
          <w:t>https://doi.org/10.4324/9780203809495</w:t>
        </w:r>
      </w:hyperlink>
      <w:r w:rsidR="00086E21">
        <w:rPr>
          <w:rFonts w:eastAsia="Arial" w:cs="Times New Roman"/>
          <w:szCs w:val="24"/>
        </w:rPr>
        <w:t>. (Accessed: 25 August 2024)</w:t>
      </w:r>
    </w:p>
    <w:p w14:paraId="5E75A27A" w14:textId="3C5E60FB" w:rsidR="007535EA" w:rsidRPr="007535EA" w:rsidRDefault="007535EA" w:rsidP="007535EA">
      <w:pPr>
        <w:jc w:val="left"/>
        <w:rPr>
          <w:rFonts w:eastAsia="Arial" w:cs="Times New Roman"/>
          <w:szCs w:val="24"/>
        </w:rPr>
      </w:pPr>
      <w:r w:rsidRPr="007535EA">
        <w:rPr>
          <w:rFonts w:eastAsia="Arial" w:cs="Times New Roman"/>
          <w:szCs w:val="24"/>
        </w:rPr>
        <w:t xml:space="preserve">Ross, S.A., </w:t>
      </w:r>
      <w:proofErr w:type="spellStart"/>
      <w:r w:rsidRPr="007535EA">
        <w:rPr>
          <w:rFonts w:eastAsia="Arial" w:cs="Times New Roman"/>
          <w:szCs w:val="24"/>
        </w:rPr>
        <w:t>Westerfield</w:t>
      </w:r>
      <w:proofErr w:type="spellEnd"/>
      <w:r w:rsidRPr="007535EA">
        <w:rPr>
          <w:rFonts w:eastAsia="Arial" w:cs="Times New Roman"/>
          <w:szCs w:val="24"/>
        </w:rPr>
        <w:t>, R.W. and Jordan, B.D. (201</w:t>
      </w:r>
      <w:r w:rsidR="00DC7326">
        <w:rPr>
          <w:rFonts w:eastAsia="Arial" w:cs="Times New Roman"/>
          <w:szCs w:val="24"/>
        </w:rPr>
        <w:t>8</w:t>
      </w:r>
      <w:r w:rsidRPr="007535EA">
        <w:rPr>
          <w:rFonts w:eastAsia="Arial" w:cs="Times New Roman"/>
          <w:szCs w:val="24"/>
        </w:rPr>
        <w:t xml:space="preserve">) </w:t>
      </w:r>
      <w:r w:rsidRPr="007535EA">
        <w:rPr>
          <w:rFonts w:eastAsia="Arial" w:cs="Times New Roman"/>
          <w:i/>
          <w:iCs/>
          <w:szCs w:val="24"/>
        </w:rPr>
        <w:t>Fundamentals of Corporate Finance</w:t>
      </w:r>
      <w:r w:rsidRPr="007535EA">
        <w:rPr>
          <w:rFonts w:eastAsia="Arial" w:cs="Times New Roman"/>
          <w:szCs w:val="24"/>
        </w:rPr>
        <w:t xml:space="preserve">. 12th </w:t>
      </w:r>
      <w:proofErr w:type="spellStart"/>
      <w:r w:rsidRPr="007535EA">
        <w:rPr>
          <w:rFonts w:eastAsia="Arial" w:cs="Times New Roman"/>
          <w:szCs w:val="24"/>
        </w:rPr>
        <w:t>edn</w:t>
      </w:r>
      <w:proofErr w:type="spellEnd"/>
      <w:r w:rsidRPr="007535EA">
        <w:rPr>
          <w:rFonts w:eastAsia="Arial" w:cs="Times New Roman"/>
          <w:szCs w:val="24"/>
        </w:rPr>
        <w:t>. New York, NY: McGraw-Hill Education.</w:t>
      </w:r>
    </w:p>
    <w:p w14:paraId="0ACD1732" w14:textId="232165BA" w:rsidR="00DC7326" w:rsidRDefault="00DC7326" w:rsidP="007535EA">
      <w:pPr>
        <w:jc w:val="left"/>
        <w:rPr>
          <w:rFonts w:eastAsia="Arial" w:cs="Times New Roman"/>
          <w:szCs w:val="24"/>
        </w:rPr>
      </w:pPr>
      <w:r w:rsidRPr="00DC7326">
        <w:rPr>
          <w:rFonts w:eastAsia="Arial" w:cs="Times New Roman"/>
          <w:szCs w:val="24"/>
        </w:rPr>
        <w:t>Titman, S., Keown, A.J. and Martin, J.D.</w:t>
      </w:r>
      <w:r>
        <w:rPr>
          <w:rFonts w:eastAsia="Arial" w:cs="Times New Roman"/>
          <w:szCs w:val="24"/>
          <w:lang w:val="ru-RU"/>
        </w:rPr>
        <w:t xml:space="preserve"> (</w:t>
      </w:r>
      <w:r w:rsidRPr="00DC7326">
        <w:rPr>
          <w:rFonts w:eastAsia="Arial" w:cs="Times New Roman"/>
          <w:szCs w:val="24"/>
        </w:rPr>
        <w:t>2021</w:t>
      </w:r>
      <w:r>
        <w:rPr>
          <w:rFonts w:eastAsia="Arial" w:cs="Times New Roman"/>
          <w:szCs w:val="24"/>
          <w:lang w:val="ru-RU"/>
        </w:rPr>
        <w:t xml:space="preserve">) </w:t>
      </w:r>
      <w:r w:rsidRPr="00DC7326">
        <w:rPr>
          <w:rFonts w:eastAsia="Arial" w:cs="Times New Roman"/>
          <w:i/>
          <w:iCs/>
          <w:szCs w:val="24"/>
        </w:rPr>
        <w:t>Financial Management: Principles and Applications.</w:t>
      </w:r>
      <w:r w:rsidRPr="00DC7326">
        <w:rPr>
          <w:rFonts w:eastAsia="Arial" w:cs="Times New Roman"/>
          <w:szCs w:val="24"/>
        </w:rPr>
        <w:t xml:space="preserve"> 14th Global ed. Harlow: Pearson.</w:t>
      </w:r>
      <w:r w:rsidR="00283B00">
        <w:rPr>
          <w:rFonts w:eastAsia="Arial" w:cs="Times New Roman"/>
          <w:szCs w:val="24"/>
        </w:rPr>
        <w:t xml:space="preserve"> (Accessed: 24</w:t>
      </w:r>
      <w:r w:rsidR="00283B00">
        <w:rPr>
          <w:rFonts w:eastAsia="Arial" w:cs="Times New Roman"/>
          <w:szCs w:val="24"/>
          <w:vertAlign w:val="superscript"/>
        </w:rPr>
        <w:t xml:space="preserve"> </w:t>
      </w:r>
      <w:r w:rsidR="00283B00">
        <w:rPr>
          <w:rFonts w:eastAsia="Arial" w:cs="Times New Roman"/>
          <w:szCs w:val="24"/>
        </w:rPr>
        <w:t>August 2024)</w:t>
      </w:r>
    </w:p>
    <w:p w14:paraId="61E6F81D" w14:textId="6284CCDD" w:rsidR="007535EA" w:rsidRPr="007535EA" w:rsidRDefault="007535EA" w:rsidP="007535EA">
      <w:pPr>
        <w:jc w:val="left"/>
        <w:rPr>
          <w:rFonts w:eastAsia="Arial" w:cs="Times New Roman"/>
          <w:szCs w:val="24"/>
        </w:rPr>
      </w:pPr>
      <w:proofErr w:type="spellStart"/>
      <w:r w:rsidRPr="007535EA">
        <w:rPr>
          <w:rFonts w:eastAsia="Arial" w:cs="Times New Roman"/>
          <w:szCs w:val="24"/>
        </w:rPr>
        <w:t>Tse</w:t>
      </w:r>
      <w:proofErr w:type="spellEnd"/>
      <w:r w:rsidRPr="007535EA">
        <w:rPr>
          <w:rFonts w:eastAsia="Arial" w:cs="Times New Roman"/>
          <w:szCs w:val="24"/>
        </w:rPr>
        <w:t xml:space="preserve"> Sui </w:t>
      </w:r>
      <w:proofErr w:type="spellStart"/>
      <w:r w:rsidRPr="007535EA">
        <w:rPr>
          <w:rFonts w:eastAsia="Arial" w:cs="Times New Roman"/>
          <w:szCs w:val="24"/>
        </w:rPr>
        <w:t>Luen</w:t>
      </w:r>
      <w:proofErr w:type="spellEnd"/>
      <w:r w:rsidRPr="007535EA">
        <w:rPr>
          <w:rFonts w:eastAsia="Arial" w:cs="Times New Roman"/>
          <w:szCs w:val="24"/>
        </w:rPr>
        <w:t xml:space="preserve"> </w:t>
      </w:r>
      <w:r w:rsidRPr="007535EA">
        <w:rPr>
          <w:rFonts w:eastAsia="Arial" w:cs="Times New Roman"/>
          <w:i/>
          <w:iCs/>
          <w:szCs w:val="24"/>
        </w:rPr>
        <w:t>Annual report 202</w:t>
      </w:r>
      <w:r w:rsidR="0099326B">
        <w:rPr>
          <w:rFonts w:eastAsia="Arial" w:cs="Times New Roman"/>
          <w:i/>
          <w:iCs/>
          <w:szCs w:val="24"/>
        </w:rPr>
        <w:t>2</w:t>
      </w:r>
      <w:r w:rsidRPr="007535EA">
        <w:rPr>
          <w:rFonts w:eastAsia="Arial" w:cs="Times New Roman"/>
          <w:i/>
          <w:iCs/>
          <w:szCs w:val="24"/>
        </w:rPr>
        <w:t>-2024</w:t>
      </w:r>
      <w:r w:rsidRPr="007535EA">
        <w:rPr>
          <w:rFonts w:eastAsia="Arial" w:cs="Times New Roman"/>
          <w:szCs w:val="24"/>
        </w:rPr>
        <w:t xml:space="preserve">. Available at: </w:t>
      </w:r>
      <w:hyperlink r:id="rId47" w:tgtFrame="_new" w:history="1">
        <w:r w:rsidRPr="007535EA">
          <w:rPr>
            <w:rStyle w:val="Hyperlink"/>
            <w:rFonts w:eastAsia="Arial" w:cs="Times New Roman"/>
            <w:szCs w:val="24"/>
          </w:rPr>
          <w:t>https://corporate.tslj.com/en/ir/reports.php</w:t>
        </w:r>
      </w:hyperlink>
      <w:r w:rsidRPr="007535EA">
        <w:rPr>
          <w:rFonts w:eastAsia="Arial" w:cs="Times New Roman"/>
          <w:szCs w:val="24"/>
        </w:rPr>
        <w:t xml:space="preserve"> (Accessed: 8 August 2024).</w:t>
      </w:r>
    </w:p>
    <w:p w14:paraId="74C9498C" w14:textId="77777777" w:rsidR="007535EA" w:rsidRPr="007535EA" w:rsidRDefault="007535EA" w:rsidP="007535EA">
      <w:pPr>
        <w:jc w:val="left"/>
        <w:rPr>
          <w:rFonts w:eastAsia="Arial" w:cs="Times New Roman"/>
          <w:szCs w:val="24"/>
        </w:rPr>
      </w:pPr>
      <w:proofErr w:type="spellStart"/>
      <w:r w:rsidRPr="007535EA">
        <w:rPr>
          <w:rFonts w:eastAsia="Arial" w:cs="Times New Roman"/>
          <w:szCs w:val="24"/>
        </w:rPr>
        <w:t>Tse</w:t>
      </w:r>
      <w:proofErr w:type="spellEnd"/>
      <w:r w:rsidRPr="007535EA">
        <w:rPr>
          <w:rFonts w:eastAsia="Arial" w:cs="Times New Roman"/>
          <w:szCs w:val="24"/>
        </w:rPr>
        <w:t xml:space="preserve"> Sui </w:t>
      </w:r>
      <w:proofErr w:type="spellStart"/>
      <w:r w:rsidRPr="007535EA">
        <w:rPr>
          <w:rFonts w:eastAsia="Arial" w:cs="Times New Roman"/>
          <w:szCs w:val="24"/>
        </w:rPr>
        <w:t>Luen</w:t>
      </w:r>
      <w:proofErr w:type="spellEnd"/>
      <w:r w:rsidRPr="007535EA">
        <w:rPr>
          <w:rFonts w:eastAsia="Arial" w:cs="Times New Roman"/>
          <w:szCs w:val="24"/>
        </w:rPr>
        <w:t xml:space="preserve"> </w:t>
      </w:r>
      <w:proofErr w:type="spellStart"/>
      <w:r w:rsidRPr="007535EA">
        <w:rPr>
          <w:rFonts w:eastAsia="Arial" w:cs="Times New Roman"/>
          <w:szCs w:val="24"/>
        </w:rPr>
        <w:t>Jewellery</w:t>
      </w:r>
      <w:proofErr w:type="spellEnd"/>
      <w:r w:rsidRPr="007535EA">
        <w:rPr>
          <w:rFonts w:eastAsia="Arial" w:cs="Times New Roman"/>
          <w:szCs w:val="24"/>
        </w:rPr>
        <w:t xml:space="preserve"> (International) Limited (no date) </w:t>
      </w:r>
      <w:r w:rsidRPr="007535EA">
        <w:rPr>
          <w:rFonts w:eastAsia="Arial" w:cs="Times New Roman"/>
          <w:i/>
          <w:iCs/>
          <w:szCs w:val="24"/>
        </w:rPr>
        <w:t>Investor relations: Reports</w:t>
      </w:r>
      <w:r w:rsidRPr="007535EA">
        <w:rPr>
          <w:rFonts w:eastAsia="Arial" w:cs="Times New Roman"/>
          <w:szCs w:val="24"/>
        </w:rPr>
        <w:t xml:space="preserve">. Available at: </w:t>
      </w:r>
      <w:hyperlink r:id="rId48" w:tgtFrame="_new" w:history="1">
        <w:r w:rsidRPr="007535EA">
          <w:rPr>
            <w:rStyle w:val="Hyperlink"/>
            <w:rFonts w:eastAsia="Arial" w:cs="Times New Roman"/>
            <w:szCs w:val="24"/>
          </w:rPr>
          <w:t>https://corporate.tslj.com/en/ir/reports.php</w:t>
        </w:r>
      </w:hyperlink>
      <w:r w:rsidRPr="007535EA">
        <w:rPr>
          <w:rFonts w:eastAsia="Arial" w:cs="Times New Roman"/>
          <w:szCs w:val="24"/>
        </w:rPr>
        <w:t xml:space="preserve"> (Accessed: 11 August 2024).</w:t>
      </w:r>
    </w:p>
    <w:p w14:paraId="691777F8"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Yahoo Finance (2024a) </w:t>
      </w:r>
      <w:r w:rsidRPr="007535EA">
        <w:rPr>
          <w:rFonts w:eastAsia="Arial" w:cs="Times New Roman"/>
          <w:i/>
          <w:iCs/>
          <w:szCs w:val="24"/>
        </w:rPr>
        <w:t xml:space="preserve">Chow Tai Fook </w:t>
      </w:r>
      <w:proofErr w:type="spellStart"/>
      <w:r w:rsidRPr="007535EA">
        <w:rPr>
          <w:rFonts w:eastAsia="Arial" w:cs="Times New Roman"/>
          <w:i/>
          <w:iCs/>
          <w:szCs w:val="24"/>
        </w:rPr>
        <w:t>Jewellery</w:t>
      </w:r>
      <w:proofErr w:type="spellEnd"/>
      <w:r w:rsidRPr="007535EA">
        <w:rPr>
          <w:rFonts w:eastAsia="Arial" w:cs="Times New Roman"/>
          <w:i/>
          <w:iCs/>
          <w:szCs w:val="24"/>
        </w:rPr>
        <w:t xml:space="preserve"> Group Limited (1929.HK)</w:t>
      </w:r>
      <w:r w:rsidRPr="007535EA">
        <w:rPr>
          <w:rFonts w:eastAsia="Arial" w:cs="Times New Roman"/>
          <w:szCs w:val="24"/>
        </w:rPr>
        <w:t xml:space="preserve">. Available at: </w:t>
      </w:r>
      <w:hyperlink r:id="rId49" w:tgtFrame="_new" w:history="1">
        <w:r w:rsidRPr="007535EA">
          <w:rPr>
            <w:rStyle w:val="Hyperlink"/>
            <w:rFonts w:eastAsia="Arial" w:cs="Times New Roman"/>
            <w:szCs w:val="24"/>
          </w:rPr>
          <w:t>https://finance.yahoo.com/quote/1929.HK/balance-sheet/</w:t>
        </w:r>
      </w:hyperlink>
      <w:r w:rsidRPr="007535EA">
        <w:rPr>
          <w:rFonts w:eastAsia="Arial" w:cs="Times New Roman"/>
          <w:szCs w:val="24"/>
        </w:rPr>
        <w:t xml:space="preserve"> (Accessed: 7 August 2024).</w:t>
      </w:r>
    </w:p>
    <w:p w14:paraId="44624587" w14:textId="77777777" w:rsidR="007535EA" w:rsidRPr="007535EA" w:rsidRDefault="007535EA" w:rsidP="007535EA">
      <w:pPr>
        <w:jc w:val="left"/>
        <w:rPr>
          <w:rFonts w:eastAsia="Arial" w:cs="Times New Roman"/>
          <w:szCs w:val="24"/>
        </w:rPr>
      </w:pPr>
      <w:r w:rsidRPr="007535EA">
        <w:rPr>
          <w:rFonts w:eastAsia="Arial" w:cs="Times New Roman"/>
          <w:szCs w:val="24"/>
        </w:rPr>
        <w:t xml:space="preserve">Yahoo Finance (2024b) </w:t>
      </w:r>
      <w:r w:rsidRPr="007535EA">
        <w:rPr>
          <w:rFonts w:eastAsia="Arial" w:cs="Times New Roman"/>
          <w:i/>
          <w:iCs/>
          <w:szCs w:val="24"/>
        </w:rPr>
        <w:t>Luk Fook Holdings (International) Limited (0590.HK)</w:t>
      </w:r>
      <w:r w:rsidRPr="007535EA">
        <w:rPr>
          <w:rFonts w:eastAsia="Arial" w:cs="Times New Roman"/>
          <w:szCs w:val="24"/>
        </w:rPr>
        <w:t xml:space="preserve">. Available at: </w:t>
      </w:r>
      <w:hyperlink r:id="rId50" w:tgtFrame="_new" w:history="1">
        <w:r w:rsidRPr="007535EA">
          <w:rPr>
            <w:rStyle w:val="Hyperlink"/>
            <w:rFonts w:eastAsia="Arial" w:cs="Times New Roman"/>
            <w:szCs w:val="24"/>
          </w:rPr>
          <w:t>https://finance.yahoo.com/quote/0590.HK/balance-sheet/</w:t>
        </w:r>
      </w:hyperlink>
      <w:r w:rsidRPr="007535EA">
        <w:rPr>
          <w:rFonts w:eastAsia="Arial" w:cs="Times New Roman"/>
          <w:szCs w:val="24"/>
        </w:rPr>
        <w:t xml:space="preserve"> (Accessed: 7 August 2024).</w:t>
      </w:r>
    </w:p>
    <w:p w14:paraId="6513ED79" w14:textId="79261A60" w:rsidR="00CC46D6" w:rsidRPr="007535EA" w:rsidRDefault="007535EA" w:rsidP="007535EA">
      <w:pPr>
        <w:jc w:val="left"/>
        <w:rPr>
          <w:rFonts w:eastAsia="Arial" w:cs="Times New Roman"/>
          <w:szCs w:val="24"/>
        </w:rPr>
      </w:pPr>
      <w:r w:rsidRPr="007535EA">
        <w:rPr>
          <w:rFonts w:eastAsia="Arial" w:cs="Times New Roman"/>
          <w:szCs w:val="24"/>
        </w:rPr>
        <w:t xml:space="preserve">Yahoo Finance (2024c) </w:t>
      </w:r>
      <w:proofErr w:type="spellStart"/>
      <w:r w:rsidRPr="007535EA">
        <w:rPr>
          <w:rFonts w:eastAsia="Arial" w:cs="Times New Roman"/>
          <w:i/>
          <w:iCs/>
          <w:szCs w:val="24"/>
        </w:rPr>
        <w:t>Tse</w:t>
      </w:r>
      <w:proofErr w:type="spellEnd"/>
      <w:r w:rsidRPr="007535EA">
        <w:rPr>
          <w:rFonts w:eastAsia="Arial" w:cs="Times New Roman"/>
          <w:i/>
          <w:iCs/>
          <w:szCs w:val="24"/>
        </w:rPr>
        <w:t xml:space="preserve"> Sui </w:t>
      </w:r>
      <w:proofErr w:type="spellStart"/>
      <w:r w:rsidRPr="007535EA">
        <w:rPr>
          <w:rFonts w:eastAsia="Arial" w:cs="Times New Roman"/>
          <w:i/>
          <w:iCs/>
          <w:szCs w:val="24"/>
        </w:rPr>
        <w:t>Luen</w:t>
      </w:r>
      <w:proofErr w:type="spellEnd"/>
      <w:r w:rsidRPr="007535EA">
        <w:rPr>
          <w:rFonts w:eastAsia="Arial" w:cs="Times New Roman"/>
          <w:i/>
          <w:iCs/>
          <w:szCs w:val="24"/>
        </w:rPr>
        <w:t xml:space="preserve"> </w:t>
      </w:r>
      <w:proofErr w:type="spellStart"/>
      <w:r w:rsidRPr="007535EA">
        <w:rPr>
          <w:rFonts w:eastAsia="Arial" w:cs="Times New Roman"/>
          <w:i/>
          <w:iCs/>
          <w:szCs w:val="24"/>
        </w:rPr>
        <w:t>Jewellery</w:t>
      </w:r>
      <w:proofErr w:type="spellEnd"/>
      <w:r w:rsidRPr="007535EA">
        <w:rPr>
          <w:rFonts w:eastAsia="Arial" w:cs="Times New Roman"/>
          <w:i/>
          <w:iCs/>
          <w:szCs w:val="24"/>
        </w:rPr>
        <w:t xml:space="preserve"> (International) Limited (0417.HK)</w:t>
      </w:r>
      <w:r w:rsidRPr="007535EA">
        <w:rPr>
          <w:rFonts w:eastAsia="Arial" w:cs="Times New Roman"/>
          <w:szCs w:val="24"/>
        </w:rPr>
        <w:t xml:space="preserve">. Available at: </w:t>
      </w:r>
      <w:hyperlink r:id="rId51" w:tgtFrame="_new" w:history="1">
        <w:r w:rsidRPr="007535EA">
          <w:rPr>
            <w:rStyle w:val="Hyperlink"/>
            <w:rFonts w:eastAsia="Arial" w:cs="Times New Roman"/>
            <w:szCs w:val="24"/>
          </w:rPr>
          <w:t>https://finance.yahoo.com/quote/0417.HK/balance-sheet/</w:t>
        </w:r>
      </w:hyperlink>
      <w:r w:rsidRPr="007535EA">
        <w:rPr>
          <w:rFonts w:eastAsia="Arial" w:cs="Times New Roman"/>
          <w:szCs w:val="24"/>
        </w:rPr>
        <w:t xml:space="preserve"> (Accessed: 7 August 2024).</w:t>
      </w:r>
      <w:r w:rsidR="00CC46D6">
        <w:rPr>
          <w:rFonts w:eastAsia="Arial" w:cs="Times New Roman"/>
          <w:szCs w:val="24"/>
          <w:lang w:val="en-GB"/>
        </w:rPr>
        <w:br w:type="page"/>
      </w:r>
    </w:p>
    <w:p w14:paraId="54CE705C" w14:textId="7A4DDCB7" w:rsidR="00CC46D6" w:rsidRDefault="00CC46D6" w:rsidP="00CC46D6">
      <w:pPr>
        <w:pStyle w:val="Heading1"/>
        <w:rPr>
          <w:lang w:val="en-GB"/>
        </w:rPr>
      </w:pPr>
      <w:bookmarkStart w:id="34" w:name="_Toc175504273"/>
      <w:r>
        <w:rPr>
          <w:lang w:val="en-GB"/>
        </w:rPr>
        <w:lastRenderedPageBreak/>
        <w:t>Appendix A: Critical Financials</w:t>
      </w:r>
      <w:bookmarkEnd w:id="34"/>
    </w:p>
    <w:p w14:paraId="471A716C" w14:textId="5E9833FE" w:rsidR="00CC46D6" w:rsidRPr="00623C0D" w:rsidRDefault="00CC46D6" w:rsidP="00CC46D6">
      <w:pPr>
        <w:rPr>
          <w:b/>
          <w:bCs/>
          <w:lang w:val="en-GB"/>
        </w:rPr>
      </w:pPr>
      <w:r w:rsidRPr="00623C0D">
        <w:rPr>
          <w:b/>
          <w:bCs/>
          <w:lang w:val="en-GB"/>
        </w:rPr>
        <w:t>Chow Tai Fook</w:t>
      </w:r>
      <w:r w:rsidR="00623C0D">
        <w:rPr>
          <w:b/>
          <w:bCs/>
          <w:lang w:val="en-GB"/>
        </w:rPr>
        <w:t xml:space="preserve"> (in HK$,000)</w:t>
      </w:r>
    </w:p>
    <w:p w14:paraId="6601862C" w14:textId="2617CDD6" w:rsidR="005A67C4" w:rsidRDefault="00623C0D" w:rsidP="00170E4F">
      <w:pPr>
        <w:rPr>
          <w:rFonts w:eastAsia="Arial" w:cs="Times New Roman"/>
          <w:szCs w:val="24"/>
          <w:lang w:val="en-GB"/>
        </w:rPr>
      </w:pPr>
      <w:r w:rsidRPr="00623C0D">
        <w:rPr>
          <w:noProof/>
        </w:rPr>
        <w:drawing>
          <wp:inline distT="0" distB="0" distL="0" distR="0" wp14:anchorId="2F62933C" wp14:editId="0AA8E9C5">
            <wp:extent cx="5375910" cy="73939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75910" cy="7393940"/>
                    </a:xfrm>
                    <a:prstGeom prst="rect">
                      <a:avLst/>
                    </a:prstGeom>
                    <a:noFill/>
                    <a:ln>
                      <a:noFill/>
                    </a:ln>
                  </pic:spPr>
                </pic:pic>
              </a:graphicData>
            </a:graphic>
          </wp:inline>
        </w:drawing>
      </w:r>
    </w:p>
    <w:p w14:paraId="7A404E2D" w14:textId="10040079" w:rsidR="00623C0D" w:rsidRDefault="00623C0D">
      <w:pPr>
        <w:spacing w:after="200" w:line="276" w:lineRule="auto"/>
        <w:jc w:val="left"/>
        <w:rPr>
          <w:rFonts w:eastAsia="Arial" w:cs="Times New Roman"/>
          <w:szCs w:val="24"/>
          <w:lang w:val="en-GB"/>
        </w:rPr>
      </w:pPr>
      <w:r>
        <w:rPr>
          <w:rFonts w:eastAsia="Arial" w:cs="Times New Roman"/>
          <w:szCs w:val="24"/>
          <w:lang w:val="en-GB"/>
        </w:rPr>
        <w:br w:type="page"/>
      </w:r>
    </w:p>
    <w:p w14:paraId="0492D9A2" w14:textId="6D047B17" w:rsidR="00623C0D" w:rsidRDefault="00623C0D" w:rsidP="00170E4F">
      <w:pPr>
        <w:rPr>
          <w:rFonts w:eastAsia="Arial" w:cs="Times New Roman"/>
          <w:szCs w:val="24"/>
          <w:lang w:val="en-GB"/>
        </w:rPr>
      </w:pPr>
      <w:r w:rsidRPr="00623C0D">
        <w:rPr>
          <w:rFonts w:eastAsia="Arial" w:cs="Times New Roman"/>
          <w:b/>
          <w:bCs/>
          <w:szCs w:val="24"/>
          <w:lang w:val="en-GB"/>
        </w:rPr>
        <w:lastRenderedPageBreak/>
        <w:t>Luk Fook</w:t>
      </w:r>
      <w:r>
        <w:rPr>
          <w:rFonts w:eastAsia="Arial" w:cs="Times New Roman"/>
          <w:szCs w:val="24"/>
          <w:lang w:val="en-GB"/>
        </w:rPr>
        <w:t xml:space="preserve"> </w:t>
      </w:r>
      <w:r>
        <w:rPr>
          <w:b/>
          <w:bCs/>
          <w:lang w:val="en-GB"/>
        </w:rPr>
        <w:t>(in HK$,000)</w:t>
      </w:r>
    </w:p>
    <w:p w14:paraId="0BFEED9E" w14:textId="7DFD8A55" w:rsidR="00623C0D" w:rsidRDefault="00623C0D" w:rsidP="00170E4F">
      <w:pPr>
        <w:rPr>
          <w:rFonts w:eastAsia="Arial" w:cs="Times New Roman"/>
          <w:szCs w:val="24"/>
          <w:lang w:val="en-GB"/>
        </w:rPr>
      </w:pPr>
      <w:r w:rsidRPr="00623C0D">
        <w:rPr>
          <w:noProof/>
        </w:rPr>
        <w:drawing>
          <wp:inline distT="0" distB="0" distL="0" distR="0" wp14:anchorId="552D506C" wp14:editId="1DE85FD3">
            <wp:extent cx="5139690" cy="7496810"/>
            <wp:effectExtent l="0" t="0" r="381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39690" cy="7496810"/>
                    </a:xfrm>
                    <a:prstGeom prst="rect">
                      <a:avLst/>
                    </a:prstGeom>
                    <a:noFill/>
                    <a:ln>
                      <a:noFill/>
                    </a:ln>
                  </pic:spPr>
                </pic:pic>
              </a:graphicData>
            </a:graphic>
          </wp:inline>
        </w:drawing>
      </w:r>
    </w:p>
    <w:p w14:paraId="02B0CD8D" w14:textId="5955CDFF" w:rsidR="00623C0D" w:rsidRDefault="00623C0D">
      <w:pPr>
        <w:spacing w:after="200" w:line="276" w:lineRule="auto"/>
        <w:jc w:val="left"/>
        <w:rPr>
          <w:rFonts w:eastAsia="Arial" w:cs="Times New Roman"/>
          <w:szCs w:val="24"/>
          <w:lang w:val="en-GB"/>
        </w:rPr>
      </w:pPr>
      <w:r>
        <w:rPr>
          <w:rFonts w:eastAsia="Arial" w:cs="Times New Roman"/>
          <w:szCs w:val="24"/>
          <w:lang w:val="en-GB"/>
        </w:rPr>
        <w:br w:type="page"/>
      </w:r>
    </w:p>
    <w:p w14:paraId="4BCC9324" w14:textId="16EAD4E4" w:rsidR="00623C0D" w:rsidRDefault="00623C0D" w:rsidP="00170E4F">
      <w:pPr>
        <w:rPr>
          <w:rFonts w:eastAsia="Arial" w:cs="Times New Roman"/>
          <w:b/>
          <w:bCs/>
          <w:szCs w:val="24"/>
          <w:lang w:val="en-GB"/>
        </w:rPr>
      </w:pPr>
      <w:proofErr w:type="spellStart"/>
      <w:r w:rsidRPr="00623C0D">
        <w:rPr>
          <w:rFonts w:eastAsia="Arial" w:cs="Times New Roman"/>
          <w:b/>
          <w:bCs/>
          <w:szCs w:val="24"/>
          <w:lang w:val="en-GB"/>
        </w:rPr>
        <w:lastRenderedPageBreak/>
        <w:t>Tse</w:t>
      </w:r>
      <w:proofErr w:type="spellEnd"/>
      <w:r w:rsidRPr="00623C0D">
        <w:rPr>
          <w:rFonts w:eastAsia="Arial" w:cs="Times New Roman"/>
          <w:b/>
          <w:bCs/>
          <w:szCs w:val="24"/>
          <w:lang w:val="en-GB"/>
        </w:rPr>
        <w:t xml:space="preserve"> Sui </w:t>
      </w:r>
      <w:proofErr w:type="spellStart"/>
      <w:r w:rsidRPr="00623C0D">
        <w:rPr>
          <w:rFonts w:eastAsia="Arial" w:cs="Times New Roman"/>
          <w:b/>
          <w:bCs/>
          <w:szCs w:val="24"/>
          <w:lang w:val="en-GB"/>
        </w:rPr>
        <w:t>Luen</w:t>
      </w:r>
      <w:proofErr w:type="spellEnd"/>
      <w:r>
        <w:rPr>
          <w:rFonts w:eastAsia="Arial" w:cs="Times New Roman"/>
          <w:b/>
          <w:bCs/>
          <w:szCs w:val="24"/>
          <w:lang w:val="en-GB"/>
        </w:rPr>
        <w:t xml:space="preserve"> </w:t>
      </w:r>
      <w:r>
        <w:rPr>
          <w:b/>
          <w:bCs/>
          <w:lang w:val="en-GB"/>
        </w:rPr>
        <w:t>(in HK$,000)</w:t>
      </w:r>
    </w:p>
    <w:p w14:paraId="5926DD9A" w14:textId="1F802631" w:rsidR="00623C0D" w:rsidRPr="00623C0D" w:rsidRDefault="00623C0D" w:rsidP="00170E4F">
      <w:pPr>
        <w:rPr>
          <w:rFonts w:eastAsia="Arial" w:cs="Times New Roman"/>
          <w:b/>
          <w:bCs/>
          <w:szCs w:val="24"/>
          <w:lang w:val="en-GB"/>
        </w:rPr>
      </w:pPr>
      <w:r w:rsidRPr="00623C0D">
        <w:rPr>
          <w:noProof/>
        </w:rPr>
        <w:drawing>
          <wp:inline distT="0" distB="0" distL="0" distR="0" wp14:anchorId="431FB5F2" wp14:editId="65E50F13">
            <wp:extent cx="4540250" cy="7315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40250" cy="7315200"/>
                    </a:xfrm>
                    <a:prstGeom prst="rect">
                      <a:avLst/>
                    </a:prstGeom>
                    <a:noFill/>
                    <a:ln>
                      <a:noFill/>
                    </a:ln>
                  </pic:spPr>
                </pic:pic>
              </a:graphicData>
            </a:graphic>
          </wp:inline>
        </w:drawing>
      </w:r>
    </w:p>
    <w:sectPr w:rsidR="00623C0D" w:rsidRPr="00623C0D" w:rsidSect="00B61BF0">
      <w:footerReference w:type="default" r:id="rId55"/>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19913" w14:textId="77777777" w:rsidR="00001238" w:rsidRDefault="00001238">
      <w:pPr>
        <w:spacing w:line="240" w:lineRule="auto"/>
      </w:pPr>
      <w:r>
        <w:separator/>
      </w:r>
    </w:p>
  </w:endnote>
  <w:endnote w:type="continuationSeparator" w:id="0">
    <w:p w14:paraId="6883900F" w14:textId="77777777" w:rsidR="00001238" w:rsidRDefault="000012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9A130" w14:textId="43C3E160" w:rsidR="00B61BF0" w:rsidRDefault="00B61BF0" w:rsidP="00B61BF0">
    <w:pPr>
      <w:pStyle w:val="Footer"/>
      <w:tabs>
        <w:tab w:val="clear" w:pos="4677"/>
        <w:tab w:val="clear" w:pos="9355"/>
      </w:tabs>
      <w:rPr>
        <w:caps/>
        <w:noProof/>
        <w:color w:val="4F81BD" w:themeColor="accent1"/>
      </w:rPr>
    </w:pPr>
  </w:p>
  <w:p w14:paraId="0EFBE558" w14:textId="77777777" w:rsidR="00B61BF0" w:rsidRDefault="00B61B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4B3F5" w14:textId="77777777" w:rsidR="0099326B" w:rsidRPr="0099326B" w:rsidRDefault="0099326B">
    <w:pPr>
      <w:pStyle w:val="Footer"/>
      <w:tabs>
        <w:tab w:val="clear" w:pos="4677"/>
        <w:tab w:val="clear" w:pos="9355"/>
      </w:tabs>
      <w:jc w:val="center"/>
      <w:rPr>
        <w:caps/>
        <w:noProof/>
        <w:color w:val="000000" w:themeColor="text1"/>
      </w:rPr>
    </w:pPr>
    <w:r w:rsidRPr="0099326B">
      <w:rPr>
        <w:caps/>
        <w:color w:val="000000" w:themeColor="text1"/>
      </w:rPr>
      <w:fldChar w:fldCharType="begin"/>
    </w:r>
    <w:r w:rsidRPr="0099326B">
      <w:rPr>
        <w:caps/>
        <w:color w:val="000000" w:themeColor="text1"/>
      </w:rPr>
      <w:instrText xml:space="preserve"> PAGE   \* MERGEFORMAT </w:instrText>
    </w:r>
    <w:r w:rsidRPr="0099326B">
      <w:rPr>
        <w:caps/>
        <w:color w:val="000000" w:themeColor="text1"/>
      </w:rPr>
      <w:fldChar w:fldCharType="separate"/>
    </w:r>
    <w:r w:rsidRPr="0099326B">
      <w:rPr>
        <w:caps/>
        <w:noProof/>
        <w:color w:val="000000" w:themeColor="text1"/>
      </w:rPr>
      <w:t>2</w:t>
    </w:r>
    <w:r w:rsidRPr="0099326B">
      <w:rPr>
        <w:caps/>
        <w:noProof/>
        <w:color w:val="000000" w:themeColor="text1"/>
      </w:rPr>
      <w:fldChar w:fldCharType="end"/>
    </w:r>
  </w:p>
  <w:p w14:paraId="16D77F5B" w14:textId="77777777" w:rsidR="0099326B" w:rsidRDefault="00993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4B1DC" w14:textId="77777777" w:rsidR="00001238" w:rsidRDefault="00001238">
      <w:pPr>
        <w:spacing w:line="240" w:lineRule="auto"/>
      </w:pPr>
      <w:r>
        <w:separator/>
      </w:r>
    </w:p>
  </w:footnote>
  <w:footnote w:type="continuationSeparator" w:id="0">
    <w:p w14:paraId="64E83C18" w14:textId="77777777" w:rsidR="00001238" w:rsidRDefault="000012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9FD23" w14:textId="3F75FB14" w:rsidR="00242AC4" w:rsidRPr="004A0BB5" w:rsidRDefault="00242AC4" w:rsidP="00BD24A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1E35C3"/>
    <w:multiLevelType w:val="multilevel"/>
    <w:tmpl w:val="7896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242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19"/>
    <w:rsid w:val="00001238"/>
    <w:rsid w:val="00042FED"/>
    <w:rsid w:val="00043270"/>
    <w:rsid w:val="00045258"/>
    <w:rsid w:val="00046BE8"/>
    <w:rsid w:val="0005385E"/>
    <w:rsid w:val="00083747"/>
    <w:rsid w:val="00086E21"/>
    <w:rsid w:val="00093674"/>
    <w:rsid w:val="000C26BF"/>
    <w:rsid w:val="000E5F65"/>
    <w:rsid w:val="00104D30"/>
    <w:rsid w:val="00106DC3"/>
    <w:rsid w:val="0012501F"/>
    <w:rsid w:val="00136A8A"/>
    <w:rsid w:val="00146820"/>
    <w:rsid w:val="0016504C"/>
    <w:rsid w:val="00170E4F"/>
    <w:rsid w:val="001812A4"/>
    <w:rsid w:val="00182C13"/>
    <w:rsid w:val="001B448E"/>
    <w:rsid w:val="001F1650"/>
    <w:rsid w:val="001F408D"/>
    <w:rsid w:val="00200687"/>
    <w:rsid w:val="002042AE"/>
    <w:rsid w:val="00206688"/>
    <w:rsid w:val="002268CB"/>
    <w:rsid w:val="00242AC4"/>
    <w:rsid w:val="0024403D"/>
    <w:rsid w:val="00245BEF"/>
    <w:rsid w:val="0024632A"/>
    <w:rsid w:val="00253C21"/>
    <w:rsid w:val="00255BDE"/>
    <w:rsid w:val="002641B3"/>
    <w:rsid w:val="002721A3"/>
    <w:rsid w:val="002813CA"/>
    <w:rsid w:val="00283B00"/>
    <w:rsid w:val="00294C94"/>
    <w:rsid w:val="002A4A72"/>
    <w:rsid w:val="002D0BE5"/>
    <w:rsid w:val="003036AC"/>
    <w:rsid w:val="00307E28"/>
    <w:rsid w:val="003257D4"/>
    <w:rsid w:val="003374AC"/>
    <w:rsid w:val="003377F3"/>
    <w:rsid w:val="00363267"/>
    <w:rsid w:val="003864E3"/>
    <w:rsid w:val="0040267B"/>
    <w:rsid w:val="00404B90"/>
    <w:rsid w:val="004210D9"/>
    <w:rsid w:val="00426175"/>
    <w:rsid w:val="0044462D"/>
    <w:rsid w:val="00453702"/>
    <w:rsid w:val="004B1226"/>
    <w:rsid w:val="004B224B"/>
    <w:rsid w:val="004C3233"/>
    <w:rsid w:val="004F7B3B"/>
    <w:rsid w:val="00515C0F"/>
    <w:rsid w:val="00527CDB"/>
    <w:rsid w:val="00556965"/>
    <w:rsid w:val="0056275C"/>
    <w:rsid w:val="0059430A"/>
    <w:rsid w:val="005960D2"/>
    <w:rsid w:val="005A67C4"/>
    <w:rsid w:val="005C77A4"/>
    <w:rsid w:val="005E3E8D"/>
    <w:rsid w:val="005F5EE8"/>
    <w:rsid w:val="00611FA3"/>
    <w:rsid w:val="00621F5D"/>
    <w:rsid w:val="00623C0D"/>
    <w:rsid w:val="006712D3"/>
    <w:rsid w:val="00674F56"/>
    <w:rsid w:val="00683CDE"/>
    <w:rsid w:val="00690B83"/>
    <w:rsid w:val="006A1A59"/>
    <w:rsid w:val="006A33B6"/>
    <w:rsid w:val="006B160E"/>
    <w:rsid w:val="006B1679"/>
    <w:rsid w:val="006E2B87"/>
    <w:rsid w:val="006E3AF0"/>
    <w:rsid w:val="00711421"/>
    <w:rsid w:val="00714069"/>
    <w:rsid w:val="0072799F"/>
    <w:rsid w:val="0073026F"/>
    <w:rsid w:val="007411BB"/>
    <w:rsid w:val="00746B67"/>
    <w:rsid w:val="007535EA"/>
    <w:rsid w:val="00761673"/>
    <w:rsid w:val="00762DA9"/>
    <w:rsid w:val="0077728C"/>
    <w:rsid w:val="007A3268"/>
    <w:rsid w:val="007E7028"/>
    <w:rsid w:val="007E7B61"/>
    <w:rsid w:val="007F69B2"/>
    <w:rsid w:val="00814001"/>
    <w:rsid w:val="008465F1"/>
    <w:rsid w:val="00846E25"/>
    <w:rsid w:val="008674BE"/>
    <w:rsid w:val="008944FD"/>
    <w:rsid w:val="008A2711"/>
    <w:rsid w:val="008B57FA"/>
    <w:rsid w:val="008C4314"/>
    <w:rsid w:val="008D796E"/>
    <w:rsid w:val="008E31DE"/>
    <w:rsid w:val="009075B3"/>
    <w:rsid w:val="00917710"/>
    <w:rsid w:val="009210C6"/>
    <w:rsid w:val="00923879"/>
    <w:rsid w:val="00924022"/>
    <w:rsid w:val="00930ABB"/>
    <w:rsid w:val="00937054"/>
    <w:rsid w:val="00965016"/>
    <w:rsid w:val="00992180"/>
    <w:rsid w:val="0099326B"/>
    <w:rsid w:val="009F215C"/>
    <w:rsid w:val="00A13372"/>
    <w:rsid w:val="00A15887"/>
    <w:rsid w:val="00A2710B"/>
    <w:rsid w:val="00A34CDE"/>
    <w:rsid w:val="00A43557"/>
    <w:rsid w:val="00A4796E"/>
    <w:rsid w:val="00A6213D"/>
    <w:rsid w:val="00A653BE"/>
    <w:rsid w:val="00A71C36"/>
    <w:rsid w:val="00A7517F"/>
    <w:rsid w:val="00A80176"/>
    <w:rsid w:val="00AA7479"/>
    <w:rsid w:val="00AB6F04"/>
    <w:rsid w:val="00AE1805"/>
    <w:rsid w:val="00AE318A"/>
    <w:rsid w:val="00AE502A"/>
    <w:rsid w:val="00AF56AC"/>
    <w:rsid w:val="00B22A3E"/>
    <w:rsid w:val="00B343BD"/>
    <w:rsid w:val="00B40953"/>
    <w:rsid w:val="00B45151"/>
    <w:rsid w:val="00B47903"/>
    <w:rsid w:val="00B61BF0"/>
    <w:rsid w:val="00BB548A"/>
    <w:rsid w:val="00BC47FA"/>
    <w:rsid w:val="00BD0A62"/>
    <w:rsid w:val="00BD24AD"/>
    <w:rsid w:val="00BE552E"/>
    <w:rsid w:val="00BF01EE"/>
    <w:rsid w:val="00BF05DB"/>
    <w:rsid w:val="00BF638A"/>
    <w:rsid w:val="00C1189B"/>
    <w:rsid w:val="00C30855"/>
    <w:rsid w:val="00C502AF"/>
    <w:rsid w:val="00C60C49"/>
    <w:rsid w:val="00C7020D"/>
    <w:rsid w:val="00C86030"/>
    <w:rsid w:val="00C86764"/>
    <w:rsid w:val="00CA405F"/>
    <w:rsid w:val="00CC46D6"/>
    <w:rsid w:val="00D24E95"/>
    <w:rsid w:val="00D52B4E"/>
    <w:rsid w:val="00D85E87"/>
    <w:rsid w:val="00D91C4A"/>
    <w:rsid w:val="00DA2E06"/>
    <w:rsid w:val="00DC7326"/>
    <w:rsid w:val="00DF156E"/>
    <w:rsid w:val="00E17F34"/>
    <w:rsid w:val="00E23B13"/>
    <w:rsid w:val="00E2664B"/>
    <w:rsid w:val="00E45292"/>
    <w:rsid w:val="00E648AB"/>
    <w:rsid w:val="00EA4957"/>
    <w:rsid w:val="00ED05D7"/>
    <w:rsid w:val="00EF2C83"/>
    <w:rsid w:val="00EF68F7"/>
    <w:rsid w:val="00EF7BC0"/>
    <w:rsid w:val="00F04B12"/>
    <w:rsid w:val="00F14683"/>
    <w:rsid w:val="00F15EA7"/>
    <w:rsid w:val="00F16B05"/>
    <w:rsid w:val="00F5514D"/>
    <w:rsid w:val="00F564BF"/>
    <w:rsid w:val="00F65C2F"/>
    <w:rsid w:val="00FA014C"/>
    <w:rsid w:val="00FA68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D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02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6B67"/>
    <w:pPr>
      <w:keepNext/>
      <w:keepLines/>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46B67"/>
    <w:pPr>
      <w:keepNext/>
      <w:keepLines/>
      <w:jc w:val="left"/>
      <w:outlineLvl w:val="1"/>
    </w:pPr>
    <w:rPr>
      <w:rFonts w:eastAsiaTheme="majorEastAsia" w:cstheme="majorBidi"/>
      <w:b/>
      <w:szCs w:val="26"/>
    </w:rPr>
  </w:style>
  <w:style w:type="paragraph" w:styleId="Heading3">
    <w:name w:val="heading 3"/>
    <w:basedOn w:val="Normal"/>
    <w:next w:val="Normal"/>
    <w:link w:val="Heading3Char"/>
    <w:uiPriority w:val="9"/>
    <w:qFormat/>
    <w:rsid w:val="00A15887"/>
    <w:pPr>
      <w:keepNext/>
      <w:keepLines/>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EF7BC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819"/>
    <w:pPr>
      <w:tabs>
        <w:tab w:val="center" w:pos="4819"/>
        <w:tab w:val="right" w:pos="9639"/>
      </w:tabs>
      <w:spacing w:line="240" w:lineRule="auto"/>
    </w:pPr>
  </w:style>
  <w:style w:type="character" w:customStyle="1" w:styleId="HeaderChar">
    <w:name w:val="Header Char"/>
    <w:basedOn w:val="DefaultParagraphFont"/>
    <w:link w:val="Header"/>
    <w:uiPriority w:val="99"/>
    <w:rsid w:val="00FA6819"/>
    <w:rPr>
      <w:lang w:val="uk-UA"/>
    </w:rPr>
  </w:style>
  <w:style w:type="character" w:styleId="Hyperlink">
    <w:name w:val="Hyperlink"/>
    <w:basedOn w:val="DefaultParagraphFont"/>
    <w:uiPriority w:val="99"/>
    <w:unhideWhenUsed/>
    <w:rsid w:val="00FA6819"/>
    <w:rPr>
      <w:color w:val="0000FF"/>
      <w:u w:val="single"/>
    </w:rPr>
  </w:style>
  <w:style w:type="character" w:customStyle="1" w:styleId="t">
    <w:name w:val="t"/>
    <w:basedOn w:val="DefaultParagraphFont"/>
    <w:rsid w:val="00FA6819"/>
  </w:style>
  <w:style w:type="paragraph" w:customStyle="1" w:styleId="lt-socialsci-7952">
    <w:name w:val="lt-socialsci-7952"/>
    <w:basedOn w:val="Normal"/>
    <w:rsid w:val="006B160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6B160E"/>
    <w:rPr>
      <w:i/>
      <w:iCs/>
    </w:rPr>
  </w:style>
  <w:style w:type="character" w:styleId="Strong">
    <w:name w:val="Strong"/>
    <w:basedOn w:val="DefaultParagraphFont"/>
    <w:uiPriority w:val="22"/>
    <w:qFormat/>
    <w:rsid w:val="006B160E"/>
    <w:rPr>
      <w:b/>
      <w:bCs/>
    </w:rPr>
  </w:style>
  <w:style w:type="paragraph" w:styleId="Footer">
    <w:name w:val="footer"/>
    <w:basedOn w:val="Normal"/>
    <w:link w:val="FooterChar"/>
    <w:uiPriority w:val="99"/>
    <w:unhideWhenUsed/>
    <w:rsid w:val="00D85E87"/>
    <w:pPr>
      <w:tabs>
        <w:tab w:val="center" w:pos="4677"/>
        <w:tab w:val="right" w:pos="9355"/>
      </w:tabs>
      <w:spacing w:line="240" w:lineRule="auto"/>
    </w:pPr>
  </w:style>
  <w:style w:type="character" w:customStyle="1" w:styleId="FooterChar">
    <w:name w:val="Footer Char"/>
    <w:basedOn w:val="DefaultParagraphFont"/>
    <w:link w:val="Footer"/>
    <w:uiPriority w:val="99"/>
    <w:rsid w:val="00D85E87"/>
    <w:rPr>
      <w:lang w:val="uk-UA"/>
    </w:rPr>
  </w:style>
  <w:style w:type="paragraph" w:styleId="BalloonText">
    <w:name w:val="Balloon Text"/>
    <w:basedOn w:val="Normal"/>
    <w:link w:val="BalloonTextChar"/>
    <w:uiPriority w:val="99"/>
    <w:semiHidden/>
    <w:unhideWhenUsed/>
    <w:rsid w:val="00D85E87"/>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D85E87"/>
    <w:rPr>
      <w:rFonts w:ascii="Times New Roman" w:hAnsi="Times New Roman" w:cs="Times New Roman"/>
      <w:sz w:val="18"/>
      <w:szCs w:val="18"/>
      <w:lang w:val="uk-UA"/>
    </w:rPr>
  </w:style>
  <w:style w:type="character" w:customStyle="1" w:styleId="UnresolvedMention1">
    <w:name w:val="Unresolved Mention1"/>
    <w:basedOn w:val="DefaultParagraphFont"/>
    <w:uiPriority w:val="99"/>
    <w:semiHidden/>
    <w:unhideWhenUsed/>
    <w:rsid w:val="0024403D"/>
    <w:rPr>
      <w:color w:val="605E5C"/>
      <w:shd w:val="clear" w:color="auto" w:fill="E1DFDD"/>
    </w:rPr>
  </w:style>
  <w:style w:type="character" w:customStyle="1" w:styleId="Heading1Char">
    <w:name w:val="Heading 1 Char"/>
    <w:basedOn w:val="DefaultParagraphFont"/>
    <w:link w:val="Heading1"/>
    <w:uiPriority w:val="9"/>
    <w:rsid w:val="00746B6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46B6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1588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EF7BC0"/>
    <w:rPr>
      <w:rFonts w:asciiTheme="majorHAnsi" w:eastAsiaTheme="majorEastAsia" w:hAnsiTheme="majorHAnsi" w:cstheme="majorBidi"/>
      <w:i/>
      <w:iCs/>
      <w:color w:val="365F91" w:themeColor="accent1" w:themeShade="BF"/>
      <w:sz w:val="24"/>
    </w:rPr>
  </w:style>
  <w:style w:type="character" w:styleId="UnresolvedMention">
    <w:name w:val="Unresolved Mention"/>
    <w:basedOn w:val="DefaultParagraphFont"/>
    <w:uiPriority w:val="99"/>
    <w:semiHidden/>
    <w:unhideWhenUsed/>
    <w:rsid w:val="00EF7BC0"/>
    <w:rPr>
      <w:color w:val="605E5C"/>
      <w:shd w:val="clear" w:color="auto" w:fill="E1DFDD"/>
    </w:rPr>
  </w:style>
  <w:style w:type="table" w:styleId="PlainTable1">
    <w:name w:val="Plain Table 1"/>
    <w:basedOn w:val="TableNormal"/>
    <w:uiPriority w:val="41"/>
    <w:rsid w:val="00B479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045258"/>
    <w:rPr>
      <w:rFonts w:cs="Times New Roman"/>
      <w:szCs w:val="24"/>
    </w:rPr>
  </w:style>
  <w:style w:type="character" w:styleId="PlaceholderText">
    <w:name w:val="Placeholder Text"/>
    <w:basedOn w:val="DefaultParagraphFont"/>
    <w:uiPriority w:val="99"/>
    <w:semiHidden/>
    <w:rsid w:val="00045258"/>
    <w:rPr>
      <w:color w:val="808080"/>
    </w:rPr>
  </w:style>
  <w:style w:type="character" w:customStyle="1" w:styleId="katex-mathml">
    <w:name w:val="katex-mathml"/>
    <w:basedOn w:val="DefaultParagraphFont"/>
    <w:rsid w:val="006712D3"/>
  </w:style>
  <w:style w:type="character" w:customStyle="1" w:styleId="mord">
    <w:name w:val="mord"/>
    <w:basedOn w:val="DefaultParagraphFont"/>
    <w:rsid w:val="006712D3"/>
  </w:style>
  <w:style w:type="character" w:customStyle="1" w:styleId="mrel">
    <w:name w:val="mrel"/>
    <w:basedOn w:val="DefaultParagraphFont"/>
    <w:rsid w:val="006712D3"/>
  </w:style>
  <w:style w:type="character" w:customStyle="1" w:styleId="mopen">
    <w:name w:val="mopen"/>
    <w:basedOn w:val="DefaultParagraphFont"/>
    <w:rsid w:val="006712D3"/>
  </w:style>
  <w:style w:type="character" w:customStyle="1" w:styleId="mpunct">
    <w:name w:val="mpunct"/>
    <w:basedOn w:val="DefaultParagraphFont"/>
    <w:rsid w:val="006712D3"/>
  </w:style>
  <w:style w:type="character" w:customStyle="1" w:styleId="vlist-s">
    <w:name w:val="vlist-s"/>
    <w:basedOn w:val="DefaultParagraphFont"/>
    <w:rsid w:val="006712D3"/>
  </w:style>
  <w:style w:type="character" w:customStyle="1" w:styleId="mclose">
    <w:name w:val="mclose"/>
    <w:basedOn w:val="DefaultParagraphFont"/>
    <w:rsid w:val="006712D3"/>
  </w:style>
  <w:style w:type="character" w:customStyle="1" w:styleId="mbin">
    <w:name w:val="mbin"/>
    <w:basedOn w:val="DefaultParagraphFont"/>
    <w:rsid w:val="006712D3"/>
  </w:style>
  <w:style w:type="paragraph" w:styleId="Caption">
    <w:name w:val="caption"/>
    <w:basedOn w:val="Normal"/>
    <w:next w:val="Normal"/>
    <w:uiPriority w:val="35"/>
    <w:unhideWhenUsed/>
    <w:qFormat/>
    <w:rsid w:val="00814001"/>
    <w:pPr>
      <w:spacing w:after="200" w:line="240" w:lineRule="auto"/>
    </w:pPr>
    <w:rPr>
      <w:i/>
      <w:iCs/>
      <w:color w:val="1F497D" w:themeColor="text2"/>
      <w:sz w:val="18"/>
      <w:szCs w:val="18"/>
    </w:rPr>
  </w:style>
  <w:style w:type="table" w:styleId="PlainTable2">
    <w:name w:val="Plain Table 2"/>
    <w:basedOn w:val="TableNormal"/>
    <w:uiPriority w:val="42"/>
    <w:rsid w:val="005C77A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overflow-hidden">
    <w:name w:val="overflow-hidden"/>
    <w:basedOn w:val="DefaultParagraphFont"/>
    <w:rsid w:val="00294C94"/>
  </w:style>
  <w:style w:type="paragraph" w:styleId="TOCHeading">
    <w:name w:val="TOC Heading"/>
    <w:basedOn w:val="Heading1"/>
    <w:next w:val="Normal"/>
    <w:uiPriority w:val="39"/>
    <w:unhideWhenUsed/>
    <w:qFormat/>
    <w:rsid w:val="003377F3"/>
    <w:pPr>
      <w:spacing w:before="240"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3377F3"/>
    <w:pPr>
      <w:spacing w:after="100"/>
    </w:pPr>
  </w:style>
  <w:style w:type="paragraph" w:styleId="TOC2">
    <w:name w:val="toc 2"/>
    <w:basedOn w:val="Normal"/>
    <w:next w:val="Normal"/>
    <w:autoRedefine/>
    <w:uiPriority w:val="39"/>
    <w:unhideWhenUsed/>
    <w:rsid w:val="003377F3"/>
    <w:pPr>
      <w:spacing w:after="100"/>
      <w:ind w:left="240"/>
    </w:pPr>
  </w:style>
  <w:style w:type="character" w:styleId="FollowedHyperlink">
    <w:name w:val="FollowedHyperlink"/>
    <w:basedOn w:val="DefaultParagraphFont"/>
    <w:uiPriority w:val="99"/>
    <w:semiHidden/>
    <w:unhideWhenUsed/>
    <w:rsid w:val="00283B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2711">
      <w:bodyDiv w:val="1"/>
      <w:marLeft w:val="0"/>
      <w:marRight w:val="0"/>
      <w:marTop w:val="0"/>
      <w:marBottom w:val="0"/>
      <w:divBdr>
        <w:top w:val="none" w:sz="0" w:space="0" w:color="auto"/>
        <w:left w:val="none" w:sz="0" w:space="0" w:color="auto"/>
        <w:bottom w:val="none" w:sz="0" w:space="0" w:color="auto"/>
        <w:right w:val="none" w:sz="0" w:space="0" w:color="auto"/>
      </w:divBdr>
    </w:div>
    <w:div w:id="65615298">
      <w:bodyDiv w:val="1"/>
      <w:marLeft w:val="0"/>
      <w:marRight w:val="0"/>
      <w:marTop w:val="0"/>
      <w:marBottom w:val="0"/>
      <w:divBdr>
        <w:top w:val="none" w:sz="0" w:space="0" w:color="auto"/>
        <w:left w:val="none" w:sz="0" w:space="0" w:color="auto"/>
        <w:bottom w:val="none" w:sz="0" w:space="0" w:color="auto"/>
        <w:right w:val="none" w:sz="0" w:space="0" w:color="auto"/>
      </w:divBdr>
    </w:div>
    <w:div w:id="83721248">
      <w:bodyDiv w:val="1"/>
      <w:marLeft w:val="0"/>
      <w:marRight w:val="0"/>
      <w:marTop w:val="0"/>
      <w:marBottom w:val="0"/>
      <w:divBdr>
        <w:top w:val="none" w:sz="0" w:space="0" w:color="auto"/>
        <w:left w:val="none" w:sz="0" w:space="0" w:color="auto"/>
        <w:bottom w:val="none" w:sz="0" w:space="0" w:color="auto"/>
        <w:right w:val="none" w:sz="0" w:space="0" w:color="auto"/>
      </w:divBdr>
    </w:div>
    <w:div w:id="86191312">
      <w:bodyDiv w:val="1"/>
      <w:marLeft w:val="0"/>
      <w:marRight w:val="0"/>
      <w:marTop w:val="0"/>
      <w:marBottom w:val="0"/>
      <w:divBdr>
        <w:top w:val="none" w:sz="0" w:space="0" w:color="auto"/>
        <w:left w:val="none" w:sz="0" w:space="0" w:color="auto"/>
        <w:bottom w:val="none" w:sz="0" w:space="0" w:color="auto"/>
        <w:right w:val="none" w:sz="0" w:space="0" w:color="auto"/>
      </w:divBdr>
    </w:div>
    <w:div w:id="108089368">
      <w:bodyDiv w:val="1"/>
      <w:marLeft w:val="0"/>
      <w:marRight w:val="0"/>
      <w:marTop w:val="0"/>
      <w:marBottom w:val="0"/>
      <w:divBdr>
        <w:top w:val="none" w:sz="0" w:space="0" w:color="auto"/>
        <w:left w:val="none" w:sz="0" w:space="0" w:color="auto"/>
        <w:bottom w:val="none" w:sz="0" w:space="0" w:color="auto"/>
        <w:right w:val="none" w:sz="0" w:space="0" w:color="auto"/>
      </w:divBdr>
      <w:divsChild>
        <w:div w:id="243497696">
          <w:marLeft w:val="0"/>
          <w:marRight w:val="0"/>
          <w:marTop w:val="0"/>
          <w:marBottom w:val="0"/>
          <w:divBdr>
            <w:top w:val="none" w:sz="0" w:space="0" w:color="auto"/>
            <w:left w:val="none" w:sz="0" w:space="0" w:color="auto"/>
            <w:bottom w:val="none" w:sz="0" w:space="0" w:color="auto"/>
            <w:right w:val="none" w:sz="0" w:space="0" w:color="auto"/>
          </w:divBdr>
          <w:divsChild>
            <w:div w:id="605313231">
              <w:marLeft w:val="0"/>
              <w:marRight w:val="0"/>
              <w:marTop w:val="0"/>
              <w:marBottom w:val="0"/>
              <w:divBdr>
                <w:top w:val="none" w:sz="0" w:space="0" w:color="auto"/>
                <w:left w:val="none" w:sz="0" w:space="0" w:color="auto"/>
                <w:bottom w:val="none" w:sz="0" w:space="0" w:color="auto"/>
                <w:right w:val="none" w:sz="0" w:space="0" w:color="auto"/>
              </w:divBdr>
              <w:divsChild>
                <w:div w:id="1001934941">
                  <w:marLeft w:val="0"/>
                  <w:marRight w:val="0"/>
                  <w:marTop w:val="0"/>
                  <w:marBottom w:val="0"/>
                  <w:divBdr>
                    <w:top w:val="none" w:sz="0" w:space="0" w:color="auto"/>
                    <w:left w:val="none" w:sz="0" w:space="0" w:color="auto"/>
                    <w:bottom w:val="none" w:sz="0" w:space="0" w:color="auto"/>
                    <w:right w:val="none" w:sz="0" w:space="0" w:color="auto"/>
                  </w:divBdr>
                  <w:divsChild>
                    <w:div w:id="1898857979">
                      <w:marLeft w:val="0"/>
                      <w:marRight w:val="0"/>
                      <w:marTop w:val="0"/>
                      <w:marBottom w:val="0"/>
                      <w:divBdr>
                        <w:top w:val="none" w:sz="0" w:space="0" w:color="auto"/>
                        <w:left w:val="none" w:sz="0" w:space="0" w:color="auto"/>
                        <w:bottom w:val="none" w:sz="0" w:space="0" w:color="auto"/>
                        <w:right w:val="none" w:sz="0" w:space="0" w:color="auto"/>
                      </w:divBdr>
                      <w:divsChild>
                        <w:div w:id="277106086">
                          <w:marLeft w:val="0"/>
                          <w:marRight w:val="0"/>
                          <w:marTop w:val="0"/>
                          <w:marBottom w:val="0"/>
                          <w:divBdr>
                            <w:top w:val="none" w:sz="0" w:space="0" w:color="auto"/>
                            <w:left w:val="none" w:sz="0" w:space="0" w:color="auto"/>
                            <w:bottom w:val="none" w:sz="0" w:space="0" w:color="auto"/>
                            <w:right w:val="none" w:sz="0" w:space="0" w:color="auto"/>
                          </w:divBdr>
                          <w:divsChild>
                            <w:div w:id="17662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82004">
      <w:bodyDiv w:val="1"/>
      <w:marLeft w:val="0"/>
      <w:marRight w:val="0"/>
      <w:marTop w:val="0"/>
      <w:marBottom w:val="0"/>
      <w:divBdr>
        <w:top w:val="none" w:sz="0" w:space="0" w:color="auto"/>
        <w:left w:val="none" w:sz="0" w:space="0" w:color="auto"/>
        <w:bottom w:val="none" w:sz="0" w:space="0" w:color="auto"/>
        <w:right w:val="none" w:sz="0" w:space="0" w:color="auto"/>
      </w:divBdr>
    </w:div>
    <w:div w:id="116990683">
      <w:bodyDiv w:val="1"/>
      <w:marLeft w:val="0"/>
      <w:marRight w:val="0"/>
      <w:marTop w:val="0"/>
      <w:marBottom w:val="0"/>
      <w:divBdr>
        <w:top w:val="none" w:sz="0" w:space="0" w:color="auto"/>
        <w:left w:val="none" w:sz="0" w:space="0" w:color="auto"/>
        <w:bottom w:val="none" w:sz="0" w:space="0" w:color="auto"/>
        <w:right w:val="none" w:sz="0" w:space="0" w:color="auto"/>
      </w:divBdr>
    </w:div>
    <w:div w:id="123351382">
      <w:bodyDiv w:val="1"/>
      <w:marLeft w:val="0"/>
      <w:marRight w:val="0"/>
      <w:marTop w:val="0"/>
      <w:marBottom w:val="0"/>
      <w:divBdr>
        <w:top w:val="none" w:sz="0" w:space="0" w:color="auto"/>
        <w:left w:val="none" w:sz="0" w:space="0" w:color="auto"/>
        <w:bottom w:val="none" w:sz="0" w:space="0" w:color="auto"/>
        <w:right w:val="none" w:sz="0" w:space="0" w:color="auto"/>
      </w:divBdr>
    </w:div>
    <w:div w:id="136462754">
      <w:bodyDiv w:val="1"/>
      <w:marLeft w:val="0"/>
      <w:marRight w:val="0"/>
      <w:marTop w:val="0"/>
      <w:marBottom w:val="0"/>
      <w:divBdr>
        <w:top w:val="none" w:sz="0" w:space="0" w:color="auto"/>
        <w:left w:val="none" w:sz="0" w:space="0" w:color="auto"/>
        <w:bottom w:val="none" w:sz="0" w:space="0" w:color="auto"/>
        <w:right w:val="none" w:sz="0" w:space="0" w:color="auto"/>
      </w:divBdr>
    </w:div>
    <w:div w:id="145557514">
      <w:bodyDiv w:val="1"/>
      <w:marLeft w:val="0"/>
      <w:marRight w:val="0"/>
      <w:marTop w:val="0"/>
      <w:marBottom w:val="0"/>
      <w:divBdr>
        <w:top w:val="none" w:sz="0" w:space="0" w:color="auto"/>
        <w:left w:val="none" w:sz="0" w:space="0" w:color="auto"/>
        <w:bottom w:val="none" w:sz="0" w:space="0" w:color="auto"/>
        <w:right w:val="none" w:sz="0" w:space="0" w:color="auto"/>
      </w:divBdr>
    </w:div>
    <w:div w:id="146747091">
      <w:bodyDiv w:val="1"/>
      <w:marLeft w:val="0"/>
      <w:marRight w:val="0"/>
      <w:marTop w:val="0"/>
      <w:marBottom w:val="0"/>
      <w:divBdr>
        <w:top w:val="none" w:sz="0" w:space="0" w:color="auto"/>
        <w:left w:val="none" w:sz="0" w:space="0" w:color="auto"/>
        <w:bottom w:val="none" w:sz="0" w:space="0" w:color="auto"/>
        <w:right w:val="none" w:sz="0" w:space="0" w:color="auto"/>
      </w:divBdr>
    </w:div>
    <w:div w:id="147289675">
      <w:bodyDiv w:val="1"/>
      <w:marLeft w:val="0"/>
      <w:marRight w:val="0"/>
      <w:marTop w:val="0"/>
      <w:marBottom w:val="0"/>
      <w:divBdr>
        <w:top w:val="none" w:sz="0" w:space="0" w:color="auto"/>
        <w:left w:val="none" w:sz="0" w:space="0" w:color="auto"/>
        <w:bottom w:val="none" w:sz="0" w:space="0" w:color="auto"/>
        <w:right w:val="none" w:sz="0" w:space="0" w:color="auto"/>
      </w:divBdr>
      <w:divsChild>
        <w:div w:id="1616935955">
          <w:marLeft w:val="0"/>
          <w:marRight w:val="0"/>
          <w:marTop w:val="0"/>
          <w:marBottom w:val="0"/>
          <w:divBdr>
            <w:top w:val="none" w:sz="0" w:space="0" w:color="auto"/>
            <w:left w:val="none" w:sz="0" w:space="0" w:color="auto"/>
            <w:bottom w:val="none" w:sz="0" w:space="0" w:color="auto"/>
            <w:right w:val="none" w:sz="0" w:space="0" w:color="auto"/>
          </w:divBdr>
          <w:divsChild>
            <w:div w:id="227420225">
              <w:marLeft w:val="0"/>
              <w:marRight w:val="0"/>
              <w:marTop w:val="0"/>
              <w:marBottom w:val="0"/>
              <w:divBdr>
                <w:top w:val="none" w:sz="0" w:space="0" w:color="auto"/>
                <w:left w:val="none" w:sz="0" w:space="0" w:color="auto"/>
                <w:bottom w:val="none" w:sz="0" w:space="0" w:color="auto"/>
                <w:right w:val="none" w:sz="0" w:space="0" w:color="auto"/>
              </w:divBdr>
              <w:divsChild>
                <w:div w:id="1841651692">
                  <w:marLeft w:val="0"/>
                  <w:marRight w:val="0"/>
                  <w:marTop w:val="0"/>
                  <w:marBottom w:val="0"/>
                  <w:divBdr>
                    <w:top w:val="none" w:sz="0" w:space="0" w:color="auto"/>
                    <w:left w:val="none" w:sz="0" w:space="0" w:color="auto"/>
                    <w:bottom w:val="none" w:sz="0" w:space="0" w:color="auto"/>
                    <w:right w:val="none" w:sz="0" w:space="0" w:color="auto"/>
                  </w:divBdr>
                  <w:divsChild>
                    <w:div w:id="1972513411">
                      <w:marLeft w:val="0"/>
                      <w:marRight w:val="0"/>
                      <w:marTop w:val="0"/>
                      <w:marBottom w:val="0"/>
                      <w:divBdr>
                        <w:top w:val="none" w:sz="0" w:space="0" w:color="auto"/>
                        <w:left w:val="none" w:sz="0" w:space="0" w:color="auto"/>
                        <w:bottom w:val="none" w:sz="0" w:space="0" w:color="auto"/>
                        <w:right w:val="none" w:sz="0" w:space="0" w:color="auto"/>
                      </w:divBdr>
                      <w:divsChild>
                        <w:div w:id="1730768753">
                          <w:marLeft w:val="0"/>
                          <w:marRight w:val="0"/>
                          <w:marTop w:val="0"/>
                          <w:marBottom w:val="0"/>
                          <w:divBdr>
                            <w:top w:val="none" w:sz="0" w:space="0" w:color="auto"/>
                            <w:left w:val="none" w:sz="0" w:space="0" w:color="auto"/>
                            <w:bottom w:val="none" w:sz="0" w:space="0" w:color="auto"/>
                            <w:right w:val="none" w:sz="0" w:space="0" w:color="auto"/>
                          </w:divBdr>
                          <w:divsChild>
                            <w:div w:id="104583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01954">
      <w:bodyDiv w:val="1"/>
      <w:marLeft w:val="0"/>
      <w:marRight w:val="0"/>
      <w:marTop w:val="0"/>
      <w:marBottom w:val="0"/>
      <w:divBdr>
        <w:top w:val="none" w:sz="0" w:space="0" w:color="auto"/>
        <w:left w:val="none" w:sz="0" w:space="0" w:color="auto"/>
        <w:bottom w:val="none" w:sz="0" w:space="0" w:color="auto"/>
        <w:right w:val="none" w:sz="0" w:space="0" w:color="auto"/>
      </w:divBdr>
      <w:divsChild>
        <w:div w:id="1078937355">
          <w:marLeft w:val="0"/>
          <w:marRight w:val="0"/>
          <w:marTop w:val="0"/>
          <w:marBottom w:val="0"/>
          <w:divBdr>
            <w:top w:val="none" w:sz="0" w:space="0" w:color="auto"/>
            <w:left w:val="none" w:sz="0" w:space="0" w:color="auto"/>
            <w:bottom w:val="none" w:sz="0" w:space="0" w:color="auto"/>
            <w:right w:val="none" w:sz="0" w:space="0" w:color="auto"/>
          </w:divBdr>
          <w:divsChild>
            <w:div w:id="1189441912">
              <w:marLeft w:val="0"/>
              <w:marRight w:val="0"/>
              <w:marTop w:val="0"/>
              <w:marBottom w:val="0"/>
              <w:divBdr>
                <w:top w:val="none" w:sz="0" w:space="0" w:color="auto"/>
                <w:left w:val="none" w:sz="0" w:space="0" w:color="auto"/>
                <w:bottom w:val="none" w:sz="0" w:space="0" w:color="auto"/>
                <w:right w:val="none" w:sz="0" w:space="0" w:color="auto"/>
              </w:divBdr>
              <w:divsChild>
                <w:div w:id="175730447">
                  <w:marLeft w:val="0"/>
                  <w:marRight w:val="0"/>
                  <w:marTop w:val="0"/>
                  <w:marBottom w:val="0"/>
                  <w:divBdr>
                    <w:top w:val="none" w:sz="0" w:space="0" w:color="auto"/>
                    <w:left w:val="none" w:sz="0" w:space="0" w:color="auto"/>
                    <w:bottom w:val="none" w:sz="0" w:space="0" w:color="auto"/>
                    <w:right w:val="none" w:sz="0" w:space="0" w:color="auto"/>
                  </w:divBdr>
                  <w:divsChild>
                    <w:div w:id="95489095">
                      <w:marLeft w:val="0"/>
                      <w:marRight w:val="0"/>
                      <w:marTop w:val="0"/>
                      <w:marBottom w:val="0"/>
                      <w:divBdr>
                        <w:top w:val="none" w:sz="0" w:space="0" w:color="auto"/>
                        <w:left w:val="none" w:sz="0" w:space="0" w:color="auto"/>
                        <w:bottom w:val="none" w:sz="0" w:space="0" w:color="auto"/>
                        <w:right w:val="none" w:sz="0" w:space="0" w:color="auto"/>
                      </w:divBdr>
                      <w:divsChild>
                        <w:div w:id="439839438">
                          <w:marLeft w:val="0"/>
                          <w:marRight w:val="0"/>
                          <w:marTop w:val="0"/>
                          <w:marBottom w:val="0"/>
                          <w:divBdr>
                            <w:top w:val="none" w:sz="0" w:space="0" w:color="auto"/>
                            <w:left w:val="none" w:sz="0" w:space="0" w:color="auto"/>
                            <w:bottom w:val="none" w:sz="0" w:space="0" w:color="auto"/>
                            <w:right w:val="none" w:sz="0" w:space="0" w:color="auto"/>
                          </w:divBdr>
                          <w:divsChild>
                            <w:div w:id="15372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24291">
      <w:bodyDiv w:val="1"/>
      <w:marLeft w:val="0"/>
      <w:marRight w:val="0"/>
      <w:marTop w:val="0"/>
      <w:marBottom w:val="0"/>
      <w:divBdr>
        <w:top w:val="none" w:sz="0" w:space="0" w:color="auto"/>
        <w:left w:val="none" w:sz="0" w:space="0" w:color="auto"/>
        <w:bottom w:val="none" w:sz="0" w:space="0" w:color="auto"/>
        <w:right w:val="none" w:sz="0" w:space="0" w:color="auto"/>
      </w:divBdr>
    </w:div>
    <w:div w:id="183830300">
      <w:bodyDiv w:val="1"/>
      <w:marLeft w:val="0"/>
      <w:marRight w:val="0"/>
      <w:marTop w:val="0"/>
      <w:marBottom w:val="0"/>
      <w:divBdr>
        <w:top w:val="none" w:sz="0" w:space="0" w:color="auto"/>
        <w:left w:val="none" w:sz="0" w:space="0" w:color="auto"/>
        <w:bottom w:val="none" w:sz="0" w:space="0" w:color="auto"/>
        <w:right w:val="none" w:sz="0" w:space="0" w:color="auto"/>
      </w:divBdr>
    </w:div>
    <w:div w:id="192693234">
      <w:bodyDiv w:val="1"/>
      <w:marLeft w:val="0"/>
      <w:marRight w:val="0"/>
      <w:marTop w:val="0"/>
      <w:marBottom w:val="0"/>
      <w:divBdr>
        <w:top w:val="none" w:sz="0" w:space="0" w:color="auto"/>
        <w:left w:val="none" w:sz="0" w:space="0" w:color="auto"/>
        <w:bottom w:val="none" w:sz="0" w:space="0" w:color="auto"/>
        <w:right w:val="none" w:sz="0" w:space="0" w:color="auto"/>
      </w:divBdr>
    </w:div>
    <w:div w:id="206911885">
      <w:bodyDiv w:val="1"/>
      <w:marLeft w:val="0"/>
      <w:marRight w:val="0"/>
      <w:marTop w:val="0"/>
      <w:marBottom w:val="0"/>
      <w:divBdr>
        <w:top w:val="none" w:sz="0" w:space="0" w:color="auto"/>
        <w:left w:val="none" w:sz="0" w:space="0" w:color="auto"/>
        <w:bottom w:val="none" w:sz="0" w:space="0" w:color="auto"/>
        <w:right w:val="none" w:sz="0" w:space="0" w:color="auto"/>
      </w:divBdr>
    </w:div>
    <w:div w:id="207838166">
      <w:bodyDiv w:val="1"/>
      <w:marLeft w:val="0"/>
      <w:marRight w:val="0"/>
      <w:marTop w:val="0"/>
      <w:marBottom w:val="0"/>
      <w:divBdr>
        <w:top w:val="none" w:sz="0" w:space="0" w:color="auto"/>
        <w:left w:val="none" w:sz="0" w:space="0" w:color="auto"/>
        <w:bottom w:val="none" w:sz="0" w:space="0" w:color="auto"/>
        <w:right w:val="none" w:sz="0" w:space="0" w:color="auto"/>
      </w:divBdr>
    </w:div>
    <w:div w:id="236869184">
      <w:bodyDiv w:val="1"/>
      <w:marLeft w:val="0"/>
      <w:marRight w:val="0"/>
      <w:marTop w:val="0"/>
      <w:marBottom w:val="0"/>
      <w:divBdr>
        <w:top w:val="none" w:sz="0" w:space="0" w:color="auto"/>
        <w:left w:val="none" w:sz="0" w:space="0" w:color="auto"/>
        <w:bottom w:val="none" w:sz="0" w:space="0" w:color="auto"/>
        <w:right w:val="none" w:sz="0" w:space="0" w:color="auto"/>
      </w:divBdr>
    </w:div>
    <w:div w:id="297106791">
      <w:bodyDiv w:val="1"/>
      <w:marLeft w:val="0"/>
      <w:marRight w:val="0"/>
      <w:marTop w:val="0"/>
      <w:marBottom w:val="0"/>
      <w:divBdr>
        <w:top w:val="none" w:sz="0" w:space="0" w:color="auto"/>
        <w:left w:val="none" w:sz="0" w:space="0" w:color="auto"/>
        <w:bottom w:val="none" w:sz="0" w:space="0" w:color="auto"/>
        <w:right w:val="none" w:sz="0" w:space="0" w:color="auto"/>
      </w:divBdr>
    </w:div>
    <w:div w:id="409934960">
      <w:bodyDiv w:val="1"/>
      <w:marLeft w:val="0"/>
      <w:marRight w:val="0"/>
      <w:marTop w:val="0"/>
      <w:marBottom w:val="0"/>
      <w:divBdr>
        <w:top w:val="none" w:sz="0" w:space="0" w:color="auto"/>
        <w:left w:val="none" w:sz="0" w:space="0" w:color="auto"/>
        <w:bottom w:val="none" w:sz="0" w:space="0" w:color="auto"/>
        <w:right w:val="none" w:sz="0" w:space="0" w:color="auto"/>
      </w:divBdr>
    </w:div>
    <w:div w:id="423691784">
      <w:bodyDiv w:val="1"/>
      <w:marLeft w:val="0"/>
      <w:marRight w:val="0"/>
      <w:marTop w:val="0"/>
      <w:marBottom w:val="0"/>
      <w:divBdr>
        <w:top w:val="none" w:sz="0" w:space="0" w:color="auto"/>
        <w:left w:val="none" w:sz="0" w:space="0" w:color="auto"/>
        <w:bottom w:val="none" w:sz="0" w:space="0" w:color="auto"/>
        <w:right w:val="none" w:sz="0" w:space="0" w:color="auto"/>
      </w:divBdr>
    </w:div>
    <w:div w:id="428963485">
      <w:bodyDiv w:val="1"/>
      <w:marLeft w:val="0"/>
      <w:marRight w:val="0"/>
      <w:marTop w:val="0"/>
      <w:marBottom w:val="0"/>
      <w:divBdr>
        <w:top w:val="none" w:sz="0" w:space="0" w:color="auto"/>
        <w:left w:val="none" w:sz="0" w:space="0" w:color="auto"/>
        <w:bottom w:val="none" w:sz="0" w:space="0" w:color="auto"/>
        <w:right w:val="none" w:sz="0" w:space="0" w:color="auto"/>
      </w:divBdr>
    </w:div>
    <w:div w:id="445269097">
      <w:bodyDiv w:val="1"/>
      <w:marLeft w:val="0"/>
      <w:marRight w:val="0"/>
      <w:marTop w:val="0"/>
      <w:marBottom w:val="0"/>
      <w:divBdr>
        <w:top w:val="none" w:sz="0" w:space="0" w:color="auto"/>
        <w:left w:val="none" w:sz="0" w:space="0" w:color="auto"/>
        <w:bottom w:val="none" w:sz="0" w:space="0" w:color="auto"/>
        <w:right w:val="none" w:sz="0" w:space="0" w:color="auto"/>
      </w:divBdr>
    </w:div>
    <w:div w:id="455486330">
      <w:bodyDiv w:val="1"/>
      <w:marLeft w:val="0"/>
      <w:marRight w:val="0"/>
      <w:marTop w:val="0"/>
      <w:marBottom w:val="0"/>
      <w:divBdr>
        <w:top w:val="none" w:sz="0" w:space="0" w:color="auto"/>
        <w:left w:val="none" w:sz="0" w:space="0" w:color="auto"/>
        <w:bottom w:val="none" w:sz="0" w:space="0" w:color="auto"/>
        <w:right w:val="none" w:sz="0" w:space="0" w:color="auto"/>
      </w:divBdr>
    </w:div>
    <w:div w:id="462698154">
      <w:bodyDiv w:val="1"/>
      <w:marLeft w:val="0"/>
      <w:marRight w:val="0"/>
      <w:marTop w:val="0"/>
      <w:marBottom w:val="0"/>
      <w:divBdr>
        <w:top w:val="none" w:sz="0" w:space="0" w:color="auto"/>
        <w:left w:val="none" w:sz="0" w:space="0" w:color="auto"/>
        <w:bottom w:val="none" w:sz="0" w:space="0" w:color="auto"/>
        <w:right w:val="none" w:sz="0" w:space="0" w:color="auto"/>
      </w:divBdr>
    </w:div>
    <w:div w:id="490144074">
      <w:bodyDiv w:val="1"/>
      <w:marLeft w:val="0"/>
      <w:marRight w:val="0"/>
      <w:marTop w:val="0"/>
      <w:marBottom w:val="0"/>
      <w:divBdr>
        <w:top w:val="none" w:sz="0" w:space="0" w:color="auto"/>
        <w:left w:val="none" w:sz="0" w:space="0" w:color="auto"/>
        <w:bottom w:val="none" w:sz="0" w:space="0" w:color="auto"/>
        <w:right w:val="none" w:sz="0" w:space="0" w:color="auto"/>
      </w:divBdr>
    </w:div>
    <w:div w:id="522132636">
      <w:bodyDiv w:val="1"/>
      <w:marLeft w:val="0"/>
      <w:marRight w:val="0"/>
      <w:marTop w:val="0"/>
      <w:marBottom w:val="0"/>
      <w:divBdr>
        <w:top w:val="none" w:sz="0" w:space="0" w:color="auto"/>
        <w:left w:val="none" w:sz="0" w:space="0" w:color="auto"/>
        <w:bottom w:val="none" w:sz="0" w:space="0" w:color="auto"/>
        <w:right w:val="none" w:sz="0" w:space="0" w:color="auto"/>
      </w:divBdr>
    </w:div>
    <w:div w:id="542325596">
      <w:bodyDiv w:val="1"/>
      <w:marLeft w:val="0"/>
      <w:marRight w:val="0"/>
      <w:marTop w:val="0"/>
      <w:marBottom w:val="0"/>
      <w:divBdr>
        <w:top w:val="none" w:sz="0" w:space="0" w:color="auto"/>
        <w:left w:val="none" w:sz="0" w:space="0" w:color="auto"/>
        <w:bottom w:val="none" w:sz="0" w:space="0" w:color="auto"/>
        <w:right w:val="none" w:sz="0" w:space="0" w:color="auto"/>
      </w:divBdr>
    </w:div>
    <w:div w:id="547378077">
      <w:bodyDiv w:val="1"/>
      <w:marLeft w:val="0"/>
      <w:marRight w:val="0"/>
      <w:marTop w:val="0"/>
      <w:marBottom w:val="0"/>
      <w:divBdr>
        <w:top w:val="none" w:sz="0" w:space="0" w:color="auto"/>
        <w:left w:val="none" w:sz="0" w:space="0" w:color="auto"/>
        <w:bottom w:val="none" w:sz="0" w:space="0" w:color="auto"/>
        <w:right w:val="none" w:sz="0" w:space="0" w:color="auto"/>
      </w:divBdr>
    </w:div>
    <w:div w:id="548616422">
      <w:bodyDiv w:val="1"/>
      <w:marLeft w:val="0"/>
      <w:marRight w:val="0"/>
      <w:marTop w:val="0"/>
      <w:marBottom w:val="0"/>
      <w:divBdr>
        <w:top w:val="none" w:sz="0" w:space="0" w:color="auto"/>
        <w:left w:val="none" w:sz="0" w:space="0" w:color="auto"/>
        <w:bottom w:val="none" w:sz="0" w:space="0" w:color="auto"/>
        <w:right w:val="none" w:sz="0" w:space="0" w:color="auto"/>
      </w:divBdr>
    </w:div>
    <w:div w:id="549810108">
      <w:bodyDiv w:val="1"/>
      <w:marLeft w:val="0"/>
      <w:marRight w:val="0"/>
      <w:marTop w:val="0"/>
      <w:marBottom w:val="0"/>
      <w:divBdr>
        <w:top w:val="none" w:sz="0" w:space="0" w:color="auto"/>
        <w:left w:val="none" w:sz="0" w:space="0" w:color="auto"/>
        <w:bottom w:val="none" w:sz="0" w:space="0" w:color="auto"/>
        <w:right w:val="none" w:sz="0" w:space="0" w:color="auto"/>
      </w:divBdr>
    </w:div>
    <w:div w:id="553127853">
      <w:bodyDiv w:val="1"/>
      <w:marLeft w:val="0"/>
      <w:marRight w:val="0"/>
      <w:marTop w:val="0"/>
      <w:marBottom w:val="0"/>
      <w:divBdr>
        <w:top w:val="none" w:sz="0" w:space="0" w:color="auto"/>
        <w:left w:val="none" w:sz="0" w:space="0" w:color="auto"/>
        <w:bottom w:val="none" w:sz="0" w:space="0" w:color="auto"/>
        <w:right w:val="none" w:sz="0" w:space="0" w:color="auto"/>
      </w:divBdr>
    </w:div>
    <w:div w:id="553154033">
      <w:bodyDiv w:val="1"/>
      <w:marLeft w:val="0"/>
      <w:marRight w:val="0"/>
      <w:marTop w:val="0"/>
      <w:marBottom w:val="0"/>
      <w:divBdr>
        <w:top w:val="none" w:sz="0" w:space="0" w:color="auto"/>
        <w:left w:val="none" w:sz="0" w:space="0" w:color="auto"/>
        <w:bottom w:val="none" w:sz="0" w:space="0" w:color="auto"/>
        <w:right w:val="none" w:sz="0" w:space="0" w:color="auto"/>
      </w:divBdr>
    </w:div>
    <w:div w:id="567614934">
      <w:bodyDiv w:val="1"/>
      <w:marLeft w:val="0"/>
      <w:marRight w:val="0"/>
      <w:marTop w:val="0"/>
      <w:marBottom w:val="0"/>
      <w:divBdr>
        <w:top w:val="none" w:sz="0" w:space="0" w:color="auto"/>
        <w:left w:val="none" w:sz="0" w:space="0" w:color="auto"/>
        <w:bottom w:val="none" w:sz="0" w:space="0" w:color="auto"/>
        <w:right w:val="none" w:sz="0" w:space="0" w:color="auto"/>
      </w:divBdr>
    </w:div>
    <w:div w:id="584412139">
      <w:bodyDiv w:val="1"/>
      <w:marLeft w:val="0"/>
      <w:marRight w:val="0"/>
      <w:marTop w:val="0"/>
      <w:marBottom w:val="0"/>
      <w:divBdr>
        <w:top w:val="none" w:sz="0" w:space="0" w:color="auto"/>
        <w:left w:val="none" w:sz="0" w:space="0" w:color="auto"/>
        <w:bottom w:val="none" w:sz="0" w:space="0" w:color="auto"/>
        <w:right w:val="none" w:sz="0" w:space="0" w:color="auto"/>
      </w:divBdr>
    </w:div>
    <w:div w:id="600407306">
      <w:bodyDiv w:val="1"/>
      <w:marLeft w:val="0"/>
      <w:marRight w:val="0"/>
      <w:marTop w:val="0"/>
      <w:marBottom w:val="0"/>
      <w:divBdr>
        <w:top w:val="none" w:sz="0" w:space="0" w:color="auto"/>
        <w:left w:val="none" w:sz="0" w:space="0" w:color="auto"/>
        <w:bottom w:val="none" w:sz="0" w:space="0" w:color="auto"/>
        <w:right w:val="none" w:sz="0" w:space="0" w:color="auto"/>
      </w:divBdr>
      <w:divsChild>
        <w:div w:id="60952234">
          <w:marLeft w:val="0"/>
          <w:marRight w:val="0"/>
          <w:marTop w:val="0"/>
          <w:marBottom w:val="0"/>
          <w:divBdr>
            <w:top w:val="none" w:sz="0" w:space="0" w:color="auto"/>
            <w:left w:val="none" w:sz="0" w:space="0" w:color="auto"/>
            <w:bottom w:val="none" w:sz="0" w:space="0" w:color="auto"/>
            <w:right w:val="none" w:sz="0" w:space="0" w:color="auto"/>
          </w:divBdr>
        </w:div>
        <w:div w:id="300576668">
          <w:marLeft w:val="0"/>
          <w:marRight w:val="0"/>
          <w:marTop w:val="0"/>
          <w:marBottom w:val="0"/>
          <w:divBdr>
            <w:top w:val="none" w:sz="0" w:space="0" w:color="auto"/>
            <w:left w:val="none" w:sz="0" w:space="0" w:color="auto"/>
            <w:bottom w:val="none" w:sz="0" w:space="0" w:color="auto"/>
            <w:right w:val="none" w:sz="0" w:space="0" w:color="auto"/>
          </w:divBdr>
        </w:div>
        <w:div w:id="335806981">
          <w:marLeft w:val="0"/>
          <w:marRight w:val="0"/>
          <w:marTop w:val="0"/>
          <w:marBottom w:val="0"/>
          <w:divBdr>
            <w:top w:val="none" w:sz="0" w:space="0" w:color="auto"/>
            <w:left w:val="none" w:sz="0" w:space="0" w:color="auto"/>
            <w:bottom w:val="none" w:sz="0" w:space="0" w:color="auto"/>
            <w:right w:val="none" w:sz="0" w:space="0" w:color="auto"/>
          </w:divBdr>
        </w:div>
        <w:div w:id="686060101">
          <w:marLeft w:val="0"/>
          <w:marRight w:val="0"/>
          <w:marTop w:val="0"/>
          <w:marBottom w:val="0"/>
          <w:divBdr>
            <w:top w:val="none" w:sz="0" w:space="0" w:color="auto"/>
            <w:left w:val="none" w:sz="0" w:space="0" w:color="auto"/>
            <w:bottom w:val="none" w:sz="0" w:space="0" w:color="auto"/>
            <w:right w:val="none" w:sz="0" w:space="0" w:color="auto"/>
          </w:divBdr>
        </w:div>
        <w:div w:id="689793501">
          <w:marLeft w:val="0"/>
          <w:marRight w:val="0"/>
          <w:marTop w:val="0"/>
          <w:marBottom w:val="0"/>
          <w:divBdr>
            <w:top w:val="none" w:sz="0" w:space="0" w:color="auto"/>
            <w:left w:val="none" w:sz="0" w:space="0" w:color="auto"/>
            <w:bottom w:val="none" w:sz="0" w:space="0" w:color="auto"/>
            <w:right w:val="none" w:sz="0" w:space="0" w:color="auto"/>
          </w:divBdr>
        </w:div>
        <w:div w:id="1390496790">
          <w:marLeft w:val="0"/>
          <w:marRight w:val="0"/>
          <w:marTop w:val="0"/>
          <w:marBottom w:val="0"/>
          <w:divBdr>
            <w:top w:val="none" w:sz="0" w:space="0" w:color="auto"/>
            <w:left w:val="none" w:sz="0" w:space="0" w:color="auto"/>
            <w:bottom w:val="none" w:sz="0" w:space="0" w:color="auto"/>
            <w:right w:val="none" w:sz="0" w:space="0" w:color="auto"/>
          </w:divBdr>
        </w:div>
        <w:div w:id="1554652518">
          <w:marLeft w:val="0"/>
          <w:marRight w:val="0"/>
          <w:marTop w:val="0"/>
          <w:marBottom w:val="0"/>
          <w:divBdr>
            <w:top w:val="none" w:sz="0" w:space="0" w:color="auto"/>
            <w:left w:val="none" w:sz="0" w:space="0" w:color="auto"/>
            <w:bottom w:val="none" w:sz="0" w:space="0" w:color="auto"/>
            <w:right w:val="none" w:sz="0" w:space="0" w:color="auto"/>
          </w:divBdr>
        </w:div>
        <w:div w:id="1878271950">
          <w:marLeft w:val="0"/>
          <w:marRight w:val="0"/>
          <w:marTop w:val="0"/>
          <w:marBottom w:val="0"/>
          <w:divBdr>
            <w:top w:val="none" w:sz="0" w:space="0" w:color="auto"/>
            <w:left w:val="none" w:sz="0" w:space="0" w:color="auto"/>
            <w:bottom w:val="none" w:sz="0" w:space="0" w:color="auto"/>
            <w:right w:val="none" w:sz="0" w:space="0" w:color="auto"/>
          </w:divBdr>
        </w:div>
        <w:div w:id="1924871706">
          <w:marLeft w:val="0"/>
          <w:marRight w:val="0"/>
          <w:marTop w:val="0"/>
          <w:marBottom w:val="0"/>
          <w:divBdr>
            <w:top w:val="none" w:sz="0" w:space="0" w:color="auto"/>
            <w:left w:val="none" w:sz="0" w:space="0" w:color="auto"/>
            <w:bottom w:val="none" w:sz="0" w:space="0" w:color="auto"/>
            <w:right w:val="none" w:sz="0" w:space="0" w:color="auto"/>
          </w:divBdr>
        </w:div>
        <w:div w:id="1932854834">
          <w:marLeft w:val="0"/>
          <w:marRight w:val="0"/>
          <w:marTop w:val="0"/>
          <w:marBottom w:val="0"/>
          <w:divBdr>
            <w:top w:val="none" w:sz="0" w:space="0" w:color="auto"/>
            <w:left w:val="none" w:sz="0" w:space="0" w:color="auto"/>
            <w:bottom w:val="none" w:sz="0" w:space="0" w:color="auto"/>
            <w:right w:val="none" w:sz="0" w:space="0" w:color="auto"/>
          </w:divBdr>
        </w:div>
        <w:div w:id="1972246536">
          <w:marLeft w:val="0"/>
          <w:marRight w:val="0"/>
          <w:marTop w:val="0"/>
          <w:marBottom w:val="0"/>
          <w:divBdr>
            <w:top w:val="none" w:sz="0" w:space="0" w:color="auto"/>
            <w:left w:val="none" w:sz="0" w:space="0" w:color="auto"/>
            <w:bottom w:val="none" w:sz="0" w:space="0" w:color="auto"/>
            <w:right w:val="none" w:sz="0" w:space="0" w:color="auto"/>
          </w:divBdr>
        </w:div>
      </w:divsChild>
    </w:div>
    <w:div w:id="609120375">
      <w:bodyDiv w:val="1"/>
      <w:marLeft w:val="0"/>
      <w:marRight w:val="0"/>
      <w:marTop w:val="0"/>
      <w:marBottom w:val="0"/>
      <w:divBdr>
        <w:top w:val="none" w:sz="0" w:space="0" w:color="auto"/>
        <w:left w:val="none" w:sz="0" w:space="0" w:color="auto"/>
        <w:bottom w:val="none" w:sz="0" w:space="0" w:color="auto"/>
        <w:right w:val="none" w:sz="0" w:space="0" w:color="auto"/>
      </w:divBdr>
    </w:div>
    <w:div w:id="644167384">
      <w:bodyDiv w:val="1"/>
      <w:marLeft w:val="0"/>
      <w:marRight w:val="0"/>
      <w:marTop w:val="0"/>
      <w:marBottom w:val="0"/>
      <w:divBdr>
        <w:top w:val="none" w:sz="0" w:space="0" w:color="auto"/>
        <w:left w:val="none" w:sz="0" w:space="0" w:color="auto"/>
        <w:bottom w:val="none" w:sz="0" w:space="0" w:color="auto"/>
        <w:right w:val="none" w:sz="0" w:space="0" w:color="auto"/>
      </w:divBdr>
    </w:div>
    <w:div w:id="652486224">
      <w:bodyDiv w:val="1"/>
      <w:marLeft w:val="0"/>
      <w:marRight w:val="0"/>
      <w:marTop w:val="0"/>
      <w:marBottom w:val="0"/>
      <w:divBdr>
        <w:top w:val="none" w:sz="0" w:space="0" w:color="auto"/>
        <w:left w:val="none" w:sz="0" w:space="0" w:color="auto"/>
        <w:bottom w:val="none" w:sz="0" w:space="0" w:color="auto"/>
        <w:right w:val="none" w:sz="0" w:space="0" w:color="auto"/>
      </w:divBdr>
    </w:div>
    <w:div w:id="669141572">
      <w:bodyDiv w:val="1"/>
      <w:marLeft w:val="0"/>
      <w:marRight w:val="0"/>
      <w:marTop w:val="0"/>
      <w:marBottom w:val="0"/>
      <w:divBdr>
        <w:top w:val="none" w:sz="0" w:space="0" w:color="auto"/>
        <w:left w:val="none" w:sz="0" w:space="0" w:color="auto"/>
        <w:bottom w:val="none" w:sz="0" w:space="0" w:color="auto"/>
        <w:right w:val="none" w:sz="0" w:space="0" w:color="auto"/>
      </w:divBdr>
    </w:div>
    <w:div w:id="678046532">
      <w:bodyDiv w:val="1"/>
      <w:marLeft w:val="0"/>
      <w:marRight w:val="0"/>
      <w:marTop w:val="0"/>
      <w:marBottom w:val="0"/>
      <w:divBdr>
        <w:top w:val="none" w:sz="0" w:space="0" w:color="auto"/>
        <w:left w:val="none" w:sz="0" w:space="0" w:color="auto"/>
        <w:bottom w:val="none" w:sz="0" w:space="0" w:color="auto"/>
        <w:right w:val="none" w:sz="0" w:space="0" w:color="auto"/>
      </w:divBdr>
    </w:div>
    <w:div w:id="685597685">
      <w:bodyDiv w:val="1"/>
      <w:marLeft w:val="0"/>
      <w:marRight w:val="0"/>
      <w:marTop w:val="0"/>
      <w:marBottom w:val="0"/>
      <w:divBdr>
        <w:top w:val="none" w:sz="0" w:space="0" w:color="auto"/>
        <w:left w:val="none" w:sz="0" w:space="0" w:color="auto"/>
        <w:bottom w:val="none" w:sz="0" w:space="0" w:color="auto"/>
        <w:right w:val="none" w:sz="0" w:space="0" w:color="auto"/>
      </w:divBdr>
    </w:div>
    <w:div w:id="693968407">
      <w:bodyDiv w:val="1"/>
      <w:marLeft w:val="0"/>
      <w:marRight w:val="0"/>
      <w:marTop w:val="0"/>
      <w:marBottom w:val="0"/>
      <w:divBdr>
        <w:top w:val="none" w:sz="0" w:space="0" w:color="auto"/>
        <w:left w:val="none" w:sz="0" w:space="0" w:color="auto"/>
        <w:bottom w:val="none" w:sz="0" w:space="0" w:color="auto"/>
        <w:right w:val="none" w:sz="0" w:space="0" w:color="auto"/>
      </w:divBdr>
    </w:div>
    <w:div w:id="695427075">
      <w:bodyDiv w:val="1"/>
      <w:marLeft w:val="0"/>
      <w:marRight w:val="0"/>
      <w:marTop w:val="0"/>
      <w:marBottom w:val="0"/>
      <w:divBdr>
        <w:top w:val="none" w:sz="0" w:space="0" w:color="auto"/>
        <w:left w:val="none" w:sz="0" w:space="0" w:color="auto"/>
        <w:bottom w:val="none" w:sz="0" w:space="0" w:color="auto"/>
        <w:right w:val="none" w:sz="0" w:space="0" w:color="auto"/>
      </w:divBdr>
    </w:div>
    <w:div w:id="741609212">
      <w:bodyDiv w:val="1"/>
      <w:marLeft w:val="0"/>
      <w:marRight w:val="0"/>
      <w:marTop w:val="0"/>
      <w:marBottom w:val="0"/>
      <w:divBdr>
        <w:top w:val="none" w:sz="0" w:space="0" w:color="auto"/>
        <w:left w:val="none" w:sz="0" w:space="0" w:color="auto"/>
        <w:bottom w:val="none" w:sz="0" w:space="0" w:color="auto"/>
        <w:right w:val="none" w:sz="0" w:space="0" w:color="auto"/>
      </w:divBdr>
    </w:div>
    <w:div w:id="750547247">
      <w:bodyDiv w:val="1"/>
      <w:marLeft w:val="0"/>
      <w:marRight w:val="0"/>
      <w:marTop w:val="0"/>
      <w:marBottom w:val="0"/>
      <w:divBdr>
        <w:top w:val="none" w:sz="0" w:space="0" w:color="auto"/>
        <w:left w:val="none" w:sz="0" w:space="0" w:color="auto"/>
        <w:bottom w:val="none" w:sz="0" w:space="0" w:color="auto"/>
        <w:right w:val="none" w:sz="0" w:space="0" w:color="auto"/>
      </w:divBdr>
      <w:divsChild>
        <w:div w:id="1097217809">
          <w:marLeft w:val="0"/>
          <w:marRight w:val="0"/>
          <w:marTop w:val="0"/>
          <w:marBottom w:val="0"/>
          <w:divBdr>
            <w:top w:val="none" w:sz="0" w:space="0" w:color="auto"/>
            <w:left w:val="none" w:sz="0" w:space="0" w:color="auto"/>
            <w:bottom w:val="none" w:sz="0" w:space="0" w:color="auto"/>
            <w:right w:val="none" w:sz="0" w:space="0" w:color="auto"/>
          </w:divBdr>
        </w:div>
        <w:div w:id="538125480">
          <w:marLeft w:val="0"/>
          <w:marRight w:val="0"/>
          <w:marTop w:val="0"/>
          <w:marBottom w:val="0"/>
          <w:divBdr>
            <w:top w:val="none" w:sz="0" w:space="0" w:color="auto"/>
            <w:left w:val="none" w:sz="0" w:space="0" w:color="auto"/>
            <w:bottom w:val="none" w:sz="0" w:space="0" w:color="auto"/>
            <w:right w:val="none" w:sz="0" w:space="0" w:color="auto"/>
          </w:divBdr>
        </w:div>
        <w:div w:id="1309824002">
          <w:marLeft w:val="0"/>
          <w:marRight w:val="0"/>
          <w:marTop w:val="0"/>
          <w:marBottom w:val="0"/>
          <w:divBdr>
            <w:top w:val="none" w:sz="0" w:space="0" w:color="auto"/>
            <w:left w:val="none" w:sz="0" w:space="0" w:color="auto"/>
            <w:bottom w:val="none" w:sz="0" w:space="0" w:color="auto"/>
            <w:right w:val="none" w:sz="0" w:space="0" w:color="auto"/>
          </w:divBdr>
        </w:div>
        <w:div w:id="324480235">
          <w:marLeft w:val="0"/>
          <w:marRight w:val="0"/>
          <w:marTop w:val="0"/>
          <w:marBottom w:val="0"/>
          <w:divBdr>
            <w:top w:val="none" w:sz="0" w:space="0" w:color="auto"/>
            <w:left w:val="none" w:sz="0" w:space="0" w:color="auto"/>
            <w:bottom w:val="none" w:sz="0" w:space="0" w:color="auto"/>
            <w:right w:val="none" w:sz="0" w:space="0" w:color="auto"/>
          </w:divBdr>
          <w:divsChild>
            <w:div w:id="1859460739">
              <w:marLeft w:val="0"/>
              <w:marRight w:val="0"/>
              <w:marTop w:val="0"/>
              <w:marBottom w:val="0"/>
              <w:divBdr>
                <w:top w:val="none" w:sz="0" w:space="0" w:color="auto"/>
                <w:left w:val="none" w:sz="0" w:space="0" w:color="auto"/>
                <w:bottom w:val="none" w:sz="0" w:space="0" w:color="auto"/>
                <w:right w:val="none" w:sz="0" w:space="0" w:color="auto"/>
              </w:divBdr>
            </w:div>
          </w:divsChild>
        </w:div>
        <w:div w:id="1212763401">
          <w:marLeft w:val="0"/>
          <w:marRight w:val="0"/>
          <w:marTop w:val="0"/>
          <w:marBottom w:val="0"/>
          <w:divBdr>
            <w:top w:val="none" w:sz="0" w:space="0" w:color="auto"/>
            <w:left w:val="none" w:sz="0" w:space="0" w:color="auto"/>
            <w:bottom w:val="none" w:sz="0" w:space="0" w:color="auto"/>
            <w:right w:val="none" w:sz="0" w:space="0" w:color="auto"/>
          </w:divBdr>
        </w:div>
        <w:div w:id="1676884855">
          <w:marLeft w:val="0"/>
          <w:marRight w:val="0"/>
          <w:marTop w:val="0"/>
          <w:marBottom w:val="0"/>
          <w:divBdr>
            <w:top w:val="none" w:sz="0" w:space="0" w:color="auto"/>
            <w:left w:val="none" w:sz="0" w:space="0" w:color="auto"/>
            <w:bottom w:val="none" w:sz="0" w:space="0" w:color="auto"/>
            <w:right w:val="none" w:sz="0" w:space="0" w:color="auto"/>
          </w:divBdr>
        </w:div>
        <w:div w:id="1556701946">
          <w:marLeft w:val="0"/>
          <w:marRight w:val="0"/>
          <w:marTop w:val="0"/>
          <w:marBottom w:val="0"/>
          <w:divBdr>
            <w:top w:val="none" w:sz="0" w:space="0" w:color="auto"/>
            <w:left w:val="none" w:sz="0" w:space="0" w:color="auto"/>
            <w:bottom w:val="none" w:sz="0" w:space="0" w:color="auto"/>
            <w:right w:val="none" w:sz="0" w:space="0" w:color="auto"/>
          </w:divBdr>
        </w:div>
        <w:div w:id="757675063">
          <w:marLeft w:val="0"/>
          <w:marRight w:val="0"/>
          <w:marTop w:val="0"/>
          <w:marBottom w:val="0"/>
          <w:divBdr>
            <w:top w:val="none" w:sz="0" w:space="0" w:color="auto"/>
            <w:left w:val="none" w:sz="0" w:space="0" w:color="auto"/>
            <w:bottom w:val="none" w:sz="0" w:space="0" w:color="auto"/>
            <w:right w:val="none" w:sz="0" w:space="0" w:color="auto"/>
          </w:divBdr>
        </w:div>
        <w:div w:id="900025235">
          <w:marLeft w:val="0"/>
          <w:marRight w:val="0"/>
          <w:marTop w:val="0"/>
          <w:marBottom w:val="0"/>
          <w:divBdr>
            <w:top w:val="none" w:sz="0" w:space="0" w:color="auto"/>
            <w:left w:val="none" w:sz="0" w:space="0" w:color="auto"/>
            <w:bottom w:val="none" w:sz="0" w:space="0" w:color="auto"/>
            <w:right w:val="none" w:sz="0" w:space="0" w:color="auto"/>
          </w:divBdr>
        </w:div>
        <w:div w:id="1512254454">
          <w:marLeft w:val="0"/>
          <w:marRight w:val="0"/>
          <w:marTop w:val="0"/>
          <w:marBottom w:val="0"/>
          <w:divBdr>
            <w:top w:val="none" w:sz="0" w:space="0" w:color="auto"/>
            <w:left w:val="none" w:sz="0" w:space="0" w:color="auto"/>
            <w:bottom w:val="none" w:sz="0" w:space="0" w:color="auto"/>
            <w:right w:val="none" w:sz="0" w:space="0" w:color="auto"/>
          </w:divBdr>
        </w:div>
        <w:div w:id="41288952">
          <w:marLeft w:val="0"/>
          <w:marRight w:val="0"/>
          <w:marTop w:val="0"/>
          <w:marBottom w:val="0"/>
          <w:divBdr>
            <w:top w:val="none" w:sz="0" w:space="0" w:color="auto"/>
            <w:left w:val="none" w:sz="0" w:space="0" w:color="auto"/>
            <w:bottom w:val="none" w:sz="0" w:space="0" w:color="auto"/>
            <w:right w:val="none" w:sz="0" w:space="0" w:color="auto"/>
          </w:divBdr>
        </w:div>
        <w:div w:id="817453639">
          <w:marLeft w:val="0"/>
          <w:marRight w:val="0"/>
          <w:marTop w:val="0"/>
          <w:marBottom w:val="0"/>
          <w:divBdr>
            <w:top w:val="none" w:sz="0" w:space="0" w:color="auto"/>
            <w:left w:val="none" w:sz="0" w:space="0" w:color="auto"/>
            <w:bottom w:val="none" w:sz="0" w:space="0" w:color="auto"/>
            <w:right w:val="none" w:sz="0" w:space="0" w:color="auto"/>
          </w:divBdr>
        </w:div>
        <w:div w:id="1866091232">
          <w:marLeft w:val="0"/>
          <w:marRight w:val="0"/>
          <w:marTop w:val="0"/>
          <w:marBottom w:val="0"/>
          <w:divBdr>
            <w:top w:val="none" w:sz="0" w:space="0" w:color="auto"/>
            <w:left w:val="none" w:sz="0" w:space="0" w:color="auto"/>
            <w:bottom w:val="none" w:sz="0" w:space="0" w:color="auto"/>
            <w:right w:val="none" w:sz="0" w:space="0" w:color="auto"/>
          </w:divBdr>
        </w:div>
      </w:divsChild>
    </w:div>
    <w:div w:id="788009527">
      <w:bodyDiv w:val="1"/>
      <w:marLeft w:val="0"/>
      <w:marRight w:val="0"/>
      <w:marTop w:val="0"/>
      <w:marBottom w:val="0"/>
      <w:divBdr>
        <w:top w:val="none" w:sz="0" w:space="0" w:color="auto"/>
        <w:left w:val="none" w:sz="0" w:space="0" w:color="auto"/>
        <w:bottom w:val="none" w:sz="0" w:space="0" w:color="auto"/>
        <w:right w:val="none" w:sz="0" w:space="0" w:color="auto"/>
      </w:divBdr>
    </w:div>
    <w:div w:id="814298972">
      <w:bodyDiv w:val="1"/>
      <w:marLeft w:val="0"/>
      <w:marRight w:val="0"/>
      <w:marTop w:val="0"/>
      <w:marBottom w:val="0"/>
      <w:divBdr>
        <w:top w:val="none" w:sz="0" w:space="0" w:color="auto"/>
        <w:left w:val="none" w:sz="0" w:space="0" w:color="auto"/>
        <w:bottom w:val="none" w:sz="0" w:space="0" w:color="auto"/>
        <w:right w:val="none" w:sz="0" w:space="0" w:color="auto"/>
      </w:divBdr>
    </w:div>
    <w:div w:id="825706650">
      <w:bodyDiv w:val="1"/>
      <w:marLeft w:val="0"/>
      <w:marRight w:val="0"/>
      <w:marTop w:val="0"/>
      <w:marBottom w:val="0"/>
      <w:divBdr>
        <w:top w:val="none" w:sz="0" w:space="0" w:color="auto"/>
        <w:left w:val="none" w:sz="0" w:space="0" w:color="auto"/>
        <w:bottom w:val="none" w:sz="0" w:space="0" w:color="auto"/>
        <w:right w:val="none" w:sz="0" w:space="0" w:color="auto"/>
      </w:divBdr>
      <w:divsChild>
        <w:div w:id="2013947465">
          <w:marLeft w:val="0"/>
          <w:marRight w:val="0"/>
          <w:marTop w:val="0"/>
          <w:marBottom w:val="0"/>
          <w:divBdr>
            <w:top w:val="none" w:sz="0" w:space="0" w:color="auto"/>
            <w:left w:val="none" w:sz="0" w:space="0" w:color="auto"/>
            <w:bottom w:val="none" w:sz="0" w:space="0" w:color="auto"/>
            <w:right w:val="none" w:sz="0" w:space="0" w:color="auto"/>
          </w:divBdr>
          <w:divsChild>
            <w:div w:id="1066608923">
              <w:marLeft w:val="0"/>
              <w:marRight w:val="0"/>
              <w:marTop w:val="0"/>
              <w:marBottom w:val="0"/>
              <w:divBdr>
                <w:top w:val="none" w:sz="0" w:space="0" w:color="auto"/>
                <w:left w:val="none" w:sz="0" w:space="0" w:color="auto"/>
                <w:bottom w:val="none" w:sz="0" w:space="0" w:color="auto"/>
                <w:right w:val="none" w:sz="0" w:space="0" w:color="auto"/>
              </w:divBdr>
              <w:divsChild>
                <w:div w:id="1275094692">
                  <w:marLeft w:val="0"/>
                  <w:marRight w:val="0"/>
                  <w:marTop w:val="0"/>
                  <w:marBottom w:val="0"/>
                  <w:divBdr>
                    <w:top w:val="none" w:sz="0" w:space="0" w:color="auto"/>
                    <w:left w:val="none" w:sz="0" w:space="0" w:color="auto"/>
                    <w:bottom w:val="none" w:sz="0" w:space="0" w:color="auto"/>
                    <w:right w:val="none" w:sz="0" w:space="0" w:color="auto"/>
                  </w:divBdr>
                  <w:divsChild>
                    <w:div w:id="1786197945">
                      <w:marLeft w:val="0"/>
                      <w:marRight w:val="0"/>
                      <w:marTop w:val="0"/>
                      <w:marBottom w:val="0"/>
                      <w:divBdr>
                        <w:top w:val="none" w:sz="0" w:space="0" w:color="auto"/>
                        <w:left w:val="none" w:sz="0" w:space="0" w:color="auto"/>
                        <w:bottom w:val="none" w:sz="0" w:space="0" w:color="auto"/>
                        <w:right w:val="none" w:sz="0" w:space="0" w:color="auto"/>
                      </w:divBdr>
                      <w:divsChild>
                        <w:div w:id="2013756267">
                          <w:marLeft w:val="0"/>
                          <w:marRight w:val="0"/>
                          <w:marTop w:val="0"/>
                          <w:marBottom w:val="0"/>
                          <w:divBdr>
                            <w:top w:val="none" w:sz="0" w:space="0" w:color="auto"/>
                            <w:left w:val="none" w:sz="0" w:space="0" w:color="auto"/>
                            <w:bottom w:val="none" w:sz="0" w:space="0" w:color="auto"/>
                            <w:right w:val="none" w:sz="0" w:space="0" w:color="auto"/>
                          </w:divBdr>
                          <w:divsChild>
                            <w:div w:id="131406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375501">
      <w:bodyDiv w:val="1"/>
      <w:marLeft w:val="0"/>
      <w:marRight w:val="0"/>
      <w:marTop w:val="0"/>
      <w:marBottom w:val="0"/>
      <w:divBdr>
        <w:top w:val="none" w:sz="0" w:space="0" w:color="auto"/>
        <w:left w:val="none" w:sz="0" w:space="0" w:color="auto"/>
        <w:bottom w:val="none" w:sz="0" w:space="0" w:color="auto"/>
        <w:right w:val="none" w:sz="0" w:space="0" w:color="auto"/>
      </w:divBdr>
    </w:div>
    <w:div w:id="836967760">
      <w:bodyDiv w:val="1"/>
      <w:marLeft w:val="0"/>
      <w:marRight w:val="0"/>
      <w:marTop w:val="0"/>
      <w:marBottom w:val="0"/>
      <w:divBdr>
        <w:top w:val="none" w:sz="0" w:space="0" w:color="auto"/>
        <w:left w:val="none" w:sz="0" w:space="0" w:color="auto"/>
        <w:bottom w:val="none" w:sz="0" w:space="0" w:color="auto"/>
        <w:right w:val="none" w:sz="0" w:space="0" w:color="auto"/>
      </w:divBdr>
    </w:div>
    <w:div w:id="875777932">
      <w:bodyDiv w:val="1"/>
      <w:marLeft w:val="0"/>
      <w:marRight w:val="0"/>
      <w:marTop w:val="0"/>
      <w:marBottom w:val="0"/>
      <w:divBdr>
        <w:top w:val="none" w:sz="0" w:space="0" w:color="auto"/>
        <w:left w:val="none" w:sz="0" w:space="0" w:color="auto"/>
        <w:bottom w:val="none" w:sz="0" w:space="0" w:color="auto"/>
        <w:right w:val="none" w:sz="0" w:space="0" w:color="auto"/>
      </w:divBdr>
    </w:div>
    <w:div w:id="882517755">
      <w:bodyDiv w:val="1"/>
      <w:marLeft w:val="0"/>
      <w:marRight w:val="0"/>
      <w:marTop w:val="0"/>
      <w:marBottom w:val="0"/>
      <w:divBdr>
        <w:top w:val="none" w:sz="0" w:space="0" w:color="auto"/>
        <w:left w:val="none" w:sz="0" w:space="0" w:color="auto"/>
        <w:bottom w:val="none" w:sz="0" w:space="0" w:color="auto"/>
        <w:right w:val="none" w:sz="0" w:space="0" w:color="auto"/>
      </w:divBdr>
    </w:div>
    <w:div w:id="888151468">
      <w:bodyDiv w:val="1"/>
      <w:marLeft w:val="0"/>
      <w:marRight w:val="0"/>
      <w:marTop w:val="0"/>
      <w:marBottom w:val="0"/>
      <w:divBdr>
        <w:top w:val="none" w:sz="0" w:space="0" w:color="auto"/>
        <w:left w:val="none" w:sz="0" w:space="0" w:color="auto"/>
        <w:bottom w:val="none" w:sz="0" w:space="0" w:color="auto"/>
        <w:right w:val="none" w:sz="0" w:space="0" w:color="auto"/>
      </w:divBdr>
    </w:div>
    <w:div w:id="900604348">
      <w:bodyDiv w:val="1"/>
      <w:marLeft w:val="0"/>
      <w:marRight w:val="0"/>
      <w:marTop w:val="0"/>
      <w:marBottom w:val="0"/>
      <w:divBdr>
        <w:top w:val="none" w:sz="0" w:space="0" w:color="auto"/>
        <w:left w:val="none" w:sz="0" w:space="0" w:color="auto"/>
        <w:bottom w:val="none" w:sz="0" w:space="0" w:color="auto"/>
        <w:right w:val="none" w:sz="0" w:space="0" w:color="auto"/>
      </w:divBdr>
      <w:divsChild>
        <w:div w:id="1423797344">
          <w:marLeft w:val="0"/>
          <w:marRight w:val="0"/>
          <w:marTop w:val="0"/>
          <w:marBottom w:val="0"/>
          <w:divBdr>
            <w:top w:val="none" w:sz="0" w:space="0" w:color="auto"/>
            <w:left w:val="none" w:sz="0" w:space="0" w:color="auto"/>
            <w:bottom w:val="none" w:sz="0" w:space="0" w:color="auto"/>
            <w:right w:val="none" w:sz="0" w:space="0" w:color="auto"/>
          </w:divBdr>
          <w:divsChild>
            <w:div w:id="1598513688">
              <w:marLeft w:val="0"/>
              <w:marRight w:val="0"/>
              <w:marTop w:val="0"/>
              <w:marBottom w:val="0"/>
              <w:divBdr>
                <w:top w:val="none" w:sz="0" w:space="0" w:color="auto"/>
                <w:left w:val="none" w:sz="0" w:space="0" w:color="auto"/>
                <w:bottom w:val="none" w:sz="0" w:space="0" w:color="auto"/>
                <w:right w:val="none" w:sz="0" w:space="0" w:color="auto"/>
              </w:divBdr>
              <w:divsChild>
                <w:div w:id="1346253283">
                  <w:marLeft w:val="0"/>
                  <w:marRight w:val="0"/>
                  <w:marTop w:val="0"/>
                  <w:marBottom w:val="0"/>
                  <w:divBdr>
                    <w:top w:val="none" w:sz="0" w:space="0" w:color="auto"/>
                    <w:left w:val="none" w:sz="0" w:space="0" w:color="auto"/>
                    <w:bottom w:val="none" w:sz="0" w:space="0" w:color="auto"/>
                    <w:right w:val="none" w:sz="0" w:space="0" w:color="auto"/>
                  </w:divBdr>
                  <w:divsChild>
                    <w:div w:id="572617318">
                      <w:marLeft w:val="0"/>
                      <w:marRight w:val="0"/>
                      <w:marTop w:val="0"/>
                      <w:marBottom w:val="0"/>
                      <w:divBdr>
                        <w:top w:val="none" w:sz="0" w:space="0" w:color="auto"/>
                        <w:left w:val="none" w:sz="0" w:space="0" w:color="auto"/>
                        <w:bottom w:val="none" w:sz="0" w:space="0" w:color="auto"/>
                        <w:right w:val="none" w:sz="0" w:space="0" w:color="auto"/>
                      </w:divBdr>
                      <w:divsChild>
                        <w:div w:id="667516214">
                          <w:marLeft w:val="0"/>
                          <w:marRight w:val="0"/>
                          <w:marTop w:val="0"/>
                          <w:marBottom w:val="0"/>
                          <w:divBdr>
                            <w:top w:val="none" w:sz="0" w:space="0" w:color="auto"/>
                            <w:left w:val="none" w:sz="0" w:space="0" w:color="auto"/>
                            <w:bottom w:val="none" w:sz="0" w:space="0" w:color="auto"/>
                            <w:right w:val="none" w:sz="0" w:space="0" w:color="auto"/>
                          </w:divBdr>
                          <w:divsChild>
                            <w:div w:id="1670254450">
                              <w:marLeft w:val="0"/>
                              <w:marRight w:val="0"/>
                              <w:marTop w:val="0"/>
                              <w:marBottom w:val="0"/>
                              <w:divBdr>
                                <w:top w:val="none" w:sz="0" w:space="0" w:color="auto"/>
                                <w:left w:val="none" w:sz="0" w:space="0" w:color="auto"/>
                                <w:bottom w:val="none" w:sz="0" w:space="0" w:color="auto"/>
                                <w:right w:val="none" w:sz="0" w:space="0" w:color="auto"/>
                              </w:divBdr>
                              <w:divsChild>
                                <w:div w:id="1920361878">
                                  <w:marLeft w:val="0"/>
                                  <w:marRight w:val="0"/>
                                  <w:marTop w:val="0"/>
                                  <w:marBottom w:val="0"/>
                                  <w:divBdr>
                                    <w:top w:val="none" w:sz="0" w:space="0" w:color="auto"/>
                                    <w:left w:val="none" w:sz="0" w:space="0" w:color="auto"/>
                                    <w:bottom w:val="none" w:sz="0" w:space="0" w:color="auto"/>
                                    <w:right w:val="none" w:sz="0" w:space="0" w:color="auto"/>
                                  </w:divBdr>
                                  <w:divsChild>
                                    <w:div w:id="312561482">
                                      <w:marLeft w:val="0"/>
                                      <w:marRight w:val="0"/>
                                      <w:marTop w:val="0"/>
                                      <w:marBottom w:val="0"/>
                                      <w:divBdr>
                                        <w:top w:val="none" w:sz="0" w:space="0" w:color="auto"/>
                                        <w:left w:val="none" w:sz="0" w:space="0" w:color="auto"/>
                                        <w:bottom w:val="none" w:sz="0" w:space="0" w:color="auto"/>
                                        <w:right w:val="none" w:sz="0" w:space="0" w:color="auto"/>
                                      </w:divBdr>
                                      <w:divsChild>
                                        <w:div w:id="196280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59754">
                              <w:marLeft w:val="0"/>
                              <w:marRight w:val="0"/>
                              <w:marTop w:val="0"/>
                              <w:marBottom w:val="0"/>
                              <w:divBdr>
                                <w:top w:val="none" w:sz="0" w:space="0" w:color="auto"/>
                                <w:left w:val="none" w:sz="0" w:space="0" w:color="auto"/>
                                <w:bottom w:val="none" w:sz="0" w:space="0" w:color="auto"/>
                                <w:right w:val="none" w:sz="0" w:space="0" w:color="auto"/>
                              </w:divBdr>
                              <w:divsChild>
                                <w:div w:id="1151677008">
                                  <w:marLeft w:val="0"/>
                                  <w:marRight w:val="0"/>
                                  <w:marTop w:val="0"/>
                                  <w:marBottom w:val="0"/>
                                  <w:divBdr>
                                    <w:top w:val="none" w:sz="0" w:space="0" w:color="auto"/>
                                    <w:left w:val="none" w:sz="0" w:space="0" w:color="auto"/>
                                    <w:bottom w:val="none" w:sz="0" w:space="0" w:color="auto"/>
                                    <w:right w:val="none" w:sz="0" w:space="0" w:color="auto"/>
                                  </w:divBdr>
                                  <w:divsChild>
                                    <w:div w:id="2072458772">
                                      <w:marLeft w:val="0"/>
                                      <w:marRight w:val="0"/>
                                      <w:marTop w:val="0"/>
                                      <w:marBottom w:val="0"/>
                                      <w:divBdr>
                                        <w:top w:val="none" w:sz="0" w:space="0" w:color="auto"/>
                                        <w:left w:val="none" w:sz="0" w:space="0" w:color="auto"/>
                                        <w:bottom w:val="none" w:sz="0" w:space="0" w:color="auto"/>
                                        <w:right w:val="none" w:sz="0" w:space="0" w:color="auto"/>
                                      </w:divBdr>
                                      <w:divsChild>
                                        <w:div w:id="9610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512454">
          <w:marLeft w:val="0"/>
          <w:marRight w:val="0"/>
          <w:marTop w:val="0"/>
          <w:marBottom w:val="0"/>
          <w:divBdr>
            <w:top w:val="none" w:sz="0" w:space="0" w:color="auto"/>
            <w:left w:val="none" w:sz="0" w:space="0" w:color="auto"/>
            <w:bottom w:val="none" w:sz="0" w:space="0" w:color="auto"/>
            <w:right w:val="none" w:sz="0" w:space="0" w:color="auto"/>
          </w:divBdr>
          <w:divsChild>
            <w:div w:id="591662616">
              <w:marLeft w:val="0"/>
              <w:marRight w:val="0"/>
              <w:marTop w:val="0"/>
              <w:marBottom w:val="0"/>
              <w:divBdr>
                <w:top w:val="none" w:sz="0" w:space="0" w:color="auto"/>
                <w:left w:val="none" w:sz="0" w:space="0" w:color="auto"/>
                <w:bottom w:val="none" w:sz="0" w:space="0" w:color="auto"/>
                <w:right w:val="none" w:sz="0" w:space="0" w:color="auto"/>
              </w:divBdr>
              <w:divsChild>
                <w:div w:id="3678635">
                  <w:marLeft w:val="0"/>
                  <w:marRight w:val="0"/>
                  <w:marTop w:val="0"/>
                  <w:marBottom w:val="0"/>
                  <w:divBdr>
                    <w:top w:val="none" w:sz="0" w:space="0" w:color="auto"/>
                    <w:left w:val="none" w:sz="0" w:space="0" w:color="auto"/>
                    <w:bottom w:val="none" w:sz="0" w:space="0" w:color="auto"/>
                    <w:right w:val="none" w:sz="0" w:space="0" w:color="auto"/>
                  </w:divBdr>
                  <w:divsChild>
                    <w:div w:id="116262582">
                      <w:marLeft w:val="0"/>
                      <w:marRight w:val="0"/>
                      <w:marTop w:val="0"/>
                      <w:marBottom w:val="0"/>
                      <w:divBdr>
                        <w:top w:val="none" w:sz="0" w:space="0" w:color="auto"/>
                        <w:left w:val="none" w:sz="0" w:space="0" w:color="auto"/>
                        <w:bottom w:val="none" w:sz="0" w:space="0" w:color="auto"/>
                        <w:right w:val="none" w:sz="0" w:space="0" w:color="auto"/>
                      </w:divBdr>
                      <w:divsChild>
                        <w:div w:id="1782600843">
                          <w:marLeft w:val="0"/>
                          <w:marRight w:val="0"/>
                          <w:marTop w:val="0"/>
                          <w:marBottom w:val="0"/>
                          <w:divBdr>
                            <w:top w:val="none" w:sz="0" w:space="0" w:color="auto"/>
                            <w:left w:val="none" w:sz="0" w:space="0" w:color="auto"/>
                            <w:bottom w:val="none" w:sz="0" w:space="0" w:color="auto"/>
                            <w:right w:val="none" w:sz="0" w:space="0" w:color="auto"/>
                          </w:divBdr>
                          <w:divsChild>
                            <w:div w:id="1277909491">
                              <w:marLeft w:val="0"/>
                              <w:marRight w:val="0"/>
                              <w:marTop w:val="0"/>
                              <w:marBottom w:val="0"/>
                              <w:divBdr>
                                <w:top w:val="none" w:sz="0" w:space="0" w:color="auto"/>
                                <w:left w:val="none" w:sz="0" w:space="0" w:color="auto"/>
                                <w:bottom w:val="none" w:sz="0" w:space="0" w:color="auto"/>
                                <w:right w:val="none" w:sz="0" w:space="0" w:color="auto"/>
                              </w:divBdr>
                              <w:divsChild>
                                <w:div w:id="535774832">
                                  <w:marLeft w:val="0"/>
                                  <w:marRight w:val="0"/>
                                  <w:marTop w:val="0"/>
                                  <w:marBottom w:val="0"/>
                                  <w:divBdr>
                                    <w:top w:val="none" w:sz="0" w:space="0" w:color="auto"/>
                                    <w:left w:val="none" w:sz="0" w:space="0" w:color="auto"/>
                                    <w:bottom w:val="none" w:sz="0" w:space="0" w:color="auto"/>
                                    <w:right w:val="none" w:sz="0" w:space="0" w:color="auto"/>
                                  </w:divBdr>
                                  <w:divsChild>
                                    <w:div w:id="1918980022">
                                      <w:marLeft w:val="0"/>
                                      <w:marRight w:val="0"/>
                                      <w:marTop w:val="0"/>
                                      <w:marBottom w:val="0"/>
                                      <w:divBdr>
                                        <w:top w:val="none" w:sz="0" w:space="0" w:color="auto"/>
                                        <w:left w:val="none" w:sz="0" w:space="0" w:color="auto"/>
                                        <w:bottom w:val="none" w:sz="0" w:space="0" w:color="auto"/>
                                        <w:right w:val="none" w:sz="0" w:space="0" w:color="auto"/>
                                      </w:divBdr>
                                      <w:divsChild>
                                        <w:div w:id="1299605351">
                                          <w:marLeft w:val="0"/>
                                          <w:marRight w:val="0"/>
                                          <w:marTop w:val="0"/>
                                          <w:marBottom w:val="0"/>
                                          <w:divBdr>
                                            <w:top w:val="none" w:sz="0" w:space="0" w:color="auto"/>
                                            <w:left w:val="none" w:sz="0" w:space="0" w:color="auto"/>
                                            <w:bottom w:val="none" w:sz="0" w:space="0" w:color="auto"/>
                                            <w:right w:val="none" w:sz="0" w:space="0" w:color="auto"/>
                                          </w:divBdr>
                                          <w:divsChild>
                                            <w:div w:id="127042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9715359">
          <w:marLeft w:val="0"/>
          <w:marRight w:val="0"/>
          <w:marTop w:val="0"/>
          <w:marBottom w:val="0"/>
          <w:divBdr>
            <w:top w:val="none" w:sz="0" w:space="0" w:color="auto"/>
            <w:left w:val="none" w:sz="0" w:space="0" w:color="auto"/>
            <w:bottom w:val="none" w:sz="0" w:space="0" w:color="auto"/>
            <w:right w:val="none" w:sz="0" w:space="0" w:color="auto"/>
          </w:divBdr>
          <w:divsChild>
            <w:div w:id="2038239826">
              <w:marLeft w:val="0"/>
              <w:marRight w:val="0"/>
              <w:marTop w:val="0"/>
              <w:marBottom w:val="0"/>
              <w:divBdr>
                <w:top w:val="none" w:sz="0" w:space="0" w:color="auto"/>
                <w:left w:val="none" w:sz="0" w:space="0" w:color="auto"/>
                <w:bottom w:val="none" w:sz="0" w:space="0" w:color="auto"/>
                <w:right w:val="none" w:sz="0" w:space="0" w:color="auto"/>
              </w:divBdr>
              <w:divsChild>
                <w:div w:id="2105179561">
                  <w:marLeft w:val="0"/>
                  <w:marRight w:val="0"/>
                  <w:marTop w:val="0"/>
                  <w:marBottom w:val="0"/>
                  <w:divBdr>
                    <w:top w:val="none" w:sz="0" w:space="0" w:color="auto"/>
                    <w:left w:val="none" w:sz="0" w:space="0" w:color="auto"/>
                    <w:bottom w:val="none" w:sz="0" w:space="0" w:color="auto"/>
                    <w:right w:val="none" w:sz="0" w:space="0" w:color="auto"/>
                  </w:divBdr>
                  <w:divsChild>
                    <w:div w:id="251545632">
                      <w:marLeft w:val="0"/>
                      <w:marRight w:val="0"/>
                      <w:marTop w:val="0"/>
                      <w:marBottom w:val="0"/>
                      <w:divBdr>
                        <w:top w:val="none" w:sz="0" w:space="0" w:color="auto"/>
                        <w:left w:val="none" w:sz="0" w:space="0" w:color="auto"/>
                        <w:bottom w:val="none" w:sz="0" w:space="0" w:color="auto"/>
                        <w:right w:val="none" w:sz="0" w:space="0" w:color="auto"/>
                      </w:divBdr>
                      <w:divsChild>
                        <w:div w:id="766314283">
                          <w:marLeft w:val="0"/>
                          <w:marRight w:val="0"/>
                          <w:marTop w:val="0"/>
                          <w:marBottom w:val="0"/>
                          <w:divBdr>
                            <w:top w:val="none" w:sz="0" w:space="0" w:color="auto"/>
                            <w:left w:val="none" w:sz="0" w:space="0" w:color="auto"/>
                            <w:bottom w:val="none" w:sz="0" w:space="0" w:color="auto"/>
                            <w:right w:val="none" w:sz="0" w:space="0" w:color="auto"/>
                          </w:divBdr>
                          <w:divsChild>
                            <w:div w:id="1268537565">
                              <w:marLeft w:val="0"/>
                              <w:marRight w:val="0"/>
                              <w:marTop w:val="0"/>
                              <w:marBottom w:val="0"/>
                              <w:divBdr>
                                <w:top w:val="none" w:sz="0" w:space="0" w:color="auto"/>
                                <w:left w:val="none" w:sz="0" w:space="0" w:color="auto"/>
                                <w:bottom w:val="none" w:sz="0" w:space="0" w:color="auto"/>
                                <w:right w:val="none" w:sz="0" w:space="0" w:color="auto"/>
                              </w:divBdr>
                              <w:divsChild>
                                <w:div w:id="591938567">
                                  <w:marLeft w:val="0"/>
                                  <w:marRight w:val="0"/>
                                  <w:marTop w:val="0"/>
                                  <w:marBottom w:val="0"/>
                                  <w:divBdr>
                                    <w:top w:val="none" w:sz="0" w:space="0" w:color="auto"/>
                                    <w:left w:val="none" w:sz="0" w:space="0" w:color="auto"/>
                                    <w:bottom w:val="none" w:sz="0" w:space="0" w:color="auto"/>
                                    <w:right w:val="none" w:sz="0" w:space="0" w:color="auto"/>
                                  </w:divBdr>
                                  <w:divsChild>
                                    <w:div w:id="513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4817">
                      <w:marLeft w:val="0"/>
                      <w:marRight w:val="0"/>
                      <w:marTop w:val="0"/>
                      <w:marBottom w:val="0"/>
                      <w:divBdr>
                        <w:top w:val="none" w:sz="0" w:space="0" w:color="auto"/>
                        <w:left w:val="none" w:sz="0" w:space="0" w:color="auto"/>
                        <w:bottom w:val="none" w:sz="0" w:space="0" w:color="auto"/>
                        <w:right w:val="none" w:sz="0" w:space="0" w:color="auto"/>
                      </w:divBdr>
                      <w:divsChild>
                        <w:div w:id="1747147709">
                          <w:marLeft w:val="0"/>
                          <w:marRight w:val="0"/>
                          <w:marTop w:val="0"/>
                          <w:marBottom w:val="0"/>
                          <w:divBdr>
                            <w:top w:val="none" w:sz="0" w:space="0" w:color="auto"/>
                            <w:left w:val="none" w:sz="0" w:space="0" w:color="auto"/>
                            <w:bottom w:val="none" w:sz="0" w:space="0" w:color="auto"/>
                            <w:right w:val="none" w:sz="0" w:space="0" w:color="auto"/>
                          </w:divBdr>
                          <w:divsChild>
                            <w:div w:id="145512920">
                              <w:marLeft w:val="0"/>
                              <w:marRight w:val="0"/>
                              <w:marTop w:val="0"/>
                              <w:marBottom w:val="0"/>
                              <w:divBdr>
                                <w:top w:val="none" w:sz="0" w:space="0" w:color="auto"/>
                                <w:left w:val="none" w:sz="0" w:space="0" w:color="auto"/>
                                <w:bottom w:val="none" w:sz="0" w:space="0" w:color="auto"/>
                                <w:right w:val="none" w:sz="0" w:space="0" w:color="auto"/>
                              </w:divBdr>
                            </w:div>
                            <w:div w:id="2119130775">
                              <w:marLeft w:val="0"/>
                              <w:marRight w:val="0"/>
                              <w:marTop w:val="0"/>
                              <w:marBottom w:val="0"/>
                              <w:divBdr>
                                <w:top w:val="none" w:sz="0" w:space="0" w:color="auto"/>
                                <w:left w:val="none" w:sz="0" w:space="0" w:color="auto"/>
                                <w:bottom w:val="none" w:sz="0" w:space="0" w:color="auto"/>
                                <w:right w:val="none" w:sz="0" w:space="0" w:color="auto"/>
                              </w:divBdr>
                              <w:divsChild>
                                <w:div w:id="42758095">
                                  <w:marLeft w:val="0"/>
                                  <w:marRight w:val="0"/>
                                  <w:marTop w:val="0"/>
                                  <w:marBottom w:val="0"/>
                                  <w:divBdr>
                                    <w:top w:val="none" w:sz="0" w:space="0" w:color="auto"/>
                                    <w:left w:val="none" w:sz="0" w:space="0" w:color="auto"/>
                                    <w:bottom w:val="none" w:sz="0" w:space="0" w:color="auto"/>
                                    <w:right w:val="none" w:sz="0" w:space="0" w:color="auto"/>
                                  </w:divBdr>
                                  <w:divsChild>
                                    <w:div w:id="1820919094">
                                      <w:marLeft w:val="0"/>
                                      <w:marRight w:val="0"/>
                                      <w:marTop w:val="0"/>
                                      <w:marBottom w:val="0"/>
                                      <w:divBdr>
                                        <w:top w:val="none" w:sz="0" w:space="0" w:color="auto"/>
                                        <w:left w:val="none" w:sz="0" w:space="0" w:color="auto"/>
                                        <w:bottom w:val="none" w:sz="0" w:space="0" w:color="auto"/>
                                        <w:right w:val="none" w:sz="0" w:space="0" w:color="auto"/>
                                      </w:divBdr>
                                      <w:divsChild>
                                        <w:div w:id="80446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9073532">
      <w:bodyDiv w:val="1"/>
      <w:marLeft w:val="0"/>
      <w:marRight w:val="0"/>
      <w:marTop w:val="0"/>
      <w:marBottom w:val="0"/>
      <w:divBdr>
        <w:top w:val="none" w:sz="0" w:space="0" w:color="auto"/>
        <w:left w:val="none" w:sz="0" w:space="0" w:color="auto"/>
        <w:bottom w:val="none" w:sz="0" w:space="0" w:color="auto"/>
        <w:right w:val="none" w:sz="0" w:space="0" w:color="auto"/>
      </w:divBdr>
    </w:div>
    <w:div w:id="948003251">
      <w:bodyDiv w:val="1"/>
      <w:marLeft w:val="0"/>
      <w:marRight w:val="0"/>
      <w:marTop w:val="0"/>
      <w:marBottom w:val="0"/>
      <w:divBdr>
        <w:top w:val="none" w:sz="0" w:space="0" w:color="auto"/>
        <w:left w:val="none" w:sz="0" w:space="0" w:color="auto"/>
        <w:bottom w:val="none" w:sz="0" w:space="0" w:color="auto"/>
        <w:right w:val="none" w:sz="0" w:space="0" w:color="auto"/>
      </w:divBdr>
    </w:div>
    <w:div w:id="983505587">
      <w:bodyDiv w:val="1"/>
      <w:marLeft w:val="0"/>
      <w:marRight w:val="0"/>
      <w:marTop w:val="0"/>
      <w:marBottom w:val="0"/>
      <w:divBdr>
        <w:top w:val="none" w:sz="0" w:space="0" w:color="auto"/>
        <w:left w:val="none" w:sz="0" w:space="0" w:color="auto"/>
        <w:bottom w:val="none" w:sz="0" w:space="0" w:color="auto"/>
        <w:right w:val="none" w:sz="0" w:space="0" w:color="auto"/>
      </w:divBdr>
    </w:div>
    <w:div w:id="989214879">
      <w:bodyDiv w:val="1"/>
      <w:marLeft w:val="0"/>
      <w:marRight w:val="0"/>
      <w:marTop w:val="0"/>
      <w:marBottom w:val="0"/>
      <w:divBdr>
        <w:top w:val="none" w:sz="0" w:space="0" w:color="auto"/>
        <w:left w:val="none" w:sz="0" w:space="0" w:color="auto"/>
        <w:bottom w:val="none" w:sz="0" w:space="0" w:color="auto"/>
        <w:right w:val="none" w:sz="0" w:space="0" w:color="auto"/>
      </w:divBdr>
    </w:div>
    <w:div w:id="1044986931">
      <w:bodyDiv w:val="1"/>
      <w:marLeft w:val="0"/>
      <w:marRight w:val="0"/>
      <w:marTop w:val="0"/>
      <w:marBottom w:val="0"/>
      <w:divBdr>
        <w:top w:val="none" w:sz="0" w:space="0" w:color="auto"/>
        <w:left w:val="none" w:sz="0" w:space="0" w:color="auto"/>
        <w:bottom w:val="none" w:sz="0" w:space="0" w:color="auto"/>
        <w:right w:val="none" w:sz="0" w:space="0" w:color="auto"/>
      </w:divBdr>
    </w:div>
    <w:div w:id="1050806562">
      <w:bodyDiv w:val="1"/>
      <w:marLeft w:val="0"/>
      <w:marRight w:val="0"/>
      <w:marTop w:val="0"/>
      <w:marBottom w:val="0"/>
      <w:divBdr>
        <w:top w:val="none" w:sz="0" w:space="0" w:color="auto"/>
        <w:left w:val="none" w:sz="0" w:space="0" w:color="auto"/>
        <w:bottom w:val="none" w:sz="0" w:space="0" w:color="auto"/>
        <w:right w:val="none" w:sz="0" w:space="0" w:color="auto"/>
      </w:divBdr>
      <w:divsChild>
        <w:div w:id="1199855233">
          <w:marLeft w:val="0"/>
          <w:marRight w:val="0"/>
          <w:marTop w:val="0"/>
          <w:marBottom w:val="0"/>
          <w:divBdr>
            <w:top w:val="none" w:sz="0" w:space="0" w:color="auto"/>
            <w:left w:val="none" w:sz="0" w:space="0" w:color="auto"/>
            <w:bottom w:val="none" w:sz="0" w:space="0" w:color="auto"/>
            <w:right w:val="none" w:sz="0" w:space="0" w:color="auto"/>
          </w:divBdr>
          <w:divsChild>
            <w:div w:id="2000495053">
              <w:marLeft w:val="0"/>
              <w:marRight w:val="0"/>
              <w:marTop w:val="0"/>
              <w:marBottom w:val="0"/>
              <w:divBdr>
                <w:top w:val="none" w:sz="0" w:space="0" w:color="auto"/>
                <w:left w:val="none" w:sz="0" w:space="0" w:color="auto"/>
                <w:bottom w:val="none" w:sz="0" w:space="0" w:color="auto"/>
                <w:right w:val="none" w:sz="0" w:space="0" w:color="auto"/>
              </w:divBdr>
              <w:divsChild>
                <w:div w:id="1294561438">
                  <w:marLeft w:val="0"/>
                  <w:marRight w:val="0"/>
                  <w:marTop w:val="0"/>
                  <w:marBottom w:val="0"/>
                  <w:divBdr>
                    <w:top w:val="none" w:sz="0" w:space="0" w:color="auto"/>
                    <w:left w:val="none" w:sz="0" w:space="0" w:color="auto"/>
                    <w:bottom w:val="none" w:sz="0" w:space="0" w:color="auto"/>
                    <w:right w:val="none" w:sz="0" w:space="0" w:color="auto"/>
                  </w:divBdr>
                  <w:divsChild>
                    <w:div w:id="1266763820">
                      <w:marLeft w:val="0"/>
                      <w:marRight w:val="0"/>
                      <w:marTop w:val="0"/>
                      <w:marBottom w:val="0"/>
                      <w:divBdr>
                        <w:top w:val="none" w:sz="0" w:space="0" w:color="auto"/>
                        <w:left w:val="none" w:sz="0" w:space="0" w:color="auto"/>
                        <w:bottom w:val="none" w:sz="0" w:space="0" w:color="auto"/>
                        <w:right w:val="none" w:sz="0" w:space="0" w:color="auto"/>
                      </w:divBdr>
                      <w:divsChild>
                        <w:div w:id="855120386">
                          <w:marLeft w:val="0"/>
                          <w:marRight w:val="0"/>
                          <w:marTop w:val="0"/>
                          <w:marBottom w:val="0"/>
                          <w:divBdr>
                            <w:top w:val="none" w:sz="0" w:space="0" w:color="auto"/>
                            <w:left w:val="none" w:sz="0" w:space="0" w:color="auto"/>
                            <w:bottom w:val="none" w:sz="0" w:space="0" w:color="auto"/>
                            <w:right w:val="none" w:sz="0" w:space="0" w:color="auto"/>
                          </w:divBdr>
                          <w:divsChild>
                            <w:div w:id="48662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703199">
      <w:bodyDiv w:val="1"/>
      <w:marLeft w:val="0"/>
      <w:marRight w:val="0"/>
      <w:marTop w:val="0"/>
      <w:marBottom w:val="0"/>
      <w:divBdr>
        <w:top w:val="none" w:sz="0" w:space="0" w:color="auto"/>
        <w:left w:val="none" w:sz="0" w:space="0" w:color="auto"/>
        <w:bottom w:val="none" w:sz="0" w:space="0" w:color="auto"/>
        <w:right w:val="none" w:sz="0" w:space="0" w:color="auto"/>
      </w:divBdr>
    </w:div>
    <w:div w:id="1069763675">
      <w:bodyDiv w:val="1"/>
      <w:marLeft w:val="0"/>
      <w:marRight w:val="0"/>
      <w:marTop w:val="0"/>
      <w:marBottom w:val="0"/>
      <w:divBdr>
        <w:top w:val="none" w:sz="0" w:space="0" w:color="auto"/>
        <w:left w:val="none" w:sz="0" w:space="0" w:color="auto"/>
        <w:bottom w:val="none" w:sz="0" w:space="0" w:color="auto"/>
        <w:right w:val="none" w:sz="0" w:space="0" w:color="auto"/>
      </w:divBdr>
    </w:div>
    <w:div w:id="1089691615">
      <w:bodyDiv w:val="1"/>
      <w:marLeft w:val="0"/>
      <w:marRight w:val="0"/>
      <w:marTop w:val="0"/>
      <w:marBottom w:val="0"/>
      <w:divBdr>
        <w:top w:val="none" w:sz="0" w:space="0" w:color="auto"/>
        <w:left w:val="none" w:sz="0" w:space="0" w:color="auto"/>
        <w:bottom w:val="none" w:sz="0" w:space="0" w:color="auto"/>
        <w:right w:val="none" w:sz="0" w:space="0" w:color="auto"/>
      </w:divBdr>
      <w:divsChild>
        <w:div w:id="1845977697">
          <w:marLeft w:val="0"/>
          <w:marRight w:val="0"/>
          <w:marTop w:val="0"/>
          <w:marBottom w:val="0"/>
          <w:divBdr>
            <w:top w:val="none" w:sz="0" w:space="0" w:color="auto"/>
            <w:left w:val="none" w:sz="0" w:space="0" w:color="auto"/>
            <w:bottom w:val="none" w:sz="0" w:space="0" w:color="auto"/>
            <w:right w:val="none" w:sz="0" w:space="0" w:color="auto"/>
          </w:divBdr>
          <w:divsChild>
            <w:div w:id="1361204640">
              <w:marLeft w:val="0"/>
              <w:marRight w:val="0"/>
              <w:marTop w:val="0"/>
              <w:marBottom w:val="0"/>
              <w:divBdr>
                <w:top w:val="none" w:sz="0" w:space="0" w:color="auto"/>
                <w:left w:val="none" w:sz="0" w:space="0" w:color="auto"/>
                <w:bottom w:val="none" w:sz="0" w:space="0" w:color="auto"/>
                <w:right w:val="none" w:sz="0" w:space="0" w:color="auto"/>
              </w:divBdr>
              <w:divsChild>
                <w:div w:id="936719285">
                  <w:marLeft w:val="0"/>
                  <w:marRight w:val="0"/>
                  <w:marTop w:val="0"/>
                  <w:marBottom w:val="0"/>
                  <w:divBdr>
                    <w:top w:val="none" w:sz="0" w:space="0" w:color="auto"/>
                    <w:left w:val="none" w:sz="0" w:space="0" w:color="auto"/>
                    <w:bottom w:val="none" w:sz="0" w:space="0" w:color="auto"/>
                    <w:right w:val="none" w:sz="0" w:space="0" w:color="auto"/>
                  </w:divBdr>
                  <w:divsChild>
                    <w:div w:id="1110513827">
                      <w:marLeft w:val="0"/>
                      <w:marRight w:val="0"/>
                      <w:marTop w:val="0"/>
                      <w:marBottom w:val="0"/>
                      <w:divBdr>
                        <w:top w:val="none" w:sz="0" w:space="0" w:color="auto"/>
                        <w:left w:val="none" w:sz="0" w:space="0" w:color="auto"/>
                        <w:bottom w:val="none" w:sz="0" w:space="0" w:color="auto"/>
                        <w:right w:val="none" w:sz="0" w:space="0" w:color="auto"/>
                      </w:divBdr>
                      <w:divsChild>
                        <w:div w:id="199976088">
                          <w:marLeft w:val="0"/>
                          <w:marRight w:val="0"/>
                          <w:marTop w:val="0"/>
                          <w:marBottom w:val="0"/>
                          <w:divBdr>
                            <w:top w:val="none" w:sz="0" w:space="0" w:color="auto"/>
                            <w:left w:val="none" w:sz="0" w:space="0" w:color="auto"/>
                            <w:bottom w:val="none" w:sz="0" w:space="0" w:color="auto"/>
                            <w:right w:val="none" w:sz="0" w:space="0" w:color="auto"/>
                          </w:divBdr>
                          <w:divsChild>
                            <w:div w:id="1346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741580">
      <w:bodyDiv w:val="1"/>
      <w:marLeft w:val="0"/>
      <w:marRight w:val="0"/>
      <w:marTop w:val="0"/>
      <w:marBottom w:val="0"/>
      <w:divBdr>
        <w:top w:val="none" w:sz="0" w:space="0" w:color="auto"/>
        <w:left w:val="none" w:sz="0" w:space="0" w:color="auto"/>
        <w:bottom w:val="none" w:sz="0" w:space="0" w:color="auto"/>
        <w:right w:val="none" w:sz="0" w:space="0" w:color="auto"/>
      </w:divBdr>
    </w:div>
    <w:div w:id="1164127320">
      <w:bodyDiv w:val="1"/>
      <w:marLeft w:val="0"/>
      <w:marRight w:val="0"/>
      <w:marTop w:val="0"/>
      <w:marBottom w:val="0"/>
      <w:divBdr>
        <w:top w:val="none" w:sz="0" w:space="0" w:color="auto"/>
        <w:left w:val="none" w:sz="0" w:space="0" w:color="auto"/>
        <w:bottom w:val="none" w:sz="0" w:space="0" w:color="auto"/>
        <w:right w:val="none" w:sz="0" w:space="0" w:color="auto"/>
      </w:divBdr>
    </w:div>
    <w:div w:id="1167207023">
      <w:bodyDiv w:val="1"/>
      <w:marLeft w:val="0"/>
      <w:marRight w:val="0"/>
      <w:marTop w:val="0"/>
      <w:marBottom w:val="0"/>
      <w:divBdr>
        <w:top w:val="none" w:sz="0" w:space="0" w:color="auto"/>
        <w:left w:val="none" w:sz="0" w:space="0" w:color="auto"/>
        <w:bottom w:val="none" w:sz="0" w:space="0" w:color="auto"/>
        <w:right w:val="none" w:sz="0" w:space="0" w:color="auto"/>
      </w:divBdr>
    </w:div>
    <w:div w:id="1219125397">
      <w:bodyDiv w:val="1"/>
      <w:marLeft w:val="0"/>
      <w:marRight w:val="0"/>
      <w:marTop w:val="0"/>
      <w:marBottom w:val="0"/>
      <w:divBdr>
        <w:top w:val="none" w:sz="0" w:space="0" w:color="auto"/>
        <w:left w:val="none" w:sz="0" w:space="0" w:color="auto"/>
        <w:bottom w:val="none" w:sz="0" w:space="0" w:color="auto"/>
        <w:right w:val="none" w:sz="0" w:space="0" w:color="auto"/>
      </w:divBdr>
    </w:div>
    <w:div w:id="1279022559">
      <w:bodyDiv w:val="1"/>
      <w:marLeft w:val="0"/>
      <w:marRight w:val="0"/>
      <w:marTop w:val="0"/>
      <w:marBottom w:val="0"/>
      <w:divBdr>
        <w:top w:val="none" w:sz="0" w:space="0" w:color="auto"/>
        <w:left w:val="none" w:sz="0" w:space="0" w:color="auto"/>
        <w:bottom w:val="none" w:sz="0" w:space="0" w:color="auto"/>
        <w:right w:val="none" w:sz="0" w:space="0" w:color="auto"/>
      </w:divBdr>
    </w:div>
    <w:div w:id="1279146706">
      <w:bodyDiv w:val="1"/>
      <w:marLeft w:val="0"/>
      <w:marRight w:val="0"/>
      <w:marTop w:val="0"/>
      <w:marBottom w:val="0"/>
      <w:divBdr>
        <w:top w:val="none" w:sz="0" w:space="0" w:color="auto"/>
        <w:left w:val="none" w:sz="0" w:space="0" w:color="auto"/>
        <w:bottom w:val="none" w:sz="0" w:space="0" w:color="auto"/>
        <w:right w:val="none" w:sz="0" w:space="0" w:color="auto"/>
      </w:divBdr>
    </w:div>
    <w:div w:id="1297951242">
      <w:bodyDiv w:val="1"/>
      <w:marLeft w:val="0"/>
      <w:marRight w:val="0"/>
      <w:marTop w:val="0"/>
      <w:marBottom w:val="0"/>
      <w:divBdr>
        <w:top w:val="none" w:sz="0" w:space="0" w:color="auto"/>
        <w:left w:val="none" w:sz="0" w:space="0" w:color="auto"/>
        <w:bottom w:val="none" w:sz="0" w:space="0" w:color="auto"/>
        <w:right w:val="none" w:sz="0" w:space="0" w:color="auto"/>
      </w:divBdr>
    </w:div>
    <w:div w:id="1305619437">
      <w:bodyDiv w:val="1"/>
      <w:marLeft w:val="0"/>
      <w:marRight w:val="0"/>
      <w:marTop w:val="0"/>
      <w:marBottom w:val="0"/>
      <w:divBdr>
        <w:top w:val="none" w:sz="0" w:space="0" w:color="auto"/>
        <w:left w:val="none" w:sz="0" w:space="0" w:color="auto"/>
        <w:bottom w:val="none" w:sz="0" w:space="0" w:color="auto"/>
        <w:right w:val="none" w:sz="0" w:space="0" w:color="auto"/>
      </w:divBdr>
    </w:div>
    <w:div w:id="1317412634">
      <w:bodyDiv w:val="1"/>
      <w:marLeft w:val="0"/>
      <w:marRight w:val="0"/>
      <w:marTop w:val="0"/>
      <w:marBottom w:val="0"/>
      <w:divBdr>
        <w:top w:val="none" w:sz="0" w:space="0" w:color="auto"/>
        <w:left w:val="none" w:sz="0" w:space="0" w:color="auto"/>
        <w:bottom w:val="none" w:sz="0" w:space="0" w:color="auto"/>
        <w:right w:val="none" w:sz="0" w:space="0" w:color="auto"/>
      </w:divBdr>
    </w:div>
    <w:div w:id="1324316378">
      <w:bodyDiv w:val="1"/>
      <w:marLeft w:val="0"/>
      <w:marRight w:val="0"/>
      <w:marTop w:val="0"/>
      <w:marBottom w:val="0"/>
      <w:divBdr>
        <w:top w:val="none" w:sz="0" w:space="0" w:color="auto"/>
        <w:left w:val="none" w:sz="0" w:space="0" w:color="auto"/>
        <w:bottom w:val="none" w:sz="0" w:space="0" w:color="auto"/>
        <w:right w:val="none" w:sz="0" w:space="0" w:color="auto"/>
      </w:divBdr>
    </w:div>
    <w:div w:id="1325007255">
      <w:bodyDiv w:val="1"/>
      <w:marLeft w:val="0"/>
      <w:marRight w:val="0"/>
      <w:marTop w:val="0"/>
      <w:marBottom w:val="0"/>
      <w:divBdr>
        <w:top w:val="none" w:sz="0" w:space="0" w:color="auto"/>
        <w:left w:val="none" w:sz="0" w:space="0" w:color="auto"/>
        <w:bottom w:val="none" w:sz="0" w:space="0" w:color="auto"/>
        <w:right w:val="none" w:sz="0" w:space="0" w:color="auto"/>
      </w:divBdr>
    </w:div>
    <w:div w:id="1342006813">
      <w:bodyDiv w:val="1"/>
      <w:marLeft w:val="0"/>
      <w:marRight w:val="0"/>
      <w:marTop w:val="0"/>
      <w:marBottom w:val="0"/>
      <w:divBdr>
        <w:top w:val="none" w:sz="0" w:space="0" w:color="auto"/>
        <w:left w:val="none" w:sz="0" w:space="0" w:color="auto"/>
        <w:bottom w:val="none" w:sz="0" w:space="0" w:color="auto"/>
        <w:right w:val="none" w:sz="0" w:space="0" w:color="auto"/>
      </w:divBdr>
      <w:divsChild>
        <w:div w:id="773671046">
          <w:marLeft w:val="0"/>
          <w:marRight w:val="0"/>
          <w:marTop w:val="0"/>
          <w:marBottom w:val="0"/>
          <w:divBdr>
            <w:top w:val="none" w:sz="0" w:space="0" w:color="auto"/>
            <w:left w:val="none" w:sz="0" w:space="0" w:color="auto"/>
            <w:bottom w:val="none" w:sz="0" w:space="0" w:color="auto"/>
            <w:right w:val="none" w:sz="0" w:space="0" w:color="auto"/>
          </w:divBdr>
          <w:divsChild>
            <w:div w:id="991831307">
              <w:marLeft w:val="0"/>
              <w:marRight w:val="0"/>
              <w:marTop w:val="0"/>
              <w:marBottom w:val="0"/>
              <w:divBdr>
                <w:top w:val="none" w:sz="0" w:space="0" w:color="auto"/>
                <w:left w:val="none" w:sz="0" w:space="0" w:color="auto"/>
                <w:bottom w:val="none" w:sz="0" w:space="0" w:color="auto"/>
                <w:right w:val="none" w:sz="0" w:space="0" w:color="auto"/>
              </w:divBdr>
              <w:divsChild>
                <w:div w:id="1338456873">
                  <w:marLeft w:val="0"/>
                  <w:marRight w:val="0"/>
                  <w:marTop w:val="0"/>
                  <w:marBottom w:val="0"/>
                  <w:divBdr>
                    <w:top w:val="none" w:sz="0" w:space="0" w:color="auto"/>
                    <w:left w:val="none" w:sz="0" w:space="0" w:color="auto"/>
                    <w:bottom w:val="none" w:sz="0" w:space="0" w:color="auto"/>
                    <w:right w:val="none" w:sz="0" w:space="0" w:color="auto"/>
                  </w:divBdr>
                  <w:divsChild>
                    <w:div w:id="1018584182">
                      <w:marLeft w:val="0"/>
                      <w:marRight w:val="0"/>
                      <w:marTop w:val="0"/>
                      <w:marBottom w:val="0"/>
                      <w:divBdr>
                        <w:top w:val="none" w:sz="0" w:space="0" w:color="auto"/>
                        <w:left w:val="none" w:sz="0" w:space="0" w:color="auto"/>
                        <w:bottom w:val="none" w:sz="0" w:space="0" w:color="auto"/>
                        <w:right w:val="none" w:sz="0" w:space="0" w:color="auto"/>
                      </w:divBdr>
                      <w:divsChild>
                        <w:div w:id="696858159">
                          <w:marLeft w:val="0"/>
                          <w:marRight w:val="0"/>
                          <w:marTop w:val="0"/>
                          <w:marBottom w:val="0"/>
                          <w:divBdr>
                            <w:top w:val="none" w:sz="0" w:space="0" w:color="auto"/>
                            <w:left w:val="none" w:sz="0" w:space="0" w:color="auto"/>
                            <w:bottom w:val="none" w:sz="0" w:space="0" w:color="auto"/>
                            <w:right w:val="none" w:sz="0" w:space="0" w:color="auto"/>
                          </w:divBdr>
                          <w:divsChild>
                            <w:div w:id="185788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666365">
      <w:bodyDiv w:val="1"/>
      <w:marLeft w:val="0"/>
      <w:marRight w:val="0"/>
      <w:marTop w:val="0"/>
      <w:marBottom w:val="0"/>
      <w:divBdr>
        <w:top w:val="none" w:sz="0" w:space="0" w:color="auto"/>
        <w:left w:val="none" w:sz="0" w:space="0" w:color="auto"/>
        <w:bottom w:val="none" w:sz="0" w:space="0" w:color="auto"/>
        <w:right w:val="none" w:sz="0" w:space="0" w:color="auto"/>
      </w:divBdr>
    </w:div>
    <w:div w:id="1350133551">
      <w:bodyDiv w:val="1"/>
      <w:marLeft w:val="0"/>
      <w:marRight w:val="0"/>
      <w:marTop w:val="0"/>
      <w:marBottom w:val="0"/>
      <w:divBdr>
        <w:top w:val="none" w:sz="0" w:space="0" w:color="auto"/>
        <w:left w:val="none" w:sz="0" w:space="0" w:color="auto"/>
        <w:bottom w:val="none" w:sz="0" w:space="0" w:color="auto"/>
        <w:right w:val="none" w:sz="0" w:space="0" w:color="auto"/>
      </w:divBdr>
    </w:div>
    <w:div w:id="1354263220">
      <w:bodyDiv w:val="1"/>
      <w:marLeft w:val="0"/>
      <w:marRight w:val="0"/>
      <w:marTop w:val="0"/>
      <w:marBottom w:val="0"/>
      <w:divBdr>
        <w:top w:val="none" w:sz="0" w:space="0" w:color="auto"/>
        <w:left w:val="none" w:sz="0" w:space="0" w:color="auto"/>
        <w:bottom w:val="none" w:sz="0" w:space="0" w:color="auto"/>
        <w:right w:val="none" w:sz="0" w:space="0" w:color="auto"/>
      </w:divBdr>
    </w:div>
    <w:div w:id="1364592007">
      <w:bodyDiv w:val="1"/>
      <w:marLeft w:val="0"/>
      <w:marRight w:val="0"/>
      <w:marTop w:val="0"/>
      <w:marBottom w:val="0"/>
      <w:divBdr>
        <w:top w:val="none" w:sz="0" w:space="0" w:color="auto"/>
        <w:left w:val="none" w:sz="0" w:space="0" w:color="auto"/>
        <w:bottom w:val="none" w:sz="0" w:space="0" w:color="auto"/>
        <w:right w:val="none" w:sz="0" w:space="0" w:color="auto"/>
      </w:divBdr>
    </w:div>
    <w:div w:id="1380588903">
      <w:bodyDiv w:val="1"/>
      <w:marLeft w:val="0"/>
      <w:marRight w:val="0"/>
      <w:marTop w:val="0"/>
      <w:marBottom w:val="0"/>
      <w:divBdr>
        <w:top w:val="none" w:sz="0" w:space="0" w:color="auto"/>
        <w:left w:val="none" w:sz="0" w:space="0" w:color="auto"/>
        <w:bottom w:val="none" w:sz="0" w:space="0" w:color="auto"/>
        <w:right w:val="none" w:sz="0" w:space="0" w:color="auto"/>
      </w:divBdr>
      <w:divsChild>
        <w:div w:id="376392276">
          <w:marLeft w:val="0"/>
          <w:marRight w:val="0"/>
          <w:marTop w:val="0"/>
          <w:marBottom w:val="0"/>
          <w:divBdr>
            <w:top w:val="none" w:sz="0" w:space="0" w:color="auto"/>
            <w:left w:val="none" w:sz="0" w:space="0" w:color="auto"/>
            <w:bottom w:val="none" w:sz="0" w:space="0" w:color="auto"/>
            <w:right w:val="none" w:sz="0" w:space="0" w:color="auto"/>
          </w:divBdr>
        </w:div>
        <w:div w:id="440419335">
          <w:marLeft w:val="0"/>
          <w:marRight w:val="0"/>
          <w:marTop w:val="0"/>
          <w:marBottom w:val="0"/>
          <w:divBdr>
            <w:top w:val="none" w:sz="0" w:space="0" w:color="auto"/>
            <w:left w:val="none" w:sz="0" w:space="0" w:color="auto"/>
            <w:bottom w:val="none" w:sz="0" w:space="0" w:color="auto"/>
            <w:right w:val="none" w:sz="0" w:space="0" w:color="auto"/>
          </w:divBdr>
        </w:div>
        <w:div w:id="638918640">
          <w:marLeft w:val="0"/>
          <w:marRight w:val="0"/>
          <w:marTop w:val="0"/>
          <w:marBottom w:val="0"/>
          <w:divBdr>
            <w:top w:val="none" w:sz="0" w:space="0" w:color="auto"/>
            <w:left w:val="none" w:sz="0" w:space="0" w:color="auto"/>
            <w:bottom w:val="none" w:sz="0" w:space="0" w:color="auto"/>
            <w:right w:val="none" w:sz="0" w:space="0" w:color="auto"/>
          </w:divBdr>
        </w:div>
        <w:div w:id="1100953808">
          <w:marLeft w:val="0"/>
          <w:marRight w:val="0"/>
          <w:marTop w:val="0"/>
          <w:marBottom w:val="0"/>
          <w:divBdr>
            <w:top w:val="none" w:sz="0" w:space="0" w:color="auto"/>
            <w:left w:val="none" w:sz="0" w:space="0" w:color="auto"/>
            <w:bottom w:val="none" w:sz="0" w:space="0" w:color="auto"/>
            <w:right w:val="none" w:sz="0" w:space="0" w:color="auto"/>
          </w:divBdr>
        </w:div>
        <w:div w:id="1347753811">
          <w:marLeft w:val="0"/>
          <w:marRight w:val="0"/>
          <w:marTop w:val="0"/>
          <w:marBottom w:val="0"/>
          <w:divBdr>
            <w:top w:val="none" w:sz="0" w:space="0" w:color="auto"/>
            <w:left w:val="none" w:sz="0" w:space="0" w:color="auto"/>
            <w:bottom w:val="none" w:sz="0" w:space="0" w:color="auto"/>
            <w:right w:val="none" w:sz="0" w:space="0" w:color="auto"/>
          </w:divBdr>
        </w:div>
        <w:div w:id="1490366915">
          <w:marLeft w:val="0"/>
          <w:marRight w:val="0"/>
          <w:marTop w:val="0"/>
          <w:marBottom w:val="0"/>
          <w:divBdr>
            <w:top w:val="none" w:sz="0" w:space="0" w:color="auto"/>
            <w:left w:val="none" w:sz="0" w:space="0" w:color="auto"/>
            <w:bottom w:val="none" w:sz="0" w:space="0" w:color="auto"/>
            <w:right w:val="none" w:sz="0" w:space="0" w:color="auto"/>
          </w:divBdr>
        </w:div>
      </w:divsChild>
    </w:div>
    <w:div w:id="1386753023">
      <w:bodyDiv w:val="1"/>
      <w:marLeft w:val="0"/>
      <w:marRight w:val="0"/>
      <w:marTop w:val="0"/>
      <w:marBottom w:val="0"/>
      <w:divBdr>
        <w:top w:val="none" w:sz="0" w:space="0" w:color="auto"/>
        <w:left w:val="none" w:sz="0" w:space="0" w:color="auto"/>
        <w:bottom w:val="none" w:sz="0" w:space="0" w:color="auto"/>
        <w:right w:val="none" w:sz="0" w:space="0" w:color="auto"/>
      </w:divBdr>
    </w:div>
    <w:div w:id="1389449512">
      <w:bodyDiv w:val="1"/>
      <w:marLeft w:val="0"/>
      <w:marRight w:val="0"/>
      <w:marTop w:val="0"/>
      <w:marBottom w:val="0"/>
      <w:divBdr>
        <w:top w:val="none" w:sz="0" w:space="0" w:color="auto"/>
        <w:left w:val="none" w:sz="0" w:space="0" w:color="auto"/>
        <w:bottom w:val="none" w:sz="0" w:space="0" w:color="auto"/>
        <w:right w:val="none" w:sz="0" w:space="0" w:color="auto"/>
      </w:divBdr>
    </w:div>
    <w:div w:id="1452433130">
      <w:bodyDiv w:val="1"/>
      <w:marLeft w:val="0"/>
      <w:marRight w:val="0"/>
      <w:marTop w:val="0"/>
      <w:marBottom w:val="0"/>
      <w:divBdr>
        <w:top w:val="none" w:sz="0" w:space="0" w:color="auto"/>
        <w:left w:val="none" w:sz="0" w:space="0" w:color="auto"/>
        <w:bottom w:val="none" w:sz="0" w:space="0" w:color="auto"/>
        <w:right w:val="none" w:sz="0" w:space="0" w:color="auto"/>
      </w:divBdr>
    </w:div>
    <w:div w:id="1453548296">
      <w:bodyDiv w:val="1"/>
      <w:marLeft w:val="0"/>
      <w:marRight w:val="0"/>
      <w:marTop w:val="0"/>
      <w:marBottom w:val="0"/>
      <w:divBdr>
        <w:top w:val="none" w:sz="0" w:space="0" w:color="auto"/>
        <w:left w:val="none" w:sz="0" w:space="0" w:color="auto"/>
        <w:bottom w:val="none" w:sz="0" w:space="0" w:color="auto"/>
        <w:right w:val="none" w:sz="0" w:space="0" w:color="auto"/>
      </w:divBdr>
    </w:div>
    <w:div w:id="1457602296">
      <w:bodyDiv w:val="1"/>
      <w:marLeft w:val="0"/>
      <w:marRight w:val="0"/>
      <w:marTop w:val="0"/>
      <w:marBottom w:val="0"/>
      <w:divBdr>
        <w:top w:val="none" w:sz="0" w:space="0" w:color="auto"/>
        <w:left w:val="none" w:sz="0" w:space="0" w:color="auto"/>
        <w:bottom w:val="none" w:sz="0" w:space="0" w:color="auto"/>
        <w:right w:val="none" w:sz="0" w:space="0" w:color="auto"/>
      </w:divBdr>
    </w:div>
    <w:div w:id="1468081731">
      <w:bodyDiv w:val="1"/>
      <w:marLeft w:val="0"/>
      <w:marRight w:val="0"/>
      <w:marTop w:val="0"/>
      <w:marBottom w:val="0"/>
      <w:divBdr>
        <w:top w:val="none" w:sz="0" w:space="0" w:color="auto"/>
        <w:left w:val="none" w:sz="0" w:space="0" w:color="auto"/>
        <w:bottom w:val="none" w:sz="0" w:space="0" w:color="auto"/>
        <w:right w:val="none" w:sz="0" w:space="0" w:color="auto"/>
      </w:divBdr>
    </w:div>
    <w:div w:id="1481506976">
      <w:bodyDiv w:val="1"/>
      <w:marLeft w:val="0"/>
      <w:marRight w:val="0"/>
      <w:marTop w:val="0"/>
      <w:marBottom w:val="0"/>
      <w:divBdr>
        <w:top w:val="none" w:sz="0" w:space="0" w:color="auto"/>
        <w:left w:val="none" w:sz="0" w:space="0" w:color="auto"/>
        <w:bottom w:val="none" w:sz="0" w:space="0" w:color="auto"/>
        <w:right w:val="none" w:sz="0" w:space="0" w:color="auto"/>
      </w:divBdr>
    </w:div>
    <w:div w:id="1510758821">
      <w:bodyDiv w:val="1"/>
      <w:marLeft w:val="0"/>
      <w:marRight w:val="0"/>
      <w:marTop w:val="0"/>
      <w:marBottom w:val="0"/>
      <w:divBdr>
        <w:top w:val="none" w:sz="0" w:space="0" w:color="auto"/>
        <w:left w:val="none" w:sz="0" w:space="0" w:color="auto"/>
        <w:bottom w:val="none" w:sz="0" w:space="0" w:color="auto"/>
        <w:right w:val="none" w:sz="0" w:space="0" w:color="auto"/>
      </w:divBdr>
    </w:div>
    <w:div w:id="1524709223">
      <w:bodyDiv w:val="1"/>
      <w:marLeft w:val="0"/>
      <w:marRight w:val="0"/>
      <w:marTop w:val="0"/>
      <w:marBottom w:val="0"/>
      <w:divBdr>
        <w:top w:val="none" w:sz="0" w:space="0" w:color="auto"/>
        <w:left w:val="none" w:sz="0" w:space="0" w:color="auto"/>
        <w:bottom w:val="none" w:sz="0" w:space="0" w:color="auto"/>
        <w:right w:val="none" w:sz="0" w:space="0" w:color="auto"/>
      </w:divBdr>
    </w:div>
    <w:div w:id="1542521521">
      <w:bodyDiv w:val="1"/>
      <w:marLeft w:val="0"/>
      <w:marRight w:val="0"/>
      <w:marTop w:val="0"/>
      <w:marBottom w:val="0"/>
      <w:divBdr>
        <w:top w:val="none" w:sz="0" w:space="0" w:color="auto"/>
        <w:left w:val="none" w:sz="0" w:space="0" w:color="auto"/>
        <w:bottom w:val="none" w:sz="0" w:space="0" w:color="auto"/>
        <w:right w:val="none" w:sz="0" w:space="0" w:color="auto"/>
      </w:divBdr>
    </w:div>
    <w:div w:id="1572350675">
      <w:bodyDiv w:val="1"/>
      <w:marLeft w:val="0"/>
      <w:marRight w:val="0"/>
      <w:marTop w:val="0"/>
      <w:marBottom w:val="0"/>
      <w:divBdr>
        <w:top w:val="none" w:sz="0" w:space="0" w:color="auto"/>
        <w:left w:val="none" w:sz="0" w:space="0" w:color="auto"/>
        <w:bottom w:val="none" w:sz="0" w:space="0" w:color="auto"/>
        <w:right w:val="none" w:sz="0" w:space="0" w:color="auto"/>
      </w:divBdr>
    </w:div>
    <w:div w:id="1584028823">
      <w:bodyDiv w:val="1"/>
      <w:marLeft w:val="0"/>
      <w:marRight w:val="0"/>
      <w:marTop w:val="0"/>
      <w:marBottom w:val="0"/>
      <w:divBdr>
        <w:top w:val="none" w:sz="0" w:space="0" w:color="auto"/>
        <w:left w:val="none" w:sz="0" w:space="0" w:color="auto"/>
        <w:bottom w:val="none" w:sz="0" w:space="0" w:color="auto"/>
        <w:right w:val="none" w:sz="0" w:space="0" w:color="auto"/>
      </w:divBdr>
    </w:div>
    <w:div w:id="1607301004">
      <w:bodyDiv w:val="1"/>
      <w:marLeft w:val="0"/>
      <w:marRight w:val="0"/>
      <w:marTop w:val="0"/>
      <w:marBottom w:val="0"/>
      <w:divBdr>
        <w:top w:val="none" w:sz="0" w:space="0" w:color="auto"/>
        <w:left w:val="none" w:sz="0" w:space="0" w:color="auto"/>
        <w:bottom w:val="none" w:sz="0" w:space="0" w:color="auto"/>
        <w:right w:val="none" w:sz="0" w:space="0" w:color="auto"/>
      </w:divBdr>
    </w:div>
    <w:div w:id="1615675191">
      <w:bodyDiv w:val="1"/>
      <w:marLeft w:val="0"/>
      <w:marRight w:val="0"/>
      <w:marTop w:val="0"/>
      <w:marBottom w:val="0"/>
      <w:divBdr>
        <w:top w:val="none" w:sz="0" w:space="0" w:color="auto"/>
        <w:left w:val="none" w:sz="0" w:space="0" w:color="auto"/>
        <w:bottom w:val="none" w:sz="0" w:space="0" w:color="auto"/>
        <w:right w:val="none" w:sz="0" w:space="0" w:color="auto"/>
      </w:divBdr>
    </w:div>
    <w:div w:id="1623657524">
      <w:bodyDiv w:val="1"/>
      <w:marLeft w:val="0"/>
      <w:marRight w:val="0"/>
      <w:marTop w:val="0"/>
      <w:marBottom w:val="0"/>
      <w:divBdr>
        <w:top w:val="none" w:sz="0" w:space="0" w:color="auto"/>
        <w:left w:val="none" w:sz="0" w:space="0" w:color="auto"/>
        <w:bottom w:val="none" w:sz="0" w:space="0" w:color="auto"/>
        <w:right w:val="none" w:sz="0" w:space="0" w:color="auto"/>
      </w:divBdr>
      <w:divsChild>
        <w:div w:id="1994016949">
          <w:marLeft w:val="0"/>
          <w:marRight w:val="0"/>
          <w:marTop w:val="0"/>
          <w:marBottom w:val="0"/>
          <w:divBdr>
            <w:top w:val="none" w:sz="0" w:space="0" w:color="auto"/>
            <w:left w:val="none" w:sz="0" w:space="0" w:color="auto"/>
            <w:bottom w:val="none" w:sz="0" w:space="0" w:color="auto"/>
            <w:right w:val="none" w:sz="0" w:space="0" w:color="auto"/>
          </w:divBdr>
          <w:divsChild>
            <w:div w:id="1908955028">
              <w:marLeft w:val="0"/>
              <w:marRight w:val="0"/>
              <w:marTop w:val="0"/>
              <w:marBottom w:val="0"/>
              <w:divBdr>
                <w:top w:val="none" w:sz="0" w:space="0" w:color="auto"/>
                <w:left w:val="none" w:sz="0" w:space="0" w:color="auto"/>
                <w:bottom w:val="none" w:sz="0" w:space="0" w:color="auto"/>
                <w:right w:val="none" w:sz="0" w:space="0" w:color="auto"/>
              </w:divBdr>
              <w:divsChild>
                <w:div w:id="956058082">
                  <w:marLeft w:val="0"/>
                  <w:marRight w:val="0"/>
                  <w:marTop w:val="0"/>
                  <w:marBottom w:val="0"/>
                  <w:divBdr>
                    <w:top w:val="none" w:sz="0" w:space="0" w:color="auto"/>
                    <w:left w:val="none" w:sz="0" w:space="0" w:color="auto"/>
                    <w:bottom w:val="none" w:sz="0" w:space="0" w:color="auto"/>
                    <w:right w:val="none" w:sz="0" w:space="0" w:color="auto"/>
                  </w:divBdr>
                  <w:divsChild>
                    <w:div w:id="1246067482">
                      <w:marLeft w:val="0"/>
                      <w:marRight w:val="0"/>
                      <w:marTop w:val="0"/>
                      <w:marBottom w:val="0"/>
                      <w:divBdr>
                        <w:top w:val="none" w:sz="0" w:space="0" w:color="auto"/>
                        <w:left w:val="none" w:sz="0" w:space="0" w:color="auto"/>
                        <w:bottom w:val="none" w:sz="0" w:space="0" w:color="auto"/>
                        <w:right w:val="none" w:sz="0" w:space="0" w:color="auto"/>
                      </w:divBdr>
                      <w:divsChild>
                        <w:div w:id="1361079966">
                          <w:marLeft w:val="0"/>
                          <w:marRight w:val="0"/>
                          <w:marTop w:val="0"/>
                          <w:marBottom w:val="0"/>
                          <w:divBdr>
                            <w:top w:val="none" w:sz="0" w:space="0" w:color="auto"/>
                            <w:left w:val="none" w:sz="0" w:space="0" w:color="auto"/>
                            <w:bottom w:val="none" w:sz="0" w:space="0" w:color="auto"/>
                            <w:right w:val="none" w:sz="0" w:space="0" w:color="auto"/>
                          </w:divBdr>
                          <w:divsChild>
                            <w:div w:id="14104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930397">
      <w:bodyDiv w:val="1"/>
      <w:marLeft w:val="0"/>
      <w:marRight w:val="0"/>
      <w:marTop w:val="0"/>
      <w:marBottom w:val="0"/>
      <w:divBdr>
        <w:top w:val="none" w:sz="0" w:space="0" w:color="auto"/>
        <w:left w:val="none" w:sz="0" w:space="0" w:color="auto"/>
        <w:bottom w:val="none" w:sz="0" w:space="0" w:color="auto"/>
        <w:right w:val="none" w:sz="0" w:space="0" w:color="auto"/>
      </w:divBdr>
    </w:div>
    <w:div w:id="1671055150">
      <w:bodyDiv w:val="1"/>
      <w:marLeft w:val="0"/>
      <w:marRight w:val="0"/>
      <w:marTop w:val="0"/>
      <w:marBottom w:val="0"/>
      <w:divBdr>
        <w:top w:val="none" w:sz="0" w:space="0" w:color="auto"/>
        <w:left w:val="none" w:sz="0" w:space="0" w:color="auto"/>
        <w:bottom w:val="none" w:sz="0" w:space="0" w:color="auto"/>
        <w:right w:val="none" w:sz="0" w:space="0" w:color="auto"/>
      </w:divBdr>
    </w:div>
    <w:div w:id="1678464342">
      <w:bodyDiv w:val="1"/>
      <w:marLeft w:val="0"/>
      <w:marRight w:val="0"/>
      <w:marTop w:val="0"/>
      <w:marBottom w:val="0"/>
      <w:divBdr>
        <w:top w:val="none" w:sz="0" w:space="0" w:color="auto"/>
        <w:left w:val="none" w:sz="0" w:space="0" w:color="auto"/>
        <w:bottom w:val="none" w:sz="0" w:space="0" w:color="auto"/>
        <w:right w:val="none" w:sz="0" w:space="0" w:color="auto"/>
      </w:divBdr>
      <w:divsChild>
        <w:div w:id="673844744">
          <w:marLeft w:val="0"/>
          <w:marRight w:val="0"/>
          <w:marTop w:val="0"/>
          <w:marBottom w:val="0"/>
          <w:divBdr>
            <w:top w:val="none" w:sz="0" w:space="0" w:color="auto"/>
            <w:left w:val="none" w:sz="0" w:space="0" w:color="auto"/>
            <w:bottom w:val="none" w:sz="0" w:space="0" w:color="auto"/>
            <w:right w:val="none" w:sz="0" w:space="0" w:color="auto"/>
          </w:divBdr>
          <w:divsChild>
            <w:div w:id="381368982">
              <w:marLeft w:val="0"/>
              <w:marRight w:val="0"/>
              <w:marTop w:val="0"/>
              <w:marBottom w:val="0"/>
              <w:divBdr>
                <w:top w:val="none" w:sz="0" w:space="0" w:color="auto"/>
                <w:left w:val="none" w:sz="0" w:space="0" w:color="auto"/>
                <w:bottom w:val="none" w:sz="0" w:space="0" w:color="auto"/>
                <w:right w:val="none" w:sz="0" w:space="0" w:color="auto"/>
              </w:divBdr>
              <w:divsChild>
                <w:div w:id="1984848206">
                  <w:marLeft w:val="0"/>
                  <w:marRight w:val="0"/>
                  <w:marTop w:val="0"/>
                  <w:marBottom w:val="0"/>
                  <w:divBdr>
                    <w:top w:val="none" w:sz="0" w:space="0" w:color="auto"/>
                    <w:left w:val="none" w:sz="0" w:space="0" w:color="auto"/>
                    <w:bottom w:val="none" w:sz="0" w:space="0" w:color="auto"/>
                    <w:right w:val="none" w:sz="0" w:space="0" w:color="auto"/>
                  </w:divBdr>
                  <w:divsChild>
                    <w:div w:id="350110157">
                      <w:marLeft w:val="0"/>
                      <w:marRight w:val="0"/>
                      <w:marTop w:val="0"/>
                      <w:marBottom w:val="0"/>
                      <w:divBdr>
                        <w:top w:val="none" w:sz="0" w:space="0" w:color="auto"/>
                        <w:left w:val="none" w:sz="0" w:space="0" w:color="auto"/>
                        <w:bottom w:val="none" w:sz="0" w:space="0" w:color="auto"/>
                        <w:right w:val="none" w:sz="0" w:space="0" w:color="auto"/>
                      </w:divBdr>
                      <w:divsChild>
                        <w:div w:id="2110807928">
                          <w:marLeft w:val="0"/>
                          <w:marRight w:val="0"/>
                          <w:marTop w:val="0"/>
                          <w:marBottom w:val="0"/>
                          <w:divBdr>
                            <w:top w:val="none" w:sz="0" w:space="0" w:color="auto"/>
                            <w:left w:val="none" w:sz="0" w:space="0" w:color="auto"/>
                            <w:bottom w:val="none" w:sz="0" w:space="0" w:color="auto"/>
                            <w:right w:val="none" w:sz="0" w:space="0" w:color="auto"/>
                          </w:divBdr>
                          <w:divsChild>
                            <w:div w:id="184053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433580">
      <w:bodyDiv w:val="1"/>
      <w:marLeft w:val="0"/>
      <w:marRight w:val="0"/>
      <w:marTop w:val="0"/>
      <w:marBottom w:val="0"/>
      <w:divBdr>
        <w:top w:val="none" w:sz="0" w:space="0" w:color="auto"/>
        <w:left w:val="none" w:sz="0" w:space="0" w:color="auto"/>
        <w:bottom w:val="none" w:sz="0" w:space="0" w:color="auto"/>
        <w:right w:val="none" w:sz="0" w:space="0" w:color="auto"/>
      </w:divBdr>
      <w:divsChild>
        <w:div w:id="1056471862">
          <w:marLeft w:val="0"/>
          <w:marRight w:val="0"/>
          <w:marTop w:val="0"/>
          <w:marBottom w:val="0"/>
          <w:divBdr>
            <w:top w:val="none" w:sz="0" w:space="0" w:color="auto"/>
            <w:left w:val="none" w:sz="0" w:space="0" w:color="auto"/>
            <w:bottom w:val="none" w:sz="0" w:space="0" w:color="auto"/>
            <w:right w:val="none" w:sz="0" w:space="0" w:color="auto"/>
          </w:divBdr>
          <w:divsChild>
            <w:div w:id="2063013801">
              <w:marLeft w:val="0"/>
              <w:marRight w:val="0"/>
              <w:marTop w:val="0"/>
              <w:marBottom w:val="0"/>
              <w:divBdr>
                <w:top w:val="none" w:sz="0" w:space="0" w:color="auto"/>
                <w:left w:val="none" w:sz="0" w:space="0" w:color="auto"/>
                <w:bottom w:val="none" w:sz="0" w:space="0" w:color="auto"/>
                <w:right w:val="none" w:sz="0" w:space="0" w:color="auto"/>
              </w:divBdr>
              <w:divsChild>
                <w:div w:id="28336208">
                  <w:marLeft w:val="0"/>
                  <w:marRight w:val="0"/>
                  <w:marTop w:val="0"/>
                  <w:marBottom w:val="0"/>
                  <w:divBdr>
                    <w:top w:val="none" w:sz="0" w:space="0" w:color="auto"/>
                    <w:left w:val="none" w:sz="0" w:space="0" w:color="auto"/>
                    <w:bottom w:val="none" w:sz="0" w:space="0" w:color="auto"/>
                    <w:right w:val="none" w:sz="0" w:space="0" w:color="auto"/>
                  </w:divBdr>
                  <w:divsChild>
                    <w:div w:id="797065848">
                      <w:marLeft w:val="0"/>
                      <w:marRight w:val="0"/>
                      <w:marTop w:val="0"/>
                      <w:marBottom w:val="0"/>
                      <w:divBdr>
                        <w:top w:val="none" w:sz="0" w:space="0" w:color="auto"/>
                        <w:left w:val="none" w:sz="0" w:space="0" w:color="auto"/>
                        <w:bottom w:val="none" w:sz="0" w:space="0" w:color="auto"/>
                        <w:right w:val="none" w:sz="0" w:space="0" w:color="auto"/>
                      </w:divBdr>
                      <w:divsChild>
                        <w:div w:id="989022041">
                          <w:marLeft w:val="0"/>
                          <w:marRight w:val="0"/>
                          <w:marTop w:val="0"/>
                          <w:marBottom w:val="0"/>
                          <w:divBdr>
                            <w:top w:val="none" w:sz="0" w:space="0" w:color="auto"/>
                            <w:left w:val="none" w:sz="0" w:space="0" w:color="auto"/>
                            <w:bottom w:val="none" w:sz="0" w:space="0" w:color="auto"/>
                            <w:right w:val="none" w:sz="0" w:space="0" w:color="auto"/>
                          </w:divBdr>
                          <w:divsChild>
                            <w:div w:id="193377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982059">
      <w:bodyDiv w:val="1"/>
      <w:marLeft w:val="0"/>
      <w:marRight w:val="0"/>
      <w:marTop w:val="0"/>
      <w:marBottom w:val="0"/>
      <w:divBdr>
        <w:top w:val="none" w:sz="0" w:space="0" w:color="auto"/>
        <w:left w:val="none" w:sz="0" w:space="0" w:color="auto"/>
        <w:bottom w:val="none" w:sz="0" w:space="0" w:color="auto"/>
        <w:right w:val="none" w:sz="0" w:space="0" w:color="auto"/>
      </w:divBdr>
    </w:div>
    <w:div w:id="1727607107">
      <w:bodyDiv w:val="1"/>
      <w:marLeft w:val="0"/>
      <w:marRight w:val="0"/>
      <w:marTop w:val="0"/>
      <w:marBottom w:val="0"/>
      <w:divBdr>
        <w:top w:val="none" w:sz="0" w:space="0" w:color="auto"/>
        <w:left w:val="none" w:sz="0" w:space="0" w:color="auto"/>
        <w:bottom w:val="none" w:sz="0" w:space="0" w:color="auto"/>
        <w:right w:val="none" w:sz="0" w:space="0" w:color="auto"/>
      </w:divBdr>
      <w:divsChild>
        <w:div w:id="1407849002">
          <w:marLeft w:val="0"/>
          <w:marRight w:val="0"/>
          <w:marTop w:val="0"/>
          <w:marBottom w:val="0"/>
          <w:divBdr>
            <w:top w:val="none" w:sz="0" w:space="0" w:color="auto"/>
            <w:left w:val="none" w:sz="0" w:space="0" w:color="auto"/>
            <w:bottom w:val="none" w:sz="0" w:space="0" w:color="auto"/>
            <w:right w:val="none" w:sz="0" w:space="0" w:color="auto"/>
          </w:divBdr>
          <w:divsChild>
            <w:div w:id="1711610781">
              <w:marLeft w:val="0"/>
              <w:marRight w:val="0"/>
              <w:marTop w:val="0"/>
              <w:marBottom w:val="0"/>
              <w:divBdr>
                <w:top w:val="none" w:sz="0" w:space="0" w:color="auto"/>
                <w:left w:val="none" w:sz="0" w:space="0" w:color="auto"/>
                <w:bottom w:val="none" w:sz="0" w:space="0" w:color="auto"/>
                <w:right w:val="none" w:sz="0" w:space="0" w:color="auto"/>
              </w:divBdr>
              <w:divsChild>
                <w:div w:id="1448500316">
                  <w:marLeft w:val="0"/>
                  <w:marRight w:val="0"/>
                  <w:marTop w:val="0"/>
                  <w:marBottom w:val="0"/>
                  <w:divBdr>
                    <w:top w:val="none" w:sz="0" w:space="0" w:color="auto"/>
                    <w:left w:val="none" w:sz="0" w:space="0" w:color="auto"/>
                    <w:bottom w:val="none" w:sz="0" w:space="0" w:color="auto"/>
                    <w:right w:val="none" w:sz="0" w:space="0" w:color="auto"/>
                  </w:divBdr>
                  <w:divsChild>
                    <w:div w:id="954748378">
                      <w:marLeft w:val="0"/>
                      <w:marRight w:val="0"/>
                      <w:marTop w:val="0"/>
                      <w:marBottom w:val="0"/>
                      <w:divBdr>
                        <w:top w:val="none" w:sz="0" w:space="0" w:color="auto"/>
                        <w:left w:val="none" w:sz="0" w:space="0" w:color="auto"/>
                        <w:bottom w:val="none" w:sz="0" w:space="0" w:color="auto"/>
                        <w:right w:val="none" w:sz="0" w:space="0" w:color="auto"/>
                      </w:divBdr>
                      <w:divsChild>
                        <w:div w:id="358166469">
                          <w:marLeft w:val="0"/>
                          <w:marRight w:val="0"/>
                          <w:marTop w:val="0"/>
                          <w:marBottom w:val="0"/>
                          <w:divBdr>
                            <w:top w:val="none" w:sz="0" w:space="0" w:color="auto"/>
                            <w:left w:val="none" w:sz="0" w:space="0" w:color="auto"/>
                            <w:bottom w:val="none" w:sz="0" w:space="0" w:color="auto"/>
                            <w:right w:val="none" w:sz="0" w:space="0" w:color="auto"/>
                          </w:divBdr>
                          <w:divsChild>
                            <w:div w:id="154868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145892">
      <w:bodyDiv w:val="1"/>
      <w:marLeft w:val="0"/>
      <w:marRight w:val="0"/>
      <w:marTop w:val="0"/>
      <w:marBottom w:val="0"/>
      <w:divBdr>
        <w:top w:val="none" w:sz="0" w:space="0" w:color="auto"/>
        <w:left w:val="none" w:sz="0" w:space="0" w:color="auto"/>
        <w:bottom w:val="none" w:sz="0" w:space="0" w:color="auto"/>
        <w:right w:val="none" w:sz="0" w:space="0" w:color="auto"/>
      </w:divBdr>
    </w:div>
    <w:div w:id="1777407357">
      <w:bodyDiv w:val="1"/>
      <w:marLeft w:val="0"/>
      <w:marRight w:val="0"/>
      <w:marTop w:val="0"/>
      <w:marBottom w:val="0"/>
      <w:divBdr>
        <w:top w:val="none" w:sz="0" w:space="0" w:color="auto"/>
        <w:left w:val="none" w:sz="0" w:space="0" w:color="auto"/>
        <w:bottom w:val="none" w:sz="0" w:space="0" w:color="auto"/>
        <w:right w:val="none" w:sz="0" w:space="0" w:color="auto"/>
      </w:divBdr>
      <w:divsChild>
        <w:div w:id="336615976">
          <w:marLeft w:val="0"/>
          <w:marRight w:val="0"/>
          <w:marTop w:val="0"/>
          <w:marBottom w:val="0"/>
          <w:divBdr>
            <w:top w:val="none" w:sz="0" w:space="0" w:color="auto"/>
            <w:left w:val="none" w:sz="0" w:space="0" w:color="auto"/>
            <w:bottom w:val="none" w:sz="0" w:space="0" w:color="auto"/>
            <w:right w:val="none" w:sz="0" w:space="0" w:color="auto"/>
          </w:divBdr>
        </w:div>
        <w:div w:id="1176654980">
          <w:marLeft w:val="0"/>
          <w:marRight w:val="0"/>
          <w:marTop w:val="0"/>
          <w:marBottom w:val="0"/>
          <w:divBdr>
            <w:top w:val="none" w:sz="0" w:space="0" w:color="auto"/>
            <w:left w:val="none" w:sz="0" w:space="0" w:color="auto"/>
            <w:bottom w:val="none" w:sz="0" w:space="0" w:color="auto"/>
            <w:right w:val="none" w:sz="0" w:space="0" w:color="auto"/>
          </w:divBdr>
        </w:div>
      </w:divsChild>
    </w:div>
    <w:div w:id="1797022523">
      <w:bodyDiv w:val="1"/>
      <w:marLeft w:val="0"/>
      <w:marRight w:val="0"/>
      <w:marTop w:val="0"/>
      <w:marBottom w:val="0"/>
      <w:divBdr>
        <w:top w:val="none" w:sz="0" w:space="0" w:color="auto"/>
        <w:left w:val="none" w:sz="0" w:space="0" w:color="auto"/>
        <w:bottom w:val="none" w:sz="0" w:space="0" w:color="auto"/>
        <w:right w:val="none" w:sz="0" w:space="0" w:color="auto"/>
      </w:divBdr>
    </w:div>
    <w:div w:id="1852330387">
      <w:bodyDiv w:val="1"/>
      <w:marLeft w:val="0"/>
      <w:marRight w:val="0"/>
      <w:marTop w:val="0"/>
      <w:marBottom w:val="0"/>
      <w:divBdr>
        <w:top w:val="none" w:sz="0" w:space="0" w:color="auto"/>
        <w:left w:val="none" w:sz="0" w:space="0" w:color="auto"/>
        <w:bottom w:val="none" w:sz="0" w:space="0" w:color="auto"/>
        <w:right w:val="none" w:sz="0" w:space="0" w:color="auto"/>
      </w:divBdr>
    </w:div>
    <w:div w:id="1853907203">
      <w:bodyDiv w:val="1"/>
      <w:marLeft w:val="0"/>
      <w:marRight w:val="0"/>
      <w:marTop w:val="0"/>
      <w:marBottom w:val="0"/>
      <w:divBdr>
        <w:top w:val="none" w:sz="0" w:space="0" w:color="auto"/>
        <w:left w:val="none" w:sz="0" w:space="0" w:color="auto"/>
        <w:bottom w:val="none" w:sz="0" w:space="0" w:color="auto"/>
        <w:right w:val="none" w:sz="0" w:space="0" w:color="auto"/>
      </w:divBdr>
    </w:div>
    <w:div w:id="1882013454">
      <w:bodyDiv w:val="1"/>
      <w:marLeft w:val="0"/>
      <w:marRight w:val="0"/>
      <w:marTop w:val="0"/>
      <w:marBottom w:val="0"/>
      <w:divBdr>
        <w:top w:val="none" w:sz="0" w:space="0" w:color="auto"/>
        <w:left w:val="none" w:sz="0" w:space="0" w:color="auto"/>
        <w:bottom w:val="none" w:sz="0" w:space="0" w:color="auto"/>
        <w:right w:val="none" w:sz="0" w:space="0" w:color="auto"/>
      </w:divBdr>
    </w:div>
    <w:div w:id="1920671395">
      <w:bodyDiv w:val="1"/>
      <w:marLeft w:val="0"/>
      <w:marRight w:val="0"/>
      <w:marTop w:val="0"/>
      <w:marBottom w:val="0"/>
      <w:divBdr>
        <w:top w:val="none" w:sz="0" w:space="0" w:color="auto"/>
        <w:left w:val="none" w:sz="0" w:space="0" w:color="auto"/>
        <w:bottom w:val="none" w:sz="0" w:space="0" w:color="auto"/>
        <w:right w:val="none" w:sz="0" w:space="0" w:color="auto"/>
      </w:divBdr>
    </w:div>
    <w:div w:id="1931309802">
      <w:bodyDiv w:val="1"/>
      <w:marLeft w:val="0"/>
      <w:marRight w:val="0"/>
      <w:marTop w:val="0"/>
      <w:marBottom w:val="0"/>
      <w:divBdr>
        <w:top w:val="none" w:sz="0" w:space="0" w:color="auto"/>
        <w:left w:val="none" w:sz="0" w:space="0" w:color="auto"/>
        <w:bottom w:val="none" w:sz="0" w:space="0" w:color="auto"/>
        <w:right w:val="none" w:sz="0" w:space="0" w:color="auto"/>
      </w:divBdr>
      <w:divsChild>
        <w:div w:id="930820416">
          <w:marLeft w:val="0"/>
          <w:marRight w:val="0"/>
          <w:marTop w:val="0"/>
          <w:marBottom w:val="0"/>
          <w:divBdr>
            <w:top w:val="none" w:sz="0" w:space="0" w:color="auto"/>
            <w:left w:val="none" w:sz="0" w:space="0" w:color="auto"/>
            <w:bottom w:val="none" w:sz="0" w:space="0" w:color="auto"/>
            <w:right w:val="none" w:sz="0" w:space="0" w:color="auto"/>
          </w:divBdr>
          <w:divsChild>
            <w:div w:id="692268800">
              <w:marLeft w:val="0"/>
              <w:marRight w:val="0"/>
              <w:marTop w:val="0"/>
              <w:marBottom w:val="0"/>
              <w:divBdr>
                <w:top w:val="none" w:sz="0" w:space="0" w:color="auto"/>
                <w:left w:val="none" w:sz="0" w:space="0" w:color="auto"/>
                <w:bottom w:val="none" w:sz="0" w:space="0" w:color="auto"/>
                <w:right w:val="none" w:sz="0" w:space="0" w:color="auto"/>
              </w:divBdr>
              <w:divsChild>
                <w:div w:id="281574246">
                  <w:marLeft w:val="0"/>
                  <w:marRight w:val="0"/>
                  <w:marTop w:val="0"/>
                  <w:marBottom w:val="0"/>
                  <w:divBdr>
                    <w:top w:val="none" w:sz="0" w:space="0" w:color="auto"/>
                    <w:left w:val="none" w:sz="0" w:space="0" w:color="auto"/>
                    <w:bottom w:val="none" w:sz="0" w:space="0" w:color="auto"/>
                    <w:right w:val="none" w:sz="0" w:space="0" w:color="auto"/>
                  </w:divBdr>
                  <w:divsChild>
                    <w:div w:id="1687907676">
                      <w:marLeft w:val="0"/>
                      <w:marRight w:val="0"/>
                      <w:marTop w:val="0"/>
                      <w:marBottom w:val="0"/>
                      <w:divBdr>
                        <w:top w:val="none" w:sz="0" w:space="0" w:color="auto"/>
                        <w:left w:val="none" w:sz="0" w:space="0" w:color="auto"/>
                        <w:bottom w:val="none" w:sz="0" w:space="0" w:color="auto"/>
                        <w:right w:val="none" w:sz="0" w:space="0" w:color="auto"/>
                      </w:divBdr>
                      <w:divsChild>
                        <w:div w:id="1298102353">
                          <w:marLeft w:val="0"/>
                          <w:marRight w:val="0"/>
                          <w:marTop w:val="0"/>
                          <w:marBottom w:val="0"/>
                          <w:divBdr>
                            <w:top w:val="none" w:sz="0" w:space="0" w:color="auto"/>
                            <w:left w:val="none" w:sz="0" w:space="0" w:color="auto"/>
                            <w:bottom w:val="none" w:sz="0" w:space="0" w:color="auto"/>
                            <w:right w:val="none" w:sz="0" w:space="0" w:color="auto"/>
                          </w:divBdr>
                          <w:divsChild>
                            <w:div w:id="12474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145110">
      <w:bodyDiv w:val="1"/>
      <w:marLeft w:val="0"/>
      <w:marRight w:val="0"/>
      <w:marTop w:val="0"/>
      <w:marBottom w:val="0"/>
      <w:divBdr>
        <w:top w:val="none" w:sz="0" w:space="0" w:color="auto"/>
        <w:left w:val="none" w:sz="0" w:space="0" w:color="auto"/>
        <w:bottom w:val="none" w:sz="0" w:space="0" w:color="auto"/>
        <w:right w:val="none" w:sz="0" w:space="0" w:color="auto"/>
      </w:divBdr>
    </w:div>
    <w:div w:id="1950040538">
      <w:bodyDiv w:val="1"/>
      <w:marLeft w:val="0"/>
      <w:marRight w:val="0"/>
      <w:marTop w:val="0"/>
      <w:marBottom w:val="0"/>
      <w:divBdr>
        <w:top w:val="none" w:sz="0" w:space="0" w:color="auto"/>
        <w:left w:val="none" w:sz="0" w:space="0" w:color="auto"/>
        <w:bottom w:val="none" w:sz="0" w:space="0" w:color="auto"/>
        <w:right w:val="none" w:sz="0" w:space="0" w:color="auto"/>
      </w:divBdr>
      <w:divsChild>
        <w:div w:id="1006445600">
          <w:marLeft w:val="0"/>
          <w:marRight w:val="0"/>
          <w:marTop w:val="0"/>
          <w:marBottom w:val="0"/>
          <w:divBdr>
            <w:top w:val="none" w:sz="0" w:space="0" w:color="auto"/>
            <w:left w:val="none" w:sz="0" w:space="0" w:color="auto"/>
            <w:bottom w:val="none" w:sz="0" w:space="0" w:color="auto"/>
            <w:right w:val="none" w:sz="0" w:space="0" w:color="auto"/>
          </w:divBdr>
          <w:divsChild>
            <w:div w:id="1571619885">
              <w:marLeft w:val="0"/>
              <w:marRight w:val="0"/>
              <w:marTop w:val="0"/>
              <w:marBottom w:val="0"/>
              <w:divBdr>
                <w:top w:val="none" w:sz="0" w:space="0" w:color="auto"/>
                <w:left w:val="none" w:sz="0" w:space="0" w:color="auto"/>
                <w:bottom w:val="none" w:sz="0" w:space="0" w:color="auto"/>
                <w:right w:val="none" w:sz="0" w:space="0" w:color="auto"/>
              </w:divBdr>
              <w:divsChild>
                <w:div w:id="181865679">
                  <w:marLeft w:val="0"/>
                  <w:marRight w:val="0"/>
                  <w:marTop w:val="0"/>
                  <w:marBottom w:val="0"/>
                  <w:divBdr>
                    <w:top w:val="none" w:sz="0" w:space="0" w:color="auto"/>
                    <w:left w:val="none" w:sz="0" w:space="0" w:color="auto"/>
                    <w:bottom w:val="none" w:sz="0" w:space="0" w:color="auto"/>
                    <w:right w:val="none" w:sz="0" w:space="0" w:color="auto"/>
                  </w:divBdr>
                  <w:divsChild>
                    <w:div w:id="42681059">
                      <w:marLeft w:val="0"/>
                      <w:marRight w:val="0"/>
                      <w:marTop w:val="0"/>
                      <w:marBottom w:val="0"/>
                      <w:divBdr>
                        <w:top w:val="none" w:sz="0" w:space="0" w:color="auto"/>
                        <w:left w:val="none" w:sz="0" w:space="0" w:color="auto"/>
                        <w:bottom w:val="none" w:sz="0" w:space="0" w:color="auto"/>
                        <w:right w:val="none" w:sz="0" w:space="0" w:color="auto"/>
                      </w:divBdr>
                      <w:divsChild>
                        <w:div w:id="138501787">
                          <w:marLeft w:val="0"/>
                          <w:marRight w:val="0"/>
                          <w:marTop w:val="0"/>
                          <w:marBottom w:val="0"/>
                          <w:divBdr>
                            <w:top w:val="none" w:sz="0" w:space="0" w:color="auto"/>
                            <w:left w:val="none" w:sz="0" w:space="0" w:color="auto"/>
                            <w:bottom w:val="none" w:sz="0" w:space="0" w:color="auto"/>
                            <w:right w:val="none" w:sz="0" w:space="0" w:color="auto"/>
                          </w:divBdr>
                          <w:divsChild>
                            <w:div w:id="196392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827476">
      <w:bodyDiv w:val="1"/>
      <w:marLeft w:val="0"/>
      <w:marRight w:val="0"/>
      <w:marTop w:val="0"/>
      <w:marBottom w:val="0"/>
      <w:divBdr>
        <w:top w:val="none" w:sz="0" w:space="0" w:color="auto"/>
        <w:left w:val="none" w:sz="0" w:space="0" w:color="auto"/>
        <w:bottom w:val="none" w:sz="0" w:space="0" w:color="auto"/>
        <w:right w:val="none" w:sz="0" w:space="0" w:color="auto"/>
      </w:divBdr>
    </w:div>
    <w:div w:id="1992824417">
      <w:bodyDiv w:val="1"/>
      <w:marLeft w:val="0"/>
      <w:marRight w:val="0"/>
      <w:marTop w:val="0"/>
      <w:marBottom w:val="0"/>
      <w:divBdr>
        <w:top w:val="none" w:sz="0" w:space="0" w:color="auto"/>
        <w:left w:val="none" w:sz="0" w:space="0" w:color="auto"/>
        <w:bottom w:val="none" w:sz="0" w:space="0" w:color="auto"/>
        <w:right w:val="none" w:sz="0" w:space="0" w:color="auto"/>
      </w:divBdr>
    </w:div>
    <w:div w:id="2008896947">
      <w:bodyDiv w:val="1"/>
      <w:marLeft w:val="0"/>
      <w:marRight w:val="0"/>
      <w:marTop w:val="0"/>
      <w:marBottom w:val="0"/>
      <w:divBdr>
        <w:top w:val="none" w:sz="0" w:space="0" w:color="auto"/>
        <w:left w:val="none" w:sz="0" w:space="0" w:color="auto"/>
        <w:bottom w:val="none" w:sz="0" w:space="0" w:color="auto"/>
        <w:right w:val="none" w:sz="0" w:space="0" w:color="auto"/>
      </w:divBdr>
      <w:divsChild>
        <w:div w:id="1489633486">
          <w:marLeft w:val="0"/>
          <w:marRight w:val="0"/>
          <w:marTop w:val="0"/>
          <w:marBottom w:val="0"/>
          <w:divBdr>
            <w:top w:val="none" w:sz="0" w:space="0" w:color="auto"/>
            <w:left w:val="none" w:sz="0" w:space="0" w:color="auto"/>
            <w:bottom w:val="none" w:sz="0" w:space="0" w:color="auto"/>
            <w:right w:val="none" w:sz="0" w:space="0" w:color="auto"/>
          </w:divBdr>
        </w:div>
        <w:div w:id="1510631617">
          <w:marLeft w:val="0"/>
          <w:marRight w:val="0"/>
          <w:marTop w:val="0"/>
          <w:marBottom w:val="0"/>
          <w:divBdr>
            <w:top w:val="none" w:sz="0" w:space="0" w:color="auto"/>
            <w:left w:val="none" w:sz="0" w:space="0" w:color="auto"/>
            <w:bottom w:val="none" w:sz="0" w:space="0" w:color="auto"/>
            <w:right w:val="none" w:sz="0" w:space="0" w:color="auto"/>
          </w:divBdr>
        </w:div>
      </w:divsChild>
    </w:div>
    <w:div w:id="2019578437">
      <w:bodyDiv w:val="1"/>
      <w:marLeft w:val="0"/>
      <w:marRight w:val="0"/>
      <w:marTop w:val="0"/>
      <w:marBottom w:val="0"/>
      <w:divBdr>
        <w:top w:val="none" w:sz="0" w:space="0" w:color="auto"/>
        <w:left w:val="none" w:sz="0" w:space="0" w:color="auto"/>
        <w:bottom w:val="none" w:sz="0" w:space="0" w:color="auto"/>
        <w:right w:val="none" w:sz="0" w:space="0" w:color="auto"/>
      </w:divBdr>
    </w:div>
    <w:div w:id="2026981394">
      <w:bodyDiv w:val="1"/>
      <w:marLeft w:val="0"/>
      <w:marRight w:val="0"/>
      <w:marTop w:val="0"/>
      <w:marBottom w:val="0"/>
      <w:divBdr>
        <w:top w:val="none" w:sz="0" w:space="0" w:color="auto"/>
        <w:left w:val="none" w:sz="0" w:space="0" w:color="auto"/>
        <w:bottom w:val="none" w:sz="0" w:space="0" w:color="auto"/>
        <w:right w:val="none" w:sz="0" w:space="0" w:color="auto"/>
      </w:divBdr>
    </w:div>
    <w:div w:id="2028436395">
      <w:bodyDiv w:val="1"/>
      <w:marLeft w:val="0"/>
      <w:marRight w:val="0"/>
      <w:marTop w:val="0"/>
      <w:marBottom w:val="0"/>
      <w:divBdr>
        <w:top w:val="none" w:sz="0" w:space="0" w:color="auto"/>
        <w:left w:val="none" w:sz="0" w:space="0" w:color="auto"/>
        <w:bottom w:val="none" w:sz="0" w:space="0" w:color="auto"/>
        <w:right w:val="none" w:sz="0" w:space="0" w:color="auto"/>
      </w:divBdr>
    </w:div>
    <w:div w:id="2038046040">
      <w:bodyDiv w:val="1"/>
      <w:marLeft w:val="0"/>
      <w:marRight w:val="0"/>
      <w:marTop w:val="0"/>
      <w:marBottom w:val="0"/>
      <w:divBdr>
        <w:top w:val="none" w:sz="0" w:space="0" w:color="auto"/>
        <w:left w:val="none" w:sz="0" w:space="0" w:color="auto"/>
        <w:bottom w:val="none" w:sz="0" w:space="0" w:color="auto"/>
        <w:right w:val="none" w:sz="0" w:space="0" w:color="auto"/>
      </w:divBdr>
    </w:div>
    <w:div w:id="2053647538">
      <w:bodyDiv w:val="1"/>
      <w:marLeft w:val="0"/>
      <w:marRight w:val="0"/>
      <w:marTop w:val="0"/>
      <w:marBottom w:val="0"/>
      <w:divBdr>
        <w:top w:val="none" w:sz="0" w:space="0" w:color="auto"/>
        <w:left w:val="none" w:sz="0" w:space="0" w:color="auto"/>
        <w:bottom w:val="none" w:sz="0" w:space="0" w:color="auto"/>
        <w:right w:val="none" w:sz="0" w:space="0" w:color="auto"/>
      </w:divBdr>
    </w:div>
    <w:div w:id="2086954722">
      <w:bodyDiv w:val="1"/>
      <w:marLeft w:val="0"/>
      <w:marRight w:val="0"/>
      <w:marTop w:val="0"/>
      <w:marBottom w:val="0"/>
      <w:divBdr>
        <w:top w:val="none" w:sz="0" w:space="0" w:color="auto"/>
        <w:left w:val="none" w:sz="0" w:space="0" w:color="auto"/>
        <w:bottom w:val="none" w:sz="0" w:space="0" w:color="auto"/>
        <w:right w:val="none" w:sz="0" w:space="0" w:color="auto"/>
      </w:divBdr>
    </w:div>
    <w:div w:id="2087847810">
      <w:bodyDiv w:val="1"/>
      <w:marLeft w:val="0"/>
      <w:marRight w:val="0"/>
      <w:marTop w:val="0"/>
      <w:marBottom w:val="0"/>
      <w:divBdr>
        <w:top w:val="none" w:sz="0" w:space="0" w:color="auto"/>
        <w:left w:val="none" w:sz="0" w:space="0" w:color="auto"/>
        <w:bottom w:val="none" w:sz="0" w:space="0" w:color="auto"/>
        <w:right w:val="none" w:sz="0" w:space="0" w:color="auto"/>
      </w:divBdr>
    </w:div>
    <w:div w:id="2098283696">
      <w:bodyDiv w:val="1"/>
      <w:marLeft w:val="0"/>
      <w:marRight w:val="0"/>
      <w:marTop w:val="0"/>
      <w:marBottom w:val="0"/>
      <w:divBdr>
        <w:top w:val="none" w:sz="0" w:space="0" w:color="auto"/>
        <w:left w:val="none" w:sz="0" w:space="0" w:color="auto"/>
        <w:bottom w:val="none" w:sz="0" w:space="0" w:color="auto"/>
        <w:right w:val="none" w:sz="0" w:space="0" w:color="auto"/>
      </w:divBdr>
    </w:div>
    <w:div w:id="212326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emf"/><Relationship Id="rId39" Type="http://schemas.openxmlformats.org/officeDocument/2006/relationships/hyperlink" Target="https://doi.org/10.1111/1540-6288.00034" TargetMode="External"/><Relationship Id="rId21" Type="http://schemas.openxmlformats.org/officeDocument/2006/relationships/image" Target="media/image12.png"/><Relationship Id="rId34" Type="http://schemas.openxmlformats.org/officeDocument/2006/relationships/image" Target="media/image25.emf"/><Relationship Id="rId42" Type="http://schemas.openxmlformats.org/officeDocument/2006/relationships/hyperlink" Target="https://doi.org/10.1287/mnsc.2014.1984" TargetMode="External"/><Relationship Id="rId47" Type="http://schemas.openxmlformats.org/officeDocument/2006/relationships/hyperlink" Target="https://corporate.tslj.com/en/ir/reports.php" TargetMode="External"/><Relationship Id="rId50" Type="http://schemas.openxmlformats.org/officeDocument/2006/relationships/hyperlink" Target="https://finance.yahoo.com/quote/0590.HK/balance-sheet/"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emf"/><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hyperlink" Target="https://www.jstor.org/stable/2978933" TargetMode="External"/><Relationship Id="rId40" Type="http://schemas.openxmlformats.org/officeDocument/2006/relationships/hyperlink" Target="https://www.ctfjewellerygroup.com/en/investor-relations/reports.html" TargetMode="External"/><Relationship Id="rId45" Type="http://schemas.openxmlformats.org/officeDocument/2006/relationships/hyperlink" Target="https://www.lukfook.com/en/page/investor-relations/financial-statement" TargetMode="External"/><Relationship Id="rId53" Type="http://schemas.openxmlformats.org/officeDocument/2006/relationships/image" Target="media/image28.emf"/><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png"/><Relationship Id="rId43" Type="http://schemas.openxmlformats.org/officeDocument/2006/relationships/hyperlink" Target="https://doi.org/10.1086/261677" TargetMode="External"/><Relationship Id="rId48" Type="http://schemas.openxmlformats.org/officeDocument/2006/relationships/hyperlink" Target="https://corporate.tslj.com/en/ir/reports.php"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finance.yahoo.com/quote/0417.HK/balance-sheet/"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hyperlink" Target="https://doi.org/10.1111/j.1744-1714.1994.tb00933.x" TargetMode="External"/><Relationship Id="rId46" Type="http://schemas.openxmlformats.org/officeDocument/2006/relationships/hyperlink" Target="https://doi.org/10.4324/9780203809495" TargetMode="External"/><Relationship Id="rId20" Type="http://schemas.openxmlformats.org/officeDocument/2006/relationships/image" Target="media/image11.png"/><Relationship Id="rId41" Type="http://schemas.openxmlformats.org/officeDocument/2006/relationships/hyperlink" Target="https://www.ctfjewellerygroup.com/en/investor-relations/reports.html" TargetMode="External"/><Relationship Id="rId54" Type="http://schemas.openxmlformats.org/officeDocument/2006/relationships/image" Target="media/image29.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hyperlink" Target="https://doi.org/10.1016/j.jfineco.2008.10.007" TargetMode="External"/><Relationship Id="rId49" Type="http://schemas.openxmlformats.org/officeDocument/2006/relationships/hyperlink" Target="https://finance.yahoo.com/quote/1929.HK/balance-sheet/" TargetMode="External"/><Relationship Id="rId57" Type="http://schemas.openxmlformats.org/officeDocument/2006/relationships/theme" Target="theme/theme1.xml"/><Relationship Id="rId10" Type="http://schemas.openxmlformats.org/officeDocument/2006/relationships/image" Target="media/image1.emf"/><Relationship Id="rId31" Type="http://schemas.openxmlformats.org/officeDocument/2006/relationships/image" Target="media/image22.emf"/><Relationship Id="rId44" Type="http://schemas.openxmlformats.org/officeDocument/2006/relationships/hyperlink" Target="https://www.lukfook.com/en/page/investor-relations/financial-statement" TargetMode="External"/><Relationship Id="rId52" Type="http://schemas.openxmlformats.org/officeDocument/2006/relationships/image" Target="media/image2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5B9E9-A3D5-4AA1-B595-38219038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6675</Words>
  <Characters>38054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2024-08-25T11:35:00Z</dcterms:created>
  <dcterms:modified xsi:type="dcterms:W3CDTF">2024-08-31T04:43:00Z</dcterms:modified>
</cp:coreProperties>
</file>