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CE545" w14:textId="1434477C" w:rsidR="0083437D" w:rsidRPr="00684D99" w:rsidRDefault="0083437D" w:rsidP="0083437D">
      <w:pPr>
        <w:spacing w:line="360" w:lineRule="auto"/>
        <w:rPr>
          <w:rFonts w:ascii="Times New Roman" w:hAnsi="Times New Roman" w:cs="Times New Roman"/>
          <w:b/>
          <w:bCs/>
          <w:sz w:val="32"/>
          <w:szCs w:val="32"/>
        </w:rPr>
      </w:pPr>
      <w:r w:rsidRPr="00684D99">
        <w:rPr>
          <w:rFonts w:ascii="Times New Roman" w:hAnsi="Times New Roman" w:cs="Times New Roman"/>
          <w:b/>
          <w:bCs/>
          <w:sz w:val="32"/>
          <w:szCs w:val="32"/>
        </w:rPr>
        <w:t xml:space="preserve">1916 Republican Declaration </w:t>
      </w:r>
      <w:r w:rsidR="00D8654D">
        <w:rPr>
          <w:rFonts w:ascii="Times New Roman" w:hAnsi="Times New Roman" w:cs="Times New Roman"/>
          <w:b/>
          <w:bCs/>
          <w:sz w:val="32"/>
          <w:szCs w:val="32"/>
        </w:rPr>
        <w:t xml:space="preserve">read </w:t>
      </w:r>
      <w:r w:rsidRPr="00684D99">
        <w:rPr>
          <w:rFonts w:ascii="Times New Roman" w:hAnsi="Times New Roman" w:cs="Times New Roman"/>
          <w:b/>
          <w:bCs/>
          <w:sz w:val="32"/>
          <w:szCs w:val="32"/>
        </w:rPr>
        <w:t>by Patrick Pearse from the steps of the GPO, Dublin</w:t>
      </w:r>
    </w:p>
    <w:p w14:paraId="3800B4FE" w14:textId="77777777" w:rsidR="00684D99" w:rsidRDefault="00684D99" w:rsidP="0083437D">
      <w:pPr>
        <w:spacing w:line="360" w:lineRule="auto"/>
        <w:rPr>
          <w:rFonts w:ascii="Times New Roman" w:hAnsi="Times New Roman" w:cs="Times New Roman"/>
        </w:rPr>
      </w:pPr>
    </w:p>
    <w:p w14:paraId="539B2D45" w14:textId="77777777" w:rsidR="00684D99" w:rsidRPr="0083437D" w:rsidRDefault="00684D99" w:rsidP="0083437D">
      <w:pPr>
        <w:spacing w:line="360" w:lineRule="auto"/>
        <w:rPr>
          <w:rFonts w:ascii="Times New Roman" w:hAnsi="Times New Roman" w:cs="Times New Roman"/>
        </w:rPr>
      </w:pPr>
    </w:p>
    <w:p w14:paraId="68F8EDB8" w14:textId="1D402392" w:rsidR="00E82CD6"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The Proclamation of the Irish Republic, delivered by Patrick Pearse on April 24, 1916, from the steps of Dublin’s General Post Office, stands as a defining moment in Ireland’s struggle for independence. Read aloud amidst the gunfire of the Easter Rising, this bold declaration announced the establishment of a sovereign Irish Republic, challenging centuries of British rule. Far more than a rebel manifesto, the Proclamation is a complex text that blends revolutionary zeal, democratic ideals, and poetic nationalism. This analysis seeks to move beyond mere description, critically examining the document’s authorship, context, purpose, audience, content, and rhetorical strategies to form nuanced opinions on its significance. By analyzing who crafted it, why, and how it resonated, or failed to, at the time, this study will explore its transformative role in Irish history. </w:t>
      </w:r>
      <w:r w:rsidR="00E82CD6" w:rsidRPr="00E82CD6">
        <w:rPr>
          <w:rFonts w:ascii="Times New Roman" w:hAnsi="Times New Roman" w:cs="Times New Roman"/>
        </w:rPr>
        <w:t xml:space="preserve">The Proclamation’s powerful rhetoric, idealistic vision, and bold exaggerations, though initially divisive, made it a cornerstone of Irish national identity, strengthened by British repression and the rise of republicanism. </w:t>
      </w:r>
      <w:r w:rsidR="00844221">
        <w:rPr>
          <w:rFonts w:ascii="Times New Roman" w:hAnsi="Times New Roman" w:cs="Times New Roman"/>
        </w:rPr>
        <w:t xml:space="preserve">Here I </w:t>
      </w:r>
      <w:r w:rsidR="00E82CD6" w:rsidRPr="00E82CD6">
        <w:rPr>
          <w:rFonts w:ascii="Times New Roman" w:hAnsi="Times New Roman" w:cs="Times New Roman"/>
        </w:rPr>
        <w:t>will examine its claims, hyperbole, and historical context to reveal how this document reshaped Ireland’s narrative and inspired a nation beyond 1916.</w:t>
      </w:r>
    </w:p>
    <w:p w14:paraId="492A8A6B" w14:textId="148B4C27"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The Proclamation of the Irish Republic, delivered on April 24, 1916, was primarily drafted by Patrick Pearse, a poet, educator, and fervent nationalist, with contributions from James Connolly, Thomas MacDonagh, and other Irish Republican Brotherhood (IRB) leaders. The document bears the signatures of seven revolutionaries, Thomas J. Clarke, Seán Mac Diarmada, Thomas MacDonagh, P.H. Pearse, Éamonn Ceannt, James Connolly, and Joseph </w:t>
      </w:r>
      <w:r w:rsidR="00684D99" w:rsidRPr="0083437D">
        <w:rPr>
          <w:rFonts w:ascii="Times New Roman" w:hAnsi="Times New Roman" w:cs="Times New Roman"/>
        </w:rPr>
        <w:t>Plunkett, reflecting</w:t>
      </w:r>
      <w:r w:rsidRPr="0083437D">
        <w:rPr>
          <w:rFonts w:ascii="Times New Roman" w:hAnsi="Times New Roman" w:cs="Times New Roman"/>
        </w:rPr>
        <w:t xml:space="preserve"> a collective vision. Pearse, founder of St. Enda’s School, added romantic nationalism to the text, evident in phrases like “dead generations” and “august destiny.” Connolly, a socialist, was responsible for its egalitarian promises, such as “equal rights and equal opportunities,” while Clarke’s veteran republicanism was responsible for its militant tone.</w:t>
      </w:r>
      <w:r w:rsidR="00800A24">
        <w:rPr>
          <w:rFonts w:ascii="Times New Roman" w:hAnsi="Times New Roman" w:cs="Times New Roman"/>
        </w:rPr>
        <w:t xml:space="preserve"> There is a reference to God at both the beginning and the end of the Proclamation, evidence of the strong connection Irish people had</w:t>
      </w:r>
      <w:r w:rsidR="00974B4B">
        <w:rPr>
          <w:rFonts w:ascii="Times New Roman" w:hAnsi="Times New Roman" w:cs="Times New Roman"/>
        </w:rPr>
        <w:t xml:space="preserve"> (and still have)</w:t>
      </w:r>
      <w:r w:rsidR="00800A24">
        <w:rPr>
          <w:rFonts w:ascii="Times New Roman" w:hAnsi="Times New Roman" w:cs="Times New Roman"/>
        </w:rPr>
        <w:t xml:space="preserve"> with their Catholic faith.</w:t>
      </w:r>
      <w:r w:rsidR="00015B48" w:rsidRPr="00015B48">
        <w:t xml:space="preserve"> </w:t>
      </w:r>
      <w:r w:rsidR="00015B48" w:rsidRPr="00015B48">
        <w:rPr>
          <w:rFonts w:ascii="Times New Roman" w:hAnsi="Times New Roman" w:cs="Times New Roman"/>
        </w:rPr>
        <w:t>Th</w:t>
      </w:r>
      <w:r w:rsidR="00015B48">
        <w:rPr>
          <w:rFonts w:ascii="Times New Roman" w:hAnsi="Times New Roman" w:cs="Times New Roman"/>
        </w:rPr>
        <w:t xml:space="preserve">is reference also </w:t>
      </w:r>
      <w:r w:rsidR="00015B48" w:rsidRPr="00015B48">
        <w:rPr>
          <w:rFonts w:ascii="Times New Roman" w:hAnsi="Times New Roman" w:cs="Times New Roman"/>
        </w:rPr>
        <w:t>grou</w:t>
      </w:r>
      <w:r w:rsidR="00015B48">
        <w:rPr>
          <w:rFonts w:ascii="Times New Roman" w:hAnsi="Times New Roman" w:cs="Times New Roman"/>
        </w:rPr>
        <w:t>nds</w:t>
      </w:r>
      <w:r w:rsidR="00015B48" w:rsidRPr="00015B48">
        <w:rPr>
          <w:rFonts w:ascii="Times New Roman" w:hAnsi="Times New Roman" w:cs="Times New Roman"/>
        </w:rPr>
        <w:t xml:space="preserve"> Ireland’s claim </w:t>
      </w:r>
      <w:r w:rsidR="00015B48" w:rsidRPr="00015B48">
        <w:rPr>
          <w:rFonts w:ascii="Times New Roman" w:hAnsi="Times New Roman" w:cs="Times New Roman"/>
        </w:rPr>
        <w:lastRenderedPageBreak/>
        <w:t>to nationhood in spiritual and historical legitimacy, while asserting that “Ireland, through us, summons her children to her flag.” This establishes the rebels’ authority to act on behalf of the nation.</w:t>
      </w:r>
    </w:p>
    <w:p w14:paraId="000D00D1" w14:textId="77777777"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The authors’ wanted to formally declare an independent Irish Republic, as stated in “we hereby proclaim the Irish Republic as a Sovereign Independent State,” and to challenge British rule amid centuries of oppression. The Proclamation aimed to rally the Irish people, legitimize the Easter Rising, and seek international support, referencing “exiled children in America” and “gallant allies in Europe.” Pearse’s belief in “blood sacrifice,” echoed in “readiness of its children to sacrifice themselves,” suggests a symbolic intent to inspire future resistance, even if immediate victory was unlikely. Connolly’s socialism pushed for a socially just republic, while the IRB sought to perpetuate revolutionary tradition.</w:t>
      </w:r>
    </w:p>
    <w:p w14:paraId="0DE51284" w14:textId="77777777"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In summary, the collaborative authorship balanced romantic idealism with pragmatic defiance, but Pearse’s poetic influence prioritized long-term inspiration over short-term success. </w:t>
      </w:r>
    </w:p>
    <w:p w14:paraId="28041B76" w14:textId="6273C1A1" w:rsidR="0083437D" w:rsidRPr="0083437D" w:rsidRDefault="0083437D" w:rsidP="00A90FCB">
      <w:pPr>
        <w:spacing w:line="360" w:lineRule="auto"/>
        <w:rPr>
          <w:rFonts w:ascii="Times New Roman" w:hAnsi="Times New Roman" w:cs="Times New Roman"/>
        </w:rPr>
      </w:pPr>
      <w:r w:rsidRPr="0083437D">
        <w:rPr>
          <w:rFonts w:ascii="Times New Roman" w:hAnsi="Times New Roman" w:cs="Times New Roman"/>
        </w:rPr>
        <w:t>The drafting of the Proclamation was likely completed in secrecy by the Irish Republican Brotherhood’s (IRB) Military Council in early 1916. This timing was strategic, attempting to take advantage of a crucial moment in Irish and global history. The document emerged during World War I, when Britain’s military focus on the Western Front and the suspension of the Home Rule Act (1914) deepened Irish nationalist frustration. The Ulster Crisis (1912–14)</w:t>
      </w:r>
      <w:r w:rsidR="00D0511C">
        <w:rPr>
          <w:rStyle w:val="FootnoteReference"/>
          <w:rFonts w:ascii="Times New Roman" w:hAnsi="Times New Roman" w:cs="Times New Roman"/>
        </w:rPr>
        <w:footnoteReference w:id="1"/>
      </w:r>
      <w:r w:rsidRPr="0083437D">
        <w:rPr>
          <w:rFonts w:ascii="Times New Roman" w:hAnsi="Times New Roman" w:cs="Times New Roman"/>
        </w:rPr>
        <w:t>, which saw unionists arm against Home Rule, radicalized nationalists, leading to the formation of the Irish Volunteers (1913).</w:t>
      </w:r>
      <w:r w:rsidR="00A90FCB">
        <w:rPr>
          <w:rStyle w:val="FootnoteReference"/>
          <w:rFonts w:ascii="Times New Roman" w:hAnsi="Times New Roman" w:cs="Times New Roman"/>
        </w:rPr>
        <w:footnoteReference w:id="2"/>
      </w:r>
      <w:r w:rsidRPr="0083437D">
        <w:rPr>
          <w:rFonts w:ascii="Times New Roman" w:hAnsi="Times New Roman" w:cs="Times New Roman"/>
        </w:rPr>
        <w:t xml:space="preserve"> </w:t>
      </w:r>
      <w:r w:rsidR="00A90FCB">
        <w:rPr>
          <w:rFonts w:ascii="Times New Roman" w:hAnsi="Times New Roman" w:cs="Times New Roman"/>
        </w:rPr>
        <w:t>“</w:t>
      </w:r>
      <w:r w:rsidR="00A90FCB" w:rsidRPr="00A90FCB">
        <w:rPr>
          <w:rFonts w:ascii="Times New Roman" w:hAnsi="Times New Roman" w:cs="Times New Roman"/>
        </w:rPr>
        <w:t>By the summer of 1914 Ireland was sliding rapidly towards civil</w:t>
      </w:r>
      <w:r w:rsidR="00A90FCB">
        <w:rPr>
          <w:rFonts w:ascii="Times New Roman" w:hAnsi="Times New Roman" w:cs="Times New Roman"/>
        </w:rPr>
        <w:t xml:space="preserve"> </w:t>
      </w:r>
      <w:r w:rsidR="00A90FCB" w:rsidRPr="00A90FCB">
        <w:rPr>
          <w:rFonts w:ascii="Times New Roman" w:hAnsi="Times New Roman" w:cs="Times New Roman"/>
        </w:rPr>
        <w:t>war</w:t>
      </w:r>
      <w:r w:rsidR="00B46E86">
        <w:rPr>
          <w:rFonts w:ascii="Times New Roman" w:hAnsi="Times New Roman" w:cs="Times New Roman"/>
        </w:rPr>
        <w:t>.</w:t>
      </w:r>
      <w:r w:rsidR="00A90FCB">
        <w:rPr>
          <w:rFonts w:ascii="Times New Roman" w:hAnsi="Times New Roman" w:cs="Times New Roman"/>
        </w:rPr>
        <w:t>”</w:t>
      </w:r>
      <w:r w:rsidR="00A90FCB">
        <w:rPr>
          <w:rStyle w:val="FootnoteReference"/>
          <w:rFonts w:ascii="Times New Roman" w:hAnsi="Times New Roman" w:cs="Times New Roman"/>
        </w:rPr>
        <w:footnoteReference w:id="3"/>
      </w:r>
      <w:r w:rsidR="00B46E86">
        <w:rPr>
          <w:rFonts w:ascii="Times New Roman" w:hAnsi="Times New Roman" w:cs="Times New Roman"/>
        </w:rPr>
        <w:t xml:space="preserve"> Because of that the eruption of hostilities between the Great Powers was, as strange as it may seem, a welcome respite for some politicians in Great Britain.</w:t>
      </w:r>
    </w:p>
    <w:p w14:paraId="409E4644" w14:textId="5BFF2AAD"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Globally, the American Revolution’s rhetoric of self-determination and rising European nationalism inspired the Proclamation’s authors, while Germany’s limited support (the failed Aud ship</w:t>
      </w:r>
      <w:r w:rsidR="002C4B3E">
        <w:rPr>
          <w:rFonts w:ascii="Times New Roman" w:hAnsi="Times New Roman" w:cs="Times New Roman"/>
        </w:rPr>
        <w:t>’s</w:t>
      </w:r>
      <w:r w:rsidRPr="0083437D">
        <w:rPr>
          <w:rFonts w:ascii="Times New Roman" w:hAnsi="Times New Roman" w:cs="Times New Roman"/>
        </w:rPr>
        <w:t xml:space="preserve"> arms delivery) offered a tactical opportunity. The document reflects this context vividly, invoking “six times during the past three hundred years” of armed resistance (e.g., 1641, 1798, 1867), framing the Rising as a continuation of historical struggle. Its address to “Irishmen and </w:t>
      </w:r>
      <w:r w:rsidRPr="0083437D">
        <w:rPr>
          <w:rFonts w:ascii="Times New Roman" w:hAnsi="Times New Roman" w:cs="Times New Roman"/>
        </w:rPr>
        <w:lastRenderedPageBreak/>
        <w:t xml:space="preserve">Irishwomen” and commitment to “equal rights and equal opportunities” was a nod to the debates on gender and social equality, influenced by suffragist and labor movements. </w:t>
      </w:r>
    </w:p>
    <w:p w14:paraId="12FA8283" w14:textId="77777777"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The Proclamation brilliantly captures its volatile context, weaving historical grievances with modern democratic ideals to present a universal call for independence. However, its optimistic tone, such as “full confidence of victory,” did not reflect the Rising’s limited public support and military capacity, with only 1,600 rebels participating. </w:t>
      </w:r>
    </w:p>
    <w:p w14:paraId="2F6D8CF8" w14:textId="77777777"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The Proclamation was not published in newspapers but printed as a poster by the Liberty Hall press, read aloud by Patrick Pearse from the General Post Office (GPO) in Dublin, and plastered across city walls. This medium, bold, public, and immediate, emphasized its revolutionary intent, designed for maximum visibility during the Easter Rising. Unlike clandestine IRB communications, the Proclamation’s physical form and Pearse’s theatrical oration made it a performative act of defiance, meant to seize attention and assert legitimacy.</w:t>
      </w:r>
    </w:p>
    <w:p w14:paraId="18C5D479" w14:textId="1E02BF3C"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The primary audience was the Irish people, addressed directly as “Irishmen and Irishwomen,” to rally support and validate the Rising as a national struggle. </w:t>
      </w:r>
      <w:r w:rsidR="0089481E">
        <w:rPr>
          <w:rFonts w:ascii="Times New Roman" w:hAnsi="Times New Roman" w:cs="Times New Roman"/>
        </w:rPr>
        <w:t>As I already mentioned, t</w:t>
      </w:r>
      <w:r w:rsidRPr="0083437D">
        <w:rPr>
          <w:rFonts w:ascii="Times New Roman" w:hAnsi="Times New Roman" w:cs="Times New Roman"/>
        </w:rPr>
        <w:t>he inclusive language aimed to unite diverse groups, including women and workers. Secondary audiences included British authorities, challenged by the declaration of a “Sovereign Independent State,” and international supporters</w:t>
      </w:r>
      <w:r w:rsidR="00BF09E1">
        <w:rPr>
          <w:rFonts w:ascii="Times New Roman" w:hAnsi="Times New Roman" w:cs="Times New Roman"/>
        </w:rPr>
        <w:t>.</w:t>
      </w:r>
    </w:p>
    <w:p w14:paraId="7874D948" w14:textId="6A5E0D8D"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The Proclamation’s role was to serve as a foundational text,</w:t>
      </w:r>
      <w:r w:rsidR="00BF09E1">
        <w:rPr>
          <w:rFonts w:ascii="Times New Roman" w:hAnsi="Times New Roman" w:cs="Times New Roman"/>
        </w:rPr>
        <w:t xml:space="preserve"> </w:t>
      </w:r>
      <w:r w:rsidRPr="0083437D">
        <w:rPr>
          <w:rFonts w:ascii="Times New Roman" w:hAnsi="Times New Roman" w:cs="Times New Roman"/>
        </w:rPr>
        <w:t>providing a moral and legal basis for rebellion. By establishing a “Provisional Government” to administer affairs, it projected governance ambitions, though lacking a public mandate. Its symbolic function was equally critical, framing the Rising as a unified national effort, not a fringe uprising, through aspirational language like “cherishing all the children of the nation equally.” Designed for public consumption, its performative delivery by Pearse at the GPO amplified its propagandistic impact.</w:t>
      </w:r>
    </w:p>
    <w:p w14:paraId="39EF7E52" w14:textId="77777777" w:rsidR="009231D0" w:rsidRDefault="0083437D" w:rsidP="00E23954">
      <w:pPr>
        <w:spacing w:line="360" w:lineRule="auto"/>
        <w:rPr>
          <w:rFonts w:ascii="Times New Roman" w:hAnsi="Times New Roman" w:cs="Times New Roman"/>
        </w:rPr>
      </w:pPr>
      <w:r w:rsidRPr="0083437D">
        <w:rPr>
          <w:rFonts w:ascii="Times New Roman" w:hAnsi="Times New Roman" w:cs="Times New Roman"/>
        </w:rPr>
        <w:t xml:space="preserve">Initially, the Proclamation’s reception was mixed: many Dubliners, disrupted by the Rising’s chaos, reacted with confusion, apathy, or hostility, with some viewing the rebels as reckless. </w:t>
      </w:r>
      <w:r w:rsidR="00BF09E1">
        <w:rPr>
          <w:rFonts w:ascii="Times New Roman" w:hAnsi="Times New Roman" w:cs="Times New Roman"/>
        </w:rPr>
        <w:t>It’s not that regular people were</w:t>
      </w:r>
      <w:r w:rsidR="00E23954" w:rsidRPr="00E23954">
        <w:rPr>
          <w:rFonts w:ascii="Times New Roman" w:hAnsi="Times New Roman" w:cs="Times New Roman"/>
        </w:rPr>
        <w:t xml:space="preserve"> pro</w:t>
      </w:r>
      <w:r w:rsidR="00E23954">
        <w:rPr>
          <w:rFonts w:ascii="Times New Roman" w:hAnsi="Times New Roman" w:cs="Times New Roman"/>
        </w:rPr>
        <w:t>-</w:t>
      </w:r>
      <w:r w:rsidR="00E23954" w:rsidRPr="00E23954">
        <w:rPr>
          <w:rFonts w:ascii="Times New Roman" w:hAnsi="Times New Roman" w:cs="Times New Roman"/>
        </w:rPr>
        <w:t>British, but</w:t>
      </w:r>
      <w:r w:rsidR="00BF09E1">
        <w:rPr>
          <w:rFonts w:ascii="Times New Roman" w:hAnsi="Times New Roman" w:cs="Times New Roman"/>
        </w:rPr>
        <w:t xml:space="preserve"> they</w:t>
      </w:r>
      <w:r w:rsidR="00E23954" w:rsidRPr="00E23954">
        <w:rPr>
          <w:rFonts w:ascii="Times New Roman" w:hAnsi="Times New Roman" w:cs="Times New Roman"/>
        </w:rPr>
        <w:t xml:space="preserve"> felt this </w:t>
      </w:r>
      <w:r w:rsidR="00E23954">
        <w:rPr>
          <w:rFonts w:ascii="Times New Roman" w:hAnsi="Times New Roman" w:cs="Times New Roman"/>
        </w:rPr>
        <w:t xml:space="preserve">badly executed rebellion </w:t>
      </w:r>
      <w:r w:rsidR="00E23954" w:rsidRPr="00E23954">
        <w:rPr>
          <w:rFonts w:ascii="Times New Roman" w:hAnsi="Times New Roman" w:cs="Times New Roman"/>
        </w:rPr>
        <w:t xml:space="preserve">was </w:t>
      </w:r>
      <w:proofErr w:type="gramStart"/>
      <w:r w:rsidR="00E23954">
        <w:rPr>
          <w:rFonts w:ascii="Times New Roman" w:hAnsi="Times New Roman" w:cs="Times New Roman"/>
        </w:rPr>
        <w:t xml:space="preserve">actually </w:t>
      </w:r>
      <w:r w:rsidR="00E23954" w:rsidRPr="00E23954">
        <w:rPr>
          <w:rFonts w:ascii="Times New Roman" w:hAnsi="Times New Roman" w:cs="Times New Roman"/>
        </w:rPr>
        <w:t>undermining</w:t>
      </w:r>
      <w:proofErr w:type="gramEnd"/>
      <w:r w:rsidR="00E23954" w:rsidRPr="00E23954">
        <w:rPr>
          <w:rFonts w:ascii="Times New Roman" w:hAnsi="Times New Roman" w:cs="Times New Roman"/>
        </w:rPr>
        <w:t xml:space="preserve"> the </w:t>
      </w:r>
      <w:r w:rsidR="00E23954">
        <w:rPr>
          <w:rFonts w:ascii="Times New Roman" w:hAnsi="Times New Roman" w:cs="Times New Roman"/>
        </w:rPr>
        <w:t xml:space="preserve">case for Home Rule. There were many </w:t>
      </w:r>
      <w:r w:rsidR="00E23954" w:rsidRPr="00E23954">
        <w:rPr>
          <w:rFonts w:ascii="Times New Roman" w:hAnsi="Times New Roman" w:cs="Times New Roman"/>
        </w:rPr>
        <w:t>Irish men fighting and dying</w:t>
      </w:r>
      <w:r w:rsidR="00E23954">
        <w:rPr>
          <w:rFonts w:ascii="Times New Roman" w:hAnsi="Times New Roman" w:cs="Times New Roman"/>
        </w:rPr>
        <w:t xml:space="preserve"> in the killing fields of Europe and I guess the Irish population wanted to prove that they could be a </w:t>
      </w:r>
      <w:r w:rsidR="00E23954">
        <w:rPr>
          <w:rFonts w:ascii="Times New Roman" w:hAnsi="Times New Roman" w:cs="Times New Roman"/>
        </w:rPr>
        <w:lastRenderedPageBreak/>
        <w:t>responsible party who could hold their end of the bargain</w:t>
      </w:r>
      <w:r w:rsidR="00E23954" w:rsidRPr="00E23954">
        <w:rPr>
          <w:rFonts w:ascii="Times New Roman" w:hAnsi="Times New Roman" w:cs="Times New Roman"/>
        </w:rPr>
        <w:t>.</w:t>
      </w:r>
      <w:r w:rsidR="00BC7702">
        <w:rPr>
          <w:rStyle w:val="FootnoteReference"/>
          <w:rFonts w:ascii="Times New Roman" w:hAnsi="Times New Roman" w:cs="Times New Roman"/>
        </w:rPr>
        <w:footnoteReference w:id="4"/>
      </w:r>
      <w:r w:rsidR="00E23954">
        <w:rPr>
          <w:rFonts w:ascii="Times New Roman" w:hAnsi="Times New Roman" w:cs="Times New Roman"/>
        </w:rPr>
        <w:t xml:space="preserve"> The </w:t>
      </w:r>
      <w:r w:rsidR="00E23954" w:rsidRPr="00E23954">
        <w:rPr>
          <w:rFonts w:ascii="Times New Roman" w:hAnsi="Times New Roman" w:cs="Times New Roman"/>
        </w:rPr>
        <w:t>small minority</w:t>
      </w:r>
      <w:r w:rsidR="00E23954">
        <w:rPr>
          <w:rFonts w:ascii="Times New Roman" w:hAnsi="Times New Roman" w:cs="Times New Roman"/>
        </w:rPr>
        <w:t xml:space="preserve"> of radicals </w:t>
      </w:r>
      <w:r w:rsidR="00E23954" w:rsidRPr="00E23954">
        <w:rPr>
          <w:rFonts w:ascii="Times New Roman" w:hAnsi="Times New Roman" w:cs="Times New Roman"/>
        </w:rPr>
        <w:t xml:space="preserve">were </w:t>
      </w:r>
      <w:proofErr w:type="gramStart"/>
      <w:r w:rsidR="00E23954">
        <w:rPr>
          <w:rFonts w:ascii="Times New Roman" w:hAnsi="Times New Roman" w:cs="Times New Roman"/>
        </w:rPr>
        <w:t>actually confirming</w:t>
      </w:r>
      <w:proofErr w:type="gramEnd"/>
      <w:r w:rsidR="00E23954">
        <w:rPr>
          <w:rFonts w:ascii="Times New Roman" w:hAnsi="Times New Roman" w:cs="Times New Roman"/>
        </w:rPr>
        <w:t xml:space="preserve"> the long-held British stereotypes about the Irish</w:t>
      </w:r>
      <w:r w:rsidR="00E23954" w:rsidRPr="00E23954">
        <w:rPr>
          <w:rFonts w:ascii="Times New Roman" w:hAnsi="Times New Roman" w:cs="Times New Roman"/>
        </w:rPr>
        <w:t>.</w:t>
      </w:r>
      <w:r w:rsidR="00E23954">
        <w:rPr>
          <w:rFonts w:ascii="Times New Roman" w:hAnsi="Times New Roman" w:cs="Times New Roman"/>
        </w:rPr>
        <w:t xml:space="preserve"> Not reading the sentiment correctly the </w:t>
      </w:r>
      <w:r w:rsidRPr="0083437D">
        <w:rPr>
          <w:rFonts w:ascii="Times New Roman" w:hAnsi="Times New Roman" w:cs="Times New Roman"/>
        </w:rPr>
        <w:t>British authorities</w:t>
      </w:r>
      <w:r w:rsidR="00E23954">
        <w:rPr>
          <w:rFonts w:ascii="Times New Roman" w:hAnsi="Times New Roman" w:cs="Times New Roman"/>
        </w:rPr>
        <w:t xml:space="preserve"> did the one thing they did not have to do </w:t>
      </w:r>
      <w:r w:rsidRPr="0083437D">
        <w:rPr>
          <w:rFonts w:ascii="Times New Roman" w:hAnsi="Times New Roman" w:cs="Times New Roman"/>
        </w:rPr>
        <w:t>executing the signatories</w:t>
      </w:r>
      <w:r w:rsidR="00E23954">
        <w:rPr>
          <w:rFonts w:ascii="Times New Roman" w:hAnsi="Times New Roman" w:cs="Times New Roman"/>
        </w:rPr>
        <w:t xml:space="preserve"> of the Proclamation</w:t>
      </w:r>
      <w:r w:rsidR="00FC7C61">
        <w:rPr>
          <w:rFonts w:ascii="Times New Roman" w:hAnsi="Times New Roman" w:cs="Times New Roman"/>
        </w:rPr>
        <w:t xml:space="preserve"> and imposing martial law</w:t>
      </w:r>
      <w:r w:rsidRPr="0083437D">
        <w:rPr>
          <w:rFonts w:ascii="Times New Roman" w:hAnsi="Times New Roman" w:cs="Times New Roman"/>
        </w:rPr>
        <w:t xml:space="preserve">, </w:t>
      </w:r>
      <w:r w:rsidR="00E23954">
        <w:rPr>
          <w:rFonts w:ascii="Times New Roman" w:hAnsi="Times New Roman" w:cs="Times New Roman"/>
        </w:rPr>
        <w:t>thus igniting significant</w:t>
      </w:r>
      <w:r w:rsidRPr="0083437D">
        <w:rPr>
          <w:rFonts w:ascii="Times New Roman" w:hAnsi="Times New Roman" w:cs="Times New Roman"/>
        </w:rPr>
        <w:t xml:space="preserve"> sympathy </w:t>
      </w:r>
      <w:r w:rsidR="00E23954">
        <w:rPr>
          <w:rFonts w:ascii="Times New Roman" w:hAnsi="Times New Roman" w:cs="Times New Roman"/>
        </w:rPr>
        <w:t>for their cause,</w:t>
      </w:r>
      <w:r w:rsidRPr="0083437D">
        <w:rPr>
          <w:rFonts w:ascii="Times New Roman" w:hAnsi="Times New Roman" w:cs="Times New Roman"/>
        </w:rPr>
        <w:t xml:space="preserve"> sentiment that culminated in the War of Independence (1919–21).</w:t>
      </w:r>
    </w:p>
    <w:p w14:paraId="35C08941" w14:textId="53E2F04B" w:rsidR="0083437D" w:rsidRPr="0083437D" w:rsidRDefault="009231D0" w:rsidP="009231D0">
      <w:pPr>
        <w:spacing w:line="360" w:lineRule="auto"/>
        <w:rPr>
          <w:rFonts w:ascii="Times New Roman" w:hAnsi="Times New Roman" w:cs="Times New Roman"/>
        </w:rPr>
      </w:pPr>
      <w:r>
        <w:rPr>
          <w:rFonts w:ascii="Times New Roman" w:hAnsi="Times New Roman" w:cs="Times New Roman"/>
        </w:rPr>
        <w:t>…</w:t>
      </w:r>
      <w:r w:rsidRPr="009231D0">
        <w:rPr>
          <w:rFonts w:ascii="Times New Roman" w:hAnsi="Times New Roman" w:cs="Times New Roman"/>
        </w:rPr>
        <w:t>the government</w:t>
      </w:r>
      <w:r>
        <w:rPr>
          <w:rFonts w:ascii="Times New Roman" w:hAnsi="Times New Roman" w:cs="Times New Roman"/>
        </w:rPr>
        <w:t xml:space="preserve"> </w:t>
      </w:r>
      <w:r w:rsidRPr="009231D0">
        <w:rPr>
          <w:rFonts w:ascii="Times New Roman" w:hAnsi="Times New Roman" w:cs="Times New Roman"/>
        </w:rPr>
        <w:t>allowed civil authority in Ireland (rule by politicians) to be replaced</w:t>
      </w:r>
      <w:r>
        <w:rPr>
          <w:rFonts w:ascii="Times New Roman" w:hAnsi="Times New Roman" w:cs="Times New Roman"/>
        </w:rPr>
        <w:t xml:space="preserve"> </w:t>
      </w:r>
      <w:r w:rsidRPr="009231D0">
        <w:rPr>
          <w:rFonts w:ascii="Times New Roman" w:hAnsi="Times New Roman" w:cs="Times New Roman"/>
        </w:rPr>
        <w:t>by military rule, so bringing Ireland under the crassly stupid leadership</w:t>
      </w:r>
      <w:r>
        <w:rPr>
          <w:rFonts w:ascii="Times New Roman" w:hAnsi="Times New Roman" w:cs="Times New Roman"/>
        </w:rPr>
        <w:t xml:space="preserve"> </w:t>
      </w:r>
      <w:r w:rsidRPr="009231D0">
        <w:rPr>
          <w:rFonts w:ascii="Times New Roman" w:hAnsi="Times New Roman" w:cs="Times New Roman"/>
        </w:rPr>
        <w:t>of General Maxwell. His understanding of restoring order consisted</w:t>
      </w:r>
      <w:r>
        <w:rPr>
          <w:rFonts w:ascii="Times New Roman" w:hAnsi="Times New Roman" w:cs="Times New Roman"/>
        </w:rPr>
        <w:t xml:space="preserve"> </w:t>
      </w:r>
      <w:r w:rsidRPr="009231D0">
        <w:rPr>
          <w:rFonts w:ascii="Times New Roman" w:hAnsi="Times New Roman" w:cs="Times New Roman"/>
        </w:rPr>
        <w:t xml:space="preserve">of the imposition of martial law throughout </w:t>
      </w:r>
      <w:proofErr w:type="gramStart"/>
      <w:r w:rsidRPr="009231D0">
        <w:rPr>
          <w:rFonts w:ascii="Times New Roman" w:hAnsi="Times New Roman" w:cs="Times New Roman"/>
        </w:rPr>
        <w:t xml:space="preserve">Ireland, </w:t>
      </w:r>
      <w:r>
        <w:rPr>
          <w:rFonts w:ascii="Times New Roman" w:hAnsi="Times New Roman" w:cs="Times New Roman"/>
        </w:rPr>
        <w:t xml:space="preserve"> </w:t>
      </w:r>
      <w:r w:rsidRPr="009231D0">
        <w:rPr>
          <w:rFonts w:ascii="Times New Roman" w:hAnsi="Times New Roman" w:cs="Times New Roman"/>
        </w:rPr>
        <w:t>mass</w:t>
      </w:r>
      <w:proofErr w:type="gramEnd"/>
      <w:r>
        <w:rPr>
          <w:rFonts w:ascii="Times New Roman" w:hAnsi="Times New Roman" w:cs="Times New Roman"/>
        </w:rPr>
        <w:t xml:space="preserve"> </w:t>
      </w:r>
      <w:r w:rsidRPr="009231D0">
        <w:rPr>
          <w:rFonts w:ascii="Times New Roman" w:hAnsi="Times New Roman" w:cs="Times New Roman"/>
        </w:rPr>
        <w:t>arrests</w:t>
      </w:r>
      <w:r>
        <w:rPr>
          <w:rFonts w:ascii="Times New Roman" w:hAnsi="Times New Roman" w:cs="Times New Roman"/>
        </w:rPr>
        <w:t>…</w:t>
      </w:r>
      <w:r w:rsidRPr="009231D0">
        <w:rPr>
          <w:rFonts w:ascii="Times New Roman" w:hAnsi="Times New Roman" w:cs="Times New Roman"/>
        </w:rPr>
        <w:t>widespread house searches</w:t>
      </w:r>
      <w:r>
        <w:rPr>
          <w:rFonts w:ascii="Times New Roman" w:hAnsi="Times New Roman" w:cs="Times New Roman"/>
        </w:rPr>
        <w:t>…</w:t>
      </w:r>
      <w:r>
        <w:rPr>
          <w:rStyle w:val="FootnoteReference"/>
          <w:rFonts w:ascii="Times New Roman" w:hAnsi="Times New Roman" w:cs="Times New Roman"/>
        </w:rPr>
        <w:footnoteReference w:id="5"/>
      </w:r>
    </w:p>
    <w:p w14:paraId="365E643F" w14:textId="66370748" w:rsidR="0083437D" w:rsidRPr="0083437D" w:rsidRDefault="00FC7C61" w:rsidP="0083437D">
      <w:pPr>
        <w:spacing w:line="360" w:lineRule="auto"/>
        <w:rPr>
          <w:rFonts w:ascii="Times New Roman" w:hAnsi="Times New Roman" w:cs="Times New Roman"/>
        </w:rPr>
      </w:pPr>
      <w:r>
        <w:rPr>
          <w:rFonts w:ascii="Times New Roman" w:hAnsi="Times New Roman" w:cs="Times New Roman"/>
        </w:rPr>
        <w:t xml:space="preserve">So, </w:t>
      </w:r>
      <w:r w:rsidR="00D62AD2">
        <w:rPr>
          <w:rFonts w:ascii="Times New Roman" w:hAnsi="Times New Roman" w:cs="Times New Roman"/>
        </w:rPr>
        <w:t>t</w:t>
      </w:r>
      <w:r w:rsidR="0083437D" w:rsidRPr="0083437D">
        <w:rPr>
          <w:rFonts w:ascii="Times New Roman" w:hAnsi="Times New Roman" w:cs="Times New Roman"/>
        </w:rPr>
        <w:t xml:space="preserve">he Proclamation’s public medium amplified its propagandistic power, but its initial failure to resonate reflects inadequate public preparation and the Rising’s minority support. British repression </w:t>
      </w:r>
      <w:r>
        <w:rPr>
          <w:rFonts w:ascii="Times New Roman" w:hAnsi="Times New Roman" w:cs="Times New Roman"/>
        </w:rPr>
        <w:t xml:space="preserve">though, </w:t>
      </w:r>
      <w:r w:rsidR="0083437D" w:rsidRPr="0083437D">
        <w:rPr>
          <w:rFonts w:ascii="Times New Roman" w:hAnsi="Times New Roman" w:cs="Times New Roman"/>
        </w:rPr>
        <w:t xml:space="preserve">inadvertently elevated its status, turning a divisive document into a unifying symbol, its legacy cemented as a cornerstone of Irish identity by later generations. </w:t>
      </w:r>
    </w:p>
    <w:p w14:paraId="3B53CC95" w14:textId="478AAF3A"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The core assertion is the declaration of “the Irish Republic as a Sovereign Independent State,” claiming “the right of the people of Ireland to the ownership of Ireland” as “sovereign and indefeasible.” This legalistic language, echoing the U.S. Declaration of Independence, frames British rule as a “long usurpation”. </w:t>
      </w:r>
      <w:r w:rsidR="00575C9C" w:rsidRPr="00575C9C">
        <w:rPr>
          <w:rFonts w:ascii="Times New Roman" w:hAnsi="Times New Roman" w:cs="Times New Roman"/>
        </w:rPr>
        <w:t xml:space="preserve">Compared to the U.S. Declaration of Independence, it shares a universal rights framework but emphasizes cultural nationalism. </w:t>
      </w:r>
      <w:r w:rsidRPr="0083437D">
        <w:rPr>
          <w:rFonts w:ascii="Times New Roman" w:hAnsi="Times New Roman" w:cs="Times New Roman"/>
        </w:rPr>
        <w:t>The establishment of a “Provisional Government” to administer affairs until a “permanent National Government” is elected suggests democratic ambitions, though the rebels lacked a public mandate.</w:t>
      </w:r>
    </w:p>
    <w:p w14:paraId="18DC3EF5" w14:textId="674EAAC5"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Socially, the Proclamation promises “religious and civil liberty, equal rights and equal opportunities,” and a commitment to “cherishing all the children of the nation equally.” This vision, influenced by Connolly’s socialism, addresses divisions “fostered by an alien Government” (e.g., Catholic-Protestant tensions), projecting a unified, egalitarian republic. Internationally, as already mentioned, it </w:t>
      </w:r>
      <w:r w:rsidR="00015B48">
        <w:rPr>
          <w:rFonts w:ascii="Times New Roman" w:hAnsi="Times New Roman" w:cs="Times New Roman"/>
        </w:rPr>
        <w:t>looked for</w:t>
      </w:r>
      <w:r w:rsidRPr="0083437D">
        <w:rPr>
          <w:rFonts w:ascii="Times New Roman" w:hAnsi="Times New Roman" w:cs="Times New Roman"/>
        </w:rPr>
        <w:t xml:space="preserve"> legitimacy by referencing “exiled children in America” (Irish diaspora) and “gallant allies in Europe” (Germany), though the latter’s support was minimal.</w:t>
      </w:r>
    </w:p>
    <w:p w14:paraId="5467F3C7" w14:textId="5ADFD042"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lastRenderedPageBreak/>
        <w:t xml:space="preserve">Unlike </w:t>
      </w:r>
      <w:bookmarkStart w:id="3" w:name="_Hlk202293770"/>
      <w:r w:rsidRPr="0083437D">
        <w:rPr>
          <w:rFonts w:ascii="Times New Roman" w:hAnsi="Times New Roman" w:cs="Times New Roman"/>
        </w:rPr>
        <w:t>Robert Emmet’s 1803 Proclamation</w:t>
      </w:r>
      <w:bookmarkEnd w:id="3"/>
      <w:r w:rsidRPr="0083437D">
        <w:rPr>
          <w:rFonts w:ascii="Times New Roman" w:hAnsi="Times New Roman" w:cs="Times New Roman"/>
        </w:rPr>
        <w:t>,</w:t>
      </w:r>
      <w:r w:rsidR="00771386">
        <w:rPr>
          <w:rStyle w:val="FootnoteReference"/>
          <w:rFonts w:ascii="Times New Roman" w:hAnsi="Times New Roman" w:cs="Times New Roman"/>
        </w:rPr>
        <w:footnoteReference w:id="6"/>
      </w:r>
      <w:r w:rsidRPr="0083437D">
        <w:rPr>
          <w:rFonts w:ascii="Times New Roman" w:hAnsi="Times New Roman" w:cs="Times New Roman"/>
        </w:rPr>
        <w:t xml:space="preserve"> which was militant and less inclusive, it embraces a broader social vision. However, it contrasts sharply with British wartime propaganda, such as recruitment posters urging loyalty, highlighting the rebels’ defiance.</w:t>
      </w:r>
    </w:p>
    <w:p w14:paraId="32FFEAAB" w14:textId="7E7D6BA5"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The Proclamation of the Irish Republic, delivered on April 24, 1916, employs hyperbole to amplify its revolutionary impact, often overstating the rebels’ position. The claim of “full confidence of victory” is a striking exaggeration, given the Easter Rising’s limited resources</w:t>
      </w:r>
      <w:r w:rsidR="00BC7702">
        <w:rPr>
          <w:rFonts w:ascii="Times New Roman" w:hAnsi="Times New Roman" w:cs="Times New Roman"/>
        </w:rPr>
        <w:t>. “</w:t>
      </w:r>
      <w:r w:rsidR="00BC7702" w:rsidRPr="00BC7702">
        <w:rPr>
          <w:rFonts w:ascii="Times New Roman" w:hAnsi="Times New Roman" w:cs="Times New Roman"/>
        </w:rPr>
        <w:t>Militarily the Rising was a farce</w:t>
      </w:r>
      <w:r w:rsidR="00BC7702">
        <w:rPr>
          <w:rFonts w:ascii="Times New Roman" w:hAnsi="Times New Roman" w:cs="Times New Roman"/>
        </w:rPr>
        <w:t>”</w:t>
      </w:r>
      <w:r w:rsidR="0083300F">
        <w:rPr>
          <w:rStyle w:val="FootnoteReference"/>
          <w:rFonts w:ascii="Times New Roman" w:hAnsi="Times New Roman" w:cs="Times New Roman"/>
        </w:rPr>
        <w:footnoteReference w:id="7"/>
      </w:r>
      <w:r w:rsidRPr="0083437D">
        <w:rPr>
          <w:rFonts w:ascii="Times New Roman" w:hAnsi="Times New Roman" w:cs="Times New Roman"/>
        </w:rPr>
        <w:t xml:space="preserve"> </w:t>
      </w:r>
      <w:r w:rsidR="00BC7702">
        <w:rPr>
          <w:rFonts w:ascii="Times New Roman" w:hAnsi="Times New Roman" w:cs="Times New Roman"/>
        </w:rPr>
        <w:t>when compared with</w:t>
      </w:r>
      <w:r w:rsidRPr="0083437D">
        <w:rPr>
          <w:rFonts w:ascii="Times New Roman" w:hAnsi="Times New Roman" w:cs="Times New Roman"/>
        </w:rPr>
        <w:t xml:space="preserve"> </w:t>
      </w:r>
      <w:r w:rsidR="00BC7702">
        <w:rPr>
          <w:rFonts w:ascii="Times New Roman" w:hAnsi="Times New Roman" w:cs="Times New Roman"/>
        </w:rPr>
        <w:t>the</w:t>
      </w:r>
      <w:r w:rsidRPr="0083437D">
        <w:rPr>
          <w:rFonts w:ascii="Times New Roman" w:hAnsi="Times New Roman" w:cs="Times New Roman"/>
        </w:rPr>
        <w:t xml:space="preserve"> formidable British military. Similarly, declaring “the Irish Republic as a Sovereign Independent State” implies a level of control and legitimacy the rebels did not possess, as their “Provisional Government” lacked a public mandate and governed no territory beyond occupied buildings. The assertion that the Republic claims “the allegiance of every Irishman and Irishwoman” ignores significant opposition, including unionists loyal to Britain and moderates favoring Home Rule, as well as widespread public apathy during the Rising’s disruption.</w:t>
      </w:r>
    </w:p>
    <w:p w14:paraId="1EDA5FA4" w14:textId="1163396B"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References to “gallant allies in Europe” (Germany) exaggerate support, as German aid was limited to the failed Aud arms shipment, intercepted days before the Rising. The phrase “august destiny” </w:t>
      </w:r>
      <w:r w:rsidR="00575C9C">
        <w:rPr>
          <w:rFonts w:ascii="Times New Roman" w:hAnsi="Times New Roman" w:cs="Times New Roman"/>
        </w:rPr>
        <w:t>attempts to assign</w:t>
      </w:r>
      <w:r w:rsidRPr="0083437D">
        <w:rPr>
          <w:rFonts w:ascii="Times New Roman" w:hAnsi="Times New Roman" w:cs="Times New Roman"/>
        </w:rPr>
        <w:t xml:space="preserve"> a mythic grandeur</w:t>
      </w:r>
      <w:r w:rsidR="00575C9C">
        <w:rPr>
          <w:rFonts w:ascii="Times New Roman" w:hAnsi="Times New Roman" w:cs="Times New Roman"/>
        </w:rPr>
        <w:t xml:space="preserve"> to the rebellion</w:t>
      </w:r>
      <w:r w:rsidRPr="0083437D">
        <w:rPr>
          <w:rFonts w:ascii="Times New Roman" w:hAnsi="Times New Roman" w:cs="Times New Roman"/>
        </w:rPr>
        <w:t>, projecting an inevitable triumph that belied the immediate reality of military defeat and execution of the signatories.</w:t>
      </w:r>
    </w:p>
    <w:p w14:paraId="3A93CEED" w14:textId="77777777"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The purpose of such hyperbole was to project confidence and legitimacy, masking the Rising’s precariousness and inspiring both immediate action and future resistance. By crafting a narrative of unified national will and international backing, the Proclamation aimed to elevate the Rising’s significance, aligning with Pearse’s “blood sacrifice” philosophy to ensure </w:t>
      </w:r>
      <w:proofErr w:type="gramStart"/>
      <w:r w:rsidRPr="0083437D">
        <w:rPr>
          <w:rFonts w:ascii="Times New Roman" w:hAnsi="Times New Roman" w:cs="Times New Roman"/>
        </w:rPr>
        <w:t>a lasting legacy</w:t>
      </w:r>
      <w:proofErr w:type="gramEnd"/>
      <w:r w:rsidRPr="0083437D">
        <w:rPr>
          <w:rFonts w:ascii="Times New Roman" w:hAnsi="Times New Roman" w:cs="Times New Roman"/>
        </w:rPr>
        <w:t>.</w:t>
      </w:r>
    </w:p>
    <w:p w14:paraId="5376245A" w14:textId="458C156C"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Strategic exaggeration was essential to transform a minority rebellion into a national symbol, but it risked alienating pragmatists and raising unrealistic expectations among supporters. The gap between rhetoric and reality contributed to the Proclamation’s initial divisiveness, yet its bold vision sustained its power</w:t>
      </w:r>
      <w:r w:rsidR="002B2531">
        <w:rPr>
          <w:rFonts w:ascii="Times New Roman" w:hAnsi="Times New Roman" w:cs="Times New Roman"/>
        </w:rPr>
        <w:t xml:space="preserve"> in later years</w:t>
      </w:r>
      <w:r w:rsidRPr="0083437D">
        <w:rPr>
          <w:rFonts w:ascii="Times New Roman" w:hAnsi="Times New Roman" w:cs="Times New Roman"/>
        </w:rPr>
        <w:t>, galvanizing Ireland’s independence movement after British executions amplified public sympathy.</w:t>
      </w:r>
    </w:p>
    <w:p w14:paraId="765D6AC2" w14:textId="2931578F"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lastRenderedPageBreak/>
        <w:t>The Proclamation of the Irish Republic</w:t>
      </w:r>
      <w:r w:rsidR="00AC2AC1">
        <w:rPr>
          <w:rFonts w:ascii="Times New Roman" w:hAnsi="Times New Roman" w:cs="Times New Roman"/>
        </w:rPr>
        <w:t xml:space="preserve"> </w:t>
      </w:r>
      <w:r w:rsidRPr="0083437D">
        <w:rPr>
          <w:rFonts w:ascii="Times New Roman" w:hAnsi="Times New Roman" w:cs="Times New Roman"/>
        </w:rPr>
        <w:t xml:space="preserve">makes some rather bold claims </w:t>
      </w:r>
      <w:proofErr w:type="gramStart"/>
      <w:r w:rsidRPr="0083437D">
        <w:rPr>
          <w:rFonts w:ascii="Times New Roman" w:hAnsi="Times New Roman" w:cs="Times New Roman"/>
        </w:rPr>
        <w:t>in order to</w:t>
      </w:r>
      <w:proofErr w:type="gramEnd"/>
      <w:r w:rsidRPr="0083437D">
        <w:rPr>
          <w:rFonts w:ascii="Times New Roman" w:hAnsi="Times New Roman" w:cs="Times New Roman"/>
        </w:rPr>
        <w:t xml:space="preserve"> assert its legitimacy. It declares “the right of the people of Ireland to the ownership of Ireland,” rooted in “sovereign and indefeasible” nationhood, citing “six times during the past three hundred years” of armed resistance (e.g., 1641, 1798, 1867). This historical framing is accurate, as these rebellions reflect a pattern of Irish resistance, though selectively presented to emphasize continuity. </w:t>
      </w:r>
    </w:p>
    <w:p w14:paraId="78D57B0D" w14:textId="2C5D6570" w:rsidR="0083437D" w:rsidRPr="0083437D" w:rsidRDefault="00973F89" w:rsidP="0083437D">
      <w:pPr>
        <w:spacing w:line="360" w:lineRule="auto"/>
        <w:rPr>
          <w:rFonts w:ascii="Times New Roman" w:hAnsi="Times New Roman" w:cs="Times New Roman"/>
        </w:rPr>
      </w:pPr>
      <w:r>
        <w:rPr>
          <w:rFonts w:ascii="Times New Roman" w:hAnsi="Times New Roman" w:cs="Times New Roman"/>
        </w:rPr>
        <w:t>As I already stated, t</w:t>
      </w:r>
      <w:r w:rsidR="0083437D" w:rsidRPr="0083437D">
        <w:rPr>
          <w:rFonts w:ascii="Times New Roman" w:hAnsi="Times New Roman" w:cs="Times New Roman"/>
        </w:rPr>
        <w:t xml:space="preserve">he document asserts support from “exiled children in America” and “gallant allies in Europe” (Germany). </w:t>
      </w:r>
      <w:proofErr w:type="gramStart"/>
      <w:r w:rsidR="0083437D" w:rsidRPr="0083437D">
        <w:rPr>
          <w:rFonts w:ascii="Times New Roman" w:hAnsi="Times New Roman" w:cs="Times New Roman"/>
        </w:rPr>
        <w:t>Irish-American</w:t>
      </w:r>
      <w:proofErr w:type="gramEnd"/>
      <w:r w:rsidR="0083437D" w:rsidRPr="0083437D">
        <w:rPr>
          <w:rFonts w:ascii="Times New Roman" w:hAnsi="Times New Roman" w:cs="Times New Roman"/>
        </w:rPr>
        <w:t xml:space="preserve"> backing, through groups like Clan na Gael, was significant, providing funds and advocacy, but fragmented, not universal as implied. German support was limited to the failed Aud arms shipment, intercepted in April 1916, rendering the “allies” claim exaggerated. The promise of “religious and civil liberty, equal rights and equal opportunities,” and “cherishing all the children of the nation equally” is progressive, reflecting Connolly’s socialism. However, the Rising’s male-dominated leadership and lack of immediate social reforms suggest this was aspirational, not realized in 1916.</w:t>
      </w:r>
    </w:p>
    <w:p w14:paraId="660E28D4" w14:textId="66ED993D" w:rsidR="0083437D" w:rsidRPr="0083437D" w:rsidRDefault="003412EF" w:rsidP="0083437D">
      <w:pPr>
        <w:spacing w:line="360" w:lineRule="auto"/>
        <w:rPr>
          <w:rFonts w:ascii="Times New Roman" w:hAnsi="Times New Roman" w:cs="Times New Roman"/>
        </w:rPr>
      </w:pPr>
      <w:r w:rsidRPr="0083437D">
        <w:rPr>
          <w:rFonts w:ascii="Times New Roman" w:hAnsi="Times New Roman" w:cs="Times New Roman"/>
        </w:rPr>
        <w:t>So</w:t>
      </w:r>
      <w:r w:rsidR="0083437D" w:rsidRPr="0083437D">
        <w:rPr>
          <w:rFonts w:ascii="Times New Roman" w:hAnsi="Times New Roman" w:cs="Times New Roman"/>
        </w:rPr>
        <w:t xml:space="preserve">, the Proclamation’s claims mix verifiable history with rhetorical ambition, prioritizing propaganda over precision. While grounded in real resistance and diaspora support, exaggerations like universal allegiance and German aid stretched credibility, reflecting the rebels’ need to project strength. </w:t>
      </w:r>
    </w:p>
    <w:p w14:paraId="08F7B4A7" w14:textId="63909D45"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The Proclamation of the Irish Republic stands out among contemporary documents for its public, declarative style. </w:t>
      </w:r>
      <w:r w:rsidR="00956C1D">
        <w:rPr>
          <w:rFonts w:ascii="Times New Roman" w:hAnsi="Times New Roman" w:cs="Times New Roman"/>
        </w:rPr>
        <w:t xml:space="preserve"> </w:t>
      </w:r>
      <w:r w:rsidRPr="0083437D">
        <w:rPr>
          <w:rFonts w:ascii="Times New Roman" w:hAnsi="Times New Roman" w:cs="Times New Roman"/>
        </w:rPr>
        <w:t>In contrast, British government statements, such as Prime Minister Asquith’s speeches on Home Rule (1914–16), advocated gradual reform within the Empire, emphasizing loyalty amid World War I. The Proclamation’s outright rejection of British rule (“long usurpation”) and call for armed rebellion directly challenged this conciliatory tone, positioning it as a radical alternative. Similarly, British wartime propaganda, like recruitment posters urging Irishmen to fight for the Allies, promoted imperial unity, while the Proclamation’s references to “gallant allies in Europe” (Germany) aligned with anti-British sentiment.</w:t>
      </w:r>
    </w:p>
    <w:p w14:paraId="21DA27A9" w14:textId="3DEE4751" w:rsidR="0083437D" w:rsidRDefault="0083437D" w:rsidP="0083437D">
      <w:pPr>
        <w:spacing w:line="360" w:lineRule="auto"/>
        <w:rPr>
          <w:rFonts w:ascii="Times New Roman" w:hAnsi="Times New Roman" w:cs="Times New Roman"/>
        </w:rPr>
      </w:pPr>
      <w:r w:rsidRPr="0083437D">
        <w:rPr>
          <w:rFonts w:ascii="Times New Roman" w:hAnsi="Times New Roman" w:cs="Times New Roman"/>
        </w:rPr>
        <w:t xml:space="preserve">Nationalist publications, such as Sinn Féin’s newspaper or Gaelic League pamphlets, shared the Proclamation’s rhetoric of sovereignty and cultural revival but were less formal, often focusing on specific grievances or cultural advocacy. </w:t>
      </w:r>
    </w:p>
    <w:p w14:paraId="49527E6D" w14:textId="743C70BA" w:rsidR="00B37112" w:rsidRPr="00B37112" w:rsidRDefault="00B37112" w:rsidP="00B37112">
      <w:pPr>
        <w:spacing w:line="360" w:lineRule="auto"/>
        <w:rPr>
          <w:rFonts w:ascii="Times New Roman" w:hAnsi="Times New Roman" w:cs="Times New Roman"/>
          <w:sz w:val="20"/>
          <w:szCs w:val="20"/>
        </w:rPr>
      </w:pPr>
      <w:r w:rsidRPr="00B37112">
        <w:rPr>
          <w:rFonts w:ascii="Times New Roman" w:hAnsi="Times New Roman" w:cs="Times New Roman"/>
          <w:sz w:val="20"/>
          <w:szCs w:val="20"/>
        </w:rPr>
        <w:lastRenderedPageBreak/>
        <w:t>The Rising also hardened differences with the Ulstermen, for whom nationalism was now irretrievably tainted as disloyal and untrustworthy [186]. This dealt a death blow to Redmond's tactical line of narrowing the gap between nationalist and Unionist, which was arguably the last chance to achieve a united Ireland through nonviolent means.</w:t>
      </w:r>
      <w:r>
        <w:rPr>
          <w:rStyle w:val="FootnoteReference"/>
          <w:rFonts w:ascii="Times New Roman" w:hAnsi="Times New Roman" w:cs="Times New Roman"/>
          <w:sz w:val="20"/>
          <w:szCs w:val="20"/>
        </w:rPr>
        <w:footnoteReference w:id="8"/>
      </w:r>
    </w:p>
    <w:p w14:paraId="493052B0" w14:textId="11A5B16E" w:rsidR="0083437D" w:rsidRPr="0083437D" w:rsidRDefault="0083437D" w:rsidP="0083437D">
      <w:pPr>
        <w:spacing w:line="360" w:lineRule="auto"/>
        <w:rPr>
          <w:rFonts w:ascii="Times New Roman" w:hAnsi="Times New Roman" w:cs="Times New Roman"/>
        </w:rPr>
      </w:pPr>
      <w:r w:rsidRPr="0083437D">
        <w:rPr>
          <w:rFonts w:ascii="Times New Roman" w:hAnsi="Times New Roman" w:cs="Times New Roman"/>
        </w:rPr>
        <w:t>In conclusion, the Proclamation of the Irish Republic, delivered on April 24, 1916, is a transformative text that redefined Irish nationalism, evolving from a divisive manifesto into a cornerstone of Ireland’s independence movement. Despite its initial failure to rally widespread support, with only 1,600 rebels and mixed public reception, its rhetorical clarity and moral vision, promising “equal rights” and “cherishing all the children of the nation equally”, laid the ideological foundation for the War of Independence (1919–21) and the 1937 Constitution. Its inclusive address to “Irishmen and Irishwomen” and commitment to social equality were visionary, influencing later Irish policy and aligning with global democratic ideals.</w:t>
      </w:r>
    </w:p>
    <w:p w14:paraId="5DE1110A" w14:textId="6091D3AF" w:rsidR="0083437D" w:rsidRPr="0083437D" w:rsidRDefault="006A581A" w:rsidP="0083437D">
      <w:pPr>
        <w:spacing w:line="360" w:lineRule="auto"/>
        <w:rPr>
          <w:rFonts w:ascii="Times New Roman" w:hAnsi="Times New Roman" w:cs="Times New Roman"/>
        </w:rPr>
      </w:pPr>
      <w:r>
        <w:rPr>
          <w:rFonts w:ascii="Times New Roman" w:hAnsi="Times New Roman" w:cs="Times New Roman"/>
        </w:rPr>
        <w:t>T</w:t>
      </w:r>
      <w:r w:rsidR="0083437D" w:rsidRPr="0083437D">
        <w:rPr>
          <w:rFonts w:ascii="Times New Roman" w:hAnsi="Times New Roman" w:cs="Times New Roman"/>
        </w:rPr>
        <w:t xml:space="preserve">he Proclamation’s strength lies in its blend of legalistic authority and poetic aspiration, though its hyperbole, such as “full confidence of victory,” and exaggerated claims of universal allegiance obscured Ireland’s divisions, including unionist opposition. This romanticism, driven by Pearse’s “blood sacrifice” philosophy, risked short-term alienation but ensured </w:t>
      </w:r>
      <w:r w:rsidR="009076B9">
        <w:rPr>
          <w:rFonts w:ascii="Times New Roman" w:hAnsi="Times New Roman" w:cs="Times New Roman"/>
        </w:rPr>
        <w:t xml:space="preserve">its </w:t>
      </w:r>
      <w:r w:rsidR="0083437D" w:rsidRPr="0083437D">
        <w:rPr>
          <w:rFonts w:ascii="Times New Roman" w:hAnsi="Times New Roman" w:cs="Times New Roman"/>
        </w:rPr>
        <w:t>long-term relevance.</w:t>
      </w:r>
      <w:r w:rsidR="009231D0">
        <w:rPr>
          <w:rFonts w:ascii="Times New Roman" w:hAnsi="Times New Roman" w:cs="Times New Roman"/>
        </w:rPr>
        <w:t xml:space="preserve"> </w:t>
      </w:r>
    </w:p>
    <w:p w14:paraId="74A2E95E" w14:textId="77777777" w:rsidR="008D37B3" w:rsidRDefault="008D37B3" w:rsidP="008D37B3">
      <w:pPr>
        <w:spacing w:line="360" w:lineRule="auto"/>
        <w:rPr>
          <w:rFonts w:ascii="Times New Roman" w:hAnsi="Times New Roman" w:cs="Times New Roman"/>
        </w:rPr>
      </w:pPr>
    </w:p>
    <w:p w14:paraId="0358F419" w14:textId="77777777" w:rsidR="00DC59F3" w:rsidRDefault="00DC59F3" w:rsidP="008D37B3">
      <w:pPr>
        <w:spacing w:line="360" w:lineRule="auto"/>
        <w:rPr>
          <w:rFonts w:ascii="Times New Roman" w:hAnsi="Times New Roman" w:cs="Times New Roman"/>
        </w:rPr>
      </w:pPr>
    </w:p>
    <w:p w14:paraId="38375250" w14:textId="77777777" w:rsidR="00DC59F3" w:rsidRDefault="00DC59F3" w:rsidP="008D37B3">
      <w:pPr>
        <w:spacing w:line="360" w:lineRule="auto"/>
        <w:rPr>
          <w:rFonts w:ascii="Times New Roman" w:hAnsi="Times New Roman" w:cs="Times New Roman"/>
        </w:rPr>
      </w:pPr>
    </w:p>
    <w:p w14:paraId="4CF543F3" w14:textId="77777777" w:rsidR="00DC59F3" w:rsidRDefault="00DC59F3" w:rsidP="008D37B3">
      <w:pPr>
        <w:spacing w:line="360" w:lineRule="auto"/>
        <w:rPr>
          <w:rFonts w:ascii="Times New Roman" w:hAnsi="Times New Roman" w:cs="Times New Roman"/>
        </w:rPr>
      </w:pPr>
    </w:p>
    <w:p w14:paraId="49EF0A5C" w14:textId="77777777" w:rsidR="00DC59F3" w:rsidRDefault="00DC59F3" w:rsidP="008D37B3">
      <w:pPr>
        <w:spacing w:line="360" w:lineRule="auto"/>
        <w:rPr>
          <w:rFonts w:ascii="Times New Roman" w:hAnsi="Times New Roman" w:cs="Times New Roman"/>
        </w:rPr>
      </w:pPr>
    </w:p>
    <w:p w14:paraId="672ED42E" w14:textId="77777777" w:rsidR="00DC59F3" w:rsidRDefault="00DC59F3" w:rsidP="008D37B3">
      <w:pPr>
        <w:spacing w:line="360" w:lineRule="auto"/>
        <w:rPr>
          <w:rFonts w:ascii="Times New Roman" w:hAnsi="Times New Roman" w:cs="Times New Roman"/>
        </w:rPr>
      </w:pPr>
    </w:p>
    <w:p w14:paraId="23E6D495" w14:textId="77777777" w:rsidR="00DC59F3" w:rsidRDefault="00DC59F3" w:rsidP="008D37B3">
      <w:pPr>
        <w:spacing w:line="360" w:lineRule="auto"/>
        <w:rPr>
          <w:rFonts w:ascii="Times New Roman" w:hAnsi="Times New Roman" w:cs="Times New Roman"/>
        </w:rPr>
      </w:pPr>
    </w:p>
    <w:p w14:paraId="75371679" w14:textId="77777777" w:rsidR="00DC59F3" w:rsidRDefault="00DC59F3" w:rsidP="008D37B3">
      <w:pPr>
        <w:spacing w:line="360" w:lineRule="auto"/>
        <w:rPr>
          <w:rFonts w:ascii="Times New Roman" w:hAnsi="Times New Roman" w:cs="Times New Roman"/>
        </w:rPr>
      </w:pPr>
    </w:p>
    <w:p w14:paraId="2BFA6286" w14:textId="77777777" w:rsidR="00C361F9" w:rsidRDefault="00C361F9" w:rsidP="00C361F9">
      <w:pPr>
        <w:spacing w:line="360" w:lineRule="auto"/>
        <w:rPr>
          <w:rFonts w:ascii="Times New Roman" w:hAnsi="Times New Roman" w:cs="Times New Roman"/>
        </w:rPr>
      </w:pPr>
    </w:p>
    <w:p w14:paraId="57BE3A9C" w14:textId="77777777" w:rsidR="00C361F9" w:rsidRDefault="00C361F9" w:rsidP="00C361F9">
      <w:pPr>
        <w:spacing w:line="360" w:lineRule="auto"/>
        <w:jc w:val="center"/>
        <w:rPr>
          <w:rFonts w:ascii="Times New Roman" w:hAnsi="Times New Roman" w:cs="Times New Roman"/>
        </w:rPr>
      </w:pPr>
    </w:p>
    <w:p w14:paraId="5334AE5C" w14:textId="3FA27DBB" w:rsidR="00DC59F3" w:rsidRDefault="00DC59F3" w:rsidP="00C361F9">
      <w:pPr>
        <w:spacing w:line="360" w:lineRule="auto"/>
        <w:jc w:val="center"/>
        <w:rPr>
          <w:rFonts w:ascii="Times New Roman" w:hAnsi="Times New Roman" w:cs="Times New Roman"/>
        </w:rPr>
      </w:pPr>
      <w:r>
        <w:rPr>
          <w:rFonts w:ascii="Times New Roman" w:hAnsi="Times New Roman" w:cs="Times New Roman"/>
        </w:rPr>
        <w:t>BIBLIOGRAPHY</w:t>
      </w:r>
    </w:p>
    <w:p w14:paraId="09490CB3" w14:textId="1D09FF79" w:rsidR="00DC59F3" w:rsidRPr="008D37B3" w:rsidRDefault="004F6956" w:rsidP="00DC59F3">
      <w:pPr>
        <w:spacing w:line="360" w:lineRule="auto"/>
        <w:rPr>
          <w:rFonts w:ascii="Times New Roman" w:hAnsi="Times New Roman" w:cs="Times New Roman"/>
        </w:rPr>
      </w:pPr>
      <w:r>
        <w:rPr>
          <w:rFonts w:ascii="Times New Roman" w:hAnsi="Times New Roman" w:cs="Times New Roman"/>
        </w:rPr>
        <w:t xml:space="preserve">Smith </w:t>
      </w:r>
      <w:r w:rsidR="00DC59F3" w:rsidRPr="00DC59F3">
        <w:rPr>
          <w:rFonts w:ascii="Times New Roman" w:hAnsi="Times New Roman" w:cs="Times New Roman"/>
        </w:rPr>
        <w:t xml:space="preserve">Jeremy, </w:t>
      </w:r>
      <w:r w:rsidR="00DC59F3" w:rsidRPr="00DC59F3">
        <w:rPr>
          <w:rFonts w:ascii="Times New Roman" w:hAnsi="Times New Roman" w:cs="Times New Roman"/>
          <w:i/>
          <w:iCs/>
        </w:rPr>
        <w:t>Britain and Ireland: From Home Rule to Independence</w:t>
      </w:r>
      <w:r w:rsidR="00DC59F3" w:rsidRPr="00DC59F3">
        <w:rPr>
          <w:rFonts w:ascii="Times New Roman" w:hAnsi="Times New Roman" w:cs="Times New Roman"/>
        </w:rPr>
        <w:t xml:space="preserve"> (New York, Routledge, 2013</w:t>
      </w:r>
      <w:r w:rsidR="00DC59F3">
        <w:rPr>
          <w:rFonts w:ascii="Times New Roman" w:hAnsi="Times New Roman" w:cs="Times New Roman"/>
        </w:rPr>
        <w:t>).</w:t>
      </w:r>
    </w:p>
    <w:sectPr w:rsidR="00DC59F3" w:rsidRPr="008D37B3">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2920F" w14:textId="77777777" w:rsidR="001E2812" w:rsidRDefault="001E2812" w:rsidP="00684D99">
      <w:pPr>
        <w:spacing w:after="0" w:line="240" w:lineRule="auto"/>
      </w:pPr>
      <w:r>
        <w:separator/>
      </w:r>
    </w:p>
  </w:endnote>
  <w:endnote w:type="continuationSeparator" w:id="0">
    <w:p w14:paraId="41DE6FDA" w14:textId="77777777" w:rsidR="001E2812" w:rsidRDefault="001E2812" w:rsidP="00684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7702180"/>
      <w:docPartObj>
        <w:docPartGallery w:val="Page Numbers (Bottom of Page)"/>
        <w:docPartUnique/>
      </w:docPartObj>
    </w:sdtPr>
    <w:sdtEndPr>
      <w:rPr>
        <w:noProof/>
      </w:rPr>
    </w:sdtEndPr>
    <w:sdtContent>
      <w:p w14:paraId="326D3296" w14:textId="34788951" w:rsidR="00ED42E1" w:rsidRDefault="00ED42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ED477C" w14:textId="77777777" w:rsidR="00ED42E1" w:rsidRDefault="00ED4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87EF0" w14:textId="77777777" w:rsidR="001E2812" w:rsidRDefault="001E2812" w:rsidP="00684D99">
      <w:pPr>
        <w:spacing w:after="0" w:line="240" w:lineRule="auto"/>
      </w:pPr>
      <w:r>
        <w:separator/>
      </w:r>
    </w:p>
  </w:footnote>
  <w:footnote w:type="continuationSeparator" w:id="0">
    <w:p w14:paraId="10614026" w14:textId="77777777" w:rsidR="001E2812" w:rsidRDefault="001E2812" w:rsidP="00684D99">
      <w:pPr>
        <w:spacing w:after="0" w:line="240" w:lineRule="auto"/>
      </w:pPr>
      <w:r>
        <w:continuationSeparator/>
      </w:r>
    </w:p>
  </w:footnote>
  <w:footnote w:id="1">
    <w:p w14:paraId="2B0F1F22" w14:textId="2BD55513" w:rsidR="00D0511C" w:rsidRDefault="00D0511C">
      <w:pPr>
        <w:pStyle w:val="FootnoteText"/>
      </w:pPr>
      <w:r>
        <w:rPr>
          <w:rStyle w:val="FootnoteReference"/>
        </w:rPr>
        <w:footnoteRef/>
      </w:r>
      <w:r>
        <w:t xml:space="preserve"> </w:t>
      </w:r>
      <w:bookmarkStart w:id="0" w:name="_Hlk202293134"/>
      <w:r w:rsidR="00534F21">
        <w:t xml:space="preserve">Jeremy </w:t>
      </w:r>
      <w:bookmarkStart w:id="1" w:name="_Hlk202292421"/>
      <w:r w:rsidR="00534F21">
        <w:t xml:space="preserve">Smith, </w:t>
      </w:r>
      <w:r w:rsidR="00534F21" w:rsidRPr="00534F21">
        <w:rPr>
          <w:i/>
          <w:iCs/>
        </w:rPr>
        <w:t>Britain and Ireland</w:t>
      </w:r>
      <w:bookmarkEnd w:id="1"/>
      <w:r w:rsidR="00534F21" w:rsidRPr="00534F21">
        <w:rPr>
          <w:i/>
          <w:iCs/>
        </w:rPr>
        <w:t>: From Home Rule to Independence</w:t>
      </w:r>
      <w:r w:rsidR="00534F21">
        <w:t xml:space="preserve"> (New York, </w:t>
      </w:r>
      <w:r w:rsidR="00534F21" w:rsidRPr="00534F21">
        <w:t>Routledge</w:t>
      </w:r>
      <w:r w:rsidR="00534F21">
        <w:t>, 2013</w:t>
      </w:r>
      <w:bookmarkEnd w:id="0"/>
      <w:r w:rsidR="00534F21">
        <w:t>), 65.</w:t>
      </w:r>
    </w:p>
  </w:footnote>
  <w:footnote w:id="2">
    <w:p w14:paraId="50B88F31" w14:textId="081A8350" w:rsidR="00A90FCB" w:rsidRDefault="00A90FCB">
      <w:pPr>
        <w:pStyle w:val="FootnoteText"/>
      </w:pPr>
      <w:r>
        <w:rPr>
          <w:rStyle w:val="FootnoteReference"/>
        </w:rPr>
        <w:footnoteRef/>
      </w:r>
      <w:r>
        <w:t xml:space="preserve"> </w:t>
      </w:r>
      <w:r w:rsidR="00D91B86">
        <w:t xml:space="preserve"> </w:t>
      </w:r>
      <w:r w:rsidR="00F47627" w:rsidRPr="00F47627">
        <w:t xml:space="preserve">Smith, </w:t>
      </w:r>
      <w:r w:rsidR="00F47627" w:rsidRPr="00D91B86">
        <w:rPr>
          <w:i/>
          <w:iCs/>
        </w:rPr>
        <w:t>Britain and Ireland</w:t>
      </w:r>
      <w:r w:rsidR="00F47627">
        <w:t>, 67.</w:t>
      </w:r>
    </w:p>
  </w:footnote>
  <w:footnote w:id="3">
    <w:p w14:paraId="60F1C692" w14:textId="251260A2" w:rsidR="00A90FCB" w:rsidRDefault="00A90FCB">
      <w:pPr>
        <w:pStyle w:val="FootnoteText"/>
      </w:pPr>
      <w:r>
        <w:rPr>
          <w:rStyle w:val="FootnoteReference"/>
        </w:rPr>
        <w:footnoteRef/>
      </w:r>
      <w:r>
        <w:t xml:space="preserve"> Id, 69.</w:t>
      </w:r>
    </w:p>
  </w:footnote>
  <w:footnote w:id="4">
    <w:p w14:paraId="656FDA6F" w14:textId="5D3BEBCE" w:rsidR="00BC7702" w:rsidRDefault="00BC7702">
      <w:pPr>
        <w:pStyle w:val="FootnoteText"/>
      </w:pPr>
      <w:r>
        <w:rPr>
          <w:rStyle w:val="FootnoteReference"/>
        </w:rPr>
        <w:footnoteRef/>
      </w:r>
      <w:r>
        <w:t xml:space="preserve"> </w:t>
      </w:r>
      <w:bookmarkStart w:id="2" w:name="_Hlk202622663"/>
      <w:r w:rsidRPr="00BC7702">
        <w:t xml:space="preserve">Smith, </w:t>
      </w:r>
      <w:r w:rsidRPr="00BC7702">
        <w:rPr>
          <w:i/>
          <w:iCs/>
        </w:rPr>
        <w:t>Britain and Ireland</w:t>
      </w:r>
      <w:bookmarkEnd w:id="2"/>
      <w:r>
        <w:t>,70.</w:t>
      </w:r>
    </w:p>
  </w:footnote>
  <w:footnote w:id="5">
    <w:p w14:paraId="2D048A94" w14:textId="237C59DE" w:rsidR="009231D0" w:rsidRDefault="009231D0">
      <w:pPr>
        <w:pStyle w:val="FootnoteText"/>
      </w:pPr>
      <w:r>
        <w:rPr>
          <w:rStyle w:val="FootnoteReference"/>
        </w:rPr>
        <w:footnoteRef/>
      </w:r>
      <w:r>
        <w:t xml:space="preserve"> </w:t>
      </w:r>
      <w:r w:rsidR="009E7C29">
        <w:t>Id,74.</w:t>
      </w:r>
    </w:p>
  </w:footnote>
  <w:footnote w:id="6">
    <w:p w14:paraId="412B8F91" w14:textId="7B131B48" w:rsidR="00771386" w:rsidRDefault="00771386">
      <w:pPr>
        <w:pStyle w:val="FootnoteText"/>
      </w:pPr>
      <w:r>
        <w:rPr>
          <w:rStyle w:val="FootnoteReference"/>
        </w:rPr>
        <w:footnoteRef/>
      </w:r>
      <w:r>
        <w:t xml:space="preserve"> </w:t>
      </w:r>
      <w:r w:rsidRPr="00771386">
        <w:t>Robert Emmet’s 1803 Proclamation</w:t>
      </w:r>
      <w:r>
        <w:t xml:space="preserve">. </w:t>
      </w:r>
      <w:r w:rsidRPr="00771386">
        <w:t>https://www.nootherlaw.com/archive/1803-proclamation.html</w:t>
      </w:r>
      <w:r>
        <w:t>.</w:t>
      </w:r>
    </w:p>
  </w:footnote>
  <w:footnote w:id="7">
    <w:p w14:paraId="2C979D91" w14:textId="53FC54E3" w:rsidR="0083300F" w:rsidRDefault="0083300F">
      <w:pPr>
        <w:pStyle w:val="FootnoteText"/>
      </w:pPr>
      <w:r>
        <w:rPr>
          <w:rStyle w:val="FootnoteReference"/>
        </w:rPr>
        <w:footnoteRef/>
      </w:r>
      <w:r>
        <w:t xml:space="preserve"> </w:t>
      </w:r>
      <w:r w:rsidRPr="0083300F">
        <w:t xml:space="preserve">Smith, </w:t>
      </w:r>
      <w:r w:rsidRPr="0083300F">
        <w:rPr>
          <w:i/>
          <w:iCs/>
        </w:rPr>
        <w:t>Britain and Ireland</w:t>
      </w:r>
      <w:r>
        <w:t>,72.</w:t>
      </w:r>
    </w:p>
  </w:footnote>
  <w:footnote w:id="8">
    <w:p w14:paraId="4DBD90D2" w14:textId="602C5568" w:rsidR="00B37112" w:rsidRDefault="00B37112">
      <w:pPr>
        <w:pStyle w:val="FootnoteText"/>
      </w:pPr>
      <w:r>
        <w:rPr>
          <w:rStyle w:val="FootnoteReference"/>
        </w:rPr>
        <w:footnoteRef/>
      </w:r>
      <w:r>
        <w:t xml:space="preserve"> Id.74.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7B3"/>
    <w:rsid w:val="00015B48"/>
    <w:rsid w:val="0005794C"/>
    <w:rsid w:val="000D7F5A"/>
    <w:rsid w:val="001E2812"/>
    <w:rsid w:val="00227F9A"/>
    <w:rsid w:val="002B2531"/>
    <w:rsid w:val="002C4B3E"/>
    <w:rsid w:val="002D453F"/>
    <w:rsid w:val="003412EF"/>
    <w:rsid w:val="00381E18"/>
    <w:rsid w:val="0040245D"/>
    <w:rsid w:val="004F6956"/>
    <w:rsid w:val="0050025F"/>
    <w:rsid w:val="00534F21"/>
    <w:rsid w:val="00575C9C"/>
    <w:rsid w:val="00684D99"/>
    <w:rsid w:val="006A581A"/>
    <w:rsid w:val="00771386"/>
    <w:rsid w:val="00800A24"/>
    <w:rsid w:val="0083300F"/>
    <w:rsid w:val="0083437D"/>
    <w:rsid w:val="00844221"/>
    <w:rsid w:val="0089481E"/>
    <w:rsid w:val="008C1B72"/>
    <w:rsid w:val="008D37B3"/>
    <w:rsid w:val="009076B9"/>
    <w:rsid w:val="009231D0"/>
    <w:rsid w:val="00956C1D"/>
    <w:rsid w:val="00972F4A"/>
    <w:rsid w:val="00973F89"/>
    <w:rsid w:val="00974B4B"/>
    <w:rsid w:val="009E7C29"/>
    <w:rsid w:val="00A90FCB"/>
    <w:rsid w:val="00AC2AC1"/>
    <w:rsid w:val="00B37112"/>
    <w:rsid w:val="00B46E86"/>
    <w:rsid w:val="00B61F0F"/>
    <w:rsid w:val="00BC7702"/>
    <w:rsid w:val="00BE1D04"/>
    <w:rsid w:val="00BF09E1"/>
    <w:rsid w:val="00C30159"/>
    <w:rsid w:val="00C361F9"/>
    <w:rsid w:val="00D0511C"/>
    <w:rsid w:val="00D62AD2"/>
    <w:rsid w:val="00D8654D"/>
    <w:rsid w:val="00D91700"/>
    <w:rsid w:val="00D91B86"/>
    <w:rsid w:val="00DC59F3"/>
    <w:rsid w:val="00DD11FD"/>
    <w:rsid w:val="00DF1BBE"/>
    <w:rsid w:val="00E23954"/>
    <w:rsid w:val="00E82CD6"/>
    <w:rsid w:val="00ED42E1"/>
    <w:rsid w:val="00F47627"/>
    <w:rsid w:val="00F76165"/>
    <w:rsid w:val="00FC7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74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7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37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37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7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7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7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7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7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7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7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37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37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37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7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7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7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7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7B3"/>
    <w:rPr>
      <w:rFonts w:eastAsiaTheme="majorEastAsia" w:cstheme="majorBidi"/>
      <w:color w:val="272727" w:themeColor="text1" w:themeTint="D8"/>
    </w:rPr>
  </w:style>
  <w:style w:type="paragraph" w:styleId="Title">
    <w:name w:val="Title"/>
    <w:basedOn w:val="Normal"/>
    <w:next w:val="Normal"/>
    <w:link w:val="TitleChar"/>
    <w:uiPriority w:val="10"/>
    <w:qFormat/>
    <w:rsid w:val="008D37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7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7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7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7B3"/>
    <w:pPr>
      <w:spacing w:before="160"/>
      <w:jc w:val="center"/>
    </w:pPr>
    <w:rPr>
      <w:i/>
      <w:iCs/>
      <w:color w:val="404040" w:themeColor="text1" w:themeTint="BF"/>
    </w:rPr>
  </w:style>
  <w:style w:type="character" w:customStyle="1" w:styleId="QuoteChar">
    <w:name w:val="Quote Char"/>
    <w:basedOn w:val="DefaultParagraphFont"/>
    <w:link w:val="Quote"/>
    <w:uiPriority w:val="29"/>
    <w:rsid w:val="008D37B3"/>
    <w:rPr>
      <w:i/>
      <w:iCs/>
      <w:color w:val="404040" w:themeColor="text1" w:themeTint="BF"/>
    </w:rPr>
  </w:style>
  <w:style w:type="paragraph" w:styleId="ListParagraph">
    <w:name w:val="List Paragraph"/>
    <w:basedOn w:val="Normal"/>
    <w:uiPriority w:val="34"/>
    <w:qFormat/>
    <w:rsid w:val="008D37B3"/>
    <w:pPr>
      <w:ind w:left="720"/>
      <w:contextualSpacing/>
    </w:pPr>
  </w:style>
  <w:style w:type="character" w:styleId="IntenseEmphasis">
    <w:name w:val="Intense Emphasis"/>
    <w:basedOn w:val="DefaultParagraphFont"/>
    <w:uiPriority w:val="21"/>
    <w:qFormat/>
    <w:rsid w:val="008D37B3"/>
    <w:rPr>
      <w:i/>
      <w:iCs/>
      <w:color w:val="0F4761" w:themeColor="accent1" w:themeShade="BF"/>
    </w:rPr>
  </w:style>
  <w:style w:type="paragraph" w:styleId="IntenseQuote">
    <w:name w:val="Intense Quote"/>
    <w:basedOn w:val="Normal"/>
    <w:next w:val="Normal"/>
    <w:link w:val="IntenseQuoteChar"/>
    <w:uiPriority w:val="30"/>
    <w:qFormat/>
    <w:rsid w:val="008D37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7B3"/>
    <w:rPr>
      <w:i/>
      <w:iCs/>
      <w:color w:val="0F4761" w:themeColor="accent1" w:themeShade="BF"/>
    </w:rPr>
  </w:style>
  <w:style w:type="character" w:styleId="IntenseReference">
    <w:name w:val="Intense Reference"/>
    <w:basedOn w:val="DefaultParagraphFont"/>
    <w:uiPriority w:val="32"/>
    <w:qFormat/>
    <w:rsid w:val="008D37B3"/>
    <w:rPr>
      <w:b/>
      <w:bCs/>
      <w:smallCaps/>
      <w:color w:val="0F4761" w:themeColor="accent1" w:themeShade="BF"/>
      <w:spacing w:val="5"/>
    </w:rPr>
  </w:style>
  <w:style w:type="paragraph" w:styleId="Header">
    <w:name w:val="header"/>
    <w:basedOn w:val="Normal"/>
    <w:link w:val="HeaderChar"/>
    <w:uiPriority w:val="99"/>
    <w:unhideWhenUsed/>
    <w:rsid w:val="00684D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D99"/>
  </w:style>
  <w:style w:type="paragraph" w:styleId="Footer">
    <w:name w:val="footer"/>
    <w:basedOn w:val="Normal"/>
    <w:link w:val="FooterChar"/>
    <w:uiPriority w:val="99"/>
    <w:unhideWhenUsed/>
    <w:rsid w:val="00684D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D99"/>
  </w:style>
  <w:style w:type="paragraph" w:styleId="FootnoteText">
    <w:name w:val="footnote text"/>
    <w:basedOn w:val="Normal"/>
    <w:link w:val="FootnoteTextChar"/>
    <w:uiPriority w:val="99"/>
    <w:semiHidden/>
    <w:unhideWhenUsed/>
    <w:rsid w:val="00D051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11C"/>
    <w:rPr>
      <w:sz w:val="20"/>
      <w:szCs w:val="20"/>
    </w:rPr>
  </w:style>
  <w:style w:type="character" w:styleId="FootnoteReference">
    <w:name w:val="footnote reference"/>
    <w:basedOn w:val="DefaultParagraphFont"/>
    <w:uiPriority w:val="99"/>
    <w:semiHidden/>
    <w:unhideWhenUsed/>
    <w:rsid w:val="00D051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2397</Words>
  <Characters>13663</Characters>
  <Application>Microsoft Office Word</Application>
  <DocSecurity>0</DocSecurity>
  <Lines>113</Lines>
  <Paragraphs>32</Paragraphs>
  <ScaleCrop>false</ScaleCrop>
  <Company/>
  <LinksUpToDate>false</LinksUpToDate>
  <CharactersWithSpaces>16028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2025-07-05T13:25:00Z</dcterms:created>
  <dcterms:modified xsi:type="dcterms:W3CDTF">2025-07-06T09:36:00Z</dcterms:modified>
</cp:coreProperties>
</file>