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79123" w14:textId="77777777" w:rsidR="00740E1D" w:rsidRDefault="00740E1D" w:rsidP="00424D57">
      <w:pPr>
        <w:jc w:val="center"/>
        <w:rPr>
          <w:b/>
          <w:bCs/>
          <w:sz w:val="48"/>
          <w:szCs w:val="48"/>
        </w:rPr>
      </w:pPr>
    </w:p>
    <w:p w14:paraId="66D130DE" w14:textId="77777777" w:rsidR="00740E1D" w:rsidRDefault="00740E1D" w:rsidP="00424D57">
      <w:pPr>
        <w:jc w:val="center"/>
        <w:rPr>
          <w:b/>
          <w:bCs/>
          <w:sz w:val="48"/>
          <w:szCs w:val="48"/>
        </w:rPr>
      </w:pPr>
    </w:p>
    <w:p w14:paraId="07E7BFBA" w14:textId="77777777" w:rsidR="00740E1D" w:rsidRDefault="00740E1D" w:rsidP="006E35CA">
      <w:pPr>
        <w:rPr>
          <w:b/>
          <w:bCs/>
          <w:sz w:val="48"/>
          <w:szCs w:val="48"/>
        </w:rPr>
      </w:pPr>
    </w:p>
    <w:p w14:paraId="6CCC003F" w14:textId="339D6229" w:rsidR="00CA7D8C" w:rsidRDefault="00BC14EE" w:rsidP="00424D57">
      <w:pPr>
        <w:jc w:val="center"/>
        <w:rPr>
          <w:b/>
          <w:bCs/>
          <w:sz w:val="48"/>
          <w:szCs w:val="48"/>
        </w:rPr>
      </w:pPr>
      <w:r w:rsidRPr="00740E1D">
        <w:rPr>
          <w:b/>
          <w:bCs/>
          <w:sz w:val="48"/>
          <w:szCs w:val="48"/>
        </w:rPr>
        <w:t>The Impact of Inflation and Interest Rate Changes on Stock Market Performance in the UK</w:t>
      </w:r>
    </w:p>
    <w:p w14:paraId="71111484" w14:textId="77777777" w:rsidR="006E35CA" w:rsidRDefault="006E35CA" w:rsidP="006E35CA">
      <w:pPr>
        <w:jc w:val="center"/>
        <w:rPr>
          <w:b/>
          <w:bCs/>
          <w:sz w:val="48"/>
          <w:szCs w:val="48"/>
        </w:rPr>
      </w:pPr>
      <w:r>
        <w:rPr>
          <w:b/>
          <w:bCs/>
          <w:sz w:val="48"/>
          <w:szCs w:val="48"/>
        </w:rPr>
        <w:t>{Research Proposal}</w:t>
      </w:r>
    </w:p>
    <w:p w14:paraId="75E86FAC" w14:textId="77777777" w:rsidR="006E35CA" w:rsidRPr="00740E1D" w:rsidRDefault="006E35CA" w:rsidP="00424D57">
      <w:pPr>
        <w:jc w:val="center"/>
        <w:rPr>
          <w:b/>
          <w:bCs/>
          <w:sz w:val="48"/>
          <w:szCs w:val="48"/>
        </w:rPr>
      </w:pPr>
    </w:p>
    <w:p w14:paraId="6CE2957F" w14:textId="77777777" w:rsidR="00740E1D" w:rsidRPr="00740E1D" w:rsidRDefault="00740E1D" w:rsidP="00424D57">
      <w:pPr>
        <w:jc w:val="center"/>
        <w:rPr>
          <w:b/>
          <w:bCs/>
          <w:sz w:val="48"/>
          <w:szCs w:val="48"/>
        </w:rPr>
      </w:pPr>
    </w:p>
    <w:p w14:paraId="23C9EEE9" w14:textId="77777777" w:rsidR="00740E1D" w:rsidRPr="00740E1D" w:rsidRDefault="00740E1D" w:rsidP="00424D57">
      <w:pPr>
        <w:jc w:val="center"/>
        <w:rPr>
          <w:b/>
          <w:bCs/>
          <w:sz w:val="48"/>
          <w:szCs w:val="48"/>
        </w:rPr>
      </w:pPr>
    </w:p>
    <w:p w14:paraId="51EAA331" w14:textId="77777777" w:rsidR="00740E1D" w:rsidRPr="00740E1D" w:rsidRDefault="00740E1D" w:rsidP="00424D57">
      <w:pPr>
        <w:jc w:val="center"/>
        <w:rPr>
          <w:b/>
          <w:bCs/>
          <w:sz w:val="48"/>
          <w:szCs w:val="48"/>
        </w:rPr>
      </w:pPr>
    </w:p>
    <w:p w14:paraId="56149F42" w14:textId="77777777" w:rsidR="00740E1D" w:rsidRDefault="00740E1D" w:rsidP="00424D57">
      <w:pPr>
        <w:jc w:val="center"/>
        <w:rPr>
          <w:b/>
          <w:bCs/>
          <w:sz w:val="32"/>
          <w:szCs w:val="32"/>
        </w:rPr>
      </w:pPr>
    </w:p>
    <w:p w14:paraId="0D9FD0B8" w14:textId="2A0BD7EA" w:rsidR="00740E1D" w:rsidRPr="00740E1D" w:rsidRDefault="00740E1D" w:rsidP="00424D57">
      <w:pPr>
        <w:jc w:val="center"/>
        <w:rPr>
          <w:b/>
          <w:bCs/>
          <w:sz w:val="32"/>
          <w:szCs w:val="32"/>
        </w:rPr>
      </w:pPr>
      <w:r w:rsidRPr="00740E1D">
        <w:rPr>
          <w:b/>
          <w:bCs/>
          <w:sz w:val="32"/>
          <w:szCs w:val="32"/>
        </w:rPr>
        <w:t xml:space="preserve">Student </w:t>
      </w:r>
      <w:r w:rsidR="00B27F4A" w:rsidRPr="00740E1D">
        <w:rPr>
          <w:b/>
          <w:bCs/>
          <w:sz w:val="32"/>
          <w:szCs w:val="32"/>
        </w:rPr>
        <w:t>Name:</w:t>
      </w:r>
      <w:r w:rsidR="00B27F4A">
        <w:rPr>
          <w:b/>
          <w:bCs/>
          <w:sz w:val="32"/>
          <w:szCs w:val="32"/>
        </w:rPr>
        <w:t xml:space="preserve"> KISHANBHAI ASHOKBHAI PARMAR</w:t>
      </w:r>
    </w:p>
    <w:p w14:paraId="23341797" w14:textId="449FF3CB" w:rsidR="00740E1D" w:rsidRPr="00740E1D" w:rsidRDefault="00740E1D" w:rsidP="00424D57">
      <w:pPr>
        <w:jc w:val="center"/>
        <w:rPr>
          <w:b/>
          <w:bCs/>
          <w:sz w:val="32"/>
          <w:szCs w:val="32"/>
        </w:rPr>
      </w:pPr>
      <w:r w:rsidRPr="00740E1D">
        <w:rPr>
          <w:b/>
          <w:bCs/>
          <w:sz w:val="32"/>
          <w:szCs w:val="32"/>
        </w:rPr>
        <w:t>Student ID:</w:t>
      </w:r>
      <w:r w:rsidR="00B27F4A">
        <w:rPr>
          <w:b/>
          <w:bCs/>
          <w:sz w:val="32"/>
          <w:szCs w:val="32"/>
        </w:rPr>
        <w:t>2420018</w:t>
      </w:r>
    </w:p>
    <w:p w14:paraId="0BFF33AE" w14:textId="586E49A4" w:rsidR="00BC14EE" w:rsidRDefault="00BC14EE" w:rsidP="00424D57">
      <w:pPr>
        <w:spacing w:after="160"/>
        <w:jc w:val="left"/>
      </w:pPr>
      <w:r>
        <w:br w:type="page"/>
      </w:r>
    </w:p>
    <w:sdt>
      <w:sdtPr>
        <w:rPr>
          <w:rFonts w:ascii="Times New Roman" w:eastAsiaTheme="minorEastAsia" w:hAnsi="Times New Roman" w:cstheme="minorBidi"/>
          <w:color w:val="auto"/>
          <w:sz w:val="24"/>
          <w:szCs w:val="22"/>
        </w:rPr>
        <w:id w:val="1343050307"/>
        <w:docPartObj>
          <w:docPartGallery w:val="Table of Contents"/>
          <w:docPartUnique/>
        </w:docPartObj>
      </w:sdtPr>
      <w:sdtEndPr>
        <w:rPr>
          <w:b/>
          <w:bCs/>
          <w:noProof/>
        </w:rPr>
      </w:sdtEndPr>
      <w:sdtContent>
        <w:p w14:paraId="4D1BC243" w14:textId="313DB99F" w:rsidR="00424D57" w:rsidRPr="00424D57" w:rsidRDefault="00424D57" w:rsidP="00424D57">
          <w:pPr>
            <w:pStyle w:val="TOCHeading"/>
            <w:spacing w:line="360" w:lineRule="auto"/>
            <w:jc w:val="center"/>
            <w:rPr>
              <w:rFonts w:ascii="Times New Roman" w:hAnsi="Times New Roman" w:cs="Times New Roman"/>
              <w:b/>
              <w:bCs/>
              <w:color w:val="000000" w:themeColor="text1"/>
            </w:rPr>
          </w:pPr>
          <w:r w:rsidRPr="00424D57">
            <w:rPr>
              <w:rFonts w:ascii="Times New Roman" w:hAnsi="Times New Roman" w:cs="Times New Roman"/>
              <w:b/>
              <w:bCs/>
              <w:color w:val="000000" w:themeColor="text1"/>
            </w:rPr>
            <w:t>Table of Contents</w:t>
          </w:r>
        </w:p>
        <w:p w14:paraId="534D098C" w14:textId="6A5594D7" w:rsidR="005E1C79" w:rsidRDefault="00424D57">
          <w:pPr>
            <w:pStyle w:val="TOC1"/>
            <w:tabs>
              <w:tab w:val="right" w:leader="dot" w:pos="9016"/>
            </w:tabs>
            <w:rPr>
              <w:rFonts w:asciiTheme="minorHAnsi"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213102590" w:history="1">
            <w:r w:rsidR="005E1C79" w:rsidRPr="00565795">
              <w:rPr>
                <w:rStyle w:val="Hyperlink"/>
                <w:noProof/>
              </w:rPr>
              <w:t>1. Introduction</w:t>
            </w:r>
            <w:r w:rsidR="005E1C79">
              <w:rPr>
                <w:noProof/>
                <w:webHidden/>
              </w:rPr>
              <w:tab/>
            </w:r>
            <w:r w:rsidR="005E1C79">
              <w:rPr>
                <w:noProof/>
                <w:webHidden/>
              </w:rPr>
              <w:fldChar w:fldCharType="begin"/>
            </w:r>
            <w:r w:rsidR="005E1C79">
              <w:rPr>
                <w:noProof/>
                <w:webHidden/>
              </w:rPr>
              <w:instrText xml:space="preserve"> PAGEREF _Toc213102590 \h </w:instrText>
            </w:r>
            <w:r w:rsidR="005E1C79">
              <w:rPr>
                <w:noProof/>
                <w:webHidden/>
              </w:rPr>
            </w:r>
            <w:r w:rsidR="005E1C79">
              <w:rPr>
                <w:noProof/>
                <w:webHidden/>
              </w:rPr>
              <w:fldChar w:fldCharType="separate"/>
            </w:r>
            <w:r w:rsidR="005E1C79">
              <w:rPr>
                <w:noProof/>
                <w:webHidden/>
              </w:rPr>
              <w:t>3</w:t>
            </w:r>
            <w:r w:rsidR="005E1C79">
              <w:rPr>
                <w:noProof/>
                <w:webHidden/>
              </w:rPr>
              <w:fldChar w:fldCharType="end"/>
            </w:r>
          </w:hyperlink>
        </w:p>
        <w:p w14:paraId="4D74137B" w14:textId="45265895" w:rsidR="005E1C79" w:rsidRDefault="005E1C79">
          <w:pPr>
            <w:pStyle w:val="TOC1"/>
            <w:tabs>
              <w:tab w:val="right" w:leader="dot" w:pos="9016"/>
            </w:tabs>
            <w:rPr>
              <w:rFonts w:asciiTheme="minorHAnsi" w:hAnsiTheme="minorHAnsi"/>
              <w:noProof/>
              <w:kern w:val="2"/>
              <w:szCs w:val="24"/>
              <w:lang w:val="en-IN" w:eastAsia="en-IN"/>
              <w14:ligatures w14:val="standardContextual"/>
            </w:rPr>
          </w:pPr>
          <w:hyperlink w:anchor="_Toc213102591" w:history="1">
            <w:r w:rsidRPr="00565795">
              <w:rPr>
                <w:rStyle w:val="Hyperlink"/>
                <w:noProof/>
              </w:rPr>
              <w:t>2. Literature Review</w:t>
            </w:r>
            <w:r>
              <w:rPr>
                <w:noProof/>
                <w:webHidden/>
              </w:rPr>
              <w:tab/>
            </w:r>
            <w:r>
              <w:rPr>
                <w:noProof/>
                <w:webHidden/>
              </w:rPr>
              <w:fldChar w:fldCharType="begin"/>
            </w:r>
            <w:r>
              <w:rPr>
                <w:noProof/>
                <w:webHidden/>
              </w:rPr>
              <w:instrText xml:space="preserve"> PAGEREF _Toc213102591 \h </w:instrText>
            </w:r>
            <w:r>
              <w:rPr>
                <w:noProof/>
                <w:webHidden/>
              </w:rPr>
            </w:r>
            <w:r>
              <w:rPr>
                <w:noProof/>
                <w:webHidden/>
              </w:rPr>
              <w:fldChar w:fldCharType="separate"/>
            </w:r>
            <w:r>
              <w:rPr>
                <w:noProof/>
                <w:webHidden/>
              </w:rPr>
              <w:t>5</w:t>
            </w:r>
            <w:r>
              <w:rPr>
                <w:noProof/>
                <w:webHidden/>
              </w:rPr>
              <w:fldChar w:fldCharType="end"/>
            </w:r>
          </w:hyperlink>
        </w:p>
        <w:p w14:paraId="791C246E" w14:textId="7221E81B" w:rsidR="005E1C79" w:rsidRDefault="005E1C79">
          <w:pPr>
            <w:pStyle w:val="TOC1"/>
            <w:tabs>
              <w:tab w:val="right" w:leader="dot" w:pos="9016"/>
            </w:tabs>
            <w:rPr>
              <w:rFonts w:asciiTheme="minorHAnsi" w:hAnsiTheme="minorHAnsi"/>
              <w:noProof/>
              <w:kern w:val="2"/>
              <w:szCs w:val="24"/>
              <w:lang w:val="en-IN" w:eastAsia="en-IN"/>
              <w14:ligatures w14:val="standardContextual"/>
            </w:rPr>
          </w:pPr>
          <w:hyperlink w:anchor="_Toc213102592" w:history="1">
            <w:r w:rsidRPr="00565795">
              <w:rPr>
                <w:rStyle w:val="Hyperlink"/>
                <w:noProof/>
              </w:rPr>
              <w:t>3. Methodology</w:t>
            </w:r>
            <w:r>
              <w:rPr>
                <w:noProof/>
                <w:webHidden/>
              </w:rPr>
              <w:tab/>
            </w:r>
            <w:r>
              <w:rPr>
                <w:noProof/>
                <w:webHidden/>
              </w:rPr>
              <w:fldChar w:fldCharType="begin"/>
            </w:r>
            <w:r>
              <w:rPr>
                <w:noProof/>
                <w:webHidden/>
              </w:rPr>
              <w:instrText xml:space="preserve"> PAGEREF _Toc213102592 \h </w:instrText>
            </w:r>
            <w:r>
              <w:rPr>
                <w:noProof/>
                <w:webHidden/>
              </w:rPr>
            </w:r>
            <w:r>
              <w:rPr>
                <w:noProof/>
                <w:webHidden/>
              </w:rPr>
              <w:fldChar w:fldCharType="separate"/>
            </w:r>
            <w:r>
              <w:rPr>
                <w:noProof/>
                <w:webHidden/>
              </w:rPr>
              <w:t>7</w:t>
            </w:r>
            <w:r>
              <w:rPr>
                <w:noProof/>
                <w:webHidden/>
              </w:rPr>
              <w:fldChar w:fldCharType="end"/>
            </w:r>
          </w:hyperlink>
        </w:p>
        <w:p w14:paraId="47AE8C7E" w14:textId="35A5C090" w:rsidR="005E1C79" w:rsidRDefault="005E1C79">
          <w:pPr>
            <w:pStyle w:val="TOC1"/>
            <w:tabs>
              <w:tab w:val="right" w:leader="dot" w:pos="9016"/>
            </w:tabs>
            <w:rPr>
              <w:rFonts w:asciiTheme="minorHAnsi" w:hAnsiTheme="minorHAnsi"/>
              <w:noProof/>
              <w:kern w:val="2"/>
              <w:szCs w:val="24"/>
              <w:lang w:val="en-IN" w:eastAsia="en-IN"/>
              <w14:ligatures w14:val="standardContextual"/>
            </w:rPr>
          </w:pPr>
          <w:hyperlink w:anchor="_Toc213102593" w:history="1">
            <w:r w:rsidRPr="00565795">
              <w:rPr>
                <w:rStyle w:val="Hyperlink"/>
                <w:noProof/>
              </w:rPr>
              <w:t>4. Expected Findings</w:t>
            </w:r>
            <w:r>
              <w:rPr>
                <w:noProof/>
                <w:webHidden/>
              </w:rPr>
              <w:tab/>
            </w:r>
            <w:r>
              <w:rPr>
                <w:noProof/>
                <w:webHidden/>
              </w:rPr>
              <w:fldChar w:fldCharType="begin"/>
            </w:r>
            <w:r>
              <w:rPr>
                <w:noProof/>
                <w:webHidden/>
              </w:rPr>
              <w:instrText xml:space="preserve"> PAGEREF _Toc213102593 \h </w:instrText>
            </w:r>
            <w:r>
              <w:rPr>
                <w:noProof/>
                <w:webHidden/>
              </w:rPr>
            </w:r>
            <w:r>
              <w:rPr>
                <w:noProof/>
                <w:webHidden/>
              </w:rPr>
              <w:fldChar w:fldCharType="separate"/>
            </w:r>
            <w:r>
              <w:rPr>
                <w:noProof/>
                <w:webHidden/>
              </w:rPr>
              <w:t>8</w:t>
            </w:r>
            <w:r>
              <w:rPr>
                <w:noProof/>
                <w:webHidden/>
              </w:rPr>
              <w:fldChar w:fldCharType="end"/>
            </w:r>
          </w:hyperlink>
        </w:p>
        <w:p w14:paraId="0E50936B" w14:textId="4CBEAE87" w:rsidR="005E1C79" w:rsidRDefault="005E1C79">
          <w:pPr>
            <w:pStyle w:val="TOC1"/>
            <w:tabs>
              <w:tab w:val="right" w:leader="dot" w:pos="9016"/>
            </w:tabs>
            <w:rPr>
              <w:rFonts w:asciiTheme="minorHAnsi" w:hAnsiTheme="minorHAnsi"/>
              <w:noProof/>
              <w:kern w:val="2"/>
              <w:szCs w:val="24"/>
              <w:lang w:val="en-IN" w:eastAsia="en-IN"/>
              <w14:ligatures w14:val="standardContextual"/>
            </w:rPr>
          </w:pPr>
          <w:hyperlink w:anchor="_Toc213102594" w:history="1">
            <w:r w:rsidRPr="00565795">
              <w:rPr>
                <w:rStyle w:val="Hyperlink"/>
                <w:noProof/>
              </w:rPr>
              <w:t>5. Limitations</w:t>
            </w:r>
            <w:r>
              <w:rPr>
                <w:noProof/>
                <w:webHidden/>
              </w:rPr>
              <w:tab/>
            </w:r>
            <w:r>
              <w:rPr>
                <w:noProof/>
                <w:webHidden/>
              </w:rPr>
              <w:fldChar w:fldCharType="begin"/>
            </w:r>
            <w:r>
              <w:rPr>
                <w:noProof/>
                <w:webHidden/>
              </w:rPr>
              <w:instrText xml:space="preserve"> PAGEREF _Toc213102594 \h </w:instrText>
            </w:r>
            <w:r>
              <w:rPr>
                <w:noProof/>
                <w:webHidden/>
              </w:rPr>
            </w:r>
            <w:r>
              <w:rPr>
                <w:noProof/>
                <w:webHidden/>
              </w:rPr>
              <w:fldChar w:fldCharType="separate"/>
            </w:r>
            <w:r>
              <w:rPr>
                <w:noProof/>
                <w:webHidden/>
              </w:rPr>
              <w:t>9</w:t>
            </w:r>
            <w:r>
              <w:rPr>
                <w:noProof/>
                <w:webHidden/>
              </w:rPr>
              <w:fldChar w:fldCharType="end"/>
            </w:r>
          </w:hyperlink>
        </w:p>
        <w:p w14:paraId="44343AF3" w14:textId="3801812A" w:rsidR="005E1C79" w:rsidRDefault="005E1C79">
          <w:pPr>
            <w:pStyle w:val="TOC1"/>
            <w:tabs>
              <w:tab w:val="right" w:leader="dot" w:pos="9016"/>
            </w:tabs>
            <w:rPr>
              <w:rFonts w:asciiTheme="minorHAnsi" w:hAnsiTheme="minorHAnsi"/>
              <w:noProof/>
              <w:kern w:val="2"/>
              <w:szCs w:val="24"/>
              <w:lang w:val="en-IN" w:eastAsia="en-IN"/>
              <w14:ligatures w14:val="standardContextual"/>
            </w:rPr>
          </w:pPr>
          <w:hyperlink w:anchor="_Toc213102595" w:history="1">
            <w:r w:rsidRPr="00565795">
              <w:rPr>
                <w:rStyle w:val="Hyperlink"/>
                <w:noProof/>
              </w:rPr>
              <w:t>6. Timeframe / Project Plan</w:t>
            </w:r>
            <w:r>
              <w:rPr>
                <w:noProof/>
                <w:webHidden/>
              </w:rPr>
              <w:tab/>
            </w:r>
            <w:r>
              <w:rPr>
                <w:noProof/>
                <w:webHidden/>
              </w:rPr>
              <w:fldChar w:fldCharType="begin"/>
            </w:r>
            <w:r>
              <w:rPr>
                <w:noProof/>
                <w:webHidden/>
              </w:rPr>
              <w:instrText xml:space="preserve"> PAGEREF _Toc213102595 \h </w:instrText>
            </w:r>
            <w:r>
              <w:rPr>
                <w:noProof/>
                <w:webHidden/>
              </w:rPr>
            </w:r>
            <w:r>
              <w:rPr>
                <w:noProof/>
                <w:webHidden/>
              </w:rPr>
              <w:fldChar w:fldCharType="separate"/>
            </w:r>
            <w:r>
              <w:rPr>
                <w:noProof/>
                <w:webHidden/>
              </w:rPr>
              <w:t>10</w:t>
            </w:r>
            <w:r>
              <w:rPr>
                <w:noProof/>
                <w:webHidden/>
              </w:rPr>
              <w:fldChar w:fldCharType="end"/>
            </w:r>
          </w:hyperlink>
        </w:p>
        <w:p w14:paraId="22C65645" w14:textId="1B9DF9E3" w:rsidR="005E1C79" w:rsidRDefault="005E1C79">
          <w:pPr>
            <w:pStyle w:val="TOC1"/>
            <w:tabs>
              <w:tab w:val="right" w:leader="dot" w:pos="9016"/>
            </w:tabs>
            <w:rPr>
              <w:rFonts w:asciiTheme="minorHAnsi" w:hAnsiTheme="minorHAnsi"/>
              <w:noProof/>
              <w:kern w:val="2"/>
              <w:szCs w:val="24"/>
              <w:lang w:val="en-IN" w:eastAsia="en-IN"/>
              <w14:ligatures w14:val="standardContextual"/>
            </w:rPr>
          </w:pPr>
          <w:hyperlink w:anchor="_Toc213102596" w:history="1">
            <w:r w:rsidRPr="00565795">
              <w:rPr>
                <w:rStyle w:val="Hyperlink"/>
                <w:noProof/>
              </w:rPr>
              <w:t>7. Conclusion</w:t>
            </w:r>
            <w:r>
              <w:rPr>
                <w:noProof/>
                <w:webHidden/>
              </w:rPr>
              <w:tab/>
            </w:r>
            <w:r>
              <w:rPr>
                <w:noProof/>
                <w:webHidden/>
              </w:rPr>
              <w:fldChar w:fldCharType="begin"/>
            </w:r>
            <w:r>
              <w:rPr>
                <w:noProof/>
                <w:webHidden/>
              </w:rPr>
              <w:instrText xml:space="preserve"> PAGEREF _Toc213102596 \h </w:instrText>
            </w:r>
            <w:r>
              <w:rPr>
                <w:noProof/>
                <w:webHidden/>
              </w:rPr>
            </w:r>
            <w:r>
              <w:rPr>
                <w:noProof/>
                <w:webHidden/>
              </w:rPr>
              <w:fldChar w:fldCharType="separate"/>
            </w:r>
            <w:r>
              <w:rPr>
                <w:noProof/>
                <w:webHidden/>
              </w:rPr>
              <w:t>11</w:t>
            </w:r>
            <w:r>
              <w:rPr>
                <w:noProof/>
                <w:webHidden/>
              </w:rPr>
              <w:fldChar w:fldCharType="end"/>
            </w:r>
          </w:hyperlink>
        </w:p>
        <w:p w14:paraId="2DE84E50" w14:textId="0464265E" w:rsidR="005E1C79" w:rsidRDefault="005E1C79">
          <w:pPr>
            <w:pStyle w:val="TOC1"/>
            <w:tabs>
              <w:tab w:val="right" w:leader="dot" w:pos="9016"/>
            </w:tabs>
            <w:rPr>
              <w:rFonts w:asciiTheme="minorHAnsi" w:hAnsiTheme="minorHAnsi"/>
              <w:noProof/>
              <w:kern w:val="2"/>
              <w:szCs w:val="24"/>
              <w:lang w:val="en-IN" w:eastAsia="en-IN"/>
              <w14:ligatures w14:val="standardContextual"/>
            </w:rPr>
          </w:pPr>
          <w:hyperlink w:anchor="_Toc213102597" w:history="1">
            <w:r w:rsidRPr="00565795">
              <w:rPr>
                <w:rStyle w:val="Hyperlink"/>
                <w:noProof/>
              </w:rPr>
              <w:t>References</w:t>
            </w:r>
            <w:r>
              <w:rPr>
                <w:noProof/>
                <w:webHidden/>
              </w:rPr>
              <w:tab/>
            </w:r>
            <w:r>
              <w:rPr>
                <w:noProof/>
                <w:webHidden/>
              </w:rPr>
              <w:fldChar w:fldCharType="begin"/>
            </w:r>
            <w:r>
              <w:rPr>
                <w:noProof/>
                <w:webHidden/>
              </w:rPr>
              <w:instrText xml:space="preserve"> PAGEREF _Toc213102597 \h </w:instrText>
            </w:r>
            <w:r>
              <w:rPr>
                <w:noProof/>
                <w:webHidden/>
              </w:rPr>
            </w:r>
            <w:r>
              <w:rPr>
                <w:noProof/>
                <w:webHidden/>
              </w:rPr>
              <w:fldChar w:fldCharType="separate"/>
            </w:r>
            <w:r>
              <w:rPr>
                <w:noProof/>
                <w:webHidden/>
              </w:rPr>
              <w:t>12</w:t>
            </w:r>
            <w:r>
              <w:rPr>
                <w:noProof/>
                <w:webHidden/>
              </w:rPr>
              <w:fldChar w:fldCharType="end"/>
            </w:r>
          </w:hyperlink>
        </w:p>
        <w:p w14:paraId="3CF85F4E" w14:textId="44112436" w:rsidR="00424D57" w:rsidRDefault="00424D57" w:rsidP="00424D57">
          <w:r>
            <w:rPr>
              <w:b/>
              <w:bCs/>
              <w:noProof/>
            </w:rPr>
            <w:fldChar w:fldCharType="end"/>
          </w:r>
        </w:p>
      </w:sdtContent>
    </w:sdt>
    <w:p w14:paraId="646EFF43" w14:textId="77777777" w:rsidR="004C6DDC" w:rsidRDefault="004C6DDC" w:rsidP="00424D57">
      <w:pPr>
        <w:spacing w:after="160"/>
        <w:jc w:val="left"/>
        <w:rPr>
          <w:lang w:val="en-IN"/>
        </w:rPr>
      </w:pPr>
      <w:r>
        <w:rPr>
          <w:lang w:val="en-IN"/>
        </w:rPr>
        <w:br w:type="page"/>
      </w:r>
    </w:p>
    <w:p w14:paraId="75D7749D" w14:textId="3816F984" w:rsidR="004C6DDC" w:rsidRPr="004C6DDC" w:rsidRDefault="004C6DDC" w:rsidP="00424D57">
      <w:pPr>
        <w:pStyle w:val="Heading1"/>
      </w:pPr>
      <w:bookmarkStart w:id="0" w:name="_Toc213102590"/>
      <w:r w:rsidRPr="004C6DDC">
        <w:lastRenderedPageBreak/>
        <w:t>1. Introduction</w:t>
      </w:r>
      <w:bookmarkEnd w:id="0"/>
    </w:p>
    <w:p w14:paraId="60CD77E5" w14:textId="77777777" w:rsidR="00B337B1" w:rsidRPr="00B337B1" w:rsidRDefault="00B337B1" w:rsidP="00B337B1">
      <w:pPr>
        <w:rPr>
          <w:lang w:val="en-IN"/>
        </w:rPr>
      </w:pPr>
      <w:r w:rsidRPr="00B337B1">
        <w:rPr>
          <w:lang w:val="en-IN"/>
        </w:rPr>
        <w:t>The dynamics of inflation and interest rates have taken a vital role in dictating the financial market behaviour in the United Kingdom; especially in the last ten years of economic upheavals (Adeosun, et al. 2022). The UK was faced with a high inflation rate after the COVID-19 pandemic due to supply chain disruptions, increased energy costs, and geo-political tensions. The bank of England responded by introducing a bloc of sharp interest rate increments to stem out inflationary forces. These macroeconomic changes have created increased volatility in UK equity markets which has affected the investor sentiment, corporate profitability, and long term asset pricing. Thus, the comprehension of the role of variations in inflation and interest rates determining the performance of the stock market has become progressively popular in terms of scholarly research and in business application.</w:t>
      </w:r>
    </w:p>
    <w:p w14:paraId="60C4197C" w14:textId="457D8055" w:rsidR="004C6DDC" w:rsidRPr="004C6DDC" w:rsidRDefault="00B337B1" w:rsidP="00B337B1">
      <w:pPr>
        <w:rPr>
          <w:lang w:val="en-IN"/>
        </w:rPr>
      </w:pPr>
      <w:r w:rsidRPr="00B337B1">
        <w:rPr>
          <w:lang w:val="en-IN"/>
        </w:rPr>
        <w:t xml:space="preserve">The variability in such economic indicators directly has an effect on the discount rates, costs of borrowing, and future cash flows, thus having an impact on the cost of stocks (Delao and Myers, 2021). Increased interest rates may lead to investors shifting capital out of equities and into fixed-income investment and the high inflation may wear away the real returns on investment. To policy makers, the relationships play a very important role in assessing the economic effects of monetary interventions and to financial institutions, the relationship is useful in risk management practices, portfolio diversification and assessments of credit exposure. This paper seeks to explore an issue on how inflation and changes in interest rates affect the performance of the stock market in the UK with an emphasis on how market narratives, financial commentary, and policy communication influence investor reactions. </w:t>
      </w:r>
      <w:r w:rsidR="004C6DDC" w:rsidRPr="004C6DDC">
        <w:rPr>
          <w:lang w:val="en-IN"/>
        </w:rPr>
        <w:t>To achieve this aim, the research will pursue the following objectives:</w:t>
      </w:r>
    </w:p>
    <w:p w14:paraId="5E129A5D" w14:textId="0433075B" w:rsidR="004C6DDC" w:rsidRPr="004C6DDC" w:rsidRDefault="002C6864" w:rsidP="00424D57">
      <w:pPr>
        <w:numPr>
          <w:ilvl w:val="0"/>
          <w:numId w:val="1"/>
        </w:numPr>
        <w:rPr>
          <w:lang w:val="en-IN"/>
        </w:rPr>
      </w:pPr>
      <w:r>
        <w:rPr>
          <w:lang w:val="en-IN"/>
        </w:rPr>
        <w:t>To a</w:t>
      </w:r>
      <w:r w:rsidR="004C6DDC" w:rsidRPr="004C6DDC">
        <w:rPr>
          <w:lang w:val="en-IN"/>
        </w:rPr>
        <w:t>nalyse secondary qualitative sources discussing inflation, interest rate trends, and UK stock market conditions.</w:t>
      </w:r>
    </w:p>
    <w:p w14:paraId="0AB8C658" w14:textId="36D0DF90" w:rsidR="004C6DDC" w:rsidRPr="004C6DDC" w:rsidRDefault="002C6864" w:rsidP="00424D57">
      <w:pPr>
        <w:numPr>
          <w:ilvl w:val="0"/>
          <w:numId w:val="1"/>
        </w:numPr>
        <w:rPr>
          <w:lang w:val="en-IN"/>
        </w:rPr>
      </w:pPr>
      <w:r>
        <w:rPr>
          <w:lang w:val="en-IN"/>
        </w:rPr>
        <w:t>To e</w:t>
      </w:r>
      <w:r w:rsidR="004C6DDC" w:rsidRPr="004C6DDC">
        <w:rPr>
          <w:lang w:val="en-IN"/>
        </w:rPr>
        <w:t>xamine how monetary policy announcements influence investor sentiment and behavioural reactions.</w:t>
      </w:r>
    </w:p>
    <w:p w14:paraId="6D9DC84D" w14:textId="62C2E1D1" w:rsidR="004C6DDC" w:rsidRPr="004C6DDC" w:rsidRDefault="002C6864" w:rsidP="00424D57">
      <w:pPr>
        <w:numPr>
          <w:ilvl w:val="0"/>
          <w:numId w:val="1"/>
        </w:numPr>
        <w:rPr>
          <w:lang w:val="en-IN"/>
        </w:rPr>
      </w:pPr>
      <w:r>
        <w:rPr>
          <w:lang w:val="en-IN"/>
        </w:rPr>
        <w:t>To i</w:t>
      </w:r>
      <w:r w:rsidR="004C6DDC" w:rsidRPr="004C6DDC">
        <w:rPr>
          <w:lang w:val="en-IN"/>
        </w:rPr>
        <w:t>dentify sectoral differences in sensitivity to inflation and interest rate fluctuations.</w:t>
      </w:r>
    </w:p>
    <w:p w14:paraId="591A23DD" w14:textId="67ED8D2F" w:rsidR="004C6DDC" w:rsidRPr="004C6DDC" w:rsidRDefault="002C6864" w:rsidP="00424D57">
      <w:pPr>
        <w:numPr>
          <w:ilvl w:val="0"/>
          <w:numId w:val="1"/>
        </w:numPr>
        <w:rPr>
          <w:lang w:val="en-IN"/>
        </w:rPr>
      </w:pPr>
      <w:r>
        <w:rPr>
          <w:lang w:val="en-IN"/>
        </w:rPr>
        <w:t>To e</w:t>
      </w:r>
      <w:r w:rsidR="004C6DDC" w:rsidRPr="004C6DDC">
        <w:rPr>
          <w:lang w:val="en-IN"/>
        </w:rPr>
        <w:t>valuate the implications for investment strategy and financial decision-making.</w:t>
      </w:r>
    </w:p>
    <w:p w14:paraId="5ADEB2B8" w14:textId="77777777" w:rsidR="004C6DDC" w:rsidRPr="004C6DDC" w:rsidRDefault="004C6DDC" w:rsidP="00424D57">
      <w:pPr>
        <w:rPr>
          <w:lang w:val="en-IN"/>
        </w:rPr>
      </w:pPr>
      <w:r w:rsidRPr="004C6DDC">
        <w:rPr>
          <w:lang w:val="en-IN"/>
        </w:rPr>
        <w:t xml:space="preserve">The central research question guiding this study is: </w:t>
      </w:r>
      <w:r w:rsidRPr="004C6DDC">
        <w:rPr>
          <w:i/>
          <w:iCs/>
          <w:lang w:val="en-IN"/>
        </w:rPr>
        <w:t>How do inflation and interest rate changes affect stock market performance in the United Kingdom?</w:t>
      </w:r>
    </w:p>
    <w:p w14:paraId="2C7B2A17" w14:textId="3730C6C1" w:rsidR="004C6DDC" w:rsidRPr="004C6DDC" w:rsidRDefault="00B337B1" w:rsidP="00424D57">
      <w:pPr>
        <w:rPr>
          <w:lang w:val="en-IN"/>
        </w:rPr>
      </w:pPr>
      <w:r w:rsidRPr="00B337B1">
        <w:rPr>
          <w:lang w:val="en-IN"/>
        </w:rPr>
        <w:lastRenderedPageBreak/>
        <w:t>It will rely on a qualitative, secondary-data-based thematic analysis that is informed by interpretivism and an inductive approach to investigate the patterns in market commentary, policy indications, and industry reaction. The results should lead to the enhanced contextual appreciation of macroeconomic impacts in the financial markets that will be of great value to the investors, the regulators and financial strategists</w:t>
      </w:r>
      <w:r w:rsidR="004C6DDC" w:rsidRPr="004C6DDC">
        <w:rPr>
          <w:lang w:val="en-IN"/>
        </w:rPr>
        <w:t>.</w:t>
      </w:r>
    </w:p>
    <w:p w14:paraId="6F3C490E" w14:textId="77777777" w:rsidR="002C6864" w:rsidRDefault="002C6864" w:rsidP="00424D57">
      <w:pPr>
        <w:spacing w:after="160"/>
        <w:jc w:val="left"/>
        <w:rPr>
          <w:lang w:val="en-IN"/>
        </w:rPr>
      </w:pPr>
      <w:r>
        <w:rPr>
          <w:lang w:val="en-IN"/>
        </w:rPr>
        <w:br w:type="page"/>
      </w:r>
    </w:p>
    <w:p w14:paraId="31E22003" w14:textId="77777777" w:rsidR="004C6DDC" w:rsidRPr="004C6DDC" w:rsidRDefault="004C6DDC" w:rsidP="00424D57">
      <w:pPr>
        <w:pStyle w:val="Heading1"/>
      </w:pPr>
      <w:bookmarkStart w:id="1" w:name="_Toc213102591"/>
      <w:r w:rsidRPr="004C6DDC">
        <w:lastRenderedPageBreak/>
        <w:t>2. Literature Review</w:t>
      </w:r>
      <w:bookmarkEnd w:id="1"/>
    </w:p>
    <w:p w14:paraId="6E1ED77F" w14:textId="77777777" w:rsidR="00B337B1" w:rsidRPr="00B337B1" w:rsidRDefault="00B337B1" w:rsidP="00B337B1">
      <w:pPr>
        <w:rPr>
          <w:lang w:val="en-IN"/>
        </w:rPr>
      </w:pPr>
      <w:r w:rsidRPr="00B337B1">
        <w:rPr>
          <w:lang w:val="en-IN"/>
        </w:rPr>
        <w:t xml:space="preserve">Inflation and interest rates have been examined in relation to the stock market performance and a number of theoretical models guide scholarly discussion. As stated by </w:t>
      </w:r>
      <w:proofErr w:type="spellStart"/>
      <w:r w:rsidRPr="00B337B1">
        <w:rPr>
          <w:lang w:val="en-IN"/>
        </w:rPr>
        <w:t>Nyakurukwa</w:t>
      </w:r>
      <w:proofErr w:type="spellEnd"/>
      <w:r w:rsidRPr="00B337B1">
        <w:rPr>
          <w:lang w:val="en-IN"/>
        </w:rPr>
        <w:t xml:space="preserve"> and Seetharam, (2023), the Efficient Market Hypothesis (EMH) implies that stock prices will reflect all the available information and therefore, </w:t>
      </w:r>
      <w:proofErr w:type="spellStart"/>
      <w:r w:rsidRPr="00B337B1">
        <w:rPr>
          <w:lang w:val="en-IN"/>
        </w:rPr>
        <w:t>macro economic</w:t>
      </w:r>
      <w:proofErr w:type="spellEnd"/>
      <w:r w:rsidRPr="00B337B1">
        <w:rPr>
          <w:lang w:val="en-IN"/>
        </w:rPr>
        <w:t xml:space="preserve"> factors like inflation and interest rate changes are expected to rapidly find their way into the asset prices. Nevertheless, Agrawal, et al. (2024) said that behavioural financial scholars claim that cognitive biases, market sentiment and herd behaviour slow down rational responses. This tension raises the question of whether the UK equity markets are efficient in responding to the signals of the monetary policy, especially in times of the increased uncertainty.</w:t>
      </w:r>
    </w:p>
    <w:p w14:paraId="303E0F42" w14:textId="77777777" w:rsidR="00B337B1" w:rsidRPr="00B337B1" w:rsidRDefault="00B337B1" w:rsidP="00B337B1">
      <w:pPr>
        <w:rPr>
          <w:lang w:val="en-IN"/>
        </w:rPr>
      </w:pPr>
      <w:r w:rsidRPr="00B337B1">
        <w:rPr>
          <w:lang w:val="en-IN"/>
        </w:rPr>
        <w:t>One core point in this argument is the explanation of the monetary transmission mechanism, which determines how the adjustment of policy rates affects the cost of borrowing and investment choices and corporate profitability. According to the opinions of Nukala and Prasada Rao, (2021), when interest rates are high, it is expected that the investment spending will be low, and the discount rates will be high, which may decrease equity values. Although majority of the studies show that rates hikes have negative relationships with the stock market returns, others have claimed that pre-emptive tightening can stabilize the inflation expectations and eventually increase investor confidence. These mixed results prove the intricacy of the monetary signalling in the mature market such as the UK.</w:t>
      </w:r>
    </w:p>
    <w:p w14:paraId="57DC3503" w14:textId="77777777" w:rsidR="00B337B1" w:rsidRPr="00B337B1" w:rsidRDefault="00B337B1" w:rsidP="00B337B1">
      <w:pPr>
        <w:rPr>
          <w:lang w:val="en-IN"/>
        </w:rPr>
      </w:pPr>
      <w:proofErr w:type="spellStart"/>
      <w:r w:rsidRPr="00B337B1">
        <w:rPr>
          <w:lang w:val="en-IN"/>
        </w:rPr>
        <w:t>Gurkaynak</w:t>
      </w:r>
      <w:proofErr w:type="spellEnd"/>
      <w:r w:rsidRPr="00B337B1">
        <w:rPr>
          <w:lang w:val="en-IN"/>
        </w:rPr>
        <w:t>, et al. (2023) proposed this as having additional theoretical insight by indicating that nominal interest rates ought to change with the anticipated inflation, maintaining real returns. There is however no consistent empirical evidence. Incomplete adjustment is common in studies in developed economies implying that unexpected inflation may destroy real equity performance. This begs the question of whether the inflation expectations have been properly priced in UK securities especially in areas where price power is low.</w:t>
      </w:r>
    </w:p>
    <w:p w14:paraId="35EA8C5B" w14:textId="77777777" w:rsidR="00B337B1" w:rsidRPr="00B337B1" w:rsidRDefault="00B337B1" w:rsidP="00B337B1">
      <w:pPr>
        <w:rPr>
          <w:lang w:val="en-IN"/>
        </w:rPr>
      </w:pPr>
      <w:r w:rsidRPr="00B337B1">
        <w:rPr>
          <w:lang w:val="en-IN"/>
        </w:rPr>
        <w:t xml:space="preserve">On the same note, Bhamra, et al. (2023) indicated that </w:t>
      </w:r>
      <w:proofErr w:type="spellStart"/>
      <w:r w:rsidRPr="00B337B1">
        <w:rPr>
          <w:lang w:val="en-IN"/>
        </w:rPr>
        <w:t>iinflation</w:t>
      </w:r>
      <w:proofErr w:type="spellEnd"/>
      <w:r w:rsidRPr="00B337B1">
        <w:rPr>
          <w:lang w:val="en-IN"/>
        </w:rPr>
        <w:t xml:space="preserve"> has an impact on equity valuation as it has an impact on discount rates, profit margins, and real earnings. Studies have shown that industries like banking and commodities would be positively impacted by the inflation in terms of better interest margins and higher prices of resources whilst consumer-oriented and technology industries experience the negative effects due to diminished purchasing power and higher input prices. Nevertheless, critics point out the fact that firm-</w:t>
      </w:r>
      <w:r w:rsidRPr="00B337B1">
        <w:rPr>
          <w:lang w:val="en-IN"/>
        </w:rPr>
        <w:lastRenderedPageBreak/>
        <w:t>based flexibility, hedging policies and government actions make these generalisations more complicated.</w:t>
      </w:r>
    </w:p>
    <w:p w14:paraId="021757DA" w14:textId="77777777" w:rsidR="00B337B1" w:rsidRPr="00B337B1" w:rsidRDefault="00B337B1" w:rsidP="00B337B1">
      <w:pPr>
        <w:rPr>
          <w:lang w:val="en-IN"/>
        </w:rPr>
      </w:pPr>
      <w:r w:rsidRPr="00B337B1">
        <w:rPr>
          <w:lang w:val="en-IN"/>
        </w:rPr>
        <w:t>Conversely, Meng, et al. (2025) explained that communication by central banks is also important since monetary policy announcements can easily cause an immediate volatility. According to literature, investors tend to anticipate behaviour, and thus the expectations of the policies can be incorporated in markets before the actual decision is made. The studies after 2008 show that the sensitivity to individual announcements of the policy is declining, perhaps because of market learning, regulatory reforms or central bank transparency. The uncertainties that surrounded Brexit, commodity shocks around the world, and inflation caused by the pandemic all contributed to macroeconomic volatility in UK markets. Studies indicate that this uncertainty increases inflation sensitivity and rate sensitivity, but contrary evidence indicates diversified capital flows are used to cushion volatility.</w:t>
      </w:r>
    </w:p>
    <w:p w14:paraId="54920309" w14:textId="77777777" w:rsidR="00B337B1" w:rsidRPr="00B337B1" w:rsidRDefault="00B337B1" w:rsidP="00B337B1">
      <w:pPr>
        <w:rPr>
          <w:lang w:val="en-IN"/>
        </w:rPr>
      </w:pPr>
      <w:r w:rsidRPr="00B337B1">
        <w:rPr>
          <w:lang w:val="en-IN"/>
        </w:rPr>
        <w:t xml:space="preserve">The majority of empirical work in the world including Liu and </w:t>
      </w:r>
      <w:proofErr w:type="spellStart"/>
      <w:r w:rsidRPr="00B337B1">
        <w:rPr>
          <w:lang w:val="en-IN"/>
        </w:rPr>
        <w:t>Serletis</w:t>
      </w:r>
      <w:proofErr w:type="spellEnd"/>
      <w:r w:rsidRPr="00B337B1">
        <w:rPr>
          <w:lang w:val="en-IN"/>
        </w:rPr>
        <w:t>, (2022) reveal that there are negative correlations between increasing interest rates and equity performance and results on inflation are mixed. Most importantly, the UK specific research is limited or obsolete, and most of the studies made earlier than recent increases in inflation and historically high rates of monetary tightening. Also, the use of aggregate indices can conceal the sectoral variations. Simple correlations, as opposed to causal inference, are used to establish correlations in many studies which limits the ability to explain.</w:t>
      </w:r>
    </w:p>
    <w:p w14:paraId="5547ADE8" w14:textId="7D7B5C41" w:rsidR="00446C40" w:rsidRPr="00446C40" w:rsidRDefault="00B337B1" w:rsidP="00B337B1">
      <w:pPr>
        <w:rPr>
          <w:lang w:val="en-IN"/>
        </w:rPr>
      </w:pPr>
      <w:r w:rsidRPr="00B337B1">
        <w:rPr>
          <w:lang w:val="en-IN"/>
        </w:rPr>
        <w:t>There are few studies on the interaction of inflation and rate increase simultaneously, even though this is a very pertinent issue nowadays due to the current monetary conditions. Moreover, minimal studies have been conducted on behavioural responses within the UK markets despite its existence that expectations affect short-term volatility. Altogether, inconsistencies, ambiguity of the sector and methodological flaws are reasons why further research is warranted. This dissertation seeks to fill these gaps by looking at new data, taking into consideration sectoral insights and qualitative interpretation of behavioural response in the UK</w:t>
      </w:r>
      <w:r w:rsidR="00446C40" w:rsidRPr="00446C40">
        <w:rPr>
          <w:lang w:val="en-IN"/>
        </w:rPr>
        <w:t>.</w:t>
      </w:r>
    </w:p>
    <w:p w14:paraId="6D9DB40C" w14:textId="6422BD7F" w:rsidR="004C6DDC" w:rsidRDefault="004C6DDC" w:rsidP="00424D57">
      <w:pPr>
        <w:spacing w:after="160"/>
        <w:jc w:val="left"/>
      </w:pPr>
      <w:r>
        <w:br w:type="page"/>
      </w:r>
    </w:p>
    <w:p w14:paraId="73B5BB4B" w14:textId="77777777" w:rsidR="004C6DDC" w:rsidRPr="004C6DDC" w:rsidRDefault="004C6DDC" w:rsidP="00424D57">
      <w:pPr>
        <w:pStyle w:val="Heading1"/>
      </w:pPr>
      <w:bookmarkStart w:id="2" w:name="_Toc213102592"/>
      <w:r w:rsidRPr="004C6DDC">
        <w:lastRenderedPageBreak/>
        <w:t>3. Methodology</w:t>
      </w:r>
      <w:bookmarkEnd w:id="2"/>
    </w:p>
    <w:p w14:paraId="00B04DE6" w14:textId="77777777" w:rsidR="00B337B1" w:rsidRPr="00B337B1" w:rsidRDefault="00B337B1" w:rsidP="00B337B1">
      <w:pPr>
        <w:rPr>
          <w:lang w:val="en-IN"/>
        </w:rPr>
      </w:pPr>
      <w:r w:rsidRPr="00B337B1">
        <w:rPr>
          <w:lang w:val="en-IN"/>
        </w:rPr>
        <w:t>The research takes a qualitative research approach, which is supported by a secondary data analysis in order to examine how inflation and interest rates affect the performance of the stock market in the United Kingdom. A qualitative study is appropriate since the focus is to explain patterns and themes and not quantify statistics relationships (Christou, 2022). By contrast to quantitative analysis, qualitative analysis allows one to better understand contextual inducement, investor mood and policy communication, which are the major issues that involve the study of market behaviour in times of economic uncertainty.</w:t>
      </w:r>
    </w:p>
    <w:p w14:paraId="06A92695" w14:textId="77777777" w:rsidR="00B337B1" w:rsidRPr="00B337B1" w:rsidRDefault="00B337B1" w:rsidP="00B337B1">
      <w:pPr>
        <w:rPr>
          <w:lang w:val="en-IN"/>
        </w:rPr>
      </w:pPr>
      <w:r w:rsidRPr="00B337B1">
        <w:rPr>
          <w:lang w:val="en-IN"/>
        </w:rPr>
        <w:t>The philosophy that will be used in conducting this study is the interpretivism philosophy which acknowledges the fact that the financial markets are all about human perceptions, expectations, and reactions. Such a viewpoint lets the researcher examine the interpretation of the inflationary pressures and monetary decisions by the investors into the market movements. Inductive research methodology is followed, so that the themes can be created based on the existing observations instead of testing the pre-existing hypotheses (Proudfoot, 2023). This is suitable considering the uneven results in available literature.</w:t>
      </w:r>
    </w:p>
    <w:p w14:paraId="2239D42F" w14:textId="77777777" w:rsidR="00B337B1" w:rsidRPr="00B337B1" w:rsidRDefault="00B337B1" w:rsidP="00B337B1">
      <w:pPr>
        <w:rPr>
          <w:lang w:val="en-IN"/>
        </w:rPr>
      </w:pPr>
      <w:r w:rsidRPr="00B337B1">
        <w:rPr>
          <w:lang w:val="en-IN"/>
        </w:rPr>
        <w:t xml:space="preserve">Credible publicly available sources such as the Office for National Statistics (ONS) to get a record of the Consumer Price Index (CPI) inflation, Bank of England to get a record of interest rate decisions and financial commentary concerning major indices of the FTSE 100 and FTSE 250 will also be utilized as sources of secondary data. The other sources will be peer-reviewed journals, industry reports, government publications, and other reliable financial news sources. It is a decade long period which will be used to </w:t>
      </w:r>
      <w:proofErr w:type="spellStart"/>
      <w:r w:rsidRPr="00B337B1">
        <w:rPr>
          <w:lang w:val="en-IN"/>
        </w:rPr>
        <w:t>analyze</w:t>
      </w:r>
      <w:proofErr w:type="spellEnd"/>
      <w:r w:rsidRPr="00B337B1">
        <w:rPr>
          <w:lang w:val="en-IN"/>
        </w:rPr>
        <w:t xml:space="preserve"> the state of affairs before the pandemic, the trend of volatility of the pandemic, and the trend of inflation post-pandemic.</w:t>
      </w:r>
    </w:p>
    <w:p w14:paraId="0B2CA8E3" w14:textId="2014E4CC" w:rsidR="00E3555D" w:rsidRPr="00B337B1" w:rsidRDefault="00B337B1" w:rsidP="00B337B1">
      <w:pPr>
        <w:rPr>
          <w:lang w:val="en-IN"/>
        </w:rPr>
      </w:pPr>
      <w:r w:rsidRPr="00B337B1">
        <w:rPr>
          <w:lang w:val="en-IN"/>
        </w:rPr>
        <w:t>An analysis of recurring trends in the textual information will be carried out through the thematic analysis (Ahmed, et al. 2025). Themes that are expected to manifest are monetary policy signalling, inflationary pressures, market sentiment, sectoral exposure, and investor behaviour. Manual coding will be done without the expert software to ensure a close interaction with the content. Ethics involved are not high because all the information is public. Citation will be carried out to ensure academic integrity. Triangulation of sources will be done to improve the reliability of the information, whereas the validity will be supported by the use of the most recent and current information. This methodology, on the whole, offers a solid background of explicating how inflation and interest rates fluctuations affect the performance of the UK stock markets on interpretative basis</w:t>
      </w:r>
      <w:r w:rsidR="004C6DDC" w:rsidRPr="004C6DDC">
        <w:rPr>
          <w:lang w:val="en-IN"/>
        </w:rPr>
        <w:t>.</w:t>
      </w:r>
    </w:p>
    <w:p w14:paraId="746A93FD" w14:textId="683D1A73" w:rsidR="004C6DDC" w:rsidRPr="004C6DDC" w:rsidRDefault="004C6DDC" w:rsidP="00424D57">
      <w:pPr>
        <w:pStyle w:val="Heading1"/>
      </w:pPr>
      <w:bookmarkStart w:id="3" w:name="_Toc213102593"/>
      <w:r w:rsidRPr="004C6DDC">
        <w:lastRenderedPageBreak/>
        <w:t>4. Expected Findings</w:t>
      </w:r>
      <w:bookmarkEnd w:id="3"/>
    </w:p>
    <w:p w14:paraId="3C175B55" w14:textId="77777777" w:rsidR="00827747" w:rsidRPr="00827747" w:rsidRDefault="00827747" w:rsidP="00827747">
      <w:pPr>
        <w:rPr>
          <w:lang w:val="en-IN"/>
        </w:rPr>
      </w:pPr>
      <w:r w:rsidRPr="00827747">
        <w:rPr>
          <w:lang w:val="en-IN"/>
        </w:rPr>
        <w:t xml:space="preserve">The research is expected to show a negative relationship between stock market performance in the United Kingdom and changes in interest rate generally. As interest rates increase, there are likely to be an upsurge in the cost of borrowing, as well as the profitability of corporations, which will help investors invest in assets of the fixed-income sector. The long-run inflationary pressure can also undermine the investor confidence by reducing the real returns and uncertainty of the future cash flows. </w:t>
      </w:r>
    </w:p>
    <w:p w14:paraId="5E342880" w14:textId="0E85B4D1" w:rsidR="004C6DDC" w:rsidRPr="004C6DDC" w:rsidRDefault="00827747" w:rsidP="00827747">
      <w:pPr>
        <w:rPr>
          <w:lang w:val="en-IN"/>
        </w:rPr>
      </w:pPr>
      <w:r w:rsidRPr="00827747">
        <w:rPr>
          <w:lang w:val="en-IN"/>
        </w:rPr>
        <w:t>The anticipated results are that sector differences are likely to be experienced with the banks gaining higher interest margins, and consumer-oriented and growth orient sectors likely to experience margin pressures and lower demand. Also, there is a likelihood that market responses are determined by investor expectations and broader macroeconomic mood and not policy changes. Policymaking wise, the findings can justify the significance of having clear communication by the Bank of England in order to reduce volatility. On the whole, the expected outcomes would provide informative information to investors, regulators, and strategic decision-makers doing business in inflationary and tightening monetary conditions</w:t>
      </w:r>
      <w:r w:rsidR="004C6DDC" w:rsidRPr="004C6DDC">
        <w:rPr>
          <w:lang w:val="en-IN"/>
        </w:rPr>
        <w:t>.</w:t>
      </w:r>
    </w:p>
    <w:p w14:paraId="12FB4364" w14:textId="71D7D5E0" w:rsidR="004C6DDC" w:rsidRDefault="004C6DDC" w:rsidP="00424D57">
      <w:pPr>
        <w:spacing w:after="160"/>
        <w:jc w:val="left"/>
      </w:pPr>
      <w:r>
        <w:br w:type="page"/>
      </w:r>
    </w:p>
    <w:p w14:paraId="314E32E1" w14:textId="77777777" w:rsidR="004C6DDC" w:rsidRPr="004C6DDC" w:rsidRDefault="004C6DDC" w:rsidP="00424D57">
      <w:pPr>
        <w:pStyle w:val="Heading1"/>
      </w:pPr>
      <w:bookmarkStart w:id="4" w:name="_Toc213102594"/>
      <w:r w:rsidRPr="004C6DDC">
        <w:lastRenderedPageBreak/>
        <w:t>5. Limitations</w:t>
      </w:r>
      <w:bookmarkEnd w:id="4"/>
    </w:p>
    <w:p w14:paraId="2002BCDA" w14:textId="430DAEA4" w:rsidR="004C6DDC" w:rsidRPr="004C6DDC" w:rsidRDefault="00827747" w:rsidP="00424D57">
      <w:pPr>
        <w:rPr>
          <w:lang w:val="en-IN"/>
        </w:rPr>
      </w:pPr>
      <w:r w:rsidRPr="00827747">
        <w:rPr>
          <w:lang w:val="en-IN"/>
        </w:rPr>
        <w:t>The findings of this research are prone to a number of limitations that can influence the interpretation of the results. The information on the behaviour of particular investors is limited in terms of access, and the analysis should be based on publicly available secondary data. Time can restrict the scope of historical coverage considered and long-term trends are not covered. Models of confounding macroeconomic variables like GDP growth, consumer confidence and exchange rates might not be entirely isolable. Market anomalies such as the COVID-19 pandemic, geopolitical shocks, may affect trends and decrease generalisability. Since the study is purely on the UK, it might not be applicable in other countries. Lastly, qualitative thematic approach is not precise in terms of statistics</w:t>
      </w:r>
      <w:r w:rsidR="004C6DDC" w:rsidRPr="004C6DDC">
        <w:rPr>
          <w:lang w:val="en-IN"/>
        </w:rPr>
        <w:t>.</w:t>
      </w:r>
    </w:p>
    <w:p w14:paraId="0034EB63" w14:textId="56551E1D" w:rsidR="004C6DDC" w:rsidRDefault="004C6DDC" w:rsidP="00424D57">
      <w:pPr>
        <w:spacing w:after="160"/>
        <w:jc w:val="left"/>
      </w:pPr>
      <w:r>
        <w:br w:type="page"/>
      </w:r>
    </w:p>
    <w:p w14:paraId="37A358ED" w14:textId="77777777" w:rsidR="004C6DDC" w:rsidRPr="004C6DDC" w:rsidRDefault="004C6DDC" w:rsidP="00424D57">
      <w:pPr>
        <w:pStyle w:val="Heading1"/>
      </w:pPr>
      <w:bookmarkStart w:id="5" w:name="_Toc213102595"/>
      <w:r w:rsidRPr="004C6DDC">
        <w:lastRenderedPageBreak/>
        <w:t>6. Timeframe / Project Plan</w:t>
      </w:r>
      <w:bookmarkEnd w:id="5"/>
    </w:p>
    <w:p w14:paraId="1097496D" w14:textId="57EB11CD" w:rsidR="004C6DDC" w:rsidRPr="004C6DDC" w:rsidRDefault="00827747" w:rsidP="00424D57">
      <w:pPr>
        <w:rPr>
          <w:lang w:val="en-IN"/>
        </w:rPr>
      </w:pPr>
      <w:r w:rsidRPr="00827747">
        <w:rPr>
          <w:lang w:val="en-IN"/>
        </w:rPr>
        <w:t>The dissertation shall be done within a guided period to make sure that all the research processes are handled in the most efficient way. The project will start by conducting initial research and narrowing down of the topics, which will make the researcher clear up on the focus of the research and the fact that it is consistent with the academic demands. This will be succeeded by the drafting of literature review which will generalise the available research and researched themes. At the same time, the secondary data will be obtained in public and academic databases and subjected to thematic analysis, determining the patterns and relationships. After interpretation of the findings, drafting of the chapter will start in which every section is logical and understands itself. The final work of dissertation will be a strict proofreading, editing and final submission</w:t>
      </w:r>
      <w:r w:rsidR="004C6DDC" w:rsidRPr="004C6DDC">
        <w:rPr>
          <w:lang w:val="en-IN"/>
        </w:rPr>
        <w:t>.</w:t>
      </w:r>
    </w:p>
    <w:p w14:paraId="16E89F76" w14:textId="3EEC7085" w:rsidR="004C6DDC" w:rsidRPr="004C6DDC" w:rsidRDefault="004C6DDC" w:rsidP="00424D57">
      <w:pPr>
        <w:rPr>
          <w:lang w:val="en-IN"/>
        </w:rPr>
      </w:pPr>
      <w:r w:rsidRPr="004C6DDC">
        <w:rPr>
          <w:b/>
          <w:bCs/>
          <w:lang w:val="en-IN"/>
        </w:rPr>
        <w:t>Gantt-Style Timeline</w:t>
      </w:r>
      <w:r w:rsidR="002C6864">
        <w:rPr>
          <w:b/>
          <w:bCs/>
          <w:lang w:val="en-IN"/>
        </w:rPr>
        <w:t>:</w:t>
      </w:r>
    </w:p>
    <w:tbl>
      <w:tblPr>
        <w:tblStyle w:val="TableGrid"/>
        <w:tblW w:w="0" w:type="auto"/>
        <w:tblLook w:val="04A0" w:firstRow="1" w:lastRow="0" w:firstColumn="1" w:lastColumn="0" w:noHBand="0" w:noVBand="1"/>
      </w:tblPr>
      <w:tblGrid>
        <w:gridCol w:w="2830"/>
        <w:gridCol w:w="4678"/>
      </w:tblGrid>
      <w:tr w:rsidR="00534D99" w14:paraId="4509CB61" w14:textId="77777777" w:rsidTr="00534D99">
        <w:tc>
          <w:tcPr>
            <w:tcW w:w="2830" w:type="dxa"/>
            <w:vAlign w:val="center"/>
          </w:tcPr>
          <w:p w14:paraId="1471F141" w14:textId="65E626A5" w:rsidR="00534D99" w:rsidRDefault="00534D99" w:rsidP="00424D57">
            <w:pPr>
              <w:jc w:val="center"/>
              <w:rPr>
                <w:b/>
                <w:bCs/>
                <w:lang w:val="en-IN"/>
              </w:rPr>
            </w:pPr>
            <w:r>
              <w:rPr>
                <w:rStyle w:val="Strong"/>
              </w:rPr>
              <w:t>Timeframe</w:t>
            </w:r>
          </w:p>
        </w:tc>
        <w:tc>
          <w:tcPr>
            <w:tcW w:w="4678" w:type="dxa"/>
            <w:vAlign w:val="center"/>
          </w:tcPr>
          <w:p w14:paraId="72410FD8" w14:textId="496571BD" w:rsidR="00534D99" w:rsidRDefault="00534D99" w:rsidP="00424D57">
            <w:pPr>
              <w:jc w:val="center"/>
              <w:rPr>
                <w:b/>
                <w:bCs/>
                <w:lang w:val="en-IN"/>
              </w:rPr>
            </w:pPr>
            <w:r>
              <w:rPr>
                <w:rStyle w:val="Strong"/>
              </w:rPr>
              <w:t>Activity</w:t>
            </w:r>
          </w:p>
        </w:tc>
      </w:tr>
      <w:tr w:rsidR="00534D99" w14:paraId="50EA9C31" w14:textId="77777777" w:rsidTr="00534D99">
        <w:tc>
          <w:tcPr>
            <w:tcW w:w="2830" w:type="dxa"/>
            <w:vAlign w:val="center"/>
          </w:tcPr>
          <w:p w14:paraId="7CA96FE6" w14:textId="53C94BC8" w:rsidR="00534D99" w:rsidRDefault="00534D99" w:rsidP="00424D57">
            <w:pPr>
              <w:jc w:val="center"/>
              <w:rPr>
                <w:b/>
                <w:bCs/>
                <w:lang w:val="en-IN"/>
              </w:rPr>
            </w:pPr>
            <w:r>
              <w:t>Weeks 1–2</w:t>
            </w:r>
          </w:p>
        </w:tc>
        <w:tc>
          <w:tcPr>
            <w:tcW w:w="4678" w:type="dxa"/>
            <w:vAlign w:val="center"/>
          </w:tcPr>
          <w:p w14:paraId="0B36D088" w14:textId="6C6D159D" w:rsidR="00534D99" w:rsidRDefault="00534D99" w:rsidP="00424D57">
            <w:pPr>
              <w:jc w:val="center"/>
              <w:rPr>
                <w:b/>
                <w:bCs/>
                <w:lang w:val="en-IN"/>
              </w:rPr>
            </w:pPr>
            <w:r>
              <w:t>Preliminary research and topic refinement</w:t>
            </w:r>
          </w:p>
        </w:tc>
      </w:tr>
      <w:tr w:rsidR="00534D99" w14:paraId="388DE005" w14:textId="77777777" w:rsidTr="00534D99">
        <w:tc>
          <w:tcPr>
            <w:tcW w:w="2830" w:type="dxa"/>
            <w:vAlign w:val="center"/>
          </w:tcPr>
          <w:p w14:paraId="25801D37" w14:textId="2FE31FB2" w:rsidR="00534D99" w:rsidRDefault="00534D99" w:rsidP="00424D57">
            <w:pPr>
              <w:jc w:val="center"/>
              <w:rPr>
                <w:b/>
                <w:bCs/>
                <w:lang w:val="en-IN"/>
              </w:rPr>
            </w:pPr>
            <w:r>
              <w:t>Weeks 3–5</w:t>
            </w:r>
          </w:p>
        </w:tc>
        <w:tc>
          <w:tcPr>
            <w:tcW w:w="4678" w:type="dxa"/>
            <w:vAlign w:val="center"/>
          </w:tcPr>
          <w:p w14:paraId="3EED8180" w14:textId="3743CCA7" w:rsidR="00534D99" w:rsidRDefault="00534D99" w:rsidP="00424D57">
            <w:pPr>
              <w:jc w:val="center"/>
              <w:rPr>
                <w:b/>
                <w:bCs/>
                <w:lang w:val="en-IN"/>
              </w:rPr>
            </w:pPr>
            <w:r>
              <w:t>Literature review drafting</w:t>
            </w:r>
          </w:p>
        </w:tc>
      </w:tr>
      <w:tr w:rsidR="00534D99" w14:paraId="152CCCD2" w14:textId="77777777" w:rsidTr="00534D99">
        <w:tc>
          <w:tcPr>
            <w:tcW w:w="2830" w:type="dxa"/>
            <w:vAlign w:val="center"/>
          </w:tcPr>
          <w:p w14:paraId="23CC1019" w14:textId="3F0EE61B" w:rsidR="00534D99" w:rsidRDefault="00534D99" w:rsidP="00424D57">
            <w:pPr>
              <w:jc w:val="center"/>
              <w:rPr>
                <w:b/>
                <w:bCs/>
                <w:lang w:val="en-IN"/>
              </w:rPr>
            </w:pPr>
            <w:r>
              <w:t>Weeks 6–7</w:t>
            </w:r>
          </w:p>
        </w:tc>
        <w:tc>
          <w:tcPr>
            <w:tcW w:w="4678" w:type="dxa"/>
            <w:vAlign w:val="center"/>
          </w:tcPr>
          <w:p w14:paraId="669249F9" w14:textId="399E5F91" w:rsidR="00534D99" w:rsidRDefault="00534D99" w:rsidP="00424D57">
            <w:pPr>
              <w:jc w:val="center"/>
              <w:rPr>
                <w:b/>
                <w:bCs/>
                <w:lang w:val="en-IN"/>
              </w:rPr>
            </w:pPr>
            <w:r>
              <w:t xml:space="preserve">Secondary data sourcing and </w:t>
            </w:r>
            <w:proofErr w:type="spellStart"/>
            <w:r>
              <w:t>organisation</w:t>
            </w:r>
            <w:proofErr w:type="spellEnd"/>
          </w:p>
        </w:tc>
      </w:tr>
      <w:tr w:rsidR="00534D99" w14:paraId="4817780D" w14:textId="77777777" w:rsidTr="00534D99">
        <w:tc>
          <w:tcPr>
            <w:tcW w:w="2830" w:type="dxa"/>
            <w:vAlign w:val="center"/>
          </w:tcPr>
          <w:p w14:paraId="72BA5553" w14:textId="0BC51BA4" w:rsidR="00534D99" w:rsidRDefault="00534D99" w:rsidP="00424D57">
            <w:pPr>
              <w:jc w:val="center"/>
              <w:rPr>
                <w:b/>
                <w:bCs/>
                <w:lang w:val="en-IN"/>
              </w:rPr>
            </w:pPr>
            <w:r>
              <w:t>Weeks 8–9</w:t>
            </w:r>
          </w:p>
        </w:tc>
        <w:tc>
          <w:tcPr>
            <w:tcW w:w="4678" w:type="dxa"/>
            <w:vAlign w:val="center"/>
          </w:tcPr>
          <w:p w14:paraId="71684477" w14:textId="23C20D84" w:rsidR="00534D99" w:rsidRDefault="00534D99" w:rsidP="00424D57">
            <w:pPr>
              <w:jc w:val="center"/>
              <w:rPr>
                <w:b/>
                <w:bCs/>
                <w:lang w:val="en-IN"/>
              </w:rPr>
            </w:pPr>
            <w:r>
              <w:t>Thematic analysis and synthesis of findings</w:t>
            </w:r>
          </w:p>
        </w:tc>
      </w:tr>
      <w:tr w:rsidR="00534D99" w14:paraId="0D9C5D9F" w14:textId="77777777" w:rsidTr="00534D99">
        <w:tc>
          <w:tcPr>
            <w:tcW w:w="2830" w:type="dxa"/>
            <w:vAlign w:val="center"/>
          </w:tcPr>
          <w:p w14:paraId="47655713" w14:textId="668D3780" w:rsidR="00534D99" w:rsidRDefault="00534D99" w:rsidP="00424D57">
            <w:pPr>
              <w:jc w:val="center"/>
              <w:rPr>
                <w:b/>
                <w:bCs/>
                <w:lang w:val="en-IN"/>
              </w:rPr>
            </w:pPr>
            <w:r>
              <w:t>Weeks 10–12</w:t>
            </w:r>
          </w:p>
        </w:tc>
        <w:tc>
          <w:tcPr>
            <w:tcW w:w="4678" w:type="dxa"/>
            <w:vAlign w:val="center"/>
          </w:tcPr>
          <w:p w14:paraId="15CA5144" w14:textId="52970C54" w:rsidR="00534D99" w:rsidRDefault="00534D99" w:rsidP="00424D57">
            <w:pPr>
              <w:jc w:val="center"/>
              <w:rPr>
                <w:b/>
                <w:bCs/>
                <w:lang w:val="en-IN"/>
              </w:rPr>
            </w:pPr>
            <w:r>
              <w:t>Chapter drafting and restructuring</w:t>
            </w:r>
          </w:p>
        </w:tc>
      </w:tr>
      <w:tr w:rsidR="00534D99" w14:paraId="6E0CC328" w14:textId="77777777" w:rsidTr="00534D99">
        <w:tc>
          <w:tcPr>
            <w:tcW w:w="2830" w:type="dxa"/>
            <w:vAlign w:val="center"/>
          </w:tcPr>
          <w:p w14:paraId="42C04DEA" w14:textId="07C0E2C3" w:rsidR="00534D99" w:rsidRDefault="00534D99" w:rsidP="00424D57">
            <w:pPr>
              <w:jc w:val="center"/>
              <w:rPr>
                <w:b/>
                <w:bCs/>
                <w:lang w:val="en-IN"/>
              </w:rPr>
            </w:pPr>
            <w:r>
              <w:t>Weeks 13–14</w:t>
            </w:r>
          </w:p>
        </w:tc>
        <w:tc>
          <w:tcPr>
            <w:tcW w:w="4678" w:type="dxa"/>
            <w:vAlign w:val="center"/>
          </w:tcPr>
          <w:p w14:paraId="6679E9D7" w14:textId="0DC80A11" w:rsidR="00534D99" w:rsidRDefault="00534D99" w:rsidP="00424D57">
            <w:pPr>
              <w:jc w:val="center"/>
              <w:rPr>
                <w:b/>
                <w:bCs/>
                <w:lang w:val="en-IN"/>
              </w:rPr>
            </w:pPr>
            <w:r>
              <w:t>Proofreading, editing, and formatting</w:t>
            </w:r>
          </w:p>
        </w:tc>
      </w:tr>
      <w:tr w:rsidR="00534D99" w14:paraId="2669CF53" w14:textId="77777777" w:rsidTr="00534D99">
        <w:tc>
          <w:tcPr>
            <w:tcW w:w="2830" w:type="dxa"/>
            <w:vAlign w:val="center"/>
          </w:tcPr>
          <w:p w14:paraId="7AA7BE81" w14:textId="4E36DCA1" w:rsidR="00534D99" w:rsidRDefault="00534D99" w:rsidP="00424D57">
            <w:pPr>
              <w:jc w:val="center"/>
              <w:rPr>
                <w:b/>
                <w:bCs/>
                <w:lang w:val="en-IN"/>
              </w:rPr>
            </w:pPr>
            <w:r>
              <w:t>Week 15</w:t>
            </w:r>
          </w:p>
        </w:tc>
        <w:tc>
          <w:tcPr>
            <w:tcW w:w="4678" w:type="dxa"/>
            <w:vAlign w:val="center"/>
          </w:tcPr>
          <w:p w14:paraId="10444723" w14:textId="29BAFE02" w:rsidR="00534D99" w:rsidRDefault="00534D99" w:rsidP="00424D57">
            <w:pPr>
              <w:jc w:val="center"/>
              <w:rPr>
                <w:b/>
                <w:bCs/>
                <w:lang w:val="en-IN"/>
              </w:rPr>
            </w:pPr>
            <w:r>
              <w:t>Final submission</w:t>
            </w:r>
          </w:p>
        </w:tc>
      </w:tr>
    </w:tbl>
    <w:p w14:paraId="6E12326B" w14:textId="77777777" w:rsidR="00534D99" w:rsidRDefault="00534D99" w:rsidP="00424D57">
      <w:pPr>
        <w:rPr>
          <w:b/>
          <w:bCs/>
          <w:lang w:val="en-IN"/>
        </w:rPr>
      </w:pPr>
    </w:p>
    <w:p w14:paraId="0AA41445" w14:textId="361F692A" w:rsidR="004C6DDC" w:rsidRPr="004C6DDC" w:rsidRDefault="004C6DDC" w:rsidP="00424D57">
      <w:pPr>
        <w:rPr>
          <w:lang w:val="en-IN"/>
        </w:rPr>
      </w:pPr>
      <w:r w:rsidRPr="004C6DDC">
        <w:rPr>
          <w:lang w:val="en-IN"/>
        </w:rPr>
        <w:t>This structured plan ensures timely progress and maintains academic quality throughout the dissertation process.</w:t>
      </w:r>
    </w:p>
    <w:p w14:paraId="1A711E5F" w14:textId="7E7A1D64" w:rsidR="004C6DDC" w:rsidRDefault="004C6DDC" w:rsidP="00424D57">
      <w:pPr>
        <w:spacing w:after="160"/>
        <w:jc w:val="left"/>
      </w:pPr>
      <w:r>
        <w:br w:type="page"/>
      </w:r>
    </w:p>
    <w:p w14:paraId="287E903D" w14:textId="77777777" w:rsidR="004C6DDC" w:rsidRPr="004C6DDC" w:rsidRDefault="004C6DDC" w:rsidP="00424D57">
      <w:pPr>
        <w:pStyle w:val="Heading1"/>
      </w:pPr>
      <w:bookmarkStart w:id="6" w:name="_Toc213102596"/>
      <w:r w:rsidRPr="004C6DDC">
        <w:lastRenderedPageBreak/>
        <w:t>7. Conclusion</w:t>
      </w:r>
      <w:bookmarkEnd w:id="6"/>
    </w:p>
    <w:p w14:paraId="3BA910EE" w14:textId="77777777" w:rsidR="00827747" w:rsidRPr="00827747" w:rsidRDefault="00827747" w:rsidP="00827747">
      <w:pPr>
        <w:rPr>
          <w:lang w:val="en-IN"/>
        </w:rPr>
      </w:pPr>
      <w:r w:rsidRPr="00827747">
        <w:rPr>
          <w:lang w:val="en-IN"/>
        </w:rPr>
        <w:t xml:space="preserve">To sum up, it is evident that this proposal of a dissertation has identified the need to study the effect of inflation and interest rate variations on the performance of the stock markets in the United Kingdom, especially in an era that has been marked with increased macroeconomic volatility. The research will examine such relations, going through the secondary qualitative data and using thematic analysis to find common patterns, investor </w:t>
      </w:r>
      <w:proofErr w:type="spellStart"/>
      <w:r w:rsidRPr="00827747">
        <w:rPr>
          <w:lang w:val="en-IN"/>
        </w:rPr>
        <w:t>behavior</w:t>
      </w:r>
      <w:proofErr w:type="spellEnd"/>
      <w:r w:rsidRPr="00827747">
        <w:rPr>
          <w:lang w:val="en-IN"/>
        </w:rPr>
        <w:t>, and implications to the sector. The study will provide a valuable contribution to the academic knowledge on the effects of monetary policy by achieving the formulated goals and will provide practical implications to the investors, financial institutions, and policymakers.</w:t>
      </w:r>
    </w:p>
    <w:p w14:paraId="18D834E0" w14:textId="455CDC7C" w:rsidR="004C6DDC" w:rsidRPr="004C6DDC" w:rsidRDefault="00827747" w:rsidP="00827747">
      <w:pPr>
        <w:rPr>
          <w:lang w:val="en-IN"/>
        </w:rPr>
      </w:pPr>
      <w:r w:rsidRPr="00827747">
        <w:rPr>
          <w:lang w:val="en-IN"/>
        </w:rPr>
        <w:t>The selected philosophy of interpretivism and inductive methodology guarantee that the results are based on the interpretation of the context instead of a set of preconceived notions, whereas the use of publicly available data only is the factor that guarantees the feasibility and ethical considerations. Despite the shortcomings, including the limitation to accessing granular behavioural data, the methodological framework is sound and suited to investigating the complexity of the topic. Comprehensively, it can be said that the research will make valuable contributions to the literature on financial management and guide decision-makers who have to work through the inflationary times, which is why it should be approved and further the research to the full dissertation level</w:t>
      </w:r>
      <w:r w:rsidR="004C6DDC" w:rsidRPr="004C6DDC">
        <w:rPr>
          <w:lang w:val="en-IN"/>
        </w:rPr>
        <w:t>.</w:t>
      </w:r>
    </w:p>
    <w:p w14:paraId="2DC67439" w14:textId="26B8F473" w:rsidR="002C6864" w:rsidRDefault="002C6864" w:rsidP="00424D57">
      <w:pPr>
        <w:spacing w:after="160"/>
        <w:jc w:val="left"/>
      </w:pPr>
      <w:r>
        <w:br w:type="page"/>
      </w:r>
    </w:p>
    <w:p w14:paraId="2086B187" w14:textId="343CDA21" w:rsidR="004C6DDC" w:rsidRDefault="002C6864" w:rsidP="00424D57">
      <w:pPr>
        <w:pStyle w:val="Heading1"/>
      </w:pPr>
      <w:bookmarkStart w:id="7" w:name="_Toc213102597"/>
      <w:r>
        <w:lastRenderedPageBreak/>
        <w:t>References</w:t>
      </w:r>
      <w:bookmarkEnd w:id="7"/>
    </w:p>
    <w:p w14:paraId="3006832D" w14:textId="77777777" w:rsidR="00ED6C5A" w:rsidRDefault="00ED6C5A" w:rsidP="00ED6C5A">
      <w:r w:rsidRPr="00366DF9">
        <w:t>Adeosun, O.A., Tabash, M.I., Vo, X.V. and Anagreh, S., 2022. Uncertainty measures and inflation dynamics in selected global players: a wavelet approach. </w:t>
      </w:r>
      <w:r w:rsidRPr="00366DF9">
        <w:rPr>
          <w:i/>
          <w:iCs/>
        </w:rPr>
        <w:t>Quality &amp; Quantity</w:t>
      </w:r>
      <w:r w:rsidRPr="00366DF9">
        <w:t>, p.1.</w:t>
      </w:r>
    </w:p>
    <w:p w14:paraId="04E32A78" w14:textId="77777777" w:rsidR="00ED6C5A" w:rsidRDefault="00ED6C5A" w:rsidP="00ED6C5A">
      <w:r w:rsidRPr="00366DF9">
        <w:t>Delao, R. and Myers, S., 2021. Subjective cash flow and discount rate expectations. </w:t>
      </w:r>
      <w:r w:rsidRPr="00366DF9">
        <w:rPr>
          <w:i/>
          <w:iCs/>
        </w:rPr>
        <w:t>The Journal of Finance</w:t>
      </w:r>
      <w:r w:rsidRPr="00366DF9">
        <w:t>, </w:t>
      </w:r>
      <w:r w:rsidRPr="00366DF9">
        <w:rPr>
          <w:i/>
          <w:iCs/>
        </w:rPr>
        <w:t>76</w:t>
      </w:r>
      <w:r w:rsidRPr="00366DF9">
        <w:t>(3), pp.1339-1387.</w:t>
      </w:r>
    </w:p>
    <w:p w14:paraId="19E0FE42" w14:textId="77777777" w:rsidR="00ED6C5A" w:rsidRDefault="00ED6C5A" w:rsidP="00ED6C5A">
      <w:pPr>
        <w:rPr>
          <w:lang w:val="en-IN"/>
        </w:rPr>
      </w:pPr>
      <w:r w:rsidRPr="00366DF9">
        <w:t>Agrawal, S.S., Sahai, K.P. and Gopal, J.V., 2024. Behavioral Finance and Market Anomalies: Explore How Cognitive Biases and Emotional Factors Influence Investor Behavior and Lead to Market Anomalies. </w:t>
      </w:r>
      <w:r w:rsidRPr="00366DF9">
        <w:rPr>
          <w:i/>
          <w:iCs/>
        </w:rPr>
        <w:t>Library of Progress-Library Science, Information Technology &amp; Computer</w:t>
      </w:r>
      <w:r w:rsidRPr="00366DF9">
        <w:t>, </w:t>
      </w:r>
      <w:r w:rsidRPr="00366DF9">
        <w:rPr>
          <w:i/>
          <w:iCs/>
        </w:rPr>
        <w:t>44</w:t>
      </w:r>
      <w:r w:rsidRPr="00366DF9">
        <w:t>(3).</w:t>
      </w:r>
    </w:p>
    <w:p w14:paraId="6786FA73" w14:textId="77777777" w:rsidR="00ED6C5A" w:rsidRDefault="00ED6C5A" w:rsidP="00ED6C5A">
      <w:proofErr w:type="spellStart"/>
      <w:r w:rsidRPr="00366DF9">
        <w:t>Nyakurukwa</w:t>
      </w:r>
      <w:proofErr w:type="spellEnd"/>
      <w:r w:rsidRPr="00366DF9">
        <w:t>, K. and Seetharam, Y., 2023. Alternatives to the efficient market hypothesis: an overview. </w:t>
      </w:r>
      <w:r w:rsidRPr="00366DF9">
        <w:rPr>
          <w:i/>
          <w:iCs/>
        </w:rPr>
        <w:t>Journal of Capital Markets Studies</w:t>
      </w:r>
      <w:r w:rsidRPr="00366DF9">
        <w:t>, </w:t>
      </w:r>
      <w:r w:rsidRPr="00366DF9">
        <w:rPr>
          <w:i/>
          <w:iCs/>
        </w:rPr>
        <w:t>7</w:t>
      </w:r>
      <w:r w:rsidRPr="00366DF9">
        <w:t>(2), pp.111-124.</w:t>
      </w:r>
    </w:p>
    <w:p w14:paraId="4042EAC3" w14:textId="77777777" w:rsidR="00ED6C5A" w:rsidRDefault="00ED6C5A" w:rsidP="00ED6C5A">
      <w:r w:rsidRPr="00366DF9">
        <w:t>de la Horra, L.P., Perote, J. and De La Fuente, G., 2021. Monetary policy and corporate investment: A panel-data analysis of transmission mechanisms in contexts of high uncertainty. </w:t>
      </w:r>
      <w:r w:rsidRPr="00366DF9">
        <w:rPr>
          <w:i/>
          <w:iCs/>
        </w:rPr>
        <w:t>International Review of Economics &amp; Finance</w:t>
      </w:r>
      <w:r w:rsidRPr="00366DF9">
        <w:t>, </w:t>
      </w:r>
      <w:r w:rsidRPr="00366DF9">
        <w:rPr>
          <w:i/>
          <w:iCs/>
        </w:rPr>
        <w:t>75</w:t>
      </w:r>
      <w:r w:rsidRPr="00366DF9">
        <w:t>, pp.609-624.</w:t>
      </w:r>
    </w:p>
    <w:p w14:paraId="623524A3" w14:textId="77777777" w:rsidR="00ED6C5A" w:rsidRDefault="00ED6C5A" w:rsidP="00ED6C5A">
      <w:r w:rsidRPr="00ED6C5A">
        <w:t>Nukala, V.B. and Prasada Rao, S.S., 2021. Role of debt-to-equity ratio in project investment valuation, assessing risk and return in capital markets. </w:t>
      </w:r>
      <w:r w:rsidRPr="00ED6C5A">
        <w:rPr>
          <w:i/>
          <w:iCs/>
        </w:rPr>
        <w:t>Future Business Journal</w:t>
      </w:r>
      <w:r w:rsidRPr="00ED6C5A">
        <w:t>, </w:t>
      </w:r>
      <w:r w:rsidRPr="00ED6C5A">
        <w:rPr>
          <w:i/>
          <w:iCs/>
        </w:rPr>
        <w:t>7</w:t>
      </w:r>
      <w:r w:rsidRPr="00ED6C5A">
        <w:t>(1), p.13.</w:t>
      </w:r>
    </w:p>
    <w:p w14:paraId="2BCB6D57" w14:textId="77777777" w:rsidR="00ED6C5A" w:rsidRDefault="00ED6C5A" w:rsidP="00ED6C5A">
      <w:proofErr w:type="spellStart"/>
      <w:r w:rsidRPr="00ED6C5A">
        <w:t>Gürkaynak</w:t>
      </w:r>
      <w:proofErr w:type="spellEnd"/>
      <w:r w:rsidRPr="00ED6C5A">
        <w:t xml:space="preserve">, R.S., </w:t>
      </w:r>
      <w:proofErr w:type="spellStart"/>
      <w:r w:rsidRPr="00ED6C5A">
        <w:t>Kısacıkoğlu</w:t>
      </w:r>
      <w:proofErr w:type="spellEnd"/>
      <w:r w:rsidRPr="00ED6C5A">
        <w:t>, B. and Lee, S.S., 2023. Exchange rate and inflation under weak monetary policy: Turkey verifies theory. </w:t>
      </w:r>
      <w:r w:rsidRPr="00ED6C5A">
        <w:rPr>
          <w:i/>
          <w:iCs/>
        </w:rPr>
        <w:t>Economic Policy</w:t>
      </w:r>
      <w:r w:rsidRPr="00ED6C5A">
        <w:t>, </w:t>
      </w:r>
      <w:r w:rsidRPr="00ED6C5A">
        <w:rPr>
          <w:i/>
          <w:iCs/>
        </w:rPr>
        <w:t>38</w:t>
      </w:r>
      <w:r w:rsidRPr="00ED6C5A">
        <w:t>(115), pp.519-560.</w:t>
      </w:r>
    </w:p>
    <w:p w14:paraId="362E5A34" w14:textId="77777777" w:rsidR="00ED6C5A" w:rsidRDefault="00ED6C5A" w:rsidP="00ED6C5A">
      <w:r w:rsidRPr="00ED6C5A">
        <w:t>Bhamra, H.S., Dorion, C., Jeanneret, A. and Weber, M., 2023. High inflation: Low default risk and low equity valuations. </w:t>
      </w:r>
      <w:r w:rsidRPr="00ED6C5A">
        <w:rPr>
          <w:i/>
          <w:iCs/>
        </w:rPr>
        <w:t>The Review of Financial Studies</w:t>
      </w:r>
      <w:r w:rsidRPr="00ED6C5A">
        <w:t>, </w:t>
      </w:r>
      <w:r w:rsidRPr="00ED6C5A">
        <w:rPr>
          <w:i/>
          <w:iCs/>
        </w:rPr>
        <w:t>36</w:t>
      </w:r>
      <w:r w:rsidRPr="00ED6C5A">
        <w:t>(3), pp.1192-1252.</w:t>
      </w:r>
    </w:p>
    <w:p w14:paraId="2B474E30" w14:textId="77777777" w:rsidR="00ED6C5A" w:rsidRDefault="00ED6C5A" w:rsidP="00ED6C5A">
      <w:r w:rsidRPr="00ED6C5A">
        <w:t>Meng, J., Mo, B. and Ding, S., 2025. Central bank communication, economic policy uncertainty, and financial market volatility: A time-varying perspective on Chinese markets. </w:t>
      </w:r>
      <w:r w:rsidRPr="00ED6C5A">
        <w:rPr>
          <w:i/>
          <w:iCs/>
        </w:rPr>
        <w:t>Computational Economics</w:t>
      </w:r>
      <w:r w:rsidRPr="00ED6C5A">
        <w:t>, pp.1-37.</w:t>
      </w:r>
    </w:p>
    <w:p w14:paraId="698F6459" w14:textId="77777777" w:rsidR="00ED6C5A" w:rsidRPr="004C6DDC" w:rsidRDefault="00ED6C5A" w:rsidP="00ED6C5A">
      <w:pPr>
        <w:rPr>
          <w:lang w:val="en-IN"/>
        </w:rPr>
      </w:pPr>
      <w:r w:rsidRPr="00ED6C5A">
        <w:t xml:space="preserve">Liu, J. and </w:t>
      </w:r>
      <w:proofErr w:type="spellStart"/>
      <w:r w:rsidRPr="00ED6C5A">
        <w:t>Serletis</w:t>
      </w:r>
      <w:proofErr w:type="spellEnd"/>
      <w:r w:rsidRPr="00ED6C5A">
        <w:t>, A., 2022. The complex relationship between inflation and equity returns. </w:t>
      </w:r>
      <w:r w:rsidRPr="00ED6C5A">
        <w:rPr>
          <w:i/>
          <w:iCs/>
        </w:rPr>
        <w:t>Journal of Economic Studies</w:t>
      </w:r>
      <w:r w:rsidRPr="00ED6C5A">
        <w:t>, </w:t>
      </w:r>
      <w:r w:rsidRPr="00ED6C5A">
        <w:rPr>
          <w:i/>
          <w:iCs/>
        </w:rPr>
        <w:t>49</w:t>
      </w:r>
      <w:r w:rsidRPr="00ED6C5A">
        <w:t>(1), pp.159-184.</w:t>
      </w:r>
    </w:p>
    <w:p w14:paraId="079FF857" w14:textId="77777777" w:rsidR="00B337B1" w:rsidRDefault="00B337B1" w:rsidP="00B337B1">
      <w:r w:rsidRPr="00E3555D">
        <w:t xml:space="preserve">Ahmed, S.K., Mohammed, R.A., Nashwan, A.J., Ibrahim, R.H., Abdalla, A.Q., Ameen, B.M.M. and </w:t>
      </w:r>
      <w:proofErr w:type="spellStart"/>
      <w:r w:rsidRPr="00E3555D">
        <w:t>Khdhir</w:t>
      </w:r>
      <w:proofErr w:type="spellEnd"/>
      <w:r w:rsidRPr="00E3555D">
        <w:t>, R.M., 2025. Using thematic analysis in qualitative research. </w:t>
      </w:r>
      <w:r w:rsidRPr="00E3555D">
        <w:rPr>
          <w:i/>
          <w:iCs/>
        </w:rPr>
        <w:t>Journal of Medicine, Surgery, and Public Health</w:t>
      </w:r>
      <w:r w:rsidRPr="00E3555D">
        <w:t>, </w:t>
      </w:r>
      <w:r w:rsidRPr="00E3555D">
        <w:rPr>
          <w:i/>
          <w:iCs/>
        </w:rPr>
        <w:t>6</w:t>
      </w:r>
      <w:r w:rsidRPr="00E3555D">
        <w:t>, p.100198.</w:t>
      </w:r>
    </w:p>
    <w:p w14:paraId="1F06C86C" w14:textId="77777777" w:rsidR="00B337B1" w:rsidRDefault="00B337B1" w:rsidP="00B337B1">
      <w:r w:rsidRPr="00ED6C5A">
        <w:lastRenderedPageBreak/>
        <w:t>Christou, P.A., 2022. How to use thematic analysis in qualitative research. </w:t>
      </w:r>
      <w:r w:rsidRPr="00ED6C5A">
        <w:rPr>
          <w:i/>
          <w:iCs/>
        </w:rPr>
        <w:t>Journal of Qualitative Research in Tourism</w:t>
      </w:r>
      <w:r w:rsidRPr="00ED6C5A">
        <w:t>, </w:t>
      </w:r>
      <w:r w:rsidRPr="00ED6C5A">
        <w:rPr>
          <w:i/>
          <w:iCs/>
        </w:rPr>
        <w:t>3</w:t>
      </w:r>
      <w:r w:rsidRPr="00ED6C5A">
        <w:t>(2), pp.79-95.</w:t>
      </w:r>
    </w:p>
    <w:p w14:paraId="62438E28" w14:textId="77777777" w:rsidR="00B337B1" w:rsidRPr="00491A3F" w:rsidRDefault="00B337B1" w:rsidP="00B337B1">
      <w:pPr>
        <w:rPr>
          <w:lang w:val="en-IN"/>
        </w:rPr>
      </w:pPr>
      <w:r w:rsidRPr="00ED6C5A">
        <w:t>Proudfoot, K., 2023. Inductive/deductive hybrid thematic analysis in mixed methods research. </w:t>
      </w:r>
      <w:r w:rsidRPr="00ED6C5A">
        <w:rPr>
          <w:i/>
          <w:iCs/>
        </w:rPr>
        <w:t>Journal of mixed methods research</w:t>
      </w:r>
      <w:r w:rsidRPr="00ED6C5A">
        <w:t>, </w:t>
      </w:r>
      <w:r w:rsidRPr="00ED6C5A">
        <w:rPr>
          <w:i/>
          <w:iCs/>
        </w:rPr>
        <w:t>17</w:t>
      </w:r>
      <w:r w:rsidRPr="00ED6C5A">
        <w:t>(3), pp.308-326.</w:t>
      </w:r>
    </w:p>
    <w:p w14:paraId="0C2003D7" w14:textId="77777777" w:rsidR="002C6864" w:rsidRDefault="002C6864" w:rsidP="00424D57"/>
    <w:p w14:paraId="29D232F5" w14:textId="77777777" w:rsidR="002C6864" w:rsidRDefault="002C6864" w:rsidP="00424D57"/>
    <w:sectPr w:rsidR="002C6864" w:rsidSect="002C6864">
      <w:footerReference w:type="default" r:id="rId8"/>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5264D" w14:textId="77777777" w:rsidR="008C6C5F" w:rsidRDefault="008C6C5F" w:rsidP="002C6864">
      <w:pPr>
        <w:spacing w:after="0" w:line="240" w:lineRule="auto"/>
      </w:pPr>
      <w:r>
        <w:separator/>
      </w:r>
    </w:p>
  </w:endnote>
  <w:endnote w:type="continuationSeparator" w:id="0">
    <w:p w14:paraId="5DF5C50F" w14:textId="77777777" w:rsidR="008C6C5F" w:rsidRDefault="008C6C5F" w:rsidP="002C6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4786553"/>
      <w:docPartObj>
        <w:docPartGallery w:val="Page Numbers (Bottom of Page)"/>
        <w:docPartUnique/>
      </w:docPartObj>
    </w:sdtPr>
    <w:sdtEndPr>
      <w:rPr>
        <w:noProof/>
      </w:rPr>
    </w:sdtEndPr>
    <w:sdtContent>
      <w:p w14:paraId="0AD1990F" w14:textId="0A7B003A" w:rsidR="002C6864" w:rsidRDefault="002C68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6619F1" w14:textId="77777777" w:rsidR="002C6864" w:rsidRDefault="002C68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0F3A8" w14:textId="77777777" w:rsidR="008C6C5F" w:rsidRDefault="008C6C5F" w:rsidP="002C6864">
      <w:pPr>
        <w:spacing w:after="0" w:line="240" w:lineRule="auto"/>
      </w:pPr>
      <w:r>
        <w:separator/>
      </w:r>
    </w:p>
  </w:footnote>
  <w:footnote w:type="continuationSeparator" w:id="0">
    <w:p w14:paraId="13FFC196" w14:textId="77777777" w:rsidR="008C6C5F" w:rsidRDefault="008C6C5F" w:rsidP="002C68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A7680"/>
    <w:multiLevelType w:val="multilevel"/>
    <w:tmpl w:val="E068A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DF2686"/>
    <w:multiLevelType w:val="multilevel"/>
    <w:tmpl w:val="50683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7793637">
    <w:abstractNumId w:val="0"/>
  </w:num>
  <w:num w:numId="2" w16cid:durableId="8326493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B3E"/>
    <w:rsid w:val="000100ED"/>
    <w:rsid w:val="00010D32"/>
    <w:rsid w:val="000117DB"/>
    <w:rsid w:val="00033C5A"/>
    <w:rsid w:val="000533DE"/>
    <w:rsid w:val="0005783E"/>
    <w:rsid w:val="0006667C"/>
    <w:rsid w:val="00093480"/>
    <w:rsid w:val="00096D6C"/>
    <w:rsid w:val="000A1FB6"/>
    <w:rsid w:val="000C0058"/>
    <w:rsid w:val="0011150F"/>
    <w:rsid w:val="00112437"/>
    <w:rsid w:val="00143590"/>
    <w:rsid w:val="0016049C"/>
    <w:rsid w:val="00162462"/>
    <w:rsid w:val="001665C2"/>
    <w:rsid w:val="001706BF"/>
    <w:rsid w:val="001A5575"/>
    <w:rsid w:val="001A7E64"/>
    <w:rsid w:val="001B6654"/>
    <w:rsid w:val="001C3AA8"/>
    <w:rsid w:val="001C5007"/>
    <w:rsid w:val="001C59FC"/>
    <w:rsid w:val="001E0AEF"/>
    <w:rsid w:val="001E59D0"/>
    <w:rsid w:val="001F563A"/>
    <w:rsid w:val="00204771"/>
    <w:rsid w:val="002168CC"/>
    <w:rsid w:val="00216C5E"/>
    <w:rsid w:val="00221668"/>
    <w:rsid w:val="002338E1"/>
    <w:rsid w:val="002402D9"/>
    <w:rsid w:val="002414C1"/>
    <w:rsid w:val="00267F90"/>
    <w:rsid w:val="00275F87"/>
    <w:rsid w:val="002764AF"/>
    <w:rsid w:val="00280BCD"/>
    <w:rsid w:val="0028387A"/>
    <w:rsid w:val="002950E1"/>
    <w:rsid w:val="00297BEF"/>
    <w:rsid w:val="002A376C"/>
    <w:rsid w:val="002B1D2B"/>
    <w:rsid w:val="002B6429"/>
    <w:rsid w:val="002B76C0"/>
    <w:rsid w:val="002C548B"/>
    <w:rsid w:val="002C6864"/>
    <w:rsid w:val="002E1E7D"/>
    <w:rsid w:val="003155A0"/>
    <w:rsid w:val="00317FF6"/>
    <w:rsid w:val="00320A54"/>
    <w:rsid w:val="00327F34"/>
    <w:rsid w:val="00344A76"/>
    <w:rsid w:val="00362D6C"/>
    <w:rsid w:val="00362DC4"/>
    <w:rsid w:val="00365E16"/>
    <w:rsid w:val="00366DF9"/>
    <w:rsid w:val="00372268"/>
    <w:rsid w:val="00373C8E"/>
    <w:rsid w:val="0037492D"/>
    <w:rsid w:val="00391085"/>
    <w:rsid w:val="003A31E7"/>
    <w:rsid w:val="003A3C9F"/>
    <w:rsid w:val="003B2AB2"/>
    <w:rsid w:val="003C00A8"/>
    <w:rsid w:val="003C04D5"/>
    <w:rsid w:val="003C0837"/>
    <w:rsid w:val="003C4E13"/>
    <w:rsid w:val="003D7724"/>
    <w:rsid w:val="003D7E0A"/>
    <w:rsid w:val="003E22CF"/>
    <w:rsid w:val="003E319B"/>
    <w:rsid w:val="00416D78"/>
    <w:rsid w:val="0042464C"/>
    <w:rsid w:val="00424CEB"/>
    <w:rsid w:val="00424D57"/>
    <w:rsid w:val="00435665"/>
    <w:rsid w:val="00435C65"/>
    <w:rsid w:val="00442A95"/>
    <w:rsid w:val="00446C40"/>
    <w:rsid w:val="00450998"/>
    <w:rsid w:val="00454456"/>
    <w:rsid w:val="0046025D"/>
    <w:rsid w:val="00460C9F"/>
    <w:rsid w:val="004858AC"/>
    <w:rsid w:val="00486939"/>
    <w:rsid w:val="00490978"/>
    <w:rsid w:val="00491A3F"/>
    <w:rsid w:val="0049610A"/>
    <w:rsid w:val="004B03C6"/>
    <w:rsid w:val="004B1572"/>
    <w:rsid w:val="004B289D"/>
    <w:rsid w:val="004B526A"/>
    <w:rsid w:val="004C6C1E"/>
    <w:rsid w:val="004C6DDC"/>
    <w:rsid w:val="00505C31"/>
    <w:rsid w:val="00514B7C"/>
    <w:rsid w:val="0051568A"/>
    <w:rsid w:val="00517937"/>
    <w:rsid w:val="005262DD"/>
    <w:rsid w:val="00534D99"/>
    <w:rsid w:val="00541663"/>
    <w:rsid w:val="00560EA7"/>
    <w:rsid w:val="00565B26"/>
    <w:rsid w:val="00577B5B"/>
    <w:rsid w:val="005835BF"/>
    <w:rsid w:val="00583AE6"/>
    <w:rsid w:val="005A63B0"/>
    <w:rsid w:val="005B1E4E"/>
    <w:rsid w:val="005C5E8E"/>
    <w:rsid w:val="005D1355"/>
    <w:rsid w:val="005D5FEF"/>
    <w:rsid w:val="005E1C79"/>
    <w:rsid w:val="005E1FCE"/>
    <w:rsid w:val="005F291F"/>
    <w:rsid w:val="0060379C"/>
    <w:rsid w:val="006064D2"/>
    <w:rsid w:val="0063203E"/>
    <w:rsid w:val="0065512A"/>
    <w:rsid w:val="00662130"/>
    <w:rsid w:val="00670DC7"/>
    <w:rsid w:val="006A395F"/>
    <w:rsid w:val="006E35CA"/>
    <w:rsid w:val="006E37D2"/>
    <w:rsid w:val="006E7356"/>
    <w:rsid w:val="00723A19"/>
    <w:rsid w:val="00737787"/>
    <w:rsid w:val="00737DCE"/>
    <w:rsid w:val="00740E1D"/>
    <w:rsid w:val="00744DD5"/>
    <w:rsid w:val="00747EF9"/>
    <w:rsid w:val="00751F1E"/>
    <w:rsid w:val="00752B42"/>
    <w:rsid w:val="0076467E"/>
    <w:rsid w:val="00796E1B"/>
    <w:rsid w:val="007A0F87"/>
    <w:rsid w:val="007A1BE5"/>
    <w:rsid w:val="007A36A6"/>
    <w:rsid w:val="007A4268"/>
    <w:rsid w:val="007D679B"/>
    <w:rsid w:val="007E6BE4"/>
    <w:rsid w:val="007E7D8C"/>
    <w:rsid w:val="007F647B"/>
    <w:rsid w:val="00800B07"/>
    <w:rsid w:val="00806636"/>
    <w:rsid w:val="00811459"/>
    <w:rsid w:val="008215D9"/>
    <w:rsid w:val="00822FDC"/>
    <w:rsid w:val="00827747"/>
    <w:rsid w:val="00835140"/>
    <w:rsid w:val="0085287C"/>
    <w:rsid w:val="008536E4"/>
    <w:rsid w:val="00873244"/>
    <w:rsid w:val="0087779A"/>
    <w:rsid w:val="00893813"/>
    <w:rsid w:val="0089745C"/>
    <w:rsid w:val="008A327F"/>
    <w:rsid w:val="008B3E77"/>
    <w:rsid w:val="008C3E2C"/>
    <w:rsid w:val="008C499D"/>
    <w:rsid w:val="008C6C5F"/>
    <w:rsid w:val="008D418F"/>
    <w:rsid w:val="008F5078"/>
    <w:rsid w:val="0090315B"/>
    <w:rsid w:val="00911446"/>
    <w:rsid w:val="009427BE"/>
    <w:rsid w:val="00944E0C"/>
    <w:rsid w:val="00945B0B"/>
    <w:rsid w:val="009649D9"/>
    <w:rsid w:val="00967CB0"/>
    <w:rsid w:val="00974C05"/>
    <w:rsid w:val="00977C45"/>
    <w:rsid w:val="009937EC"/>
    <w:rsid w:val="009A2117"/>
    <w:rsid w:val="009A6B9A"/>
    <w:rsid w:val="009E53CE"/>
    <w:rsid w:val="00A02958"/>
    <w:rsid w:val="00A06CA0"/>
    <w:rsid w:val="00A5194A"/>
    <w:rsid w:val="00AA4651"/>
    <w:rsid w:val="00AB2961"/>
    <w:rsid w:val="00AB725A"/>
    <w:rsid w:val="00AC0ED8"/>
    <w:rsid w:val="00AC78EF"/>
    <w:rsid w:val="00AD0973"/>
    <w:rsid w:val="00AD1074"/>
    <w:rsid w:val="00AD4877"/>
    <w:rsid w:val="00AD4896"/>
    <w:rsid w:val="00AE13F4"/>
    <w:rsid w:val="00B04725"/>
    <w:rsid w:val="00B135FF"/>
    <w:rsid w:val="00B150B6"/>
    <w:rsid w:val="00B15908"/>
    <w:rsid w:val="00B23C4C"/>
    <w:rsid w:val="00B27F4A"/>
    <w:rsid w:val="00B3353A"/>
    <w:rsid w:val="00B337B1"/>
    <w:rsid w:val="00B6170F"/>
    <w:rsid w:val="00B81EE2"/>
    <w:rsid w:val="00B90000"/>
    <w:rsid w:val="00B97867"/>
    <w:rsid w:val="00B97BDF"/>
    <w:rsid w:val="00BA576D"/>
    <w:rsid w:val="00BB43CC"/>
    <w:rsid w:val="00BB7123"/>
    <w:rsid w:val="00BC14EE"/>
    <w:rsid w:val="00BE5B2F"/>
    <w:rsid w:val="00BF2FA8"/>
    <w:rsid w:val="00BF70F4"/>
    <w:rsid w:val="00C00BCF"/>
    <w:rsid w:val="00C03789"/>
    <w:rsid w:val="00C11233"/>
    <w:rsid w:val="00C35511"/>
    <w:rsid w:val="00C40ACE"/>
    <w:rsid w:val="00C47880"/>
    <w:rsid w:val="00C903FD"/>
    <w:rsid w:val="00CA7D8C"/>
    <w:rsid w:val="00CC2F37"/>
    <w:rsid w:val="00CD5574"/>
    <w:rsid w:val="00CD7D85"/>
    <w:rsid w:val="00CF3066"/>
    <w:rsid w:val="00D577A8"/>
    <w:rsid w:val="00D607A0"/>
    <w:rsid w:val="00D71090"/>
    <w:rsid w:val="00D73E5D"/>
    <w:rsid w:val="00D749CA"/>
    <w:rsid w:val="00D90EB5"/>
    <w:rsid w:val="00D94943"/>
    <w:rsid w:val="00D94A40"/>
    <w:rsid w:val="00DA04A6"/>
    <w:rsid w:val="00DA2389"/>
    <w:rsid w:val="00DA734E"/>
    <w:rsid w:val="00DB2E13"/>
    <w:rsid w:val="00DB414C"/>
    <w:rsid w:val="00DB7376"/>
    <w:rsid w:val="00E10884"/>
    <w:rsid w:val="00E144C0"/>
    <w:rsid w:val="00E22A1F"/>
    <w:rsid w:val="00E33DC7"/>
    <w:rsid w:val="00E3555D"/>
    <w:rsid w:val="00E450E2"/>
    <w:rsid w:val="00E544D6"/>
    <w:rsid w:val="00E560F5"/>
    <w:rsid w:val="00E60153"/>
    <w:rsid w:val="00E76ED8"/>
    <w:rsid w:val="00E9631E"/>
    <w:rsid w:val="00EB1282"/>
    <w:rsid w:val="00EB24BF"/>
    <w:rsid w:val="00EB2D2F"/>
    <w:rsid w:val="00ED1FE7"/>
    <w:rsid w:val="00ED6C5A"/>
    <w:rsid w:val="00EE72BE"/>
    <w:rsid w:val="00F105D7"/>
    <w:rsid w:val="00F33848"/>
    <w:rsid w:val="00F57396"/>
    <w:rsid w:val="00F61019"/>
    <w:rsid w:val="00F905F5"/>
    <w:rsid w:val="00F97E35"/>
    <w:rsid w:val="00FC6803"/>
    <w:rsid w:val="00FF2B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63A8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4D2"/>
    <w:pPr>
      <w:spacing w:after="200" w:line="360" w:lineRule="auto"/>
      <w:jc w:val="both"/>
    </w:pPr>
    <w:rPr>
      <w:rFonts w:ascii="Times New Roman" w:eastAsiaTheme="minorEastAsia" w:hAnsi="Times New Roman"/>
      <w:kern w:val="0"/>
      <w:sz w:val="24"/>
      <w:lang w:val="en-US"/>
      <w14:ligatures w14:val="none"/>
    </w:rPr>
  </w:style>
  <w:style w:type="paragraph" w:styleId="Heading1">
    <w:name w:val="heading 1"/>
    <w:basedOn w:val="Normal"/>
    <w:next w:val="Normal"/>
    <w:link w:val="Heading1Char"/>
    <w:autoRedefine/>
    <w:uiPriority w:val="9"/>
    <w:qFormat/>
    <w:rsid w:val="0063203E"/>
    <w:pPr>
      <w:keepNext/>
      <w:keepLines/>
      <w:widowControl w:val="0"/>
      <w:autoSpaceDE w:val="0"/>
      <w:autoSpaceDN w:val="0"/>
      <w:spacing w:after="0"/>
      <w:outlineLvl w:val="0"/>
    </w:pPr>
    <w:rPr>
      <w:rFonts w:eastAsiaTheme="majorEastAsia" w:cstheme="majorBidi"/>
      <w:b/>
      <w:sz w:val="32"/>
      <w:szCs w:val="32"/>
      <w:lang w:val="en-IN"/>
    </w:rPr>
  </w:style>
  <w:style w:type="paragraph" w:styleId="Heading2">
    <w:name w:val="heading 2"/>
    <w:basedOn w:val="Normal"/>
    <w:next w:val="Normal"/>
    <w:link w:val="Heading2Char"/>
    <w:autoRedefine/>
    <w:uiPriority w:val="9"/>
    <w:unhideWhenUsed/>
    <w:qFormat/>
    <w:rsid w:val="00096D6C"/>
    <w:pPr>
      <w:keepNext/>
      <w:keepLines/>
      <w:widowControl w:val="0"/>
      <w:autoSpaceDE w:val="0"/>
      <w:autoSpaceDN w:val="0"/>
      <w:spacing w:before="40" w:after="0"/>
      <w:outlineLvl w:val="1"/>
    </w:pPr>
    <w:rPr>
      <w:rFonts w:eastAsiaTheme="majorEastAsia" w:cstheme="majorBidi"/>
      <w:b/>
      <w:sz w:val="28"/>
      <w:szCs w:val="26"/>
      <w:lang w:val="en-IN"/>
    </w:rPr>
  </w:style>
  <w:style w:type="paragraph" w:styleId="Heading3">
    <w:name w:val="heading 3"/>
    <w:basedOn w:val="Normal"/>
    <w:link w:val="Heading3Char"/>
    <w:autoRedefine/>
    <w:uiPriority w:val="9"/>
    <w:qFormat/>
    <w:rsid w:val="002E1E7D"/>
    <w:pPr>
      <w:spacing w:before="100" w:beforeAutospacing="1" w:after="100" w:afterAutospacing="1"/>
      <w:outlineLvl w:val="2"/>
    </w:pPr>
    <w:rPr>
      <w:rFonts w:eastAsia="Times New Roman" w:cs="Times New Roman"/>
      <w:b/>
      <w:bCs/>
      <w:szCs w:val="27"/>
      <w:u w:val="single"/>
      <w:lang w:val="en-IN" w:eastAsia="en-IN"/>
    </w:rPr>
  </w:style>
  <w:style w:type="paragraph" w:styleId="Heading4">
    <w:name w:val="heading 4"/>
    <w:basedOn w:val="Normal"/>
    <w:next w:val="Normal"/>
    <w:link w:val="Heading4Char"/>
    <w:uiPriority w:val="9"/>
    <w:semiHidden/>
    <w:unhideWhenUsed/>
    <w:qFormat/>
    <w:rsid w:val="00FF2B3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F2B3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F2B3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F2B3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F2B3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F2B3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03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096D6C"/>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2E1E7D"/>
    <w:rPr>
      <w:rFonts w:ascii="Times New Roman" w:eastAsia="Times New Roman" w:hAnsi="Times New Roman" w:cs="Times New Roman"/>
      <w:b/>
      <w:bCs/>
      <w:kern w:val="0"/>
      <w:sz w:val="24"/>
      <w:szCs w:val="27"/>
      <w:u w:val="single"/>
      <w:lang w:eastAsia="en-IN"/>
      <w14:ligatures w14:val="none"/>
    </w:rPr>
  </w:style>
  <w:style w:type="character" w:customStyle="1" w:styleId="Heading4Char">
    <w:name w:val="Heading 4 Char"/>
    <w:basedOn w:val="DefaultParagraphFont"/>
    <w:link w:val="Heading4"/>
    <w:uiPriority w:val="9"/>
    <w:semiHidden/>
    <w:rsid w:val="00FF2B3E"/>
    <w:rPr>
      <w:rFonts w:eastAsiaTheme="majorEastAsia" w:cstheme="majorBidi"/>
      <w:i/>
      <w:iCs/>
      <w:color w:val="2F5496" w:themeColor="accent1" w:themeShade="BF"/>
      <w:kern w:val="0"/>
      <w:sz w:val="24"/>
      <w:lang w:val="en-US"/>
      <w14:ligatures w14:val="none"/>
    </w:rPr>
  </w:style>
  <w:style w:type="character" w:customStyle="1" w:styleId="Heading5Char">
    <w:name w:val="Heading 5 Char"/>
    <w:basedOn w:val="DefaultParagraphFont"/>
    <w:link w:val="Heading5"/>
    <w:uiPriority w:val="9"/>
    <w:semiHidden/>
    <w:rsid w:val="00FF2B3E"/>
    <w:rPr>
      <w:rFonts w:eastAsiaTheme="majorEastAsia" w:cstheme="majorBidi"/>
      <w:color w:val="2F5496" w:themeColor="accent1" w:themeShade="BF"/>
      <w:kern w:val="0"/>
      <w:sz w:val="24"/>
      <w:lang w:val="en-US"/>
      <w14:ligatures w14:val="none"/>
    </w:rPr>
  </w:style>
  <w:style w:type="character" w:customStyle="1" w:styleId="Heading6Char">
    <w:name w:val="Heading 6 Char"/>
    <w:basedOn w:val="DefaultParagraphFont"/>
    <w:link w:val="Heading6"/>
    <w:uiPriority w:val="9"/>
    <w:semiHidden/>
    <w:rsid w:val="00FF2B3E"/>
    <w:rPr>
      <w:rFonts w:eastAsiaTheme="majorEastAsia" w:cstheme="majorBidi"/>
      <w:i/>
      <w:iCs/>
      <w:color w:val="595959" w:themeColor="text1" w:themeTint="A6"/>
      <w:kern w:val="0"/>
      <w:sz w:val="24"/>
      <w:lang w:val="en-US"/>
      <w14:ligatures w14:val="none"/>
    </w:rPr>
  </w:style>
  <w:style w:type="character" w:customStyle="1" w:styleId="Heading7Char">
    <w:name w:val="Heading 7 Char"/>
    <w:basedOn w:val="DefaultParagraphFont"/>
    <w:link w:val="Heading7"/>
    <w:uiPriority w:val="9"/>
    <w:semiHidden/>
    <w:rsid w:val="00FF2B3E"/>
    <w:rPr>
      <w:rFonts w:eastAsiaTheme="majorEastAsia" w:cstheme="majorBidi"/>
      <w:color w:val="595959" w:themeColor="text1" w:themeTint="A6"/>
      <w:kern w:val="0"/>
      <w:sz w:val="24"/>
      <w:lang w:val="en-US"/>
      <w14:ligatures w14:val="none"/>
    </w:rPr>
  </w:style>
  <w:style w:type="character" w:customStyle="1" w:styleId="Heading8Char">
    <w:name w:val="Heading 8 Char"/>
    <w:basedOn w:val="DefaultParagraphFont"/>
    <w:link w:val="Heading8"/>
    <w:uiPriority w:val="9"/>
    <w:semiHidden/>
    <w:rsid w:val="00FF2B3E"/>
    <w:rPr>
      <w:rFonts w:eastAsiaTheme="majorEastAsia" w:cstheme="majorBidi"/>
      <w:i/>
      <w:iCs/>
      <w:color w:val="272727" w:themeColor="text1" w:themeTint="D8"/>
      <w:kern w:val="0"/>
      <w:sz w:val="24"/>
      <w:lang w:val="en-US"/>
      <w14:ligatures w14:val="none"/>
    </w:rPr>
  </w:style>
  <w:style w:type="character" w:customStyle="1" w:styleId="Heading9Char">
    <w:name w:val="Heading 9 Char"/>
    <w:basedOn w:val="DefaultParagraphFont"/>
    <w:link w:val="Heading9"/>
    <w:uiPriority w:val="9"/>
    <w:semiHidden/>
    <w:rsid w:val="00FF2B3E"/>
    <w:rPr>
      <w:rFonts w:eastAsiaTheme="majorEastAsia" w:cstheme="majorBidi"/>
      <w:color w:val="272727" w:themeColor="text1" w:themeTint="D8"/>
      <w:kern w:val="0"/>
      <w:sz w:val="24"/>
      <w:lang w:val="en-US"/>
      <w14:ligatures w14:val="none"/>
    </w:rPr>
  </w:style>
  <w:style w:type="paragraph" w:styleId="Title">
    <w:name w:val="Title"/>
    <w:basedOn w:val="Normal"/>
    <w:next w:val="Normal"/>
    <w:link w:val="TitleChar"/>
    <w:uiPriority w:val="10"/>
    <w:qFormat/>
    <w:rsid w:val="00FF2B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B3E"/>
    <w:rPr>
      <w:rFonts w:asciiTheme="majorHAnsi" w:eastAsiaTheme="majorEastAsia" w:hAnsiTheme="majorHAnsi" w:cstheme="majorBidi"/>
      <w:spacing w:val="-10"/>
      <w:kern w:val="28"/>
      <w:sz w:val="56"/>
      <w:szCs w:val="56"/>
      <w:lang w:val="en-US"/>
      <w14:ligatures w14:val="none"/>
    </w:rPr>
  </w:style>
  <w:style w:type="paragraph" w:styleId="Subtitle">
    <w:name w:val="Subtitle"/>
    <w:basedOn w:val="Normal"/>
    <w:next w:val="Normal"/>
    <w:link w:val="SubtitleChar"/>
    <w:uiPriority w:val="11"/>
    <w:qFormat/>
    <w:rsid w:val="00FF2B3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B3E"/>
    <w:rPr>
      <w:rFonts w:eastAsiaTheme="majorEastAsia" w:cstheme="majorBidi"/>
      <w:color w:val="595959" w:themeColor="text1" w:themeTint="A6"/>
      <w:spacing w:val="15"/>
      <w:kern w:val="0"/>
      <w:sz w:val="28"/>
      <w:szCs w:val="28"/>
      <w:lang w:val="en-US"/>
      <w14:ligatures w14:val="none"/>
    </w:rPr>
  </w:style>
  <w:style w:type="paragraph" w:styleId="Quote">
    <w:name w:val="Quote"/>
    <w:basedOn w:val="Normal"/>
    <w:next w:val="Normal"/>
    <w:link w:val="QuoteChar"/>
    <w:uiPriority w:val="29"/>
    <w:qFormat/>
    <w:rsid w:val="00FF2B3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F2B3E"/>
    <w:rPr>
      <w:rFonts w:ascii="Times New Roman" w:eastAsiaTheme="minorEastAsia" w:hAnsi="Times New Roman"/>
      <w:i/>
      <w:iCs/>
      <w:color w:val="404040" w:themeColor="text1" w:themeTint="BF"/>
      <w:kern w:val="0"/>
      <w:sz w:val="24"/>
      <w:lang w:val="en-US"/>
      <w14:ligatures w14:val="none"/>
    </w:rPr>
  </w:style>
  <w:style w:type="paragraph" w:styleId="ListParagraph">
    <w:name w:val="List Paragraph"/>
    <w:basedOn w:val="Normal"/>
    <w:uiPriority w:val="34"/>
    <w:qFormat/>
    <w:rsid w:val="00FF2B3E"/>
    <w:pPr>
      <w:ind w:left="720"/>
      <w:contextualSpacing/>
    </w:pPr>
  </w:style>
  <w:style w:type="character" w:styleId="IntenseEmphasis">
    <w:name w:val="Intense Emphasis"/>
    <w:basedOn w:val="DefaultParagraphFont"/>
    <w:uiPriority w:val="21"/>
    <w:qFormat/>
    <w:rsid w:val="00FF2B3E"/>
    <w:rPr>
      <w:i/>
      <w:iCs/>
      <w:color w:val="2F5496" w:themeColor="accent1" w:themeShade="BF"/>
    </w:rPr>
  </w:style>
  <w:style w:type="paragraph" w:styleId="IntenseQuote">
    <w:name w:val="Intense Quote"/>
    <w:basedOn w:val="Normal"/>
    <w:next w:val="Normal"/>
    <w:link w:val="IntenseQuoteChar"/>
    <w:uiPriority w:val="30"/>
    <w:qFormat/>
    <w:rsid w:val="00FF2B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2B3E"/>
    <w:rPr>
      <w:rFonts w:ascii="Times New Roman" w:eastAsiaTheme="minorEastAsia" w:hAnsi="Times New Roman"/>
      <w:i/>
      <w:iCs/>
      <w:color w:val="2F5496" w:themeColor="accent1" w:themeShade="BF"/>
      <w:kern w:val="0"/>
      <w:sz w:val="24"/>
      <w:lang w:val="en-US"/>
      <w14:ligatures w14:val="none"/>
    </w:rPr>
  </w:style>
  <w:style w:type="character" w:styleId="IntenseReference">
    <w:name w:val="Intense Reference"/>
    <w:basedOn w:val="DefaultParagraphFont"/>
    <w:uiPriority w:val="32"/>
    <w:qFormat/>
    <w:rsid w:val="00FF2B3E"/>
    <w:rPr>
      <w:b/>
      <w:bCs/>
      <w:smallCaps/>
      <w:color w:val="2F5496" w:themeColor="accent1" w:themeShade="BF"/>
      <w:spacing w:val="5"/>
    </w:rPr>
  </w:style>
  <w:style w:type="paragraph" w:styleId="Header">
    <w:name w:val="header"/>
    <w:basedOn w:val="Normal"/>
    <w:link w:val="HeaderChar"/>
    <w:uiPriority w:val="99"/>
    <w:unhideWhenUsed/>
    <w:rsid w:val="002C68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864"/>
    <w:rPr>
      <w:rFonts w:ascii="Times New Roman" w:eastAsiaTheme="minorEastAsia" w:hAnsi="Times New Roman"/>
      <w:kern w:val="0"/>
      <w:sz w:val="24"/>
      <w:lang w:val="en-US"/>
      <w14:ligatures w14:val="none"/>
    </w:rPr>
  </w:style>
  <w:style w:type="paragraph" w:styleId="Footer">
    <w:name w:val="footer"/>
    <w:basedOn w:val="Normal"/>
    <w:link w:val="FooterChar"/>
    <w:uiPriority w:val="99"/>
    <w:unhideWhenUsed/>
    <w:rsid w:val="002C68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864"/>
    <w:rPr>
      <w:rFonts w:ascii="Times New Roman" w:eastAsiaTheme="minorEastAsia" w:hAnsi="Times New Roman"/>
      <w:kern w:val="0"/>
      <w:sz w:val="24"/>
      <w:lang w:val="en-US"/>
      <w14:ligatures w14:val="none"/>
    </w:rPr>
  </w:style>
  <w:style w:type="table" w:styleId="TableGrid">
    <w:name w:val="Table Grid"/>
    <w:basedOn w:val="TableNormal"/>
    <w:uiPriority w:val="39"/>
    <w:rsid w:val="00534D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34D99"/>
    <w:rPr>
      <w:b/>
      <w:bCs/>
    </w:rPr>
  </w:style>
  <w:style w:type="paragraph" w:styleId="TOCHeading">
    <w:name w:val="TOC Heading"/>
    <w:basedOn w:val="Heading1"/>
    <w:next w:val="Normal"/>
    <w:uiPriority w:val="39"/>
    <w:unhideWhenUsed/>
    <w:qFormat/>
    <w:rsid w:val="00280BCD"/>
    <w:pPr>
      <w:widowControl/>
      <w:autoSpaceDE/>
      <w:autoSpaceDN/>
      <w:spacing w:before="24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24D57"/>
    <w:pPr>
      <w:spacing w:after="100"/>
    </w:pPr>
  </w:style>
  <w:style w:type="character" w:styleId="Hyperlink">
    <w:name w:val="Hyperlink"/>
    <w:basedOn w:val="DefaultParagraphFont"/>
    <w:uiPriority w:val="99"/>
    <w:unhideWhenUsed/>
    <w:rsid w:val="00424D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0A0DF-85B4-44B7-959B-E74ECCBD3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2817</Words>
  <Characters>16061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2025-11-03T17:19:00Z</dcterms:created>
  <dcterms:modified xsi:type="dcterms:W3CDTF">2025-11-06T23:42:00Z</dcterms:modified>
</cp:coreProperties>
</file>