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2A3C77CE" w:rsidR="00AD6D75" w:rsidRPr="00BB05A0" w:rsidRDefault="00FE4017" w:rsidP="009F4F9E">
      <w:pPr>
        <w:pStyle w:val="COVERPAGETEXT"/>
      </w:pPr>
      <w:r>
        <w:t>Ian Dodd</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39A2D416" w:rsidR="00AD6D75" w:rsidRPr="00BB05A0" w:rsidRDefault="00FE4017" w:rsidP="009F4F9E">
      <w:pPr>
        <w:pStyle w:val="COVERPAGETEXT"/>
      </w:pPr>
      <w:r>
        <w:t>W</w:t>
      </w:r>
      <w:r w:rsidR="00C3391B">
        <w:t>BGP Reflection Report</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08DFC295" w:rsidR="00AD6D75" w:rsidRDefault="00C3391B" w:rsidP="009F4F9E">
      <w:pPr>
        <w:pStyle w:val="COVERPAGETEXT"/>
      </w:pPr>
      <w:r>
        <w:t>University of Wales Trinity St. David</w:t>
      </w:r>
    </w:p>
    <w:p w14:paraId="61B49DD0" w14:textId="77777777" w:rsidR="00D30259" w:rsidRDefault="00D30259" w:rsidP="00D30259">
      <w:pPr>
        <w:pStyle w:val="COVERPAGETEXT"/>
        <w:jc w:val="both"/>
      </w:pPr>
    </w:p>
    <w:p w14:paraId="57065869" w14:textId="77777777" w:rsidR="00434585" w:rsidRPr="008E1615" w:rsidRDefault="00D30259" w:rsidP="00D30259">
      <w:pPr>
        <w:pStyle w:val="COVERPAGETEXT"/>
      </w:pPr>
      <w:r w:rsidRPr="008E1615">
        <w:t xml:space="preserve">Work-Based Group Project </w:t>
      </w:r>
    </w:p>
    <w:p w14:paraId="35DECDA1" w14:textId="38BD738A" w:rsidR="00D30259" w:rsidRPr="008E1615" w:rsidRDefault="00D30259" w:rsidP="00D30259">
      <w:pPr>
        <w:pStyle w:val="COVERPAGETEXT"/>
      </w:pPr>
      <w:r w:rsidRPr="008E1615">
        <w:t>ACDA5022</w:t>
      </w:r>
    </w:p>
    <w:p w14:paraId="4DBDB133" w14:textId="3F836CBC" w:rsidR="00D30259" w:rsidRPr="00D30259" w:rsidRDefault="00D30259" w:rsidP="00D30259">
      <w:pPr>
        <w:pStyle w:val="COVERPAGETEXT"/>
        <w:ind w:left="432"/>
        <w:rPr>
          <w:b/>
          <w:bCs/>
        </w:rPr>
      </w:pP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2709D95E" w14:textId="316F4ED6" w:rsidR="00AD6D75" w:rsidRPr="00BB05A0" w:rsidRDefault="00AD6D75" w:rsidP="009F4F9E">
      <w:pPr>
        <w:pStyle w:val="COVERPAGETEXT"/>
      </w:pPr>
      <w:r>
        <w:t xml:space="preserve">Academic Year: </w:t>
      </w:r>
      <w:r w:rsidR="00C3391B">
        <w:t>2025</w:t>
      </w:r>
      <w:r>
        <w:t xml:space="preserve"> -</w:t>
      </w:r>
      <w:r w:rsidR="00C3391B">
        <w:t xml:space="preserve"> 2026</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4141C93E" w14:textId="77777777" w:rsidR="00B96699" w:rsidRDefault="00B96699" w:rsidP="00A651C5">
      <w:pPr>
        <w:pStyle w:val="COVERPAGETEXT"/>
      </w:pPr>
    </w:p>
    <w:p w14:paraId="52B1F4ED" w14:textId="033355F8" w:rsidR="00DA28B2" w:rsidRDefault="00F2159F" w:rsidP="00FE4017">
      <w:pPr>
        <w:pStyle w:val="COVERPAGETEXT"/>
        <w:sectPr w:rsidR="00DA28B2" w:rsidSect="00623A81">
          <w:footerReference w:type="default" r:id="rId12"/>
          <w:pgSz w:w="11906" w:h="16838" w:code="9"/>
          <w:pgMar w:top="1701" w:right="1701" w:bottom="1701" w:left="1701" w:header="709" w:footer="851" w:gutter="0"/>
          <w:pgNumType w:fmt="lowerRoman" w:start="1"/>
          <w:cols w:space="708"/>
          <w:docGrid w:linePitch="360"/>
        </w:sectPr>
      </w:pPr>
      <w:r>
        <w:br w:type="page"/>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1A7C0992" w14:textId="6E54B57E" w:rsidR="00676231"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28707692" w:history="1">
        <w:r w:rsidR="00676231" w:rsidRPr="00896EC8">
          <w:rPr>
            <w:rStyle w:val="Hyperlink"/>
          </w:rPr>
          <w:t>1 Introduction</w:t>
        </w:r>
        <w:r w:rsidR="00676231">
          <w:rPr>
            <w:webHidden/>
          </w:rPr>
          <w:tab/>
        </w:r>
        <w:r w:rsidR="00676231">
          <w:rPr>
            <w:webHidden/>
          </w:rPr>
          <w:fldChar w:fldCharType="begin"/>
        </w:r>
        <w:r w:rsidR="00676231">
          <w:rPr>
            <w:webHidden/>
          </w:rPr>
          <w:instrText xml:space="preserve"> PAGEREF _Toc228707692 \h </w:instrText>
        </w:r>
        <w:r w:rsidR="00676231">
          <w:rPr>
            <w:webHidden/>
          </w:rPr>
        </w:r>
        <w:r w:rsidR="00676231">
          <w:rPr>
            <w:webHidden/>
          </w:rPr>
          <w:fldChar w:fldCharType="separate"/>
        </w:r>
        <w:r w:rsidR="00676231">
          <w:rPr>
            <w:webHidden/>
          </w:rPr>
          <w:t>3</w:t>
        </w:r>
        <w:r w:rsidR="00676231">
          <w:rPr>
            <w:webHidden/>
          </w:rPr>
          <w:fldChar w:fldCharType="end"/>
        </w:r>
      </w:hyperlink>
    </w:p>
    <w:p w14:paraId="2387F8D6" w14:textId="61B2B7A5" w:rsidR="00676231" w:rsidRDefault="00676231">
      <w:pPr>
        <w:pStyle w:val="TOC1"/>
        <w:rPr>
          <w:rFonts w:asciiTheme="minorHAnsi" w:eastAsiaTheme="minorEastAsia" w:hAnsiTheme="minorHAnsi" w:cstheme="minorBidi"/>
          <w:kern w:val="2"/>
          <w:lang w:eastAsia="en-GB"/>
          <w14:ligatures w14:val="standardContextual"/>
        </w:rPr>
      </w:pPr>
      <w:hyperlink w:anchor="_Toc228707693" w:history="1">
        <w:r w:rsidRPr="00896EC8">
          <w:rPr>
            <w:rStyle w:val="Hyperlink"/>
          </w:rPr>
          <w:t>2 Literature Review</w:t>
        </w:r>
        <w:r>
          <w:rPr>
            <w:webHidden/>
          </w:rPr>
          <w:tab/>
        </w:r>
        <w:r>
          <w:rPr>
            <w:webHidden/>
          </w:rPr>
          <w:fldChar w:fldCharType="begin"/>
        </w:r>
        <w:r>
          <w:rPr>
            <w:webHidden/>
          </w:rPr>
          <w:instrText xml:space="preserve"> PAGEREF _Toc228707693 \h </w:instrText>
        </w:r>
        <w:r>
          <w:rPr>
            <w:webHidden/>
          </w:rPr>
        </w:r>
        <w:r>
          <w:rPr>
            <w:webHidden/>
          </w:rPr>
          <w:fldChar w:fldCharType="separate"/>
        </w:r>
        <w:r>
          <w:rPr>
            <w:webHidden/>
          </w:rPr>
          <w:t>4</w:t>
        </w:r>
        <w:r>
          <w:rPr>
            <w:webHidden/>
          </w:rPr>
          <w:fldChar w:fldCharType="end"/>
        </w:r>
      </w:hyperlink>
    </w:p>
    <w:p w14:paraId="3261F891" w14:textId="3BDBF726" w:rsidR="00676231" w:rsidRDefault="00676231">
      <w:pPr>
        <w:pStyle w:val="TOC1"/>
        <w:rPr>
          <w:rFonts w:asciiTheme="minorHAnsi" w:eastAsiaTheme="minorEastAsia" w:hAnsiTheme="minorHAnsi" w:cstheme="minorBidi"/>
          <w:kern w:val="2"/>
          <w:lang w:eastAsia="en-GB"/>
          <w14:ligatures w14:val="standardContextual"/>
        </w:rPr>
      </w:pPr>
      <w:hyperlink w:anchor="_Toc228707694" w:history="1">
        <w:r w:rsidRPr="00896EC8">
          <w:rPr>
            <w:rStyle w:val="Hyperlink"/>
          </w:rPr>
          <w:t>3 Requirements</w:t>
        </w:r>
        <w:r>
          <w:rPr>
            <w:webHidden/>
          </w:rPr>
          <w:tab/>
        </w:r>
        <w:r>
          <w:rPr>
            <w:webHidden/>
          </w:rPr>
          <w:fldChar w:fldCharType="begin"/>
        </w:r>
        <w:r>
          <w:rPr>
            <w:webHidden/>
          </w:rPr>
          <w:instrText xml:space="preserve"> PAGEREF _Toc228707694 \h </w:instrText>
        </w:r>
        <w:r>
          <w:rPr>
            <w:webHidden/>
          </w:rPr>
        </w:r>
        <w:r>
          <w:rPr>
            <w:webHidden/>
          </w:rPr>
          <w:fldChar w:fldCharType="separate"/>
        </w:r>
        <w:r>
          <w:rPr>
            <w:webHidden/>
          </w:rPr>
          <w:t>5</w:t>
        </w:r>
        <w:r>
          <w:rPr>
            <w:webHidden/>
          </w:rPr>
          <w:fldChar w:fldCharType="end"/>
        </w:r>
      </w:hyperlink>
    </w:p>
    <w:p w14:paraId="7389AFCF" w14:textId="5BE803E7" w:rsidR="00676231" w:rsidRDefault="00676231">
      <w:pPr>
        <w:pStyle w:val="TOC1"/>
        <w:rPr>
          <w:rFonts w:asciiTheme="minorHAnsi" w:eastAsiaTheme="minorEastAsia" w:hAnsiTheme="minorHAnsi" w:cstheme="minorBidi"/>
          <w:kern w:val="2"/>
          <w:lang w:eastAsia="en-GB"/>
          <w14:ligatures w14:val="standardContextual"/>
        </w:rPr>
      </w:pPr>
      <w:hyperlink w:anchor="_Toc228707695" w:history="1">
        <w:r w:rsidRPr="00896EC8">
          <w:rPr>
            <w:rStyle w:val="Hyperlink"/>
          </w:rPr>
          <w:t>4 Concept</w:t>
        </w:r>
        <w:r>
          <w:rPr>
            <w:webHidden/>
          </w:rPr>
          <w:tab/>
        </w:r>
        <w:r>
          <w:rPr>
            <w:webHidden/>
          </w:rPr>
          <w:fldChar w:fldCharType="begin"/>
        </w:r>
        <w:r>
          <w:rPr>
            <w:webHidden/>
          </w:rPr>
          <w:instrText xml:space="preserve"> PAGEREF _Toc228707695 \h </w:instrText>
        </w:r>
        <w:r>
          <w:rPr>
            <w:webHidden/>
          </w:rPr>
        </w:r>
        <w:r>
          <w:rPr>
            <w:webHidden/>
          </w:rPr>
          <w:fldChar w:fldCharType="separate"/>
        </w:r>
        <w:r>
          <w:rPr>
            <w:webHidden/>
          </w:rPr>
          <w:t>6</w:t>
        </w:r>
        <w:r>
          <w:rPr>
            <w:webHidden/>
          </w:rPr>
          <w:fldChar w:fldCharType="end"/>
        </w:r>
      </w:hyperlink>
    </w:p>
    <w:p w14:paraId="042A8FF0" w14:textId="381D1DFC" w:rsidR="00676231" w:rsidRDefault="00676231">
      <w:pPr>
        <w:pStyle w:val="TOC1"/>
        <w:rPr>
          <w:rFonts w:asciiTheme="minorHAnsi" w:eastAsiaTheme="minorEastAsia" w:hAnsiTheme="minorHAnsi" w:cstheme="minorBidi"/>
          <w:kern w:val="2"/>
          <w:lang w:eastAsia="en-GB"/>
          <w14:ligatures w14:val="standardContextual"/>
        </w:rPr>
      </w:pPr>
      <w:hyperlink w:anchor="_Toc228707696" w:history="1">
        <w:r w:rsidRPr="00896EC8">
          <w:rPr>
            <w:rStyle w:val="Hyperlink"/>
          </w:rPr>
          <w:t>5 Design Development</w:t>
        </w:r>
        <w:r>
          <w:rPr>
            <w:webHidden/>
          </w:rPr>
          <w:tab/>
        </w:r>
        <w:r>
          <w:rPr>
            <w:webHidden/>
          </w:rPr>
          <w:fldChar w:fldCharType="begin"/>
        </w:r>
        <w:r>
          <w:rPr>
            <w:webHidden/>
          </w:rPr>
          <w:instrText xml:space="preserve"> PAGEREF _Toc228707696 \h </w:instrText>
        </w:r>
        <w:r>
          <w:rPr>
            <w:webHidden/>
          </w:rPr>
        </w:r>
        <w:r>
          <w:rPr>
            <w:webHidden/>
          </w:rPr>
          <w:fldChar w:fldCharType="separate"/>
        </w:r>
        <w:r>
          <w:rPr>
            <w:webHidden/>
          </w:rPr>
          <w:t>6</w:t>
        </w:r>
        <w:r>
          <w:rPr>
            <w:webHidden/>
          </w:rPr>
          <w:fldChar w:fldCharType="end"/>
        </w:r>
      </w:hyperlink>
    </w:p>
    <w:p w14:paraId="6FE0A7DA" w14:textId="2CE11A5E" w:rsidR="00676231" w:rsidRDefault="00676231">
      <w:pPr>
        <w:pStyle w:val="TOC1"/>
        <w:rPr>
          <w:rFonts w:asciiTheme="minorHAnsi" w:eastAsiaTheme="minorEastAsia" w:hAnsiTheme="minorHAnsi" w:cstheme="minorBidi"/>
          <w:kern w:val="2"/>
          <w:lang w:eastAsia="en-GB"/>
          <w14:ligatures w14:val="standardContextual"/>
        </w:rPr>
      </w:pPr>
      <w:hyperlink w:anchor="_Toc228707697" w:history="1">
        <w:r w:rsidRPr="00896EC8">
          <w:rPr>
            <w:rStyle w:val="Hyperlink"/>
          </w:rPr>
          <w:t>6 Final Design Stages and Presentation</w:t>
        </w:r>
        <w:r>
          <w:rPr>
            <w:webHidden/>
          </w:rPr>
          <w:tab/>
        </w:r>
        <w:r>
          <w:rPr>
            <w:webHidden/>
          </w:rPr>
          <w:fldChar w:fldCharType="begin"/>
        </w:r>
        <w:r>
          <w:rPr>
            <w:webHidden/>
          </w:rPr>
          <w:instrText xml:space="preserve"> PAGEREF _Toc228707697 \h </w:instrText>
        </w:r>
        <w:r>
          <w:rPr>
            <w:webHidden/>
          </w:rPr>
        </w:r>
        <w:r>
          <w:rPr>
            <w:webHidden/>
          </w:rPr>
          <w:fldChar w:fldCharType="separate"/>
        </w:r>
        <w:r>
          <w:rPr>
            <w:webHidden/>
          </w:rPr>
          <w:t>7</w:t>
        </w:r>
        <w:r>
          <w:rPr>
            <w:webHidden/>
          </w:rPr>
          <w:fldChar w:fldCharType="end"/>
        </w:r>
      </w:hyperlink>
    </w:p>
    <w:p w14:paraId="189442D8" w14:textId="437F59F3" w:rsidR="00676231" w:rsidRDefault="00676231">
      <w:pPr>
        <w:pStyle w:val="TOC1"/>
        <w:rPr>
          <w:rFonts w:asciiTheme="minorHAnsi" w:eastAsiaTheme="minorEastAsia" w:hAnsiTheme="minorHAnsi" w:cstheme="minorBidi"/>
          <w:kern w:val="2"/>
          <w:lang w:eastAsia="en-GB"/>
          <w14:ligatures w14:val="standardContextual"/>
        </w:rPr>
      </w:pPr>
      <w:hyperlink w:anchor="_Toc228707698" w:history="1">
        <w:r w:rsidRPr="00896EC8">
          <w:rPr>
            <w:rStyle w:val="Hyperlink"/>
          </w:rPr>
          <w:t>7 Feedback</w:t>
        </w:r>
        <w:r>
          <w:rPr>
            <w:webHidden/>
          </w:rPr>
          <w:tab/>
        </w:r>
        <w:r>
          <w:rPr>
            <w:webHidden/>
          </w:rPr>
          <w:fldChar w:fldCharType="begin"/>
        </w:r>
        <w:r>
          <w:rPr>
            <w:webHidden/>
          </w:rPr>
          <w:instrText xml:space="preserve"> PAGEREF _Toc228707698 \h </w:instrText>
        </w:r>
        <w:r>
          <w:rPr>
            <w:webHidden/>
          </w:rPr>
        </w:r>
        <w:r>
          <w:rPr>
            <w:webHidden/>
          </w:rPr>
          <w:fldChar w:fldCharType="separate"/>
        </w:r>
        <w:r>
          <w:rPr>
            <w:webHidden/>
          </w:rPr>
          <w:t>8</w:t>
        </w:r>
        <w:r>
          <w:rPr>
            <w:webHidden/>
          </w:rPr>
          <w:fldChar w:fldCharType="end"/>
        </w:r>
      </w:hyperlink>
    </w:p>
    <w:p w14:paraId="0AD51AA2" w14:textId="350BF93B" w:rsidR="00676231" w:rsidRDefault="00676231">
      <w:pPr>
        <w:pStyle w:val="TOC1"/>
        <w:rPr>
          <w:rFonts w:asciiTheme="minorHAnsi" w:eastAsiaTheme="minorEastAsia" w:hAnsiTheme="minorHAnsi" w:cstheme="minorBidi"/>
          <w:kern w:val="2"/>
          <w:lang w:eastAsia="en-GB"/>
          <w14:ligatures w14:val="standardContextual"/>
        </w:rPr>
      </w:pPr>
      <w:hyperlink w:anchor="_Toc228707699" w:history="1">
        <w:r w:rsidRPr="00896EC8">
          <w:rPr>
            <w:rStyle w:val="Hyperlink"/>
          </w:rPr>
          <w:t>8 Reflection</w:t>
        </w:r>
        <w:r>
          <w:rPr>
            <w:webHidden/>
          </w:rPr>
          <w:tab/>
        </w:r>
        <w:r>
          <w:rPr>
            <w:webHidden/>
          </w:rPr>
          <w:fldChar w:fldCharType="begin"/>
        </w:r>
        <w:r>
          <w:rPr>
            <w:webHidden/>
          </w:rPr>
          <w:instrText xml:space="preserve"> PAGEREF _Toc228707699 \h </w:instrText>
        </w:r>
        <w:r>
          <w:rPr>
            <w:webHidden/>
          </w:rPr>
        </w:r>
        <w:r>
          <w:rPr>
            <w:webHidden/>
          </w:rPr>
          <w:fldChar w:fldCharType="separate"/>
        </w:r>
        <w:r>
          <w:rPr>
            <w:webHidden/>
          </w:rPr>
          <w:t>9</w:t>
        </w:r>
        <w:r>
          <w:rPr>
            <w:webHidden/>
          </w:rPr>
          <w:fldChar w:fldCharType="end"/>
        </w:r>
      </w:hyperlink>
    </w:p>
    <w:p w14:paraId="2C6B7B3D" w14:textId="6A8C0A5D" w:rsidR="00676231" w:rsidRDefault="00676231">
      <w:pPr>
        <w:pStyle w:val="TOC1"/>
        <w:rPr>
          <w:rFonts w:asciiTheme="minorHAnsi" w:eastAsiaTheme="minorEastAsia" w:hAnsiTheme="minorHAnsi" w:cstheme="minorBidi"/>
          <w:kern w:val="2"/>
          <w:lang w:eastAsia="en-GB"/>
          <w14:ligatures w14:val="standardContextual"/>
        </w:rPr>
      </w:pPr>
      <w:hyperlink w:anchor="_Toc228707700" w:history="1">
        <w:r w:rsidRPr="00896EC8">
          <w:rPr>
            <w:rStyle w:val="Hyperlink"/>
          </w:rPr>
          <w:t>9 Recommendations</w:t>
        </w:r>
        <w:r>
          <w:rPr>
            <w:webHidden/>
          </w:rPr>
          <w:tab/>
        </w:r>
        <w:r>
          <w:rPr>
            <w:webHidden/>
          </w:rPr>
          <w:fldChar w:fldCharType="begin"/>
        </w:r>
        <w:r>
          <w:rPr>
            <w:webHidden/>
          </w:rPr>
          <w:instrText xml:space="preserve"> PAGEREF _Toc228707700 \h </w:instrText>
        </w:r>
        <w:r>
          <w:rPr>
            <w:webHidden/>
          </w:rPr>
        </w:r>
        <w:r>
          <w:rPr>
            <w:webHidden/>
          </w:rPr>
          <w:fldChar w:fldCharType="separate"/>
        </w:r>
        <w:r>
          <w:rPr>
            <w:webHidden/>
          </w:rPr>
          <w:t>10</w:t>
        </w:r>
        <w:r>
          <w:rPr>
            <w:webHidden/>
          </w:rPr>
          <w:fldChar w:fldCharType="end"/>
        </w:r>
      </w:hyperlink>
    </w:p>
    <w:p w14:paraId="3263AA74" w14:textId="726A03FF" w:rsidR="00676231" w:rsidRDefault="00676231">
      <w:pPr>
        <w:pStyle w:val="TOC1"/>
        <w:rPr>
          <w:rFonts w:asciiTheme="minorHAnsi" w:eastAsiaTheme="minorEastAsia" w:hAnsiTheme="minorHAnsi" w:cstheme="minorBidi"/>
          <w:kern w:val="2"/>
          <w:lang w:eastAsia="en-GB"/>
          <w14:ligatures w14:val="standardContextual"/>
        </w:rPr>
      </w:pPr>
      <w:hyperlink w:anchor="_Toc228707701" w:history="1">
        <w:r w:rsidRPr="00896EC8">
          <w:rPr>
            <w:rStyle w:val="Hyperlink"/>
          </w:rPr>
          <w:t>10 Conclusion</w:t>
        </w:r>
        <w:r>
          <w:rPr>
            <w:webHidden/>
          </w:rPr>
          <w:tab/>
        </w:r>
        <w:r>
          <w:rPr>
            <w:webHidden/>
          </w:rPr>
          <w:fldChar w:fldCharType="begin"/>
        </w:r>
        <w:r>
          <w:rPr>
            <w:webHidden/>
          </w:rPr>
          <w:instrText xml:space="preserve"> PAGEREF _Toc228707701 \h </w:instrText>
        </w:r>
        <w:r>
          <w:rPr>
            <w:webHidden/>
          </w:rPr>
        </w:r>
        <w:r>
          <w:rPr>
            <w:webHidden/>
          </w:rPr>
          <w:fldChar w:fldCharType="separate"/>
        </w:r>
        <w:r>
          <w:rPr>
            <w:webHidden/>
          </w:rPr>
          <w:t>11</w:t>
        </w:r>
        <w:r>
          <w:rPr>
            <w:webHidden/>
          </w:rPr>
          <w:fldChar w:fldCharType="end"/>
        </w:r>
      </w:hyperlink>
    </w:p>
    <w:p w14:paraId="348EEF12" w14:textId="6BE052A1" w:rsidR="00676231" w:rsidRDefault="00676231">
      <w:pPr>
        <w:pStyle w:val="TOC1"/>
        <w:rPr>
          <w:rFonts w:asciiTheme="minorHAnsi" w:eastAsiaTheme="minorEastAsia" w:hAnsiTheme="minorHAnsi" w:cstheme="minorBidi"/>
          <w:kern w:val="2"/>
          <w:lang w:eastAsia="en-GB"/>
          <w14:ligatures w14:val="standardContextual"/>
        </w:rPr>
      </w:pPr>
      <w:hyperlink w:anchor="_Toc228707702" w:history="1">
        <w:r w:rsidRPr="00896EC8">
          <w:rPr>
            <w:rStyle w:val="Hyperlink"/>
          </w:rPr>
          <w:t>References</w:t>
        </w:r>
        <w:r>
          <w:rPr>
            <w:webHidden/>
          </w:rPr>
          <w:tab/>
        </w:r>
        <w:r>
          <w:rPr>
            <w:webHidden/>
          </w:rPr>
          <w:fldChar w:fldCharType="begin"/>
        </w:r>
        <w:r>
          <w:rPr>
            <w:webHidden/>
          </w:rPr>
          <w:instrText xml:space="preserve"> PAGEREF _Toc228707702 \h </w:instrText>
        </w:r>
        <w:r>
          <w:rPr>
            <w:webHidden/>
          </w:rPr>
        </w:r>
        <w:r>
          <w:rPr>
            <w:webHidden/>
          </w:rPr>
          <w:fldChar w:fldCharType="separate"/>
        </w:r>
        <w:r>
          <w:rPr>
            <w:webHidden/>
          </w:rPr>
          <w:t>12</w:t>
        </w:r>
        <w:r>
          <w:rPr>
            <w:webHidden/>
          </w:rPr>
          <w:fldChar w:fldCharType="end"/>
        </w:r>
      </w:hyperlink>
    </w:p>
    <w:p w14:paraId="56B84C9D" w14:textId="6A765197" w:rsidR="00F2159F" w:rsidRDefault="00B765F2" w:rsidP="00AE480E">
      <w:r>
        <w:fldChar w:fldCharType="end"/>
      </w:r>
      <w:bookmarkStart w:id="0" w:name="_Toc51833371"/>
      <w:bookmarkStart w:id="1" w:name="_Toc290554220"/>
      <w:bookmarkStart w:id="2" w:name="_Toc299621185"/>
      <w:bookmarkStart w:id="3" w:name="_Toc299631413"/>
      <w:bookmarkStart w:id="4" w:name="_Toc299631473"/>
      <w:bookmarkStart w:id="5" w:name="_Toc299631563"/>
      <w:bookmarkStart w:id="6" w:name="_Toc299631640"/>
      <w:r w:rsidR="00F2159F">
        <w:br w:type="page"/>
      </w:r>
    </w:p>
    <w:bookmarkEnd w:id="0"/>
    <w:bookmarkEnd w:id="1"/>
    <w:bookmarkEnd w:id="2"/>
    <w:bookmarkEnd w:id="3"/>
    <w:bookmarkEnd w:id="4"/>
    <w:bookmarkEnd w:id="5"/>
    <w:bookmarkEnd w:id="6"/>
    <w:p w14:paraId="22E55604" w14:textId="77777777" w:rsidR="00DA28B2" w:rsidRDefault="00DA28B2" w:rsidP="003768D5">
      <w:pPr>
        <w:pStyle w:val="Heading1"/>
        <w:numPr>
          <w:ilvl w:val="0"/>
          <w:numId w:val="0"/>
        </w:numPr>
        <w:sectPr w:rsidR="00DA28B2" w:rsidSect="003B1C9F">
          <w:footerReference w:type="default" r:id="rId13"/>
          <w:pgSz w:w="11906" w:h="16838" w:code="9"/>
          <w:pgMar w:top="1701" w:right="1701" w:bottom="1701" w:left="1701" w:header="709" w:footer="851" w:gutter="0"/>
          <w:pgNumType w:fmt="lowerRoman"/>
          <w:cols w:space="708"/>
          <w:docGrid w:linePitch="360"/>
        </w:sectPr>
      </w:pPr>
    </w:p>
    <w:p w14:paraId="17440DE4" w14:textId="5041FF52" w:rsidR="00DA28B2" w:rsidRDefault="00343342" w:rsidP="00941D35">
      <w:pPr>
        <w:pStyle w:val="Heading1"/>
      </w:pPr>
      <w:bookmarkStart w:id="7" w:name="_Toc228707692"/>
      <w:r>
        <w:lastRenderedPageBreak/>
        <w:t>Introduction</w:t>
      </w:r>
      <w:bookmarkEnd w:id="7"/>
    </w:p>
    <w:p w14:paraId="744C06CB" w14:textId="0DE41F80" w:rsidR="00FB37FA" w:rsidRDefault="001C412D" w:rsidP="001C412D">
      <w:r>
        <w:t xml:space="preserve">This report </w:t>
      </w:r>
      <w:r w:rsidR="00FB37FA">
        <w:t xml:space="preserve">is a </w:t>
      </w:r>
      <w:r>
        <w:t>reflect</w:t>
      </w:r>
      <w:r w:rsidR="00FB37FA">
        <w:t>ion</w:t>
      </w:r>
      <w:r>
        <w:t xml:space="preserve"> on the </w:t>
      </w:r>
      <w:r w:rsidR="002619C0">
        <w:t>Product Safety Lead</w:t>
      </w:r>
      <w:r>
        <w:t>’s contribution to a group design project concerned with a portable mine detection, clearing and marking system for a medical convoy operating in desert terrain.</w:t>
      </w:r>
    </w:p>
    <w:p w14:paraId="07B22273" w14:textId="1FA34A03" w:rsidR="001C412D" w:rsidRDefault="001C412D" w:rsidP="001C412D">
      <w:r>
        <w:t xml:space="preserve">The operational scenario involved a convoy carrying medical supplies through a steep-walled pass containing a mixed minefield of </w:t>
      </w:r>
      <w:r w:rsidR="00543CF4">
        <w:t>Russian</w:t>
      </w:r>
      <w:r>
        <w:t xml:space="preserve"> OZM-72 bounding anti-personnel mines and</w:t>
      </w:r>
      <w:r w:rsidR="00ED1072">
        <w:t xml:space="preserve"> the American</w:t>
      </w:r>
      <w:r>
        <w:t xml:space="preserve"> M15 </w:t>
      </w:r>
      <w:r w:rsidR="00ED1072">
        <w:t>H</w:t>
      </w:r>
      <w:r>
        <w:t xml:space="preserve">igh </w:t>
      </w:r>
      <w:r w:rsidR="00ED1072">
        <w:t>E</w:t>
      </w:r>
      <w:r>
        <w:t>xplosive anti-tank mines</w:t>
      </w:r>
      <w:r w:rsidR="006F35B3">
        <w:t xml:space="preserve"> </w:t>
      </w:r>
      <w:r w:rsidR="00830A1C">
        <w:fldChar w:fldCharType="begin"/>
      </w:r>
      <w:r w:rsidR="00BE2D8F">
        <w:instrText xml:space="preserve"> ADDIN ZOTERO_ITEM CSL_CITATION {"citationID":"orgqwaC9","properties":{"formattedCitation":"[1]","plainCitation":"[1]","noteIndex":0},"citationItems":[{"id":497,"uris":["http://zotero.org/users/local/kxeNHLpj/items/3BMATHLF"],"itemData":{"id":497,"type":"document","abstract":"The third edition of the GICHD Explosive Ordnance Guide for Ukraine is intended as a basic reference for qualified EOD operators conducting explosive ordnanc...","language":"en","title":"Explosive Ordnance Guide for Ukraine - Third Edition","author":[{"literal":"GICHD"}],"issued":{"date-parts":[["2025",2,11]]}}}],"schema":"https://github.com/citation-style-language/schema/raw/master/csl-citation.json"} </w:instrText>
      </w:r>
      <w:r w:rsidR="00830A1C">
        <w:fldChar w:fldCharType="separate"/>
      </w:r>
      <w:r w:rsidR="00830A1C" w:rsidRPr="00830A1C">
        <w:rPr>
          <w:rFonts w:cs="Arial"/>
        </w:rPr>
        <w:t>[1]</w:t>
      </w:r>
      <w:r w:rsidR="00830A1C">
        <w:fldChar w:fldCharType="end"/>
      </w:r>
      <w:r>
        <w:t xml:space="preserve">. The route could not easily be bypassed, helicopter use was constrained by a MANPAD threat, and the system had to be suitable for light vehicles such as Land Rover or Toyota </w:t>
      </w:r>
      <w:r w:rsidR="003A05D2">
        <w:t xml:space="preserve">Hilux </w:t>
      </w:r>
      <w:r>
        <w:t xml:space="preserve">type platforms. The brief also excluded Python-type line charge systems due to vulnerability </w:t>
      </w:r>
      <w:r w:rsidR="009833F6">
        <w:t xml:space="preserve">and </w:t>
      </w:r>
      <w:r>
        <w:t>capture concerns.</w:t>
      </w:r>
    </w:p>
    <w:p w14:paraId="53CB843F" w14:textId="43333050" w:rsidR="001C412D" w:rsidRDefault="001C412D" w:rsidP="001C412D">
      <w:r>
        <w:t xml:space="preserve">The design team proposed a </w:t>
      </w:r>
      <w:r w:rsidR="003A05D2">
        <w:t>light vehicle</w:t>
      </w:r>
      <w:r w:rsidR="00773B25">
        <w:t xml:space="preserve"> </w:t>
      </w:r>
      <w:r>
        <w:t xml:space="preserve">compatible </w:t>
      </w:r>
      <w:r w:rsidR="00773B25">
        <w:t>‘R</w:t>
      </w:r>
      <w:r>
        <w:t>ocket</w:t>
      </w:r>
      <w:r w:rsidR="00773B25">
        <w:t xml:space="preserve"> R</w:t>
      </w:r>
      <w:r>
        <w:t>ake</w:t>
      </w:r>
      <w:r w:rsidR="00773B25">
        <w:t>’</w:t>
      </w:r>
      <w:r>
        <w:t xml:space="preserve"> system, supported by drone</w:t>
      </w:r>
      <w:r w:rsidR="00773B25">
        <w:t>-</w:t>
      </w:r>
      <w:r>
        <w:t xml:space="preserve">based detection and mine-defeat capability, and a simple marking system. The rocket rake </w:t>
      </w:r>
      <w:r w:rsidR="0080179B">
        <w:t xml:space="preserve">was </w:t>
      </w:r>
      <w:r>
        <w:t xml:space="preserve">used to provide a rapid mechanical clearance </w:t>
      </w:r>
      <w:proofErr w:type="gramStart"/>
      <w:r>
        <w:t>effect</w:t>
      </w:r>
      <w:proofErr w:type="gramEnd"/>
      <w:r>
        <w:t xml:space="preserve"> and the drone system </w:t>
      </w:r>
      <w:r w:rsidR="0080179B">
        <w:t xml:space="preserve">was </w:t>
      </w:r>
      <w:r>
        <w:t>used for detection and for threats inappropriate for the rake alone.</w:t>
      </w:r>
    </w:p>
    <w:p w14:paraId="28D590C9" w14:textId="5B37ABD7" w:rsidR="00DA28B2" w:rsidRDefault="001C412D" w:rsidP="00941D35">
      <w:r>
        <w:t xml:space="preserve">The </w:t>
      </w:r>
      <w:r w:rsidR="00B42B23">
        <w:t>author’s</w:t>
      </w:r>
      <w:r>
        <w:t xml:space="preserve"> assigned role was Product Safety</w:t>
      </w:r>
      <w:r w:rsidR="00B42B23">
        <w:t xml:space="preserve"> Lead</w:t>
      </w:r>
      <w:r>
        <w:t xml:space="preserve">. In addition to this formal role, the </w:t>
      </w:r>
      <w:r w:rsidR="002619C0">
        <w:t>Product Safety Lead</w:t>
      </w:r>
      <w:r>
        <w:t xml:space="preserve"> organised meetings, coordinated deadlines, helped structure the presentation from the marking scheme, researched </w:t>
      </w:r>
      <w:r w:rsidR="004C555E">
        <w:t>Commercial</w:t>
      </w:r>
      <w:r w:rsidR="007C75BB">
        <w:t xml:space="preserve"> </w:t>
      </w:r>
      <w:r w:rsidR="004C555E">
        <w:t>Off-The-Shelf (</w:t>
      </w:r>
      <w:r>
        <w:t>COTS</w:t>
      </w:r>
      <w:r w:rsidR="004C555E">
        <w:t>)</w:t>
      </w:r>
      <w:r>
        <w:t xml:space="preserve"> considerations, prepared Product Safety material, contributed to design decisions, and produced the Blender visuals used to communicate the system sequence.</w:t>
      </w:r>
    </w:p>
    <w:p w14:paraId="24204843" w14:textId="77777777" w:rsidR="00DA28B2" w:rsidRDefault="00DA28B2" w:rsidP="00941D35"/>
    <w:p w14:paraId="69941D14" w14:textId="77777777" w:rsidR="00FC2150" w:rsidRDefault="00FC2150" w:rsidP="00FC2150">
      <w:pPr>
        <w:pStyle w:val="Heading1"/>
        <w:sectPr w:rsidR="00FC2150" w:rsidSect="00623A81">
          <w:headerReference w:type="default" r:id="rId14"/>
          <w:pgSz w:w="11906" w:h="16838" w:code="9"/>
          <w:pgMar w:top="1701" w:right="1701" w:bottom="1701" w:left="1701" w:header="709" w:footer="851" w:gutter="0"/>
          <w:cols w:space="708"/>
          <w:docGrid w:linePitch="360"/>
        </w:sectPr>
      </w:pPr>
      <w:bookmarkStart w:id="8" w:name="_Toc51833419"/>
    </w:p>
    <w:p w14:paraId="2DD8DF2B" w14:textId="77777777" w:rsidR="00DA28B2" w:rsidRDefault="00FC2150" w:rsidP="00FC2150">
      <w:pPr>
        <w:pStyle w:val="Heading1"/>
      </w:pPr>
      <w:bookmarkStart w:id="9" w:name="_Toc228707693"/>
      <w:r>
        <w:lastRenderedPageBreak/>
        <w:t>Literature Review</w:t>
      </w:r>
      <w:bookmarkEnd w:id="9"/>
    </w:p>
    <w:p w14:paraId="52EF98FC" w14:textId="1D773D0C" w:rsidR="00CA4CCF" w:rsidRDefault="00CA4CCF" w:rsidP="00CA4CCF">
      <w:r>
        <w:t>This literature review considers the sources a design team would need to consult before proposing a portable mine detection, clearing and marking system. The focus is on OME legal requirements, COTS options, safety documentation, and the supplier route for energetics.</w:t>
      </w:r>
    </w:p>
    <w:p w14:paraId="6A877899" w14:textId="20839328" w:rsidR="00CA4CCF" w:rsidRDefault="00CA4CCF" w:rsidP="00CA4CCF">
      <w:r>
        <w:t xml:space="preserve">JSP 482 is relevant because it provides the Ministry of Defence framework for safe storage and processing of OME </w:t>
      </w:r>
      <w:r w:rsidR="00182372">
        <w:fldChar w:fldCharType="begin"/>
      </w:r>
      <w:r w:rsidR="00E53973">
        <w:instrText xml:space="preserve"> ADDIN ZOTERO_ITEM CSL_CITATION {"citationID":"hHNZsjmT","properties":{"formattedCitation":"[2]","plainCitation":"[2]","noteIndex":0},"citationItems":[{"id":499,"uris":["http://zotero.org/users/local/kxeNHLpj/items/LM4GUN98"],"itemData":{"id":499,"type":"document","abstract":"Ministry of Defence explosives regulations for the safe storage and processing of ordnance, munitions and explosives (OME)","language":"en","title":"MOD Explosives Regulations (JSP 482)","author":[{"literal":"DSEA-DOSR-Policy"}],"issued":{"date-parts":[["2025",7,31]]}}}],"schema":"https://github.com/citation-style-language/schema/raw/master/csl-citation.json"} </w:instrText>
      </w:r>
      <w:r w:rsidR="00182372">
        <w:fldChar w:fldCharType="separate"/>
      </w:r>
      <w:r w:rsidR="00E53973" w:rsidRPr="00E53973">
        <w:rPr>
          <w:rFonts w:cs="Arial"/>
        </w:rPr>
        <w:t>[2]</w:t>
      </w:r>
      <w:r w:rsidR="00182372">
        <w:fldChar w:fldCharType="end"/>
      </w:r>
      <w:r>
        <w:t xml:space="preserve">. Any energetic component, launch mechanism, mine-defeat payload or related store would therefore need controls for storage, transport, handling, security, misfire response and disposal </w:t>
      </w:r>
      <w:r w:rsidR="00E53973">
        <w:fldChar w:fldCharType="begin"/>
      </w:r>
      <w:r w:rsidR="00E53973">
        <w:instrText xml:space="preserve"> ADDIN ZOTERO_ITEM CSL_CITATION {"citationID":"zSPCsob0","properties":{"formattedCitation":"[2]","plainCitation":"[2]","noteIndex":0},"citationItems":[{"id":499,"uris":["http://zotero.org/users/local/kxeNHLpj/items/LM4GUN98"],"itemData":{"id":499,"type":"document","abstract":"Ministry of Defence explosives regulations for the safe storage and processing of ordnance, munitions and explosives (OME)","language":"en","title":"MOD Explosives Regulations (JSP 482)","author":[{"literal":"DSEA-DOSR-Policy"}],"issued":{"date-parts":[["2025",7,31]]}}}],"schema":"https://github.com/citation-style-language/schema/raw/master/csl-citation.json"} </w:instrText>
      </w:r>
      <w:r w:rsidR="00E53973">
        <w:fldChar w:fldCharType="separate"/>
      </w:r>
      <w:r w:rsidR="00E53973" w:rsidRPr="00E53973">
        <w:rPr>
          <w:rFonts w:cs="Arial"/>
        </w:rPr>
        <w:t>[2]</w:t>
      </w:r>
      <w:r w:rsidR="00E53973">
        <w:fldChar w:fldCharType="end"/>
      </w:r>
      <w:r>
        <w:t xml:space="preserve">. DSA 03.OME also applies because it covers OME safety management, acquisition and safety-case expectations, requiring hazards to be identified, analysed and controlled so residual risks are tolerable and ALARP </w:t>
      </w:r>
      <w:r w:rsidR="00E53973">
        <w:fldChar w:fldCharType="begin"/>
      </w:r>
      <w:r w:rsidR="00E53973">
        <w:instrText xml:space="preserve"> ADDIN ZOTERO_ITEM CSL_CITATION {"citationID":"p99LcPVU","properties":{"formattedCitation":"[3]","plainCitation":"[3]","noteIndex":0},"citationItems":[{"id":502,"uris":["http://zotero.org/users/local/kxeNHLpj/items/RGXWCDFA"],"itemData":{"id":502,"type":"webpage","abstract":"DSA 03 OME part 1 provides guidance to ensure that the risks associated with Ordnance, Munitions and Explosives (OME) are as low as reasonably practicable when in use, stored, moved, and disposed.","container-title":"GOV.UK","language":"en","title":"DSA03 OME: part 1 OME Acquisition","title-short":"DSA03 OME","URL":"https://www.gov.uk/government/publications/dsa03-ome-part-1-ome-acquisition","author":[{"literal":"DOSR"}],"issued":{"date-parts":[["2025",11,20]]}}}],"schema":"https://github.com/citation-style-language/schema/raw/master/csl-citation.json"} </w:instrText>
      </w:r>
      <w:r w:rsidR="00E53973">
        <w:fldChar w:fldCharType="separate"/>
      </w:r>
      <w:r w:rsidR="00E53973" w:rsidRPr="00E53973">
        <w:rPr>
          <w:rFonts w:cs="Arial"/>
        </w:rPr>
        <w:t>[3]</w:t>
      </w:r>
      <w:r w:rsidR="00E53973">
        <w:fldChar w:fldCharType="end"/>
      </w:r>
      <w:r>
        <w:t xml:space="preserve">. HASAWA 1974 and the Explosives Regulations 2014 are also relevant because the system could expose operators, maintainers and third parties to hazards from explosives, energetic materials, fuel, vehicle movement and recovery operations </w:t>
      </w:r>
      <w:r w:rsidR="00E53973">
        <w:fldChar w:fldCharType="begin"/>
      </w:r>
      <w:r w:rsidR="00E53973">
        <w:instrText xml:space="preserve"> ADDIN ZOTERO_ITEM CSL_CITATION {"citationID":"nneJYAq7","properties":{"formattedCitation":"[4], [5]","plainCitation":"[4], [5]","noteIndex":0},"citationItems":[{"id":504,"uris":["http://zotero.org/users/local/kxeNHLpj/items/RL5MPRLA"],"itemData":{"id":504,"type":"webpage","abstract":"An Act to make further provision for securing the health, safety and welfare of persons at work, for protecting others against risks to health or safety in connection with the activities of persons at work, for controlling the keeping and use and preventing the unlawful acquisition, possession and use of dangerous substances, and for controlling certain emissions into the atmosphere; to make further provision with respect to the employment medical advisory service; to amend the law relating to building regulations, and the Building (Scotland) Act 1959; and for connected purposes.","language":"eng","publisher":"Statute Law Database","title":"Health and Safety at Work Act 1974","URL":"https://www.legislation.gov.uk/ukpga/1974/37/contents"}},{"id":506,"uris":["http://zotero.org/users/local/kxeNHLpj/items/K7EWALQP"],"itemData":{"id":506,"type":"webpage","language":"eng","publisher":"Statute Law Database","title":"The Explosives Regulations 2014","URL":"https://www.legislation.gov.uk/uksi/2014/1638/contents"}}],"schema":"https://github.com/citation-style-language/schema/raw/master/csl-citation.json"} </w:instrText>
      </w:r>
      <w:r w:rsidR="00E53973">
        <w:fldChar w:fldCharType="separate"/>
      </w:r>
      <w:r w:rsidR="00E53973" w:rsidRPr="00E53973">
        <w:rPr>
          <w:rFonts w:cs="Arial"/>
        </w:rPr>
        <w:t>[4], [5]</w:t>
      </w:r>
      <w:r w:rsidR="00E53973">
        <w:fldChar w:fldCharType="end"/>
      </w:r>
      <w:r>
        <w:t>.</w:t>
      </w:r>
    </w:p>
    <w:p w14:paraId="7A7297AC" w14:textId="16A22626" w:rsidR="00CA4CCF" w:rsidRDefault="00CA4CCF" w:rsidP="00CA4CCF">
      <w:r>
        <w:t xml:space="preserve">Mine-action guidance is relevant because the requirement is not only mine defeat, but safe passage for current and future convoys. IMAS 09.10 explains that clearance forms part of land release and must be supported by an appropriate quality system, procedures and responsibilities </w:t>
      </w:r>
      <w:r w:rsidR="00E53973">
        <w:fldChar w:fldCharType="begin"/>
      </w:r>
      <w:r w:rsidR="00E53973">
        <w:instrText xml:space="preserve"> ADDIN ZOTERO_ITEM CSL_CITATION {"citationID":"uVq6qe4p","properties":{"formattedCitation":"[6]","plainCitation":"[6]","noteIndex":0},"citationItems":[{"id":509,"uris":["http://zotero.org/users/local/kxeNHLpj/items/S62L3RTR"],"itemData":{"id":509,"type":"webpage","title":"09.10 Clearance requirements - International Mine Action Standards: IMAS","URL":"https://www.mineactionstandards.org/standards/09-10/"}}],"schema":"https://github.com/citation-style-language/schema/raw/master/csl-citation.json"} </w:instrText>
      </w:r>
      <w:r w:rsidR="00E53973">
        <w:fldChar w:fldCharType="separate"/>
      </w:r>
      <w:r w:rsidR="00E53973" w:rsidRPr="00E53973">
        <w:rPr>
          <w:rFonts w:cs="Arial"/>
        </w:rPr>
        <w:t>[6]</w:t>
      </w:r>
      <w:r w:rsidR="00E53973">
        <w:fldChar w:fldCharType="end"/>
      </w:r>
      <w:r>
        <w:t>. IMAS 07.11 also emphasises competent personnel, approved procedures, appropriate equipment and quality assurance</w:t>
      </w:r>
      <w:r w:rsidR="00E53973">
        <w:t xml:space="preserve"> </w:t>
      </w:r>
      <w:r w:rsidR="00E53973">
        <w:fldChar w:fldCharType="begin"/>
      </w:r>
      <w:r w:rsidR="00E53973">
        <w:instrText xml:space="preserve"> ADDIN ZOTERO_ITEM CSL_CITATION {"citationID":"AQklBf3p","properties":{"formattedCitation":"[7]","plainCitation":"[7]","noteIndex":0},"citationItems":[{"id":511,"uris":["http://zotero.org/users/local/kxeNHLpj/items/E52P7N77"],"itemData":{"id":511,"type":"webpage","title":"07.11 Land release - International Mine Action Standards: IMAS","URL":"https://www.mineactionstandards.org/standards/07-11/"}}],"schema":"https://github.com/citation-style-language/schema/raw/master/csl-citation.json"} </w:instrText>
      </w:r>
      <w:r w:rsidR="00E53973">
        <w:fldChar w:fldCharType="separate"/>
      </w:r>
      <w:r w:rsidR="00E53973" w:rsidRPr="00E53973">
        <w:rPr>
          <w:rFonts w:cs="Arial"/>
        </w:rPr>
        <w:t>[7]</w:t>
      </w:r>
      <w:r w:rsidR="00E53973">
        <w:fldChar w:fldCharType="end"/>
      </w:r>
      <w:r>
        <w:t>. These sources show that a mechanical clearance device cannot automatically be treated as route release; the design must also support detection, marking, recording, confirmation and handover.</w:t>
      </w:r>
    </w:p>
    <w:p w14:paraId="21849E22" w14:textId="1DE6302C" w:rsidR="00CA4CCF" w:rsidRDefault="00CA4CCF" w:rsidP="00CA4CCF">
      <w:r>
        <w:t xml:space="preserve">The team reviewed COTS and military off-the-shelf solutions. Because the brief prohibited Python, comparable line-charge systems such as M58 MICLIC were considered </w:t>
      </w:r>
      <w:r w:rsidR="00E53973">
        <w:fldChar w:fldCharType="begin"/>
      </w:r>
      <w:r w:rsidR="00E53973">
        <w:instrText xml:space="preserve"> ADDIN ZOTERO_ITEM CSL_CITATION {"citationID":"H2Mz4cdK","properties":{"formattedCitation":"[8]","plainCitation":"[8]","noteIndex":0},"citationItems":[{"id":513,"uris":["http://zotero.org/users/local/kxeNHLpj/items/3H8PFCJB"],"itemData":{"id":513,"type":"webpage","title":"M58 Mine Clearing Line Charge (MICLIC)","URL":"https://man.fas.org/dod-101/sys/land/m58-miclic.htm","author":[{"literal":"John Pike"}]}}],"schema":"https://github.com/citation-style-language/schema/raw/master/csl-citation.json"} </w:instrText>
      </w:r>
      <w:r w:rsidR="00E53973">
        <w:fldChar w:fldCharType="separate"/>
      </w:r>
      <w:r w:rsidR="00E53973" w:rsidRPr="00E53973">
        <w:rPr>
          <w:rFonts w:cs="Arial"/>
        </w:rPr>
        <w:t>[8]</w:t>
      </w:r>
      <w:r w:rsidR="00E53973">
        <w:fldChar w:fldCharType="end"/>
      </w:r>
      <w:r>
        <w:t xml:space="preserve">. However, this approach was unsuitable because the brief raised concerns around vulnerability, misfire, </w:t>
      </w:r>
      <w:r w:rsidR="004C5BD8">
        <w:t xml:space="preserve">and </w:t>
      </w:r>
      <w:r>
        <w:t xml:space="preserve">capture. Mine </w:t>
      </w:r>
      <w:proofErr w:type="spellStart"/>
      <w:r>
        <w:t>Kafon</w:t>
      </w:r>
      <w:proofErr w:type="spellEnd"/>
      <w:r>
        <w:t xml:space="preserve"> was also reviewed as a lower-cost concept; the Mine </w:t>
      </w:r>
      <w:proofErr w:type="spellStart"/>
      <w:r>
        <w:t>Kafon</w:t>
      </w:r>
      <w:proofErr w:type="spellEnd"/>
      <w:r>
        <w:t xml:space="preserve"> Ball is described as a wind-powered device heavy enough to detonate landmines</w:t>
      </w:r>
      <w:r w:rsidR="00E53973">
        <w:t xml:space="preserve"> </w:t>
      </w:r>
      <w:r w:rsidR="00E53973">
        <w:fldChar w:fldCharType="begin"/>
      </w:r>
      <w:r w:rsidR="00965819">
        <w:instrText xml:space="preserve"> ADDIN ZOTERO_ITEM CSL_CITATION {"citationID":"JVgFRuv0","properties":{"formattedCitation":"[9]","plainCitation":"[9]","noteIndex":0},"citationItems":[{"id":515,"uris":["http://zotero.org/users/local/kxeNHLpj/items/SUEY9QHC"],"itemData":{"id":515,"type":"post-weblog","abstract":"Mine Kafon \nAirborne Detection System, every life counts. \nAccording to The Landmine Monitor, millions of landmines and unexploded ordnances (UXO) remain buried worldwide, posing ongoing risks to communities and the environment. These hidden hazards, remnants of past conflicts, restrict access to land, hinder development, and create lasting","container-title":"Mine Kafon","language":"en-GB","title":"Homepage","URL":"https://minekafon.org/","author":[{"family":"Hassani","given":"Massoud"}]}}],"schema":"https://github.com/citation-style-language/schema/raw/master/csl-citation.json"} </w:instrText>
      </w:r>
      <w:r w:rsidR="00E53973">
        <w:fldChar w:fldCharType="separate"/>
      </w:r>
      <w:r w:rsidR="00E53973" w:rsidRPr="00E53973">
        <w:rPr>
          <w:rFonts w:cs="Arial"/>
        </w:rPr>
        <w:t>[9]</w:t>
      </w:r>
      <w:r w:rsidR="00E53973">
        <w:fldChar w:fldCharType="end"/>
      </w:r>
      <w:r>
        <w:t xml:space="preserve">. It supported thinking around </w:t>
      </w:r>
      <w:r w:rsidR="00717700">
        <w:t>standoff</w:t>
      </w:r>
      <w:r>
        <w:t xml:space="preserve">, but was unsuitable for controlled, rapid vehicle-route clearance. </w:t>
      </w:r>
      <w:r>
        <w:lastRenderedPageBreak/>
        <w:t xml:space="preserve">Alford Technologies’ drone payloads and </w:t>
      </w:r>
      <w:proofErr w:type="spellStart"/>
      <w:r>
        <w:t>Chemring’s</w:t>
      </w:r>
      <w:proofErr w:type="spellEnd"/>
      <w:r>
        <w:t xml:space="preserve"> Pigstick and WASP disruptors were also considered as targeted EOD disruption options </w:t>
      </w:r>
      <w:r w:rsidR="00E53973">
        <w:fldChar w:fldCharType="begin"/>
      </w:r>
      <w:r w:rsidR="00965819">
        <w:instrText xml:space="preserve"> ADDIN ZOTERO_ITEM CSL_CITATION {"citationID":"tdw9Ow0I","properties":{"formattedCitation":"[10], [11]","plainCitation":"[10], [11]","noteIndex":0},"citationItems":[{"id":517,"uris":["http://zotero.org/users/local/kxeNHLpj/items/ZMD2URJU"],"itemData":{"id":517,"type":"post-weblog","abstract":"Based on our field-proven shaped charge technology, Alford drone payloads are an effective, reliable solution. Drone-agnostic &amp; customisable","container-title":"Alford Technologies","language":"en-US","title":"Drone Payloads","URL":"https://www.explosives.net/drone-payloads/"}},{"id":519,"uris":["http://zotero.org/users/local/kxeNHLpj/items/8F46RAG2"],"itemData":{"id":519,"type":"webpage","abstract":"Chemring’s chemical detection product range","language":"en","title":"Explosive Ordnance Disposal","URL":"https://www.chemring.com/what-we-do/countermeasures-and-energetics/explosive-ordnance-disposal","author":[{"literal":"Chemring"}]}}],"schema":"https://github.com/citation-style-language/schema/raw/master/csl-citation.json"} </w:instrText>
      </w:r>
      <w:r w:rsidR="00E53973">
        <w:fldChar w:fldCharType="separate"/>
      </w:r>
      <w:r w:rsidR="00E53973" w:rsidRPr="00E53973">
        <w:rPr>
          <w:rFonts w:cs="Arial"/>
        </w:rPr>
        <w:t>[10], [11]</w:t>
      </w:r>
      <w:r w:rsidR="00E53973">
        <w:fldChar w:fldCharType="end"/>
      </w:r>
      <w:r>
        <w:t xml:space="preserve">. These supported the drone-defeat </w:t>
      </w:r>
      <w:proofErr w:type="gramStart"/>
      <w:r>
        <w:t>concept, but</w:t>
      </w:r>
      <w:proofErr w:type="gramEnd"/>
      <w:r>
        <w:t xml:space="preserve"> were not primary clearance solutions.</w:t>
      </w:r>
    </w:p>
    <w:p w14:paraId="76FE7C8E" w14:textId="77777777" w:rsidR="007B726D" w:rsidRDefault="00CA4CCF" w:rsidP="002D1AF1">
      <w:r>
        <w:t xml:space="preserve">Finally, the supplier route for energetics would need to be established. Any energetic component would require evidence for safety, qualification, insensitive munitions compliance, hazard classification, storage, transport and disposal </w:t>
      </w:r>
      <w:r w:rsidR="008D3D30">
        <w:fldChar w:fldCharType="begin"/>
      </w:r>
      <w:r w:rsidR="008D3D30">
        <w:instrText xml:space="preserve"> ADDIN ZOTERO_ITEM CSL_CITATION {"citationID":"vvqxOYtD","properties":{"formattedCitation":"[12]","plainCitation":"[12]","noteIndex":0},"citationItems":[{"id":524,"uris":["http://zotero.org/users/local/kxeNHLpj/items/RDWMS4JH"],"itemData":{"id":524,"type":"webpage","title":"DSA 03.OME Part 1 DCOP 107 – Explosive Materials Qualification","URL":"https://assets.publishing.service.gov.uk/media/69b15fcb95b746516034961f/DSA_03.OME_Part_1-DCOP107_Explosive_Materials_Qualification__v2.0_Feb_26_.pdf","author":[{"literal":"DOSR"}]}}],"schema":"https://github.com/citation-style-language/schema/raw/master/csl-citation.json"} </w:instrText>
      </w:r>
      <w:r w:rsidR="008D3D30">
        <w:fldChar w:fldCharType="separate"/>
      </w:r>
      <w:r w:rsidR="008D3D30" w:rsidRPr="008D3D30">
        <w:rPr>
          <w:rFonts w:cs="Arial"/>
        </w:rPr>
        <w:t>[12]</w:t>
      </w:r>
      <w:r w:rsidR="008D3D30">
        <w:fldChar w:fldCharType="end"/>
      </w:r>
      <w:r>
        <w:t xml:space="preserve">. DSA 03.OME states that new munition acquisitions should comply with IM policy where relevant and that this should be considered as part of the user requirement </w:t>
      </w:r>
      <w:r w:rsidR="008D3D30">
        <w:fldChar w:fldCharType="begin"/>
      </w:r>
      <w:r w:rsidR="008D3D30">
        <w:instrText xml:space="preserve"> ADDIN ZOTERO_ITEM CSL_CITATION {"citationID":"mM8WirEC","properties":{"formattedCitation":"[13]","plainCitation":"[13]","noteIndex":0},"citationItems":[{"id":522,"uris":["http://zotero.org/users/local/kxeNHLpj/items/3XESALFT"],"itemData":{"id":522,"type":"document","title":"DSA 03.OME Part 1: DCOP 112 - OME Vulnerability (Insensitive Munitions)","URL":"https://assets.publishing.service.gov.uk/media/69b1602acdd628b29e349623/DSA_03.OME_Part_1-DCOP112_OME_Vulnerability__Insensitive_Munitions___v2.0_Feb_26_.pdf","author":[{"literal":"DOSR"}]}}],"schema":"https://github.com/citation-style-language/schema/raw/master/csl-citation.json"} </w:instrText>
      </w:r>
      <w:r w:rsidR="008D3D30">
        <w:fldChar w:fldCharType="separate"/>
      </w:r>
      <w:r w:rsidR="008D3D30" w:rsidRPr="008D3D30">
        <w:rPr>
          <w:rFonts w:cs="Arial"/>
        </w:rPr>
        <w:t>[13]</w:t>
      </w:r>
      <w:r w:rsidR="008D3D30">
        <w:fldChar w:fldCharType="end"/>
      </w:r>
      <w:r>
        <w:t>. Overall, the literature showed that the system should be judged not only by whether it could clear mines, but whether it could be legally sourced, safely integrated, documented, tested and controlled through its lifecycle.</w:t>
      </w:r>
    </w:p>
    <w:p w14:paraId="1305FE35" w14:textId="77777777" w:rsidR="00CD370C" w:rsidRDefault="00CD370C" w:rsidP="002D1AF1"/>
    <w:p w14:paraId="57A2CA65" w14:textId="68EDEADB" w:rsidR="00483588" w:rsidRDefault="00CD370C" w:rsidP="00483588">
      <w:pPr>
        <w:pStyle w:val="Heading1"/>
      </w:pPr>
      <w:bookmarkStart w:id="10" w:name="_Toc228707694"/>
      <w:r>
        <w:t>Requirements</w:t>
      </w:r>
      <w:bookmarkEnd w:id="10"/>
    </w:p>
    <w:p w14:paraId="50319BD8" w14:textId="49EF161C" w:rsidR="00B07919" w:rsidRDefault="00B07919" w:rsidP="00B07919">
      <w:r>
        <w:t>The first st</w:t>
      </w:r>
      <w:r w:rsidR="003938A5">
        <w:t>ep</w:t>
      </w:r>
      <w:r>
        <w:t xml:space="preserve"> of the project</w:t>
      </w:r>
      <w:r w:rsidR="003938A5">
        <w:t xml:space="preserve"> was to</w:t>
      </w:r>
      <w:r>
        <w:t xml:space="preserve"> convert the operational scenario into a design problem. The team had to develop a portable mine detection, clearing and marking system for a medical convoy moving through a mined desert pass. The system needed to support rapid movement, avoid helicopters and heavy vehicles, remain compatible with light platforms, and address a mixed OZM-72 and M15 mine threa</w:t>
      </w:r>
      <w:r w:rsidR="006959B7">
        <w:t>t</w:t>
      </w:r>
      <w:r>
        <w:t>. Python line charge systems were excluded by the brief.</w:t>
      </w:r>
    </w:p>
    <w:p w14:paraId="6B601D11" w14:textId="66B795CE" w:rsidR="00B07919" w:rsidRDefault="00B07919" w:rsidP="00B07919">
      <w:r>
        <w:t>At this stage, the Product Safety role was to ensure the task was not treated only as a performance problem. The system did not simply need to d</w:t>
      </w:r>
      <w:r w:rsidR="00A5362A">
        <w:t>efeat</w:t>
      </w:r>
      <w:r>
        <w:t xml:space="preserve"> mines; it needed to provide safe passage for the current convoy and sufficient confidence for future convoys. Failure to detect, clear, mark or communicate residual risk would all represent safety failures.</w:t>
      </w:r>
    </w:p>
    <w:p w14:paraId="6B8556A9" w14:textId="731D8557" w:rsidR="001A269F" w:rsidRDefault="00B07919" w:rsidP="001A269F">
      <w:r>
        <w:t xml:space="preserve">The team initially generated ideas quickly, but the </w:t>
      </w:r>
      <w:r w:rsidR="00A5362A">
        <w:t>Systems Engineering</w:t>
      </w:r>
      <w:r>
        <w:t xml:space="preserve"> process helped </w:t>
      </w:r>
      <w:r w:rsidR="00D23A3B">
        <w:t xml:space="preserve">measure enthusiasm </w:t>
      </w:r>
      <w:r>
        <w:t xml:space="preserve">and focus discussion on requirements. From the Product Safety perspective, the key output was that safety became embedded in the design requirements from the start, influencing later decisions around </w:t>
      </w:r>
      <w:r w:rsidR="00717700">
        <w:lastRenderedPageBreak/>
        <w:t>standoff</w:t>
      </w:r>
      <w:r>
        <w:t xml:space="preserve"> distance, remote operation, cable safety, marking and drone support</w:t>
      </w:r>
      <w:r w:rsidR="001A269F">
        <w:br/>
      </w:r>
    </w:p>
    <w:p w14:paraId="4E8F4625" w14:textId="55D5B156" w:rsidR="007B726D" w:rsidRDefault="00D15044" w:rsidP="001A269F">
      <w:pPr>
        <w:pStyle w:val="Heading1"/>
      </w:pPr>
      <w:bookmarkStart w:id="11" w:name="_Toc228707695"/>
      <w:r>
        <w:t>Concept</w:t>
      </w:r>
      <w:bookmarkEnd w:id="11"/>
    </w:p>
    <w:p w14:paraId="0B3DE25A" w14:textId="2DE06754" w:rsidR="00102F59" w:rsidRDefault="00102F59" w:rsidP="00102F59">
      <w:r>
        <w:t>The next stage broke the problem into function</w:t>
      </w:r>
      <w:r w:rsidR="00617C74">
        <w:t>s</w:t>
      </w:r>
      <w:r>
        <w:t xml:space="preserve">. The system needed to be transported, </w:t>
      </w:r>
      <w:r w:rsidR="00617C74">
        <w:t xml:space="preserve">be </w:t>
      </w:r>
      <w:r>
        <w:t xml:space="preserve">deployed, detect mines, defeat mines, confirm clearance, mark the cleared lane, and then be secured or undeployed. </w:t>
      </w:r>
      <w:r w:rsidR="003D08FC" w:rsidRPr="003D08FC">
        <w:t>Drawing functions out from the requirements characterised the system more accurately. It showed that the design was not simply a mine-defeat device, but a wider route</w:t>
      </w:r>
      <w:r w:rsidR="004823B5">
        <w:t xml:space="preserve"> </w:t>
      </w:r>
      <w:r w:rsidR="003D08FC" w:rsidRPr="003D08FC">
        <w:t>clearance system requiring detection, confirmation,</w:t>
      </w:r>
      <w:r w:rsidR="008C03FB">
        <w:t xml:space="preserve"> and</w:t>
      </w:r>
      <w:r w:rsidR="003D08FC" w:rsidRPr="003D08FC">
        <w:t xml:space="preserve"> marking </w:t>
      </w:r>
      <w:r w:rsidR="008C03FB">
        <w:t>functions.</w:t>
      </w:r>
    </w:p>
    <w:p w14:paraId="7832CB23" w14:textId="4AB30DD4" w:rsidR="00102F59" w:rsidRDefault="00102F59" w:rsidP="00102F59">
      <w:r>
        <w:t>The team then considered several concepts, including a rocket-launched rake, front-mounted plough and acoustic infrasound concept, alongside rollers, flails, manual clearance, drone-only and UGV</w:t>
      </w:r>
      <w:r w:rsidR="004823B5">
        <w:t xml:space="preserve"> </w:t>
      </w:r>
      <w:r>
        <w:t xml:space="preserve">based options. </w:t>
      </w:r>
      <w:r w:rsidR="00F26C5F">
        <w:t>Many possible solutions were ruled out:</w:t>
      </w:r>
      <w:r>
        <w:t xml:space="preserve"> flails and rollers required heavier platforms, a plough increased operator exposure, manual clearance was too slow, and drone-only or UGV systems were incomplete for rapid route clearance.</w:t>
      </w:r>
    </w:p>
    <w:p w14:paraId="42B12318" w14:textId="0E86DA50" w:rsidR="001A269F" w:rsidRDefault="00102F59" w:rsidP="001A269F">
      <w:r>
        <w:t>From the Product Safety viewpoint, each concept carried a different hazard profile. The rocket rake introduced launch, cable and structural risks, but offered improved standoff from the minefield. Team discussion was constructive, especially around rake survivability and manual versus remote vehicle operation. The main output was a narrowed concept set and clearer understanding of safety trade-offs.</w:t>
      </w:r>
    </w:p>
    <w:p w14:paraId="042FD0DF" w14:textId="77777777" w:rsidR="001A269F" w:rsidRDefault="001A269F" w:rsidP="001A269F"/>
    <w:p w14:paraId="06EABCAD" w14:textId="49399FB8" w:rsidR="007B726D" w:rsidRDefault="001A269F" w:rsidP="001A269F">
      <w:pPr>
        <w:pStyle w:val="Heading1"/>
      </w:pPr>
      <w:r>
        <w:t xml:space="preserve"> </w:t>
      </w:r>
      <w:bookmarkStart w:id="12" w:name="_Toc228707696"/>
      <w:r w:rsidR="00F83A64">
        <w:t>Design Development</w:t>
      </w:r>
      <w:bookmarkEnd w:id="12"/>
    </w:p>
    <w:p w14:paraId="1C7AF9FF" w14:textId="2C561E69" w:rsidR="001A269F" w:rsidRDefault="001A269F" w:rsidP="001A269F">
      <w:r>
        <w:t xml:space="preserve">The </w:t>
      </w:r>
      <w:r w:rsidR="00983E00">
        <w:t>R</w:t>
      </w:r>
      <w:r>
        <w:t>ocket</w:t>
      </w:r>
      <w:r w:rsidR="00983E00">
        <w:t xml:space="preserve"> R</w:t>
      </w:r>
      <w:r>
        <w:t xml:space="preserve">ake concept was selected because it balanced speed, portability, </w:t>
      </w:r>
      <w:r w:rsidR="00717700">
        <w:t>standoff</w:t>
      </w:r>
      <w:r>
        <w:t xml:space="preserve"> and compatibility with light vehicles. It was developed as a Hilux</w:t>
      </w:r>
      <w:r w:rsidR="003C26CD">
        <w:t xml:space="preserve"> </w:t>
      </w:r>
      <w:r>
        <w:t>based system in which a rocket</w:t>
      </w:r>
      <w:r w:rsidR="003C26CD">
        <w:t xml:space="preserve"> </w:t>
      </w:r>
      <w:r>
        <w:t>launched rake would be deployed across the minefield and then pulled back through the lane, supported by a drone for detection and selected mine</w:t>
      </w:r>
      <w:r w:rsidR="007170D6">
        <w:t xml:space="preserve"> </w:t>
      </w:r>
      <w:r>
        <w:t xml:space="preserve">defeat tasks. This combined approach improved the design’s ability to deal with different </w:t>
      </w:r>
      <w:proofErr w:type="gramStart"/>
      <w:r>
        <w:t>mine</w:t>
      </w:r>
      <w:proofErr w:type="gramEnd"/>
      <w:r>
        <w:t xml:space="preserve"> threats.</w:t>
      </w:r>
    </w:p>
    <w:p w14:paraId="7966A4ED" w14:textId="0C8DE59C" w:rsidR="001A269F" w:rsidRDefault="001A269F" w:rsidP="001A269F">
      <w:r>
        <w:lastRenderedPageBreak/>
        <w:t xml:space="preserve">As the concept matured, the recovery mechanism changed from a more complex winch arrangement to a fixed-cable towing system. </w:t>
      </w:r>
      <w:r w:rsidR="00DD3550">
        <w:t>The product safety lead suggested this, as f</w:t>
      </w:r>
      <w:r>
        <w:t>rom the Product Safety perspective, this improved standoff by avoiding the risk of dragging disturbed mines closer to a static vehicle. The drone also</w:t>
      </w:r>
      <w:r w:rsidR="00DD3550">
        <w:t xml:space="preserve"> had</w:t>
      </w:r>
      <w:r w:rsidR="0081150D">
        <w:t xml:space="preserve"> mine defeat capability</w:t>
      </w:r>
      <w:r>
        <w:t xml:space="preserve"> added after recognising that the M15 anti-tank mine could </w:t>
      </w:r>
      <w:r w:rsidR="0081150D">
        <w:t xml:space="preserve">potentially </w:t>
      </w:r>
      <w:r>
        <w:t>destroy the rake, meaning the system could not rely on the rake alone.</w:t>
      </w:r>
    </w:p>
    <w:p w14:paraId="7DAFCA76" w14:textId="3DF43043" w:rsidR="00E23041" w:rsidRDefault="001A269F" w:rsidP="001A269F">
      <w:r>
        <w:t xml:space="preserve">The Product Safety lead influenced this stage by linking design features to hazard controls, including cable distance, remote operation, cable release and armour. The Blender renders produced at this stage were also a valuable output, helping the team communicate the system sequence and identify practical questions around positioning, range and </w:t>
      </w:r>
      <w:r w:rsidR="00717700">
        <w:t>standoff</w:t>
      </w:r>
      <w:r>
        <w:t>.</w:t>
      </w:r>
    </w:p>
    <w:p w14:paraId="2A428F89" w14:textId="76D847E2" w:rsidR="006B1F37" w:rsidRDefault="003D5A0D" w:rsidP="001A269F">
      <w:r>
        <w:t>Product Safety was important her</w:t>
      </w:r>
      <w:r w:rsidR="006F48C1">
        <w:t>e, as the concept is more fleshed out, the hazards are clearer and safe by design can employed.</w:t>
      </w:r>
      <w:r w:rsidR="006B1F37" w:rsidRPr="006B1F37">
        <w:t xml:space="preserve"> </w:t>
      </w:r>
      <w:proofErr w:type="gramStart"/>
      <w:r w:rsidR="006B1F37" w:rsidRPr="006B1F37">
        <w:t>The</w:t>
      </w:r>
      <w:proofErr w:type="gramEnd"/>
      <w:r w:rsidR="006B1F37" w:rsidRPr="006B1F37">
        <w:t xml:space="preserve"> standoff distance, cable release, remote operation and armour were all treated as risk controls, not optional features. The design discussion also highlighted that the rake, cable and drone were safety-critical interfaces because failure of any one of them could expose the vehicle, operator or f</w:t>
      </w:r>
      <w:r w:rsidR="00787449">
        <w:t>uture convoys</w:t>
      </w:r>
      <w:r w:rsidR="006B1F37" w:rsidRPr="006B1F37">
        <w:t xml:space="preserve"> to </w:t>
      </w:r>
      <w:r w:rsidR="00787449">
        <w:t>any remaining</w:t>
      </w:r>
      <w:r w:rsidR="006B1F37" w:rsidRPr="006B1F37">
        <w:t xml:space="preserve"> mines.</w:t>
      </w:r>
    </w:p>
    <w:p w14:paraId="1607D382" w14:textId="77777777" w:rsidR="009D1077" w:rsidRDefault="009D1077" w:rsidP="001A269F"/>
    <w:p w14:paraId="1F602549" w14:textId="1373EC99" w:rsidR="00E23041" w:rsidRDefault="00B336CF" w:rsidP="00EF1669">
      <w:pPr>
        <w:pStyle w:val="Heading1"/>
      </w:pPr>
      <w:bookmarkStart w:id="13" w:name="_Toc228707697"/>
      <w:r>
        <w:t>Final Design Stages</w:t>
      </w:r>
      <w:r w:rsidR="00CE5D48">
        <w:t xml:space="preserve"> and Presentation</w:t>
      </w:r>
      <w:bookmarkEnd w:id="13"/>
    </w:p>
    <w:p w14:paraId="1CC0EAC8" w14:textId="3F080739" w:rsidR="000F4CC9" w:rsidRDefault="000F4CC9" w:rsidP="000F4CC9">
      <w:r>
        <w:t xml:space="preserve">Once the core concept was </w:t>
      </w:r>
      <w:r w:rsidR="00216910">
        <w:t>agreed upon</w:t>
      </w:r>
      <w:r>
        <w:t>, the project shifted toward integrating each lifecycle role into a coherent proposal. The six roles covered Environmental Safety, Trials Research and Development, Manufacturing, Test and Evaluation, Breakdown and Disposal, and Product Safety. This helped ensure the design was considered across its lifecycle, not only as an operational device.</w:t>
      </w:r>
    </w:p>
    <w:p w14:paraId="6A1CA8EE" w14:textId="2FC1FF5A" w:rsidR="000F4CC9" w:rsidRDefault="000F4CC9" w:rsidP="000F4CC9">
      <w:r>
        <w:t>The team communicated through regular meetings and Microsoft Teams, which supported document control and shared working. The Product Safety lead coordinate</w:t>
      </w:r>
      <w:r w:rsidR="00216910">
        <w:t>d</w:t>
      </w:r>
      <w:r>
        <w:t xml:space="preserve"> meetings, track deadlines and create the presentation skeleton from the marking scheme, ensuring that each role contributed to one integrated design narrative.</w:t>
      </w:r>
    </w:p>
    <w:p w14:paraId="6E25616C" w14:textId="06583072" w:rsidR="00542E94" w:rsidRDefault="000F4CC9" w:rsidP="000F4CC9">
      <w:r>
        <w:lastRenderedPageBreak/>
        <w:t>The Product Safety output identified key requirements, including preventing harm, conforming to OME regulations and applying ALARP principles. It also identified hazards such as vehicle movement, drone payload, cable tension, rocket plume, negligent discharge, mines, diesel and rocket fuel.</w:t>
      </w:r>
    </w:p>
    <w:p w14:paraId="0ECD7BD6" w14:textId="2FA90C12" w:rsidR="00D407DE" w:rsidRDefault="005B559F" w:rsidP="000F4CC9">
      <w:r>
        <w:t xml:space="preserve">The Product Safety lead then rendered final </w:t>
      </w:r>
      <w:proofErr w:type="spellStart"/>
      <w:r w:rsidR="001B3971">
        <w:t>mockups</w:t>
      </w:r>
      <w:proofErr w:type="spellEnd"/>
      <w:r w:rsidR="001B3971">
        <w:t xml:space="preserve"> of the design concept that</w:t>
      </w:r>
      <w:r w:rsidR="00D407DE" w:rsidRPr="00D407DE">
        <w:t xml:space="preserve"> were particularly important because the system operated </w:t>
      </w:r>
      <w:r w:rsidR="001B3971">
        <w:t xml:space="preserve">with a sequence of functions </w:t>
      </w:r>
      <w:r w:rsidR="00D407DE" w:rsidRPr="00D407DE">
        <w:t xml:space="preserve">rather than as a static object. Showing launch, deployment, towing and drone support helped the </w:t>
      </w:r>
      <w:r w:rsidR="005F5FC5">
        <w:t>illustrate</w:t>
      </w:r>
      <w:r w:rsidR="00D407DE" w:rsidRPr="00D407DE">
        <w:t xml:space="preserve"> how the concept would work and helped the team present a more coherent design narrative.</w:t>
      </w:r>
      <w:r w:rsidR="00542E94">
        <w:t xml:space="preserve"> </w:t>
      </w:r>
      <w:r w:rsidR="005F5FC5">
        <w:t>The Product Safety lead then c</w:t>
      </w:r>
      <w:r w:rsidR="00542E94" w:rsidRPr="00542E94">
        <w:t>reat</w:t>
      </w:r>
      <w:r w:rsidR="000E64F7">
        <w:t>ed</w:t>
      </w:r>
      <w:r w:rsidR="00542E94" w:rsidRPr="00542E94">
        <w:t xml:space="preserve"> the presentation </w:t>
      </w:r>
      <w:r w:rsidR="005F5FC5">
        <w:t xml:space="preserve">layout </w:t>
      </w:r>
      <w:r w:rsidR="0046264C" w:rsidRPr="00542E94">
        <w:t xml:space="preserve">from the marking scheme </w:t>
      </w:r>
      <w:r w:rsidR="005F5FC5">
        <w:t xml:space="preserve">and </w:t>
      </w:r>
      <w:r w:rsidR="0046264C">
        <w:t>assigning the other team members to their respective slides</w:t>
      </w:r>
      <w:r w:rsidR="00542E94" w:rsidRPr="00542E94">
        <w:t xml:space="preserve"> helped prevent the output from becoming a set of disconnected role reports.</w:t>
      </w:r>
    </w:p>
    <w:p w14:paraId="772EA77F" w14:textId="03862E9B" w:rsidR="00A9241B" w:rsidRDefault="00A9241B" w:rsidP="000F4CC9">
      <w:r w:rsidRPr="00A9241B">
        <w:t xml:space="preserve">The Product Safety lead’s outputs to the team were therefore both technical and communicative. Technically, the role produced the Product Safety content, including safety requirements, hazard identification, mitigation themes and </w:t>
      </w:r>
      <w:r w:rsidR="00D9173A">
        <w:t>the Basis of Safety</w:t>
      </w:r>
      <w:r w:rsidRPr="00A9241B">
        <w:t>. Communicatively, the role supported meeting organisation, deadline control, presentation structure and visualisation. This helped the team turn a complex concept into a coherent presentation.</w:t>
      </w:r>
    </w:p>
    <w:p w14:paraId="7DEF0B03" w14:textId="77777777" w:rsidR="000F4CC9" w:rsidRDefault="000F4CC9" w:rsidP="000F4CC9"/>
    <w:p w14:paraId="5380AF62" w14:textId="68A5569B" w:rsidR="00EF1669" w:rsidRPr="00EF1669" w:rsidRDefault="000F4CC9" w:rsidP="000F4CC9">
      <w:pPr>
        <w:pStyle w:val="Heading1"/>
      </w:pPr>
      <w:r>
        <w:t xml:space="preserve"> </w:t>
      </w:r>
      <w:bookmarkStart w:id="14" w:name="_Toc228707698"/>
      <w:r w:rsidR="00FA4D60">
        <w:t>Feedback</w:t>
      </w:r>
      <w:bookmarkEnd w:id="14"/>
    </w:p>
    <w:p w14:paraId="7BB321F5" w14:textId="7955CD74" w:rsidR="00DC0220" w:rsidRDefault="00DC0220" w:rsidP="00DC0220">
      <w:r>
        <w:t>Presentation feedback highlighted technical feasibility, safety assurance and communication quality. Technical questions focused on rake material, vehicle capability, operating increments, maximum range, anchoring, alternative launch methods and the M15 double impulse fuze. From the Product Safety viewpoint, these were also safety issues because rake failure, cable overload or vehicle immobilisation could leave the route unsafe.</w:t>
      </w:r>
    </w:p>
    <w:p w14:paraId="5C66FA61" w14:textId="4ADF0F88" w:rsidR="00DC0220" w:rsidRDefault="00DC0220" w:rsidP="00DC0220">
      <w:r>
        <w:t xml:space="preserve">Safety feedback focused on blast radius, fragment danger areas, targeting, positioning, time on target and the need for a clearer functional sequence. </w:t>
      </w:r>
      <w:proofErr w:type="spellStart"/>
      <w:r>
        <w:t>HazID</w:t>
      </w:r>
      <w:proofErr w:type="spellEnd"/>
      <w:r>
        <w:t xml:space="preserve"> was therefore a useful starting point, but the safety argument needed stronger treatment of system interactions and operational sequencing. The suggestion to </w:t>
      </w:r>
      <w:r>
        <w:lastRenderedPageBreak/>
        <w:t>consider STAMP also highlighted command-and-control risk, not only component failure.</w:t>
      </w:r>
    </w:p>
    <w:p w14:paraId="47026929" w14:textId="03C05AD3" w:rsidR="002A58BD" w:rsidRDefault="00DC0220" w:rsidP="00DC0220">
      <w:r>
        <w:t>Communication feedback praised the professional appearance and visuals, but noted low contrast, text-heavy slides, unexplained acronyms and limited referencing. Overall, the feedback framed the design as promising but still requiring trials, safety-case development, route-marking definition and verification before further maturity.</w:t>
      </w:r>
    </w:p>
    <w:p w14:paraId="0F53DF37" w14:textId="77777777" w:rsidR="00DC0220" w:rsidRDefault="00DC0220" w:rsidP="00DC0220"/>
    <w:p w14:paraId="200E8BB9" w14:textId="013157C4" w:rsidR="00945292" w:rsidRDefault="005C43B1" w:rsidP="002A58BD">
      <w:pPr>
        <w:pStyle w:val="Heading1"/>
      </w:pPr>
      <w:bookmarkStart w:id="15" w:name="_Toc228707699"/>
      <w:r>
        <w:t>Reflection</w:t>
      </w:r>
      <w:bookmarkEnd w:id="15"/>
    </w:p>
    <w:p w14:paraId="0EF6DF46" w14:textId="6EF43330" w:rsidR="006F70FB" w:rsidRDefault="006F70FB" w:rsidP="006F70FB">
      <w:r>
        <w:t xml:space="preserve">Overall, the project progressed well. The team produced a novel </w:t>
      </w:r>
      <w:r w:rsidR="00124D81">
        <w:t>Rocket Rake</w:t>
      </w:r>
      <w:r>
        <w:t xml:space="preserve"> concept that responded directly to the brief by remaining compatible with light vehicles, avoiding helicopter dependency and Python-type line charges, providing operator</w:t>
      </w:r>
      <w:r w:rsidR="00124D81">
        <w:t xml:space="preserve"> safety</w:t>
      </w:r>
      <w:r>
        <w:t>, and integrating drone support for detection and selected mine-defeat tasks. The structured design process helped the team move from a broad operational scenario to a more defensible concept.</w:t>
      </w:r>
    </w:p>
    <w:p w14:paraId="45C9ED40" w14:textId="1A1D2F7F" w:rsidR="006F70FB" w:rsidRDefault="006F70FB" w:rsidP="006F70FB">
      <w:r>
        <w:t xml:space="preserve">The main strength </w:t>
      </w:r>
      <w:r w:rsidR="00124D81">
        <w:t xml:space="preserve">of the team </w:t>
      </w:r>
      <w:r>
        <w:t xml:space="preserve">was constructive collaboration. Team members debated design </w:t>
      </w:r>
      <w:proofErr w:type="gramStart"/>
      <w:r>
        <w:t>choices, but</w:t>
      </w:r>
      <w:proofErr w:type="gramEnd"/>
      <w:r>
        <w:t xml:space="preserve"> generally gave ground when stronger arguments were made. This was important because the project involved trade-offs between speed, safety, portability, technical complexity and clearance effectiveness. The role structure also worked well because Environmental Safety, Trials Research and Development, Manufacturing, Test and Evaluation, Breakdown and Disposal, and Product Safety each brought a different lifecycle perspective to the design.</w:t>
      </w:r>
    </w:p>
    <w:p w14:paraId="76C40594" w14:textId="6A0713A1" w:rsidR="006F70FB" w:rsidRDefault="006F70FB" w:rsidP="006F70FB">
      <w:r>
        <w:t>From the Product Safety viewpoint, the strongest contribution was keeping safety embedded throughout the project. OME risk, user exposure, stand-off, ALARP, safe-by-design principles and basis-of-safety thinking were considered as part of design development rather than as a final check. The Product Safety lead also supported coordination and visual communication, helping the group turn a complex operating sequence into a clear presentation.</w:t>
      </w:r>
    </w:p>
    <w:p w14:paraId="636B3464" w14:textId="7666FCBD" w:rsidR="006F70FB" w:rsidRDefault="006F70FB" w:rsidP="006F70FB">
      <w:r>
        <w:lastRenderedPageBreak/>
        <w:t xml:space="preserve">What went less well was the tendency to </w:t>
      </w:r>
      <w:proofErr w:type="spellStart"/>
      <w:r>
        <w:t>solutionise</w:t>
      </w:r>
      <w:proofErr w:type="spellEnd"/>
      <w:r>
        <w:t xml:space="preserve"> early. The brief was practical and encouraged immediate design ideas, but early solution selection risked obscuring functions such as marking, confirmation, recovery, disposal and failure management. The systems-engineering process helped reduce this, but the team could have been more disciplined in recording why options were accepted or rejected. A clearer decision log would have improved traceability.</w:t>
      </w:r>
    </w:p>
    <w:p w14:paraId="5895EDC2" w14:textId="49037DF2" w:rsidR="0067312A" w:rsidRDefault="006F70FB" w:rsidP="006F70FB">
      <w:r>
        <w:t>Another limitation was that the final concept was stronger in clearance than in marking and route release. The brief required a detection, clearing and marking system, but the marking function was not developed to the same level as the rocket rake and drone elements. This became clearer after feedback, which highlighted the need for a functional sequence, trials evidence, route</w:t>
      </w:r>
      <w:r w:rsidR="00F34CA2">
        <w:t xml:space="preserve"> </w:t>
      </w:r>
      <w:r>
        <w:t>marking definition and verification.</w:t>
      </w:r>
    </w:p>
    <w:p w14:paraId="4505205C" w14:textId="77777777" w:rsidR="006F70FB" w:rsidRDefault="006F70FB" w:rsidP="006F70FB"/>
    <w:p w14:paraId="3EFE7125" w14:textId="69F3C26B" w:rsidR="006F70FB" w:rsidRDefault="00B8712C" w:rsidP="00B8712C">
      <w:pPr>
        <w:pStyle w:val="Heading1"/>
      </w:pPr>
      <w:bookmarkStart w:id="16" w:name="_Toc228707700"/>
      <w:r>
        <w:t>Recommendations</w:t>
      </w:r>
      <w:bookmarkEnd w:id="16"/>
    </w:p>
    <w:p w14:paraId="139BCCD7" w14:textId="5DCF2FFC" w:rsidR="00587105" w:rsidRDefault="00587105" w:rsidP="00587105">
      <w:r>
        <w:t>If the project were repeated, the first improvement would be to maintain a formal decision log. Recording decisions against criteria such as safety, speed, portability, reliability, manufacturability and compliance would make the design process more traceable.</w:t>
      </w:r>
    </w:p>
    <w:p w14:paraId="4411F321" w14:textId="50FA2418" w:rsidR="00587105" w:rsidRDefault="00587105" w:rsidP="00587105">
      <w:r>
        <w:t>The second improvement would be to define the functional sequence earlier, from arrival at the minefield through detection, launch, clearance, confirmation, marking, recovery and handover. This would help identify hazards, interfaces and missing functions before the concept became fixed.</w:t>
      </w:r>
    </w:p>
    <w:p w14:paraId="13D125DD" w14:textId="39872E9C" w:rsidR="00587105" w:rsidRDefault="00587105" w:rsidP="00587105">
      <w:r>
        <w:t xml:space="preserve">The third improvement would be to develop the marking and route-release process more fully. The system needed clearer arrangements for physical marking, GPS logging, recording, communication and handover because safe route use requires confidence in the cleared lane, not just </w:t>
      </w:r>
      <w:proofErr w:type="gramStart"/>
      <w:r>
        <w:t>mine</w:t>
      </w:r>
      <w:proofErr w:type="gramEnd"/>
      <w:r>
        <w:t xml:space="preserve"> defeat.</w:t>
      </w:r>
    </w:p>
    <w:p w14:paraId="552AFF1E" w14:textId="00F63D28" w:rsidR="00B8712C" w:rsidRDefault="00587105" w:rsidP="00587105">
      <w:r>
        <w:t>Finally, the Product Safety argument</w:t>
      </w:r>
      <w:r w:rsidR="001F3353">
        <w:t xml:space="preserve"> ideally</w:t>
      </w:r>
      <w:r>
        <w:t xml:space="preserve"> should be developed earlier into a more formal safety case, covering blast and fragment danger areas, cable hazards, misfire response, vehicle survivability, drone control and residual risk. STAMP could also be considered for command-and-control risks. Overall, the </w:t>
      </w:r>
      <w:r>
        <w:lastRenderedPageBreak/>
        <w:t xml:space="preserve">process should become more </w:t>
      </w:r>
      <w:proofErr w:type="gramStart"/>
      <w:r>
        <w:t>traceable</w:t>
      </w:r>
      <w:proofErr w:type="gramEnd"/>
      <w:r>
        <w:t xml:space="preserve"> and evidence</w:t>
      </w:r>
      <w:r w:rsidR="003B4B33">
        <w:t xml:space="preserve"> </w:t>
      </w:r>
      <w:r>
        <w:t>led before the design could be considered robust.</w:t>
      </w:r>
    </w:p>
    <w:p w14:paraId="37CD37EC" w14:textId="77777777" w:rsidR="00587105" w:rsidRDefault="00587105" w:rsidP="00587105"/>
    <w:p w14:paraId="29D1E511" w14:textId="77777777" w:rsidR="006F70FB" w:rsidRDefault="006F70FB" w:rsidP="00B8712C">
      <w:pPr>
        <w:pStyle w:val="Heading1"/>
      </w:pPr>
      <w:bookmarkStart w:id="17" w:name="_Toc228707701"/>
      <w:r>
        <w:t>Conclusion</w:t>
      </w:r>
      <w:bookmarkEnd w:id="17"/>
    </w:p>
    <w:p w14:paraId="02A19EE3" w14:textId="668AFB89" w:rsidR="00480E4D" w:rsidRPr="00480E4D" w:rsidRDefault="00480E4D" w:rsidP="00480E4D">
      <w:r w:rsidRPr="00480E4D">
        <w:t xml:space="preserve">The project can be judged as a successful early-stage design exercise. The team developed a credible and novel concept that addressed the main constraints in the brief: speed, portability, light-vehicle compatibility, avoidance of helicopter dependency, avoidance of Python-type line charges, and the need to manage a mixed </w:t>
      </w:r>
      <w:proofErr w:type="gramStart"/>
      <w:r w:rsidRPr="00480E4D">
        <w:t>mine</w:t>
      </w:r>
      <w:proofErr w:type="gramEnd"/>
      <w:r w:rsidRPr="00480E4D">
        <w:t xml:space="preserve"> threat. The </w:t>
      </w:r>
      <w:r w:rsidR="004F2F85">
        <w:t>R</w:t>
      </w:r>
      <w:r w:rsidRPr="00480E4D">
        <w:t>ocket</w:t>
      </w:r>
      <w:r w:rsidR="004F2F85">
        <w:t xml:space="preserve"> R</w:t>
      </w:r>
      <w:r w:rsidRPr="00480E4D">
        <w:t>ake concept, supported by drone detection and selected mine-defeat capability, provided a coherent response to the problem.</w:t>
      </w:r>
    </w:p>
    <w:p w14:paraId="0D5913FB" w14:textId="77777777" w:rsidR="00480E4D" w:rsidRPr="00480E4D" w:rsidRDefault="00480E4D" w:rsidP="00480E4D">
      <w:r w:rsidRPr="00480E4D">
        <w:t>The Product Safety role made a meaningful contribution by linking hazards to design features and controls. Cable distance, remote operation, cable release, armour, SQEP operators and deliberate checking behaviours were not treated as isolated safety comments, but as parts of the system’s risk-control strategy. This helped frame the design as a system requiring safety justification across operation, manufacture, testing, disposal and future route use.</w:t>
      </w:r>
    </w:p>
    <w:p w14:paraId="2D60406C" w14:textId="77777777" w:rsidR="00480E4D" w:rsidRPr="00480E4D" w:rsidRDefault="00480E4D" w:rsidP="00480E4D">
      <w:r w:rsidRPr="00480E4D">
        <w:t xml:space="preserve">However, the design should not be considered operationally mature. Important uncertainties remained around rake material, rake survivability, vehicle capability, cable loads, blast and fragment danger areas, M15 mine effects, marking, verification and residual risk. The final concept should therefore be viewed as </w:t>
      </w:r>
      <w:proofErr w:type="gramStart"/>
      <w:r w:rsidRPr="00480E4D">
        <w:t>promising, but</w:t>
      </w:r>
      <w:proofErr w:type="gramEnd"/>
      <w:r w:rsidRPr="00480E4D">
        <w:t xml:space="preserve"> requiring further development before it could support a defensible safety case.</w:t>
      </w:r>
    </w:p>
    <w:p w14:paraId="66FDAC5B" w14:textId="72D048A0" w:rsidR="00480E4D" w:rsidRPr="00480E4D" w:rsidRDefault="00480E4D" w:rsidP="00480E4D">
      <w:pPr>
        <w:sectPr w:rsidR="00480E4D" w:rsidRPr="00480E4D" w:rsidSect="00623A81">
          <w:pgSz w:w="11906" w:h="16838" w:code="9"/>
          <w:pgMar w:top="1701" w:right="1701" w:bottom="1701" w:left="1701" w:header="709" w:footer="851" w:gutter="0"/>
          <w:cols w:space="708"/>
          <w:docGrid w:linePitch="360"/>
        </w:sectPr>
      </w:pPr>
    </w:p>
    <w:p w14:paraId="1079935C" w14:textId="46A81785" w:rsidR="00DA28B2" w:rsidRDefault="004C2C9C" w:rsidP="00DA28B2">
      <w:pPr>
        <w:pStyle w:val="Heading1nonumber"/>
      </w:pPr>
      <w:bookmarkStart w:id="18" w:name="_Toc290554257"/>
      <w:bookmarkStart w:id="19" w:name="_Toc299621222"/>
      <w:bookmarkStart w:id="20" w:name="_Toc299631447"/>
      <w:bookmarkStart w:id="21" w:name="_Toc299631509"/>
      <w:bookmarkStart w:id="22" w:name="_Toc299631599"/>
      <w:bookmarkStart w:id="23" w:name="_Toc299631675"/>
      <w:bookmarkStart w:id="24" w:name="_Toc228707702"/>
      <w:r>
        <w:lastRenderedPageBreak/>
        <w:t>References</w:t>
      </w:r>
      <w:bookmarkEnd w:id="8"/>
      <w:bookmarkEnd w:id="18"/>
      <w:bookmarkEnd w:id="19"/>
      <w:bookmarkEnd w:id="20"/>
      <w:bookmarkEnd w:id="21"/>
      <w:bookmarkEnd w:id="22"/>
      <w:bookmarkEnd w:id="23"/>
      <w:bookmarkEnd w:id="24"/>
    </w:p>
    <w:p w14:paraId="0A7BA9D3" w14:textId="77777777" w:rsidR="00571EBD" w:rsidRPr="00571EBD" w:rsidRDefault="00830A1C" w:rsidP="00571EBD">
      <w:pPr>
        <w:pStyle w:val="Bibliography"/>
        <w:rPr>
          <w:rFonts w:cs="Arial"/>
        </w:rPr>
      </w:pPr>
      <w:r>
        <w:fldChar w:fldCharType="begin"/>
      </w:r>
      <w:r w:rsidR="00965819">
        <w:instrText xml:space="preserve"> ADDIN ZOTERO_BIBL {"uncited":[],"omitted":[],"custom":[]} CSL_BIBLIOGRAPHY </w:instrText>
      </w:r>
      <w:r>
        <w:fldChar w:fldCharType="separate"/>
      </w:r>
      <w:r w:rsidR="00571EBD" w:rsidRPr="00571EBD">
        <w:rPr>
          <w:rFonts w:cs="Arial"/>
        </w:rPr>
        <w:t>[1]</w:t>
      </w:r>
      <w:r w:rsidR="00571EBD" w:rsidRPr="00571EBD">
        <w:rPr>
          <w:rFonts w:cs="Arial"/>
        </w:rPr>
        <w:tab/>
        <w:t>GICHD, ‘Explosive Ordnance Guide for Ukraine - Third Edition’. Feb. 11, 2025.</w:t>
      </w:r>
    </w:p>
    <w:p w14:paraId="452EBE3F" w14:textId="77777777" w:rsidR="00571EBD" w:rsidRPr="00571EBD" w:rsidRDefault="00571EBD" w:rsidP="00571EBD">
      <w:pPr>
        <w:pStyle w:val="Bibliography"/>
        <w:rPr>
          <w:rFonts w:cs="Arial"/>
        </w:rPr>
      </w:pPr>
      <w:r w:rsidRPr="00571EBD">
        <w:rPr>
          <w:rFonts w:cs="Arial"/>
        </w:rPr>
        <w:t>[2]</w:t>
      </w:r>
      <w:r w:rsidRPr="00571EBD">
        <w:rPr>
          <w:rFonts w:cs="Arial"/>
        </w:rPr>
        <w:tab/>
        <w:t>DSEA-DOSR-Policy, ‘MOD Explosives Regulations (JSP 482)’. Jul. 31, 2025.</w:t>
      </w:r>
    </w:p>
    <w:p w14:paraId="2D455DE1" w14:textId="77777777" w:rsidR="00571EBD" w:rsidRPr="00571EBD" w:rsidRDefault="00571EBD" w:rsidP="00571EBD">
      <w:pPr>
        <w:pStyle w:val="Bibliography"/>
        <w:rPr>
          <w:rFonts w:cs="Arial"/>
        </w:rPr>
      </w:pPr>
      <w:r w:rsidRPr="00571EBD">
        <w:rPr>
          <w:rFonts w:cs="Arial"/>
        </w:rPr>
        <w:t>[3]</w:t>
      </w:r>
      <w:r w:rsidRPr="00571EBD">
        <w:rPr>
          <w:rFonts w:cs="Arial"/>
        </w:rPr>
        <w:tab/>
        <w:t>DOSR, ‘DSA03 OME: part 1 OME Acquisition’, GOV.UK. [Online]. Available: https://www.gov.uk/government/publications/dsa03-ome-part-1-ome-acquisition</w:t>
      </w:r>
    </w:p>
    <w:p w14:paraId="592F3A95" w14:textId="77777777" w:rsidR="00571EBD" w:rsidRPr="00571EBD" w:rsidRDefault="00571EBD" w:rsidP="00571EBD">
      <w:pPr>
        <w:pStyle w:val="Bibliography"/>
        <w:rPr>
          <w:rFonts w:cs="Arial"/>
        </w:rPr>
      </w:pPr>
      <w:r w:rsidRPr="00571EBD">
        <w:rPr>
          <w:rFonts w:cs="Arial"/>
        </w:rPr>
        <w:t>[4]</w:t>
      </w:r>
      <w:r w:rsidRPr="00571EBD">
        <w:rPr>
          <w:rFonts w:cs="Arial"/>
        </w:rPr>
        <w:tab/>
        <w:t>‘Health and Safety at Work Act 1974’. [Online]. Available: https://www.legislation.gov.uk/ukpga/1974/37/contents</w:t>
      </w:r>
    </w:p>
    <w:p w14:paraId="03E748AA" w14:textId="77777777" w:rsidR="00571EBD" w:rsidRPr="00571EBD" w:rsidRDefault="00571EBD" w:rsidP="00571EBD">
      <w:pPr>
        <w:pStyle w:val="Bibliography"/>
        <w:rPr>
          <w:rFonts w:cs="Arial"/>
        </w:rPr>
      </w:pPr>
      <w:r w:rsidRPr="00571EBD">
        <w:rPr>
          <w:rFonts w:cs="Arial"/>
        </w:rPr>
        <w:t>[5]</w:t>
      </w:r>
      <w:r w:rsidRPr="00571EBD">
        <w:rPr>
          <w:rFonts w:cs="Arial"/>
        </w:rPr>
        <w:tab/>
        <w:t>‘The Explosives Regulations 2014’. [Online]. Available: https://www.legislation.gov.uk/uksi/2014/1638/contents</w:t>
      </w:r>
    </w:p>
    <w:p w14:paraId="5ADB4FC3" w14:textId="77777777" w:rsidR="00571EBD" w:rsidRPr="00571EBD" w:rsidRDefault="00571EBD" w:rsidP="00571EBD">
      <w:pPr>
        <w:pStyle w:val="Bibliography"/>
        <w:rPr>
          <w:rFonts w:cs="Arial"/>
        </w:rPr>
      </w:pPr>
      <w:r w:rsidRPr="00571EBD">
        <w:rPr>
          <w:rFonts w:cs="Arial"/>
        </w:rPr>
        <w:t>[6]</w:t>
      </w:r>
      <w:r w:rsidRPr="00571EBD">
        <w:rPr>
          <w:rFonts w:cs="Arial"/>
        </w:rPr>
        <w:tab/>
        <w:t>‘09.10 Clearance requirements - International Mine Action Standards: IMAS’. [Online]. Available: https://www.mineactionstandards.org/standards/09-10/</w:t>
      </w:r>
    </w:p>
    <w:p w14:paraId="2A8FD9E9" w14:textId="77777777" w:rsidR="00571EBD" w:rsidRPr="00571EBD" w:rsidRDefault="00571EBD" w:rsidP="00571EBD">
      <w:pPr>
        <w:pStyle w:val="Bibliography"/>
        <w:rPr>
          <w:rFonts w:cs="Arial"/>
        </w:rPr>
      </w:pPr>
      <w:r w:rsidRPr="00571EBD">
        <w:rPr>
          <w:rFonts w:cs="Arial"/>
        </w:rPr>
        <w:t>[7]</w:t>
      </w:r>
      <w:r w:rsidRPr="00571EBD">
        <w:rPr>
          <w:rFonts w:cs="Arial"/>
        </w:rPr>
        <w:tab/>
        <w:t>‘07.11 Land release - International Mine Action Standards: IMAS’. [Online]. Available: https://www.mineactionstandards.org/standards/07-11/</w:t>
      </w:r>
    </w:p>
    <w:p w14:paraId="6BA792F6" w14:textId="77777777" w:rsidR="00571EBD" w:rsidRPr="00571EBD" w:rsidRDefault="00571EBD" w:rsidP="00571EBD">
      <w:pPr>
        <w:pStyle w:val="Bibliography"/>
        <w:rPr>
          <w:rFonts w:cs="Arial"/>
        </w:rPr>
      </w:pPr>
      <w:r w:rsidRPr="00571EBD">
        <w:rPr>
          <w:rFonts w:cs="Arial"/>
        </w:rPr>
        <w:t>[8]</w:t>
      </w:r>
      <w:r w:rsidRPr="00571EBD">
        <w:rPr>
          <w:rFonts w:cs="Arial"/>
        </w:rPr>
        <w:tab/>
        <w:t>John Pike, ‘M58 Mine Clearing Line Charge (MICLIC)’. [Online]. Available: https://man.fas.org/dod-101/sys/land/m58-miclic.htm</w:t>
      </w:r>
    </w:p>
    <w:p w14:paraId="16BDE6F9" w14:textId="77777777" w:rsidR="00571EBD" w:rsidRPr="00571EBD" w:rsidRDefault="00571EBD" w:rsidP="00571EBD">
      <w:pPr>
        <w:pStyle w:val="Bibliography"/>
        <w:rPr>
          <w:rFonts w:cs="Arial"/>
        </w:rPr>
      </w:pPr>
      <w:r w:rsidRPr="00571EBD">
        <w:rPr>
          <w:rFonts w:cs="Arial"/>
        </w:rPr>
        <w:t>[9]</w:t>
      </w:r>
      <w:r w:rsidRPr="00571EBD">
        <w:rPr>
          <w:rFonts w:cs="Arial"/>
        </w:rPr>
        <w:tab/>
        <w:t>M. Hassani, ‘Homepage’, Mine Kafon. [Online]. Available: https://minekafon.org/</w:t>
      </w:r>
    </w:p>
    <w:p w14:paraId="0E529ED3" w14:textId="77777777" w:rsidR="00571EBD" w:rsidRPr="00571EBD" w:rsidRDefault="00571EBD" w:rsidP="00571EBD">
      <w:pPr>
        <w:pStyle w:val="Bibliography"/>
        <w:rPr>
          <w:rFonts w:cs="Arial"/>
        </w:rPr>
      </w:pPr>
      <w:r w:rsidRPr="00571EBD">
        <w:rPr>
          <w:rFonts w:cs="Arial"/>
        </w:rPr>
        <w:t>[10]</w:t>
      </w:r>
      <w:r w:rsidRPr="00571EBD">
        <w:rPr>
          <w:rFonts w:cs="Arial"/>
        </w:rPr>
        <w:tab/>
        <w:t>‘Drone Payloads’, Alford Technologies. [Online]. Available: https://www.explosives.net/drone-payloads/</w:t>
      </w:r>
    </w:p>
    <w:p w14:paraId="12A3B941" w14:textId="77777777" w:rsidR="00571EBD" w:rsidRPr="00571EBD" w:rsidRDefault="00571EBD" w:rsidP="00571EBD">
      <w:pPr>
        <w:pStyle w:val="Bibliography"/>
        <w:rPr>
          <w:rFonts w:cs="Arial"/>
        </w:rPr>
      </w:pPr>
      <w:r w:rsidRPr="00571EBD">
        <w:rPr>
          <w:rFonts w:cs="Arial"/>
        </w:rPr>
        <w:t>[11]</w:t>
      </w:r>
      <w:r w:rsidRPr="00571EBD">
        <w:rPr>
          <w:rFonts w:cs="Arial"/>
        </w:rPr>
        <w:tab/>
        <w:t>Chemring, ‘Explosive Ordnance Disposal’. [Online]. Available: https://www.chemring.com/what-we-do/countermeasures-and-energetics/explosive-ordnance-disposal</w:t>
      </w:r>
    </w:p>
    <w:p w14:paraId="2E06B9B9" w14:textId="77777777" w:rsidR="00571EBD" w:rsidRPr="00571EBD" w:rsidRDefault="00571EBD" w:rsidP="00571EBD">
      <w:pPr>
        <w:pStyle w:val="Bibliography"/>
        <w:rPr>
          <w:rFonts w:cs="Arial"/>
        </w:rPr>
      </w:pPr>
      <w:r w:rsidRPr="00571EBD">
        <w:rPr>
          <w:rFonts w:cs="Arial"/>
        </w:rPr>
        <w:t>[12]</w:t>
      </w:r>
      <w:r w:rsidRPr="00571EBD">
        <w:rPr>
          <w:rFonts w:cs="Arial"/>
        </w:rPr>
        <w:tab/>
        <w:t>DOSR, ‘DSA 03.OME Part 1 DCOP 107 – Explosive Materials Qualification’. [Online]. Available: https://assets.publishing.service.gov.uk/media/69b15fcb95b746516034961f/DSA_03.OME_Part_1-DCOP107_Explosive_Materials_Qualification__v2.0_Feb_26_.pdf</w:t>
      </w:r>
    </w:p>
    <w:p w14:paraId="530FB025" w14:textId="77777777" w:rsidR="00571EBD" w:rsidRPr="00571EBD" w:rsidRDefault="00571EBD" w:rsidP="00571EBD">
      <w:pPr>
        <w:pStyle w:val="Bibliography"/>
        <w:rPr>
          <w:rFonts w:cs="Arial"/>
        </w:rPr>
      </w:pPr>
      <w:r w:rsidRPr="00571EBD">
        <w:rPr>
          <w:rFonts w:cs="Arial"/>
        </w:rPr>
        <w:t>[13]</w:t>
      </w:r>
      <w:r w:rsidRPr="00571EBD">
        <w:rPr>
          <w:rFonts w:cs="Arial"/>
        </w:rPr>
        <w:tab/>
        <w:t>DOSR, ‘DSA 03.OME Part 1: DCOP 112 - OME Vulnerability (Insensitive Munitions)’. [Online]. Available: https://assets.publishing.service.gov.uk/media/69b1602acdd628b29e349623/DSA_03.OME_Part_1-DCOP112_OME_Vulnerability__Insensitive_Munitions___v2.0_Feb_26_.pdf</w:t>
      </w:r>
    </w:p>
    <w:p w14:paraId="2857BCE0" w14:textId="471F872D" w:rsidR="000817DC" w:rsidRDefault="00830A1C" w:rsidP="00FE7ED2">
      <w:pPr>
        <w:pStyle w:val="Heading1nonumber"/>
      </w:pPr>
      <w:r>
        <w:fldChar w:fldCharType="end"/>
      </w:r>
    </w:p>
    <w:sectPr w:rsidR="000817DC" w:rsidSect="000D3AB7">
      <w:headerReference w:type="default" r:id="rId15"/>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04C2A" w14:textId="77777777" w:rsidR="00CD3E63" w:rsidRDefault="00CD3E63">
      <w:r>
        <w:separator/>
      </w:r>
    </w:p>
  </w:endnote>
  <w:endnote w:type="continuationSeparator" w:id="0">
    <w:p w14:paraId="1B17ACEE" w14:textId="77777777" w:rsidR="00CD3E63" w:rsidRDefault="00CD3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2048E" w14:textId="77777777" w:rsidR="00CD3E63" w:rsidRDefault="00CD3E63">
      <w:r>
        <w:separator/>
      </w:r>
    </w:p>
  </w:footnote>
  <w:footnote w:type="continuationSeparator" w:id="0">
    <w:p w14:paraId="2B5A3157" w14:textId="77777777" w:rsidR="00CD3E63" w:rsidRDefault="00CD3E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DE7C" w14:textId="77777777" w:rsidR="002B0693" w:rsidRDefault="002B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3902"/>
        </w:tabs>
        <w:ind w:left="390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1"/>
  </w:num>
  <w:num w:numId="2" w16cid:durableId="1489785511">
    <w:abstractNumId w:val="18"/>
  </w:num>
  <w:num w:numId="3" w16cid:durableId="905871091">
    <w:abstractNumId w:val="14"/>
  </w:num>
  <w:num w:numId="4" w16cid:durableId="534970395">
    <w:abstractNumId w:val="10"/>
  </w:num>
  <w:num w:numId="5" w16cid:durableId="38435229">
    <w:abstractNumId w:val="30"/>
  </w:num>
  <w:num w:numId="6" w16cid:durableId="2057730824">
    <w:abstractNumId w:val="20"/>
  </w:num>
  <w:num w:numId="7" w16cid:durableId="1675720074">
    <w:abstractNumId w:val="22"/>
  </w:num>
  <w:num w:numId="8" w16cid:durableId="1014383751">
    <w:abstractNumId w:val="16"/>
  </w:num>
  <w:num w:numId="9" w16cid:durableId="201672474">
    <w:abstractNumId w:val="27"/>
  </w:num>
  <w:num w:numId="10" w16cid:durableId="256066161">
    <w:abstractNumId w:val="32"/>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29"/>
  </w:num>
  <w:num w:numId="24" w16cid:durableId="657152095">
    <w:abstractNumId w:val="11"/>
  </w:num>
  <w:num w:numId="25" w16cid:durableId="649095097">
    <w:abstractNumId w:val="23"/>
  </w:num>
  <w:num w:numId="26" w16cid:durableId="2025472307">
    <w:abstractNumId w:val="12"/>
  </w:num>
  <w:num w:numId="27" w16cid:durableId="732191785">
    <w:abstractNumId w:val="25"/>
  </w:num>
  <w:num w:numId="28" w16cid:durableId="1293512764">
    <w:abstractNumId w:val="15"/>
  </w:num>
  <w:num w:numId="29" w16cid:durableId="1552501508">
    <w:abstractNumId w:val="28"/>
  </w:num>
  <w:num w:numId="30" w16cid:durableId="1990475844">
    <w:abstractNumId w:val="26"/>
  </w:num>
  <w:num w:numId="31" w16cid:durableId="1087464949">
    <w:abstractNumId w:val="17"/>
  </w:num>
  <w:num w:numId="32" w16cid:durableId="516886674">
    <w:abstractNumId w:val="24"/>
  </w:num>
  <w:num w:numId="33" w16cid:durableId="17208636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143D"/>
    <w:rsid w:val="000146A5"/>
    <w:rsid w:val="00015A13"/>
    <w:rsid w:val="00016BC8"/>
    <w:rsid w:val="0003188E"/>
    <w:rsid w:val="0003470C"/>
    <w:rsid w:val="000443AE"/>
    <w:rsid w:val="00045D6F"/>
    <w:rsid w:val="000632DD"/>
    <w:rsid w:val="00063CEE"/>
    <w:rsid w:val="00065259"/>
    <w:rsid w:val="00065A60"/>
    <w:rsid w:val="00067512"/>
    <w:rsid w:val="00071CD5"/>
    <w:rsid w:val="000817DC"/>
    <w:rsid w:val="00086305"/>
    <w:rsid w:val="00097727"/>
    <w:rsid w:val="000A4407"/>
    <w:rsid w:val="000A7A43"/>
    <w:rsid w:val="000B6677"/>
    <w:rsid w:val="000C6559"/>
    <w:rsid w:val="000D3236"/>
    <w:rsid w:val="000D3AB7"/>
    <w:rsid w:val="000D4055"/>
    <w:rsid w:val="000E1E14"/>
    <w:rsid w:val="000E5531"/>
    <w:rsid w:val="000E5FF0"/>
    <w:rsid w:val="000E64F7"/>
    <w:rsid w:val="000F3FC7"/>
    <w:rsid w:val="000F4CC9"/>
    <w:rsid w:val="000F4FC3"/>
    <w:rsid w:val="000F5578"/>
    <w:rsid w:val="000F6043"/>
    <w:rsid w:val="00102F59"/>
    <w:rsid w:val="00110E4D"/>
    <w:rsid w:val="00114DFB"/>
    <w:rsid w:val="00124D81"/>
    <w:rsid w:val="00126903"/>
    <w:rsid w:val="00130109"/>
    <w:rsid w:val="00132B6A"/>
    <w:rsid w:val="00145332"/>
    <w:rsid w:val="001507DE"/>
    <w:rsid w:val="0016557C"/>
    <w:rsid w:val="00170386"/>
    <w:rsid w:val="00171953"/>
    <w:rsid w:val="00182372"/>
    <w:rsid w:val="001850E2"/>
    <w:rsid w:val="00187AAB"/>
    <w:rsid w:val="001901C9"/>
    <w:rsid w:val="00196CAA"/>
    <w:rsid w:val="001A269F"/>
    <w:rsid w:val="001A79AE"/>
    <w:rsid w:val="001B0633"/>
    <w:rsid w:val="001B3971"/>
    <w:rsid w:val="001B5859"/>
    <w:rsid w:val="001B63F7"/>
    <w:rsid w:val="001C1A69"/>
    <w:rsid w:val="001C2208"/>
    <w:rsid w:val="001C23E5"/>
    <w:rsid w:val="001C412D"/>
    <w:rsid w:val="001D1974"/>
    <w:rsid w:val="001D2FAF"/>
    <w:rsid w:val="001D636A"/>
    <w:rsid w:val="001D7982"/>
    <w:rsid w:val="001E00D5"/>
    <w:rsid w:val="001E388D"/>
    <w:rsid w:val="001E7302"/>
    <w:rsid w:val="001F1539"/>
    <w:rsid w:val="001F3055"/>
    <w:rsid w:val="001F3353"/>
    <w:rsid w:val="001F41DE"/>
    <w:rsid w:val="001F7EBB"/>
    <w:rsid w:val="00204473"/>
    <w:rsid w:val="002121F3"/>
    <w:rsid w:val="00212B3E"/>
    <w:rsid w:val="00216910"/>
    <w:rsid w:val="00224C6D"/>
    <w:rsid w:val="00224E7F"/>
    <w:rsid w:val="00230B99"/>
    <w:rsid w:val="00231C6A"/>
    <w:rsid w:val="00232B80"/>
    <w:rsid w:val="0023743C"/>
    <w:rsid w:val="0023761E"/>
    <w:rsid w:val="00243313"/>
    <w:rsid w:val="00245DA7"/>
    <w:rsid w:val="00246995"/>
    <w:rsid w:val="0025099B"/>
    <w:rsid w:val="00252616"/>
    <w:rsid w:val="0025586D"/>
    <w:rsid w:val="002619C0"/>
    <w:rsid w:val="00264506"/>
    <w:rsid w:val="00267F4D"/>
    <w:rsid w:val="00283E35"/>
    <w:rsid w:val="00285034"/>
    <w:rsid w:val="002968C3"/>
    <w:rsid w:val="002A3B61"/>
    <w:rsid w:val="002A5491"/>
    <w:rsid w:val="002A58BD"/>
    <w:rsid w:val="002A7DD0"/>
    <w:rsid w:val="002B0693"/>
    <w:rsid w:val="002B133F"/>
    <w:rsid w:val="002B6058"/>
    <w:rsid w:val="002B7456"/>
    <w:rsid w:val="002B7B28"/>
    <w:rsid w:val="002D05CE"/>
    <w:rsid w:val="002D1AF1"/>
    <w:rsid w:val="002D4A7B"/>
    <w:rsid w:val="002F7211"/>
    <w:rsid w:val="0030138C"/>
    <w:rsid w:val="00304798"/>
    <w:rsid w:val="00343342"/>
    <w:rsid w:val="003500A4"/>
    <w:rsid w:val="00351E83"/>
    <w:rsid w:val="003550A0"/>
    <w:rsid w:val="0035720C"/>
    <w:rsid w:val="00361EFD"/>
    <w:rsid w:val="00366F56"/>
    <w:rsid w:val="0037068D"/>
    <w:rsid w:val="00372935"/>
    <w:rsid w:val="003768D5"/>
    <w:rsid w:val="00383300"/>
    <w:rsid w:val="003938A5"/>
    <w:rsid w:val="00393F05"/>
    <w:rsid w:val="003965A8"/>
    <w:rsid w:val="003A05D2"/>
    <w:rsid w:val="003A5815"/>
    <w:rsid w:val="003B075E"/>
    <w:rsid w:val="003B1C9F"/>
    <w:rsid w:val="003B2155"/>
    <w:rsid w:val="003B4B33"/>
    <w:rsid w:val="003C26CD"/>
    <w:rsid w:val="003D08FC"/>
    <w:rsid w:val="003D5A0D"/>
    <w:rsid w:val="003F23EA"/>
    <w:rsid w:val="003F67A2"/>
    <w:rsid w:val="004015E2"/>
    <w:rsid w:val="00404309"/>
    <w:rsid w:val="0041685B"/>
    <w:rsid w:val="00423DB3"/>
    <w:rsid w:val="0042644F"/>
    <w:rsid w:val="00434585"/>
    <w:rsid w:val="00445061"/>
    <w:rsid w:val="00445556"/>
    <w:rsid w:val="004534AC"/>
    <w:rsid w:val="00460314"/>
    <w:rsid w:val="0046152D"/>
    <w:rsid w:val="0046264C"/>
    <w:rsid w:val="004717E3"/>
    <w:rsid w:val="00472504"/>
    <w:rsid w:val="004747AF"/>
    <w:rsid w:val="00480E4D"/>
    <w:rsid w:val="004820AF"/>
    <w:rsid w:val="004823B5"/>
    <w:rsid w:val="00483588"/>
    <w:rsid w:val="0049076B"/>
    <w:rsid w:val="004A1164"/>
    <w:rsid w:val="004A133A"/>
    <w:rsid w:val="004B5597"/>
    <w:rsid w:val="004B5D2E"/>
    <w:rsid w:val="004C03F0"/>
    <w:rsid w:val="004C22BA"/>
    <w:rsid w:val="004C2707"/>
    <w:rsid w:val="004C2C9C"/>
    <w:rsid w:val="004C2EA8"/>
    <w:rsid w:val="004C555E"/>
    <w:rsid w:val="004C5BD8"/>
    <w:rsid w:val="004D265B"/>
    <w:rsid w:val="004D59C0"/>
    <w:rsid w:val="004D5EBD"/>
    <w:rsid w:val="004E7AF1"/>
    <w:rsid w:val="004F131E"/>
    <w:rsid w:val="004F2F85"/>
    <w:rsid w:val="004F44AC"/>
    <w:rsid w:val="0050078A"/>
    <w:rsid w:val="005064F6"/>
    <w:rsid w:val="005125CD"/>
    <w:rsid w:val="00513303"/>
    <w:rsid w:val="005134B3"/>
    <w:rsid w:val="0052247A"/>
    <w:rsid w:val="005244BB"/>
    <w:rsid w:val="00524E57"/>
    <w:rsid w:val="00526E09"/>
    <w:rsid w:val="005304A9"/>
    <w:rsid w:val="00535115"/>
    <w:rsid w:val="00541950"/>
    <w:rsid w:val="00542E94"/>
    <w:rsid w:val="00543179"/>
    <w:rsid w:val="00543CF4"/>
    <w:rsid w:val="00547EA4"/>
    <w:rsid w:val="005528A4"/>
    <w:rsid w:val="0056664B"/>
    <w:rsid w:val="00571D27"/>
    <w:rsid w:val="00571EBD"/>
    <w:rsid w:val="00577F0E"/>
    <w:rsid w:val="005800F4"/>
    <w:rsid w:val="00587105"/>
    <w:rsid w:val="005A29B0"/>
    <w:rsid w:val="005B46B4"/>
    <w:rsid w:val="005B559F"/>
    <w:rsid w:val="005C0AF1"/>
    <w:rsid w:val="005C37F9"/>
    <w:rsid w:val="005C43B1"/>
    <w:rsid w:val="005C6FA2"/>
    <w:rsid w:val="005D4968"/>
    <w:rsid w:val="005D68D1"/>
    <w:rsid w:val="005E3ACA"/>
    <w:rsid w:val="005E4B39"/>
    <w:rsid w:val="005F182B"/>
    <w:rsid w:val="005F5FC5"/>
    <w:rsid w:val="00600F1E"/>
    <w:rsid w:val="00602E0F"/>
    <w:rsid w:val="006159AA"/>
    <w:rsid w:val="00617C74"/>
    <w:rsid w:val="00620197"/>
    <w:rsid w:val="00623A81"/>
    <w:rsid w:val="00626744"/>
    <w:rsid w:val="0062728E"/>
    <w:rsid w:val="00630602"/>
    <w:rsid w:val="006342AB"/>
    <w:rsid w:val="00643620"/>
    <w:rsid w:val="006454D8"/>
    <w:rsid w:val="0065601E"/>
    <w:rsid w:val="006573D9"/>
    <w:rsid w:val="006575E8"/>
    <w:rsid w:val="00661ECD"/>
    <w:rsid w:val="00671FA2"/>
    <w:rsid w:val="00672BDC"/>
    <w:rsid w:val="0067312A"/>
    <w:rsid w:val="00676231"/>
    <w:rsid w:val="00677C6C"/>
    <w:rsid w:val="006806AA"/>
    <w:rsid w:val="006829AC"/>
    <w:rsid w:val="00684F95"/>
    <w:rsid w:val="00685088"/>
    <w:rsid w:val="00686104"/>
    <w:rsid w:val="00693975"/>
    <w:rsid w:val="006959B7"/>
    <w:rsid w:val="006A19EC"/>
    <w:rsid w:val="006A3182"/>
    <w:rsid w:val="006A797F"/>
    <w:rsid w:val="006B1F37"/>
    <w:rsid w:val="006C6C98"/>
    <w:rsid w:val="006D680A"/>
    <w:rsid w:val="006E7473"/>
    <w:rsid w:val="006F35B3"/>
    <w:rsid w:val="006F48A8"/>
    <w:rsid w:val="006F48C1"/>
    <w:rsid w:val="006F6F09"/>
    <w:rsid w:val="006F70FB"/>
    <w:rsid w:val="00700D30"/>
    <w:rsid w:val="0070144B"/>
    <w:rsid w:val="0070544E"/>
    <w:rsid w:val="00706FC0"/>
    <w:rsid w:val="007170D6"/>
    <w:rsid w:val="00717700"/>
    <w:rsid w:val="00720589"/>
    <w:rsid w:val="007240B6"/>
    <w:rsid w:val="00732C72"/>
    <w:rsid w:val="00735256"/>
    <w:rsid w:val="007373F4"/>
    <w:rsid w:val="00737A7A"/>
    <w:rsid w:val="00746CB9"/>
    <w:rsid w:val="00747900"/>
    <w:rsid w:val="0075020C"/>
    <w:rsid w:val="00751BC0"/>
    <w:rsid w:val="00771FB4"/>
    <w:rsid w:val="00773B25"/>
    <w:rsid w:val="00780509"/>
    <w:rsid w:val="00787449"/>
    <w:rsid w:val="00792A54"/>
    <w:rsid w:val="00794E3A"/>
    <w:rsid w:val="00795AC0"/>
    <w:rsid w:val="007A5657"/>
    <w:rsid w:val="007B726D"/>
    <w:rsid w:val="007C75BB"/>
    <w:rsid w:val="007D48F0"/>
    <w:rsid w:val="007F0255"/>
    <w:rsid w:val="007F10F9"/>
    <w:rsid w:val="007F186D"/>
    <w:rsid w:val="007F5C55"/>
    <w:rsid w:val="007F659D"/>
    <w:rsid w:val="007F7DC0"/>
    <w:rsid w:val="0080179B"/>
    <w:rsid w:val="00801843"/>
    <w:rsid w:val="00802556"/>
    <w:rsid w:val="00806B8E"/>
    <w:rsid w:val="00807610"/>
    <w:rsid w:val="00807CDF"/>
    <w:rsid w:val="0081150D"/>
    <w:rsid w:val="00811B7E"/>
    <w:rsid w:val="0081439E"/>
    <w:rsid w:val="00830238"/>
    <w:rsid w:val="00830A1C"/>
    <w:rsid w:val="00833618"/>
    <w:rsid w:val="00835E1B"/>
    <w:rsid w:val="00837448"/>
    <w:rsid w:val="008428F4"/>
    <w:rsid w:val="008436A3"/>
    <w:rsid w:val="008462C0"/>
    <w:rsid w:val="00850BD4"/>
    <w:rsid w:val="00851ADB"/>
    <w:rsid w:val="00875B58"/>
    <w:rsid w:val="00876ECB"/>
    <w:rsid w:val="0088087A"/>
    <w:rsid w:val="00884ECE"/>
    <w:rsid w:val="008906BD"/>
    <w:rsid w:val="008B72AE"/>
    <w:rsid w:val="008B731F"/>
    <w:rsid w:val="008C03FB"/>
    <w:rsid w:val="008C490F"/>
    <w:rsid w:val="008C56B9"/>
    <w:rsid w:val="008D00C5"/>
    <w:rsid w:val="008D0F71"/>
    <w:rsid w:val="008D1F23"/>
    <w:rsid w:val="008D23D0"/>
    <w:rsid w:val="008D3D30"/>
    <w:rsid w:val="008D5D60"/>
    <w:rsid w:val="008D5DD7"/>
    <w:rsid w:val="008D5E4C"/>
    <w:rsid w:val="008E1615"/>
    <w:rsid w:val="008E5A35"/>
    <w:rsid w:val="008E7822"/>
    <w:rsid w:val="008F0A2B"/>
    <w:rsid w:val="008F2598"/>
    <w:rsid w:val="00904F80"/>
    <w:rsid w:val="00910357"/>
    <w:rsid w:val="00912656"/>
    <w:rsid w:val="00922BCA"/>
    <w:rsid w:val="00925B40"/>
    <w:rsid w:val="009330E2"/>
    <w:rsid w:val="0093381A"/>
    <w:rsid w:val="009404A4"/>
    <w:rsid w:val="0094060A"/>
    <w:rsid w:val="00941D35"/>
    <w:rsid w:val="00945292"/>
    <w:rsid w:val="009504C2"/>
    <w:rsid w:val="009543BA"/>
    <w:rsid w:val="00960739"/>
    <w:rsid w:val="009616E1"/>
    <w:rsid w:val="00962945"/>
    <w:rsid w:val="0096555C"/>
    <w:rsid w:val="00965819"/>
    <w:rsid w:val="00974BD2"/>
    <w:rsid w:val="009833F6"/>
    <w:rsid w:val="00983E00"/>
    <w:rsid w:val="00995B4F"/>
    <w:rsid w:val="00996FFA"/>
    <w:rsid w:val="009A4606"/>
    <w:rsid w:val="009B52E2"/>
    <w:rsid w:val="009B68EF"/>
    <w:rsid w:val="009B7734"/>
    <w:rsid w:val="009C3DA3"/>
    <w:rsid w:val="009C5D57"/>
    <w:rsid w:val="009D1077"/>
    <w:rsid w:val="009E04DA"/>
    <w:rsid w:val="009F42D6"/>
    <w:rsid w:val="009F4F9E"/>
    <w:rsid w:val="00A0329E"/>
    <w:rsid w:val="00A05CFD"/>
    <w:rsid w:val="00A128AB"/>
    <w:rsid w:val="00A226AF"/>
    <w:rsid w:val="00A259D4"/>
    <w:rsid w:val="00A25E3F"/>
    <w:rsid w:val="00A2710F"/>
    <w:rsid w:val="00A33D5D"/>
    <w:rsid w:val="00A36F61"/>
    <w:rsid w:val="00A42270"/>
    <w:rsid w:val="00A453CB"/>
    <w:rsid w:val="00A5362A"/>
    <w:rsid w:val="00A5623C"/>
    <w:rsid w:val="00A57C30"/>
    <w:rsid w:val="00A633BD"/>
    <w:rsid w:val="00A635FA"/>
    <w:rsid w:val="00A651C5"/>
    <w:rsid w:val="00A66351"/>
    <w:rsid w:val="00A916EE"/>
    <w:rsid w:val="00A9241B"/>
    <w:rsid w:val="00A95671"/>
    <w:rsid w:val="00A9661B"/>
    <w:rsid w:val="00AA1E42"/>
    <w:rsid w:val="00AA2009"/>
    <w:rsid w:val="00AA4D83"/>
    <w:rsid w:val="00AA61F1"/>
    <w:rsid w:val="00AC3D60"/>
    <w:rsid w:val="00AD1A00"/>
    <w:rsid w:val="00AD6D75"/>
    <w:rsid w:val="00AE480E"/>
    <w:rsid w:val="00AF0D54"/>
    <w:rsid w:val="00B03D9F"/>
    <w:rsid w:val="00B07919"/>
    <w:rsid w:val="00B11871"/>
    <w:rsid w:val="00B1530F"/>
    <w:rsid w:val="00B17824"/>
    <w:rsid w:val="00B20072"/>
    <w:rsid w:val="00B20B2C"/>
    <w:rsid w:val="00B2492B"/>
    <w:rsid w:val="00B30745"/>
    <w:rsid w:val="00B336CF"/>
    <w:rsid w:val="00B40908"/>
    <w:rsid w:val="00B42B23"/>
    <w:rsid w:val="00B516D8"/>
    <w:rsid w:val="00B53E08"/>
    <w:rsid w:val="00B62048"/>
    <w:rsid w:val="00B70B25"/>
    <w:rsid w:val="00B751B7"/>
    <w:rsid w:val="00B765F2"/>
    <w:rsid w:val="00B77263"/>
    <w:rsid w:val="00B8712C"/>
    <w:rsid w:val="00B8752D"/>
    <w:rsid w:val="00B96699"/>
    <w:rsid w:val="00B9798F"/>
    <w:rsid w:val="00BA0D4C"/>
    <w:rsid w:val="00BA279E"/>
    <w:rsid w:val="00BA5321"/>
    <w:rsid w:val="00BC00B2"/>
    <w:rsid w:val="00BC070E"/>
    <w:rsid w:val="00BC4978"/>
    <w:rsid w:val="00BD2A70"/>
    <w:rsid w:val="00BE1C94"/>
    <w:rsid w:val="00BE2D8F"/>
    <w:rsid w:val="00BE77DE"/>
    <w:rsid w:val="00BF4B1B"/>
    <w:rsid w:val="00BF5778"/>
    <w:rsid w:val="00C025A9"/>
    <w:rsid w:val="00C04DD4"/>
    <w:rsid w:val="00C05D76"/>
    <w:rsid w:val="00C10332"/>
    <w:rsid w:val="00C1737C"/>
    <w:rsid w:val="00C23009"/>
    <w:rsid w:val="00C24F37"/>
    <w:rsid w:val="00C27103"/>
    <w:rsid w:val="00C3391B"/>
    <w:rsid w:val="00C4482E"/>
    <w:rsid w:val="00C44DF7"/>
    <w:rsid w:val="00C473DF"/>
    <w:rsid w:val="00C52F9C"/>
    <w:rsid w:val="00C53236"/>
    <w:rsid w:val="00C546D0"/>
    <w:rsid w:val="00C626AF"/>
    <w:rsid w:val="00C62DD8"/>
    <w:rsid w:val="00C658CA"/>
    <w:rsid w:val="00C706BB"/>
    <w:rsid w:val="00C71D1F"/>
    <w:rsid w:val="00C82E8D"/>
    <w:rsid w:val="00C861DB"/>
    <w:rsid w:val="00C90A14"/>
    <w:rsid w:val="00C97EE9"/>
    <w:rsid w:val="00CA4CCF"/>
    <w:rsid w:val="00CA705F"/>
    <w:rsid w:val="00CA7AF4"/>
    <w:rsid w:val="00CC21F1"/>
    <w:rsid w:val="00CD02ED"/>
    <w:rsid w:val="00CD370C"/>
    <w:rsid w:val="00CD3E63"/>
    <w:rsid w:val="00CD6BE3"/>
    <w:rsid w:val="00CD7166"/>
    <w:rsid w:val="00CE3F44"/>
    <w:rsid w:val="00CE5D48"/>
    <w:rsid w:val="00CF334C"/>
    <w:rsid w:val="00CF66E5"/>
    <w:rsid w:val="00CF6AA9"/>
    <w:rsid w:val="00D00922"/>
    <w:rsid w:val="00D03E8E"/>
    <w:rsid w:val="00D04795"/>
    <w:rsid w:val="00D135C3"/>
    <w:rsid w:val="00D15044"/>
    <w:rsid w:val="00D233FE"/>
    <w:rsid w:val="00D234C6"/>
    <w:rsid w:val="00D23A3B"/>
    <w:rsid w:val="00D23D5B"/>
    <w:rsid w:val="00D30259"/>
    <w:rsid w:val="00D310D1"/>
    <w:rsid w:val="00D333B2"/>
    <w:rsid w:val="00D34064"/>
    <w:rsid w:val="00D351A6"/>
    <w:rsid w:val="00D3555E"/>
    <w:rsid w:val="00D3724C"/>
    <w:rsid w:val="00D407DE"/>
    <w:rsid w:val="00D46872"/>
    <w:rsid w:val="00D507DF"/>
    <w:rsid w:val="00D52AC3"/>
    <w:rsid w:val="00D54B4D"/>
    <w:rsid w:val="00D7391A"/>
    <w:rsid w:val="00D75BD6"/>
    <w:rsid w:val="00D9173A"/>
    <w:rsid w:val="00DA28B2"/>
    <w:rsid w:val="00DA7B8C"/>
    <w:rsid w:val="00DB0932"/>
    <w:rsid w:val="00DB2F81"/>
    <w:rsid w:val="00DC0220"/>
    <w:rsid w:val="00DC6E45"/>
    <w:rsid w:val="00DD3550"/>
    <w:rsid w:val="00DD3DA3"/>
    <w:rsid w:val="00DE4B07"/>
    <w:rsid w:val="00DF1FE9"/>
    <w:rsid w:val="00DF6781"/>
    <w:rsid w:val="00E025DC"/>
    <w:rsid w:val="00E06505"/>
    <w:rsid w:val="00E1377F"/>
    <w:rsid w:val="00E150AA"/>
    <w:rsid w:val="00E17857"/>
    <w:rsid w:val="00E23041"/>
    <w:rsid w:val="00E27131"/>
    <w:rsid w:val="00E27644"/>
    <w:rsid w:val="00E367E5"/>
    <w:rsid w:val="00E37F83"/>
    <w:rsid w:val="00E439D7"/>
    <w:rsid w:val="00E53973"/>
    <w:rsid w:val="00E53D4B"/>
    <w:rsid w:val="00E60686"/>
    <w:rsid w:val="00E66614"/>
    <w:rsid w:val="00E71C90"/>
    <w:rsid w:val="00E75826"/>
    <w:rsid w:val="00E8030E"/>
    <w:rsid w:val="00E81DD4"/>
    <w:rsid w:val="00E94F51"/>
    <w:rsid w:val="00E94FC1"/>
    <w:rsid w:val="00E95374"/>
    <w:rsid w:val="00EA3654"/>
    <w:rsid w:val="00EB2319"/>
    <w:rsid w:val="00EB311A"/>
    <w:rsid w:val="00EB47D6"/>
    <w:rsid w:val="00EB6A59"/>
    <w:rsid w:val="00EC42E2"/>
    <w:rsid w:val="00EC4663"/>
    <w:rsid w:val="00EC473B"/>
    <w:rsid w:val="00EC746C"/>
    <w:rsid w:val="00ED1072"/>
    <w:rsid w:val="00EE07F2"/>
    <w:rsid w:val="00EE1D73"/>
    <w:rsid w:val="00EF1669"/>
    <w:rsid w:val="00EF21A6"/>
    <w:rsid w:val="00EF35D7"/>
    <w:rsid w:val="00EF597F"/>
    <w:rsid w:val="00EF5C69"/>
    <w:rsid w:val="00EF5EA8"/>
    <w:rsid w:val="00F10D1A"/>
    <w:rsid w:val="00F15523"/>
    <w:rsid w:val="00F16E24"/>
    <w:rsid w:val="00F2159F"/>
    <w:rsid w:val="00F26C5F"/>
    <w:rsid w:val="00F32ADB"/>
    <w:rsid w:val="00F33B50"/>
    <w:rsid w:val="00F34CA2"/>
    <w:rsid w:val="00F362D3"/>
    <w:rsid w:val="00F4072F"/>
    <w:rsid w:val="00F44E18"/>
    <w:rsid w:val="00F4729A"/>
    <w:rsid w:val="00F509C2"/>
    <w:rsid w:val="00F551D0"/>
    <w:rsid w:val="00F65825"/>
    <w:rsid w:val="00F70D29"/>
    <w:rsid w:val="00F718E3"/>
    <w:rsid w:val="00F72FA5"/>
    <w:rsid w:val="00F73103"/>
    <w:rsid w:val="00F73DA6"/>
    <w:rsid w:val="00F74904"/>
    <w:rsid w:val="00F83A64"/>
    <w:rsid w:val="00F84DA7"/>
    <w:rsid w:val="00F86DFA"/>
    <w:rsid w:val="00FA46DB"/>
    <w:rsid w:val="00FA4D60"/>
    <w:rsid w:val="00FA55B5"/>
    <w:rsid w:val="00FA7F7D"/>
    <w:rsid w:val="00FB37FA"/>
    <w:rsid w:val="00FB6B73"/>
    <w:rsid w:val="00FB6BE4"/>
    <w:rsid w:val="00FC0FDC"/>
    <w:rsid w:val="00FC2150"/>
    <w:rsid w:val="00FE4017"/>
    <w:rsid w:val="00FE4C56"/>
    <w:rsid w:val="00FE7279"/>
    <w:rsid w:val="00FE7B73"/>
    <w:rsid w:val="00FE7ED2"/>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NormalWeb">
    <w:name w:val="Normal (Web)"/>
    <w:basedOn w:val="Normal"/>
    <w:uiPriority w:val="99"/>
    <w:semiHidden/>
    <w:unhideWhenUsed/>
    <w:rsid w:val="00EF5EA8"/>
    <w:rPr>
      <w:rFonts w:ascii="Times New Roman" w:hAnsi="Times New Roman"/>
    </w:rPr>
  </w:style>
  <w:style w:type="paragraph" w:styleId="Bibliography">
    <w:name w:val="Bibliography"/>
    <w:basedOn w:val="Normal"/>
    <w:next w:val="Normal"/>
    <w:uiPriority w:val="37"/>
    <w:unhideWhenUsed/>
    <w:rsid w:val="00830A1C"/>
    <w:pPr>
      <w:tabs>
        <w:tab w:val="left" w:pos="384"/>
      </w:tabs>
      <w:spacing w:line="240" w:lineRule="auto"/>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A43415-ADA0-1447-A22C-FC2479F03CE4}">
  <ds:schemaRefs>
    <ds:schemaRef ds:uri="http://schemas.openxmlformats.org/officeDocument/2006/bibliography"/>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4.xml><?xml version="1.0" encoding="utf-8"?>
<ds:datastoreItem xmlns:ds="http://schemas.openxmlformats.org/officeDocument/2006/customXml" ds:itemID="{12BB6C4B-211C-4FAF-9C05-46BF99CBB4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12</Pages>
  <Words>4321</Words>
  <Characters>24631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Cranfield University</Company>
  <LinksUpToDate>false</LinksUpToDate>
  <CharactersWithSpaces>28895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Ian Dodd (2313448)</cp:lastModifiedBy>
  <cp:revision>225</cp:revision>
  <dcterms:created xsi:type="dcterms:W3CDTF">2023-09-19T08:06:00Z</dcterms:created>
  <dcterms:modified xsi:type="dcterms:W3CDTF">2026-05-03T12:50:00Z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ZOTERO_PREF_1">
    <vt:lpwstr>&lt;data data-version="3" zotero-version="7.0.32"&gt;&lt;session id="4pHdYy2A"/&gt;&lt;style id="http://www.zotero.org/styles/ieee" locale="en-GB" hasBibliography="1" bibliographyStyleHasBeenSet="1"/&gt;&lt;prefs&gt;&lt;pref name="fieldType" value="Field"/&gt;&lt;pref name="automaticJour</vt:lpwstr>
  </property>
  <property fmtid="{D5CDD505-2E9C-101B-9397-08002B2CF9AE}" pid="15" name="ZOTERO_PREF_2">
    <vt:lpwstr>nalAbbreviations" value="true"/&gt;&lt;/prefs&gt;&lt;/data&gt;</vt:lpwstr>
  </property>
</Properties>
</file>