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39BBE" w14:textId="77777777" w:rsidR="00BC30A8" w:rsidRDefault="00BC30A8">
      <w:r>
        <w:t>What was the medical view of gout in the Hippocratic Corpus?</w:t>
      </w:r>
    </w:p>
    <w:p w14:paraId="34007AAE" w14:textId="4825EB6C" w:rsidR="00BC30A8" w:rsidRDefault="00BC30A8">
      <w:r>
        <w:t xml:space="preserve">1804942 </w:t>
      </w:r>
    </w:p>
    <w:p w14:paraId="6F8E5889" w14:textId="77777777" w:rsidR="00BC30A8" w:rsidRDefault="00BC30A8"/>
    <w:p w14:paraId="38CE056D" w14:textId="2D52649A" w:rsidR="005879C6" w:rsidRDefault="005879C6">
      <w:r>
        <w:t xml:space="preserve">The Hippocratic Corpus represents a new philosophical style of thinking on medicine, documented in, approximately, sixty works </w:t>
      </w:r>
      <w:r>
        <w:rPr>
          <w:rStyle w:val="FootnoteReference"/>
        </w:rPr>
        <w:footnoteReference w:id="1"/>
      </w:r>
      <w:r>
        <w:t>. Within this work, I will be looking specifically at how the Hippocratic corpus looked</w:t>
      </w:r>
      <w:r w:rsidR="0063765F">
        <w:t xml:space="preserve"> medically</w:t>
      </w:r>
      <w:r>
        <w:t xml:space="preserve"> upon gout; how it was viewed and treated. </w:t>
      </w:r>
    </w:p>
    <w:p w14:paraId="761895B5" w14:textId="4CEA2888" w:rsidR="005879C6" w:rsidRDefault="0063765F">
      <w:r>
        <w:t>The</w:t>
      </w:r>
      <w:r w:rsidR="00462749">
        <w:t xml:space="preserve"> medical definition of gout within the</w:t>
      </w:r>
      <w:r>
        <w:t xml:space="preserve"> Hippocratic Corpus </w:t>
      </w:r>
      <w:r w:rsidR="00462749">
        <w:t>is</w:t>
      </w:r>
      <w:r>
        <w:t xml:space="preserve"> blood being corrupted by bile and phlegm in the </w:t>
      </w:r>
      <w:r w:rsidR="00C7585A">
        <w:t>thinnest and tightest vessels of the body</w:t>
      </w:r>
      <w:r w:rsidR="00BC30A8">
        <w:rPr>
          <w:rStyle w:val="FootnoteReference"/>
        </w:rPr>
        <w:footnoteReference w:id="2"/>
      </w:r>
      <w:r w:rsidR="00BC30A8">
        <w:t xml:space="preserve">. </w:t>
      </w:r>
      <w:r w:rsidR="00462749">
        <w:t xml:space="preserve"> </w:t>
      </w:r>
      <w:r w:rsidR="00CC244D">
        <w:t>Within diseases 1, gout was said to be not fatal if complications do not arise but can result into permanent lesions and is incurable in elderly patients</w:t>
      </w:r>
      <w:r w:rsidR="00CC244D">
        <w:rPr>
          <w:rStyle w:val="FootnoteReference"/>
        </w:rPr>
        <w:footnoteReference w:id="3"/>
      </w:r>
      <w:r w:rsidR="00C7585A">
        <w:t>;</w:t>
      </w:r>
      <w:r w:rsidR="003D1096">
        <w:t xml:space="preserve"> </w:t>
      </w:r>
      <w:proofErr w:type="spellStart"/>
      <w:r w:rsidR="003D1096">
        <w:t>Prorrhetic</w:t>
      </w:r>
      <w:proofErr w:type="spellEnd"/>
      <w:r w:rsidR="003D1096">
        <w:t xml:space="preserve"> II also agrees that gout is incurable within elderly patients</w:t>
      </w:r>
      <w:r w:rsidR="003D1096">
        <w:rPr>
          <w:rStyle w:val="FootnoteReference"/>
        </w:rPr>
        <w:footnoteReference w:id="4"/>
      </w:r>
      <w:r w:rsidR="003D1096">
        <w:t xml:space="preserve">. </w:t>
      </w:r>
    </w:p>
    <w:p w14:paraId="2406D16A" w14:textId="5A7BC0DC" w:rsidR="005A5520" w:rsidRDefault="00C7585A">
      <w:r>
        <w:t>T</w:t>
      </w:r>
      <w:r w:rsidR="005A5520">
        <w:t xml:space="preserve">he books within the corpus lay out those who are more susceptible to gout and those who are not. Within the book of Aphorisms, the author writes that those who do not get gout are eunuchs, women (unless their menstruation is supressed) and those who have not had sexual intercourse </w:t>
      </w:r>
      <w:r w:rsidR="005A5520">
        <w:rPr>
          <w:rStyle w:val="FootnoteReference"/>
        </w:rPr>
        <w:footnoteReference w:id="5"/>
      </w:r>
      <w:r w:rsidR="005722D8">
        <w:t xml:space="preserve"> The author of </w:t>
      </w:r>
      <w:proofErr w:type="spellStart"/>
      <w:r w:rsidR="005722D8">
        <w:t>Coan</w:t>
      </w:r>
      <w:proofErr w:type="spellEnd"/>
      <w:r w:rsidR="005722D8">
        <w:t xml:space="preserve"> </w:t>
      </w:r>
      <w:proofErr w:type="spellStart"/>
      <w:r w:rsidR="005722D8">
        <w:t>Prenotions</w:t>
      </w:r>
      <w:proofErr w:type="spellEnd"/>
      <w:r w:rsidR="005722D8">
        <w:t xml:space="preserve"> added to this by including those of have not hit puberty</w:t>
      </w:r>
      <w:r w:rsidR="005722D8">
        <w:rPr>
          <w:rStyle w:val="FootnoteReference"/>
        </w:rPr>
        <w:footnoteReference w:id="6"/>
      </w:r>
      <w:r w:rsidR="005A5520">
        <w:t xml:space="preserve">. </w:t>
      </w:r>
    </w:p>
    <w:p w14:paraId="7E5D5418" w14:textId="5D7011AE" w:rsidR="00C01EB5" w:rsidRDefault="005722D8">
      <w:r>
        <w:t>Those who are more likely to suffer such an affliction are those who ride frequently and for far distances</w:t>
      </w:r>
      <w:r w:rsidR="005A5520">
        <w:rPr>
          <w:rStyle w:val="FootnoteReference"/>
        </w:rPr>
        <w:footnoteReference w:id="7"/>
      </w:r>
      <w:r>
        <w:t xml:space="preserve"> and the elderly</w:t>
      </w:r>
      <w:r>
        <w:rPr>
          <w:rStyle w:val="FootnoteReference"/>
        </w:rPr>
        <w:footnoteReference w:id="8"/>
      </w:r>
      <w:r w:rsidR="00C01EB5">
        <w:t xml:space="preserve">. There is also a mention of gout in Aristophanes comedy, </w:t>
      </w:r>
      <w:proofErr w:type="spellStart"/>
      <w:r w:rsidR="00C01EB5">
        <w:t>Ploutos</w:t>
      </w:r>
      <w:proofErr w:type="spellEnd"/>
      <w:r w:rsidR="00C01EB5">
        <w:t xml:space="preserve">, associating gout with wealth and obesity however, author Simon </w:t>
      </w:r>
      <w:proofErr w:type="spellStart"/>
      <w:r w:rsidR="00C01EB5">
        <w:t>Byl</w:t>
      </w:r>
      <w:proofErr w:type="spellEnd"/>
      <w:r w:rsidR="00C01EB5">
        <w:t>, believes that this is just a coincidence</w:t>
      </w:r>
      <w:r w:rsidR="00C01EB5">
        <w:rPr>
          <w:rStyle w:val="FootnoteReference"/>
        </w:rPr>
        <w:footnoteReference w:id="9"/>
      </w:r>
      <w:r w:rsidR="00C01EB5">
        <w:t xml:space="preserve">.   </w:t>
      </w:r>
    </w:p>
    <w:p w14:paraId="63F10E34" w14:textId="6C823D98" w:rsidR="005A5520" w:rsidRDefault="00C01EB5">
      <w:r>
        <w:t xml:space="preserve">It is written within the book of </w:t>
      </w:r>
      <w:proofErr w:type="spellStart"/>
      <w:r>
        <w:t>Prorrhetic</w:t>
      </w:r>
      <w:proofErr w:type="spellEnd"/>
      <w:r>
        <w:t xml:space="preserve"> II, that if you are young and do not have issues with your joints, if you remain careful on how you live your life and take part in plenty of exercise, if you have a good physician, gout is not a disease you cannot recover from</w:t>
      </w:r>
      <w:r>
        <w:rPr>
          <w:rStyle w:val="FootnoteReference"/>
        </w:rPr>
        <w:footnoteReference w:id="10"/>
      </w:r>
      <w:r>
        <w:t>.</w:t>
      </w:r>
    </w:p>
    <w:p w14:paraId="17A2D88D" w14:textId="4CC3662D" w:rsidR="00C01EB5" w:rsidRDefault="00C01EB5">
      <w:r>
        <w:t>Hippocratic physicians will attempt to cure gout</w:t>
      </w:r>
      <w:r w:rsidR="009C1662">
        <w:t xml:space="preserve"> related pain using the following information from the book On Diseases </w:t>
      </w:r>
      <w:proofErr w:type="gramStart"/>
      <w:r w:rsidR="009C1662">
        <w:t>Of</w:t>
      </w:r>
      <w:proofErr w:type="gramEnd"/>
      <w:r w:rsidR="009C1662">
        <w:t xml:space="preserve"> Women; ‘apply salt on the swollen parts, the salt having been mixed with water into a paste and do not remove for a period of three days. Then when the pastes </w:t>
      </w:r>
      <w:proofErr w:type="gramStart"/>
      <w:r w:rsidR="009C1662">
        <w:t>has</w:t>
      </w:r>
      <w:proofErr w:type="gramEnd"/>
      <w:r w:rsidR="009C1662">
        <w:t xml:space="preserve"> been removed, grind some raw red saltpetre and mix it with a little honey, and use it as if it were salt for the same period. The ground salt is put into a vase, then it is sprinkled with alum. Thereafter place the cauldron above the fire, and once more, sprinkle with salt and alum, and finally leave it to simmer for one day and one night’</w:t>
      </w:r>
      <w:r w:rsidR="009C1662">
        <w:rPr>
          <w:rStyle w:val="FootnoteReference"/>
        </w:rPr>
        <w:footnoteReference w:id="11"/>
      </w:r>
      <w:r w:rsidR="009C1662">
        <w:t xml:space="preserve">. </w:t>
      </w:r>
    </w:p>
    <w:p w14:paraId="27F84CC1" w14:textId="1B70A0AA" w:rsidR="009C1662" w:rsidRDefault="009C1662">
      <w:r>
        <w:t xml:space="preserve">The author of Aphorisms proposes another cure by applying cold water to the area which reduces the swelling and reduces the pain. </w:t>
      </w:r>
      <w:r w:rsidR="0005693A">
        <w:t xml:space="preserve">Numbing the area was a popular, cheap and quick cure for gout. </w:t>
      </w:r>
    </w:p>
    <w:p w14:paraId="4AD066A2" w14:textId="74385B7C" w:rsidR="0005693A" w:rsidRDefault="0005693A">
      <w:r>
        <w:lastRenderedPageBreak/>
        <w:t>Vinegar was an ointment which was recommended, it was said to be more effective when applied in affusions and baths</w:t>
      </w:r>
      <w:r>
        <w:rPr>
          <w:rStyle w:val="FootnoteReference"/>
        </w:rPr>
        <w:footnoteReference w:id="12"/>
      </w:r>
    </w:p>
    <w:p w14:paraId="7DD9D5D1" w14:textId="719E0996" w:rsidR="0005693A" w:rsidRDefault="0005693A">
      <w:r>
        <w:t xml:space="preserve">It has also been noted in the book of Affections that, with big toes especially, the toes vessels above the </w:t>
      </w:r>
      <w:r w:rsidR="006D035D">
        <w:t>affected area</w:t>
      </w:r>
      <w:r>
        <w:t xml:space="preserve"> would be cauterized with raw flax</w:t>
      </w:r>
      <w:r>
        <w:rPr>
          <w:rStyle w:val="FootnoteReference"/>
        </w:rPr>
        <w:footnoteReference w:id="13"/>
      </w:r>
      <w:r>
        <w:t xml:space="preserve">. </w:t>
      </w:r>
    </w:p>
    <w:p w14:paraId="05119307" w14:textId="40D07711" w:rsidR="00C01EB5" w:rsidRDefault="0005693A">
      <w:r>
        <w:t>To conclude</w:t>
      </w:r>
      <w:r w:rsidR="000D32B0">
        <w:t>,</w:t>
      </w:r>
      <w:r w:rsidR="00933991">
        <w:t xml:space="preserve"> the Hippocratic Corpus diagnosed</w:t>
      </w:r>
      <w:r w:rsidR="000D32B0">
        <w:t xml:space="preserve"> gout </w:t>
      </w:r>
      <w:r w:rsidR="00933991">
        <w:t>as a disease which was caused by bile and phlegm in the blood</w:t>
      </w:r>
      <w:r w:rsidR="0079779B">
        <w:t xml:space="preserve"> and was found mostly in the elderly and in committed horse riders. Gout was written to being unfatal but could be an impediment in everyday life and so it was important to maintain an active lifestyle and have a good physician to prevent or recover from the aliment.</w:t>
      </w:r>
    </w:p>
    <w:p w14:paraId="7132FEFF" w14:textId="157B5D81" w:rsidR="005722D8" w:rsidRDefault="005722D8"/>
    <w:p w14:paraId="38BED05E" w14:textId="0B4C69F6" w:rsidR="00A345AF" w:rsidRDefault="00A345AF"/>
    <w:p w14:paraId="0D89C49B" w14:textId="794837A9" w:rsidR="00A345AF" w:rsidRDefault="00A345AF"/>
    <w:p w14:paraId="628C47ED" w14:textId="3AB040EA" w:rsidR="00A345AF" w:rsidRDefault="00A345AF"/>
    <w:p w14:paraId="16B7277A" w14:textId="0B723E54" w:rsidR="00A345AF" w:rsidRDefault="00A345AF"/>
    <w:p w14:paraId="38CDC92C" w14:textId="49AB80B7" w:rsidR="00A345AF" w:rsidRDefault="00A345AF"/>
    <w:p w14:paraId="5375BD41" w14:textId="66EA391B" w:rsidR="00A345AF" w:rsidRDefault="00A345AF"/>
    <w:p w14:paraId="429DC07D" w14:textId="38EE42AB" w:rsidR="00A345AF" w:rsidRDefault="00A345AF"/>
    <w:p w14:paraId="278069FF" w14:textId="046F273E" w:rsidR="00A345AF" w:rsidRDefault="00A345AF"/>
    <w:p w14:paraId="37413391" w14:textId="5B64046F" w:rsidR="00A345AF" w:rsidRDefault="00A345AF"/>
    <w:p w14:paraId="270B1076" w14:textId="6E833530" w:rsidR="00A345AF" w:rsidRDefault="00A345AF"/>
    <w:p w14:paraId="3A9C66BA" w14:textId="1D1DC3D1" w:rsidR="00A345AF" w:rsidRDefault="00A345AF"/>
    <w:p w14:paraId="19EDDF07" w14:textId="5591C890" w:rsidR="00A345AF" w:rsidRDefault="00A345AF"/>
    <w:p w14:paraId="54C81EEB" w14:textId="1C56F8B6" w:rsidR="00A345AF" w:rsidRDefault="00A345AF"/>
    <w:p w14:paraId="4F9021B4" w14:textId="6769CA15" w:rsidR="00A345AF" w:rsidRDefault="00A345AF"/>
    <w:p w14:paraId="607A83B5" w14:textId="571BAF2A" w:rsidR="00A345AF" w:rsidRDefault="00A345AF"/>
    <w:p w14:paraId="5C1BB420" w14:textId="2DDA0F9C" w:rsidR="00A345AF" w:rsidRDefault="00A345AF"/>
    <w:p w14:paraId="2195A14D" w14:textId="0459C159" w:rsidR="00A345AF" w:rsidRDefault="00A345AF"/>
    <w:p w14:paraId="025B138E" w14:textId="7B09E61B" w:rsidR="00A345AF" w:rsidRDefault="00A345AF"/>
    <w:p w14:paraId="45CD8A81" w14:textId="7947489B" w:rsidR="00A345AF" w:rsidRDefault="00A345AF"/>
    <w:p w14:paraId="3EB96908" w14:textId="69FF2228" w:rsidR="00A345AF" w:rsidRDefault="00A345AF"/>
    <w:p w14:paraId="7BCE58F4" w14:textId="36379595" w:rsidR="00A345AF" w:rsidRDefault="00A345AF"/>
    <w:p w14:paraId="4CA06A4F" w14:textId="411B2C8B" w:rsidR="00A345AF" w:rsidRDefault="00A345AF"/>
    <w:p w14:paraId="4A88B427" w14:textId="3E3A4B6A" w:rsidR="00A345AF" w:rsidRDefault="00CB1E81">
      <w:r>
        <w:lastRenderedPageBreak/>
        <w:t>Bibliography</w:t>
      </w:r>
      <w:r w:rsidR="00A345AF">
        <w:t>:</w:t>
      </w:r>
    </w:p>
    <w:p w14:paraId="5D6C0802" w14:textId="2C54E2DE" w:rsidR="00CB1E81" w:rsidRPr="00CB1E81" w:rsidRDefault="00CB1E81">
      <w:proofErr w:type="spellStart"/>
      <w:r>
        <w:t>Byl.S</w:t>
      </w:r>
      <w:proofErr w:type="spellEnd"/>
      <w:r>
        <w:t xml:space="preserve">. (1988) </w:t>
      </w:r>
      <w:proofErr w:type="spellStart"/>
      <w:r>
        <w:rPr>
          <w:i/>
        </w:rPr>
        <w:t>persee</w:t>
      </w:r>
      <w:proofErr w:type="spellEnd"/>
      <w:r>
        <w:rPr>
          <w:i/>
        </w:rPr>
        <w:t xml:space="preserve"> </w:t>
      </w:r>
      <w:r>
        <w:t xml:space="preserve">[Rheumatism and Gout in the Corpus </w:t>
      </w:r>
      <w:proofErr w:type="spellStart"/>
      <w:r>
        <w:t>Hippocraticum</w:t>
      </w:r>
      <w:proofErr w:type="spellEnd"/>
      <w:r>
        <w:t xml:space="preserve">] </w:t>
      </w:r>
      <w:hyperlink r:id="rId7" w:history="1">
        <w:r w:rsidRPr="00BD5FAE">
          <w:rPr>
            <w:rStyle w:val="Hyperlink"/>
          </w:rPr>
          <w:t>https://www.persee.fr/doc/antiq_0770-2817_1988_num_57_1_2229</w:t>
        </w:r>
      </w:hyperlink>
      <w:r>
        <w:t xml:space="preserve"> (Accessed:03 October 2018)</w:t>
      </w:r>
    </w:p>
    <w:p w14:paraId="7A879B77" w14:textId="4F784D31" w:rsidR="00A345AF" w:rsidRDefault="007F2346">
      <w:proofErr w:type="spellStart"/>
      <w:r>
        <w:t>Hippocrates.C</w:t>
      </w:r>
      <w:proofErr w:type="spellEnd"/>
      <w:r>
        <w:t xml:space="preserve">. (2018) </w:t>
      </w:r>
      <w:hyperlink r:id="rId8" w:history="1">
        <w:r w:rsidRPr="00BD5FAE">
          <w:rPr>
            <w:rStyle w:val="Hyperlink"/>
          </w:rPr>
          <w:t>https://www.loebclassics.com/search?q=Hippocrates</w:t>
        </w:r>
      </w:hyperlink>
      <w:r>
        <w:t xml:space="preserve"> (Accessed: 01 October 2018)</w:t>
      </w:r>
    </w:p>
    <w:p w14:paraId="7F711D30" w14:textId="77777777" w:rsidR="007F2346" w:rsidRPr="00CB1E81" w:rsidRDefault="007F2346" w:rsidP="007F2346">
      <w:proofErr w:type="spellStart"/>
      <w:r>
        <w:t>Byl.S</w:t>
      </w:r>
      <w:proofErr w:type="spellEnd"/>
      <w:r>
        <w:t xml:space="preserve">. (1988) </w:t>
      </w:r>
      <w:proofErr w:type="spellStart"/>
      <w:r>
        <w:rPr>
          <w:i/>
        </w:rPr>
        <w:t>persee</w:t>
      </w:r>
      <w:proofErr w:type="spellEnd"/>
      <w:r>
        <w:rPr>
          <w:i/>
        </w:rPr>
        <w:t xml:space="preserve"> </w:t>
      </w:r>
      <w:r>
        <w:rPr>
          <w:sz w:val="20"/>
        </w:rPr>
        <w:t xml:space="preserve">[Airs, Water and Places] </w:t>
      </w:r>
      <w:hyperlink r:id="rId9" w:history="1">
        <w:r w:rsidRPr="00BD5FAE">
          <w:rPr>
            <w:rStyle w:val="Hyperlink"/>
          </w:rPr>
          <w:t>https://www.persee.fr/doc/antiq_0770-2817_1988_num_57_1_2229</w:t>
        </w:r>
      </w:hyperlink>
      <w:r>
        <w:t xml:space="preserve"> (Accessed:03 October 2018)</w:t>
      </w:r>
    </w:p>
    <w:p w14:paraId="553635E1" w14:textId="33D11D39" w:rsidR="007F2346" w:rsidRPr="007F2346" w:rsidRDefault="007F2346">
      <w:r w:rsidRPr="007F2346">
        <w:t xml:space="preserve">Oxford Reference (2018) </w:t>
      </w:r>
      <w:r w:rsidRPr="007F2346">
        <w:rPr>
          <w:i/>
        </w:rPr>
        <w:t>dictionary</w:t>
      </w:r>
      <w:r w:rsidRPr="007F2346">
        <w:t xml:space="preserve"> [Gout] </w:t>
      </w:r>
      <w:hyperlink r:id="rId10" w:history="1">
        <w:r w:rsidRPr="007F2346">
          <w:rPr>
            <w:rStyle w:val="Hyperlink"/>
          </w:rPr>
          <w:t>http://www.oxfordreference.com.ezproxy.uwtsd.ac.uk/search?q=gout&amp;searchBtn=Search&amp;isQuickSearch=true</w:t>
        </w:r>
      </w:hyperlink>
      <w:r w:rsidRPr="007F2346">
        <w:t xml:space="preserve">  (Accessed: 03 October 2018)</w:t>
      </w:r>
      <w:bookmarkStart w:id="0" w:name="_GoBack"/>
      <w:bookmarkEnd w:id="0"/>
    </w:p>
    <w:sectPr w:rsidR="007F2346" w:rsidRPr="007F23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E2EAF" w14:textId="77777777" w:rsidR="005879C6" w:rsidRDefault="005879C6" w:rsidP="005879C6">
      <w:pPr>
        <w:spacing w:after="0" w:line="240" w:lineRule="auto"/>
      </w:pPr>
      <w:r>
        <w:separator/>
      </w:r>
    </w:p>
  </w:endnote>
  <w:endnote w:type="continuationSeparator" w:id="0">
    <w:p w14:paraId="2E857AA2" w14:textId="77777777" w:rsidR="005879C6" w:rsidRDefault="005879C6" w:rsidP="00587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0B8AC" w14:textId="77777777" w:rsidR="005879C6" w:rsidRDefault="005879C6" w:rsidP="005879C6">
      <w:pPr>
        <w:spacing w:after="0" w:line="240" w:lineRule="auto"/>
      </w:pPr>
      <w:r>
        <w:separator/>
      </w:r>
    </w:p>
  </w:footnote>
  <w:footnote w:type="continuationSeparator" w:id="0">
    <w:p w14:paraId="4F3D2D17" w14:textId="77777777" w:rsidR="005879C6" w:rsidRDefault="005879C6" w:rsidP="005879C6">
      <w:pPr>
        <w:spacing w:after="0" w:line="240" w:lineRule="auto"/>
      </w:pPr>
      <w:r>
        <w:continuationSeparator/>
      </w:r>
    </w:p>
  </w:footnote>
  <w:footnote w:id="1">
    <w:p w14:paraId="29E60EFA" w14:textId="2E23B85E" w:rsidR="005879C6" w:rsidRDefault="005879C6">
      <w:pPr>
        <w:pStyle w:val="FootnoteText"/>
      </w:pPr>
      <w:r>
        <w:rPr>
          <w:rStyle w:val="FootnoteReference"/>
        </w:rPr>
        <w:footnoteRef/>
      </w:r>
      <w:r>
        <w:t xml:space="preserve"> Oxford reference (Gagarin, 2010)</w:t>
      </w:r>
    </w:p>
  </w:footnote>
  <w:footnote w:id="2">
    <w:p w14:paraId="6CDC9593" w14:textId="003B26EB" w:rsidR="00BC30A8" w:rsidRDefault="00BC30A8">
      <w:pPr>
        <w:pStyle w:val="FootnoteText"/>
      </w:pPr>
      <w:r>
        <w:rPr>
          <w:rStyle w:val="FootnoteReference"/>
        </w:rPr>
        <w:footnoteRef/>
      </w:r>
      <w:r>
        <w:t xml:space="preserve"> Hippoc.</w:t>
      </w:r>
      <w:proofErr w:type="gramStart"/>
      <w:r>
        <w:t>3.</w:t>
      </w:r>
      <w:r w:rsidR="005A5520">
        <w:t>p</w:t>
      </w:r>
      <w:proofErr w:type="gramEnd"/>
      <w:r>
        <w:t>49</w:t>
      </w:r>
    </w:p>
  </w:footnote>
  <w:footnote w:id="3">
    <w:p w14:paraId="0AA5C3FE" w14:textId="7850B9F8" w:rsidR="00CC244D" w:rsidRDefault="00CC244D">
      <w:pPr>
        <w:pStyle w:val="FootnoteText"/>
      </w:pPr>
      <w:r>
        <w:rPr>
          <w:rStyle w:val="FootnoteReference"/>
        </w:rPr>
        <w:footnoteRef/>
      </w:r>
      <w:r>
        <w:t xml:space="preserve"> </w:t>
      </w:r>
      <w:proofErr w:type="spellStart"/>
      <w:r>
        <w:t>Hippoc</w:t>
      </w:r>
      <w:proofErr w:type="spellEnd"/>
      <w:r>
        <w:t>. Diseases 1.</w:t>
      </w:r>
      <w:proofErr w:type="gramStart"/>
      <w:r>
        <w:t>3.</w:t>
      </w:r>
      <w:r w:rsidR="005A5520">
        <w:t>p</w:t>
      </w:r>
      <w:proofErr w:type="gramEnd"/>
      <w:r>
        <w:t>93</w:t>
      </w:r>
    </w:p>
  </w:footnote>
  <w:footnote w:id="4">
    <w:p w14:paraId="440683A4" w14:textId="4BFB4C91" w:rsidR="003D1096" w:rsidRDefault="003D1096">
      <w:pPr>
        <w:pStyle w:val="FootnoteText"/>
      </w:pPr>
      <w:r>
        <w:rPr>
          <w:rStyle w:val="FootnoteReference"/>
        </w:rPr>
        <w:footnoteRef/>
      </w:r>
      <w:r>
        <w:t xml:space="preserve"> </w:t>
      </w:r>
      <w:proofErr w:type="spellStart"/>
      <w:r>
        <w:t>Hippoc</w:t>
      </w:r>
      <w:proofErr w:type="spellEnd"/>
      <w:r>
        <w:t xml:space="preserve">. </w:t>
      </w:r>
      <w:proofErr w:type="spellStart"/>
      <w:r>
        <w:t>Prorrhetic</w:t>
      </w:r>
      <w:proofErr w:type="spellEnd"/>
      <w:r>
        <w:t xml:space="preserve"> II.</w:t>
      </w:r>
      <w:proofErr w:type="gramStart"/>
      <w:r>
        <w:t>8.</w:t>
      </w:r>
      <w:r w:rsidR="005A5520">
        <w:t>p</w:t>
      </w:r>
      <w:proofErr w:type="gramEnd"/>
      <w:r>
        <w:t>238</w:t>
      </w:r>
    </w:p>
  </w:footnote>
  <w:footnote w:id="5">
    <w:p w14:paraId="1EECDCFC" w14:textId="02B52714" w:rsidR="005A5520" w:rsidRDefault="005A5520">
      <w:pPr>
        <w:pStyle w:val="FootnoteText"/>
      </w:pPr>
      <w:r>
        <w:rPr>
          <w:rStyle w:val="FootnoteReference"/>
        </w:rPr>
        <w:footnoteRef/>
      </w:r>
      <w:r>
        <w:t xml:space="preserve"> </w:t>
      </w:r>
      <w:proofErr w:type="spellStart"/>
      <w:r>
        <w:t>Hippoc</w:t>
      </w:r>
      <w:proofErr w:type="spellEnd"/>
      <w:r>
        <w:t>. Aphroisms.28–</w:t>
      </w:r>
      <w:proofErr w:type="gramStart"/>
      <w:r>
        <w:t>30.p</w:t>
      </w:r>
      <w:proofErr w:type="gramEnd"/>
      <w:r>
        <w:t>187</w:t>
      </w:r>
    </w:p>
  </w:footnote>
  <w:footnote w:id="6">
    <w:p w14:paraId="5C32CD0A" w14:textId="6EB71E30" w:rsidR="005722D8" w:rsidRDefault="005722D8">
      <w:pPr>
        <w:pStyle w:val="FootnoteText"/>
      </w:pPr>
      <w:r>
        <w:rPr>
          <w:rStyle w:val="FootnoteReference"/>
        </w:rPr>
        <w:footnoteRef/>
      </w:r>
      <w:r>
        <w:t xml:space="preserve"> </w:t>
      </w:r>
      <w:proofErr w:type="spellStart"/>
      <w:r>
        <w:t>Hippoc.Caon</w:t>
      </w:r>
      <w:proofErr w:type="spellEnd"/>
      <w:r>
        <w:t xml:space="preserve"> </w:t>
      </w:r>
      <w:proofErr w:type="gramStart"/>
      <w:r>
        <w:t>Prenotions.502.p</w:t>
      </w:r>
      <w:proofErr w:type="gramEnd"/>
      <w:r>
        <w:t xml:space="preserve">231. </w:t>
      </w:r>
    </w:p>
  </w:footnote>
  <w:footnote w:id="7">
    <w:p w14:paraId="07700E4F" w14:textId="50A8AA48" w:rsidR="005A5520" w:rsidRDefault="005A5520">
      <w:pPr>
        <w:pStyle w:val="FootnoteText"/>
      </w:pPr>
      <w:r>
        <w:rPr>
          <w:rStyle w:val="FootnoteReference"/>
        </w:rPr>
        <w:footnoteRef/>
      </w:r>
      <w:r>
        <w:t xml:space="preserve"> Airs, Waters and Places.22.50.</w:t>
      </w:r>
      <w:proofErr w:type="gramStart"/>
      <w:r>
        <w:t>2.p</w:t>
      </w:r>
      <w:proofErr w:type="gramEnd"/>
      <w:r>
        <w:t>80</w:t>
      </w:r>
    </w:p>
  </w:footnote>
  <w:footnote w:id="8">
    <w:p w14:paraId="4CAB628A" w14:textId="5F9E8EFB" w:rsidR="005722D8" w:rsidRDefault="005722D8">
      <w:pPr>
        <w:pStyle w:val="FootnoteText"/>
      </w:pPr>
      <w:r>
        <w:rPr>
          <w:rStyle w:val="FootnoteReference"/>
        </w:rPr>
        <w:footnoteRef/>
      </w:r>
      <w:r>
        <w:t xml:space="preserve"> </w:t>
      </w:r>
      <w:proofErr w:type="spellStart"/>
      <w:r>
        <w:t>Hippoc</w:t>
      </w:r>
      <w:proofErr w:type="spellEnd"/>
      <w:r>
        <w:t xml:space="preserve">. </w:t>
      </w:r>
      <w:proofErr w:type="spellStart"/>
      <w:r>
        <w:t>Prorrgetic</w:t>
      </w:r>
      <w:proofErr w:type="spellEnd"/>
      <w:r>
        <w:t xml:space="preserve"> II.</w:t>
      </w:r>
      <w:proofErr w:type="gramStart"/>
      <w:r>
        <w:t>8.p</w:t>
      </w:r>
      <w:proofErr w:type="gramEnd"/>
      <w:r>
        <w:t>239</w:t>
      </w:r>
    </w:p>
  </w:footnote>
  <w:footnote w:id="9">
    <w:p w14:paraId="7DA3D190" w14:textId="18E8CEA3" w:rsidR="00C01EB5" w:rsidRDefault="00C01EB5">
      <w:pPr>
        <w:pStyle w:val="FootnoteText"/>
      </w:pPr>
      <w:r>
        <w:rPr>
          <w:rStyle w:val="FootnoteReference"/>
        </w:rPr>
        <w:footnoteRef/>
      </w:r>
      <w:r>
        <w:t xml:space="preserve"> Rheumatism and Gout in the Corpus </w:t>
      </w:r>
      <w:proofErr w:type="spellStart"/>
      <w:r>
        <w:t>Hippocraticum</w:t>
      </w:r>
      <w:proofErr w:type="spellEnd"/>
      <w:r>
        <w:t xml:space="preserve"> (Byl,1988) p97.</w:t>
      </w:r>
    </w:p>
  </w:footnote>
  <w:footnote w:id="10">
    <w:p w14:paraId="3EB24EE9" w14:textId="7ECBCBA3" w:rsidR="00C01EB5" w:rsidRDefault="00C01EB5">
      <w:pPr>
        <w:pStyle w:val="FootnoteText"/>
      </w:pPr>
      <w:r>
        <w:rPr>
          <w:rStyle w:val="FootnoteReference"/>
        </w:rPr>
        <w:footnoteRef/>
      </w:r>
      <w:r>
        <w:t xml:space="preserve"> </w:t>
      </w:r>
      <w:proofErr w:type="spellStart"/>
      <w:r>
        <w:t>Hippoc</w:t>
      </w:r>
      <w:proofErr w:type="spellEnd"/>
      <w:r>
        <w:t xml:space="preserve">. </w:t>
      </w:r>
      <w:proofErr w:type="spellStart"/>
      <w:r>
        <w:t>Prorrhetic</w:t>
      </w:r>
      <w:proofErr w:type="spellEnd"/>
      <w:r>
        <w:t xml:space="preserve"> II.</w:t>
      </w:r>
      <w:proofErr w:type="gramStart"/>
      <w:r>
        <w:t>8.p</w:t>
      </w:r>
      <w:proofErr w:type="gramEnd"/>
      <w:r>
        <w:t>239.</w:t>
      </w:r>
    </w:p>
  </w:footnote>
  <w:footnote w:id="11">
    <w:p w14:paraId="70A63E98" w14:textId="63C17617" w:rsidR="009C1662" w:rsidRDefault="009C1662">
      <w:pPr>
        <w:pStyle w:val="FootnoteText"/>
      </w:pPr>
      <w:r>
        <w:rPr>
          <w:rStyle w:val="FootnoteReference"/>
        </w:rPr>
        <w:footnoteRef/>
      </w:r>
      <w:r>
        <w:t xml:space="preserve"> </w:t>
      </w:r>
      <w:proofErr w:type="spellStart"/>
      <w:r>
        <w:t>Hippoc</w:t>
      </w:r>
      <w:proofErr w:type="spellEnd"/>
      <w:r>
        <w:t>. On disease of women.</w:t>
      </w:r>
      <w:proofErr w:type="gramStart"/>
      <w:r>
        <w:t>58.p</w:t>
      </w:r>
      <w:proofErr w:type="gramEnd"/>
      <w:r>
        <w:t>224</w:t>
      </w:r>
    </w:p>
  </w:footnote>
  <w:footnote w:id="12">
    <w:p w14:paraId="311AA8E5" w14:textId="46BE84E7" w:rsidR="0005693A" w:rsidRDefault="0005693A">
      <w:pPr>
        <w:pStyle w:val="FootnoteText"/>
      </w:pPr>
      <w:r>
        <w:rPr>
          <w:rStyle w:val="FootnoteReference"/>
        </w:rPr>
        <w:footnoteRef/>
      </w:r>
      <w:r>
        <w:t xml:space="preserve"> </w:t>
      </w:r>
      <w:proofErr w:type="spellStart"/>
      <w:r>
        <w:t>Hippoc.Use</w:t>
      </w:r>
      <w:proofErr w:type="spellEnd"/>
      <w:r>
        <w:t xml:space="preserve"> of Liquids.</w:t>
      </w:r>
      <w:proofErr w:type="gramStart"/>
      <w:r>
        <w:t>4.p</w:t>
      </w:r>
      <w:proofErr w:type="gramEnd"/>
      <w:r>
        <w:t>327</w:t>
      </w:r>
    </w:p>
  </w:footnote>
  <w:footnote w:id="13">
    <w:p w14:paraId="1EEB65A3" w14:textId="60183330" w:rsidR="0005693A" w:rsidRDefault="0005693A">
      <w:pPr>
        <w:pStyle w:val="FootnoteText"/>
      </w:pPr>
      <w:r>
        <w:rPr>
          <w:rStyle w:val="FootnoteReference"/>
        </w:rPr>
        <w:footnoteRef/>
      </w:r>
      <w:r>
        <w:t xml:space="preserve"> Hippoc.Affections.</w:t>
      </w:r>
      <w:proofErr w:type="gramStart"/>
      <w:r>
        <w:t>31.pp</w:t>
      </w:r>
      <w:proofErr w:type="gramEnd"/>
      <w:r>
        <w:t>242-244.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9C6"/>
    <w:rsid w:val="0005693A"/>
    <w:rsid w:val="000D32B0"/>
    <w:rsid w:val="003D1096"/>
    <w:rsid w:val="00462749"/>
    <w:rsid w:val="005722D8"/>
    <w:rsid w:val="005879C6"/>
    <w:rsid w:val="005A5520"/>
    <w:rsid w:val="0063765F"/>
    <w:rsid w:val="006D035D"/>
    <w:rsid w:val="0079779B"/>
    <w:rsid w:val="007F2346"/>
    <w:rsid w:val="00933991"/>
    <w:rsid w:val="009C1662"/>
    <w:rsid w:val="00A345AF"/>
    <w:rsid w:val="00B12EF2"/>
    <w:rsid w:val="00BC30A8"/>
    <w:rsid w:val="00C01EB5"/>
    <w:rsid w:val="00C54C5C"/>
    <w:rsid w:val="00C7585A"/>
    <w:rsid w:val="00CB1E81"/>
    <w:rsid w:val="00CC2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240A"/>
  <w15:chartTrackingRefBased/>
  <w15:docId w15:val="{D317F9DB-80E5-44D3-8B03-F6E6EA5FD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879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79C6"/>
    <w:rPr>
      <w:sz w:val="20"/>
      <w:szCs w:val="20"/>
    </w:rPr>
  </w:style>
  <w:style w:type="character" w:styleId="FootnoteReference">
    <w:name w:val="footnote reference"/>
    <w:basedOn w:val="DefaultParagraphFont"/>
    <w:uiPriority w:val="99"/>
    <w:semiHidden/>
    <w:unhideWhenUsed/>
    <w:rsid w:val="005879C6"/>
    <w:rPr>
      <w:vertAlign w:val="superscript"/>
    </w:rPr>
  </w:style>
  <w:style w:type="character" w:styleId="Hyperlink">
    <w:name w:val="Hyperlink"/>
    <w:basedOn w:val="DefaultParagraphFont"/>
    <w:uiPriority w:val="99"/>
    <w:unhideWhenUsed/>
    <w:rsid w:val="00CB1E81"/>
    <w:rPr>
      <w:color w:val="0563C1" w:themeColor="hyperlink"/>
      <w:u w:val="single"/>
    </w:rPr>
  </w:style>
  <w:style w:type="character" w:styleId="UnresolvedMention">
    <w:name w:val="Unresolved Mention"/>
    <w:basedOn w:val="DefaultParagraphFont"/>
    <w:uiPriority w:val="99"/>
    <w:semiHidden/>
    <w:unhideWhenUsed/>
    <w:rsid w:val="00CB1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search?q=Hippocrates" TargetMode="External"/><Relationship Id="rId3" Type="http://schemas.openxmlformats.org/officeDocument/2006/relationships/settings" Target="settings.xml"/><Relationship Id="rId7" Type="http://schemas.openxmlformats.org/officeDocument/2006/relationships/hyperlink" Target="https://www.persee.fr/doc/antiq_0770-2817_1988_num_57_1_222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oxfordreference.com.ezproxy.uwtsd.ac.uk/search?q=gout&amp;searchBtn=Search&amp;isQuickSearch=true" TargetMode="External"/><Relationship Id="rId4" Type="http://schemas.openxmlformats.org/officeDocument/2006/relationships/webSettings" Target="webSettings.xml"/><Relationship Id="rId9" Type="http://schemas.openxmlformats.org/officeDocument/2006/relationships/hyperlink" Target="https://www.persee.fr/doc/antiq_0770-2817_1988_num_57_1_22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F53DF-A5AC-4101-B1D2-9DD03F3A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612</Words>
  <Characters>3491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Issie Griffin</dc:creator>
  <cp:keywords/>
  <dc:description/>
  <cp:lastModifiedBy>Issie Griffin</cp:lastModifiedBy>
  <cp:revision>2</cp:revision>
  <dcterms:created xsi:type="dcterms:W3CDTF">2018-10-03T21:16:00Z</dcterms:created>
  <dcterms:modified xsi:type="dcterms:W3CDTF">2018-10-03T21:16:00Z</dcterms:modified>
</cp:coreProperties>
</file>