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F32CD" w14:textId="77777777" w:rsidR="004F78AC" w:rsidRDefault="004F78AC" w:rsidP="004F78AC">
      <w:pPr>
        <w:pStyle w:val="Heading1"/>
        <w:jc w:val="center"/>
        <w:rPr>
          <w:rStyle w:val="IntenseReference"/>
        </w:rPr>
      </w:pPr>
    </w:p>
    <w:p w14:paraId="4085F86C" w14:textId="77777777" w:rsidR="004F78AC" w:rsidRDefault="004F78AC" w:rsidP="004F78AC">
      <w:pPr>
        <w:pStyle w:val="Heading1"/>
        <w:jc w:val="center"/>
        <w:rPr>
          <w:rStyle w:val="IntenseReference"/>
        </w:rPr>
      </w:pPr>
    </w:p>
    <w:p w14:paraId="4EE3B817" w14:textId="274C9893" w:rsidR="00960020" w:rsidRPr="00DA226B" w:rsidRDefault="00960020" w:rsidP="004F78AC">
      <w:pPr>
        <w:pStyle w:val="Heading1"/>
        <w:jc w:val="center"/>
        <w:rPr>
          <w:rStyle w:val="IntenseReference"/>
          <w:sz w:val="56"/>
          <w:szCs w:val="56"/>
        </w:rPr>
      </w:pPr>
      <w:r w:rsidRPr="00DA226B">
        <w:rPr>
          <w:rStyle w:val="IntenseReference"/>
          <w:sz w:val="56"/>
          <w:szCs w:val="56"/>
        </w:rPr>
        <w:t>Introduction to Health and Social Care</w:t>
      </w:r>
    </w:p>
    <w:p w14:paraId="5E89F871" w14:textId="77777777" w:rsidR="004F78AC" w:rsidRDefault="004F78AC" w:rsidP="00960020">
      <w:pPr>
        <w:rPr>
          <w:b/>
          <w:bCs/>
        </w:rPr>
      </w:pPr>
    </w:p>
    <w:p w14:paraId="01894092" w14:textId="77777777" w:rsidR="004F78AC" w:rsidRDefault="004F78AC" w:rsidP="00960020">
      <w:pPr>
        <w:rPr>
          <w:b/>
          <w:bCs/>
        </w:rPr>
      </w:pPr>
    </w:p>
    <w:p w14:paraId="60752B97" w14:textId="77777777" w:rsidR="004F78AC" w:rsidRDefault="004F78AC" w:rsidP="00960020">
      <w:pPr>
        <w:rPr>
          <w:b/>
          <w:bCs/>
        </w:rPr>
      </w:pPr>
    </w:p>
    <w:p w14:paraId="1201E878" w14:textId="77777777" w:rsidR="004F78AC" w:rsidRDefault="004F78AC" w:rsidP="00960020">
      <w:pPr>
        <w:rPr>
          <w:b/>
          <w:bCs/>
        </w:rPr>
      </w:pPr>
    </w:p>
    <w:p w14:paraId="27D0B562" w14:textId="77777777" w:rsidR="004F78AC" w:rsidRDefault="004F78AC" w:rsidP="00960020">
      <w:pPr>
        <w:rPr>
          <w:b/>
          <w:bCs/>
        </w:rPr>
      </w:pPr>
    </w:p>
    <w:p w14:paraId="6CF6AE1A" w14:textId="77777777" w:rsidR="004F78AC" w:rsidRDefault="004F78AC" w:rsidP="00960020">
      <w:pPr>
        <w:rPr>
          <w:b/>
          <w:bCs/>
        </w:rPr>
      </w:pPr>
    </w:p>
    <w:p w14:paraId="6D356609" w14:textId="77777777" w:rsidR="004F78AC" w:rsidRDefault="004F78AC" w:rsidP="00960020">
      <w:pPr>
        <w:rPr>
          <w:b/>
          <w:bCs/>
        </w:rPr>
      </w:pPr>
    </w:p>
    <w:p w14:paraId="552845BE" w14:textId="77777777" w:rsidR="004F78AC" w:rsidRDefault="004F78AC" w:rsidP="00960020">
      <w:pPr>
        <w:rPr>
          <w:b/>
          <w:bCs/>
        </w:rPr>
      </w:pPr>
    </w:p>
    <w:p w14:paraId="2D538DD0" w14:textId="77777777" w:rsidR="004F78AC" w:rsidRDefault="004F78AC" w:rsidP="00960020">
      <w:pPr>
        <w:rPr>
          <w:b/>
          <w:bCs/>
        </w:rPr>
      </w:pPr>
    </w:p>
    <w:p w14:paraId="79B63C2B" w14:textId="77777777" w:rsidR="004F78AC" w:rsidRDefault="004F78AC" w:rsidP="00960020">
      <w:pPr>
        <w:rPr>
          <w:b/>
          <w:bCs/>
        </w:rPr>
      </w:pPr>
    </w:p>
    <w:p w14:paraId="2F83BA82" w14:textId="77777777" w:rsidR="004F78AC" w:rsidRDefault="004F78AC" w:rsidP="00960020">
      <w:pPr>
        <w:rPr>
          <w:b/>
          <w:bCs/>
        </w:rPr>
      </w:pPr>
    </w:p>
    <w:p w14:paraId="15457EB5" w14:textId="77777777" w:rsidR="004F78AC" w:rsidRDefault="004F78AC" w:rsidP="00960020">
      <w:pPr>
        <w:rPr>
          <w:b/>
          <w:bCs/>
        </w:rPr>
      </w:pPr>
    </w:p>
    <w:p w14:paraId="3B2C7BB4" w14:textId="77777777" w:rsidR="004F78AC" w:rsidRDefault="004F78AC" w:rsidP="00960020">
      <w:pPr>
        <w:rPr>
          <w:b/>
          <w:bCs/>
        </w:rPr>
      </w:pPr>
    </w:p>
    <w:p w14:paraId="726FF08D" w14:textId="77777777" w:rsidR="004F78AC" w:rsidRDefault="004F78AC" w:rsidP="00960020">
      <w:pPr>
        <w:rPr>
          <w:b/>
          <w:bCs/>
        </w:rPr>
      </w:pPr>
    </w:p>
    <w:p w14:paraId="166849BE" w14:textId="77777777" w:rsidR="004F78AC" w:rsidRDefault="004F78AC" w:rsidP="00960020">
      <w:pPr>
        <w:rPr>
          <w:b/>
          <w:bCs/>
        </w:rPr>
      </w:pPr>
    </w:p>
    <w:p w14:paraId="24771540" w14:textId="77777777" w:rsidR="004F78AC" w:rsidRDefault="004F78AC" w:rsidP="00960020">
      <w:pPr>
        <w:rPr>
          <w:b/>
          <w:bCs/>
        </w:rPr>
      </w:pPr>
    </w:p>
    <w:p w14:paraId="78E7A89C" w14:textId="77777777" w:rsidR="004F78AC" w:rsidRDefault="004F78AC" w:rsidP="00960020">
      <w:pPr>
        <w:rPr>
          <w:b/>
          <w:bCs/>
        </w:rPr>
      </w:pPr>
    </w:p>
    <w:p w14:paraId="288DA233" w14:textId="77777777" w:rsidR="004F78AC" w:rsidRDefault="004F78AC" w:rsidP="00960020">
      <w:pPr>
        <w:rPr>
          <w:b/>
          <w:bCs/>
        </w:rPr>
      </w:pPr>
    </w:p>
    <w:p w14:paraId="111A36C8" w14:textId="5C943A52" w:rsidR="00960020" w:rsidRPr="00960020" w:rsidRDefault="00960020" w:rsidP="00960020">
      <w:r w:rsidRPr="00960020">
        <w:rPr>
          <w:b/>
          <w:bCs/>
        </w:rPr>
        <w:t>Task 1 Poster and Task 2 Essay</w:t>
      </w:r>
    </w:p>
    <w:p w14:paraId="3CA9AFE8" w14:textId="26BBD04F" w:rsidR="00960020" w:rsidRDefault="00960020" w:rsidP="00960020">
      <w:pPr>
        <w:spacing w:after="0" w:line="240" w:lineRule="auto"/>
      </w:pPr>
      <w:r w:rsidRPr="00960020">
        <w:rPr>
          <w:b/>
          <w:bCs/>
        </w:rPr>
        <w:t>Student name:</w:t>
      </w:r>
      <w:r w:rsidRPr="00960020">
        <w:t xml:space="preserve"> Gabija Kalvelyte</w:t>
      </w:r>
      <w:r w:rsidRPr="00960020">
        <w:br/>
      </w:r>
      <w:r w:rsidRPr="00960020">
        <w:rPr>
          <w:b/>
          <w:bCs/>
        </w:rPr>
        <w:t>Student ID:</w:t>
      </w:r>
      <w:r w:rsidRPr="00960020">
        <w:t xml:space="preserve"> </w:t>
      </w:r>
      <w:r>
        <w:t>2505144</w:t>
      </w:r>
      <w:r w:rsidRPr="00960020">
        <w:br/>
      </w:r>
      <w:r w:rsidRPr="00960020">
        <w:rPr>
          <w:b/>
          <w:bCs/>
        </w:rPr>
        <w:t>Module title:</w:t>
      </w:r>
      <w:r w:rsidRPr="00960020">
        <w:t xml:space="preserve"> Introduction to Health and Social Care</w:t>
      </w:r>
      <w:r w:rsidRPr="00960020">
        <w:br/>
      </w:r>
      <w:r w:rsidRPr="00960020">
        <w:rPr>
          <w:b/>
          <w:bCs/>
        </w:rPr>
        <w:t>Module code:</w:t>
      </w:r>
      <w:r w:rsidRPr="00960020">
        <w:t xml:space="preserve"> </w:t>
      </w:r>
      <w:r>
        <w:t>LCHS4003_BIRM</w:t>
      </w:r>
    </w:p>
    <w:p w14:paraId="45F058A3" w14:textId="5E1206A4" w:rsidR="00B62B66" w:rsidRDefault="00960020" w:rsidP="00960020">
      <w:pPr>
        <w:spacing w:after="0" w:line="240" w:lineRule="auto"/>
      </w:pPr>
      <w:r w:rsidRPr="00960020">
        <w:rPr>
          <w:b/>
          <w:bCs/>
        </w:rPr>
        <w:t>Lecturer:</w:t>
      </w:r>
      <w:r w:rsidRPr="00960020">
        <w:t xml:space="preserve"> </w:t>
      </w:r>
      <w:proofErr w:type="spellStart"/>
      <w:r>
        <w:t>Ayazullah</w:t>
      </w:r>
      <w:proofErr w:type="spellEnd"/>
      <w:r>
        <w:t xml:space="preserve"> Safi</w:t>
      </w:r>
      <w:r w:rsidRPr="00960020">
        <w:br/>
      </w:r>
      <w:r w:rsidRPr="00960020">
        <w:rPr>
          <w:b/>
          <w:bCs/>
        </w:rPr>
        <w:t>University:</w:t>
      </w:r>
      <w:r w:rsidRPr="00960020">
        <w:t xml:space="preserve"> UWTSD Birmingham</w:t>
      </w:r>
      <w:r w:rsidRPr="00960020">
        <w:br/>
      </w:r>
      <w:r w:rsidRPr="00960020">
        <w:rPr>
          <w:b/>
          <w:bCs/>
        </w:rPr>
        <w:t>Submission date:</w:t>
      </w:r>
      <w:r w:rsidRPr="00960020">
        <w:t xml:space="preserve"> </w:t>
      </w:r>
      <w:r>
        <w:t>21/02/2026</w:t>
      </w:r>
      <w:r w:rsidR="00B62B66">
        <w:br/>
      </w:r>
    </w:p>
    <w:p w14:paraId="05716F80" w14:textId="77777777" w:rsidR="00B62B66" w:rsidRPr="00960020" w:rsidRDefault="00B62B66" w:rsidP="00960020">
      <w:pPr>
        <w:spacing w:after="0" w:line="240" w:lineRule="auto"/>
      </w:pPr>
    </w:p>
    <w:tbl>
      <w:tblPr>
        <w:tblStyle w:val="TableGrid"/>
        <w:tblW w:w="0" w:type="auto"/>
        <w:tblLayout w:type="fixed"/>
        <w:tblLook w:val="04A0" w:firstRow="1" w:lastRow="0" w:firstColumn="1" w:lastColumn="0" w:noHBand="0" w:noVBand="1"/>
      </w:tblPr>
      <w:tblGrid>
        <w:gridCol w:w="4106"/>
        <w:gridCol w:w="6350"/>
      </w:tblGrid>
      <w:tr w:rsidR="00455009" w14:paraId="2624E34A" w14:textId="77777777" w:rsidTr="00B62B66">
        <w:trPr>
          <w:trHeight w:val="1125"/>
        </w:trPr>
        <w:tc>
          <w:tcPr>
            <w:tcW w:w="10456" w:type="dxa"/>
            <w:gridSpan w:val="2"/>
          </w:tcPr>
          <w:p w14:paraId="0BA72AB6" w14:textId="77777777" w:rsidR="004F78AC" w:rsidRDefault="004F78AC" w:rsidP="00455009">
            <w:pPr>
              <w:jc w:val="center"/>
              <w:rPr>
                <w:rFonts w:ascii="Arial" w:hAnsi="Arial" w:cs="Arial"/>
                <w:b/>
                <w:bCs/>
                <w:sz w:val="22"/>
                <w:szCs w:val="22"/>
              </w:rPr>
            </w:pPr>
          </w:p>
          <w:p w14:paraId="7838626D" w14:textId="602E46C3" w:rsidR="00455009" w:rsidRPr="004F78AC" w:rsidRDefault="004F78AC" w:rsidP="00455009">
            <w:pPr>
              <w:jc w:val="center"/>
              <w:rPr>
                <w:rStyle w:val="IntenseReference"/>
              </w:rPr>
            </w:pPr>
            <w:r w:rsidRPr="004F78AC">
              <w:rPr>
                <w:rStyle w:val="IntenseReference"/>
                <w:sz w:val="40"/>
                <w:szCs w:val="40"/>
              </w:rPr>
              <w:t xml:space="preserve">Task 1: </w:t>
            </w:r>
            <w:r w:rsidR="00455009" w:rsidRPr="004F78AC">
              <w:rPr>
                <w:rStyle w:val="IntenseReference"/>
                <w:sz w:val="40"/>
                <w:szCs w:val="40"/>
              </w:rPr>
              <w:t>Residential Care Home</w:t>
            </w:r>
          </w:p>
        </w:tc>
      </w:tr>
      <w:tr w:rsidR="00367B0B" w14:paraId="2D8359EF" w14:textId="77777777" w:rsidTr="004F78AC">
        <w:trPr>
          <w:trHeight w:val="1833"/>
        </w:trPr>
        <w:tc>
          <w:tcPr>
            <w:tcW w:w="4106" w:type="dxa"/>
          </w:tcPr>
          <w:p w14:paraId="66A13C2A" w14:textId="2A578256" w:rsidR="00455009" w:rsidRDefault="00455009" w:rsidP="00455009">
            <w:pPr>
              <w:rPr>
                <w:rFonts w:ascii="Arial" w:hAnsi="Arial" w:cs="Arial"/>
                <w:sz w:val="22"/>
                <w:szCs w:val="22"/>
              </w:rPr>
            </w:pPr>
            <w:r>
              <w:rPr>
                <w:rFonts w:ascii="Arial" w:hAnsi="Arial" w:cs="Arial"/>
                <w:sz w:val="22"/>
                <w:szCs w:val="22"/>
              </w:rPr>
              <w:t>Focus: older people (frailty/dementia) in England</w:t>
            </w:r>
          </w:p>
        </w:tc>
        <w:tc>
          <w:tcPr>
            <w:tcW w:w="6350" w:type="dxa"/>
          </w:tcPr>
          <w:p w14:paraId="61E17AFF" w14:textId="77777777" w:rsidR="00455009" w:rsidRPr="004F78AC" w:rsidRDefault="00455009" w:rsidP="00455009">
            <w:pPr>
              <w:rPr>
                <w:rFonts w:ascii="Arial" w:hAnsi="Arial" w:cs="Arial"/>
                <w:b/>
                <w:bCs/>
                <w:sz w:val="22"/>
                <w:szCs w:val="22"/>
              </w:rPr>
            </w:pPr>
            <w:r w:rsidRPr="004F78AC">
              <w:rPr>
                <w:rFonts w:ascii="Arial" w:hAnsi="Arial" w:cs="Arial"/>
                <w:b/>
                <w:bCs/>
                <w:sz w:val="22"/>
                <w:szCs w:val="22"/>
              </w:rPr>
              <w:t>What is care home?</w:t>
            </w:r>
          </w:p>
          <w:p w14:paraId="2AD42568" w14:textId="77777777" w:rsidR="00782CE1" w:rsidRDefault="00782CE1" w:rsidP="00455009">
            <w:pPr>
              <w:rPr>
                <w:rFonts w:ascii="Arial" w:hAnsi="Arial" w:cs="Arial"/>
                <w:sz w:val="22"/>
                <w:szCs w:val="22"/>
              </w:rPr>
            </w:pPr>
            <w:r>
              <w:rPr>
                <w:rFonts w:ascii="Arial" w:hAnsi="Arial" w:cs="Arial"/>
                <w:sz w:val="22"/>
                <w:szCs w:val="22"/>
              </w:rPr>
              <w:t>A residential care home provides accommodation and support with daily personal care for people who cannot manage safely at home. This includes assistance with daily personal care tasks like washing, dressing, eating and moving around. In England, care homes are usually</w:t>
            </w:r>
            <w:r w:rsidR="009249B1">
              <w:rPr>
                <w:rFonts w:ascii="Arial" w:hAnsi="Arial" w:cs="Arial"/>
                <w:sz w:val="22"/>
                <w:szCs w:val="22"/>
              </w:rPr>
              <w:t xml:space="preserve"> described as either residential care homes (personal care) or nursing homes, where registered nurses are available for residents with more complex health needs. For older people, moving into a care home is often linked to increasing frailty, dementia, or multiple long-term conditions that reduce independence and increase risks such as falls or medication-related harm. Care homes are regulated and inspected in England, and quality is assessed through whether services are safe, effective, caring, responsive and well-led. </w:t>
            </w:r>
            <w:r w:rsidR="001C7279" w:rsidRPr="001C7279">
              <w:rPr>
                <w:rFonts w:ascii="Arial" w:hAnsi="Arial" w:cs="Arial"/>
                <w:sz w:val="22"/>
                <w:szCs w:val="22"/>
              </w:rPr>
              <w:t>(NHS, 2023; NHS England, 2023; Care Quality Commission (CQC), 2026).</w:t>
            </w:r>
          </w:p>
          <w:p w14:paraId="528E05DA" w14:textId="3DA148B9" w:rsidR="004F78AC" w:rsidRDefault="004F78AC" w:rsidP="00455009">
            <w:pPr>
              <w:rPr>
                <w:rFonts w:ascii="Arial" w:hAnsi="Arial" w:cs="Arial"/>
                <w:sz w:val="22"/>
                <w:szCs w:val="22"/>
              </w:rPr>
            </w:pPr>
          </w:p>
        </w:tc>
      </w:tr>
      <w:tr w:rsidR="00367B0B" w14:paraId="55E03C52" w14:textId="77777777" w:rsidTr="004F78AC">
        <w:trPr>
          <w:trHeight w:val="2107"/>
        </w:trPr>
        <w:tc>
          <w:tcPr>
            <w:tcW w:w="4106" w:type="dxa"/>
          </w:tcPr>
          <w:p w14:paraId="2ABB3295" w14:textId="77777777" w:rsidR="00455009" w:rsidRPr="004F78AC" w:rsidRDefault="00455009" w:rsidP="00455009">
            <w:pPr>
              <w:rPr>
                <w:rFonts w:ascii="Arial" w:hAnsi="Arial" w:cs="Arial"/>
                <w:b/>
                <w:bCs/>
                <w:sz w:val="22"/>
                <w:szCs w:val="22"/>
              </w:rPr>
            </w:pPr>
            <w:r w:rsidRPr="004F78AC">
              <w:rPr>
                <w:rFonts w:ascii="Arial" w:hAnsi="Arial" w:cs="Arial"/>
                <w:b/>
                <w:bCs/>
                <w:sz w:val="22"/>
                <w:szCs w:val="22"/>
              </w:rPr>
              <w:t>Brief history/policy direction</w:t>
            </w:r>
          </w:p>
          <w:p w14:paraId="1524881F" w14:textId="77777777" w:rsidR="00BC03AA" w:rsidRPr="00BC03AA" w:rsidRDefault="00BC03AA" w:rsidP="00BC03AA">
            <w:pPr>
              <w:numPr>
                <w:ilvl w:val="0"/>
                <w:numId w:val="1"/>
              </w:numPr>
              <w:rPr>
                <w:rFonts w:ascii="Arial" w:hAnsi="Arial" w:cs="Arial"/>
                <w:sz w:val="22"/>
                <w:szCs w:val="22"/>
              </w:rPr>
            </w:pPr>
            <w:r w:rsidRPr="00BC03AA">
              <w:rPr>
                <w:rFonts w:ascii="Arial" w:hAnsi="Arial" w:cs="Arial"/>
                <w:sz w:val="22"/>
                <w:szCs w:val="22"/>
              </w:rPr>
              <w:t>Care homes developed to support people who could not manage safely at home and needed long-term help with daily living, especially older adults. (NHS, 2023)</w:t>
            </w:r>
          </w:p>
          <w:p w14:paraId="3586B8A5" w14:textId="77777777" w:rsidR="00BC03AA" w:rsidRPr="00BC03AA" w:rsidRDefault="00BC03AA" w:rsidP="00BC03AA">
            <w:pPr>
              <w:numPr>
                <w:ilvl w:val="0"/>
                <w:numId w:val="1"/>
              </w:numPr>
              <w:rPr>
                <w:rFonts w:ascii="Arial" w:hAnsi="Arial" w:cs="Arial"/>
                <w:sz w:val="22"/>
                <w:szCs w:val="22"/>
              </w:rPr>
            </w:pPr>
            <w:r w:rsidRPr="00BC03AA">
              <w:rPr>
                <w:rFonts w:ascii="Arial" w:hAnsi="Arial" w:cs="Arial"/>
                <w:sz w:val="22"/>
                <w:szCs w:val="22"/>
              </w:rPr>
              <w:t>Over time, care homes have been expected to provide more than basic support: dignity, choice, person-centred care and quality of life became key expectations. (CQC, 2026)</w:t>
            </w:r>
          </w:p>
          <w:p w14:paraId="0C66724D" w14:textId="77777777" w:rsidR="00BC03AA" w:rsidRPr="00BC03AA" w:rsidRDefault="00BC03AA" w:rsidP="00BC03AA">
            <w:pPr>
              <w:numPr>
                <w:ilvl w:val="0"/>
                <w:numId w:val="1"/>
              </w:numPr>
              <w:rPr>
                <w:rFonts w:ascii="Arial" w:hAnsi="Arial" w:cs="Arial"/>
                <w:sz w:val="22"/>
                <w:szCs w:val="22"/>
              </w:rPr>
            </w:pPr>
            <w:r w:rsidRPr="00BC03AA">
              <w:rPr>
                <w:rFonts w:ascii="Arial" w:hAnsi="Arial" w:cs="Arial"/>
                <w:sz w:val="22"/>
                <w:szCs w:val="22"/>
              </w:rPr>
              <w:t>In England, regulation and inspection became important for accountability. CQC uses the five key questions (safe, effective, caring, responsive, well-led) to judge quality. (CQC, 2026)</w:t>
            </w:r>
          </w:p>
          <w:p w14:paraId="513BBE13" w14:textId="77777777" w:rsidR="00BC03AA" w:rsidRPr="00BC03AA" w:rsidRDefault="00BC03AA" w:rsidP="00BC03AA">
            <w:pPr>
              <w:numPr>
                <w:ilvl w:val="0"/>
                <w:numId w:val="1"/>
              </w:numPr>
              <w:rPr>
                <w:rFonts w:ascii="Arial" w:hAnsi="Arial" w:cs="Arial"/>
                <w:sz w:val="22"/>
                <w:szCs w:val="22"/>
              </w:rPr>
            </w:pPr>
            <w:r w:rsidRPr="00BC03AA">
              <w:rPr>
                <w:rFonts w:ascii="Arial" w:hAnsi="Arial" w:cs="Arial"/>
                <w:sz w:val="22"/>
                <w:szCs w:val="22"/>
              </w:rPr>
              <w:t>In the wider policy debate, “national care service” reform ideas have focused on improving consistency, standards and access to social care (including long-term care settings). (UK Government, 2025)</w:t>
            </w:r>
          </w:p>
          <w:p w14:paraId="7BF7D164" w14:textId="77777777" w:rsidR="00BC03AA" w:rsidRPr="00BC03AA" w:rsidRDefault="00BC03AA" w:rsidP="00BC03AA">
            <w:pPr>
              <w:numPr>
                <w:ilvl w:val="0"/>
                <w:numId w:val="1"/>
              </w:numPr>
              <w:rPr>
                <w:rFonts w:ascii="Arial" w:hAnsi="Arial" w:cs="Arial"/>
                <w:sz w:val="22"/>
                <w:szCs w:val="22"/>
              </w:rPr>
            </w:pPr>
            <w:r w:rsidRPr="00BC03AA">
              <w:rPr>
                <w:rFonts w:ascii="Arial" w:hAnsi="Arial" w:cs="Arial"/>
                <w:sz w:val="22"/>
                <w:szCs w:val="22"/>
              </w:rPr>
              <w:t>Recently, care homes have faced higher pressure because more people live longer with complex needs (e.g. frailty and dementia), while the system also faces workforce and funding constraints. (NHS England, 2023; The King’s Fund, 2025)</w:t>
            </w:r>
          </w:p>
          <w:p w14:paraId="6D28D825" w14:textId="77777777" w:rsidR="00BC03AA" w:rsidRPr="00BC03AA" w:rsidRDefault="00BC03AA" w:rsidP="00BC03AA">
            <w:pPr>
              <w:rPr>
                <w:rFonts w:ascii="Arial" w:hAnsi="Arial" w:cs="Arial"/>
                <w:sz w:val="22"/>
                <w:szCs w:val="22"/>
              </w:rPr>
            </w:pPr>
            <w:r w:rsidRPr="00BC03AA">
              <w:rPr>
                <w:rFonts w:ascii="Arial" w:hAnsi="Arial" w:cs="Arial"/>
                <w:sz w:val="22"/>
                <w:szCs w:val="22"/>
              </w:rPr>
              <w:t>However</w:t>
            </w:r>
            <w:r w:rsidRPr="00BC03AA">
              <w:rPr>
                <w:rFonts w:ascii="Arial" w:hAnsi="Arial" w:cs="Arial"/>
                <w:b/>
                <w:bCs/>
                <w:sz w:val="22"/>
                <w:szCs w:val="22"/>
              </w:rPr>
              <w:t>,</w:t>
            </w:r>
            <w:r w:rsidRPr="00BC03AA">
              <w:rPr>
                <w:rFonts w:ascii="Arial" w:hAnsi="Arial" w:cs="Arial"/>
                <w:sz w:val="22"/>
                <w:szCs w:val="22"/>
              </w:rPr>
              <w:t xml:space="preserve"> inspections can identify problems, but they do not fix staff </w:t>
            </w:r>
            <w:r w:rsidRPr="00BC03AA">
              <w:rPr>
                <w:rFonts w:ascii="Arial" w:hAnsi="Arial" w:cs="Arial"/>
                <w:sz w:val="22"/>
                <w:szCs w:val="22"/>
              </w:rPr>
              <w:lastRenderedPageBreak/>
              <w:t>shortages or funding gaps on their own, so care quality can still vary between providers. (The King’s Fund, 2025)</w:t>
            </w:r>
          </w:p>
          <w:p w14:paraId="231DE238" w14:textId="124CE4FF" w:rsidR="00BC03AA" w:rsidRDefault="00BC03AA" w:rsidP="00455009">
            <w:pPr>
              <w:rPr>
                <w:rFonts w:ascii="Arial" w:hAnsi="Arial" w:cs="Arial"/>
                <w:sz w:val="22"/>
                <w:szCs w:val="22"/>
              </w:rPr>
            </w:pPr>
          </w:p>
        </w:tc>
        <w:tc>
          <w:tcPr>
            <w:tcW w:w="6350" w:type="dxa"/>
          </w:tcPr>
          <w:p w14:paraId="6FC6FC74" w14:textId="77777777" w:rsidR="00455009" w:rsidRDefault="00455009" w:rsidP="00455009">
            <w:pPr>
              <w:rPr>
                <w:rFonts w:ascii="Arial" w:hAnsi="Arial" w:cs="Arial"/>
                <w:b/>
                <w:bCs/>
                <w:sz w:val="22"/>
                <w:szCs w:val="22"/>
              </w:rPr>
            </w:pPr>
            <w:r w:rsidRPr="004F78AC">
              <w:rPr>
                <w:rFonts w:ascii="Arial" w:hAnsi="Arial" w:cs="Arial"/>
                <w:b/>
                <w:bCs/>
                <w:sz w:val="22"/>
                <w:szCs w:val="22"/>
              </w:rPr>
              <w:lastRenderedPageBreak/>
              <w:t>How it works today? (resident journey)</w:t>
            </w:r>
          </w:p>
          <w:p w14:paraId="142E20D5" w14:textId="77777777" w:rsidR="004F78AC" w:rsidRPr="004F78AC" w:rsidRDefault="004F78AC" w:rsidP="00455009">
            <w:pPr>
              <w:rPr>
                <w:rFonts w:ascii="Arial" w:hAnsi="Arial" w:cs="Arial"/>
                <w:b/>
                <w:bCs/>
                <w:sz w:val="22"/>
                <w:szCs w:val="22"/>
              </w:rPr>
            </w:pPr>
          </w:p>
          <w:p w14:paraId="2FD2095A" w14:textId="77777777" w:rsidR="00BC03AA" w:rsidRDefault="00BC03AA" w:rsidP="00455009">
            <w:pPr>
              <w:rPr>
                <w:rFonts w:ascii="Arial" w:hAnsi="Arial" w:cs="Arial"/>
                <w:sz w:val="22"/>
                <w:szCs w:val="22"/>
              </w:rPr>
            </w:pPr>
            <w:r w:rsidRPr="00BC03AA">
              <w:rPr>
                <w:rFonts w:ascii="Arial" w:hAnsi="Arial" w:cs="Arial"/>
                <w:sz w:val="22"/>
                <w:szCs w:val="22"/>
              </w:rPr>
              <w:t>Entry to a care home usually follows a needs assessment and a decision about the best support option. After admission, staff complete assessments and agree a care plan covering daily care, mobility, nutrition, activities and wellbeing. Because many residents have multiple health conditions, care homes often work with NHS services such as GPs and community teams to support health needs and prevent avoidable deterioration. Ongoing reviews are important so that care plans reflect changes in frailty, dementia symptoms, falls risk or medicines needs. CQC monitoring provides an external check on safety and quality. (NHS England, 2023; CQC, 2026)</w:t>
            </w:r>
          </w:p>
          <w:p w14:paraId="4F5F4115" w14:textId="77777777" w:rsidR="00DA226B" w:rsidRDefault="00DA226B" w:rsidP="00455009">
            <w:pPr>
              <w:rPr>
                <w:rFonts w:ascii="Arial" w:hAnsi="Arial" w:cs="Arial"/>
                <w:sz w:val="22"/>
                <w:szCs w:val="22"/>
              </w:rPr>
            </w:pPr>
          </w:p>
          <w:p w14:paraId="71A10F82" w14:textId="77777777" w:rsidR="00DA226B" w:rsidRDefault="00DA226B" w:rsidP="00455009">
            <w:pPr>
              <w:rPr>
                <w:rFonts w:ascii="Arial" w:hAnsi="Arial" w:cs="Arial"/>
                <w:sz w:val="22"/>
                <w:szCs w:val="22"/>
              </w:rPr>
            </w:pPr>
          </w:p>
          <w:p w14:paraId="4C7C4141" w14:textId="5615989D" w:rsidR="00BC03AA" w:rsidRDefault="00367B0B" w:rsidP="00455009">
            <w:pPr>
              <w:rPr>
                <w:rFonts w:ascii="Arial" w:hAnsi="Arial" w:cs="Arial"/>
                <w:sz w:val="22"/>
                <w:szCs w:val="22"/>
              </w:rPr>
            </w:pPr>
            <w:r>
              <w:rPr>
                <w:rFonts w:ascii="Arial" w:hAnsi="Arial" w:cs="Arial"/>
                <w:noProof/>
                <w:sz w:val="22"/>
                <w:szCs w:val="22"/>
              </w:rPr>
              <w:drawing>
                <wp:inline distT="0" distB="0" distL="0" distR="0" wp14:anchorId="1C670E36" wp14:editId="2968D40F">
                  <wp:extent cx="3953224" cy="2636520"/>
                  <wp:effectExtent l="0" t="0" r="9525" b="0"/>
                  <wp:docPr id="61841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1897"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11933" cy="2675675"/>
                          </a:xfrm>
                          <a:prstGeom prst="rect">
                            <a:avLst/>
                          </a:prstGeom>
                        </pic:spPr>
                      </pic:pic>
                    </a:graphicData>
                  </a:graphic>
                </wp:inline>
              </w:drawing>
            </w:r>
          </w:p>
        </w:tc>
      </w:tr>
      <w:tr w:rsidR="00367B0B" w14:paraId="3271C728" w14:textId="77777777" w:rsidTr="004F78AC">
        <w:trPr>
          <w:trHeight w:val="2406"/>
        </w:trPr>
        <w:tc>
          <w:tcPr>
            <w:tcW w:w="4106" w:type="dxa"/>
          </w:tcPr>
          <w:p w14:paraId="54DCF37E" w14:textId="77777777" w:rsidR="00455009" w:rsidRPr="004F78AC" w:rsidRDefault="00455009" w:rsidP="00455009">
            <w:pPr>
              <w:rPr>
                <w:rFonts w:ascii="Arial" w:hAnsi="Arial" w:cs="Arial"/>
                <w:b/>
                <w:bCs/>
                <w:sz w:val="22"/>
                <w:szCs w:val="22"/>
              </w:rPr>
            </w:pPr>
            <w:r w:rsidRPr="004F78AC">
              <w:rPr>
                <w:rFonts w:ascii="Arial" w:hAnsi="Arial" w:cs="Arial"/>
                <w:b/>
                <w:bCs/>
                <w:sz w:val="22"/>
                <w:szCs w:val="22"/>
              </w:rPr>
              <w:t>Challenge 1: Workforce</w:t>
            </w:r>
          </w:p>
          <w:p w14:paraId="6093AE96" w14:textId="77777777" w:rsidR="00BC03AA" w:rsidRPr="00BC03AA" w:rsidRDefault="00BC03AA" w:rsidP="00BC03AA">
            <w:pPr>
              <w:rPr>
                <w:rFonts w:ascii="Arial" w:hAnsi="Arial" w:cs="Arial"/>
                <w:sz w:val="22"/>
                <w:szCs w:val="22"/>
              </w:rPr>
            </w:pPr>
            <w:r w:rsidRPr="00BC03AA">
              <w:rPr>
                <w:rFonts w:ascii="Arial" w:hAnsi="Arial" w:cs="Arial"/>
                <w:sz w:val="22"/>
                <w:szCs w:val="22"/>
              </w:rPr>
              <w:t>A key challenge in care homes is having enough staff and keeping experienced workers. Skills for Care reported that the vacancy rate in adult social care in England in 2024/25 was 7%, which is around 111,000 vacant posts. (Skills for Care, 2025) Care homes also experience turnover, meaning residents may see new staff frequently. This matters because older residents often need staff who know their preferences, communication needs (especially with dementia), and early warning signs of decline. When teams are short-staffed, care can become rushed and person-centred support may reduce. (CQC, 2025)</w:t>
            </w:r>
          </w:p>
          <w:p w14:paraId="1C9DA742" w14:textId="77777777" w:rsidR="00BC03AA" w:rsidRDefault="00BC03AA" w:rsidP="00BC03AA">
            <w:pPr>
              <w:rPr>
                <w:rFonts w:ascii="Arial" w:hAnsi="Arial" w:cs="Arial"/>
                <w:sz w:val="22"/>
                <w:szCs w:val="22"/>
              </w:rPr>
            </w:pPr>
            <w:r w:rsidRPr="00BC03AA">
              <w:rPr>
                <w:rFonts w:ascii="Arial" w:hAnsi="Arial" w:cs="Arial"/>
                <w:sz w:val="22"/>
                <w:szCs w:val="22"/>
              </w:rPr>
              <w:t>However, workforce figures are national averages and can hide local differences. Some areas may struggle more than others, which can affect access and quality. (Skills for Care, 2025; CQC, 2025)</w:t>
            </w:r>
          </w:p>
          <w:p w14:paraId="33220E0C" w14:textId="53DF4483" w:rsidR="00BC03AA" w:rsidRPr="00BC03AA" w:rsidRDefault="00BC03AA" w:rsidP="00BC03AA">
            <w:pPr>
              <w:rPr>
                <w:rFonts w:ascii="Arial" w:hAnsi="Arial" w:cs="Arial"/>
                <w:b/>
                <w:bCs/>
                <w:sz w:val="22"/>
                <w:szCs w:val="22"/>
              </w:rPr>
            </w:pPr>
            <w:r w:rsidRPr="00BC03AA">
              <w:rPr>
                <w:rFonts w:ascii="Arial" w:hAnsi="Arial" w:cs="Arial"/>
                <w:b/>
                <w:bCs/>
                <w:sz w:val="22"/>
                <w:szCs w:val="22"/>
              </w:rPr>
              <w:t>FACT BOX</w:t>
            </w:r>
          </w:p>
          <w:p w14:paraId="66093899" w14:textId="26995BF0" w:rsidR="00BC03AA" w:rsidRPr="00BC03AA" w:rsidRDefault="00BC03AA" w:rsidP="00BC03AA">
            <w:pPr>
              <w:pStyle w:val="ListParagraph"/>
              <w:numPr>
                <w:ilvl w:val="0"/>
                <w:numId w:val="2"/>
              </w:numPr>
              <w:rPr>
                <w:rFonts w:ascii="Arial" w:hAnsi="Arial" w:cs="Arial"/>
                <w:sz w:val="22"/>
                <w:szCs w:val="22"/>
              </w:rPr>
            </w:pPr>
            <w:r w:rsidRPr="00BC03AA">
              <w:rPr>
                <w:rFonts w:ascii="Arial" w:hAnsi="Arial" w:cs="Arial"/>
                <w:sz w:val="22"/>
                <w:szCs w:val="22"/>
              </w:rPr>
              <w:t>Adult social care vacancy rate 2024/25: 7% (≈ 111,000 vacancies) (Skills for Care, 2025)</w:t>
            </w:r>
          </w:p>
          <w:p w14:paraId="0ACD44BD" w14:textId="32B360FA" w:rsidR="00BC03AA" w:rsidRPr="00BC03AA" w:rsidRDefault="00BC03AA" w:rsidP="00BC03AA">
            <w:pPr>
              <w:pStyle w:val="ListParagraph"/>
              <w:numPr>
                <w:ilvl w:val="0"/>
                <w:numId w:val="2"/>
              </w:numPr>
              <w:rPr>
                <w:rFonts w:ascii="Arial" w:hAnsi="Arial" w:cs="Arial"/>
                <w:sz w:val="22"/>
                <w:szCs w:val="22"/>
              </w:rPr>
            </w:pPr>
            <w:r w:rsidRPr="00BC03AA">
              <w:rPr>
                <w:rFonts w:ascii="Arial" w:hAnsi="Arial" w:cs="Arial"/>
                <w:sz w:val="22"/>
                <w:szCs w:val="22"/>
              </w:rPr>
              <w:t>Care homes: staffing pressures and turnover highlighted as risks for quality and continuity (CQC, 2025)</w:t>
            </w:r>
          </w:p>
          <w:p w14:paraId="32F748C8" w14:textId="77777777" w:rsidR="00BC03AA" w:rsidRPr="00BC03AA" w:rsidRDefault="00BC03AA" w:rsidP="00BC03AA">
            <w:pPr>
              <w:rPr>
                <w:rFonts w:ascii="Arial" w:hAnsi="Arial" w:cs="Arial"/>
                <w:sz w:val="22"/>
                <w:szCs w:val="22"/>
              </w:rPr>
            </w:pPr>
          </w:p>
          <w:p w14:paraId="1676EA3C" w14:textId="045C4503" w:rsidR="00BC03AA" w:rsidRDefault="00BC03AA" w:rsidP="00455009">
            <w:pPr>
              <w:rPr>
                <w:rFonts w:ascii="Arial" w:hAnsi="Arial" w:cs="Arial"/>
                <w:sz w:val="22"/>
                <w:szCs w:val="22"/>
              </w:rPr>
            </w:pPr>
          </w:p>
        </w:tc>
        <w:tc>
          <w:tcPr>
            <w:tcW w:w="6350" w:type="dxa"/>
          </w:tcPr>
          <w:p w14:paraId="67AEA72C" w14:textId="77777777" w:rsidR="00455009" w:rsidRDefault="00455009" w:rsidP="00455009">
            <w:pPr>
              <w:rPr>
                <w:rFonts w:ascii="Arial" w:hAnsi="Arial" w:cs="Arial"/>
                <w:b/>
                <w:bCs/>
                <w:sz w:val="22"/>
                <w:szCs w:val="22"/>
              </w:rPr>
            </w:pPr>
            <w:r w:rsidRPr="004F78AC">
              <w:rPr>
                <w:rFonts w:ascii="Arial" w:hAnsi="Arial" w:cs="Arial"/>
                <w:b/>
                <w:bCs/>
                <w:sz w:val="22"/>
                <w:szCs w:val="22"/>
              </w:rPr>
              <w:t>Challenge 2: Funding/sustainability</w:t>
            </w:r>
          </w:p>
          <w:p w14:paraId="77548B25" w14:textId="77777777" w:rsidR="004F78AC" w:rsidRPr="004F78AC" w:rsidRDefault="004F78AC" w:rsidP="00455009">
            <w:pPr>
              <w:rPr>
                <w:rFonts w:ascii="Arial" w:hAnsi="Arial" w:cs="Arial"/>
                <w:b/>
                <w:bCs/>
                <w:sz w:val="22"/>
                <w:szCs w:val="22"/>
              </w:rPr>
            </w:pPr>
          </w:p>
          <w:p w14:paraId="7D6999E0" w14:textId="77777777" w:rsidR="00BC03AA" w:rsidRPr="00BC03AA" w:rsidRDefault="00BC03AA" w:rsidP="00BC03AA">
            <w:pPr>
              <w:rPr>
                <w:rFonts w:ascii="Arial" w:hAnsi="Arial" w:cs="Arial"/>
                <w:sz w:val="22"/>
                <w:szCs w:val="22"/>
              </w:rPr>
            </w:pPr>
            <w:r w:rsidRPr="00BC03AA">
              <w:rPr>
                <w:rFonts w:ascii="Arial" w:hAnsi="Arial" w:cs="Arial"/>
                <w:sz w:val="22"/>
                <w:szCs w:val="22"/>
              </w:rPr>
              <w:t>Care homes sit within a wider adult social care system that is mainly funded and commissioned through local authorities, and this can vary between regions. The King’s Fund reported that local authority expenditure on adult social care in England in 2023/24 was about £32 billion. (The King’s Fund, 2025) Funding pressure can influence availability of placements, provider stability, and the ability to invest in staff training and quality improvement. For families, this can reduce choice and create stress when needs are complex (frailty/dementia) and support is needed quickly. (House of Commons Library, 2025; NHS, 2023)</w:t>
            </w:r>
          </w:p>
          <w:p w14:paraId="57413350" w14:textId="77777777" w:rsidR="00BC03AA" w:rsidRDefault="00BC03AA" w:rsidP="00BC03AA">
            <w:pPr>
              <w:rPr>
                <w:rFonts w:ascii="Arial" w:hAnsi="Arial" w:cs="Arial"/>
                <w:sz w:val="22"/>
                <w:szCs w:val="22"/>
              </w:rPr>
            </w:pPr>
            <w:r w:rsidRPr="00BC03AA">
              <w:rPr>
                <w:rFonts w:ascii="Arial" w:hAnsi="Arial" w:cs="Arial"/>
                <w:sz w:val="22"/>
                <w:szCs w:val="22"/>
              </w:rPr>
              <w:t>However, more money alone may not improve outcomes unless it is linked to workforce development, leadership and integrated working with NHS teams to support residents proactively. (NHS England, 2023)</w:t>
            </w:r>
          </w:p>
          <w:p w14:paraId="01C6763A" w14:textId="77777777" w:rsidR="004F78AC" w:rsidRDefault="004F78AC" w:rsidP="00BC03AA">
            <w:pPr>
              <w:rPr>
                <w:rFonts w:ascii="Arial" w:hAnsi="Arial" w:cs="Arial"/>
                <w:b/>
                <w:bCs/>
                <w:sz w:val="22"/>
                <w:szCs w:val="22"/>
              </w:rPr>
            </w:pPr>
          </w:p>
          <w:p w14:paraId="5F622D75" w14:textId="016B05B4" w:rsidR="00BC03AA" w:rsidRDefault="00BC03AA" w:rsidP="00BC03AA">
            <w:pPr>
              <w:rPr>
                <w:rFonts w:ascii="Arial" w:hAnsi="Arial" w:cs="Arial"/>
                <w:b/>
                <w:bCs/>
                <w:sz w:val="22"/>
                <w:szCs w:val="22"/>
              </w:rPr>
            </w:pPr>
            <w:r w:rsidRPr="00BC03AA">
              <w:rPr>
                <w:rFonts w:ascii="Arial" w:hAnsi="Arial" w:cs="Arial"/>
                <w:b/>
                <w:bCs/>
                <w:sz w:val="22"/>
                <w:szCs w:val="22"/>
              </w:rPr>
              <w:t>FACT BOX</w:t>
            </w:r>
          </w:p>
          <w:p w14:paraId="79442EB9" w14:textId="6DC0B8C2" w:rsidR="00BC03AA" w:rsidRPr="00BC03AA" w:rsidRDefault="00BC03AA" w:rsidP="00BC03AA">
            <w:pPr>
              <w:pStyle w:val="ListParagraph"/>
              <w:numPr>
                <w:ilvl w:val="0"/>
                <w:numId w:val="3"/>
              </w:numPr>
              <w:rPr>
                <w:rFonts w:ascii="Arial" w:hAnsi="Arial" w:cs="Arial"/>
                <w:sz w:val="22"/>
                <w:szCs w:val="22"/>
              </w:rPr>
            </w:pPr>
            <w:r w:rsidRPr="00BC03AA">
              <w:rPr>
                <w:rFonts w:ascii="Arial" w:hAnsi="Arial" w:cs="Arial"/>
                <w:sz w:val="22"/>
                <w:szCs w:val="22"/>
              </w:rPr>
              <w:t>LA adult social care expenditure (England) 2023/24: £32bn (The King’s Fund, 2025)</w:t>
            </w:r>
          </w:p>
          <w:p w14:paraId="4DFF4CBB" w14:textId="77777777" w:rsidR="00BC03AA" w:rsidRPr="00BC03AA" w:rsidRDefault="00BC03AA" w:rsidP="00BC03AA">
            <w:pPr>
              <w:rPr>
                <w:rFonts w:ascii="Arial" w:hAnsi="Arial" w:cs="Arial"/>
                <w:sz w:val="22"/>
                <w:szCs w:val="22"/>
              </w:rPr>
            </w:pPr>
          </w:p>
          <w:p w14:paraId="6B04CE78" w14:textId="08FA1069" w:rsidR="00BC03AA" w:rsidRDefault="00BC03AA" w:rsidP="00455009">
            <w:pPr>
              <w:rPr>
                <w:rFonts w:ascii="Arial" w:hAnsi="Arial" w:cs="Arial"/>
                <w:sz w:val="22"/>
                <w:szCs w:val="22"/>
              </w:rPr>
            </w:pPr>
          </w:p>
        </w:tc>
      </w:tr>
    </w:tbl>
    <w:p w14:paraId="54008176" w14:textId="4A122AE1" w:rsidR="008610CF" w:rsidRDefault="0052076B">
      <w:pPr>
        <w:rPr>
          <w:rFonts w:ascii="Arial" w:hAnsi="Arial" w:cs="Arial"/>
          <w:sz w:val="22"/>
          <w:szCs w:val="22"/>
        </w:rPr>
      </w:pPr>
      <w:r>
        <w:rPr>
          <w:rFonts w:ascii="Arial" w:hAnsi="Arial" w:cs="Arial"/>
          <w:sz w:val="22"/>
          <w:szCs w:val="22"/>
        </w:rPr>
        <w:t xml:space="preserve"> </w:t>
      </w:r>
    </w:p>
    <w:p w14:paraId="35B7E411" w14:textId="77777777" w:rsidR="00995A55" w:rsidRDefault="00995A55" w:rsidP="00995A55">
      <w:pPr>
        <w:rPr>
          <w:rFonts w:ascii="Arial" w:hAnsi="Arial" w:cs="Arial"/>
          <w:b/>
          <w:bCs/>
          <w:sz w:val="22"/>
          <w:szCs w:val="22"/>
        </w:rPr>
      </w:pPr>
    </w:p>
    <w:p w14:paraId="37DE7859" w14:textId="77777777" w:rsidR="006E13A8" w:rsidRDefault="006E13A8" w:rsidP="00995A55">
      <w:pPr>
        <w:rPr>
          <w:rFonts w:ascii="Arial" w:hAnsi="Arial" w:cs="Arial"/>
          <w:b/>
          <w:bCs/>
          <w:sz w:val="22"/>
          <w:szCs w:val="22"/>
        </w:rPr>
      </w:pPr>
    </w:p>
    <w:p w14:paraId="78A24CAF" w14:textId="77777777" w:rsidR="006E13A8" w:rsidRDefault="006E13A8" w:rsidP="00995A55">
      <w:pPr>
        <w:rPr>
          <w:rFonts w:ascii="Arial" w:hAnsi="Arial" w:cs="Arial"/>
          <w:b/>
          <w:bCs/>
          <w:sz w:val="22"/>
          <w:szCs w:val="22"/>
        </w:rPr>
      </w:pPr>
    </w:p>
    <w:p w14:paraId="0533EA08" w14:textId="77777777" w:rsidR="006E13A8" w:rsidRDefault="006E13A8" w:rsidP="00995A55">
      <w:pPr>
        <w:rPr>
          <w:rFonts w:ascii="Arial" w:hAnsi="Arial" w:cs="Arial"/>
          <w:b/>
          <w:bCs/>
          <w:sz w:val="22"/>
          <w:szCs w:val="22"/>
        </w:rPr>
      </w:pPr>
    </w:p>
    <w:p w14:paraId="7E32B062" w14:textId="77777777" w:rsidR="006E13A8" w:rsidRDefault="006E13A8" w:rsidP="00995A55">
      <w:pPr>
        <w:rPr>
          <w:rFonts w:ascii="Arial" w:hAnsi="Arial" w:cs="Arial"/>
          <w:b/>
          <w:bCs/>
          <w:sz w:val="22"/>
          <w:szCs w:val="22"/>
        </w:rPr>
      </w:pPr>
    </w:p>
    <w:p w14:paraId="61581A83" w14:textId="77777777" w:rsidR="006E13A8" w:rsidRDefault="006E13A8" w:rsidP="00995A55">
      <w:pPr>
        <w:rPr>
          <w:rFonts w:ascii="Arial" w:hAnsi="Arial" w:cs="Arial"/>
          <w:b/>
          <w:bCs/>
          <w:sz w:val="22"/>
          <w:szCs w:val="22"/>
        </w:rPr>
      </w:pPr>
    </w:p>
    <w:p w14:paraId="27CF6388" w14:textId="77777777" w:rsidR="006E13A8" w:rsidRDefault="006E13A8" w:rsidP="00995A55">
      <w:pPr>
        <w:rPr>
          <w:rFonts w:ascii="Arial" w:hAnsi="Arial" w:cs="Arial"/>
          <w:b/>
          <w:bCs/>
          <w:sz w:val="22"/>
          <w:szCs w:val="22"/>
        </w:rPr>
      </w:pPr>
    </w:p>
    <w:p w14:paraId="14838F0E" w14:textId="77777777" w:rsidR="004F78AC" w:rsidRDefault="004F78AC" w:rsidP="00960020">
      <w:pPr>
        <w:rPr>
          <w:rFonts w:ascii="Arial" w:hAnsi="Arial" w:cs="Arial"/>
          <w:b/>
          <w:bCs/>
          <w:sz w:val="22"/>
          <w:szCs w:val="22"/>
        </w:rPr>
      </w:pPr>
    </w:p>
    <w:p w14:paraId="61869450" w14:textId="24C1D79F" w:rsidR="00995A55" w:rsidRDefault="004F78AC" w:rsidP="00DA226B">
      <w:pPr>
        <w:jc w:val="center"/>
        <w:rPr>
          <w:rStyle w:val="IntenseReference"/>
          <w:sz w:val="40"/>
          <w:szCs w:val="40"/>
        </w:rPr>
      </w:pPr>
      <w:r w:rsidRPr="004F78AC">
        <w:rPr>
          <w:rStyle w:val="IntenseReference"/>
          <w:sz w:val="40"/>
          <w:szCs w:val="40"/>
        </w:rPr>
        <w:lastRenderedPageBreak/>
        <w:t xml:space="preserve">Task 2: </w:t>
      </w:r>
      <w:r w:rsidR="00960020" w:rsidRPr="004F78AC">
        <w:rPr>
          <w:rStyle w:val="IntenseReference"/>
          <w:sz w:val="40"/>
          <w:szCs w:val="40"/>
        </w:rPr>
        <w:t>P</w:t>
      </w:r>
      <w:r w:rsidR="00995A55" w:rsidRPr="004F78AC">
        <w:rPr>
          <w:rStyle w:val="IntenseReference"/>
          <w:sz w:val="40"/>
          <w:szCs w:val="40"/>
        </w:rPr>
        <w:t>harmacy services (community pharmacy)</w:t>
      </w:r>
    </w:p>
    <w:p w14:paraId="45828220" w14:textId="77777777" w:rsidR="00DA226B" w:rsidRPr="004F78AC" w:rsidRDefault="00DA226B" w:rsidP="00DA226B">
      <w:pPr>
        <w:jc w:val="center"/>
        <w:rPr>
          <w:rStyle w:val="IntenseReference"/>
          <w:sz w:val="40"/>
          <w:szCs w:val="40"/>
        </w:rPr>
      </w:pPr>
    </w:p>
    <w:p w14:paraId="2E735330"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Pharmacy services in England are an important part of primary care because they provide quick access to medicines and health advice in the community. This essay outlines the origins of community pharmacy, explains how the service works today, and evaluates how it can influence service users’ quality of life.</w:t>
      </w:r>
    </w:p>
    <w:p w14:paraId="194B2CBC"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Community pharmacy in Great Britain developed gradually as the profession became more organised and regulated. The Royal Pharmaceutical Society, founded in 1841, supported improvements in training and professional standards, helping pharmacy become a recognised healthcare profession rather than only a retail service. Over time, pharmacies became a common place for people to ask for advice because they are local and easy to access. After the NHS began in 1948, dispensing prescriptions through community pharmacies became part of everyday healthcare, increasing the importance of pharmacists’ medicines knowledge and their role in supporting safe medicine use. (Royal Pharmaceutical Society, n.d.; Anderson, 2007; The Pharmaceutical Journal, 2018)</w:t>
      </w:r>
    </w:p>
    <w:p w14:paraId="73FFE908"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Today, community pharmacy provides more than dispensing. NHS-commissioned services aim to help people get timely support for common conditions and medicines queries. Pharmacy First, launched on 31 January 2024, allows patients to be assessed and treated for seven common conditions in a community pharmacy using set clinical pathways. This builds on the NHS Community Pharmacist Consultation Service (CPCS), commissioned from 29 October 2019, which routes some minor illness and urgent medicines supply requests to pharmacists. Pharmacies also provide structured medicines support, such as the New Medicine Service (NMS), offering follow-up to help patients understand and use newly prescribed medicines correctly. Delivery is shaped by the Community Pharmacy Contractual Framework (CPCF), which sets funding and priorities and affects capacity. (NHS England, 2019; NHS England, 2024; NHS England, 2025; UK Government/DHSC, 2025)</w:t>
      </w:r>
    </w:p>
    <w:p w14:paraId="3B9BD5B6"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A key strength of pharmacy services is access. Community pharmacies are widely available and often easier to reach than a GP appointment, so they can support people quickly for minor illness and urgent medicine needs. Another strength is medicines optimisation. NICE explains that safe and effective medicine use involves patient-centred discussions, medication review and reducing avoidable harm. Services like NMS support this by helping patients manage side effects and improve adherence, especially in long-term conditions. (NHS England, 2024; NHS England, 2025; NICE, 2015)</w:t>
      </w:r>
    </w:p>
    <w:p w14:paraId="6462800E"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However, delivery can vary depending on staffing, workload and local organisation. If a pharmacy is short-staffed or very busy, there may be less time for consultations, follow-up, and detailed medicines support, which can reduce the benefit of services that rely on communication and review. There can also be limits linked to how smoothly pharmacies can share information with GP practices and other NHS services; if records and referrals are delayed, continuity of care can suffer. (NHS England, 2024; NICE, 2015)</w:t>
      </w:r>
    </w:p>
    <w:p w14:paraId="31D78A3B"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 xml:space="preserve">Pharmacy services can improve quality of life in practical ways. Faster access to advice and treatment can reduce stress and disruption for service users, especially when other appointments are hard to get. Better </w:t>
      </w:r>
      <w:r w:rsidRPr="00D51733">
        <w:rPr>
          <w:rFonts w:ascii="Arial" w:hAnsi="Arial" w:cs="Arial"/>
          <w:sz w:val="22"/>
          <w:szCs w:val="22"/>
        </w:rPr>
        <w:lastRenderedPageBreak/>
        <w:t>medicines support can improve day-to-day wellbeing by helping people use medicines safely and feel more confident managing their health. For some patients, early support can prevent problems from getting worse and may reduce avoidable contact with urgent care. (NHS England, 2024; NHS England, 2025; NICE, 2015)</w:t>
      </w:r>
    </w:p>
    <w:p w14:paraId="34DEB78D" w14:textId="77777777" w:rsidR="00D51733" w:rsidRPr="00D51733" w:rsidRDefault="00D51733" w:rsidP="00960020">
      <w:pPr>
        <w:spacing w:line="360" w:lineRule="auto"/>
        <w:rPr>
          <w:rFonts w:ascii="Arial" w:hAnsi="Arial" w:cs="Arial"/>
          <w:sz w:val="22"/>
          <w:szCs w:val="22"/>
        </w:rPr>
      </w:pPr>
      <w:r w:rsidRPr="00D51733">
        <w:rPr>
          <w:rFonts w:ascii="Arial" w:hAnsi="Arial" w:cs="Arial"/>
          <w:sz w:val="22"/>
          <w:szCs w:val="22"/>
        </w:rPr>
        <w:t>In conclusion, community pharmacy has evolved from a focus on medicine supply into a wider primary care service supporting access, advice and safer medicines use. Services such as Pharmacy First and NMS can improve access and medicines optimisation, but impact depends on capacity, consistent delivery and good links with other services. (NHS England, 2024; NICE, 2015; UK Government/DHSC, 2025)</w:t>
      </w:r>
    </w:p>
    <w:p w14:paraId="1293FBDA" w14:textId="77777777" w:rsidR="004F78AC" w:rsidRDefault="004F78AC" w:rsidP="004F78AC">
      <w:pPr>
        <w:rPr>
          <w:rFonts w:ascii="Arial" w:hAnsi="Arial" w:cs="Arial"/>
          <w:b/>
          <w:bCs/>
          <w:sz w:val="22"/>
          <w:szCs w:val="22"/>
        </w:rPr>
      </w:pPr>
    </w:p>
    <w:p w14:paraId="54F1D02D" w14:textId="77777777" w:rsidR="004F78AC" w:rsidRDefault="004F78AC" w:rsidP="004F78AC">
      <w:pPr>
        <w:rPr>
          <w:rFonts w:ascii="Arial" w:hAnsi="Arial" w:cs="Arial"/>
          <w:b/>
          <w:bCs/>
          <w:sz w:val="22"/>
          <w:szCs w:val="22"/>
        </w:rPr>
      </w:pPr>
    </w:p>
    <w:p w14:paraId="459B43AA" w14:textId="77777777" w:rsidR="004F78AC" w:rsidRDefault="004F78AC" w:rsidP="004F78AC">
      <w:pPr>
        <w:rPr>
          <w:rFonts w:ascii="Arial" w:hAnsi="Arial" w:cs="Arial"/>
          <w:b/>
          <w:bCs/>
          <w:sz w:val="22"/>
          <w:szCs w:val="22"/>
        </w:rPr>
      </w:pPr>
    </w:p>
    <w:p w14:paraId="6E0B1261" w14:textId="77777777" w:rsidR="004F78AC" w:rsidRDefault="004F78AC" w:rsidP="004F78AC">
      <w:pPr>
        <w:rPr>
          <w:rFonts w:ascii="Arial" w:hAnsi="Arial" w:cs="Arial"/>
          <w:b/>
          <w:bCs/>
          <w:sz w:val="22"/>
          <w:szCs w:val="22"/>
        </w:rPr>
      </w:pPr>
    </w:p>
    <w:p w14:paraId="0958FFDB" w14:textId="77777777" w:rsidR="004F78AC" w:rsidRDefault="004F78AC" w:rsidP="004F78AC">
      <w:pPr>
        <w:rPr>
          <w:rFonts w:ascii="Arial" w:hAnsi="Arial" w:cs="Arial"/>
          <w:b/>
          <w:bCs/>
          <w:sz w:val="22"/>
          <w:szCs w:val="22"/>
        </w:rPr>
      </w:pPr>
    </w:p>
    <w:p w14:paraId="095608FD" w14:textId="77777777" w:rsidR="004F78AC" w:rsidRDefault="004F78AC" w:rsidP="004F78AC">
      <w:pPr>
        <w:rPr>
          <w:rFonts w:ascii="Arial" w:hAnsi="Arial" w:cs="Arial"/>
          <w:b/>
          <w:bCs/>
          <w:sz w:val="22"/>
          <w:szCs w:val="22"/>
        </w:rPr>
      </w:pPr>
    </w:p>
    <w:p w14:paraId="4EA02B63" w14:textId="77777777" w:rsidR="004F78AC" w:rsidRDefault="004F78AC" w:rsidP="004F78AC">
      <w:pPr>
        <w:rPr>
          <w:rFonts w:ascii="Arial" w:hAnsi="Arial" w:cs="Arial"/>
          <w:b/>
          <w:bCs/>
          <w:sz w:val="22"/>
          <w:szCs w:val="22"/>
        </w:rPr>
      </w:pPr>
    </w:p>
    <w:p w14:paraId="23F3C122" w14:textId="77777777" w:rsidR="004F78AC" w:rsidRDefault="004F78AC" w:rsidP="004F78AC">
      <w:pPr>
        <w:rPr>
          <w:rFonts w:ascii="Arial" w:hAnsi="Arial" w:cs="Arial"/>
          <w:b/>
          <w:bCs/>
          <w:sz w:val="22"/>
          <w:szCs w:val="22"/>
        </w:rPr>
      </w:pPr>
    </w:p>
    <w:p w14:paraId="49142018" w14:textId="77777777" w:rsidR="004F78AC" w:rsidRDefault="004F78AC" w:rsidP="004F78AC">
      <w:pPr>
        <w:rPr>
          <w:rFonts w:ascii="Arial" w:hAnsi="Arial" w:cs="Arial"/>
          <w:b/>
          <w:bCs/>
          <w:sz w:val="22"/>
          <w:szCs w:val="22"/>
        </w:rPr>
      </w:pPr>
    </w:p>
    <w:p w14:paraId="7D6F09E0" w14:textId="77777777" w:rsidR="004F78AC" w:rsidRDefault="004F78AC" w:rsidP="004F78AC">
      <w:pPr>
        <w:rPr>
          <w:rFonts w:ascii="Arial" w:hAnsi="Arial" w:cs="Arial"/>
          <w:b/>
          <w:bCs/>
          <w:sz w:val="22"/>
          <w:szCs w:val="22"/>
        </w:rPr>
      </w:pPr>
    </w:p>
    <w:p w14:paraId="1291B011" w14:textId="77777777" w:rsidR="004F78AC" w:rsidRDefault="004F78AC" w:rsidP="004F78AC">
      <w:pPr>
        <w:rPr>
          <w:rFonts w:ascii="Arial" w:hAnsi="Arial" w:cs="Arial"/>
          <w:b/>
          <w:bCs/>
          <w:sz w:val="22"/>
          <w:szCs w:val="22"/>
        </w:rPr>
      </w:pPr>
    </w:p>
    <w:p w14:paraId="265A0B79" w14:textId="77777777" w:rsidR="004F78AC" w:rsidRDefault="004F78AC" w:rsidP="004F78AC">
      <w:pPr>
        <w:rPr>
          <w:rFonts w:ascii="Arial" w:hAnsi="Arial" w:cs="Arial"/>
          <w:b/>
          <w:bCs/>
          <w:sz w:val="22"/>
          <w:szCs w:val="22"/>
        </w:rPr>
      </w:pPr>
    </w:p>
    <w:p w14:paraId="55503187" w14:textId="77777777" w:rsidR="004F78AC" w:rsidRDefault="004F78AC" w:rsidP="004F78AC">
      <w:pPr>
        <w:rPr>
          <w:rFonts w:ascii="Arial" w:hAnsi="Arial" w:cs="Arial"/>
          <w:b/>
          <w:bCs/>
          <w:sz w:val="22"/>
          <w:szCs w:val="22"/>
        </w:rPr>
      </w:pPr>
    </w:p>
    <w:p w14:paraId="21DAC3E9" w14:textId="77777777" w:rsidR="004F78AC" w:rsidRDefault="004F78AC" w:rsidP="004F78AC">
      <w:pPr>
        <w:rPr>
          <w:rFonts w:ascii="Arial" w:hAnsi="Arial" w:cs="Arial"/>
          <w:b/>
          <w:bCs/>
          <w:sz w:val="22"/>
          <w:szCs w:val="22"/>
        </w:rPr>
      </w:pPr>
    </w:p>
    <w:p w14:paraId="20CB4098" w14:textId="77777777" w:rsidR="004F78AC" w:rsidRDefault="004F78AC" w:rsidP="004F78AC">
      <w:pPr>
        <w:rPr>
          <w:rFonts w:ascii="Arial" w:hAnsi="Arial" w:cs="Arial"/>
          <w:b/>
          <w:bCs/>
          <w:sz w:val="22"/>
          <w:szCs w:val="22"/>
        </w:rPr>
      </w:pPr>
    </w:p>
    <w:p w14:paraId="4904AFF3" w14:textId="77777777" w:rsidR="004F78AC" w:rsidRDefault="004F78AC" w:rsidP="004F78AC">
      <w:pPr>
        <w:rPr>
          <w:rFonts w:ascii="Arial" w:hAnsi="Arial" w:cs="Arial"/>
          <w:b/>
          <w:bCs/>
          <w:sz w:val="22"/>
          <w:szCs w:val="22"/>
        </w:rPr>
      </w:pPr>
    </w:p>
    <w:p w14:paraId="2503E1B0" w14:textId="77777777" w:rsidR="004F78AC" w:rsidRDefault="004F78AC" w:rsidP="004F78AC">
      <w:pPr>
        <w:rPr>
          <w:rFonts w:ascii="Arial" w:hAnsi="Arial" w:cs="Arial"/>
          <w:b/>
          <w:bCs/>
          <w:sz w:val="22"/>
          <w:szCs w:val="22"/>
        </w:rPr>
      </w:pPr>
    </w:p>
    <w:p w14:paraId="13574C84" w14:textId="77777777" w:rsidR="004F78AC" w:rsidRDefault="004F78AC" w:rsidP="004F78AC">
      <w:pPr>
        <w:rPr>
          <w:rFonts w:ascii="Arial" w:hAnsi="Arial" w:cs="Arial"/>
          <w:b/>
          <w:bCs/>
          <w:sz w:val="22"/>
          <w:szCs w:val="22"/>
        </w:rPr>
      </w:pPr>
    </w:p>
    <w:p w14:paraId="20B872C7" w14:textId="77777777" w:rsidR="004F78AC" w:rsidRDefault="004F78AC" w:rsidP="004F78AC">
      <w:pPr>
        <w:rPr>
          <w:rFonts w:ascii="Arial" w:hAnsi="Arial" w:cs="Arial"/>
          <w:b/>
          <w:bCs/>
          <w:sz w:val="22"/>
          <w:szCs w:val="22"/>
        </w:rPr>
      </w:pPr>
    </w:p>
    <w:p w14:paraId="39219304" w14:textId="77777777" w:rsidR="004F78AC" w:rsidRDefault="004F78AC" w:rsidP="004F78AC">
      <w:pPr>
        <w:rPr>
          <w:rFonts w:ascii="Arial" w:hAnsi="Arial" w:cs="Arial"/>
          <w:b/>
          <w:bCs/>
          <w:sz w:val="22"/>
          <w:szCs w:val="22"/>
        </w:rPr>
      </w:pPr>
    </w:p>
    <w:p w14:paraId="409F9908" w14:textId="77777777" w:rsidR="004F78AC" w:rsidRDefault="004F78AC" w:rsidP="004F78AC">
      <w:pPr>
        <w:rPr>
          <w:rFonts w:ascii="Arial" w:hAnsi="Arial" w:cs="Arial"/>
          <w:b/>
          <w:bCs/>
          <w:sz w:val="22"/>
          <w:szCs w:val="22"/>
        </w:rPr>
      </w:pPr>
    </w:p>
    <w:p w14:paraId="3A11336F" w14:textId="77777777" w:rsidR="004F78AC" w:rsidRDefault="004F78AC" w:rsidP="004F78AC">
      <w:pPr>
        <w:rPr>
          <w:rFonts w:ascii="Arial" w:hAnsi="Arial" w:cs="Arial"/>
          <w:b/>
          <w:bCs/>
          <w:sz w:val="22"/>
          <w:szCs w:val="22"/>
        </w:rPr>
      </w:pPr>
    </w:p>
    <w:p w14:paraId="2C8A11BC" w14:textId="77777777" w:rsidR="004F78AC" w:rsidRDefault="004F78AC" w:rsidP="004F78AC">
      <w:pPr>
        <w:rPr>
          <w:rFonts w:ascii="Arial" w:hAnsi="Arial" w:cs="Arial"/>
          <w:b/>
          <w:bCs/>
          <w:sz w:val="22"/>
          <w:szCs w:val="22"/>
        </w:rPr>
      </w:pPr>
    </w:p>
    <w:p w14:paraId="21006EDF" w14:textId="77777777" w:rsidR="004F78AC" w:rsidRDefault="004F78AC" w:rsidP="004F78AC">
      <w:pPr>
        <w:rPr>
          <w:rFonts w:ascii="Arial" w:hAnsi="Arial" w:cs="Arial"/>
          <w:b/>
          <w:bCs/>
          <w:sz w:val="22"/>
          <w:szCs w:val="22"/>
        </w:rPr>
      </w:pPr>
    </w:p>
    <w:p w14:paraId="204B2C4D" w14:textId="77777777" w:rsidR="004F78AC" w:rsidRDefault="004F78AC" w:rsidP="004F78AC">
      <w:pPr>
        <w:rPr>
          <w:rFonts w:ascii="Arial" w:hAnsi="Arial" w:cs="Arial"/>
          <w:b/>
          <w:bCs/>
          <w:sz w:val="22"/>
          <w:szCs w:val="22"/>
        </w:rPr>
      </w:pPr>
    </w:p>
    <w:p w14:paraId="3A8FE18B" w14:textId="77777777" w:rsidR="004F78AC" w:rsidRDefault="004F78AC" w:rsidP="004F78AC">
      <w:pPr>
        <w:rPr>
          <w:rFonts w:ascii="Arial" w:hAnsi="Arial" w:cs="Arial"/>
          <w:b/>
          <w:bCs/>
          <w:sz w:val="22"/>
          <w:szCs w:val="22"/>
        </w:rPr>
      </w:pPr>
    </w:p>
    <w:p w14:paraId="0A9D4424" w14:textId="77777777" w:rsidR="004F78AC" w:rsidRDefault="004F78AC" w:rsidP="004F78AC">
      <w:pPr>
        <w:rPr>
          <w:rFonts w:ascii="Arial" w:hAnsi="Arial" w:cs="Arial"/>
          <w:b/>
          <w:bCs/>
          <w:sz w:val="22"/>
          <w:szCs w:val="22"/>
        </w:rPr>
      </w:pPr>
    </w:p>
    <w:p w14:paraId="6F929D72" w14:textId="4E4BC80F" w:rsidR="006E13A8" w:rsidRPr="006E13A8" w:rsidRDefault="006E13A8" w:rsidP="004F78AC">
      <w:pPr>
        <w:jc w:val="center"/>
        <w:rPr>
          <w:rStyle w:val="IntenseReference"/>
          <w:sz w:val="40"/>
          <w:szCs w:val="40"/>
        </w:rPr>
      </w:pPr>
      <w:r w:rsidRPr="006E13A8">
        <w:rPr>
          <w:rStyle w:val="IntenseReference"/>
          <w:sz w:val="40"/>
          <w:szCs w:val="40"/>
        </w:rPr>
        <w:lastRenderedPageBreak/>
        <w:t>Reference list</w:t>
      </w:r>
    </w:p>
    <w:p w14:paraId="66AF01EB"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Anderson, S. (2007) ‘Community pharmacy and public health in Great Britain, 1936–2006: how a Phoenix rose from the ashes’, </w:t>
      </w:r>
      <w:r w:rsidRPr="006E13A8">
        <w:rPr>
          <w:rFonts w:ascii="Arial" w:hAnsi="Arial" w:cs="Arial"/>
          <w:b/>
          <w:bCs/>
          <w:i/>
          <w:iCs/>
          <w:sz w:val="22"/>
          <w:szCs w:val="22"/>
        </w:rPr>
        <w:t>Journal of Epidemiology and Community Health</w:t>
      </w:r>
      <w:r w:rsidRPr="006E13A8">
        <w:rPr>
          <w:rFonts w:ascii="Arial" w:hAnsi="Arial" w:cs="Arial"/>
          <w:b/>
          <w:bCs/>
          <w:sz w:val="22"/>
          <w:szCs w:val="22"/>
        </w:rPr>
        <w:t xml:space="preserve">, 61(10), pp. 844–848. Available at: </w:t>
      </w:r>
      <w:hyperlink r:id="rId8" w:tgtFrame="_new" w:history="1">
        <w:r w:rsidRPr="006E13A8">
          <w:rPr>
            <w:rStyle w:val="Hyperlink"/>
            <w:rFonts w:ascii="Arial" w:hAnsi="Arial" w:cs="Arial"/>
            <w:b/>
            <w:bCs/>
            <w:sz w:val="22"/>
            <w:szCs w:val="22"/>
          </w:rPr>
          <w:t>https://pmc.ncbi.nlm.nih.gov/articles/PMC2652958/</w:t>
        </w:r>
      </w:hyperlink>
      <w:r w:rsidRPr="006E13A8">
        <w:rPr>
          <w:rFonts w:ascii="Arial" w:hAnsi="Arial" w:cs="Arial"/>
          <w:b/>
          <w:bCs/>
          <w:sz w:val="22"/>
          <w:szCs w:val="22"/>
        </w:rPr>
        <w:t xml:space="preserve"> (Accessed: 20 February 2026).</w:t>
      </w:r>
    </w:p>
    <w:p w14:paraId="62E9769A"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Care Quality Commission (CQC) (2025) </w:t>
      </w:r>
      <w:r w:rsidRPr="006E13A8">
        <w:rPr>
          <w:rFonts w:ascii="Arial" w:hAnsi="Arial" w:cs="Arial"/>
          <w:b/>
          <w:bCs/>
          <w:i/>
          <w:iCs/>
          <w:sz w:val="22"/>
          <w:szCs w:val="22"/>
        </w:rPr>
        <w:t>The state of health care and adult social care in England 2024/25: Adult social care</w:t>
      </w:r>
      <w:r w:rsidRPr="006E13A8">
        <w:rPr>
          <w:rFonts w:ascii="Arial" w:hAnsi="Arial" w:cs="Arial"/>
          <w:b/>
          <w:bCs/>
          <w:sz w:val="22"/>
          <w:szCs w:val="22"/>
        </w:rPr>
        <w:t xml:space="preserve">. Available at: </w:t>
      </w:r>
      <w:hyperlink r:id="rId9" w:tgtFrame="_new" w:history="1">
        <w:r w:rsidRPr="006E13A8">
          <w:rPr>
            <w:rStyle w:val="Hyperlink"/>
            <w:rFonts w:ascii="Arial" w:hAnsi="Arial" w:cs="Arial"/>
            <w:b/>
            <w:bCs/>
            <w:sz w:val="22"/>
            <w:szCs w:val="22"/>
          </w:rPr>
          <w:t>https://www.cqc.org.uk/publications/major-report/state-care/2024-2025/access/asc</w:t>
        </w:r>
      </w:hyperlink>
      <w:r w:rsidRPr="006E13A8">
        <w:rPr>
          <w:rFonts w:ascii="Arial" w:hAnsi="Arial" w:cs="Arial"/>
          <w:b/>
          <w:bCs/>
          <w:sz w:val="22"/>
          <w:szCs w:val="22"/>
        </w:rPr>
        <w:t xml:space="preserve"> (Accessed: 20 February 2026).</w:t>
      </w:r>
    </w:p>
    <w:p w14:paraId="3177D0CE"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Care Quality Commission (CQC) (2026) </w:t>
      </w:r>
      <w:r w:rsidRPr="006E13A8">
        <w:rPr>
          <w:rFonts w:ascii="Arial" w:hAnsi="Arial" w:cs="Arial"/>
          <w:b/>
          <w:bCs/>
          <w:i/>
          <w:iCs/>
          <w:sz w:val="22"/>
          <w:szCs w:val="22"/>
        </w:rPr>
        <w:t>The 5 key questions we ask</w:t>
      </w:r>
      <w:r w:rsidRPr="006E13A8">
        <w:rPr>
          <w:rFonts w:ascii="Arial" w:hAnsi="Arial" w:cs="Arial"/>
          <w:b/>
          <w:bCs/>
          <w:sz w:val="22"/>
          <w:szCs w:val="22"/>
        </w:rPr>
        <w:t xml:space="preserve">. Available at: </w:t>
      </w:r>
      <w:hyperlink r:id="rId10" w:tgtFrame="_new" w:history="1">
        <w:r w:rsidRPr="006E13A8">
          <w:rPr>
            <w:rStyle w:val="Hyperlink"/>
            <w:rFonts w:ascii="Arial" w:hAnsi="Arial" w:cs="Arial"/>
            <w:b/>
            <w:bCs/>
            <w:sz w:val="22"/>
            <w:szCs w:val="22"/>
          </w:rPr>
          <w:t>https://www.cqc.org.uk/about-us/how-we-do-our-job/the-5-key-questions-we-ask</w:t>
        </w:r>
      </w:hyperlink>
      <w:r w:rsidRPr="006E13A8">
        <w:rPr>
          <w:rFonts w:ascii="Arial" w:hAnsi="Arial" w:cs="Arial"/>
          <w:b/>
          <w:bCs/>
          <w:sz w:val="22"/>
          <w:szCs w:val="22"/>
        </w:rPr>
        <w:t xml:space="preserve"> (Accessed: 20 February 2026).</w:t>
      </w:r>
    </w:p>
    <w:p w14:paraId="5C924706"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House of Commons Library (2025) </w:t>
      </w:r>
      <w:r w:rsidRPr="006E13A8">
        <w:rPr>
          <w:rFonts w:ascii="Arial" w:hAnsi="Arial" w:cs="Arial"/>
          <w:b/>
          <w:bCs/>
          <w:i/>
          <w:iCs/>
          <w:sz w:val="22"/>
          <w:szCs w:val="22"/>
        </w:rPr>
        <w:t>Adult social care funding in England</w:t>
      </w:r>
      <w:r w:rsidRPr="006E13A8">
        <w:rPr>
          <w:rFonts w:ascii="Arial" w:hAnsi="Arial" w:cs="Arial"/>
          <w:b/>
          <w:bCs/>
          <w:sz w:val="22"/>
          <w:szCs w:val="22"/>
        </w:rPr>
        <w:t xml:space="preserve"> (Briefing Paper CBP-7903). Available at: </w:t>
      </w:r>
      <w:hyperlink r:id="rId11" w:tgtFrame="_new" w:history="1">
        <w:r w:rsidRPr="006E13A8">
          <w:rPr>
            <w:rStyle w:val="Hyperlink"/>
            <w:rFonts w:ascii="Arial" w:hAnsi="Arial" w:cs="Arial"/>
            <w:b/>
            <w:bCs/>
            <w:sz w:val="22"/>
            <w:szCs w:val="22"/>
          </w:rPr>
          <w:t>https://commonslibrary.parliament.uk/research-briefings/cbp-7903/</w:t>
        </w:r>
      </w:hyperlink>
      <w:r w:rsidRPr="006E13A8">
        <w:rPr>
          <w:rFonts w:ascii="Arial" w:hAnsi="Arial" w:cs="Arial"/>
          <w:b/>
          <w:bCs/>
          <w:sz w:val="22"/>
          <w:szCs w:val="22"/>
        </w:rPr>
        <w:t xml:space="preserve"> (Accessed: 20 February 2026).</w:t>
      </w:r>
    </w:p>
    <w:p w14:paraId="72BBA95D"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NHS (2023) </w:t>
      </w:r>
      <w:r w:rsidRPr="006E13A8">
        <w:rPr>
          <w:rFonts w:ascii="Arial" w:hAnsi="Arial" w:cs="Arial"/>
          <w:b/>
          <w:bCs/>
          <w:i/>
          <w:iCs/>
          <w:sz w:val="22"/>
          <w:szCs w:val="22"/>
        </w:rPr>
        <w:t>Care homes</w:t>
      </w:r>
      <w:r w:rsidRPr="006E13A8">
        <w:rPr>
          <w:rFonts w:ascii="Arial" w:hAnsi="Arial" w:cs="Arial"/>
          <w:b/>
          <w:bCs/>
          <w:sz w:val="22"/>
          <w:szCs w:val="22"/>
        </w:rPr>
        <w:t xml:space="preserve">. Available at: </w:t>
      </w:r>
      <w:hyperlink r:id="rId12" w:tgtFrame="_new" w:history="1">
        <w:r w:rsidRPr="006E13A8">
          <w:rPr>
            <w:rStyle w:val="Hyperlink"/>
            <w:rFonts w:ascii="Arial" w:hAnsi="Arial" w:cs="Arial"/>
            <w:b/>
            <w:bCs/>
            <w:sz w:val="22"/>
            <w:szCs w:val="22"/>
          </w:rPr>
          <w:t>https://www.nhs.uk/social-care-and-support/care-services-equipment-and-care-homes/care-homes/</w:t>
        </w:r>
      </w:hyperlink>
      <w:r w:rsidRPr="006E13A8">
        <w:rPr>
          <w:rFonts w:ascii="Arial" w:hAnsi="Arial" w:cs="Arial"/>
          <w:b/>
          <w:bCs/>
          <w:sz w:val="22"/>
          <w:szCs w:val="22"/>
        </w:rPr>
        <w:t xml:space="preserve"> (Accessed: 20 February 2026).</w:t>
      </w:r>
    </w:p>
    <w:p w14:paraId="245D3C1D"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NHS England (2019) </w:t>
      </w:r>
      <w:r w:rsidRPr="006E13A8">
        <w:rPr>
          <w:rFonts w:ascii="Arial" w:hAnsi="Arial" w:cs="Arial"/>
          <w:b/>
          <w:bCs/>
          <w:i/>
          <w:iCs/>
          <w:sz w:val="22"/>
          <w:szCs w:val="22"/>
        </w:rPr>
        <w:t>NHS Community Pharmacist Consultation Service (CPCS): Advanced service specification</w:t>
      </w:r>
      <w:r w:rsidRPr="006E13A8">
        <w:rPr>
          <w:rFonts w:ascii="Arial" w:hAnsi="Arial" w:cs="Arial"/>
          <w:b/>
          <w:bCs/>
          <w:sz w:val="22"/>
          <w:szCs w:val="22"/>
        </w:rPr>
        <w:t xml:space="preserve"> (PDF). Available at: </w:t>
      </w:r>
      <w:hyperlink r:id="rId13" w:tgtFrame="_new" w:history="1">
        <w:r w:rsidRPr="006E13A8">
          <w:rPr>
            <w:rStyle w:val="Hyperlink"/>
            <w:rFonts w:ascii="Arial" w:hAnsi="Arial" w:cs="Arial"/>
            <w:b/>
            <w:bCs/>
            <w:sz w:val="22"/>
            <w:szCs w:val="22"/>
          </w:rPr>
          <w:t>https://www.england.nhs.uk/wp-content/uploads/2019/10/PRN00361-community-pharmacy-advanced-service-spec-nhs-community-pharmacist-consultation-service.pdf</w:t>
        </w:r>
      </w:hyperlink>
      <w:r w:rsidRPr="006E13A8">
        <w:rPr>
          <w:rFonts w:ascii="Arial" w:hAnsi="Arial" w:cs="Arial"/>
          <w:b/>
          <w:bCs/>
          <w:sz w:val="22"/>
          <w:szCs w:val="22"/>
        </w:rPr>
        <w:t xml:space="preserve"> (Accessed: 20 February 2026).</w:t>
      </w:r>
    </w:p>
    <w:p w14:paraId="27D7EA98"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NHS England (2023) </w:t>
      </w:r>
      <w:r w:rsidRPr="006E13A8">
        <w:rPr>
          <w:rFonts w:ascii="Arial" w:hAnsi="Arial" w:cs="Arial"/>
          <w:b/>
          <w:bCs/>
          <w:i/>
          <w:iCs/>
          <w:sz w:val="22"/>
          <w:szCs w:val="22"/>
        </w:rPr>
        <w:t>Providing proactive care for people living in care homes: Enhanced health in care homes framework</w:t>
      </w:r>
      <w:r w:rsidRPr="006E13A8">
        <w:rPr>
          <w:rFonts w:ascii="Arial" w:hAnsi="Arial" w:cs="Arial"/>
          <w:b/>
          <w:bCs/>
          <w:sz w:val="22"/>
          <w:szCs w:val="22"/>
        </w:rPr>
        <w:t xml:space="preserve">. Available at: </w:t>
      </w:r>
      <w:hyperlink r:id="rId14" w:tgtFrame="_new" w:history="1">
        <w:r w:rsidRPr="006E13A8">
          <w:rPr>
            <w:rStyle w:val="Hyperlink"/>
            <w:rFonts w:ascii="Arial" w:hAnsi="Arial" w:cs="Arial"/>
            <w:b/>
            <w:bCs/>
            <w:sz w:val="22"/>
            <w:szCs w:val="22"/>
          </w:rPr>
          <w:t>https://www.england.nhs.uk/long-read/providing-proactive-care-for-people-living-in-care-homes-enhanced-health-in-care-homes-framework/</w:t>
        </w:r>
      </w:hyperlink>
      <w:r w:rsidRPr="006E13A8">
        <w:rPr>
          <w:rFonts w:ascii="Arial" w:hAnsi="Arial" w:cs="Arial"/>
          <w:b/>
          <w:bCs/>
          <w:sz w:val="22"/>
          <w:szCs w:val="22"/>
        </w:rPr>
        <w:t xml:space="preserve"> (Accessed: 20 February 2026).</w:t>
      </w:r>
    </w:p>
    <w:p w14:paraId="214F9CB1"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NHS England (2024) </w:t>
      </w:r>
      <w:r w:rsidRPr="006E13A8">
        <w:rPr>
          <w:rFonts w:ascii="Arial" w:hAnsi="Arial" w:cs="Arial"/>
          <w:b/>
          <w:bCs/>
          <w:i/>
          <w:iCs/>
          <w:sz w:val="22"/>
          <w:szCs w:val="22"/>
        </w:rPr>
        <w:t>Pharmacy First</w:t>
      </w:r>
      <w:r w:rsidRPr="006E13A8">
        <w:rPr>
          <w:rFonts w:ascii="Arial" w:hAnsi="Arial" w:cs="Arial"/>
          <w:b/>
          <w:bCs/>
          <w:sz w:val="22"/>
          <w:szCs w:val="22"/>
        </w:rPr>
        <w:t xml:space="preserve">. Available at: </w:t>
      </w:r>
      <w:hyperlink r:id="rId15" w:tgtFrame="_new" w:history="1">
        <w:r w:rsidRPr="006E13A8">
          <w:rPr>
            <w:rStyle w:val="Hyperlink"/>
            <w:rFonts w:ascii="Arial" w:hAnsi="Arial" w:cs="Arial"/>
            <w:b/>
            <w:bCs/>
            <w:sz w:val="22"/>
            <w:szCs w:val="22"/>
          </w:rPr>
          <w:t>https://www.england.nhs.uk/primary-care/pharmacy/pharmacy-services/pharmacy-first/</w:t>
        </w:r>
      </w:hyperlink>
      <w:r w:rsidRPr="006E13A8">
        <w:rPr>
          <w:rFonts w:ascii="Arial" w:hAnsi="Arial" w:cs="Arial"/>
          <w:b/>
          <w:bCs/>
          <w:sz w:val="22"/>
          <w:szCs w:val="22"/>
        </w:rPr>
        <w:t xml:space="preserve"> (Accessed: 20 February 2026).</w:t>
      </w:r>
    </w:p>
    <w:p w14:paraId="063AF31E"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NHS England (2025) </w:t>
      </w:r>
      <w:r w:rsidRPr="006E13A8">
        <w:rPr>
          <w:rFonts w:ascii="Arial" w:hAnsi="Arial" w:cs="Arial"/>
          <w:b/>
          <w:bCs/>
          <w:i/>
          <w:iCs/>
          <w:sz w:val="22"/>
          <w:szCs w:val="22"/>
        </w:rPr>
        <w:t>Advanced service specification: NHS New Medicine Service (NMS)</w:t>
      </w:r>
      <w:r w:rsidRPr="006E13A8">
        <w:rPr>
          <w:rFonts w:ascii="Arial" w:hAnsi="Arial" w:cs="Arial"/>
          <w:b/>
          <w:bCs/>
          <w:sz w:val="22"/>
          <w:szCs w:val="22"/>
        </w:rPr>
        <w:t xml:space="preserve">. Available at: </w:t>
      </w:r>
      <w:hyperlink r:id="rId16" w:tgtFrame="_new" w:history="1">
        <w:r w:rsidRPr="006E13A8">
          <w:rPr>
            <w:rStyle w:val="Hyperlink"/>
            <w:rFonts w:ascii="Arial" w:hAnsi="Arial" w:cs="Arial"/>
            <w:b/>
            <w:bCs/>
            <w:sz w:val="22"/>
            <w:szCs w:val="22"/>
          </w:rPr>
          <w:t>https://www.england.nhs.uk/publication/advanced-service-specification-nhs-new-medicine-service-nms/</w:t>
        </w:r>
      </w:hyperlink>
      <w:r w:rsidRPr="006E13A8">
        <w:rPr>
          <w:rFonts w:ascii="Arial" w:hAnsi="Arial" w:cs="Arial"/>
          <w:b/>
          <w:bCs/>
          <w:sz w:val="22"/>
          <w:szCs w:val="22"/>
        </w:rPr>
        <w:t xml:space="preserve"> (Accessed: 20 February 2026).</w:t>
      </w:r>
    </w:p>
    <w:p w14:paraId="1E8D7DF2"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NICE (2015) </w:t>
      </w:r>
      <w:r w:rsidRPr="006E13A8">
        <w:rPr>
          <w:rFonts w:ascii="Arial" w:hAnsi="Arial" w:cs="Arial"/>
          <w:b/>
          <w:bCs/>
          <w:i/>
          <w:iCs/>
          <w:sz w:val="22"/>
          <w:szCs w:val="22"/>
        </w:rPr>
        <w:t>Medicines optimisation: the safe and effective use of medicines to enable the best possible outcomes (NG5)</w:t>
      </w:r>
      <w:r w:rsidRPr="006E13A8">
        <w:rPr>
          <w:rFonts w:ascii="Arial" w:hAnsi="Arial" w:cs="Arial"/>
          <w:b/>
          <w:bCs/>
          <w:sz w:val="22"/>
          <w:szCs w:val="22"/>
        </w:rPr>
        <w:t xml:space="preserve">. Available at: </w:t>
      </w:r>
      <w:hyperlink r:id="rId17" w:tgtFrame="_new" w:history="1">
        <w:r w:rsidRPr="006E13A8">
          <w:rPr>
            <w:rStyle w:val="Hyperlink"/>
            <w:rFonts w:ascii="Arial" w:hAnsi="Arial" w:cs="Arial"/>
            <w:b/>
            <w:bCs/>
            <w:sz w:val="22"/>
            <w:szCs w:val="22"/>
          </w:rPr>
          <w:t>https://www.nice.org.uk/guidance/ng5</w:t>
        </w:r>
      </w:hyperlink>
      <w:r w:rsidRPr="006E13A8">
        <w:rPr>
          <w:rFonts w:ascii="Arial" w:hAnsi="Arial" w:cs="Arial"/>
          <w:b/>
          <w:bCs/>
          <w:sz w:val="22"/>
          <w:szCs w:val="22"/>
        </w:rPr>
        <w:t xml:space="preserve"> (Accessed: 20 February 2026).</w:t>
      </w:r>
    </w:p>
    <w:p w14:paraId="352581A9"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Royal Pharmaceutical Society (n.d.) </w:t>
      </w:r>
      <w:r w:rsidRPr="006E13A8">
        <w:rPr>
          <w:rFonts w:ascii="Arial" w:hAnsi="Arial" w:cs="Arial"/>
          <w:b/>
          <w:bCs/>
          <w:i/>
          <w:iCs/>
          <w:sz w:val="22"/>
          <w:szCs w:val="22"/>
        </w:rPr>
        <w:t>History of the Society</w:t>
      </w:r>
      <w:r w:rsidRPr="006E13A8">
        <w:rPr>
          <w:rFonts w:ascii="Arial" w:hAnsi="Arial" w:cs="Arial"/>
          <w:b/>
          <w:bCs/>
          <w:sz w:val="22"/>
          <w:szCs w:val="22"/>
        </w:rPr>
        <w:t xml:space="preserve">. Available at: </w:t>
      </w:r>
      <w:hyperlink r:id="rId18" w:tgtFrame="_new" w:history="1">
        <w:r w:rsidRPr="006E13A8">
          <w:rPr>
            <w:rStyle w:val="Hyperlink"/>
            <w:rFonts w:ascii="Arial" w:hAnsi="Arial" w:cs="Arial"/>
            <w:b/>
            <w:bCs/>
            <w:sz w:val="22"/>
            <w:szCs w:val="22"/>
          </w:rPr>
          <w:t>https://www.rpharms.com/about-us/history-of-the-society</w:t>
        </w:r>
      </w:hyperlink>
      <w:r w:rsidRPr="006E13A8">
        <w:rPr>
          <w:rFonts w:ascii="Arial" w:hAnsi="Arial" w:cs="Arial"/>
          <w:b/>
          <w:bCs/>
          <w:sz w:val="22"/>
          <w:szCs w:val="22"/>
        </w:rPr>
        <w:t xml:space="preserve"> (Accessed: 20 February 2026).</w:t>
      </w:r>
    </w:p>
    <w:p w14:paraId="7AEBF493"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Skills for Care (2025) </w:t>
      </w:r>
      <w:r w:rsidRPr="006E13A8">
        <w:rPr>
          <w:rFonts w:ascii="Arial" w:hAnsi="Arial" w:cs="Arial"/>
          <w:b/>
          <w:bCs/>
          <w:i/>
          <w:iCs/>
          <w:sz w:val="22"/>
          <w:szCs w:val="22"/>
        </w:rPr>
        <w:t>Latest social care sector and workforce data published</w:t>
      </w:r>
      <w:r w:rsidRPr="006E13A8">
        <w:rPr>
          <w:rFonts w:ascii="Arial" w:hAnsi="Arial" w:cs="Arial"/>
          <w:b/>
          <w:bCs/>
          <w:sz w:val="22"/>
          <w:szCs w:val="22"/>
        </w:rPr>
        <w:t xml:space="preserve">. Available at: </w:t>
      </w:r>
      <w:hyperlink r:id="rId19" w:tgtFrame="_new" w:history="1">
        <w:r w:rsidRPr="006E13A8">
          <w:rPr>
            <w:rStyle w:val="Hyperlink"/>
            <w:rFonts w:ascii="Arial" w:hAnsi="Arial" w:cs="Arial"/>
            <w:b/>
            <w:bCs/>
            <w:sz w:val="22"/>
            <w:szCs w:val="22"/>
          </w:rPr>
          <w:t>https://www.skillsforcare.org.uk/news-and-events/news/latest-social-care-sector-and-workforce-data-published</w:t>
        </w:r>
      </w:hyperlink>
      <w:r w:rsidRPr="006E13A8">
        <w:rPr>
          <w:rFonts w:ascii="Arial" w:hAnsi="Arial" w:cs="Arial"/>
          <w:b/>
          <w:bCs/>
          <w:sz w:val="22"/>
          <w:szCs w:val="22"/>
        </w:rPr>
        <w:t xml:space="preserve"> (Accessed: 20 February 2026).</w:t>
      </w:r>
    </w:p>
    <w:p w14:paraId="4912B6D8"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The King’s Fund (2025) </w:t>
      </w:r>
      <w:r w:rsidRPr="006E13A8">
        <w:rPr>
          <w:rFonts w:ascii="Arial" w:hAnsi="Arial" w:cs="Arial"/>
          <w:b/>
          <w:bCs/>
          <w:i/>
          <w:iCs/>
          <w:sz w:val="22"/>
          <w:szCs w:val="22"/>
        </w:rPr>
        <w:t>Key facts and figures about adult social care</w:t>
      </w:r>
      <w:r w:rsidRPr="006E13A8">
        <w:rPr>
          <w:rFonts w:ascii="Arial" w:hAnsi="Arial" w:cs="Arial"/>
          <w:b/>
          <w:bCs/>
          <w:sz w:val="22"/>
          <w:szCs w:val="22"/>
        </w:rPr>
        <w:t xml:space="preserve">. Available at: </w:t>
      </w:r>
      <w:hyperlink r:id="rId20" w:tgtFrame="_new" w:history="1">
        <w:r w:rsidRPr="006E13A8">
          <w:rPr>
            <w:rStyle w:val="Hyperlink"/>
            <w:rFonts w:ascii="Arial" w:hAnsi="Arial" w:cs="Arial"/>
            <w:b/>
            <w:bCs/>
            <w:sz w:val="22"/>
            <w:szCs w:val="22"/>
          </w:rPr>
          <w:t>https://www.kingsfund.org.uk/insight-and-analysis/data-and-charts/key-facts-figures-adult-social-care</w:t>
        </w:r>
      </w:hyperlink>
      <w:r w:rsidRPr="006E13A8">
        <w:rPr>
          <w:rFonts w:ascii="Arial" w:hAnsi="Arial" w:cs="Arial"/>
          <w:b/>
          <w:bCs/>
          <w:sz w:val="22"/>
          <w:szCs w:val="22"/>
        </w:rPr>
        <w:t xml:space="preserve"> (Accessed: 20 February 2026).</w:t>
      </w:r>
    </w:p>
    <w:p w14:paraId="6DFD57A7"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The Pharmaceutical Journal (2018) </w:t>
      </w:r>
      <w:r w:rsidRPr="006E13A8">
        <w:rPr>
          <w:rFonts w:ascii="Arial" w:hAnsi="Arial" w:cs="Arial"/>
          <w:b/>
          <w:bCs/>
          <w:i/>
          <w:iCs/>
          <w:sz w:val="22"/>
          <w:szCs w:val="22"/>
        </w:rPr>
        <w:t>NHS70: Major moments in pharmacy 1948–2018</w:t>
      </w:r>
      <w:r w:rsidRPr="006E13A8">
        <w:rPr>
          <w:rFonts w:ascii="Arial" w:hAnsi="Arial" w:cs="Arial"/>
          <w:b/>
          <w:bCs/>
          <w:sz w:val="22"/>
          <w:szCs w:val="22"/>
        </w:rPr>
        <w:t xml:space="preserve">. Available at: </w:t>
      </w:r>
      <w:hyperlink r:id="rId21" w:tgtFrame="_new" w:history="1">
        <w:r w:rsidRPr="006E13A8">
          <w:rPr>
            <w:rStyle w:val="Hyperlink"/>
            <w:rFonts w:ascii="Arial" w:hAnsi="Arial" w:cs="Arial"/>
            <w:b/>
            <w:bCs/>
            <w:sz w:val="22"/>
            <w:szCs w:val="22"/>
          </w:rPr>
          <w:t>https://pharmaceutical-journal.com/article/infographics/nhs70-major-moments-in-pharmacy-1948-2018</w:t>
        </w:r>
      </w:hyperlink>
      <w:r w:rsidRPr="006E13A8">
        <w:rPr>
          <w:rFonts w:ascii="Arial" w:hAnsi="Arial" w:cs="Arial"/>
          <w:b/>
          <w:bCs/>
          <w:sz w:val="22"/>
          <w:szCs w:val="22"/>
        </w:rPr>
        <w:t xml:space="preserve"> (Accessed: 20 February 2026).</w:t>
      </w:r>
    </w:p>
    <w:p w14:paraId="2B18A40B"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lastRenderedPageBreak/>
        <w:t xml:space="preserve">UK Government / Department of Health and Social Care (DHSC) (2025) </w:t>
      </w:r>
      <w:r w:rsidRPr="006E13A8">
        <w:rPr>
          <w:rFonts w:ascii="Arial" w:hAnsi="Arial" w:cs="Arial"/>
          <w:b/>
          <w:bCs/>
          <w:i/>
          <w:iCs/>
          <w:sz w:val="22"/>
          <w:szCs w:val="22"/>
        </w:rPr>
        <w:t>Community Pharmacy Contractual Framework: 2024 to 2025 and 2025 to 2026</w:t>
      </w:r>
      <w:r w:rsidRPr="006E13A8">
        <w:rPr>
          <w:rFonts w:ascii="Arial" w:hAnsi="Arial" w:cs="Arial"/>
          <w:b/>
          <w:bCs/>
          <w:sz w:val="22"/>
          <w:szCs w:val="22"/>
        </w:rPr>
        <w:t xml:space="preserve">. Available at: </w:t>
      </w:r>
      <w:hyperlink r:id="rId22" w:tgtFrame="_new" w:history="1">
        <w:r w:rsidRPr="006E13A8">
          <w:rPr>
            <w:rStyle w:val="Hyperlink"/>
            <w:rFonts w:ascii="Arial" w:hAnsi="Arial" w:cs="Arial"/>
            <w:b/>
            <w:bCs/>
            <w:sz w:val="22"/>
            <w:szCs w:val="22"/>
          </w:rPr>
          <w:t>https://www.gov.uk/government/publications/community-pharmacy-contractual-framework-2024-to-2025-and-2025-to-2026/community-pharmacy-contractual-framework-2024-to-2025-and-2025-to-2026</w:t>
        </w:r>
      </w:hyperlink>
      <w:r w:rsidRPr="006E13A8">
        <w:rPr>
          <w:rFonts w:ascii="Arial" w:hAnsi="Arial" w:cs="Arial"/>
          <w:b/>
          <w:bCs/>
          <w:sz w:val="22"/>
          <w:szCs w:val="22"/>
        </w:rPr>
        <w:t xml:space="preserve"> (Accessed: 20 February 2026).</w:t>
      </w:r>
    </w:p>
    <w:p w14:paraId="6B5A15EE" w14:textId="77777777" w:rsidR="006E13A8" w:rsidRPr="006E13A8" w:rsidRDefault="006E13A8" w:rsidP="006E13A8">
      <w:pPr>
        <w:jc w:val="center"/>
        <w:rPr>
          <w:rFonts w:ascii="Arial" w:hAnsi="Arial" w:cs="Arial"/>
          <w:b/>
          <w:bCs/>
          <w:sz w:val="22"/>
          <w:szCs w:val="22"/>
        </w:rPr>
      </w:pPr>
      <w:r w:rsidRPr="006E13A8">
        <w:rPr>
          <w:rFonts w:ascii="Arial" w:hAnsi="Arial" w:cs="Arial"/>
          <w:b/>
          <w:bCs/>
          <w:sz w:val="22"/>
          <w:szCs w:val="22"/>
        </w:rPr>
        <w:t xml:space="preserve">UK Government (2025) </w:t>
      </w:r>
      <w:r w:rsidRPr="006E13A8">
        <w:rPr>
          <w:rFonts w:ascii="Arial" w:hAnsi="Arial" w:cs="Arial"/>
          <w:b/>
          <w:bCs/>
          <w:i/>
          <w:iCs/>
          <w:sz w:val="22"/>
          <w:szCs w:val="22"/>
        </w:rPr>
        <w:t>Independent commission into adult social care: terms of reference</w:t>
      </w:r>
      <w:r w:rsidRPr="006E13A8">
        <w:rPr>
          <w:rFonts w:ascii="Arial" w:hAnsi="Arial" w:cs="Arial"/>
          <w:b/>
          <w:bCs/>
          <w:sz w:val="22"/>
          <w:szCs w:val="22"/>
        </w:rPr>
        <w:t xml:space="preserve">. Available at: </w:t>
      </w:r>
      <w:hyperlink r:id="rId23" w:tgtFrame="_new" w:history="1">
        <w:r w:rsidRPr="006E13A8">
          <w:rPr>
            <w:rStyle w:val="Hyperlink"/>
            <w:rFonts w:ascii="Arial" w:hAnsi="Arial" w:cs="Arial"/>
            <w:b/>
            <w:bCs/>
            <w:sz w:val="22"/>
            <w:szCs w:val="22"/>
          </w:rPr>
          <w:t>https://www.gov.uk/government/publications/independent-commission-into-adult-social-care-terms-of-reference</w:t>
        </w:r>
      </w:hyperlink>
      <w:r w:rsidRPr="006E13A8">
        <w:rPr>
          <w:rFonts w:ascii="Arial" w:hAnsi="Arial" w:cs="Arial"/>
          <w:b/>
          <w:bCs/>
          <w:sz w:val="22"/>
          <w:szCs w:val="22"/>
        </w:rPr>
        <w:t xml:space="preserve"> (Accessed: 20 February 2026).</w:t>
      </w:r>
    </w:p>
    <w:p w14:paraId="5E0731CE" w14:textId="77777777" w:rsidR="00D51733" w:rsidRPr="00D51733" w:rsidRDefault="00D51733" w:rsidP="006E13A8">
      <w:pPr>
        <w:jc w:val="center"/>
        <w:rPr>
          <w:rFonts w:ascii="Arial" w:hAnsi="Arial" w:cs="Arial"/>
          <w:b/>
          <w:bCs/>
          <w:sz w:val="22"/>
          <w:szCs w:val="22"/>
        </w:rPr>
      </w:pPr>
    </w:p>
    <w:p w14:paraId="103F3D1F" w14:textId="29451D6E" w:rsidR="0052076B" w:rsidRPr="008E25CA" w:rsidRDefault="0052076B" w:rsidP="006E13A8">
      <w:pPr>
        <w:jc w:val="center"/>
        <w:rPr>
          <w:rFonts w:ascii="Arial" w:hAnsi="Arial" w:cs="Arial"/>
          <w:sz w:val="22"/>
          <w:szCs w:val="22"/>
        </w:rPr>
      </w:pPr>
    </w:p>
    <w:sectPr w:rsidR="0052076B" w:rsidRPr="008E25CA" w:rsidSect="00B62B66">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43288" w14:textId="77777777" w:rsidR="00BC6538" w:rsidRDefault="00BC6538" w:rsidP="00960020">
      <w:pPr>
        <w:spacing w:after="0" w:line="240" w:lineRule="auto"/>
      </w:pPr>
      <w:r>
        <w:separator/>
      </w:r>
    </w:p>
  </w:endnote>
  <w:endnote w:type="continuationSeparator" w:id="0">
    <w:p w14:paraId="2F5B36FB" w14:textId="77777777" w:rsidR="00BC6538" w:rsidRDefault="00BC6538" w:rsidP="00960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3B137" w14:textId="77777777" w:rsidR="00BC6538" w:rsidRDefault="00BC6538" w:rsidP="00960020">
      <w:pPr>
        <w:spacing w:after="0" w:line="240" w:lineRule="auto"/>
      </w:pPr>
      <w:r>
        <w:separator/>
      </w:r>
    </w:p>
  </w:footnote>
  <w:footnote w:type="continuationSeparator" w:id="0">
    <w:p w14:paraId="4C43F211" w14:textId="77777777" w:rsidR="00BC6538" w:rsidRDefault="00BC6538" w:rsidP="00960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876C5"/>
    <w:multiLevelType w:val="hybridMultilevel"/>
    <w:tmpl w:val="674C3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9809EE"/>
    <w:multiLevelType w:val="hybridMultilevel"/>
    <w:tmpl w:val="5B428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1662E8"/>
    <w:multiLevelType w:val="multilevel"/>
    <w:tmpl w:val="3E66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1221980">
    <w:abstractNumId w:val="2"/>
  </w:num>
  <w:num w:numId="2" w16cid:durableId="1544051836">
    <w:abstractNumId w:val="1"/>
  </w:num>
  <w:num w:numId="3" w16cid:durableId="2038726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5CA"/>
    <w:rsid w:val="00022559"/>
    <w:rsid w:val="001214F8"/>
    <w:rsid w:val="001C7279"/>
    <w:rsid w:val="003055F4"/>
    <w:rsid w:val="00367B0B"/>
    <w:rsid w:val="00455009"/>
    <w:rsid w:val="00486092"/>
    <w:rsid w:val="004F78AC"/>
    <w:rsid w:val="0052076B"/>
    <w:rsid w:val="005B73C8"/>
    <w:rsid w:val="005E6D05"/>
    <w:rsid w:val="006C413A"/>
    <w:rsid w:val="006E13A8"/>
    <w:rsid w:val="00782CE1"/>
    <w:rsid w:val="008610CF"/>
    <w:rsid w:val="008E25CA"/>
    <w:rsid w:val="008E2981"/>
    <w:rsid w:val="009249B1"/>
    <w:rsid w:val="0093183D"/>
    <w:rsid w:val="00960020"/>
    <w:rsid w:val="00995A55"/>
    <w:rsid w:val="009E77C1"/>
    <w:rsid w:val="00A64B83"/>
    <w:rsid w:val="00B330A0"/>
    <w:rsid w:val="00B62B66"/>
    <w:rsid w:val="00BC03AA"/>
    <w:rsid w:val="00BC6538"/>
    <w:rsid w:val="00D51733"/>
    <w:rsid w:val="00DA2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DAD8"/>
  <w15:chartTrackingRefBased/>
  <w15:docId w15:val="{E9074C26-F8DF-4888-AA93-F989C41E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5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25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25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25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5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5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5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5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5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5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25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25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25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5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5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5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5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5CA"/>
    <w:rPr>
      <w:rFonts w:eastAsiaTheme="majorEastAsia" w:cstheme="majorBidi"/>
      <w:color w:val="272727" w:themeColor="text1" w:themeTint="D8"/>
    </w:rPr>
  </w:style>
  <w:style w:type="paragraph" w:styleId="Title">
    <w:name w:val="Title"/>
    <w:basedOn w:val="Normal"/>
    <w:next w:val="Normal"/>
    <w:link w:val="TitleChar"/>
    <w:uiPriority w:val="10"/>
    <w:qFormat/>
    <w:rsid w:val="008E2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5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5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5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5CA"/>
    <w:pPr>
      <w:spacing w:before="160"/>
      <w:jc w:val="center"/>
    </w:pPr>
    <w:rPr>
      <w:i/>
      <w:iCs/>
      <w:color w:val="404040" w:themeColor="text1" w:themeTint="BF"/>
    </w:rPr>
  </w:style>
  <w:style w:type="character" w:customStyle="1" w:styleId="QuoteChar">
    <w:name w:val="Quote Char"/>
    <w:basedOn w:val="DefaultParagraphFont"/>
    <w:link w:val="Quote"/>
    <w:uiPriority w:val="29"/>
    <w:rsid w:val="008E25CA"/>
    <w:rPr>
      <w:i/>
      <w:iCs/>
      <w:color w:val="404040" w:themeColor="text1" w:themeTint="BF"/>
    </w:rPr>
  </w:style>
  <w:style w:type="paragraph" w:styleId="ListParagraph">
    <w:name w:val="List Paragraph"/>
    <w:basedOn w:val="Normal"/>
    <w:uiPriority w:val="34"/>
    <w:qFormat/>
    <w:rsid w:val="008E25CA"/>
    <w:pPr>
      <w:ind w:left="720"/>
      <w:contextualSpacing/>
    </w:pPr>
  </w:style>
  <w:style w:type="character" w:styleId="IntenseEmphasis">
    <w:name w:val="Intense Emphasis"/>
    <w:basedOn w:val="DefaultParagraphFont"/>
    <w:uiPriority w:val="21"/>
    <w:qFormat/>
    <w:rsid w:val="008E25CA"/>
    <w:rPr>
      <w:i/>
      <w:iCs/>
      <w:color w:val="0F4761" w:themeColor="accent1" w:themeShade="BF"/>
    </w:rPr>
  </w:style>
  <w:style w:type="paragraph" w:styleId="IntenseQuote">
    <w:name w:val="Intense Quote"/>
    <w:basedOn w:val="Normal"/>
    <w:next w:val="Normal"/>
    <w:link w:val="IntenseQuoteChar"/>
    <w:uiPriority w:val="30"/>
    <w:qFormat/>
    <w:rsid w:val="008E25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5CA"/>
    <w:rPr>
      <w:i/>
      <w:iCs/>
      <w:color w:val="0F4761" w:themeColor="accent1" w:themeShade="BF"/>
    </w:rPr>
  </w:style>
  <w:style w:type="character" w:styleId="IntenseReference">
    <w:name w:val="Intense Reference"/>
    <w:basedOn w:val="DefaultParagraphFont"/>
    <w:uiPriority w:val="32"/>
    <w:qFormat/>
    <w:rsid w:val="008E25CA"/>
    <w:rPr>
      <w:b/>
      <w:bCs/>
      <w:smallCaps/>
      <w:color w:val="0F4761" w:themeColor="accent1" w:themeShade="BF"/>
      <w:spacing w:val="5"/>
    </w:rPr>
  </w:style>
  <w:style w:type="table" w:styleId="TableGrid">
    <w:name w:val="Table Grid"/>
    <w:basedOn w:val="TableNormal"/>
    <w:uiPriority w:val="39"/>
    <w:rsid w:val="008E2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2076B"/>
    <w:rPr>
      <w:rFonts w:ascii="Times New Roman" w:hAnsi="Times New Roman" w:cs="Times New Roman"/>
    </w:rPr>
  </w:style>
  <w:style w:type="character" w:styleId="Hyperlink">
    <w:name w:val="Hyperlink"/>
    <w:basedOn w:val="DefaultParagraphFont"/>
    <w:uiPriority w:val="99"/>
    <w:unhideWhenUsed/>
    <w:rsid w:val="0052076B"/>
    <w:rPr>
      <w:color w:val="467886" w:themeColor="hyperlink"/>
      <w:u w:val="single"/>
    </w:rPr>
  </w:style>
  <w:style w:type="character" w:styleId="UnresolvedMention">
    <w:name w:val="Unresolved Mention"/>
    <w:basedOn w:val="DefaultParagraphFont"/>
    <w:uiPriority w:val="99"/>
    <w:semiHidden/>
    <w:unhideWhenUsed/>
    <w:rsid w:val="0052076B"/>
    <w:rPr>
      <w:color w:val="605E5C"/>
      <w:shd w:val="clear" w:color="auto" w:fill="E1DFDD"/>
    </w:rPr>
  </w:style>
  <w:style w:type="paragraph" w:styleId="Header">
    <w:name w:val="header"/>
    <w:basedOn w:val="Normal"/>
    <w:link w:val="HeaderChar"/>
    <w:uiPriority w:val="99"/>
    <w:unhideWhenUsed/>
    <w:rsid w:val="00960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020"/>
  </w:style>
  <w:style w:type="paragraph" w:styleId="Footer">
    <w:name w:val="footer"/>
    <w:basedOn w:val="Normal"/>
    <w:link w:val="FooterChar"/>
    <w:uiPriority w:val="99"/>
    <w:unhideWhenUsed/>
    <w:rsid w:val="00960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2652958/?utm_source=chatgpt.com" TargetMode="External"/><Relationship Id="rId13" Type="http://schemas.openxmlformats.org/officeDocument/2006/relationships/hyperlink" Target="https://www.england.nhs.uk/wp-content/uploads/2019/10/PRN00361-community-pharmacy-advanced-service-spec-nhs-community-pharmacist-consultation-service.pdf?utm_source=chatgpt.com" TargetMode="External"/><Relationship Id="rId18" Type="http://schemas.openxmlformats.org/officeDocument/2006/relationships/hyperlink" Target="https://www.rpharms.com/about-us/history-of-the-society?utm_source=chatgpt.com" TargetMode="External"/><Relationship Id="rId3" Type="http://schemas.openxmlformats.org/officeDocument/2006/relationships/settings" Target="settings.xml"/><Relationship Id="rId21" Type="http://schemas.openxmlformats.org/officeDocument/2006/relationships/hyperlink" Target="https://pharmaceutical-journal.com/article/infographics/nhs70-major-moments-in-pharmacy-1948-2018?utm_source=chatgpt.com" TargetMode="External"/><Relationship Id="rId7" Type="http://schemas.openxmlformats.org/officeDocument/2006/relationships/image" Target="media/image1.jpeg"/><Relationship Id="rId12" Type="http://schemas.openxmlformats.org/officeDocument/2006/relationships/hyperlink" Target="https://www.nhs.uk/social-care-and-support/care-services-equipment-and-care-homes/care-homes/?utm_source=chatgpt.com" TargetMode="External"/><Relationship Id="rId17" Type="http://schemas.openxmlformats.org/officeDocument/2006/relationships/hyperlink" Target="https://www.nice.org.uk/guidance/ng5?utm_source=chatgp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publication/advanced-service-specification-nhs-new-medicine-service-nms/?utm_source=chatgpt.com" TargetMode="External"/><Relationship Id="rId20" Type="http://schemas.openxmlformats.org/officeDocument/2006/relationships/hyperlink" Target="https://www.kingsfund.org.uk/insight-and-analysis/data-and-charts/key-facts-figures-adult-social-care?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7903/?utm_source=chatgp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primary-care/pharmacy/pharmacy-services/pharmacy-first/?utm_source=chatgpt.com" TargetMode="External"/><Relationship Id="rId23" Type="http://schemas.openxmlformats.org/officeDocument/2006/relationships/hyperlink" Target="https://www.gov.uk/government/publications/independent-commission-into-adult-social-care-terms-of-reference?utm_source=chatgpt.com" TargetMode="External"/><Relationship Id="rId10" Type="http://schemas.openxmlformats.org/officeDocument/2006/relationships/hyperlink" Target="https://www.cqc.org.uk/about-us/how-we-do-our-job/the-5-key-questions-we-ask?utm_source=chatgpt.com" TargetMode="External"/><Relationship Id="rId19" Type="http://schemas.openxmlformats.org/officeDocument/2006/relationships/hyperlink" Target="https://www.skillsforcare.org.uk/news-and-events/news/latest-social-care-sector-and-workforce-data-published?utm_source=chatgpt.com" TargetMode="External"/><Relationship Id="rId4" Type="http://schemas.openxmlformats.org/officeDocument/2006/relationships/webSettings" Target="webSettings.xml"/><Relationship Id="rId9" Type="http://schemas.openxmlformats.org/officeDocument/2006/relationships/hyperlink" Target="https://www.cqc.org.uk/publications/major-report/state-care/2024-2025/access/asc?utm_source=chatgpt.com" TargetMode="External"/><Relationship Id="rId14" Type="http://schemas.openxmlformats.org/officeDocument/2006/relationships/hyperlink" Target="https://www.england.nhs.uk/long-read/providing-proactive-care-for-people-living-in-care-homes-enhanced-health-in-care-homes-framework/?utm_source=chatgpt.com" TargetMode="External"/><Relationship Id="rId22" Type="http://schemas.openxmlformats.org/officeDocument/2006/relationships/hyperlink" Target="https://www.gov.uk/government/publications/community-pharmacy-contractual-framework-2024-to-2025-and-2025-to-2026/community-pharmacy-contractual-framework-2024-to-2025-and-2025-to-202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10627</TotalTime>
  <Pages>7</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Gabija Kalvelyte (2505144)</dc:creator>
  <cp:keywords/>
  <dc:description/>
  <cp:lastModifiedBy>Gabija Kalvelyte (2505144)</cp:lastModifiedBy>
  <cp:revision>14</cp:revision>
  <dcterms:created xsi:type="dcterms:W3CDTF">2026-02-10T21:50:00Z</dcterms:created>
  <dcterms:modified xsi:type="dcterms:W3CDTF">2026-02-21T18:28:00Z</dcterms:modified>
</cp:coreProperties>
</file>