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D1AE66B" wp14:paraId="5E5787A5" wp14:noSpellErr="1" wp14:textId="77E74CDD">
      <w:pPr>
        <w:ind w:left="1440"/>
        <w:jc w:val="center"/>
        <w:rPr>
          <w:rFonts w:ascii="Arial Nova" w:hAnsi="Arial Nova" w:eastAsia="Arial Nova" w:cs="Arial Nova"/>
          <w:sz w:val="96"/>
          <w:szCs w:val="96"/>
        </w:rPr>
      </w:pPr>
      <w:r w:rsidRPr="4D1AE66B" w:rsidR="341FAD35">
        <w:rPr>
          <w:rFonts w:ascii="Arial Nova" w:hAnsi="Arial Nova" w:eastAsia="Arial Nova" w:cs="Arial Nova"/>
          <w:sz w:val="72"/>
          <w:szCs w:val="72"/>
        </w:rPr>
        <w:t>Judikael Fongang</w:t>
      </w:r>
    </w:p>
    <w:p w:rsidR="3AAFC839" w:rsidP="4D1AE66B" w:rsidRDefault="3AAFC839" w14:paraId="53D8D2CC" w14:textId="0CA974C3">
      <w:pPr>
        <w:ind w:left="1440"/>
        <w:jc w:val="center"/>
        <w:rPr>
          <w:rFonts w:ascii="Arial Nova" w:hAnsi="Arial Nova" w:eastAsia="Arial Nova" w:cs="Arial Nova"/>
          <w:sz w:val="96"/>
          <w:szCs w:val="96"/>
        </w:rPr>
      </w:pPr>
      <w:r w:rsidRPr="4D1AE66B" w:rsidR="3AAFC839">
        <w:rPr>
          <w:rFonts w:ascii="Arial Nova" w:hAnsi="Arial Nova" w:eastAsia="Arial Nova" w:cs="Arial Nova"/>
          <w:sz w:val="72"/>
          <w:szCs w:val="72"/>
        </w:rPr>
        <w:t xml:space="preserve">Student ID </w:t>
      </w:r>
      <w:r w:rsidRPr="4D1AE66B" w:rsidR="341FAD35">
        <w:rPr>
          <w:rFonts w:ascii="Arial Nova" w:hAnsi="Arial Nova" w:eastAsia="Arial Nova" w:cs="Arial Nova"/>
          <w:sz w:val="72"/>
          <w:szCs w:val="72"/>
        </w:rPr>
        <w:t>(22</w:t>
      </w:r>
      <w:r w:rsidRPr="4D1AE66B" w:rsidR="59DE0DE1">
        <w:rPr>
          <w:rFonts w:ascii="Arial Nova" w:hAnsi="Arial Nova" w:eastAsia="Arial Nova" w:cs="Arial Nova"/>
          <w:sz w:val="72"/>
          <w:szCs w:val="72"/>
        </w:rPr>
        <w:t>32549)</w:t>
      </w:r>
    </w:p>
    <w:p w:rsidR="18F3FA18" w:rsidP="4D1AE66B" w:rsidRDefault="18F3FA18" w14:paraId="1D1C1C62" w14:textId="44DB0F7F">
      <w:pPr>
        <w:ind w:left="1440"/>
        <w:jc w:val="center"/>
        <w:rPr>
          <w:rFonts w:ascii="Arial Nova" w:hAnsi="Arial Nova" w:eastAsia="Arial Nova" w:cs="Arial Nova"/>
          <w:sz w:val="96"/>
          <w:szCs w:val="96"/>
        </w:rPr>
      </w:pPr>
      <w:r w:rsidRPr="4D1AE66B" w:rsidR="18F3FA18">
        <w:rPr>
          <w:rFonts w:ascii="Arial Nova" w:hAnsi="Arial Nova" w:eastAsia="Arial Nova" w:cs="Arial Nova"/>
          <w:sz w:val="72"/>
          <w:szCs w:val="72"/>
        </w:rPr>
        <w:t>Research Methods</w:t>
      </w:r>
    </w:p>
    <w:p w:rsidR="450521D6" w:rsidP="4D1AE66B" w:rsidRDefault="450521D6" w14:paraId="04030699" w14:textId="707EE237">
      <w:pPr>
        <w:ind w:left="1440"/>
        <w:jc w:val="center"/>
        <w:rPr>
          <w:rFonts w:ascii="Arial Nova" w:hAnsi="Arial Nova" w:eastAsia="Arial Nova" w:cs="Arial Nova"/>
          <w:sz w:val="96"/>
          <w:szCs w:val="96"/>
        </w:rPr>
      </w:pPr>
      <w:r w:rsidRPr="4D1AE66B" w:rsidR="450521D6">
        <w:rPr>
          <w:rFonts w:ascii="Arial Nova" w:hAnsi="Arial Nova" w:eastAsia="Arial Nova" w:cs="Arial Nova"/>
          <w:sz w:val="72"/>
          <w:szCs w:val="72"/>
        </w:rPr>
        <w:t>Lectura: (Lisa Bassler)</w:t>
      </w:r>
    </w:p>
    <w:p w:rsidR="7B698BF0" w:rsidP="4D1AE66B" w:rsidRDefault="7B698BF0" w14:paraId="23B2837A" w14:textId="048FCAD6">
      <w:pPr>
        <w:ind w:left="1440"/>
        <w:jc w:val="center"/>
        <w:rPr>
          <w:rFonts w:ascii="Arial Nova" w:hAnsi="Arial Nova" w:eastAsia="Arial Nova" w:cs="Arial Nova"/>
          <w:sz w:val="72"/>
          <w:szCs w:val="72"/>
        </w:rPr>
      </w:pPr>
      <w:r w:rsidRPr="4D1AE66B" w:rsidR="7B698BF0">
        <w:rPr>
          <w:rFonts w:ascii="Arial Nova" w:hAnsi="Arial Nova" w:eastAsia="Arial Nova" w:cs="Arial Nova"/>
          <w:sz w:val="72"/>
          <w:szCs w:val="72"/>
        </w:rPr>
        <w:t xml:space="preserve">Word </w:t>
      </w:r>
      <w:r w:rsidRPr="4D1AE66B" w:rsidR="7B698BF0">
        <w:rPr>
          <w:rFonts w:ascii="Arial Nova" w:hAnsi="Arial Nova" w:eastAsia="Arial Nova" w:cs="Arial Nova"/>
          <w:sz w:val="72"/>
          <w:szCs w:val="72"/>
        </w:rPr>
        <w:t>count</w:t>
      </w:r>
      <w:r w:rsidRPr="4D1AE66B" w:rsidR="7CEB493A">
        <w:rPr>
          <w:rFonts w:ascii="Arial Nova" w:hAnsi="Arial Nova" w:eastAsia="Arial Nova" w:cs="Arial Nova"/>
          <w:sz w:val="72"/>
          <w:szCs w:val="72"/>
        </w:rPr>
        <w:t>: 2267</w:t>
      </w:r>
    </w:p>
    <w:p w:rsidR="4D1AE66B" w:rsidP="4D1AE66B" w:rsidRDefault="4D1AE66B" w14:paraId="3B7F7A10" w14:textId="38EB4792">
      <w:pPr>
        <w:ind w:left="1440"/>
        <w:jc w:val="center"/>
        <w:rPr>
          <w:rFonts w:ascii="Arial Nova" w:hAnsi="Arial Nova" w:eastAsia="Arial Nova" w:cs="Arial Nova"/>
        </w:rPr>
      </w:pPr>
    </w:p>
    <w:p w:rsidR="4D1AE66B" w:rsidP="4D1AE66B" w:rsidRDefault="4D1AE66B" w14:paraId="0F44268E" w14:textId="5CB26DCA">
      <w:pPr>
        <w:rPr>
          <w:rFonts w:ascii="Arial Nova" w:hAnsi="Arial Nova" w:eastAsia="Arial Nova" w:cs="Arial Nova"/>
        </w:rPr>
      </w:pPr>
    </w:p>
    <w:p w:rsidR="4D1AE66B" w:rsidP="4D1AE66B" w:rsidRDefault="4D1AE66B" w14:paraId="63885661" w14:textId="579734EB">
      <w:pPr>
        <w:rPr>
          <w:rFonts w:ascii="Arial Nova" w:hAnsi="Arial Nova" w:eastAsia="Arial Nova" w:cs="Arial Nova"/>
        </w:rPr>
      </w:pPr>
    </w:p>
    <w:p w:rsidR="4D1AE66B" w:rsidP="4D1AE66B" w:rsidRDefault="4D1AE66B" w14:paraId="7875EDD0" w14:textId="46911361">
      <w:pPr>
        <w:rPr>
          <w:rFonts w:ascii="Arial Nova" w:hAnsi="Arial Nova" w:eastAsia="Arial Nova" w:cs="Arial Nova"/>
        </w:rPr>
      </w:pPr>
    </w:p>
    <w:p w:rsidR="4D1AE66B" w:rsidP="4D1AE66B" w:rsidRDefault="4D1AE66B" w14:paraId="5DDBAEE7" w14:textId="1F05A720">
      <w:pPr>
        <w:rPr>
          <w:rFonts w:ascii="Arial Nova" w:hAnsi="Arial Nova" w:eastAsia="Arial Nova" w:cs="Arial Nova"/>
        </w:rPr>
      </w:pPr>
    </w:p>
    <w:p w:rsidR="4D1AE66B" w:rsidP="4D1AE66B" w:rsidRDefault="4D1AE66B" w14:paraId="0BE40820" w14:textId="41727A0F">
      <w:pPr>
        <w:rPr>
          <w:rFonts w:ascii="Arial Nova" w:hAnsi="Arial Nova" w:eastAsia="Arial Nova" w:cs="Arial Nova"/>
        </w:rPr>
      </w:pPr>
    </w:p>
    <w:p w:rsidR="4D1AE66B" w:rsidP="4D1AE66B" w:rsidRDefault="4D1AE66B" w14:paraId="0BE1A374" w14:textId="7EF8080B">
      <w:pPr>
        <w:rPr>
          <w:rFonts w:ascii="Arial Nova" w:hAnsi="Arial Nova" w:eastAsia="Arial Nova" w:cs="Arial Nova"/>
        </w:rPr>
      </w:pPr>
    </w:p>
    <w:p w:rsidR="4D1AE66B" w:rsidP="4D1AE66B" w:rsidRDefault="4D1AE66B" w14:paraId="11811360" w14:textId="234FC0DE">
      <w:pPr>
        <w:rPr>
          <w:rFonts w:ascii="Arial Nova" w:hAnsi="Arial Nova" w:eastAsia="Arial Nova" w:cs="Arial Nova"/>
        </w:rPr>
      </w:pPr>
    </w:p>
    <w:p w:rsidR="4D1AE66B" w:rsidP="4D1AE66B" w:rsidRDefault="4D1AE66B" w14:paraId="0B83864F" w14:textId="47E8D22A">
      <w:pPr>
        <w:rPr>
          <w:rFonts w:ascii="Arial Nova" w:hAnsi="Arial Nova" w:eastAsia="Arial Nova" w:cs="Arial Nova"/>
        </w:rPr>
      </w:pPr>
    </w:p>
    <w:p w:rsidR="4D1AE66B" w:rsidP="4D1AE66B" w:rsidRDefault="4D1AE66B" w14:paraId="63614023" w14:textId="07B494DC">
      <w:pPr>
        <w:rPr>
          <w:rFonts w:ascii="Arial Nova" w:hAnsi="Arial Nova" w:eastAsia="Arial Nova" w:cs="Arial Nova"/>
        </w:rPr>
      </w:pPr>
    </w:p>
    <w:p w:rsidR="5971B73F" w:rsidRDefault="5971B73F" w14:paraId="05A178C3" w14:textId="07F23F98"/>
    <w:p w:rsidR="5971B73F" w:rsidP="4D1AE66B" w:rsidRDefault="5971B73F" w14:paraId="038E6356" w14:textId="5F99A9BA">
      <w:pPr>
        <w:pStyle w:val="Heading2"/>
        <w:spacing w:before="299" w:beforeAutospacing="off" w:after="299" w:afterAutospacing="off"/>
        <w:rPr>
          <w:rFonts w:ascii="Arial Nova" w:hAnsi="Arial Nova" w:eastAsia="Arial Nova" w:cs="Arial Nova"/>
          <w:b w:val="0"/>
          <w:bCs w:val="0"/>
          <w:noProof w:val="0"/>
          <w:color w:val="auto"/>
          <w:sz w:val="36"/>
          <w:szCs w:val="36"/>
          <w:lang w:val="en-GB"/>
        </w:rPr>
      </w:pPr>
    </w:p>
    <w:p w:rsidR="5971B73F" w:rsidP="4D1AE66B" w:rsidRDefault="5971B73F" w14:paraId="3C63D518" w14:textId="15AAE605">
      <w:pPr>
        <w:pStyle w:val="Heading2"/>
        <w:spacing w:before="299" w:beforeAutospacing="off" w:after="299" w:afterAutospacing="off"/>
        <w:rPr>
          <w:rFonts w:ascii="Arial Nova" w:hAnsi="Arial Nova" w:eastAsia="Arial Nova" w:cs="Arial Nova"/>
          <w:b w:val="0"/>
          <w:bCs w:val="0"/>
          <w:noProof w:val="0"/>
          <w:color w:val="auto"/>
          <w:sz w:val="36"/>
          <w:szCs w:val="36"/>
          <w:lang w:val="en-GB"/>
        </w:rPr>
      </w:pPr>
    </w:p>
    <w:p w:rsidR="5971B73F" w:rsidP="4D1AE66B" w:rsidRDefault="5971B73F" w14:paraId="23D86C6C" w14:textId="58221AD2">
      <w:pPr>
        <w:pStyle w:val="Heading2"/>
        <w:spacing w:before="299" w:beforeAutospacing="off" w:after="299" w:afterAutospacing="off"/>
        <w:rPr>
          <w:rFonts w:ascii="Arial Nova" w:hAnsi="Arial Nova" w:eastAsia="Arial Nova" w:cs="Arial Nova"/>
          <w:b w:val="0"/>
          <w:bCs w:val="0"/>
          <w:noProof w:val="0"/>
          <w:color w:val="auto"/>
          <w:sz w:val="36"/>
          <w:szCs w:val="36"/>
          <w:lang w:val="en-GB"/>
        </w:rPr>
      </w:pPr>
    </w:p>
    <w:p w:rsidR="5971B73F" w:rsidP="4D1AE66B" w:rsidRDefault="5971B73F" w14:paraId="7BE3A8B6" w14:textId="3AE66E3E">
      <w:pPr>
        <w:pStyle w:val="Heading2"/>
        <w:spacing w:before="299" w:beforeAutospacing="off" w:after="299" w:afterAutospacing="off"/>
        <w:rPr>
          <w:rFonts w:ascii="Arial Nova" w:hAnsi="Arial Nova" w:eastAsia="Arial Nova" w:cs="Arial Nova"/>
          <w:b w:val="0"/>
          <w:bCs w:val="0"/>
          <w:noProof w:val="0"/>
          <w:color w:val="auto"/>
          <w:sz w:val="36"/>
          <w:szCs w:val="36"/>
          <w:lang w:val="en-GB"/>
        </w:rPr>
      </w:pPr>
    </w:p>
    <w:p w:rsidR="5971B73F" w:rsidP="4D1AE66B" w:rsidRDefault="5971B73F" w14:paraId="4A9FE0C8" w14:textId="4E88FE79">
      <w:pPr>
        <w:pStyle w:val="Heading2"/>
        <w:spacing w:before="299" w:beforeAutospacing="off" w:after="299" w:afterAutospacing="off"/>
        <w:rPr>
          <w:rFonts w:ascii="Arial Nova" w:hAnsi="Arial Nova" w:eastAsia="Arial Nova" w:cs="Arial Nova"/>
          <w:b w:val="0"/>
          <w:bCs w:val="0"/>
          <w:noProof w:val="0"/>
          <w:color w:val="auto"/>
          <w:sz w:val="36"/>
          <w:szCs w:val="36"/>
          <w:lang w:val="en-GB"/>
        </w:rPr>
      </w:pPr>
    </w:p>
    <w:p w:rsidR="5971B73F" w:rsidP="4D1AE66B" w:rsidRDefault="5971B73F" w14:paraId="70000E3E" w14:textId="3B4A533A">
      <w:pPr>
        <w:pStyle w:val="Heading2"/>
        <w:spacing w:before="299" w:beforeAutospacing="off" w:after="299" w:afterAutospacing="off"/>
        <w:rPr>
          <w:rFonts w:ascii="Arial Nova" w:hAnsi="Arial Nova" w:eastAsia="Arial Nova" w:cs="Arial Nova"/>
          <w:b w:val="0"/>
          <w:bCs w:val="0"/>
          <w:noProof w:val="0"/>
          <w:color w:val="000000" w:themeColor="text1" w:themeTint="FF" w:themeShade="FF"/>
          <w:sz w:val="36"/>
          <w:szCs w:val="36"/>
          <w:lang w:val="en-GB"/>
        </w:rPr>
      </w:pPr>
      <w:r w:rsidRPr="4D1AE66B" w:rsidR="60ED2DF7">
        <w:rPr>
          <w:rFonts w:ascii="Arial Nova" w:hAnsi="Arial Nova" w:eastAsia="Arial Nova" w:cs="Arial Nova"/>
          <w:b w:val="0"/>
          <w:bCs w:val="0"/>
          <w:noProof w:val="0"/>
          <w:color w:val="auto"/>
          <w:sz w:val="36"/>
          <w:szCs w:val="36"/>
          <w:lang w:val="en-GB"/>
        </w:rPr>
        <w:t>Introduction</w:t>
      </w:r>
      <w:r w:rsidRPr="4D1AE66B" w:rsidR="60ED2DF7">
        <w:rPr>
          <w:rFonts w:ascii="Arial Nova" w:hAnsi="Arial Nova" w:eastAsia="Arial Nova" w:cs="Arial Nova"/>
          <w:b w:val="0"/>
          <w:bCs w:val="0"/>
          <w:noProof w:val="0"/>
          <w:color w:val="000000" w:themeColor="text1" w:themeTint="FF" w:themeShade="FF"/>
          <w:sz w:val="36"/>
          <w:szCs w:val="36"/>
          <w:lang w:val="en-GB"/>
        </w:rPr>
        <w:t xml:space="preserve"> </w:t>
      </w:r>
    </w:p>
    <w:p w:rsidR="5971B73F" w:rsidP="4D1AE66B" w:rsidRDefault="5971B73F" w14:paraId="1DBB75A8" w14:textId="0AA1693D">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D1AE66B" w:rsidR="60ED2DF7">
        <w:rPr>
          <w:rFonts w:ascii="Arial Nova" w:hAnsi="Arial Nova" w:eastAsia="Arial Nova" w:cs="Arial Nova"/>
          <w:b w:val="0"/>
          <w:bCs w:val="0"/>
          <w:noProof w:val="0"/>
          <w:color w:val="000000" w:themeColor="text1" w:themeTint="FF" w:themeShade="FF"/>
          <w:sz w:val="24"/>
          <w:szCs w:val="24"/>
          <w:lang w:val="en-GB"/>
        </w:rPr>
        <w:t xml:space="preserve">Transportation plays a pivotal role in tourism and events, yet it also </w:t>
      </w:r>
      <w:r w:rsidRPr="4D1AE66B" w:rsidR="60ED2DF7">
        <w:rPr>
          <w:rFonts w:ascii="Arial Nova" w:hAnsi="Arial Nova" w:eastAsia="Arial Nova" w:cs="Arial Nova"/>
          <w:b w:val="0"/>
          <w:bCs w:val="0"/>
          <w:noProof w:val="0"/>
          <w:color w:val="000000" w:themeColor="text1" w:themeTint="FF" w:themeShade="FF"/>
          <w:sz w:val="24"/>
          <w:szCs w:val="24"/>
          <w:lang w:val="en-GB"/>
        </w:rPr>
        <w:t>remains</w:t>
      </w:r>
      <w:r w:rsidRPr="4D1AE66B" w:rsidR="60ED2DF7">
        <w:rPr>
          <w:rFonts w:ascii="Arial Nova" w:hAnsi="Arial Nova" w:eastAsia="Arial Nova" w:cs="Arial Nova"/>
          <w:b w:val="0"/>
          <w:bCs w:val="0"/>
          <w:noProof w:val="0"/>
          <w:color w:val="000000" w:themeColor="text1" w:themeTint="FF" w:themeShade="FF"/>
          <w:sz w:val="24"/>
          <w:szCs w:val="24"/>
          <w:lang w:val="en-GB"/>
        </w:rPr>
        <w:t xml:space="preserve"> one of the largest contributors to greenhouse</w:t>
      </w:r>
      <w:r w:rsidRPr="4D1AE66B" w:rsidR="70B39989">
        <w:rPr>
          <w:rFonts w:ascii="Arial Nova" w:hAnsi="Arial Nova" w:eastAsia="Arial Nova" w:cs="Arial Nova"/>
          <w:b w:val="0"/>
          <w:bCs w:val="0"/>
          <w:noProof w:val="0"/>
          <w:color w:val="000000" w:themeColor="text1" w:themeTint="FF" w:themeShade="FF"/>
          <w:sz w:val="24"/>
          <w:szCs w:val="24"/>
          <w:lang w:val="en-GB"/>
        </w:rPr>
        <w:t xml:space="preserve"> </w:t>
      </w:r>
      <w:r w:rsidRPr="4D1AE66B" w:rsidR="60ED2DF7">
        <w:rPr>
          <w:rFonts w:ascii="Arial Nova" w:hAnsi="Arial Nova" w:eastAsia="Arial Nova" w:cs="Arial Nova"/>
          <w:b w:val="0"/>
          <w:bCs w:val="0"/>
          <w:noProof w:val="0"/>
          <w:color w:val="000000" w:themeColor="text1" w:themeTint="FF" w:themeShade="FF"/>
          <w:sz w:val="24"/>
          <w:szCs w:val="24"/>
          <w:lang w:val="en-GB"/>
        </w:rPr>
        <w:t>gas emissions and environmental impacts (</w:t>
      </w:r>
      <w:r w:rsidRPr="4D1AE66B" w:rsidR="60ED2DF7">
        <w:rPr>
          <w:rFonts w:ascii="Arial Nova" w:hAnsi="Arial Nova" w:eastAsia="Arial Nova" w:cs="Arial Nova"/>
          <w:b w:val="0"/>
          <w:bCs w:val="0"/>
          <w:noProof w:val="0"/>
          <w:color w:val="000000" w:themeColor="text1" w:themeTint="FF" w:themeShade="FF"/>
          <w:sz w:val="24"/>
          <w:szCs w:val="24"/>
          <w:lang w:val="en-GB"/>
        </w:rPr>
        <w:t>Ballarano</w:t>
      </w:r>
      <w:r w:rsidRPr="4D1AE66B" w:rsidR="60ED2DF7">
        <w:rPr>
          <w:rFonts w:ascii="Arial Nova" w:hAnsi="Arial Nova" w:eastAsia="Arial Nova" w:cs="Arial Nova"/>
          <w:b w:val="0"/>
          <w:bCs w:val="0"/>
          <w:noProof w:val="0"/>
          <w:color w:val="000000" w:themeColor="text1" w:themeTint="FF" w:themeShade="FF"/>
          <w:sz w:val="24"/>
          <w:szCs w:val="24"/>
          <w:lang w:val="en-GB"/>
        </w:rPr>
        <w:t xml:space="preserve">, Patella &amp; </w:t>
      </w:r>
      <w:r w:rsidRPr="4D1AE66B" w:rsidR="60ED2DF7">
        <w:rPr>
          <w:rFonts w:ascii="Arial Nova" w:hAnsi="Arial Nova" w:eastAsia="Arial Nova" w:cs="Arial Nova"/>
          <w:b w:val="0"/>
          <w:bCs w:val="0"/>
          <w:noProof w:val="0"/>
          <w:color w:val="000000" w:themeColor="text1" w:themeTint="FF" w:themeShade="FF"/>
          <w:sz w:val="24"/>
          <w:szCs w:val="24"/>
          <w:lang w:val="en-GB"/>
        </w:rPr>
        <w:t>Asdrubali</w:t>
      </w:r>
      <w:r w:rsidRPr="4D1AE66B" w:rsidR="60ED2DF7">
        <w:rPr>
          <w:rFonts w:ascii="Arial Nova" w:hAnsi="Arial Nova" w:eastAsia="Arial Nova" w:cs="Arial Nova"/>
          <w:b w:val="0"/>
          <w:bCs w:val="0"/>
          <w:noProof w:val="0"/>
          <w:color w:val="000000" w:themeColor="text1" w:themeTint="FF" w:themeShade="FF"/>
          <w:sz w:val="24"/>
          <w:szCs w:val="24"/>
          <w:lang w:val="en-GB"/>
        </w:rPr>
        <w:t xml:space="preserve"> 2022). Within the events sector, mobility to, from and within the event venue can significantly affect not only carbon footprints but also visitor satisfaction, accessibility, cost-effectiveness, and the wider image and competitiveness of the destination. Thus, sustainable transportation is not only desirable for environmental reasons, but also for economic resilience, visitor experience, accessibility, and the global competitiveness of destinations and events.</w:t>
      </w:r>
    </w:p>
    <w:p w:rsidR="5971B73F" w:rsidP="4D1AE66B" w:rsidRDefault="5971B73F" w14:paraId="249F98B8" w14:textId="65BED1C3">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D1AE66B" w:rsidR="60ED2DF7">
        <w:rPr>
          <w:rFonts w:ascii="Arial Nova" w:hAnsi="Arial Nova" w:eastAsia="Arial Nova" w:cs="Arial Nova"/>
          <w:b w:val="0"/>
          <w:bCs w:val="0"/>
          <w:noProof w:val="0"/>
          <w:color w:val="000000" w:themeColor="text1" w:themeTint="FF" w:themeShade="FF"/>
          <w:sz w:val="24"/>
          <w:szCs w:val="24"/>
          <w:lang w:val="en-GB"/>
        </w:rPr>
        <w:t xml:space="preserve">This proposal focuses on the WTM London (World Travel Market) event held annually in London, UK, as the chosen context for the research. WTM attracts thousands of international delegates, exhibitors, </w:t>
      </w:r>
      <w:r w:rsidRPr="4D1AE66B" w:rsidR="60ED2DF7">
        <w:rPr>
          <w:rFonts w:ascii="Arial Nova" w:hAnsi="Arial Nova" w:eastAsia="Arial Nova" w:cs="Arial Nova"/>
          <w:b w:val="0"/>
          <w:bCs w:val="0"/>
          <w:noProof w:val="0"/>
          <w:color w:val="000000" w:themeColor="text1" w:themeTint="FF" w:themeShade="FF"/>
          <w:sz w:val="24"/>
          <w:szCs w:val="24"/>
          <w:lang w:val="en-GB"/>
        </w:rPr>
        <w:t>media</w:t>
      </w:r>
      <w:r w:rsidRPr="4D1AE66B" w:rsidR="60ED2DF7">
        <w:rPr>
          <w:rFonts w:ascii="Arial Nova" w:hAnsi="Arial Nova" w:eastAsia="Arial Nova" w:cs="Arial Nova"/>
          <w:b w:val="0"/>
          <w:bCs w:val="0"/>
          <w:noProof w:val="0"/>
          <w:color w:val="000000" w:themeColor="text1" w:themeTint="FF" w:themeShade="FF"/>
          <w:sz w:val="24"/>
          <w:szCs w:val="24"/>
          <w:lang w:val="en-GB"/>
        </w:rPr>
        <w:t xml:space="preserve"> and service providers, generating complex transport flows into and out of London, and within the event precinct. By examining sustainable transport practices at WTM London, this study aims to explore how attendee travel behaviours and organiser/delegate mobility management can align with sustainability goals, and to </w:t>
      </w:r>
      <w:r w:rsidRPr="4D1AE66B" w:rsidR="60ED2DF7">
        <w:rPr>
          <w:rFonts w:ascii="Arial Nova" w:hAnsi="Arial Nova" w:eastAsia="Arial Nova" w:cs="Arial Nova"/>
          <w:b w:val="0"/>
          <w:bCs w:val="0"/>
          <w:noProof w:val="0"/>
          <w:color w:val="000000" w:themeColor="text1" w:themeTint="FF" w:themeShade="FF"/>
          <w:sz w:val="24"/>
          <w:szCs w:val="24"/>
          <w:lang w:val="en-GB"/>
        </w:rPr>
        <w:t>identify</w:t>
      </w:r>
      <w:r w:rsidRPr="4D1AE66B" w:rsidR="60ED2DF7">
        <w:rPr>
          <w:rFonts w:ascii="Arial Nova" w:hAnsi="Arial Nova" w:eastAsia="Arial Nova" w:cs="Arial Nova"/>
          <w:b w:val="0"/>
          <w:bCs w:val="0"/>
          <w:noProof w:val="0"/>
          <w:color w:val="000000" w:themeColor="text1" w:themeTint="FF" w:themeShade="FF"/>
          <w:sz w:val="24"/>
          <w:szCs w:val="24"/>
          <w:lang w:val="en-GB"/>
        </w:rPr>
        <w:t xml:space="preserve"> barriers and opportunities for improvement. The research addresses how sustainable transport is currently being practised, how attendees choose their travel modes, and how event organisers might influence sustainable mobility. In doing so, the study contributes to both academic understanding and practical interventions in the field of sustainable events mobility.</w:t>
      </w:r>
    </w:p>
    <w:p w:rsidR="5971B73F" w:rsidP="4D1AE66B" w:rsidRDefault="5971B73F" w14:paraId="37FB4C4D" w14:textId="1F156334">
      <w:pPr>
        <w:pStyle w:val="Heading2"/>
        <w:rPr>
          <w:rFonts w:ascii="Arial Nova" w:hAnsi="Arial Nova" w:eastAsia="Arial Nova" w:cs="Arial Nova"/>
          <w:noProof w:val="0"/>
          <w:color w:val="auto"/>
          <w:sz w:val="36"/>
          <w:szCs w:val="36"/>
          <w:lang w:val="en-GB"/>
        </w:rPr>
      </w:pPr>
      <w:r w:rsidRPr="4D1AE66B" w:rsidR="191BEA72">
        <w:rPr>
          <w:rFonts w:ascii="Arial Nova" w:hAnsi="Arial Nova" w:eastAsia="Arial Nova" w:cs="Arial Nova"/>
          <w:noProof w:val="0"/>
          <w:color w:val="auto"/>
          <w:sz w:val="36"/>
          <w:szCs w:val="36"/>
          <w:lang w:val="en-GB"/>
        </w:rPr>
        <w:t>Main Body of the Report</w:t>
      </w:r>
    </w:p>
    <w:p w:rsidR="5971B73F" w:rsidP="4D1AE66B" w:rsidRDefault="5971B73F" w14:paraId="69FD92B2" w14:textId="2ED084CB">
      <w:pPr>
        <w:pStyle w:val="Subtitle"/>
        <w:rPr>
          <w:rFonts w:ascii="Arial Nova" w:hAnsi="Arial Nova" w:eastAsia="Arial Nova" w:cs="Arial Nova"/>
          <w:b w:val="1"/>
          <w:bCs w:val="1"/>
          <w:noProof w:val="0"/>
          <w:color w:val="auto"/>
          <w:sz w:val="28"/>
          <w:szCs w:val="28"/>
          <w:lang w:val="en-GB"/>
        </w:rPr>
      </w:pPr>
      <w:r w:rsidRPr="4D1AE66B" w:rsidR="191BEA72">
        <w:rPr>
          <w:rFonts w:ascii="Arial Nova" w:hAnsi="Arial Nova" w:eastAsia="Arial Nova" w:cs="Arial Nova"/>
          <w:noProof w:val="0"/>
          <w:color w:val="auto"/>
          <w:lang w:val="en-GB"/>
        </w:rPr>
        <w:t xml:space="preserve">Literature Review </w:t>
      </w:r>
    </w:p>
    <w:p w:rsidR="5971B73F" w:rsidP="4D1AE66B" w:rsidRDefault="5971B73F" w14:paraId="636E634A" w14:textId="42707F3A">
      <w:pPr>
        <w:pStyle w:val="Normal"/>
      </w:pPr>
      <w:r w:rsidRPr="4D1AE66B" w:rsidR="215794C1">
        <w:rPr>
          <w:rFonts w:ascii="Arial Nova" w:hAnsi="Arial Nova" w:eastAsia="Arial Nova" w:cs="Arial Nova"/>
          <w:noProof w:val="0"/>
          <w:color w:val="000000" w:themeColor="text1" w:themeTint="FF" w:themeShade="FF"/>
          <w:sz w:val="24"/>
          <w:szCs w:val="24"/>
          <w:lang w:val="en-GB"/>
        </w:rPr>
        <w:t xml:space="preserve">Transportation is a fundamental </w:t>
      </w:r>
      <w:r w:rsidRPr="4D1AE66B" w:rsidR="215794C1">
        <w:rPr>
          <w:rFonts w:ascii="Arial Nova" w:hAnsi="Arial Nova" w:eastAsia="Arial Nova" w:cs="Arial Nova"/>
          <w:noProof w:val="0"/>
          <w:color w:val="000000" w:themeColor="text1" w:themeTint="FF" w:themeShade="FF"/>
          <w:sz w:val="24"/>
          <w:szCs w:val="24"/>
          <w:lang w:val="en-GB"/>
        </w:rPr>
        <w:t>component</w:t>
      </w:r>
      <w:r w:rsidRPr="4D1AE66B" w:rsidR="215794C1">
        <w:rPr>
          <w:rFonts w:ascii="Arial Nova" w:hAnsi="Arial Nova" w:eastAsia="Arial Nova" w:cs="Arial Nova"/>
          <w:noProof w:val="0"/>
          <w:color w:val="000000" w:themeColor="text1" w:themeTint="FF" w:themeShade="FF"/>
          <w:sz w:val="24"/>
          <w:szCs w:val="24"/>
          <w:lang w:val="en-GB"/>
        </w:rPr>
        <w:t xml:space="preserve"> of tourism and events, connecting visitors to destinations and venues, yet it </w:t>
      </w:r>
      <w:r w:rsidRPr="4D1AE66B" w:rsidR="215794C1">
        <w:rPr>
          <w:rFonts w:ascii="Arial Nova" w:hAnsi="Arial Nova" w:eastAsia="Arial Nova" w:cs="Arial Nova"/>
          <w:noProof w:val="0"/>
          <w:color w:val="000000" w:themeColor="text1" w:themeTint="FF" w:themeShade="FF"/>
          <w:sz w:val="24"/>
          <w:szCs w:val="24"/>
          <w:lang w:val="en-GB"/>
        </w:rPr>
        <w:t>remains</w:t>
      </w:r>
      <w:r w:rsidRPr="4D1AE66B" w:rsidR="215794C1">
        <w:rPr>
          <w:rFonts w:ascii="Arial Nova" w:hAnsi="Arial Nova" w:eastAsia="Arial Nova" w:cs="Arial Nova"/>
          <w:noProof w:val="0"/>
          <w:color w:val="000000" w:themeColor="text1" w:themeTint="FF" w:themeShade="FF"/>
          <w:sz w:val="24"/>
          <w:szCs w:val="24"/>
          <w:lang w:val="en-GB"/>
        </w:rPr>
        <w:t xml:space="preserve"> one of the most significant sources of environmental impact in the sector (</w:t>
      </w:r>
      <w:r w:rsidRPr="4D1AE66B" w:rsidR="215794C1">
        <w:rPr>
          <w:rFonts w:ascii="Arial Nova" w:hAnsi="Arial Nova" w:eastAsia="Arial Nova" w:cs="Arial Nova"/>
          <w:noProof w:val="0"/>
          <w:color w:val="000000" w:themeColor="text1" w:themeTint="FF" w:themeShade="FF"/>
          <w:sz w:val="24"/>
          <w:szCs w:val="24"/>
          <w:lang w:val="en-GB"/>
        </w:rPr>
        <w:t>Gössling</w:t>
      </w:r>
      <w:r w:rsidRPr="4D1AE66B" w:rsidR="215794C1">
        <w:rPr>
          <w:rFonts w:ascii="Arial Nova" w:hAnsi="Arial Nova" w:eastAsia="Arial Nova" w:cs="Arial Nova"/>
          <w:noProof w:val="0"/>
          <w:color w:val="000000" w:themeColor="text1" w:themeTint="FF" w:themeShade="FF"/>
          <w:sz w:val="24"/>
          <w:szCs w:val="24"/>
          <w:lang w:val="en-GB"/>
        </w:rPr>
        <w:t xml:space="preserve"> et al., 2021). In the events industry, transport</w:t>
      </w:r>
      <w:r w:rsidRPr="4D1AE66B" w:rsidR="2C8140C4">
        <w:rPr>
          <w:rFonts w:ascii="Arial Nova" w:hAnsi="Arial Nova" w:eastAsia="Arial Nova" w:cs="Arial Nova"/>
          <w:noProof w:val="0"/>
          <w:color w:val="000000" w:themeColor="text1" w:themeTint="FF" w:themeShade="FF"/>
          <w:sz w:val="24"/>
          <w:szCs w:val="24"/>
          <w:lang w:val="en-GB"/>
        </w:rPr>
        <w:t xml:space="preserve"> </w:t>
      </w:r>
      <w:r w:rsidRPr="4D1AE66B" w:rsidR="215794C1">
        <w:rPr>
          <w:rFonts w:ascii="Arial Nova" w:hAnsi="Arial Nova" w:eastAsia="Arial Nova" w:cs="Arial Nova"/>
          <w:noProof w:val="0"/>
          <w:color w:val="000000" w:themeColor="text1" w:themeTint="FF" w:themeShade="FF"/>
          <w:sz w:val="24"/>
          <w:szCs w:val="24"/>
          <w:lang w:val="en-GB"/>
        </w:rPr>
        <w:t xml:space="preserve">related emissions often </w:t>
      </w:r>
      <w:r w:rsidRPr="4D1AE66B" w:rsidR="215794C1">
        <w:rPr>
          <w:rFonts w:ascii="Arial Nova" w:hAnsi="Arial Nova" w:eastAsia="Arial Nova" w:cs="Arial Nova"/>
          <w:noProof w:val="0"/>
          <w:color w:val="000000" w:themeColor="text1" w:themeTint="FF" w:themeShade="FF"/>
          <w:sz w:val="24"/>
          <w:szCs w:val="24"/>
          <w:lang w:val="en-GB"/>
        </w:rPr>
        <w:t>represent</w:t>
      </w:r>
      <w:r w:rsidRPr="4D1AE66B" w:rsidR="215794C1">
        <w:rPr>
          <w:rFonts w:ascii="Arial Nova" w:hAnsi="Arial Nova" w:eastAsia="Arial Nova" w:cs="Arial Nova"/>
          <w:noProof w:val="0"/>
          <w:color w:val="000000" w:themeColor="text1" w:themeTint="FF" w:themeShade="FF"/>
          <w:sz w:val="24"/>
          <w:szCs w:val="24"/>
          <w:lang w:val="en-GB"/>
        </w:rPr>
        <w:t xml:space="preserve"> the largest share of an event’s total carbon footprint, primarily due to attendee and exhibitor travel (Becken &amp; Simmons, 2019). As awareness of climate change grows, the need for more sustainable mobility solutions within tourism and events has become a critical research and management priority (Cohen et al., 2020).</w:t>
      </w:r>
    </w:p>
    <w:p w:rsidR="05B57DB3" w:rsidP="4D1AE66B" w:rsidRDefault="05B57DB3" w14:paraId="6B08F35C" w14:textId="6C9CC57F">
      <w:pPr>
        <w:pStyle w:val="Normal"/>
      </w:pPr>
      <w:r w:rsidRPr="4D1AE66B" w:rsidR="05B57DB3">
        <w:rPr>
          <w:rFonts w:ascii="Arial Nova" w:hAnsi="Arial Nova" w:eastAsia="Arial Nova" w:cs="Arial Nova"/>
          <w:b w:val="0"/>
          <w:bCs w:val="0"/>
          <w:noProof w:val="0"/>
          <w:color w:val="000000" w:themeColor="text1" w:themeTint="FF" w:themeShade="FF"/>
          <w:sz w:val="24"/>
          <w:szCs w:val="24"/>
          <w:lang w:val="en-GB"/>
        </w:rPr>
        <w:t>Sustainable transport</w:t>
      </w:r>
      <w:r w:rsidRPr="4D1AE66B" w:rsidR="05B57DB3">
        <w:rPr>
          <w:rFonts w:ascii="Arial Nova" w:hAnsi="Arial Nova" w:eastAsia="Arial Nova" w:cs="Arial Nova"/>
          <w:b w:val="0"/>
          <w:bCs w:val="0"/>
          <w:noProof w:val="0"/>
          <w:color w:val="000000" w:themeColor="text1" w:themeTint="FF" w:themeShade="FF"/>
          <w:sz w:val="24"/>
          <w:szCs w:val="24"/>
          <w:lang w:val="en-GB"/>
        </w:rPr>
        <w:t xml:space="preserve"> </w:t>
      </w:r>
      <w:r w:rsidRPr="4D1AE66B" w:rsidR="05B57DB3">
        <w:rPr>
          <w:rFonts w:ascii="Arial Nova" w:hAnsi="Arial Nova" w:eastAsia="Arial Nova" w:cs="Arial Nova"/>
          <w:noProof w:val="0"/>
          <w:color w:val="000000" w:themeColor="text1" w:themeTint="FF" w:themeShade="FF"/>
          <w:sz w:val="24"/>
          <w:szCs w:val="24"/>
          <w:lang w:val="en-GB"/>
        </w:rPr>
        <w:t xml:space="preserve">refers to systems that meet mobility needs while minimising environmental harm, supporting social inclusion, and contributing to economic resilience (UNWTO, 2019). In event contexts, this can include promoting public transport, </w:t>
      </w:r>
      <w:r w:rsidRPr="4D1AE66B" w:rsidR="05B57DB3">
        <w:rPr>
          <w:rFonts w:ascii="Arial Nova" w:hAnsi="Arial Nova" w:eastAsia="Arial Nova" w:cs="Arial Nova"/>
          <w:noProof w:val="0"/>
          <w:color w:val="000000" w:themeColor="text1" w:themeTint="FF" w:themeShade="FF"/>
          <w:sz w:val="24"/>
          <w:szCs w:val="24"/>
          <w:lang w:val="en-GB"/>
        </w:rPr>
        <w:t>cycling</w:t>
      </w:r>
      <w:r w:rsidRPr="4D1AE66B" w:rsidR="05B57DB3">
        <w:rPr>
          <w:rFonts w:ascii="Arial Nova" w:hAnsi="Arial Nova" w:eastAsia="Arial Nova" w:cs="Arial Nova"/>
          <w:noProof w:val="0"/>
          <w:color w:val="000000" w:themeColor="text1" w:themeTint="FF" w:themeShade="FF"/>
          <w:sz w:val="24"/>
          <w:szCs w:val="24"/>
          <w:lang w:val="en-GB"/>
        </w:rPr>
        <w:t xml:space="preserve"> and walking, shared mobility, and the use of low-emission or electric vehicles (Jung, 2024). Large international events like </w:t>
      </w:r>
      <w:r w:rsidRPr="4D1AE66B" w:rsidR="05B57DB3">
        <w:rPr>
          <w:rFonts w:ascii="Arial Nova" w:hAnsi="Arial Nova" w:eastAsia="Arial Nova" w:cs="Arial Nova"/>
          <w:b w:val="0"/>
          <w:bCs w:val="0"/>
          <w:noProof w:val="0"/>
          <w:color w:val="000000" w:themeColor="text1" w:themeTint="FF" w:themeShade="FF"/>
          <w:sz w:val="24"/>
          <w:szCs w:val="24"/>
          <w:lang w:val="en-GB"/>
        </w:rPr>
        <w:t>WTM London</w:t>
      </w:r>
      <w:r w:rsidRPr="4D1AE66B" w:rsidR="05B57DB3">
        <w:rPr>
          <w:rFonts w:ascii="Arial Nova" w:hAnsi="Arial Nova" w:eastAsia="Arial Nova" w:cs="Arial Nova"/>
          <w:b w:val="0"/>
          <w:bCs w:val="0"/>
          <w:noProof w:val="0"/>
          <w:color w:val="000000" w:themeColor="text1" w:themeTint="FF" w:themeShade="FF"/>
          <w:sz w:val="24"/>
          <w:szCs w:val="24"/>
          <w:lang w:val="en-GB"/>
        </w:rPr>
        <w:t xml:space="preserve"> </w:t>
      </w:r>
      <w:r w:rsidRPr="4D1AE66B" w:rsidR="05B57DB3">
        <w:rPr>
          <w:rFonts w:ascii="Arial Nova" w:hAnsi="Arial Nova" w:eastAsia="Arial Nova" w:cs="Arial Nova"/>
          <w:noProof w:val="0"/>
          <w:color w:val="000000" w:themeColor="text1" w:themeTint="FF" w:themeShade="FF"/>
          <w:sz w:val="24"/>
          <w:szCs w:val="24"/>
          <w:lang w:val="en-GB"/>
        </w:rPr>
        <w:t xml:space="preserve">present both challenges and opportunities for sustainable mobility. </w:t>
      </w:r>
      <w:r w:rsidRPr="4D1AE66B" w:rsidR="5B0A3284">
        <w:rPr>
          <w:rFonts w:ascii="Arial Nova" w:hAnsi="Arial Nova" w:eastAsia="Arial Nova" w:cs="Arial Nova"/>
          <w:noProof w:val="0"/>
          <w:color w:val="000000" w:themeColor="text1" w:themeTint="FF" w:themeShade="FF"/>
          <w:sz w:val="24"/>
          <w:szCs w:val="24"/>
          <w:lang w:val="en-GB"/>
        </w:rPr>
        <w:t>The event attracts thousands of visitors from all over the world, many of whom travel great distances, and its London location offers easy access to a wide range of public transit options, such as the DLR, Underground, and train lines.</w:t>
      </w:r>
      <w:r w:rsidRPr="4D1AE66B" w:rsidR="05B57DB3">
        <w:rPr>
          <w:rFonts w:ascii="Arial Nova" w:hAnsi="Arial Nova" w:eastAsia="Arial Nova" w:cs="Arial Nova"/>
          <w:noProof w:val="0"/>
          <w:color w:val="000000" w:themeColor="text1" w:themeTint="FF" w:themeShade="FF"/>
          <w:sz w:val="24"/>
          <w:szCs w:val="24"/>
          <w:lang w:val="en-GB"/>
        </w:rPr>
        <w:t xml:space="preserve"> However, reliance on air travel </w:t>
      </w:r>
      <w:r w:rsidRPr="4D1AE66B" w:rsidR="05B57DB3">
        <w:rPr>
          <w:rFonts w:ascii="Arial Nova" w:hAnsi="Arial Nova" w:eastAsia="Arial Nova" w:cs="Arial Nova"/>
          <w:noProof w:val="0"/>
          <w:color w:val="000000" w:themeColor="text1" w:themeTint="FF" w:themeShade="FF"/>
          <w:sz w:val="24"/>
          <w:szCs w:val="24"/>
          <w:lang w:val="en-GB"/>
        </w:rPr>
        <w:t>remains</w:t>
      </w:r>
      <w:r w:rsidRPr="4D1AE66B" w:rsidR="05B57DB3">
        <w:rPr>
          <w:rFonts w:ascii="Arial Nova" w:hAnsi="Arial Nova" w:eastAsia="Arial Nova" w:cs="Arial Nova"/>
          <w:noProof w:val="0"/>
          <w:color w:val="000000" w:themeColor="text1" w:themeTint="FF" w:themeShade="FF"/>
          <w:sz w:val="24"/>
          <w:szCs w:val="24"/>
          <w:lang w:val="en-GB"/>
        </w:rPr>
        <w:t xml:space="preserve"> a major barrier to sustainability (</w:t>
      </w:r>
      <w:r w:rsidRPr="4D1AE66B" w:rsidR="05B57DB3">
        <w:rPr>
          <w:rFonts w:ascii="Arial Nova" w:hAnsi="Arial Nova" w:eastAsia="Arial Nova" w:cs="Arial Nova"/>
          <w:noProof w:val="0"/>
          <w:color w:val="000000" w:themeColor="text1" w:themeTint="FF" w:themeShade="FF"/>
          <w:sz w:val="24"/>
          <w:szCs w:val="24"/>
          <w:lang w:val="en-GB"/>
        </w:rPr>
        <w:t>Gössling</w:t>
      </w:r>
      <w:r w:rsidRPr="4D1AE66B" w:rsidR="05B57DB3">
        <w:rPr>
          <w:rFonts w:ascii="Arial Nova" w:hAnsi="Arial Nova" w:eastAsia="Arial Nova" w:cs="Arial Nova"/>
          <w:noProof w:val="0"/>
          <w:color w:val="000000" w:themeColor="text1" w:themeTint="FF" w:themeShade="FF"/>
          <w:sz w:val="24"/>
          <w:szCs w:val="24"/>
          <w:lang w:val="en-GB"/>
        </w:rPr>
        <w:t xml:space="preserve"> &amp; Peeters, 2015).</w:t>
      </w:r>
    </w:p>
    <w:p w:rsidR="4D1AE66B" w:rsidP="4D1AE66B" w:rsidRDefault="4D1AE66B" w14:paraId="1F612F86" w14:textId="31D309B5">
      <w:pPr>
        <w:pStyle w:val="Normal"/>
        <w:rPr>
          <w:rFonts w:ascii="Arial Nova" w:hAnsi="Arial Nova" w:eastAsia="Arial Nova" w:cs="Arial Nova"/>
          <w:noProof w:val="0"/>
          <w:color w:val="000000" w:themeColor="text1" w:themeTint="FF" w:themeShade="FF"/>
          <w:sz w:val="24"/>
          <w:szCs w:val="24"/>
          <w:lang w:val="en-GB"/>
        </w:rPr>
      </w:pPr>
    </w:p>
    <w:p w:rsidR="66291508" w:rsidP="4D1AE66B" w:rsidRDefault="66291508" w14:paraId="769937D0" w14:textId="4DDACD09">
      <w:pPr>
        <w:spacing w:before="240" w:beforeAutospacing="off" w:after="240" w:afterAutospacing="off"/>
      </w:pPr>
      <w:r w:rsidRPr="4D1AE66B" w:rsidR="66291508">
        <w:rPr>
          <w:rFonts w:ascii="Arial Nova" w:hAnsi="Arial Nova" w:eastAsia="Arial Nova" w:cs="Arial Nova"/>
          <w:noProof w:val="0"/>
          <w:color w:val="000000" w:themeColor="text1" w:themeTint="FF" w:themeShade="FF"/>
          <w:sz w:val="24"/>
          <w:szCs w:val="24"/>
          <w:lang w:val="en-GB"/>
        </w:rPr>
        <w:t xml:space="preserve">Research shows that attendees’ travel behaviour is influenced by multiple factors: cost, convenience, comfort, time, and environmental awareness (Martins et al., 2021). Behavioural change theories, such as the </w:t>
      </w:r>
      <w:r w:rsidRPr="4D1AE66B" w:rsidR="66291508">
        <w:rPr>
          <w:rFonts w:ascii="Arial Nova" w:hAnsi="Arial Nova" w:eastAsia="Arial Nova" w:cs="Arial Nova"/>
          <w:b w:val="0"/>
          <w:bCs w:val="0"/>
          <w:noProof w:val="0"/>
          <w:color w:val="000000" w:themeColor="text1" w:themeTint="FF" w:themeShade="FF"/>
          <w:sz w:val="24"/>
          <w:szCs w:val="24"/>
          <w:lang w:val="en-GB"/>
        </w:rPr>
        <w:t>T</w:t>
      </w:r>
      <w:r w:rsidRPr="4D1AE66B" w:rsidR="66291508">
        <w:rPr>
          <w:rFonts w:ascii="Arial Nova" w:hAnsi="Arial Nova" w:eastAsia="Arial Nova" w:cs="Arial Nova"/>
          <w:b w:val="0"/>
          <w:bCs w:val="0"/>
          <w:noProof w:val="0"/>
          <w:color w:val="000000" w:themeColor="text1" w:themeTint="FF" w:themeShade="FF"/>
          <w:sz w:val="24"/>
          <w:szCs w:val="24"/>
          <w:lang w:val="en-GB"/>
        </w:rPr>
        <w:t>heory of Planned Behaviour</w:t>
      </w:r>
      <w:r w:rsidRPr="4D1AE66B" w:rsidR="66291508">
        <w:rPr>
          <w:rFonts w:ascii="Arial Nova" w:hAnsi="Arial Nova" w:eastAsia="Arial Nova" w:cs="Arial Nova"/>
          <w:b w:val="0"/>
          <w:bCs w:val="0"/>
          <w:noProof w:val="0"/>
          <w:color w:val="000000" w:themeColor="text1" w:themeTint="FF" w:themeShade="FF"/>
          <w:sz w:val="24"/>
          <w:szCs w:val="24"/>
          <w:lang w:val="en-GB"/>
        </w:rPr>
        <w:t xml:space="preserve"> </w:t>
      </w:r>
      <w:r w:rsidRPr="4D1AE66B" w:rsidR="66291508">
        <w:rPr>
          <w:rFonts w:ascii="Arial Nova" w:hAnsi="Arial Nova" w:eastAsia="Arial Nova" w:cs="Arial Nova"/>
          <w:b w:val="0"/>
          <w:bCs w:val="0"/>
          <w:noProof w:val="0"/>
          <w:color w:val="000000" w:themeColor="text1" w:themeTint="FF" w:themeShade="FF"/>
          <w:sz w:val="24"/>
          <w:szCs w:val="24"/>
          <w:lang w:val="en-GB"/>
        </w:rPr>
        <w:t>(Ajzen, 1991), suggest that even when individuals</w:t>
      </w:r>
      <w:r w:rsidRPr="4D1AE66B" w:rsidR="66291508">
        <w:rPr>
          <w:rFonts w:ascii="Arial Nova" w:hAnsi="Arial Nova" w:eastAsia="Arial Nova" w:cs="Arial Nova"/>
          <w:noProof w:val="0"/>
          <w:color w:val="000000" w:themeColor="text1" w:themeTint="FF" w:themeShade="FF"/>
          <w:sz w:val="24"/>
          <w:szCs w:val="24"/>
          <w:lang w:val="en-GB"/>
        </w:rPr>
        <w:t xml:space="preserve"> express pro-environmental attitudes, their actions may not align if structural barriers (e.g., cost, accessibility) exist. </w:t>
      </w:r>
      <w:r w:rsidRPr="4D1AE66B" w:rsidR="32B58EA5">
        <w:rPr>
          <w:rFonts w:ascii="Arial Nova" w:hAnsi="Arial Nova" w:eastAsia="Arial Nova" w:cs="Arial Nova"/>
          <w:noProof w:val="0"/>
          <w:color w:val="000000" w:themeColor="text1" w:themeTint="FF" w:themeShade="FF"/>
          <w:sz w:val="24"/>
          <w:szCs w:val="24"/>
          <w:lang w:val="en-GB"/>
        </w:rPr>
        <w:t xml:space="preserve">When setting up an event, </w:t>
      </w:r>
      <w:r w:rsidRPr="4D1AE66B" w:rsidR="66291508">
        <w:rPr>
          <w:rFonts w:ascii="Arial Nova" w:hAnsi="Arial Nova" w:eastAsia="Arial Nova" w:cs="Arial Nova"/>
          <w:noProof w:val="0"/>
          <w:color w:val="000000" w:themeColor="text1" w:themeTint="FF" w:themeShade="FF"/>
          <w:sz w:val="24"/>
          <w:szCs w:val="24"/>
          <w:lang w:val="en-GB"/>
        </w:rPr>
        <w:t xml:space="preserve">organisers play a key role in influencing sustainable mobility through information provision, incentives, and collaboration with transport providers (Mair &amp; Laing, 2013). Despite this, studies </w:t>
      </w:r>
      <w:r w:rsidRPr="4D1AE66B" w:rsidR="66291508">
        <w:rPr>
          <w:rFonts w:ascii="Arial Nova" w:hAnsi="Arial Nova" w:eastAsia="Arial Nova" w:cs="Arial Nova"/>
          <w:noProof w:val="0"/>
          <w:color w:val="000000" w:themeColor="text1" w:themeTint="FF" w:themeShade="FF"/>
          <w:sz w:val="24"/>
          <w:szCs w:val="24"/>
          <w:lang w:val="en-GB"/>
        </w:rPr>
        <w:t>indicate</w:t>
      </w:r>
      <w:r w:rsidRPr="4D1AE66B" w:rsidR="66291508">
        <w:rPr>
          <w:rFonts w:ascii="Arial Nova" w:hAnsi="Arial Nova" w:eastAsia="Arial Nova" w:cs="Arial Nova"/>
          <w:noProof w:val="0"/>
          <w:color w:val="000000" w:themeColor="text1" w:themeTint="FF" w:themeShade="FF"/>
          <w:sz w:val="24"/>
          <w:szCs w:val="24"/>
          <w:lang w:val="en-GB"/>
        </w:rPr>
        <w:t xml:space="preserve"> that many event organisers still lack systematic approaches to transport sustainability and </w:t>
      </w:r>
      <w:r w:rsidRPr="4D1AE66B" w:rsidR="66291508">
        <w:rPr>
          <w:rFonts w:ascii="Arial Nova" w:hAnsi="Arial Nova" w:eastAsia="Arial Nova" w:cs="Arial Nova"/>
          <w:noProof w:val="0"/>
          <w:color w:val="000000" w:themeColor="text1" w:themeTint="FF" w:themeShade="FF"/>
          <w:sz w:val="24"/>
          <w:szCs w:val="24"/>
          <w:lang w:val="en-GB"/>
        </w:rPr>
        <w:t>fail to</w:t>
      </w:r>
      <w:r w:rsidRPr="4D1AE66B" w:rsidR="66291508">
        <w:rPr>
          <w:rFonts w:ascii="Arial Nova" w:hAnsi="Arial Nova" w:eastAsia="Arial Nova" w:cs="Arial Nova"/>
          <w:noProof w:val="0"/>
          <w:color w:val="000000" w:themeColor="text1" w:themeTint="FF" w:themeShade="FF"/>
          <w:sz w:val="24"/>
          <w:szCs w:val="24"/>
          <w:lang w:val="en-GB"/>
        </w:rPr>
        <w:t xml:space="preserve"> measure or report emissions from attendee travel (Raj &amp; Musgrave, 2017).</w:t>
      </w:r>
    </w:p>
    <w:p w:rsidR="4D1AE66B" w:rsidP="4D1AE66B" w:rsidRDefault="4D1AE66B" w14:paraId="0EFC59D7" w14:textId="03BD3775">
      <w:pPr>
        <w:pStyle w:val="Subtitle"/>
        <w:rPr>
          <w:rFonts w:ascii="Arial Nova" w:hAnsi="Arial Nova" w:eastAsia="Arial Nova" w:cs="Arial Nova"/>
          <w:b w:val="0"/>
          <w:bCs w:val="0"/>
          <w:noProof w:val="0"/>
          <w:color w:val="auto"/>
          <w:sz w:val="28"/>
          <w:szCs w:val="28"/>
          <w:lang w:val="en-GB"/>
        </w:rPr>
      </w:pPr>
    </w:p>
    <w:p w:rsidR="2BB2BACE" w:rsidP="4D1AE66B" w:rsidRDefault="2BB2BACE" w14:paraId="50AAB9CC" w14:textId="2E12A01B">
      <w:pPr>
        <w:pStyle w:val="Subtitle"/>
        <w:rPr>
          <w:rFonts w:ascii="Arial Nova" w:hAnsi="Arial Nova" w:eastAsia="Arial Nova" w:cs="Arial Nova"/>
          <w:b w:val="0"/>
          <w:bCs w:val="0"/>
          <w:noProof w:val="0"/>
          <w:color w:val="auto"/>
          <w:sz w:val="28"/>
          <w:szCs w:val="28"/>
          <w:lang w:val="en-GB"/>
        </w:rPr>
      </w:pPr>
      <w:r w:rsidRPr="4D1AE66B" w:rsidR="2BB2BACE">
        <w:rPr>
          <w:rFonts w:ascii="Arial Nova" w:hAnsi="Arial Nova" w:eastAsia="Arial Nova" w:cs="Arial Nova"/>
          <w:b w:val="0"/>
          <w:bCs w:val="0"/>
          <w:noProof w:val="0"/>
          <w:color w:val="auto"/>
          <w:sz w:val="28"/>
          <w:szCs w:val="28"/>
          <w:lang w:val="en-GB"/>
        </w:rPr>
        <w:t>Research Aims and Objectives</w:t>
      </w:r>
    </w:p>
    <w:p w:rsidR="0D630056" w:rsidP="4D1AE66B" w:rsidRDefault="0D630056" w14:paraId="5104C271" w14:textId="67590628">
      <w:pPr>
        <w:pStyle w:val="Normal"/>
        <w:rPr>
          <w:rFonts w:ascii="Arial Nova" w:hAnsi="Arial Nova" w:eastAsia="Arial Nova" w:cs="Arial Nova"/>
          <w:b w:val="0"/>
          <w:bCs w:val="0"/>
          <w:noProof w:val="0"/>
          <w:color w:val="auto"/>
          <w:sz w:val="24"/>
          <w:szCs w:val="24"/>
          <w:lang w:val="en-GB"/>
        </w:rPr>
      </w:pPr>
      <w:r w:rsidRPr="4D1AE66B" w:rsidR="0D630056">
        <w:rPr>
          <w:rFonts w:ascii="Arial Nova" w:hAnsi="Arial Nova" w:eastAsia="Arial Nova" w:cs="Arial Nova"/>
          <w:b w:val="0"/>
          <w:bCs w:val="0"/>
          <w:noProof w:val="0"/>
          <w:color w:val="auto"/>
          <w:sz w:val="24"/>
          <w:szCs w:val="24"/>
          <w:lang w:val="en-GB"/>
        </w:rPr>
        <w:t xml:space="preserve">This study is to investigate how WTM London attendees and planners perceive and use sustainable transport in event settings, as well as to pinpoint obstacles and chances for enhancing mobility sustainability in </w:t>
      </w:r>
      <w:r w:rsidRPr="4D1AE66B" w:rsidR="0D630056">
        <w:rPr>
          <w:rFonts w:ascii="Arial Nova" w:hAnsi="Arial Nova" w:eastAsia="Arial Nova" w:cs="Arial Nova"/>
          <w:b w:val="0"/>
          <w:bCs w:val="0"/>
          <w:noProof w:val="0"/>
          <w:color w:val="auto"/>
          <w:sz w:val="24"/>
          <w:szCs w:val="24"/>
          <w:lang w:val="en-GB"/>
        </w:rPr>
        <w:t>subsequent</w:t>
      </w:r>
      <w:r w:rsidRPr="4D1AE66B" w:rsidR="0D630056">
        <w:rPr>
          <w:rFonts w:ascii="Arial Nova" w:hAnsi="Arial Nova" w:eastAsia="Arial Nova" w:cs="Arial Nova"/>
          <w:b w:val="0"/>
          <w:bCs w:val="0"/>
          <w:noProof w:val="0"/>
          <w:color w:val="auto"/>
          <w:sz w:val="24"/>
          <w:szCs w:val="24"/>
          <w:lang w:val="en-GB"/>
        </w:rPr>
        <w:t xml:space="preserve"> events.</w:t>
      </w:r>
    </w:p>
    <w:p w:rsidR="0D630056" w:rsidP="4D1AE66B" w:rsidRDefault="0D630056" w14:paraId="41BA6E1E" w14:textId="2DFC35FE">
      <w:pPr>
        <w:pStyle w:val="Normal"/>
        <w:rPr>
          <w:rFonts w:ascii="Arial Nova" w:hAnsi="Arial Nova" w:eastAsia="Arial Nova" w:cs="Arial Nova"/>
          <w:b w:val="0"/>
          <w:bCs w:val="0"/>
          <w:noProof w:val="0"/>
          <w:color w:val="auto"/>
          <w:sz w:val="24"/>
          <w:szCs w:val="24"/>
          <w:lang w:val="en-GB"/>
        </w:rPr>
      </w:pPr>
      <w:r w:rsidRPr="4D1AE66B" w:rsidR="0D630056">
        <w:rPr>
          <w:rFonts w:ascii="Arial Nova" w:hAnsi="Arial Nova" w:eastAsia="Arial Nova" w:cs="Arial Nova"/>
          <w:b w:val="0"/>
          <w:bCs w:val="0"/>
          <w:noProof w:val="0"/>
          <w:color w:val="auto"/>
          <w:sz w:val="24"/>
          <w:szCs w:val="24"/>
          <w:lang w:val="en-GB"/>
        </w:rPr>
        <w:t xml:space="preserve">The specific </w:t>
      </w:r>
      <w:r w:rsidRPr="4D1AE66B" w:rsidR="0D630056">
        <w:rPr>
          <w:rFonts w:ascii="Arial Nova" w:hAnsi="Arial Nova" w:eastAsia="Arial Nova" w:cs="Arial Nova"/>
          <w:b w:val="0"/>
          <w:bCs w:val="0"/>
          <w:noProof w:val="0"/>
          <w:color w:val="auto"/>
          <w:sz w:val="24"/>
          <w:szCs w:val="24"/>
          <w:lang w:val="en-GB"/>
        </w:rPr>
        <w:t>objectives</w:t>
      </w:r>
      <w:r w:rsidRPr="4D1AE66B" w:rsidR="0D630056">
        <w:rPr>
          <w:rFonts w:ascii="Arial Nova" w:hAnsi="Arial Nova" w:eastAsia="Arial Nova" w:cs="Arial Nova"/>
          <w:b w:val="0"/>
          <w:bCs w:val="0"/>
          <w:noProof w:val="0"/>
          <w:color w:val="auto"/>
          <w:sz w:val="24"/>
          <w:szCs w:val="24"/>
          <w:lang w:val="en-GB"/>
        </w:rPr>
        <w:t xml:space="preserve"> are:</w:t>
      </w:r>
    </w:p>
    <w:p w:rsidR="29767008" w:rsidP="4D1AE66B" w:rsidRDefault="29767008" w14:paraId="4503E0E4" w14:textId="063679B2">
      <w:pPr>
        <w:pStyle w:val="ListParagraph"/>
        <w:numPr>
          <w:ilvl w:val="0"/>
          <w:numId w:val="2"/>
        </w:numPr>
        <w:rPr>
          <w:rFonts w:ascii="Arial Nova" w:hAnsi="Arial Nova" w:eastAsia="Arial Nova" w:cs="Arial Nova"/>
          <w:b w:val="0"/>
          <w:bCs w:val="0"/>
          <w:noProof w:val="0"/>
          <w:color w:val="auto"/>
          <w:sz w:val="24"/>
          <w:szCs w:val="24"/>
          <w:lang w:val="en-GB"/>
        </w:rPr>
      </w:pPr>
      <w:r w:rsidRPr="4D1AE66B" w:rsidR="29767008">
        <w:rPr>
          <w:rFonts w:ascii="Arial Nova" w:hAnsi="Arial Nova" w:eastAsia="Arial Nova" w:cs="Arial Nova"/>
          <w:b w:val="0"/>
          <w:bCs w:val="0"/>
          <w:noProof w:val="0"/>
          <w:color w:val="auto"/>
          <w:sz w:val="24"/>
          <w:szCs w:val="24"/>
          <w:lang w:val="en-GB"/>
        </w:rPr>
        <w:t xml:space="preserve">To explore attendees’ attitudes and awareness </w:t>
      </w:r>
      <w:r w:rsidRPr="4D1AE66B" w:rsidR="29767008">
        <w:rPr>
          <w:rFonts w:ascii="Arial Nova" w:hAnsi="Arial Nova" w:eastAsia="Arial Nova" w:cs="Arial Nova"/>
          <w:b w:val="0"/>
          <w:bCs w:val="0"/>
          <w:noProof w:val="0"/>
          <w:color w:val="auto"/>
          <w:sz w:val="24"/>
          <w:szCs w:val="24"/>
          <w:lang w:val="en-GB"/>
        </w:rPr>
        <w:t>regarding</w:t>
      </w:r>
      <w:r w:rsidRPr="4D1AE66B" w:rsidR="29767008">
        <w:rPr>
          <w:rFonts w:ascii="Arial Nova" w:hAnsi="Arial Nova" w:eastAsia="Arial Nova" w:cs="Arial Nova"/>
          <w:b w:val="0"/>
          <w:bCs w:val="0"/>
          <w:noProof w:val="0"/>
          <w:color w:val="auto"/>
          <w:sz w:val="24"/>
          <w:szCs w:val="24"/>
          <w:lang w:val="en-GB"/>
        </w:rPr>
        <w:t xml:space="preserve"> sustainab</w:t>
      </w:r>
      <w:r w:rsidRPr="4D1AE66B" w:rsidR="39098DBB">
        <w:rPr>
          <w:rFonts w:ascii="Arial Nova" w:hAnsi="Arial Nova" w:eastAsia="Arial Nova" w:cs="Arial Nova"/>
          <w:b w:val="0"/>
          <w:bCs w:val="0"/>
          <w:noProof w:val="0"/>
          <w:color w:val="auto"/>
          <w:sz w:val="24"/>
          <w:szCs w:val="24"/>
          <w:lang w:val="en-GB"/>
        </w:rPr>
        <w:t>le travel options.</w:t>
      </w:r>
    </w:p>
    <w:p w:rsidR="39098DBB" w:rsidP="4D1AE66B" w:rsidRDefault="39098DBB" w14:paraId="195D07EC" w14:textId="059D5DAF">
      <w:pPr>
        <w:pStyle w:val="ListParagraph"/>
        <w:numPr>
          <w:ilvl w:val="0"/>
          <w:numId w:val="2"/>
        </w:numPr>
        <w:rPr>
          <w:rFonts w:ascii="Arial Nova" w:hAnsi="Arial Nova" w:eastAsia="Arial Nova" w:cs="Arial Nova"/>
          <w:b w:val="0"/>
          <w:bCs w:val="0"/>
          <w:noProof w:val="0"/>
          <w:color w:val="auto"/>
          <w:sz w:val="24"/>
          <w:szCs w:val="24"/>
          <w:lang w:val="en-GB"/>
        </w:rPr>
      </w:pPr>
      <w:r w:rsidRPr="4D1AE66B" w:rsidR="39098DBB">
        <w:rPr>
          <w:rFonts w:ascii="Arial Nova" w:hAnsi="Arial Nova" w:eastAsia="Arial Nova" w:cs="Arial Nova"/>
          <w:b w:val="0"/>
          <w:bCs w:val="0"/>
          <w:noProof w:val="0"/>
          <w:color w:val="auto"/>
          <w:sz w:val="24"/>
          <w:szCs w:val="24"/>
          <w:lang w:val="en-GB"/>
        </w:rPr>
        <w:t>To examine the transport modes and travel behaviours of WTM London attendees.</w:t>
      </w:r>
    </w:p>
    <w:p w:rsidR="3F725FE9" w:rsidP="4D1AE66B" w:rsidRDefault="3F725FE9" w14:paraId="7558CF03" w14:textId="2B79E3E3">
      <w:pPr>
        <w:pStyle w:val="ListParagraph"/>
        <w:numPr>
          <w:ilvl w:val="0"/>
          <w:numId w:val="2"/>
        </w:numPr>
        <w:rPr>
          <w:rFonts w:ascii="Arial Nova" w:hAnsi="Arial Nova" w:eastAsia="Arial Nova" w:cs="Arial Nova"/>
          <w:b w:val="0"/>
          <w:bCs w:val="0"/>
          <w:noProof w:val="0"/>
          <w:color w:val="auto"/>
          <w:sz w:val="24"/>
          <w:szCs w:val="24"/>
          <w:lang w:val="en-GB"/>
        </w:rPr>
      </w:pPr>
      <w:r w:rsidRPr="4D1AE66B" w:rsidR="3F725FE9">
        <w:rPr>
          <w:rFonts w:ascii="Arial Nova" w:hAnsi="Arial Nova" w:eastAsia="Arial Nova" w:cs="Arial Nova"/>
          <w:b w:val="0"/>
          <w:bCs w:val="0"/>
          <w:noProof w:val="0"/>
          <w:color w:val="auto"/>
          <w:sz w:val="24"/>
          <w:szCs w:val="24"/>
          <w:lang w:val="en-GB"/>
        </w:rPr>
        <w:t>to make suggestions for improving environmentally friendly transport tactics at upcoming WTM events.</w:t>
      </w:r>
    </w:p>
    <w:p w:rsidR="3F725FE9" w:rsidP="4D1AE66B" w:rsidRDefault="3F725FE9" w14:paraId="50623A7C" w14:textId="14368054">
      <w:pPr>
        <w:pStyle w:val="ListParagraph"/>
        <w:numPr>
          <w:ilvl w:val="0"/>
          <w:numId w:val="2"/>
        </w:numPr>
        <w:rPr>
          <w:rFonts w:ascii="Arial Nova" w:hAnsi="Arial Nova" w:eastAsia="Arial Nova" w:cs="Arial Nova"/>
          <w:b w:val="0"/>
          <w:bCs w:val="0"/>
          <w:noProof w:val="0"/>
          <w:color w:val="auto"/>
          <w:sz w:val="24"/>
          <w:szCs w:val="24"/>
          <w:lang w:val="en-GB"/>
        </w:rPr>
      </w:pPr>
      <w:r w:rsidRPr="4D1AE66B" w:rsidR="3F725FE9">
        <w:rPr>
          <w:rFonts w:ascii="Arial Nova" w:hAnsi="Arial Nova" w:eastAsia="Arial Nova" w:cs="Arial Nova"/>
          <w:b w:val="0"/>
          <w:bCs w:val="0"/>
          <w:noProof w:val="0"/>
          <w:color w:val="auto"/>
          <w:sz w:val="24"/>
          <w:szCs w:val="24"/>
          <w:lang w:val="en-GB"/>
        </w:rPr>
        <w:t xml:space="preserve">To evaluate how event organisers promote and </w:t>
      </w:r>
      <w:r w:rsidRPr="4D1AE66B" w:rsidR="3F725FE9">
        <w:rPr>
          <w:rFonts w:ascii="Arial Nova" w:hAnsi="Arial Nova" w:eastAsia="Arial Nova" w:cs="Arial Nova"/>
          <w:b w:val="0"/>
          <w:bCs w:val="0"/>
          <w:noProof w:val="0"/>
          <w:color w:val="auto"/>
          <w:sz w:val="24"/>
          <w:szCs w:val="24"/>
          <w:lang w:val="en-GB"/>
        </w:rPr>
        <w:t>facilitate</w:t>
      </w:r>
      <w:r w:rsidRPr="4D1AE66B" w:rsidR="3F725FE9">
        <w:rPr>
          <w:rFonts w:ascii="Arial Nova" w:hAnsi="Arial Nova" w:eastAsia="Arial Nova" w:cs="Arial Nova"/>
          <w:b w:val="0"/>
          <w:bCs w:val="0"/>
          <w:noProof w:val="0"/>
          <w:color w:val="auto"/>
          <w:sz w:val="24"/>
          <w:szCs w:val="24"/>
          <w:lang w:val="en-GB"/>
        </w:rPr>
        <w:t xml:space="preserve"> sustainable mobility.</w:t>
      </w:r>
    </w:p>
    <w:p w:rsidR="7106F1D1" w:rsidP="4D1AE66B" w:rsidRDefault="7106F1D1" w14:paraId="63059023" w14:textId="7CDBFBC9">
      <w:pPr>
        <w:pStyle w:val="ListParagraph"/>
        <w:numPr>
          <w:ilvl w:val="0"/>
          <w:numId w:val="2"/>
        </w:numPr>
        <w:rPr>
          <w:rFonts w:ascii="Arial Nova" w:hAnsi="Arial Nova" w:eastAsia="Arial Nova" w:cs="Arial Nova"/>
          <w:b w:val="0"/>
          <w:bCs w:val="0"/>
          <w:noProof w:val="0"/>
          <w:color w:val="auto"/>
          <w:sz w:val="24"/>
          <w:szCs w:val="24"/>
          <w:lang w:val="en-GB"/>
        </w:rPr>
      </w:pPr>
      <w:r w:rsidRPr="4D1AE66B" w:rsidR="7106F1D1">
        <w:rPr>
          <w:rFonts w:ascii="Arial Nova" w:hAnsi="Arial Nova" w:eastAsia="Arial Nova" w:cs="Arial Nova"/>
          <w:b w:val="0"/>
          <w:bCs w:val="0"/>
          <w:noProof w:val="0"/>
          <w:color w:val="auto"/>
          <w:sz w:val="24"/>
          <w:szCs w:val="24"/>
          <w:lang w:val="en-GB"/>
        </w:rPr>
        <w:t xml:space="preserve">To </w:t>
      </w:r>
      <w:r w:rsidRPr="4D1AE66B" w:rsidR="7106F1D1">
        <w:rPr>
          <w:rFonts w:ascii="Arial Nova" w:hAnsi="Arial Nova" w:eastAsia="Arial Nova" w:cs="Arial Nova"/>
          <w:b w:val="0"/>
          <w:bCs w:val="0"/>
          <w:noProof w:val="0"/>
          <w:color w:val="auto"/>
          <w:sz w:val="24"/>
          <w:szCs w:val="24"/>
          <w:lang w:val="en-GB"/>
        </w:rPr>
        <w:t>identify</w:t>
      </w:r>
      <w:r w:rsidRPr="4D1AE66B" w:rsidR="7106F1D1">
        <w:rPr>
          <w:rFonts w:ascii="Arial Nova" w:hAnsi="Arial Nova" w:eastAsia="Arial Nova" w:cs="Arial Nova"/>
          <w:b w:val="0"/>
          <w:bCs w:val="0"/>
          <w:noProof w:val="0"/>
          <w:color w:val="auto"/>
          <w:sz w:val="24"/>
          <w:szCs w:val="24"/>
          <w:lang w:val="en-GB"/>
        </w:rPr>
        <w:t xml:space="preserve"> perceived barriers to adopting sustainable transport modes.</w:t>
      </w:r>
    </w:p>
    <w:p w:rsidR="0787020C" w:rsidP="4D1AE66B" w:rsidRDefault="0787020C" w14:paraId="6DF63BDE" w14:textId="3AAB63CF">
      <w:pPr>
        <w:pStyle w:val="Subtitle"/>
        <w:rPr>
          <w:rFonts w:ascii="Arial Nova" w:hAnsi="Arial Nova" w:eastAsia="Arial Nova" w:cs="Arial Nova"/>
          <w:b w:val="0"/>
          <w:bCs w:val="0"/>
          <w:noProof w:val="0"/>
          <w:color w:val="auto"/>
          <w:lang w:val="en-GB"/>
        </w:rPr>
      </w:pPr>
      <w:r w:rsidRPr="4D1AE66B" w:rsidR="0787020C">
        <w:rPr>
          <w:rFonts w:ascii="Arial Nova" w:hAnsi="Arial Nova" w:eastAsia="Arial Nova" w:cs="Arial Nova"/>
          <w:b w:val="0"/>
          <w:bCs w:val="0"/>
          <w:noProof w:val="0"/>
          <w:color w:val="auto"/>
          <w:lang w:val="en-GB"/>
        </w:rPr>
        <w:t>Research Design and Methodology</w:t>
      </w:r>
    </w:p>
    <w:p w:rsidR="1B948344" w:rsidP="4D1AE66B" w:rsidRDefault="1B948344" w14:paraId="4BA9846B" w14:textId="387801A1">
      <w:pPr>
        <w:pStyle w:val="Normal"/>
        <w:rPr>
          <w:noProof w:val="0"/>
          <w:lang w:val="en-GB"/>
        </w:rPr>
      </w:pPr>
      <w:r w:rsidRPr="4D1AE66B" w:rsidR="1B948344">
        <w:rPr>
          <w:b w:val="0"/>
          <w:bCs w:val="0"/>
          <w:noProof w:val="0"/>
          <w:color w:val="auto"/>
          <w:lang w:val="en-GB"/>
        </w:rPr>
        <w:t xml:space="preserve">A mixed-methods approach is used because it aims to collect quantifiable behavioural data while also investigating deeper </w:t>
      </w:r>
      <w:r w:rsidRPr="4D1AE66B" w:rsidR="1B948344">
        <w:rPr>
          <w:b w:val="0"/>
          <w:bCs w:val="0"/>
          <w:noProof w:val="0"/>
          <w:color w:val="auto"/>
          <w:lang w:val="en-GB"/>
        </w:rPr>
        <w:t>perceptions</w:t>
      </w:r>
      <w:r w:rsidRPr="4D1AE66B" w:rsidR="1B948344">
        <w:rPr>
          <w:b w:val="0"/>
          <w:bCs w:val="0"/>
          <w:noProof w:val="0"/>
          <w:color w:val="auto"/>
          <w:lang w:val="en-GB"/>
        </w:rPr>
        <w:t xml:space="preserve"> and organisational practices. A more thorough knowledge of the phenomenon can be produced by combining quantitative survey data with qualitative insights from observations or interviews using mixed methods (Creswell &amp; Plano Clark, 2018).</w:t>
      </w:r>
    </w:p>
    <w:p w:rsidR="4D1AE66B" w:rsidP="4D1AE66B" w:rsidRDefault="4D1AE66B" w14:paraId="7D7CC184" w14:textId="323FE52F">
      <w:pPr>
        <w:pStyle w:val="Subtitle"/>
        <w:rPr>
          <w:rFonts w:ascii="Arial Nova" w:hAnsi="Arial Nova" w:eastAsia="Arial Nova" w:cs="Arial Nova"/>
          <w:b w:val="0"/>
          <w:bCs w:val="0"/>
          <w:noProof w:val="0"/>
          <w:color w:val="000000" w:themeColor="text1" w:themeTint="FF" w:themeShade="FF"/>
          <w:lang w:val="en-GB"/>
        </w:rPr>
      </w:pPr>
    </w:p>
    <w:p w:rsidR="5F98552E" w:rsidP="4D1AE66B" w:rsidRDefault="5F98552E" w14:paraId="4D39209B" w14:textId="0F55589C">
      <w:pPr>
        <w:pStyle w:val="Subtitle"/>
        <w:rPr>
          <w:rFonts w:ascii="Arial Nova" w:hAnsi="Arial Nova" w:eastAsia="Arial Nova" w:cs="Arial Nova"/>
          <w:b w:val="0"/>
          <w:bCs w:val="0"/>
          <w:noProof w:val="0"/>
          <w:color w:val="000000" w:themeColor="text1" w:themeTint="FF" w:themeShade="FF"/>
          <w:lang w:val="en-GB"/>
        </w:rPr>
      </w:pPr>
      <w:r w:rsidRPr="4D1AE66B" w:rsidR="5F98552E">
        <w:rPr>
          <w:rFonts w:ascii="Arial Nova" w:hAnsi="Arial Nova" w:eastAsia="Arial Nova" w:cs="Arial Nova"/>
          <w:b w:val="0"/>
          <w:bCs w:val="0"/>
          <w:noProof w:val="0"/>
          <w:color w:val="000000" w:themeColor="text1" w:themeTint="FF" w:themeShade="FF"/>
          <w:lang w:val="en-GB"/>
        </w:rPr>
        <w:t xml:space="preserve">Quantitative </w:t>
      </w:r>
      <w:r w:rsidRPr="4D1AE66B" w:rsidR="5F98552E">
        <w:rPr>
          <w:rFonts w:ascii="Arial Nova" w:hAnsi="Arial Nova" w:eastAsia="Arial Nova" w:cs="Arial Nova"/>
          <w:b w:val="0"/>
          <w:bCs w:val="0"/>
          <w:noProof w:val="0"/>
          <w:color w:val="000000" w:themeColor="text1" w:themeTint="FF" w:themeShade="FF"/>
          <w:lang w:val="en-GB"/>
        </w:rPr>
        <w:t>Component</w:t>
      </w:r>
    </w:p>
    <w:p w:rsidR="678106A2" w:rsidP="4D1AE66B" w:rsidRDefault="678106A2" w14:paraId="7177D83C" w14:textId="4F3FCD9E">
      <w:pPr>
        <w:pStyle w:val="Normal"/>
        <w:rPr>
          <w:rFonts w:ascii="Arial Nova" w:hAnsi="Arial Nova" w:eastAsia="Arial Nova" w:cs="Arial Nova"/>
          <w:b w:val="0"/>
          <w:bCs w:val="0"/>
          <w:noProof w:val="0"/>
          <w:color w:val="000000" w:themeColor="text1" w:themeTint="FF" w:themeShade="FF"/>
          <w:lang w:val="en-GB"/>
        </w:rPr>
      </w:pPr>
      <w:r w:rsidRPr="4D1AE66B" w:rsidR="678106A2">
        <w:rPr>
          <w:rFonts w:ascii="Arial Nova" w:hAnsi="Arial Nova" w:eastAsia="Arial Nova" w:cs="Arial Nova"/>
          <w:b w:val="0"/>
          <w:bCs w:val="0"/>
          <w:noProof w:val="0"/>
          <w:color w:val="000000" w:themeColor="text1" w:themeTint="FF" w:themeShade="FF"/>
          <w:lang w:val="en-GB"/>
        </w:rPr>
        <w:t xml:space="preserve">To gather information about guests' travel habits, understanding of sustainability, and opinions </w:t>
      </w:r>
      <w:r w:rsidRPr="4D1AE66B" w:rsidR="678106A2">
        <w:rPr>
          <w:rFonts w:ascii="Arial Nova" w:hAnsi="Arial Nova" w:eastAsia="Arial Nova" w:cs="Arial Nova"/>
          <w:b w:val="0"/>
          <w:bCs w:val="0"/>
          <w:noProof w:val="0"/>
          <w:color w:val="000000" w:themeColor="text1" w:themeTint="FF" w:themeShade="FF"/>
          <w:lang w:val="en-GB"/>
        </w:rPr>
        <w:t>regarding</w:t>
      </w:r>
      <w:r w:rsidRPr="4D1AE66B" w:rsidR="678106A2">
        <w:rPr>
          <w:rFonts w:ascii="Arial Nova" w:hAnsi="Arial Nova" w:eastAsia="Arial Nova" w:cs="Arial Nova"/>
          <w:b w:val="0"/>
          <w:bCs w:val="0"/>
          <w:noProof w:val="0"/>
          <w:color w:val="000000" w:themeColor="text1" w:themeTint="FF" w:themeShade="FF"/>
          <w:lang w:val="en-GB"/>
        </w:rPr>
        <w:t xml:space="preserve"> alternative forms of transportation, a structured online questionnaire was created. Question included Multiple choice and </w:t>
      </w:r>
      <w:r w:rsidRPr="4D1AE66B" w:rsidR="485F58C2">
        <w:rPr>
          <w:rFonts w:ascii="Arial Nova" w:hAnsi="Arial Nova" w:eastAsia="Arial Nova" w:cs="Arial Nova"/>
          <w:b w:val="0"/>
          <w:bCs w:val="0"/>
          <w:noProof w:val="0"/>
          <w:color w:val="000000" w:themeColor="text1" w:themeTint="FF" w:themeShade="FF"/>
          <w:lang w:val="en-GB"/>
        </w:rPr>
        <w:t xml:space="preserve">Likert scale items covering transport modes, </w:t>
      </w:r>
      <w:r w:rsidRPr="4D1AE66B" w:rsidR="05A58F7B">
        <w:rPr>
          <w:rFonts w:ascii="Arial Nova" w:hAnsi="Arial Nova" w:eastAsia="Arial Nova" w:cs="Arial Nova"/>
          <w:b w:val="0"/>
          <w:bCs w:val="0"/>
          <w:noProof w:val="0"/>
          <w:color w:val="000000" w:themeColor="text1" w:themeTint="FF" w:themeShade="FF"/>
          <w:lang w:val="en-GB"/>
        </w:rPr>
        <w:t xml:space="preserve">reasons for choice, environmental awareness, and satisfaction with accessibility. The </w:t>
      </w:r>
      <w:r w:rsidRPr="4D1AE66B" w:rsidR="6B60A032">
        <w:rPr>
          <w:rFonts w:ascii="Arial Nova" w:hAnsi="Arial Nova" w:eastAsia="Arial Nova" w:cs="Arial Nova"/>
          <w:b w:val="0"/>
          <w:bCs w:val="0"/>
          <w:noProof w:val="0"/>
          <w:color w:val="000000" w:themeColor="text1" w:themeTint="FF" w:themeShade="FF"/>
          <w:lang w:val="en-GB"/>
        </w:rPr>
        <w:t>survey was distributed to a convenience sam</w:t>
      </w:r>
      <w:r w:rsidRPr="4D1AE66B" w:rsidR="4BA48E5A">
        <w:rPr>
          <w:rFonts w:ascii="Arial Nova" w:hAnsi="Arial Nova" w:eastAsia="Arial Nova" w:cs="Arial Nova"/>
          <w:b w:val="0"/>
          <w:bCs w:val="0"/>
          <w:noProof w:val="0"/>
          <w:color w:val="000000" w:themeColor="text1" w:themeTint="FF" w:themeShade="FF"/>
          <w:lang w:val="en-GB"/>
        </w:rPr>
        <w:t xml:space="preserve">ple of </w:t>
      </w:r>
      <w:r w:rsidRPr="4D1AE66B" w:rsidR="4B7D7177">
        <w:rPr>
          <w:rFonts w:ascii="Arial Nova" w:hAnsi="Arial Nova" w:eastAsia="Arial Nova" w:cs="Arial Nova"/>
          <w:b w:val="0"/>
          <w:bCs w:val="0"/>
          <w:noProof w:val="0"/>
          <w:color w:val="000000" w:themeColor="text1" w:themeTint="FF" w:themeShade="FF"/>
          <w:lang w:val="en-GB"/>
        </w:rPr>
        <w:t>WTM London attendees through personal contacts and social media. Quanti</w:t>
      </w:r>
      <w:r w:rsidRPr="4D1AE66B" w:rsidR="40583E8F">
        <w:rPr>
          <w:rFonts w:ascii="Arial Nova" w:hAnsi="Arial Nova" w:eastAsia="Arial Nova" w:cs="Arial Nova"/>
          <w:b w:val="0"/>
          <w:bCs w:val="0"/>
          <w:noProof w:val="0"/>
          <w:color w:val="000000" w:themeColor="text1" w:themeTint="FF" w:themeShade="FF"/>
          <w:lang w:val="en-GB"/>
        </w:rPr>
        <w:t>tative data will later be analysed using descriptive stat</w:t>
      </w:r>
      <w:r w:rsidRPr="4D1AE66B" w:rsidR="6618BFAA">
        <w:rPr>
          <w:rFonts w:ascii="Arial Nova" w:hAnsi="Arial Nova" w:eastAsia="Arial Nova" w:cs="Arial Nova"/>
          <w:b w:val="0"/>
          <w:bCs w:val="0"/>
          <w:noProof w:val="0"/>
          <w:color w:val="000000" w:themeColor="text1" w:themeTint="FF" w:themeShade="FF"/>
          <w:lang w:val="en-GB"/>
        </w:rPr>
        <w:t>istic to summarise patterns, and inferential tests (e.g., chi-s</w:t>
      </w:r>
      <w:r w:rsidRPr="4D1AE66B" w:rsidR="0C945215">
        <w:rPr>
          <w:rFonts w:ascii="Arial Nova" w:hAnsi="Arial Nova" w:eastAsia="Arial Nova" w:cs="Arial Nova"/>
          <w:b w:val="0"/>
          <w:bCs w:val="0"/>
          <w:noProof w:val="0"/>
          <w:color w:val="000000" w:themeColor="text1" w:themeTint="FF" w:themeShade="FF"/>
          <w:lang w:val="en-GB"/>
        </w:rPr>
        <w:t xml:space="preserve">quare, correlations) to examine relationships </w:t>
      </w:r>
      <w:r w:rsidRPr="4D1AE66B" w:rsidR="2F6E99C4">
        <w:rPr>
          <w:rFonts w:ascii="Arial Nova" w:hAnsi="Arial Nova" w:eastAsia="Arial Nova" w:cs="Arial Nova"/>
          <w:b w:val="0"/>
          <w:bCs w:val="0"/>
          <w:noProof w:val="0"/>
          <w:color w:val="000000" w:themeColor="text1" w:themeTint="FF" w:themeShade="FF"/>
          <w:lang w:val="en-GB"/>
        </w:rPr>
        <w:t xml:space="preserve">between key variables such as awareness and behaviour. </w:t>
      </w:r>
    </w:p>
    <w:p w:rsidR="240543D3" w:rsidP="4D1AE66B" w:rsidRDefault="240543D3" w14:paraId="094708B1" w14:textId="778010A3">
      <w:pPr>
        <w:pStyle w:val="Subtitle"/>
        <w:rPr>
          <w:rFonts w:ascii="Arial Nova" w:hAnsi="Arial Nova" w:eastAsia="Arial Nova" w:cs="Arial Nova"/>
          <w:noProof w:val="0"/>
          <w:color w:val="auto"/>
          <w:lang w:val="en-GB"/>
        </w:rPr>
      </w:pPr>
      <w:r w:rsidRPr="4D1AE66B" w:rsidR="240543D3">
        <w:rPr>
          <w:rFonts w:ascii="Arial Nova" w:hAnsi="Arial Nova" w:eastAsia="Arial Nova" w:cs="Arial Nova"/>
          <w:noProof w:val="0"/>
          <w:color w:val="auto"/>
          <w:lang w:val="en-GB"/>
        </w:rPr>
        <w:t>Qualitative Component</w:t>
      </w:r>
    </w:p>
    <w:p w:rsidR="268CC626" w:rsidP="4D1AE66B" w:rsidRDefault="268CC626" w14:paraId="7778ED88" w14:textId="49D525EC">
      <w:pPr>
        <w:pStyle w:val="Normal"/>
        <w:rPr>
          <w:rFonts w:ascii="Arial Nova" w:hAnsi="Arial Nova" w:eastAsia="Arial Nova" w:cs="Arial Nova"/>
          <w:b w:val="0"/>
          <w:bCs w:val="0"/>
          <w:noProof w:val="0"/>
          <w:color w:val="000000" w:themeColor="text1" w:themeTint="FF" w:themeShade="FF"/>
          <w:sz w:val="24"/>
          <w:szCs w:val="24"/>
          <w:lang w:val="en-GB"/>
        </w:rPr>
      </w:pPr>
      <w:r w:rsidRPr="4D1AE66B" w:rsidR="268CC626">
        <w:rPr>
          <w:rFonts w:ascii="Arial Nova" w:hAnsi="Arial Nova" w:eastAsia="Arial Nova" w:cs="Arial Nova"/>
          <w:b w:val="0"/>
          <w:bCs w:val="0"/>
          <w:noProof w:val="0"/>
          <w:color w:val="000000" w:themeColor="text1" w:themeTint="FF" w:themeShade="FF"/>
          <w:sz w:val="24"/>
          <w:szCs w:val="24"/>
          <w:lang w:val="en-GB"/>
        </w:rPr>
        <w:t xml:space="preserve">In addition to the primary quantitative survey results, a qualitative survey </w:t>
      </w:r>
      <w:r w:rsidRPr="4D1AE66B" w:rsidR="268CC626">
        <w:rPr>
          <w:rFonts w:ascii="Arial Nova" w:hAnsi="Arial Nova" w:eastAsia="Arial Nova" w:cs="Arial Nova"/>
          <w:b w:val="0"/>
          <w:bCs w:val="0"/>
          <w:noProof w:val="0"/>
          <w:color w:val="000000" w:themeColor="text1" w:themeTint="FF" w:themeShade="FF"/>
          <w:sz w:val="24"/>
          <w:szCs w:val="24"/>
          <w:lang w:val="en-GB"/>
        </w:rPr>
        <w:t>component</w:t>
      </w:r>
      <w:r w:rsidRPr="4D1AE66B" w:rsidR="268CC626">
        <w:rPr>
          <w:rFonts w:ascii="Arial Nova" w:hAnsi="Arial Nova" w:eastAsia="Arial Nova" w:cs="Arial Nova"/>
          <w:b w:val="0"/>
          <w:bCs w:val="0"/>
          <w:noProof w:val="0"/>
          <w:color w:val="000000" w:themeColor="text1" w:themeTint="FF" w:themeShade="FF"/>
          <w:sz w:val="24"/>
          <w:szCs w:val="24"/>
          <w:lang w:val="en-GB"/>
        </w:rPr>
        <w:t xml:space="preserve"> will also be inc</w:t>
      </w:r>
      <w:r w:rsidRPr="4D1AE66B" w:rsidR="4B79432D">
        <w:rPr>
          <w:rFonts w:ascii="Arial Nova" w:hAnsi="Arial Nova" w:eastAsia="Arial Nova" w:cs="Arial Nova"/>
          <w:b w:val="0"/>
          <w:bCs w:val="0"/>
          <w:noProof w:val="0"/>
          <w:color w:val="000000" w:themeColor="text1" w:themeTint="FF" w:themeShade="FF"/>
          <w:sz w:val="24"/>
          <w:szCs w:val="24"/>
          <w:lang w:val="en-GB"/>
        </w:rPr>
        <w:t xml:space="preserve">orporated to gain deeper insights into participants </w:t>
      </w:r>
      <w:r w:rsidRPr="4D1AE66B" w:rsidR="71153294">
        <w:rPr>
          <w:rFonts w:ascii="Arial Nova" w:hAnsi="Arial Nova" w:eastAsia="Arial Nova" w:cs="Arial Nova"/>
          <w:b w:val="0"/>
          <w:bCs w:val="0"/>
          <w:noProof w:val="0"/>
          <w:color w:val="000000" w:themeColor="text1" w:themeTint="FF" w:themeShade="FF"/>
          <w:sz w:val="24"/>
          <w:szCs w:val="24"/>
          <w:lang w:val="en-GB"/>
        </w:rPr>
        <w:t>perception</w:t>
      </w:r>
      <w:r w:rsidRPr="4D1AE66B" w:rsidR="71153294">
        <w:rPr>
          <w:rFonts w:ascii="Arial Nova" w:hAnsi="Arial Nova" w:eastAsia="Arial Nova" w:cs="Arial Nova"/>
          <w:b w:val="0"/>
          <w:bCs w:val="0"/>
          <w:noProof w:val="0"/>
          <w:color w:val="000000" w:themeColor="text1" w:themeTint="FF" w:themeShade="FF"/>
          <w:sz w:val="24"/>
          <w:szCs w:val="24"/>
          <w:lang w:val="en-GB"/>
        </w:rPr>
        <w:t xml:space="preserve"> of sustainable transport at WTM London. This section of the questionnai</w:t>
      </w:r>
      <w:r w:rsidRPr="4D1AE66B" w:rsidR="737F6998">
        <w:rPr>
          <w:rFonts w:ascii="Arial Nova" w:hAnsi="Arial Nova" w:eastAsia="Arial Nova" w:cs="Arial Nova"/>
          <w:b w:val="0"/>
          <w:bCs w:val="0"/>
          <w:noProof w:val="0"/>
          <w:color w:val="000000" w:themeColor="text1" w:themeTint="FF" w:themeShade="FF"/>
          <w:sz w:val="24"/>
          <w:szCs w:val="24"/>
          <w:lang w:val="en-GB"/>
        </w:rPr>
        <w:t>re includes several open-ended questions desi</w:t>
      </w:r>
      <w:r w:rsidRPr="4D1AE66B" w:rsidR="1007C6E6">
        <w:rPr>
          <w:rFonts w:ascii="Arial Nova" w:hAnsi="Arial Nova" w:eastAsia="Arial Nova" w:cs="Arial Nova"/>
          <w:b w:val="0"/>
          <w:bCs w:val="0"/>
          <w:noProof w:val="0"/>
          <w:color w:val="000000" w:themeColor="text1" w:themeTint="FF" w:themeShade="FF"/>
          <w:sz w:val="24"/>
          <w:szCs w:val="24"/>
          <w:lang w:val="en-GB"/>
        </w:rPr>
        <w:t xml:space="preserve">gned to explore attendees' personal </w:t>
      </w:r>
      <w:r w:rsidRPr="4D1AE66B" w:rsidR="05E73B21">
        <w:rPr>
          <w:rFonts w:ascii="Arial Nova" w:hAnsi="Arial Nova" w:eastAsia="Arial Nova" w:cs="Arial Nova"/>
          <w:b w:val="0"/>
          <w:bCs w:val="0"/>
          <w:noProof w:val="0"/>
          <w:color w:val="000000" w:themeColor="text1" w:themeTint="FF" w:themeShade="FF"/>
          <w:sz w:val="24"/>
          <w:szCs w:val="24"/>
          <w:lang w:val="en-GB"/>
        </w:rPr>
        <w:t>redefections</w:t>
      </w:r>
      <w:r w:rsidRPr="4D1AE66B" w:rsidR="1007C6E6">
        <w:rPr>
          <w:rFonts w:ascii="Arial Nova" w:hAnsi="Arial Nova" w:eastAsia="Arial Nova" w:cs="Arial Nova"/>
          <w:b w:val="0"/>
          <w:bCs w:val="0"/>
          <w:noProof w:val="0"/>
          <w:color w:val="000000" w:themeColor="text1" w:themeTint="FF" w:themeShade="FF"/>
          <w:sz w:val="24"/>
          <w:szCs w:val="24"/>
          <w:lang w:val="en-GB"/>
        </w:rPr>
        <w:t>, per</w:t>
      </w:r>
      <w:r w:rsidRPr="4D1AE66B" w:rsidR="653DC6A5">
        <w:rPr>
          <w:rFonts w:ascii="Arial Nova" w:hAnsi="Arial Nova" w:eastAsia="Arial Nova" w:cs="Arial Nova"/>
          <w:b w:val="0"/>
          <w:bCs w:val="0"/>
          <w:noProof w:val="0"/>
          <w:color w:val="000000" w:themeColor="text1" w:themeTint="FF" w:themeShade="FF"/>
          <w:sz w:val="24"/>
          <w:szCs w:val="24"/>
          <w:lang w:val="en-GB"/>
        </w:rPr>
        <w:t xml:space="preserve">ceived barriers, motivation, and suggestions for improving sustainable </w:t>
      </w:r>
      <w:r w:rsidRPr="4D1AE66B" w:rsidR="1391D25F">
        <w:rPr>
          <w:rFonts w:ascii="Arial Nova" w:hAnsi="Arial Nova" w:eastAsia="Arial Nova" w:cs="Arial Nova"/>
          <w:b w:val="0"/>
          <w:bCs w:val="0"/>
          <w:noProof w:val="0"/>
          <w:color w:val="000000" w:themeColor="text1" w:themeTint="FF" w:themeShade="FF"/>
          <w:sz w:val="24"/>
          <w:szCs w:val="24"/>
          <w:lang w:val="en-GB"/>
        </w:rPr>
        <w:t>mobility. Collecting qualitative data through open ended survey respo</w:t>
      </w:r>
      <w:r w:rsidRPr="4D1AE66B" w:rsidR="3191D9B9">
        <w:rPr>
          <w:rFonts w:ascii="Arial Nova" w:hAnsi="Arial Nova" w:eastAsia="Arial Nova" w:cs="Arial Nova"/>
          <w:b w:val="0"/>
          <w:bCs w:val="0"/>
          <w:noProof w:val="0"/>
          <w:color w:val="000000" w:themeColor="text1" w:themeTint="FF" w:themeShade="FF"/>
          <w:sz w:val="24"/>
          <w:szCs w:val="24"/>
          <w:lang w:val="en-GB"/>
        </w:rPr>
        <w:t xml:space="preserve">nses enables participants to express their view in </w:t>
      </w:r>
      <w:r w:rsidRPr="4D1AE66B" w:rsidR="50DF9E14">
        <w:rPr>
          <w:rFonts w:ascii="Arial Nova" w:hAnsi="Arial Nova" w:eastAsia="Arial Nova" w:cs="Arial Nova"/>
          <w:b w:val="0"/>
          <w:bCs w:val="0"/>
          <w:noProof w:val="0"/>
          <w:color w:val="000000" w:themeColor="text1" w:themeTint="FF" w:themeShade="FF"/>
          <w:sz w:val="24"/>
          <w:szCs w:val="24"/>
          <w:lang w:val="en-GB"/>
        </w:rPr>
        <w:t>greater depth, providing contextual knowledge that is not possible with just numerical data</w:t>
      </w:r>
      <w:r w:rsidRPr="4D1AE66B" w:rsidR="1EF7A78C">
        <w:rPr>
          <w:rFonts w:ascii="Arial Nova" w:hAnsi="Arial Nova" w:eastAsia="Arial Nova" w:cs="Arial Nova"/>
          <w:b w:val="0"/>
          <w:bCs w:val="0"/>
          <w:noProof w:val="0"/>
          <w:color w:val="000000" w:themeColor="text1" w:themeTint="FF" w:themeShade="FF"/>
          <w:sz w:val="24"/>
          <w:szCs w:val="24"/>
          <w:lang w:val="en-GB"/>
        </w:rPr>
        <w:t xml:space="preserve"> (Bryman, 2016). The qualitative responses will be analysed them</w:t>
      </w:r>
      <w:r w:rsidRPr="4D1AE66B" w:rsidR="3F895396">
        <w:rPr>
          <w:rFonts w:ascii="Arial Nova" w:hAnsi="Arial Nova" w:eastAsia="Arial Nova" w:cs="Arial Nova"/>
          <w:b w:val="0"/>
          <w:bCs w:val="0"/>
          <w:noProof w:val="0"/>
          <w:color w:val="000000" w:themeColor="text1" w:themeTint="FF" w:themeShade="FF"/>
          <w:sz w:val="24"/>
          <w:szCs w:val="24"/>
          <w:lang w:val="en-GB"/>
        </w:rPr>
        <w:t xml:space="preserve">atically to </w:t>
      </w:r>
      <w:r w:rsidRPr="4D1AE66B" w:rsidR="3F895396">
        <w:rPr>
          <w:rFonts w:ascii="Arial Nova" w:hAnsi="Arial Nova" w:eastAsia="Arial Nova" w:cs="Arial Nova"/>
          <w:b w:val="0"/>
          <w:bCs w:val="0"/>
          <w:noProof w:val="0"/>
          <w:color w:val="000000" w:themeColor="text1" w:themeTint="FF" w:themeShade="FF"/>
          <w:sz w:val="24"/>
          <w:szCs w:val="24"/>
          <w:lang w:val="en-GB"/>
        </w:rPr>
        <w:t>identify</w:t>
      </w:r>
      <w:r w:rsidRPr="4D1AE66B" w:rsidR="3F895396">
        <w:rPr>
          <w:rFonts w:ascii="Arial Nova" w:hAnsi="Arial Nova" w:eastAsia="Arial Nova" w:cs="Arial Nova"/>
          <w:b w:val="0"/>
          <w:bCs w:val="0"/>
          <w:noProof w:val="0"/>
          <w:color w:val="000000" w:themeColor="text1" w:themeTint="FF" w:themeShade="FF"/>
          <w:sz w:val="24"/>
          <w:szCs w:val="24"/>
          <w:lang w:val="en-GB"/>
        </w:rPr>
        <w:t xml:space="preserve"> recuring </w:t>
      </w:r>
      <w:r w:rsidRPr="4D1AE66B" w:rsidR="06713E2D">
        <w:rPr>
          <w:rFonts w:ascii="Arial Nova" w:hAnsi="Arial Nova" w:eastAsia="Arial Nova" w:cs="Arial Nova"/>
          <w:b w:val="0"/>
          <w:bCs w:val="0"/>
          <w:noProof w:val="0"/>
          <w:color w:val="000000" w:themeColor="text1" w:themeTint="FF" w:themeShade="FF"/>
          <w:sz w:val="24"/>
          <w:szCs w:val="24"/>
          <w:lang w:val="en-GB"/>
        </w:rPr>
        <w:t>patterns</w:t>
      </w:r>
      <w:r w:rsidRPr="4D1AE66B" w:rsidR="34D4DCCF">
        <w:rPr>
          <w:rFonts w:ascii="Arial Nova" w:hAnsi="Arial Nova" w:eastAsia="Arial Nova" w:cs="Arial Nova"/>
          <w:b w:val="0"/>
          <w:bCs w:val="0"/>
          <w:noProof w:val="0"/>
          <w:color w:val="000000" w:themeColor="text1" w:themeTint="FF" w:themeShade="FF"/>
          <w:sz w:val="24"/>
          <w:szCs w:val="24"/>
          <w:lang w:val="en-GB"/>
        </w:rPr>
        <w:t xml:space="preserve"> and themes related to be behavi</w:t>
      </w:r>
      <w:r w:rsidRPr="4D1AE66B" w:rsidR="15B56E53">
        <w:rPr>
          <w:rFonts w:ascii="Arial Nova" w:hAnsi="Arial Nova" w:eastAsia="Arial Nova" w:cs="Arial Nova"/>
          <w:b w:val="0"/>
          <w:bCs w:val="0"/>
          <w:noProof w:val="0"/>
          <w:color w:val="000000" w:themeColor="text1" w:themeTint="FF" w:themeShade="FF"/>
          <w:sz w:val="24"/>
          <w:szCs w:val="24"/>
          <w:lang w:val="en-GB"/>
        </w:rPr>
        <w:t>our, policy, and infrastructure.</w:t>
      </w:r>
    </w:p>
    <w:p w:rsidR="7B95A4F5" w:rsidP="4D1AE66B" w:rsidRDefault="7B95A4F5" w14:paraId="02EBEBA9" w14:textId="06340A21">
      <w:pPr>
        <w:pStyle w:val="Subtitle"/>
        <w:rPr>
          <w:rFonts w:ascii="Arial Nova" w:hAnsi="Arial Nova" w:eastAsia="Arial Nova" w:cs="Arial Nova"/>
          <w:noProof w:val="0"/>
          <w:color w:val="auto"/>
          <w:lang w:val="en-GB"/>
        </w:rPr>
      </w:pPr>
      <w:r w:rsidRPr="4D1AE66B" w:rsidR="7B95A4F5">
        <w:rPr>
          <w:rFonts w:ascii="Arial Nova" w:hAnsi="Arial Nova" w:eastAsia="Arial Nova" w:cs="Arial Nova"/>
          <w:noProof w:val="0"/>
          <w:color w:val="auto"/>
          <w:lang w:val="en-GB"/>
        </w:rPr>
        <w:t>Sampling</w:t>
      </w:r>
    </w:p>
    <w:p w:rsidR="176DC62A" w:rsidP="4D1AE66B" w:rsidRDefault="176DC62A" w14:paraId="22724A25" w14:textId="5D8A03D2">
      <w:pPr>
        <w:pStyle w:val="Normal"/>
        <w:rPr>
          <w:rFonts w:ascii="Arial Nova" w:hAnsi="Arial Nova" w:eastAsia="Arial Nova" w:cs="Arial Nova"/>
          <w:b w:val="0"/>
          <w:bCs w:val="0"/>
          <w:noProof w:val="0"/>
          <w:color w:val="000000" w:themeColor="text1" w:themeTint="FF" w:themeShade="FF"/>
          <w:sz w:val="24"/>
          <w:szCs w:val="24"/>
          <w:lang w:val="en-GB"/>
        </w:rPr>
      </w:pPr>
      <w:r w:rsidRPr="4D1AE66B" w:rsidR="176DC62A">
        <w:rPr>
          <w:rFonts w:ascii="Arial Nova" w:hAnsi="Arial Nova" w:eastAsia="Arial Nova" w:cs="Arial Nova"/>
          <w:b w:val="0"/>
          <w:bCs w:val="0"/>
          <w:noProof w:val="0"/>
          <w:color w:val="000000" w:themeColor="text1" w:themeTint="FF" w:themeShade="FF"/>
          <w:sz w:val="24"/>
          <w:szCs w:val="24"/>
          <w:lang w:val="en-GB"/>
        </w:rPr>
        <w:t xml:space="preserve">The sample includes individuals who attended WTM London 2025, </w:t>
      </w:r>
      <w:r w:rsidRPr="4D1AE66B" w:rsidR="176DC62A">
        <w:rPr>
          <w:rFonts w:ascii="Arial Nova" w:hAnsi="Arial Nova" w:eastAsia="Arial Nova" w:cs="Arial Nova"/>
          <w:b w:val="0"/>
          <w:bCs w:val="0"/>
          <w:noProof w:val="0"/>
          <w:color w:val="000000" w:themeColor="text1" w:themeTint="FF" w:themeShade="FF"/>
          <w:sz w:val="24"/>
          <w:szCs w:val="24"/>
          <w:lang w:val="en-GB"/>
        </w:rPr>
        <w:t>representing</w:t>
      </w:r>
      <w:r w:rsidRPr="4D1AE66B" w:rsidR="176DC62A">
        <w:rPr>
          <w:rFonts w:ascii="Arial Nova" w:hAnsi="Arial Nova" w:eastAsia="Arial Nova" w:cs="Arial Nova"/>
          <w:b w:val="0"/>
          <w:bCs w:val="0"/>
          <w:noProof w:val="0"/>
          <w:color w:val="000000" w:themeColor="text1" w:themeTint="FF" w:themeShade="FF"/>
          <w:sz w:val="24"/>
          <w:szCs w:val="24"/>
          <w:lang w:val="en-GB"/>
        </w:rPr>
        <w:t xml:space="preserve"> a mix of exhibitors, buyers, and trade visitors. Participants are selected using convenience and snowball sampling methods, as they are accessible through personal and professional networks. In event contexts where random sampling might not be practical, this method is suitable for exploratory research (Veal, 2017). The target survey sample size is </w:t>
      </w:r>
      <w:r w:rsidRPr="4D1AE66B" w:rsidR="176DC62A">
        <w:rPr>
          <w:rFonts w:ascii="Arial Nova" w:hAnsi="Arial Nova" w:eastAsia="Arial Nova" w:cs="Arial Nova"/>
          <w:b w:val="0"/>
          <w:bCs w:val="0"/>
          <w:noProof w:val="0"/>
          <w:color w:val="000000" w:themeColor="text1" w:themeTint="FF" w:themeShade="FF"/>
          <w:sz w:val="24"/>
          <w:szCs w:val="24"/>
          <w:lang w:val="en-GB"/>
        </w:rPr>
        <w:t>approximately 100-150</w:t>
      </w:r>
      <w:r w:rsidRPr="4D1AE66B" w:rsidR="176DC62A">
        <w:rPr>
          <w:rFonts w:ascii="Arial Nova" w:hAnsi="Arial Nova" w:eastAsia="Arial Nova" w:cs="Arial Nova"/>
          <w:b w:val="0"/>
          <w:bCs w:val="0"/>
          <w:noProof w:val="0"/>
          <w:color w:val="000000" w:themeColor="text1" w:themeTint="FF" w:themeShade="FF"/>
          <w:sz w:val="24"/>
          <w:szCs w:val="24"/>
          <w:lang w:val="en-GB"/>
        </w:rPr>
        <w:t xml:space="preserve"> respondents to provide meaningful data for descriptive analysis, while qualitative interviews will involve 8-10 participants for depth.</w:t>
      </w:r>
    </w:p>
    <w:p w:rsidR="54DC4394" w:rsidP="4D1AE66B" w:rsidRDefault="54DC4394" w14:paraId="03ED6559" w14:textId="55980D99">
      <w:pPr>
        <w:pStyle w:val="Subtitle"/>
        <w:rPr>
          <w:rFonts w:ascii="Arial Nova" w:hAnsi="Arial Nova" w:eastAsia="Arial Nova" w:cs="Arial Nova"/>
          <w:noProof w:val="0"/>
          <w:color w:val="auto"/>
          <w:lang w:val="en-GB"/>
        </w:rPr>
      </w:pPr>
      <w:r w:rsidRPr="4D1AE66B" w:rsidR="54DC4394">
        <w:rPr>
          <w:rFonts w:ascii="Arial Nova" w:hAnsi="Arial Nova" w:eastAsia="Arial Nova" w:cs="Arial Nova"/>
          <w:noProof w:val="0"/>
          <w:color w:val="auto"/>
          <w:lang w:val="en-GB"/>
        </w:rPr>
        <w:t>Data Collection Tools</w:t>
      </w:r>
    </w:p>
    <w:p w:rsidR="0797E7D5" w:rsidP="4D1AE66B" w:rsidRDefault="0797E7D5" w14:paraId="419CE665" w14:textId="5E89D717">
      <w:pPr>
        <w:pStyle w:val="Normal"/>
        <w:rPr>
          <w:noProof w:val="0"/>
          <w:lang w:val="en-GB"/>
        </w:rPr>
      </w:pPr>
      <w:r w:rsidRPr="4D1AE66B" w:rsidR="0797E7D5">
        <w:rPr>
          <w:rFonts w:ascii="Arial Nova" w:hAnsi="Arial Nova" w:eastAsia="Arial Nova" w:cs="Arial Nova"/>
          <w:noProof w:val="0"/>
          <w:color w:val="auto"/>
          <w:lang w:val="en-GB"/>
        </w:rPr>
        <w:t xml:space="preserve">An online survey was utilised as the main method of data collection for this study </w:t>
      </w:r>
    </w:p>
    <w:p w:rsidR="659F5D05" w:rsidP="4D1AE66B" w:rsidRDefault="659F5D05" w14:paraId="4C762EBF" w14:textId="6D1F1D21">
      <w:pPr>
        <w:pStyle w:val="Normal"/>
        <w:rPr>
          <w:rFonts w:ascii="Arial Nova" w:hAnsi="Arial Nova" w:eastAsia="Arial Nova" w:cs="Arial Nova"/>
          <w:noProof w:val="0"/>
          <w:color w:val="000000" w:themeColor="text1" w:themeTint="FF" w:themeShade="FF"/>
          <w:sz w:val="24"/>
          <w:szCs w:val="24"/>
          <w:lang w:val="en-GB"/>
        </w:rPr>
      </w:pPr>
      <w:bookmarkStart w:name="_Int_neItaMGD" w:id="1501454796"/>
      <w:r w:rsidRPr="4D1AE66B" w:rsidR="659F5D05">
        <w:rPr>
          <w:rFonts w:ascii="Arial Nova" w:hAnsi="Arial Nova" w:eastAsia="Arial Nova" w:cs="Arial Nova"/>
          <w:noProof w:val="0"/>
          <w:color w:val="auto"/>
          <w:lang w:val="en-GB"/>
        </w:rPr>
        <w:t>in order</w:t>
      </w:r>
      <w:r w:rsidRPr="4D1AE66B" w:rsidR="0797E7D5">
        <w:rPr>
          <w:rFonts w:ascii="Arial Nova" w:hAnsi="Arial Nova" w:eastAsia="Arial Nova" w:cs="Arial Nova"/>
          <w:noProof w:val="0"/>
          <w:color w:val="auto"/>
          <w:lang w:val="en-GB"/>
        </w:rPr>
        <w:t xml:space="preserve"> to</w:t>
      </w:r>
      <w:bookmarkEnd w:id="1501454796"/>
      <w:r w:rsidRPr="4D1AE66B" w:rsidR="0797E7D5">
        <w:rPr>
          <w:rFonts w:ascii="Arial Nova" w:hAnsi="Arial Nova" w:eastAsia="Arial Nova" w:cs="Arial Nova"/>
          <w:noProof w:val="0"/>
          <w:color w:val="auto"/>
          <w:lang w:val="en-GB"/>
        </w:rPr>
        <w:t xml:space="preserve"> gather quantitative and qualitative information about sustainable transport practices among WTM London attendees.</w:t>
      </w:r>
      <w:r w:rsidRPr="4D1AE66B" w:rsidR="7EC29C1F">
        <w:rPr>
          <w:rFonts w:ascii="Arial Nova" w:hAnsi="Arial Nova" w:eastAsia="Arial Nova" w:cs="Arial Nova"/>
          <w:noProof w:val="0"/>
          <w:color w:val="auto"/>
          <w:lang w:val="en-GB"/>
        </w:rPr>
        <w:t xml:space="preserve"> In tourism and event research, online surveys are widely acknowledged as an efficient and successful way to collect data, especially when participants are geographically distributed (Bryman, 2016; Veal, 2017). </w:t>
      </w:r>
      <w:r w:rsidRPr="4D1AE66B" w:rsidR="7EC29C1F">
        <w:rPr>
          <w:rFonts w:ascii="Arial Nova" w:hAnsi="Arial Nova" w:eastAsia="Arial Nova" w:cs="Arial Nova"/>
          <w:noProof w:val="0"/>
          <w:color w:val="auto"/>
          <w:lang w:val="en-GB"/>
        </w:rPr>
        <w:t>Typeform</w:t>
      </w:r>
      <w:r w:rsidRPr="4D1AE66B" w:rsidR="7EC29C1F">
        <w:rPr>
          <w:rFonts w:ascii="Arial Nova" w:hAnsi="Arial Nova" w:eastAsia="Arial Nova" w:cs="Arial Nova"/>
          <w:noProof w:val="0"/>
          <w:color w:val="auto"/>
          <w:lang w:val="en-GB"/>
        </w:rPr>
        <w:t xml:space="preserve"> survey was </w:t>
      </w:r>
      <w:r w:rsidRPr="4D1AE66B" w:rsidR="34813C2D">
        <w:rPr>
          <w:rFonts w:ascii="Arial Nova" w:hAnsi="Arial Nova" w:eastAsia="Arial Nova" w:cs="Arial Nova"/>
          <w:noProof w:val="0"/>
          <w:color w:val="000000" w:themeColor="text1" w:themeTint="FF" w:themeShade="FF"/>
          <w:sz w:val="24"/>
          <w:szCs w:val="24"/>
          <w:lang w:val="en-GB"/>
        </w:rPr>
        <w:t>chosen as the platform due to its accessibility, user-friendly interface, and ability to combine closed and open-ended questions within a single instrument.</w:t>
      </w:r>
    </w:p>
    <w:p w:rsidR="2769EDAE" w:rsidP="4D1AE66B" w:rsidRDefault="2769EDAE" w14:paraId="441A7902" w14:textId="1005C2F9">
      <w:pPr>
        <w:pStyle w:val="Normal"/>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4D1AE66B" w:rsidR="2769EDAE">
        <w:rPr>
          <w:rFonts w:ascii="Arial Nova" w:hAnsi="Arial Nova" w:eastAsia="Arial Nova" w:cs="Arial Nova"/>
          <w:noProof w:val="0"/>
          <w:color w:val="000000" w:themeColor="text1" w:themeTint="FF" w:themeShade="FF"/>
          <w:sz w:val="24"/>
          <w:szCs w:val="24"/>
          <w:lang w:val="en-GB"/>
        </w:rPr>
        <w:t>A variety of question types that are specific to the goals of the study are included in the survey. The systematic gathering of numerical data on transportation modes utilised, awareness of sustainable options, travel goals, and perceived barriers is made possible using closed-ended questions (such as multiple-choice and Likert scale items).</w:t>
      </w:r>
      <w:r w:rsidRPr="4D1AE66B" w:rsidR="1618B1C4">
        <w:rPr>
          <w:rFonts w:ascii="Arial Nova" w:hAnsi="Arial Nova" w:eastAsia="Arial Nova" w:cs="Arial Nova"/>
          <w:noProof w:val="0"/>
          <w:color w:val="000000" w:themeColor="text1" w:themeTint="FF" w:themeShade="FF"/>
          <w:sz w:val="24"/>
          <w:szCs w:val="24"/>
          <w:lang w:val="en-GB"/>
        </w:rPr>
        <w:t xml:space="preserve"> Open-ended questions, on the other hand, allow respondents to elaborate on their experiences, reflections, and suggestions for improvement. This inclusion of qualitative items is essential in a mixed-methods design, as it captures context-rich insights that may not emerge through fixed responses alone (Creswell &amp; Plano Clark, 2018).</w:t>
      </w:r>
    </w:p>
    <w:p w:rsidR="1F942074" w:rsidP="4D1AE66B" w:rsidRDefault="1F942074" w14:paraId="052D6DC7" w14:textId="15F69602">
      <w:pPr>
        <w:pStyle w:val="Subtitle"/>
        <w:rPr>
          <w:rFonts w:ascii="Arial Nova" w:hAnsi="Arial Nova" w:eastAsia="Arial Nova" w:cs="Arial Nova"/>
          <w:noProof w:val="0"/>
          <w:color w:val="auto"/>
          <w:lang w:val="en-GB"/>
        </w:rPr>
      </w:pPr>
      <w:r w:rsidRPr="4D1AE66B" w:rsidR="1F942074">
        <w:rPr>
          <w:rFonts w:ascii="Arial Nova" w:hAnsi="Arial Nova" w:eastAsia="Arial Nova" w:cs="Arial Nova"/>
          <w:noProof w:val="0"/>
          <w:color w:val="auto"/>
          <w:lang w:val="en-GB"/>
        </w:rPr>
        <w:t>Ethical Considerations</w:t>
      </w:r>
    </w:p>
    <w:p w:rsidR="7D6CCB38" w:rsidP="4D1AE66B" w:rsidRDefault="7D6CCB38" w14:paraId="19218839" w14:textId="11F82134">
      <w:pPr>
        <w:pStyle w:val="Normal"/>
      </w:pPr>
      <w:r w:rsidRPr="4D1AE66B" w:rsidR="7D6CCB38">
        <w:rPr>
          <w:rFonts w:ascii="Arial Nova" w:hAnsi="Arial Nova" w:eastAsia="Arial Nova" w:cs="Arial Nova"/>
          <w:noProof w:val="0"/>
          <w:color w:val="000000" w:themeColor="text1" w:themeTint="FF" w:themeShade="FF"/>
          <w:sz w:val="24"/>
          <w:szCs w:val="24"/>
          <w:lang w:val="en-GB"/>
        </w:rPr>
        <w:t xml:space="preserve">In this study, ethical integrity is essential. An information sheet and consent form explaining the study's </w:t>
      </w:r>
      <w:r w:rsidRPr="4D1AE66B" w:rsidR="7D6CCB38">
        <w:rPr>
          <w:rFonts w:ascii="Arial Nova" w:hAnsi="Arial Nova" w:eastAsia="Arial Nova" w:cs="Arial Nova"/>
          <w:noProof w:val="0"/>
          <w:color w:val="000000" w:themeColor="text1" w:themeTint="FF" w:themeShade="FF"/>
          <w:sz w:val="24"/>
          <w:szCs w:val="24"/>
          <w:lang w:val="en-GB"/>
        </w:rPr>
        <w:t>objectives</w:t>
      </w:r>
      <w:r w:rsidRPr="4D1AE66B" w:rsidR="7D6CCB38">
        <w:rPr>
          <w:rFonts w:ascii="Arial Nova" w:hAnsi="Arial Nova" w:eastAsia="Arial Nova" w:cs="Arial Nova"/>
          <w:noProof w:val="0"/>
          <w:color w:val="000000" w:themeColor="text1" w:themeTint="FF" w:themeShade="FF"/>
          <w:sz w:val="24"/>
          <w:szCs w:val="24"/>
          <w:lang w:val="en-GB"/>
        </w:rPr>
        <w:t xml:space="preserve">, voluntary participation, confidentiality, and data protection were given to participants. There will be no publication of personally identifiable information. The study </w:t>
      </w:r>
      <w:r w:rsidRPr="4D1AE66B" w:rsidR="7D6CCB38">
        <w:rPr>
          <w:rFonts w:ascii="Arial Nova" w:hAnsi="Arial Nova" w:eastAsia="Arial Nova" w:cs="Arial Nova"/>
          <w:noProof w:val="0"/>
          <w:color w:val="000000" w:themeColor="text1" w:themeTint="FF" w:themeShade="FF"/>
          <w:sz w:val="24"/>
          <w:szCs w:val="24"/>
          <w:lang w:val="en-GB"/>
        </w:rPr>
        <w:t>complies with</w:t>
      </w:r>
      <w:r w:rsidRPr="4D1AE66B" w:rsidR="7D6CCB38">
        <w:rPr>
          <w:rFonts w:ascii="Arial Nova" w:hAnsi="Arial Nova" w:eastAsia="Arial Nova" w:cs="Arial Nova"/>
          <w:noProof w:val="0"/>
          <w:color w:val="000000" w:themeColor="text1" w:themeTint="FF" w:themeShade="FF"/>
          <w:sz w:val="24"/>
          <w:szCs w:val="24"/>
          <w:lang w:val="en-GB"/>
        </w:rPr>
        <w:t xml:space="preserve"> university ethics policies and the ethical standards of the British Educational Research Association (BERA, 2018). Before data processing starts, participants are free to leave at any time.</w:t>
      </w:r>
    </w:p>
    <w:p w:rsidR="4D1AE66B" w:rsidP="4D1AE66B" w:rsidRDefault="4D1AE66B" w14:paraId="55C12F3F" w14:textId="593401CE">
      <w:pPr>
        <w:pStyle w:val="Subtitle"/>
        <w:rPr>
          <w:rFonts w:ascii="Arial Nova" w:hAnsi="Arial Nova" w:eastAsia="Arial Nova" w:cs="Arial Nova"/>
          <w:noProof w:val="0"/>
          <w:color w:val="auto"/>
          <w:lang w:val="en-GB"/>
        </w:rPr>
      </w:pPr>
    </w:p>
    <w:p w:rsidR="7D6CCB38" w:rsidP="4D1AE66B" w:rsidRDefault="7D6CCB38" w14:paraId="5A371C30" w14:textId="1A285C32">
      <w:pPr>
        <w:pStyle w:val="Subtitle"/>
        <w:rPr>
          <w:rFonts w:ascii="Arial Nova" w:hAnsi="Arial Nova" w:eastAsia="Arial Nova" w:cs="Arial Nova"/>
          <w:noProof w:val="0"/>
          <w:color w:val="auto"/>
          <w:sz w:val="28"/>
          <w:szCs w:val="28"/>
          <w:lang w:val="en-GB"/>
        </w:rPr>
      </w:pPr>
      <w:r w:rsidRPr="4D1AE66B" w:rsidR="7D6CCB38">
        <w:rPr>
          <w:rFonts w:ascii="Arial Nova" w:hAnsi="Arial Nova" w:eastAsia="Arial Nova" w:cs="Arial Nova"/>
          <w:noProof w:val="0"/>
          <w:color w:val="auto"/>
          <w:lang w:val="en-GB"/>
        </w:rPr>
        <w:t>Data Analysis</w:t>
      </w:r>
    </w:p>
    <w:p w:rsidR="71B0D4FA" w:rsidP="4D1AE66B" w:rsidRDefault="71B0D4FA" w14:paraId="552103B0" w14:textId="6A056FD1">
      <w:pPr>
        <w:pStyle w:val="Normal"/>
        <w:rPr>
          <w:rFonts w:ascii="Arial Nova" w:hAnsi="Arial Nova" w:eastAsia="Arial Nova" w:cs="Arial Nova"/>
          <w:noProof w:val="0"/>
          <w:color w:val="auto"/>
          <w:lang w:val="en-GB"/>
        </w:rPr>
      </w:pPr>
      <w:r w:rsidRPr="4D1AE66B" w:rsidR="71B0D4FA">
        <w:rPr>
          <w:rFonts w:ascii="Arial Nova" w:hAnsi="Arial Nova" w:eastAsia="Arial Nova" w:cs="Arial Nova"/>
          <w:noProof w:val="0"/>
          <w:color w:val="auto"/>
          <w:lang w:val="en-GB"/>
        </w:rPr>
        <w:t>The survey's quantitative results will be carefully examined and evaluated using straightforward descriptive techniques. To highlight important patterns in guests' transportation choices, understanding of sustainability, and influencing variables like cost and convenience, responses will be summarised using counts and percentages. This descriptive method, which offers a summary of participant behaviour without requiring sophisticated statistical software, is suitable for a small-scale exploratory investigation.</w:t>
      </w:r>
    </w:p>
    <w:p w:rsidR="71B0D4FA" w:rsidP="4D1AE66B" w:rsidRDefault="71B0D4FA" w14:paraId="480920AB" w14:textId="1974D994">
      <w:pPr>
        <w:pStyle w:val="Normal"/>
      </w:pPr>
      <w:r w:rsidRPr="4D1AE66B" w:rsidR="71B0D4FA">
        <w:rPr>
          <w:rFonts w:ascii="Arial Nova" w:hAnsi="Arial Nova" w:eastAsia="Arial Nova" w:cs="Arial Nova"/>
          <w:noProof w:val="0"/>
          <w:color w:val="auto"/>
          <w:lang w:val="en-GB"/>
        </w:rPr>
        <w:t xml:space="preserve">Thematic analysis will be used to evaluate qualitative data from the open-ended survey questions using the framework described by Braun and Clarke (2006). After reading the responses several times to make sure they are recognisable, they will be manually coded to find recurrent themes and </w:t>
      </w:r>
      <w:r w:rsidRPr="4D1AE66B" w:rsidR="71B0D4FA">
        <w:rPr>
          <w:rFonts w:ascii="Arial Nova" w:hAnsi="Arial Nova" w:eastAsia="Arial Nova" w:cs="Arial Nova"/>
          <w:noProof w:val="0"/>
          <w:color w:val="auto"/>
          <w:lang w:val="en-GB"/>
        </w:rPr>
        <w:t>new trends</w:t>
      </w:r>
      <w:r w:rsidRPr="4D1AE66B" w:rsidR="71B0D4FA">
        <w:rPr>
          <w:rFonts w:ascii="Arial Nova" w:hAnsi="Arial Nova" w:eastAsia="Arial Nova" w:cs="Arial Nova"/>
          <w:noProof w:val="0"/>
          <w:color w:val="auto"/>
          <w:lang w:val="en-GB"/>
        </w:rPr>
        <w:t>.</w:t>
      </w:r>
    </w:p>
    <w:p w:rsidR="150E4084" w:rsidP="4D1AE66B" w:rsidRDefault="150E4084" w14:paraId="05A6874A" w14:textId="7154B48A">
      <w:pPr>
        <w:pStyle w:val="Subtitle"/>
        <w:rPr>
          <w:rFonts w:ascii="Arial Nova" w:hAnsi="Arial Nova" w:eastAsia="Arial Nova" w:cs="Arial Nova"/>
          <w:b w:val="0"/>
          <w:bCs w:val="0"/>
          <w:noProof w:val="0"/>
          <w:color w:val="auto"/>
          <w:lang w:val="en-GB"/>
        </w:rPr>
      </w:pPr>
      <w:r w:rsidRPr="4D1AE66B" w:rsidR="150E4084">
        <w:rPr>
          <w:rFonts w:ascii="Arial Nova" w:hAnsi="Arial Nova" w:eastAsia="Arial Nova" w:cs="Arial Nova"/>
          <w:b w:val="0"/>
          <w:bCs w:val="0"/>
          <w:noProof w:val="0"/>
          <w:color w:val="auto"/>
          <w:lang w:val="en-GB"/>
        </w:rPr>
        <w:t>Significance of the Study</w:t>
      </w:r>
    </w:p>
    <w:p w:rsidR="7A28BC85" w:rsidP="4D1AE66B" w:rsidRDefault="7A28BC85" w14:paraId="7F007F75" w14:textId="56ACE8E5">
      <w:pPr>
        <w:pStyle w:val="Subtitle"/>
        <w:rPr>
          <w:rFonts w:ascii="Arial Nova" w:hAnsi="Arial Nova" w:eastAsia="Arial Nova" w:cs="Arial Nova"/>
          <w:noProof w:val="0"/>
          <w:color w:val="auto"/>
          <w:lang w:val="en-GB"/>
        </w:rPr>
      </w:pPr>
      <w:r w:rsidRPr="4D1AE66B" w:rsidR="7A28BC85">
        <w:rPr>
          <w:rFonts w:ascii="Arial Nova" w:hAnsi="Arial Nova" w:eastAsia="Arial Nova" w:cs="Arial Nova"/>
          <w:noProof w:val="0"/>
          <w:color w:val="auto"/>
          <w:lang w:val="en-GB"/>
        </w:rPr>
        <w:t>Academic Contribution</w:t>
      </w:r>
    </w:p>
    <w:p w:rsidR="08EC462A" w:rsidP="4D1AE66B" w:rsidRDefault="08EC462A" w14:paraId="178A6609" w14:textId="37271A7E">
      <w:pPr>
        <w:pStyle w:val="Normal"/>
        <w:rPr>
          <w:noProof w:val="0"/>
          <w:lang w:val="en-GB"/>
        </w:rPr>
      </w:pPr>
      <w:r w:rsidRPr="4D1AE66B" w:rsidR="08EC462A">
        <w:rPr>
          <w:rFonts w:ascii="Arial Nova" w:hAnsi="Arial Nova" w:eastAsia="Arial Nova" w:cs="Arial Nova"/>
          <w:noProof w:val="0"/>
          <w:color w:val="auto"/>
          <w:lang w:val="en-GB"/>
        </w:rPr>
        <w:t xml:space="preserve">This study significantly advances scholarly conversations about environmentally friendly transport in the travel and events industry. </w:t>
      </w:r>
      <w:r w:rsidRPr="4D1AE66B" w:rsidR="08EC462A">
        <w:rPr>
          <w:rFonts w:ascii="Arial Nova" w:hAnsi="Arial Nova" w:eastAsia="Arial Nova" w:cs="Arial Nova"/>
          <w:noProof w:val="0"/>
          <w:color w:val="auto"/>
          <w:lang w:val="en-GB"/>
        </w:rPr>
        <w:t>Even though</w:t>
      </w:r>
      <w:r w:rsidRPr="4D1AE66B" w:rsidR="08EC462A">
        <w:rPr>
          <w:rFonts w:ascii="Arial Nova" w:hAnsi="Arial Nova" w:eastAsia="Arial Nova" w:cs="Arial Nova"/>
          <w:noProof w:val="0"/>
          <w:color w:val="auto"/>
          <w:lang w:val="en-GB"/>
        </w:rPr>
        <w:t xml:space="preserve"> sustainable mobility has been extensively researched in the tourist industry, there is still a significant lack of empirical studies that concentrate on transport behaviour during major international events like WTM London. The environmental effects of attendee travel have been highlighted in earlier research (</w:t>
      </w:r>
      <w:r w:rsidRPr="4D1AE66B" w:rsidR="08EC462A">
        <w:rPr>
          <w:rFonts w:ascii="Arial Nova" w:hAnsi="Arial Nova" w:eastAsia="Arial Nova" w:cs="Arial Nova"/>
          <w:noProof w:val="0"/>
          <w:color w:val="auto"/>
          <w:lang w:val="en-GB"/>
        </w:rPr>
        <w:t>Gössling</w:t>
      </w:r>
      <w:r w:rsidRPr="4D1AE66B" w:rsidR="08EC462A">
        <w:rPr>
          <w:rFonts w:ascii="Arial Nova" w:hAnsi="Arial Nova" w:eastAsia="Arial Nova" w:cs="Arial Nova"/>
          <w:noProof w:val="0"/>
          <w:color w:val="auto"/>
          <w:lang w:val="en-GB"/>
        </w:rPr>
        <w:t xml:space="preserve"> &amp; Peeters, 2015; Becken &amp; Simmons, 2019), but few studies look at how attendees choose their mode of transportation, the obstacles they </w:t>
      </w:r>
      <w:r w:rsidRPr="4D1AE66B" w:rsidR="08EC462A">
        <w:rPr>
          <w:rFonts w:ascii="Arial Nova" w:hAnsi="Arial Nova" w:eastAsia="Arial Nova" w:cs="Arial Nova"/>
          <w:noProof w:val="0"/>
          <w:color w:val="auto"/>
          <w:lang w:val="en-GB"/>
        </w:rPr>
        <w:t>encounter</w:t>
      </w:r>
      <w:r w:rsidRPr="4D1AE66B" w:rsidR="08EC462A">
        <w:rPr>
          <w:rFonts w:ascii="Arial Nova" w:hAnsi="Arial Nova" w:eastAsia="Arial Nova" w:cs="Arial Nova"/>
          <w:noProof w:val="0"/>
          <w:color w:val="auto"/>
          <w:lang w:val="en-GB"/>
        </w:rPr>
        <w:t>, and the sustainability initiatives they think work. This study fills this gap by using a mixed-methods strategy, which combines qualitative viewpoints that highlight motivations, attitudes, and behavioural restrictions with descriptive quantitative findings.</w:t>
      </w:r>
    </w:p>
    <w:p w:rsidR="4C2115CC" w:rsidP="4D1AE66B" w:rsidRDefault="4C2115CC" w14:paraId="77C743BD" w14:textId="5AD0ACD7">
      <w:pPr>
        <w:pStyle w:val="Normal"/>
        <w:rPr>
          <w:rFonts w:ascii="Arial Nova" w:hAnsi="Arial Nova" w:eastAsia="Arial Nova" w:cs="Arial Nova"/>
          <w:noProof w:val="0"/>
          <w:lang w:val="en-GB"/>
        </w:rPr>
      </w:pPr>
      <w:r w:rsidRPr="4D1AE66B" w:rsidR="4C2115CC">
        <w:rPr>
          <w:rFonts w:ascii="Arial Nova" w:hAnsi="Arial Nova" w:eastAsia="Arial Nova" w:cs="Arial Nova"/>
          <w:noProof w:val="0"/>
          <w:lang w:val="en-GB"/>
        </w:rPr>
        <w:t xml:space="preserve">The study also adds to theoretical discussions on the "attitude behaviour gap" in eco-friendly travel. Although behavioural models like the Theory of Planned Behaviour (Ajzen, 1991) suggest that attitudes affect behaviour, real world scenarios </w:t>
      </w:r>
      <w:r w:rsidRPr="4D1AE66B" w:rsidR="4C2115CC">
        <w:rPr>
          <w:rFonts w:ascii="Arial Nova" w:hAnsi="Arial Nova" w:eastAsia="Arial Nova" w:cs="Arial Nova"/>
          <w:noProof w:val="0"/>
          <w:lang w:val="en-GB"/>
        </w:rPr>
        <w:t>frequently</w:t>
      </w:r>
      <w:r w:rsidRPr="4D1AE66B" w:rsidR="4C2115CC">
        <w:rPr>
          <w:rFonts w:ascii="Arial Nova" w:hAnsi="Arial Nova" w:eastAsia="Arial Nova" w:cs="Arial Nova"/>
          <w:noProof w:val="0"/>
          <w:lang w:val="en-GB"/>
        </w:rPr>
        <w:t xml:space="preserve"> </w:t>
      </w:r>
      <w:r w:rsidRPr="4D1AE66B" w:rsidR="4C2115CC">
        <w:rPr>
          <w:rFonts w:ascii="Arial Nova" w:hAnsi="Arial Nova" w:eastAsia="Arial Nova" w:cs="Arial Nova"/>
          <w:noProof w:val="0"/>
          <w:lang w:val="en-GB"/>
        </w:rPr>
        <w:t>demonstrate</w:t>
      </w:r>
      <w:r w:rsidRPr="4D1AE66B" w:rsidR="4C2115CC">
        <w:rPr>
          <w:rFonts w:ascii="Arial Nova" w:hAnsi="Arial Nova" w:eastAsia="Arial Nova" w:cs="Arial Nova"/>
          <w:noProof w:val="0"/>
          <w:lang w:val="en-GB"/>
        </w:rPr>
        <w:t xml:space="preserve"> that people who prioritise sustainability still select less sustainable modes of transportation because of factors like cost, convenience, or structural obstacles. This study offers empirical proof of the existence of this disparity among major trade event attendees as well as the contributing causes. In this way, the work advances the scholarly knowledge of the </w:t>
      </w:r>
      <w:r w:rsidRPr="4D1AE66B" w:rsidR="4C2115CC">
        <w:rPr>
          <w:rFonts w:ascii="Arial Nova" w:hAnsi="Arial Nova" w:eastAsia="Arial Nova" w:cs="Arial Nova"/>
          <w:noProof w:val="0"/>
          <w:lang w:val="en-GB"/>
        </w:rPr>
        <w:t>application</w:t>
      </w:r>
      <w:r w:rsidRPr="4D1AE66B" w:rsidR="4C2115CC">
        <w:rPr>
          <w:rFonts w:ascii="Arial Nova" w:hAnsi="Arial Nova" w:eastAsia="Arial Nova" w:cs="Arial Nova"/>
          <w:noProof w:val="0"/>
          <w:lang w:val="en-GB"/>
        </w:rPr>
        <w:t xml:space="preserve"> of behavioural theory to event mobility, a subject that has not received enough attention (Cohen et al., 2020).</w:t>
      </w:r>
    </w:p>
    <w:p w:rsidR="254D8128" w:rsidP="4D1AE66B" w:rsidRDefault="254D8128" w14:paraId="3383666B" w14:textId="0CF41850">
      <w:pPr>
        <w:pStyle w:val="Subtitle"/>
        <w:rPr>
          <w:rFonts w:ascii="Arial Nova" w:hAnsi="Arial Nova" w:eastAsia="Arial Nova" w:cs="Arial Nova"/>
          <w:noProof w:val="0"/>
          <w:color w:val="auto"/>
          <w:lang w:val="en-GB"/>
        </w:rPr>
      </w:pPr>
      <w:r w:rsidRPr="4D1AE66B" w:rsidR="254D8128">
        <w:rPr>
          <w:rFonts w:ascii="Arial Nova" w:hAnsi="Arial Nova" w:eastAsia="Arial Nova" w:cs="Arial Nova"/>
          <w:noProof w:val="0"/>
          <w:color w:val="auto"/>
          <w:lang w:val="en-GB"/>
        </w:rPr>
        <w:t>Practical Implications</w:t>
      </w:r>
    </w:p>
    <w:p w:rsidR="17FD7689" w:rsidP="4D1AE66B" w:rsidRDefault="17FD7689" w14:paraId="1F0D372B" w14:textId="23FB64EE">
      <w:pPr>
        <w:pStyle w:val="Normal"/>
        <w:rPr>
          <w:rFonts w:ascii="Arial Nova" w:hAnsi="Arial Nova" w:eastAsia="Arial Nova" w:cs="Arial Nova"/>
          <w:noProof w:val="0"/>
          <w:color w:val="auto"/>
          <w:lang w:val="en-GB"/>
        </w:rPr>
      </w:pPr>
      <w:r w:rsidRPr="4D1AE66B" w:rsidR="17FD7689">
        <w:rPr>
          <w:rFonts w:ascii="Arial Nova" w:hAnsi="Arial Nova" w:eastAsia="Arial Nova" w:cs="Arial Nova"/>
          <w:noProof w:val="0"/>
          <w:color w:val="auto"/>
          <w:lang w:val="en-GB"/>
        </w:rPr>
        <w:t xml:space="preserve">From a practical perspective, the study </w:t>
      </w:r>
      <w:r w:rsidRPr="4D1AE66B" w:rsidR="17FD7689">
        <w:rPr>
          <w:rFonts w:ascii="Arial Nova" w:hAnsi="Arial Nova" w:eastAsia="Arial Nova" w:cs="Arial Nova"/>
          <w:noProof w:val="0"/>
          <w:color w:val="auto"/>
          <w:lang w:val="en-GB"/>
        </w:rPr>
        <w:t>provides</w:t>
      </w:r>
      <w:r w:rsidRPr="4D1AE66B" w:rsidR="17FD7689">
        <w:rPr>
          <w:rFonts w:ascii="Arial Nova" w:hAnsi="Arial Nova" w:eastAsia="Arial Nova" w:cs="Arial Nova"/>
          <w:noProof w:val="0"/>
          <w:color w:val="auto"/>
          <w:lang w:val="en-GB"/>
        </w:rPr>
        <w:t xml:space="preserve"> valuable insights for event organisers, destination manag</w:t>
      </w:r>
      <w:r w:rsidRPr="4D1AE66B" w:rsidR="5BF51EF5">
        <w:rPr>
          <w:rFonts w:ascii="Arial Nova" w:hAnsi="Arial Nova" w:eastAsia="Arial Nova" w:cs="Arial Nova"/>
          <w:noProof w:val="0"/>
          <w:color w:val="auto"/>
          <w:lang w:val="en-GB"/>
        </w:rPr>
        <w:t xml:space="preserve">ers, </w:t>
      </w:r>
      <w:r w:rsidRPr="4D1AE66B" w:rsidR="5D1AB4EA">
        <w:rPr>
          <w:rFonts w:ascii="Arial Nova" w:hAnsi="Arial Nova" w:eastAsia="Arial Nova" w:cs="Arial Nova"/>
          <w:noProof w:val="0"/>
          <w:color w:val="auto"/>
          <w:lang w:val="en-GB"/>
        </w:rPr>
        <w:t xml:space="preserve">transport authorities, and </w:t>
      </w:r>
      <w:r w:rsidRPr="4D1AE66B" w:rsidR="44D4491F">
        <w:rPr>
          <w:rFonts w:ascii="Arial Nova" w:hAnsi="Arial Nova" w:eastAsia="Arial Nova" w:cs="Arial Nova"/>
          <w:noProof w:val="0"/>
          <w:color w:val="auto"/>
          <w:lang w:val="en-GB"/>
        </w:rPr>
        <w:t>sustainability</w:t>
      </w:r>
      <w:r w:rsidRPr="4D1AE66B" w:rsidR="5D1AB4EA">
        <w:rPr>
          <w:rFonts w:ascii="Arial Nova" w:hAnsi="Arial Nova" w:eastAsia="Arial Nova" w:cs="Arial Nova"/>
          <w:noProof w:val="0"/>
          <w:color w:val="auto"/>
          <w:lang w:val="en-GB"/>
        </w:rPr>
        <w:t xml:space="preserve"> professionals. WTM London is one of the </w:t>
      </w:r>
      <w:r w:rsidRPr="4D1AE66B" w:rsidR="6F2FE7CD">
        <w:rPr>
          <w:rFonts w:ascii="Arial Nova" w:hAnsi="Arial Nova" w:eastAsia="Arial Nova" w:cs="Arial Nova"/>
          <w:noProof w:val="0"/>
          <w:color w:val="auto"/>
          <w:lang w:val="en-GB"/>
        </w:rPr>
        <w:t xml:space="preserve">world’s largest travels and </w:t>
      </w:r>
      <w:r w:rsidRPr="4D1AE66B" w:rsidR="63E0BAA2">
        <w:rPr>
          <w:rFonts w:ascii="Arial Nova" w:hAnsi="Arial Nova" w:eastAsia="Arial Nova" w:cs="Arial Nova"/>
          <w:noProof w:val="0"/>
          <w:color w:val="auto"/>
          <w:lang w:val="en-GB"/>
        </w:rPr>
        <w:t>tourism trade events, attracting global visitors who use a wide range of</w:t>
      </w:r>
      <w:r w:rsidRPr="4D1AE66B" w:rsidR="69170A6C">
        <w:rPr>
          <w:rFonts w:ascii="Arial Nova" w:hAnsi="Arial Nova" w:eastAsia="Arial Nova" w:cs="Arial Nova"/>
          <w:noProof w:val="0"/>
          <w:color w:val="auto"/>
          <w:lang w:val="en-GB"/>
        </w:rPr>
        <w:t xml:space="preserve"> transport modes. Understand</w:t>
      </w:r>
      <w:r w:rsidRPr="4D1AE66B" w:rsidR="553FD998">
        <w:rPr>
          <w:rFonts w:ascii="Arial Nova" w:hAnsi="Arial Nova" w:eastAsia="Arial Nova" w:cs="Arial Nova"/>
          <w:noProof w:val="0"/>
          <w:color w:val="auto"/>
          <w:lang w:val="en-GB"/>
        </w:rPr>
        <w:t>ing how these attendee's travel and why enables organisers to develop t</w:t>
      </w:r>
      <w:r w:rsidRPr="4D1AE66B" w:rsidR="6E2B60E5">
        <w:rPr>
          <w:rFonts w:ascii="Arial Nova" w:hAnsi="Arial Nova" w:eastAsia="Arial Nova" w:cs="Arial Nova"/>
          <w:noProof w:val="0"/>
          <w:color w:val="auto"/>
          <w:lang w:val="en-GB"/>
        </w:rPr>
        <w:t>argeted strategies that encourage more sustainable choices.</w:t>
      </w:r>
    </w:p>
    <w:p w:rsidR="47667CE6" w:rsidP="4D1AE66B" w:rsidRDefault="47667CE6" w14:paraId="19F203B7" w14:textId="662BC86A">
      <w:pPr>
        <w:pStyle w:val="Normal"/>
        <w:rPr>
          <w:rFonts w:ascii="Arial Nova" w:hAnsi="Arial Nova" w:eastAsia="Arial Nova" w:cs="Arial Nova"/>
          <w:noProof w:val="0"/>
          <w:color w:val="auto"/>
          <w:lang w:val="en-GB"/>
        </w:rPr>
      </w:pPr>
      <w:r w:rsidRPr="4D1AE66B" w:rsidR="47667CE6">
        <w:rPr>
          <w:rFonts w:ascii="Arial Nova" w:hAnsi="Arial Nova" w:eastAsia="Arial Nova" w:cs="Arial Nova"/>
          <w:noProof w:val="0"/>
          <w:color w:val="auto"/>
          <w:lang w:val="en-GB"/>
        </w:rPr>
        <w:t>First, communication methods might be informed by the findings. Through websites, emails, signage, and the event app, WTM organisers can increase the visibility and clarity of travel information if guests are not aware of sustainable mobility options or do not think they are convenient. Second, the research can direct the creation of incentives that increase the attractiveness of sustainable choices. This might involve lowering the cost of public transit, forming alliances with rail companies, or offering incentives to participants who use low emission alternatives.</w:t>
      </w:r>
    </w:p>
    <w:p w:rsidR="71E83281" w:rsidP="4D1AE66B" w:rsidRDefault="71E83281" w14:paraId="428835F1" w14:textId="6B663000">
      <w:pPr>
        <w:pStyle w:val="Normal"/>
        <w:rPr>
          <w:rFonts w:ascii="Arial Nova" w:hAnsi="Arial Nova" w:eastAsia="Arial Nova" w:cs="Arial Nova"/>
          <w:noProof w:val="0"/>
          <w:color w:val="auto"/>
          <w:lang w:val="en-GB"/>
        </w:rPr>
      </w:pPr>
      <w:r w:rsidRPr="4D1AE66B" w:rsidR="71E83281">
        <w:rPr>
          <w:rFonts w:ascii="Arial Nova" w:hAnsi="Arial Nova" w:eastAsia="Arial Nova" w:cs="Arial Nova"/>
          <w:noProof w:val="0"/>
          <w:color w:val="auto"/>
          <w:lang w:val="en-GB"/>
        </w:rPr>
        <w:t xml:space="preserve">The study may also </w:t>
      </w:r>
      <w:r w:rsidRPr="4D1AE66B" w:rsidR="71E83281">
        <w:rPr>
          <w:rFonts w:ascii="Arial Nova" w:hAnsi="Arial Nova" w:eastAsia="Arial Nova" w:cs="Arial Nova"/>
          <w:noProof w:val="0"/>
          <w:color w:val="auto"/>
          <w:lang w:val="en-GB"/>
        </w:rPr>
        <w:t>identify</w:t>
      </w:r>
      <w:r w:rsidRPr="4D1AE66B" w:rsidR="71E83281">
        <w:rPr>
          <w:rFonts w:ascii="Arial Nova" w:hAnsi="Arial Nova" w:eastAsia="Arial Nova" w:cs="Arial Nova"/>
          <w:noProof w:val="0"/>
          <w:color w:val="auto"/>
          <w:lang w:val="en-GB"/>
        </w:rPr>
        <w:t xml:space="preserve"> operational enhancements that could improve the experience of visitors, such as improved navigation, increased accessibility for walking and bicycling, or the launch of shuttle services from important transportation hubs. These insights can help policymakers create coordinated transport systems that support huge events while lowering emissions and traffic in places like London, which </w:t>
      </w:r>
      <w:r w:rsidRPr="4D1AE66B" w:rsidR="71E83281">
        <w:rPr>
          <w:rFonts w:ascii="Arial Nova" w:hAnsi="Arial Nova" w:eastAsia="Arial Nova" w:cs="Arial Nova"/>
          <w:noProof w:val="0"/>
          <w:color w:val="auto"/>
          <w:lang w:val="en-GB"/>
        </w:rPr>
        <w:t>seek</w:t>
      </w:r>
      <w:r w:rsidRPr="4D1AE66B" w:rsidR="71E83281">
        <w:rPr>
          <w:rFonts w:ascii="Arial Nova" w:hAnsi="Arial Nova" w:eastAsia="Arial Nova" w:cs="Arial Nova"/>
          <w:noProof w:val="0"/>
          <w:color w:val="auto"/>
          <w:lang w:val="en-GB"/>
        </w:rPr>
        <w:t xml:space="preserve"> to balance economic growth with climate goals.</w:t>
      </w:r>
    </w:p>
    <w:p w:rsidR="6844AF59" w:rsidP="4D1AE66B" w:rsidRDefault="6844AF59" w14:paraId="2ED9FB3E" w14:textId="225BF57B">
      <w:pPr>
        <w:pStyle w:val="Normal"/>
        <w:rPr>
          <w:rFonts w:ascii="Arial Nova" w:hAnsi="Arial Nova" w:eastAsia="Arial Nova" w:cs="Arial Nova"/>
          <w:noProof w:val="0"/>
          <w:color w:val="auto"/>
          <w:lang w:val="en-GB"/>
        </w:rPr>
      </w:pPr>
      <w:r w:rsidRPr="4D1AE66B" w:rsidR="6844AF59">
        <w:rPr>
          <w:rFonts w:ascii="Arial Nova" w:hAnsi="Arial Nova" w:eastAsia="Arial Nova" w:cs="Arial Nova"/>
          <w:noProof w:val="0"/>
          <w:color w:val="auto"/>
          <w:lang w:val="en-GB"/>
        </w:rPr>
        <w:t xml:space="preserve">Lastly, the research provides actionable recommendations that industry practitioners can apply not only at WTM but </w:t>
      </w:r>
      <w:r w:rsidRPr="4D1AE66B" w:rsidR="4EE05A35">
        <w:rPr>
          <w:rFonts w:ascii="Arial Nova" w:hAnsi="Arial Nova" w:eastAsia="Arial Nova" w:cs="Arial Nova"/>
          <w:noProof w:val="0"/>
          <w:color w:val="auto"/>
          <w:lang w:val="en-GB"/>
        </w:rPr>
        <w:t xml:space="preserve">also at other trade fairs, conferences, exhibitions, and mega events. </w:t>
      </w:r>
      <w:r w:rsidRPr="4D1AE66B" w:rsidR="1BDFA0F7">
        <w:rPr>
          <w:rFonts w:ascii="Arial Nova" w:hAnsi="Arial Nova" w:eastAsia="Arial Nova" w:cs="Arial Nova"/>
          <w:noProof w:val="0"/>
          <w:color w:val="auto"/>
          <w:lang w:val="en-GB"/>
        </w:rPr>
        <w:t>This practical relevance makes the study directly beneficial for improving sustainability performance within the events industry.</w:t>
      </w:r>
    </w:p>
    <w:p w:rsidR="160D73A1" w:rsidP="4D1AE66B" w:rsidRDefault="160D73A1" w14:paraId="5BDCA516" w14:textId="20C268A8">
      <w:pPr>
        <w:pStyle w:val="Subtitle"/>
        <w:rPr>
          <w:rFonts w:ascii="Arial Nova" w:hAnsi="Arial Nova" w:eastAsia="Arial Nova" w:cs="Arial Nova"/>
          <w:noProof w:val="0"/>
          <w:color w:val="auto"/>
          <w:lang w:val="en-GB"/>
        </w:rPr>
      </w:pPr>
      <w:r w:rsidRPr="4D1AE66B" w:rsidR="160D73A1">
        <w:rPr>
          <w:rFonts w:ascii="Arial Nova" w:hAnsi="Arial Nova" w:eastAsia="Arial Nova" w:cs="Arial Nova"/>
          <w:noProof w:val="0"/>
          <w:color w:val="auto"/>
          <w:lang w:val="en-GB"/>
        </w:rPr>
        <w:t>Links to Industry Trends and Policy Frameworks</w:t>
      </w:r>
    </w:p>
    <w:p w:rsidR="177296B8" w:rsidP="4D1AE66B" w:rsidRDefault="177296B8" w14:paraId="036229C4" w14:textId="5145F094">
      <w:pPr>
        <w:pStyle w:val="Normal"/>
        <w:rPr>
          <w:rFonts w:ascii="Arial Nova" w:hAnsi="Arial Nova" w:eastAsia="Arial Nova" w:cs="Arial Nova"/>
          <w:noProof w:val="0"/>
          <w:color w:val="auto"/>
          <w:lang w:val="en-GB"/>
        </w:rPr>
      </w:pPr>
      <w:r w:rsidRPr="4D1AE66B" w:rsidR="177296B8">
        <w:rPr>
          <w:rFonts w:ascii="Arial Nova" w:hAnsi="Arial Nova" w:eastAsia="Arial Nova" w:cs="Arial Nova"/>
          <w:noProof w:val="0"/>
          <w:color w:val="auto"/>
          <w:lang w:val="en-GB"/>
        </w:rPr>
        <w:t xml:space="preserve">Major national and worldwide environmental activities are closely aligned with the study. The necessity of low-carbon transport systems and sustainable mobility planning is emphasised by the United Nations Sustainable Development Goals (SDG 11: Sustainable Cities and Communities; SDG 13: Climate Action). This study directly advances knowledge of how these global </w:t>
      </w:r>
      <w:r w:rsidRPr="4D1AE66B" w:rsidR="177296B8">
        <w:rPr>
          <w:rFonts w:ascii="Arial Nova" w:hAnsi="Arial Nova" w:eastAsia="Arial Nova" w:cs="Arial Nova"/>
          <w:noProof w:val="0"/>
          <w:color w:val="auto"/>
          <w:lang w:val="en-GB"/>
        </w:rPr>
        <w:t>objectives</w:t>
      </w:r>
      <w:r w:rsidRPr="4D1AE66B" w:rsidR="177296B8">
        <w:rPr>
          <w:rFonts w:ascii="Arial Nova" w:hAnsi="Arial Nova" w:eastAsia="Arial Nova" w:cs="Arial Nova"/>
          <w:noProof w:val="0"/>
          <w:color w:val="auto"/>
          <w:lang w:val="en-GB"/>
        </w:rPr>
        <w:t xml:space="preserve"> can be carried out at the event level by concentrating on travel behaviour and event transport implications.</w:t>
      </w:r>
    </w:p>
    <w:p w:rsidR="3922996E" w:rsidP="4D1AE66B" w:rsidRDefault="3922996E" w14:paraId="40A00476" w14:textId="5B5D8EEC">
      <w:pPr>
        <w:pStyle w:val="Normal"/>
        <w:rPr>
          <w:rFonts w:ascii="Arial Nova" w:hAnsi="Arial Nova" w:eastAsia="Arial Nova" w:cs="Arial Nova"/>
          <w:noProof w:val="0"/>
          <w:color w:val="auto"/>
          <w:lang w:val="en-GB"/>
        </w:rPr>
      </w:pPr>
      <w:r w:rsidRPr="4D1AE66B" w:rsidR="3922996E">
        <w:rPr>
          <w:rFonts w:ascii="Arial Nova" w:hAnsi="Arial Nova" w:eastAsia="Arial Nova" w:cs="Arial Nova"/>
          <w:noProof w:val="0"/>
          <w:color w:val="auto"/>
          <w:lang w:val="en-GB"/>
        </w:rPr>
        <w:t xml:space="preserve">Transport decarbonisation is also emphasised as a national goal in the UK Government's Net Zero 2050 Strategy. London is a key player in this shift as one of the world's top event venues. By finding ways to lower travel emissions related to significant international events, the research supports these policy goals and helps both planners and attendees </w:t>
      </w:r>
      <w:r w:rsidRPr="4D1AE66B" w:rsidR="3922996E">
        <w:rPr>
          <w:rFonts w:ascii="Arial Nova" w:hAnsi="Arial Nova" w:eastAsia="Arial Nova" w:cs="Arial Nova"/>
          <w:noProof w:val="0"/>
          <w:color w:val="auto"/>
          <w:lang w:val="en-GB"/>
        </w:rPr>
        <w:t>comply with</w:t>
      </w:r>
      <w:r w:rsidRPr="4D1AE66B" w:rsidR="3922996E">
        <w:rPr>
          <w:rFonts w:ascii="Arial Nova" w:hAnsi="Arial Nova" w:eastAsia="Arial Nova" w:cs="Arial Nova"/>
          <w:noProof w:val="0"/>
          <w:color w:val="auto"/>
          <w:lang w:val="en-GB"/>
        </w:rPr>
        <w:t xml:space="preserve"> national climate obligations.</w:t>
      </w:r>
    </w:p>
    <w:p w:rsidR="5F05874C" w:rsidP="4D1AE66B" w:rsidRDefault="5F05874C" w14:paraId="2E5E2071" w14:textId="3F81DD1F">
      <w:pPr>
        <w:pStyle w:val="Subtitle"/>
        <w:rPr>
          <w:rFonts w:ascii="Arial Nova" w:hAnsi="Arial Nova" w:eastAsia="Arial Nova" w:cs="Arial Nova"/>
          <w:noProof w:val="0"/>
          <w:color w:val="auto"/>
          <w:sz w:val="28"/>
          <w:szCs w:val="28"/>
          <w:lang w:val="en-GB"/>
        </w:rPr>
      </w:pPr>
      <w:r w:rsidRPr="4D1AE66B" w:rsidR="5F05874C">
        <w:rPr>
          <w:rFonts w:ascii="Arial Nova" w:hAnsi="Arial Nova" w:eastAsia="Arial Nova" w:cs="Arial Nova"/>
          <w:noProof w:val="0"/>
          <w:color w:val="auto"/>
          <w:lang w:val="en-GB"/>
        </w:rPr>
        <w:t>Timeline</w:t>
      </w:r>
      <w:r w:rsidRPr="4D1AE66B" w:rsidR="3883C4FF">
        <w:rPr>
          <w:rFonts w:ascii="Arial Nova" w:hAnsi="Arial Nova" w:eastAsia="Arial Nova" w:cs="Arial Nova"/>
          <w:noProof w:val="0"/>
          <w:color w:val="auto"/>
          <w:lang w:val="en-GB"/>
        </w:rPr>
        <w:t xml:space="preserve"> of research activ</w:t>
      </w:r>
      <w:r w:rsidRPr="4D1AE66B" w:rsidR="03049025">
        <w:rPr>
          <w:rFonts w:ascii="Arial Nova" w:hAnsi="Arial Nova" w:eastAsia="Arial Nova" w:cs="Arial Nova"/>
          <w:noProof w:val="0"/>
          <w:color w:val="auto"/>
          <w:lang w:val="en-GB"/>
        </w:rPr>
        <w:t xml:space="preserve">ities </w:t>
      </w:r>
    </w:p>
    <w:p w:rsidR="14220BA5" w:rsidP="4D1AE66B" w:rsidRDefault="14220BA5" w14:paraId="36A108A1" w14:textId="579031C4">
      <w:pPr>
        <w:pStyle w:val="Normal"/>
        <w:rPr>
          <w:noProof w:val="0"/>
          <w:lang w:val="en-GB"/>
        </w:rPr>
      </w:pPr>
      <w:r w:rsidRPr="4D1AE66B" w:rsidR="14220BA5">
        <w:rPr>
          <w:rFonts w:ascii="Arial Nova" w:hAnsi="Arial Nova" w:eastAsia="Arial Nova" w:cs="Arial Nova"/>
          <w:noProof w:val="0"/>
          <w:color w:val="auto"/>
          <w:lang w:val="en-GB"/>
        </w:rPr>
        <w:t xml:space="preserve">This study's timeline illustrates the methodical procedure needed to plan, carry out, and evaluate a small-scale mixed-methods investigation. The project started in Week 1 with </w:t>
      </w:r>
      <w:r w:rsidRPr="4D1AE66B" w:rsidR="14220BA5">
        <w:rPr>
          <w:rFonts w:ascii="Arial Nova" w:hAnsi="Arial Nova" w:eastAsia="Arial Nova" w:cs="Arial Nova"/>
          <w:noProof w:val="0"/>
          <w:color w:val="auto"/>
          <w:lang w:val="en-GB"/>
        </w:rPr>
        <w:t>an initial</w:t>
      </w:r>
      <w:r w:rsidRPr="4D1AE66B" w:rsidR="14220BA5">
        <w:rPr>
          <w:rFonts w:ascii="Arial Nova" w:hAnsi="Arial Nova" w:eastAsia="Arial Nova" w:cs="Arial Nova"/>
          <w:noProof w:val="0"/>
          <w:color w:val="auto"/>
          <w:lang w:val="en-GB"/>
        </w:rPr>
        <w:t xml:space="preserve"> examination of the literature that concentrated on behavioural theories, event mobility, and sustainable transportation. Week 2 saw the refinement of the research design and the creation of survey questions that complemented the </w:t>
      </w:r>
      <w:r w:rsidRPr="4D1AE66B" w:rsidR="14220BA5">
        <w:rPr>
          <w:rFonts w:ascii="Arial Nova" w:hAnsi="Arial Nova" w:eastAsia="Arial Nova" w:cs="Arial Nova"/>
          <w:noProof w:val="0"/>
          <w:color w:val="auto"/>
          <w:lang w:val="en-GB"/>
        </w:rPr>
        <w:t>objectives</w:t>
      </w:r>
      <w:r w:rsidRPr="4D1AE66B" w:rsidR="14220BA5">
        <w:rPr>
          <w:rFonts w:ascii="Arial Nova" w:hAnsi="Arial Nova" w:eastAsia="Arial Nova" w:cs="Arial Nova"/>
          <w:noProof w:val="0"/>
          <w:color w:val="auto"/>
          <w:lang w:val="en-GB"/>
        </w:rPr>
        <w:t xml:space="preserve"> of the study. The online survey was completed and ready for distribution during Week 3. Convenience and snowball sampling were used to distribute the survey to WTM London attendees during Week 4.</w:t>
      </w:r>
      <w:r w:rsidRPr="4D1AE66B" w:rsidR="7CD16386">
        <w:rPr>
          <w:rFonts w:ascii="Arial Nova" w:hAnsi="Arial Nova" w:eastAsia="Arial Nova" w:cs="Arial Nova"/>
          <w:noProof w:val="0"/>
          <w:color w:val="auto"/>
          <w:lang w:val="en-GB"/>
        </w:rPr>
        <w:t xml:space="preserve"> Ten completed replies were obtained as a result of data collection continuing into early Week 5. Week 5 involved manual data processing, which included theme coding of open-text responses and descriptive summaries. Weeks 6 and 7 were devoted to writing, integrating discoveries, and finishing the main body of the research; Week 8 was devoted to proofreading, editing, and formatting.</w:t>
      </w:r>
    </w:p>
    <w:p w:rsidR="5856968D" w:rsidP="4D1AE66B" w:rsidRDefault="5856968D" w14:paraId="54A515B2" w14:textId="116C016F">
      <w:pPr>
        <w:pStyle w:val="Subtitle"/>
        <w:rPr>
          <w:rFonts w:ascii="Arial Nova" w:hAnsi="Arial Nova" w:eastAsia="Arial Nova" w:cs="Arial Nova"/>
          <w:noProof w:val="0"/>
          <w:color w:val="auto"/>
          <w:sz w:val="28"/>
          <w:szCs w:val="28"/>
          <w:lang w:val="en-GB"/>
        </w:rPr>
      </w:pPr>
      <w:r w:rsidRPr="4D1AE66B" w:rsidR="5856968D">
        <w:rPr>
          <w:rFonts w:ascii="Arial Nova" w:hAnsi="Arial Nova" w:eastAsia="Arial Nova" w:cs="Arial Nova"/>
          <w:noProof w:val="0"/>
          <w:color w:val="auto"/>
          <w:sz w:val="28"/>
          <w:szCs w:val="28"/>
          <w:lang w:val="en-GB"/>
        </w:rPr>
        <w:t>Budget Estimate</w:t>
      </w:r>
    </w:p>
    <w:p w:rsidR="5856968D" w:rsidP="4D1AE66B" w:rsidRDefault="5856968D" w14:paraId="4AB39197" w14:textId="421CDDFF">
      <w:pPr>
        <w:pStyle w:val="Normal"/>
        <w:rPr>
          <w:rFonts w:ascii="Arial Nova" w:hAnsi="Arial Nova" w:eastAsia="Arial Nova" w:cs="Arial Nova"/>
          <w:noProof w:val="0"/>
          <w:color w:val="auto"/>
          <w:sz w:val="24"/>
          <w:szCs w:val="24"/>
          <w:lang w:val="en-GB"/>
        </w:rPr>
      </w:pPr>
      <w:r w:rsidRPr="4D1AE66B" w:rsidR="5856968D">
        <w:rPr>
          <w:rFonts w:ascii="Arial Nova" w:hAnsi="Arial Nova" w:eastAsia="Arial Nova" w:cs="Arial Nova"/>
          <w:noProof w:val="0"/>
          <w:color w:val="auto"/>
          <w:sz w:val="24"/>
          <w:szCs w:val="24"/>
          <w:lang w:val="en-GB"/>
        </w:rPr>
        <w:t xml:space="preserve">The overall budget for this study is </w:t>
      </w:r>
      <w:r w:rsidRPr="4D1AE66B" w:rsidR="5856968D">
        <w:rPr>
          <w:rFonts w:ascii="Arial Nova" w:hAnsi="Arial Nova" w:eastAsia="Arial Nova" w:cs="Arial Nova"/>
          <w:noProof w:val="0"/>
          <w:color w:val="auto"/>
          <w:sz w:val="24"/>
          <w:szCs w:val="24"/>
          <w:lang w:val="en-GB"/>
        </w:rPr>
        <w:t>very low</w:t>
      </w:r>
      <w:r w:rsidRPr="4D1AE66B" w:rsidR="5856968D">
        <w:rPr>
          <w:rFonts w:ascii="Arial Nova" w:hAnsi="Arial Nova" w:eastAsia="Arial Nova" w:cs="Arial Nova"/>
          <w:noProof w:val="0"/>
          <w:color w:val="auto"/>
          <w:sz w:val="24"/>
          <w:szCs w:val="24"/>
          <w:lang w:val="en-GB"/>
        </w:rPr>
        <w:t xml:space="preserve"> because the research relied on an online survey and manual analysis. Data collection was completed using </w:t>
      </w:r>
      <w:r w:rsidRPr="4D1AE66B" w:rsidR="5D88B72B">
        <w:rPr>
          <w:rFonts w:ascii="Arial Nova" w:hAnsi="Arial Nova" w:eastAsia="Arial Nova" w:cs="Arial Nova"/>
          <w:noProof w:val="0"/>
          <w:color w:val="auto"/>
          <w:sz w:val="24"/>
          <w:szCs w:val="24"/>
          <w:lang w:val="en-GB"/>
        </w:rPr>
        <w:t>T</w:t>
      </w:r>
      <w:r w:rsidRPr="4D1AE66B" w:rsidR="2EC72C2E">
        <w:rPr>
          <w:rFonts w:ascii="Arial Nova" w:hAnsi="Arial Nova" w:eastAsia="Arial Nova" w:cs="Arial Nova"/>
          <w:noProof w:val="0"/>
          <w:color w:val="auto"/>
          <w:sz w:val="24"/>
          <w:szCs w:val="24"/>
          <w:lang w:val="en-GB"/>
        </w:rPr>
        <w:t>ypeform</w:t>
      </w:r>
      <w:r w:rsidRPr="4D1AE66B" w:rsidR="2EC72C2E">
        <w:rPr>
          <w:rFonts w:ascii="Arial Nova" w:hAnsi="Arial Nova" w:eastAsia="Arial Nova" w:cs="Arial Nova"/>
          <w:noProof w:val="0"/>
          <w:color w:val="auto"/>
          <w:sz w:val="24"/>
          <w:szCs w:val="24"/>
          <w:lang w:val="en-GB"/>
        </w:rPr>
        <w:t xml:space="preserve"> </w:t>
      </w:r>
      <w:r w:rsidRPr="4D1AE66B" w:rsidR="5856968D">
        <w:rPr>
          <w:rFonts w:ascii="Arial Nova" w:hAnsi="Arial Nova" w:eastAsia="Arial Nova" w:cs="Arial Nova"/>
          <w:noProof w:val="0"/>
          <w:color w:val="auto"/>
          <w:sz w:val="24"/>
          <w:szCs w:val="24"/>
          <w:lang w:val="en-GB"/>
        </w:rPr>
        <w:t xml:space="preserve">at no cost, and participants were recruited through personal networks, </w:t>
      </w:r>
      <w:r w:rsidRPr="4D1AE66B" w:rsidR="5856968D">
        <w:rPr>
          <w:rFonts w:ascii="Arial Nova" w:hAnsi="Arial Nova" w:eastAsia="Arial Nova" w:cs="Arial Nova"/>
          <w:noProof w:val="0"/>
          <w:color w:val="auto"/>
          <w:sz w:val="24"/>
          <w:szCs w:val="24"/>
          <w:lang w:val="en-GB"/>
        </w:rPr>
        <w:t>eliminating</w:t>
      </w:r>
      <w:r w:rsidRPr="4D1AE66B" w:rsidR="5856968D">
        <w:rPr>
          <w:rFonts w:ascii="Arial Nova" w:hAnsi="Arial Nova" w:eastAsia="Arial Nova" w:cs="Arial Nova"/>
          <w:noProof w:val="0"/>
          <w:color w:val="auto"/>
          <w:sz w:val="24"/>
          <w:szCs w:val="24"/>
          <w:lang w:val="en-GB"/>
        </w:rPr>
        <w:t xml:space="preserve"> the need for incentives or advertising.</w:t>
      </w:r>
    </w:p>
    <w:p w:rsidR="4D1AE66B" w:rsidP="4D1AE66B" w:rsidRDefault="4D1AE66B" w14:paraId="13E9EEC0" w14:textId="6859E9A3">
      <w:pPr>
        <w:pStyle w:val="Subtitle"/>
        <w:rPr>
          <w:rFonts w:ascii="Arial Nova" w:hAnsi="Arial Nova" w:eastAsia="Arial Nova" w:cs="Arial Nova"/>
          <w:noProof w:val="0"/>
          <w:color w:val="auto"/>
          <w:lang w:val="en-GB"/>
        </w:rPr>
      </w:pPr>
    </w:p>
    <w:p w:rsidR="4D1AE66B" w:rsidP="4D1AE66B" w:rsidRDefault="4D1AE66B" w14:paraId="3C81DBC4" w14:textId="1A1C73AE">
      <w:pPr>
        <w:pStyle w:val="Subtitle"/>
        <w:rPr>
          <w:rFonts w:ascii="Arial Nova" w:hAnsi="Arial Nova" w:eastAsia="Arial Nova" w:cs="Arial Nova"/>
          <w:noProof w:val="0"/>
          <w:color w:val="auto"/>
          <w:lang w:val="en-GB"/>
        </w:rPr>
      </w:pPr>
    </w:p>
    <w:p w:rsidR="6665B477" w:rsidP="4D1AE66B" w:rsidRDefault="6665B477" w14:paraId="2657C8C2" w14:textId="7DA68C4D">
      <w:pPr>
        <w:pStyle w:val="Subtitle"/>
        <w:rPr>
          <w:rFonts w:ascii="Arial Nova" w:hAnsi="Arial Nova" w:eastAsia="Arial Nova" w:cs="Arial Nova"/>
          <w:noProof w:val="0"/>
          <w:color w:val="auto"/>
          <w:lang w:val="en-GB"/>
        </w:rPr>
      </w:pPr>
      <w:r w:rsidRPr="4D1AE66B" w:rsidR="6665B477">
        <w:rPr>
          <w:rFonts w:ascii="Arial Nova" w:hAnsi="Arial Nova" w:eastAsia="Arial Nova" w:cs="Arial Nova"/>
          <w:noProof w:val="0"/>
          <w:color w:val="auto"/>
          <w:lang w:val="en-GB"/>
        </w:rPr>
        <w:t xml:space="preserve">Conclusion </w:t>
      </w:r>
    </w:p>
    <w:p w:rsidR="6665B477" w:rsidP="4D1AE66B" w:rsidRDefault="6665B477" w14:paraId="29AD22A1" w14:textId="4FD95944">
      <w:pPr>
        <w:pStyle w:val="Normal"/>
        <w:rPr>
          <w:noProof w:val="0"/>
          <w:lang w:val="en-GB"/>
        </w:rPr>
      </w:pPr>
      <w:r w:rsidRPr="4D1AE66B" w:rsidR="6665B477">
        <w:rPr>
          <w:rFonts w:ascii="Arial Nova" w:hAnsi="Arial Nova" w:eastAsia="Arial Nova" w:cs="Arial Nova"/>
          <w:noProof w:val="0"/>
          <w:color w:val="auto"/>
          <w:lang w:val="en-GB"/>
        </w:rPr>
        <w:t xml:space="preserve">A mixed-methods study investigating sustainable transport practices among WTM London guests is described in this research proposal. Accessible and pertinent information about travel habits, perceived obstacles, and attitudes towards sustainable mobility can be obtained by using an online survey. Despite the small sample size, the </w:t>
      </w:r>
      <w:r w:rsidRPr="4D1AE66B" w:rsidR="6665B477">
        <w:rPr>
          <w:rFonts w:ascii="Arial Nova" w:hAnsi="Arial Nova" w:eastAsia="Arial Nova" w:cs="Arial Nova"/>
          <w:noProof w:val="0"/>
          <w:color w:val="auto"/>
          <w:lang w:val="en-GB"/>
        </w:rPr>
        <w:t>methodology</w:t>
      </w:r>
      <w:r w:rsidRPr="4D1AE66B" w:rsidR="6665B477">
        <w:rPr>
          <w:rFonts w:ascii="Arial Nova" w:hAnsi="Arial Nova" w:eastAsia="Arial Nova" w:cs="Arial Nova"/>
          <w:noProof w:val="0"/>
          <w:color w:val="auto"/>
          <w:lang w:val="en-GB"/>
        </w:rPr>
        <w:t xml:space="preserve"> is nevertheless suitable for an exploratory study and provides insightful information for better event transportation planning. The project's viability is shown by the suggested schedule and affordable budget. </w:t>
      </w:r>
      <w:r w:rsidRPr="4D1AE66B" w:rsidR="6665B477">
        <w:rPr>
          <w:rFonts w:ascii="Arial Nova" w:hAnsi="Arial Nova" w:eastAsia="Arial Nova" w:cs="Arial Nova"/>
          <w:noProof w:val="0"/>
          <w:color w:val="auto"/>
          <w:lang w:val="en-GB"/>
        </w:rPr>
        <w:t>All things considered</w:t>
      </w:r>
      <w:r w:rsidRPr="4D1AE66B" w:rsidR="6665B477">
        <w:rPr>
          <w:rFonts w:ascii="Arial Nova" w:hAnsi="Arial Nova" w:eastAsia="Arial Nova" w:cs="Arial Nova"/>
          <w:noProof w:val="0"/>
          <w:color w:val="auto"/>
          <w:lang w:val="en-GB"/>
        </w:rPr>
        <w:t>, the study has the potential to provide significant evidence for both scholarly debates on sustainable event mobility and useful tactics for lessening the environmental impact of major tourism events.</w:t>
      </w:r>
    </w:p>
    <w:p w:rsidR="4D1AE66B" w:rsidP="4D1AE66B" w:rsidRDefault="4D1AE66B" w14:paraId="216B1239" w14:textId="52EF1BED">
      <w:pPr>
        <w:pStyle w:val="Normal"/>
        <w:rPr>
          <w:rFonts w:ascii="Arial Nova" w:hAnsi="Arial Nova" w:eastAsia="Arial Nova" w:cs="Arial Nova"/>
          <w:noProof w:val="0"/>
          <w:color w:val="auto"/>
          <w:lang w:val="en-GB"/>
        </w:rPr>
      </w:pPr>
    </w:p>
    <w:p w:rsidR="4D1AE66B" w:rsidP="4D1AE66B" w:rsidRDefault="4D1AE66B" w14:paraId="2EED61BC" w14:textId="5C00956A">
      <w:pPr>
        <w:pStyle w:val="Normal"/>
        <w:rPr>
          <w:rFonts w:ascii="Arial Nova" w:hAnsi="Arial Nova" w:eastAsia="Arial Nova" w:cs="Arial Nova"/>
          <w:noProof w:val="0"/>
          <w:color w:val="auto"/>
          <w:lang w:val="en-GB"/>
        </w:rPr>
      </w:pPr>
    </w:p>
    <w:p w:rsidR="4D1AE66B" w:rsidP="4D1AE66B" w:rsidRDefault="4D1AE66B" w14:paraId="02586A0F" w14:textId="07B77E3B">
      <w:pPr>
        <w:pStyle w:val="Normal"/>
        <w:rPr>
          <w:rFonts w:ascii="Arial Nova" w:hAnsi="Arial Nova" w:eastAsia="Arial Nova" w:cs="Arial Nova"/>
          <w:noProof w:val="0"/>
          <w:color w:val="auto"/>
          <w:lang w:val="en-GB"/>
        </w:rPr>
      </w:pPr>
    </w:p>
    <w:p w:rsidR="4D1AE66B" w:rsidP="4D1AE66B" w:rsidRDefault="4D1AE66B" w14:paraId="3B2117E4" w14:textId="5F8FAA0B">
      <w:pPr>
        <w:pStyle w:val="Normal"/>
        <w:rPr>
          <w:rFonts w:ascii="Arial Nova" w:hAnsi="Arial Nova" w:eastAsia="Arial Nova" w:cs="Arial Nova"/>
          <w:noProof w:val="0"/>
          <w:color w:val="auto"/>
          <w:lang w:val="en-GB"/>
        </w:rPr>
      </w:pPr>
    </w:p>
    <w:p w:rsidR="4D1AE66B" w:rsidP="4D1AE66B" w:rsidRDefault="4D1AE66B" w14:paraId="6CD382E0" w14:textId="02BBE240">
      <w:pPr>
        <w:pStyle w:val="Normal"/>
        <w:rPr>
          <w:rFonts w:ascii="Arial Nova" w:hAnsi="Arial Nova" w:eastAsia="Arial Nova" w:cs="Arial Nova"/>
          <w:noProof w:val="0"/>
          <w:color w:val="auto"/>
          <w:lang w:val="en-GB"/>
        </w:rPr>
      </w:pPr>
    </w:p>
    <w:p w:rsidR="4D1AE66B" w:rsidP="4D1AE66B" w:rsidRDefault="4D1AE66B" w14:paraId="4149BED7" w14:textId="582C65E9">
      <w:pPr>
        <w:pStyle w:val="Normal"/>
        <w:rPr>
          <w:rFonts w:ascii="Arial Nova" w:hAnsi="Arial Nova" w:eastAsia="Arial Nova" w:cs="Arial Nova"/>
          <w:noProof w:val="0"/>
          <w:color w:val="auto"/>
          <w:lang w:val="en-GB"/>
        </w:rPr>
      </w:pPr>
    </w:p>
    <w:p w:rsidR="4D1AE66B" w:rsidP="4D1AE66B" w:rsidRDefault="4D1AE66B" w14:paraId="2A0D1FAF" w14:textId="0BF14EC6">
      <w:pPr>
        <w:pStyle w:val="Subtitle"/>
        <w:suppressLineNumbers w:val="0"/>
        <w:bidi w:val="0"/>
        <w:spacing w:before="0" w:beforeAutospacing="off" w:after="160" w:afterAutospacing="off" w:line="279" w:lineRule="auto"/>
        <w:ind w:left="0" w:right="0"/>
        <w:jc w:val="left"/>
        <w:rPr>
          <w:noProof w:val="0"/>
          <w:color w:val="auto"/>
          <w:lang w:val="en-GB"/>
        </w:rPr>
      </w:pPr>
    </w:p>
    <w:p w:rsidR="4D1AE66B" w:rsidP="4D1AE66B" w:rsidRDefault="4D1AE66B" w14:paraId="42691590" w14:textId="042183C5">
      <w:pPr>
        <w:pStyle w:val="Normal"/>
        <w:bidi w:val="0"/>
        <w:rPr>
          <w:noProof w:val="0"/>
          <w:lang w:val="en-GB"/>
        </w:rPr>
      </w:pPr>
    </w:p>
    <w:p w:rsidR="4D1AE66B" w:rsidP="4D1AE66B" w:rsidRDefault="4D1AE66B" w14:paraId="4961E318" w14:textId="57235EE1">
      <w:pPr>
        <w:pStyle w:val="Normal"/>
        <w:bidi w:val="0"/>
        <w:rPr>
          <w:noProof w:val="0"/>
          <w:lang w:val="en-GB"/>
        </w:rPr>
      </w:pPr>
    </w:p>
    <w:p w:rsidR="4D1AE66B" w:rsidP="4D1AE66B" w:rsidRDefault="4D1AE66B" w14:paraId="0882FF91" w14:textId="7A6A84E5">
      <w:pPr>
        <w:pStyle w:val="Normal"/>
        <w:bidi w:val="0"/>
        <w:rPr>
          <w:noProof w:val="0"/>
          <w:lang w:val="en-GB"/>
        </w:rPr>
      </w:pPr>
    </w:p>
    <w:p w:rsidR="4D1AE66B" w:rsidP="4D1AE66B" w:rsidRDefault="4D1AE66B" w14:paraId="75925D88" w14:textId="0EF9E69B">
      <w:pPr>
        <w:pStyle w:val="Normal"/>
        <w:bidi w:val="0"/>
        <w:rPr>
          <w:noProof w:val="0"/>
          <w:lang w:val="en-GB"/>
        </w:rPr>
      </w:pPr>
    </w:p>
    <w:p w:rsidR="4D1AE66B" w:rsidP="4D1AE66B" w:rsidRDefault="4D1AE66B" w14:paraId="64B0649D" w14:textId="71AA408A">
      <w:pPr>
        <w:pStyle w:val="Normal"/>
        <w:bidi w:val="0"/>
        <w:rPr>
          <w:noProof w:val="0"/>
          <w:lang w:val="en-GB"/>
        </w:rPr>
      </w:pPr>
    </w:p>
    <w:p w:rsidR="4D1AE66B" w:rsidP="4D1AE66B" w:rsidRDefault="4D1AE66B" w14:paraId="6BD69237" w14:textId="0B1FB8A5">
      <w:pPr>
        <w:pStyle w:val="Normal"/>
        <w:bidi w:val="0"/>
        <w:rPr>
          <w:noProof w:val="0"/>
          <w:lang w:val="en-GB"/>
        </w:rPr>
      </w:pPr>
    </w:p>
    <w:p w:rsidR="4D1AE66B" w:rsidP="4D1AE66B" w:rsidRDefault="4D1AE66B" w14:paraId="56EB8CB9" w14:textId="0D6C080D">
      <w:pPr>
        <w:pStyle w:val="Normal"/>
        <w:bidi w:val="0"/>
        <w:rPr>
          <w:noProof w:val="0"/>
          <w:lang w:val="en-GB"/>
        </w:rPr>
      </w:pPr>
    </w:p>
    <w:p w:rsidR="4D1AE66B" w:rsidP="4D1AE66B" w:rsidRDefault="4D1AE66B" w14:paraId="35EC9E1A" w14:textId="64818AAD">
      <w:pPr>
        <w:pStyle w:val="Normal"/>
        <w:bidi w:val="0"/>
        <w:rPr>
          <w:noProof w:val="0"/>
          <w:lang w:val="en-GB"/>
        </w:rPr>
      </w:pPr>
    </w:p>
    <w:p w:rsidR="4D1AE66B" w:rsidP="4D1AE66B" w:rsidRDefault="4D1AE66B" w14:paraId="212921EB" w14:textId="7E47E35F">
      <w:pPr>
        <w:pStyle w:val="Normal"/>
        <w:bidi w:val="0"/>
        <w:rPr>
          <w:noProof w:val="0"/>
          <w:lang w:val="en-GB"/>
        </w:rPr>
      </w:pPr>
    </w:p>
    <w:p w:rsidR="4D1AE66B" w:rsidP="4D1AE66B" w:rsidRDefault="4D1AE66B" w14:paraId="6A7975D4" w14:textId="7BE498E0">
      <w:pPr>
        <w:pStyle w:val="Normal"/>
        <w:bidi w:val="0"/>
        <w:rPr>
          <w:noProof w:val="0"/>
          <w:lang w:val="en-GB"/>
        </w:rPr>
      </w:pPr>
    </w:p>
    <w:p w:rsidR="4D1AE66B" w:rsidP="4D1AE66B" w:rsidRDefault="4D1AE66B" w14:paraId="1FD49073" w14:textId="0EB6B603">
      <w:pPr>
        <w:pStyle w:val="Normal"/>
        <w:bidi w:val="0"/>
        <w:rPr>
          <w:noProof w:val="0"/>
          <w:lang w:val="en-GB"/>
        </w:rPr>
      </w:pPr>
    </w:p>
    <w:p w:rsidR="4D1AE66B" w:rsidP="4D1AE66B" w:rsidRDefault="4D1AE66B" w14:paraId="35BD9948" w14:textId="18D6EAC9">
      <w:pPr>
        <w:pStyle w:val="Normal"/>
        <w:bidi w:val="0"/>
        <w:rPr>
          <w:noProof w:val="0"/>
          <w:lang w:val="en-GB"/>
        </w:rPr>
      </w:pPr>
    </w:p>
    <w:p w:rsidR="4D1AE66B" w:rsidP="4D1AE66B" w:rsidRDefault="4D1AE66B" w14:paraId="794A3E54" w14:textId="6EB1097C">
      <w:pPr>
        <w:pStyle w:val="Normal"/>
        <w:bidi w:val="0"/>
        <w:rPr>
          <w:noProof w:val="0"/>
          <w:lang w:val="en-GB"/>
        </w:rPr>
      </w:pPr>
    </w:p>
    <w:p w:rsidR="4D1AE66B" w:rsidP="4D1AE66B" w:rsidRDefault="4D1AE66B" w14:paraId="63FCE94C" w14:textId="1E4183FD">
      <w:pPr>
        <w:pStyle w:val="Normal"/>
        <w:bidi w:val="0"/>
        <w:rPr>
          <w:noProof w:val="0"/>
          <w:lang w:val="en-GB"/>
        </w:rPr>
      </w:pPr>
    </w:p>
    <w:p w:rsidR="4D1AE66B" w:rsidP="4D1AE66B" w:rsidRDefault="4D1AE66B" w14:paraId="35D70552" w14:textId="38903BE2">
      <w:pPr>
        <w:pStyle w:val="Normal"/>
        <w:bidi w:val="0"/>
        <w:rPr>
          <w:noProof w:val="0"/>
          <w:lang w:val="en-GB"/>
        </w:rPr>
      </w:pPr>
    </w:p>
    <w:p w:rsidR="4D1AE66B" w:rsidP="4D1AE66B" w:rsidRDefault="4D1AE66B" w14:paraId="092AA783" w14:textId="3CD821E2">
      <w:pPr>
        <w:pStyle w:val="Normal"/>
        <w:bidi w:val="0"/>
        <w:rPr>
          <w:noProof w:val="0"/>
          <w:lang w:val="en-GB"/>
        </w:rPr>
      </w:pPr>
    </w:p>
    <w:p w:rsidR="4D1AE66B" w:rsidP="4D1AE66B" w:rsidRDefault="4D1AE66B" w14:paraId="32EC3B69" w14:textId="2548F9F9">
      <w:pPr>
        <w:pStyle w:val="Normal"/>
        <w:bidi w:val="0"/>
        <w:rPr>
          <w:noProof w:val="0"/>
          <w:lang w:val="en-GB"/>
        </w:rPr>
      </w:pPr>
    </w:p>
    <w:p w:rsidR="27B22AEE" w:rsidP="4D1AE66B" w:rsidRDefault="27B22AEE" w14:paraId="628AEF01" w14:textId="3884EFC9">
      <w:pPr>
        <w:pStyle w:val="Normal"/>
        <w:bidi w:val="0"/>
        <w:rPr>
          <w:noProof w:val="0"/>
          <w:lang w:val="en-GB"/>
        </w:rPr>
      </w:pPr>
      <w:r w:rsidRPr="4D1AE66B" w:rsidR="27B22AEE">
        <w:rPr>
          <w:noProof w:val="0"/>
          <w:lang w:val="en-GB"/>
        </w:rPr>
        <w:t>Appendix</w:t>
      </w:r>
    </w:p>
    <w:p w:rsidR="4D1AE66B" w:rsidP="4D1AE66B" w:rsidRDefault="4D1AE66B" w14:paraId="31E41B97" w14:textId="3E3228BD">
      <w:pPr>
        <w:pStyle w:val="Normal"/>
        <w:bidi w:val="0"/>
        <w:rPr>
          <w:noProof w:val="0"/>
          <w:lang w:val="en-GB"/>
        </w:rPr>
      </w:pPr>
    </w:p>
    <w:p w:rsidR="27B22AEE" w:rsidP="4D1AE66B" w:rsidRDefault="27B22AEE" w14:paraId="075AB184" w14:textId="1B8DD5E6">
      <w:pPr>
        <w:pStyle w:val="Normal"/>
      </w:pPr>
      <w:r w:rsidR="27B22AEE">
        <w:drawing>
          <wp:inline wp14:editId="382199A1" wp14:anchorId="118D95FE">
            <wp:extent cx="3766328" cy="2450306"/>
            <wp:effectExtent l="0" t="0" r="0" b="0"/>
            <wp:docPr id="1471146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1146082" name=""/>
                    <pic:cNvPicPr/>
                  </pic:nvPicPr>
                  <pic:blipFill>
                    <a:blip xmlns:r="http://schemas.openxmlformats.org/officeDocument/2006/relationships" r:embed="rId297828430">
                      <a:extLst>
                        <a:ext uri="{28A0092B-C50C-407E-A947-70E740481C1C}">
                          <a14:useLocalDpi xmlns:a14="http://schemas.microsoft.com/office/drawing/2010/main"/>
                        </a:ext>
                      </a:extLst>
                    </a:blip>
                    <a:stretch>
                      <a:fillRect/>
                    </a:stretch>
                  </pic:blipFill>
                  <pic:spPr>
                    <a:xfrm rot="0">
                      <a:off x="0" y="0"/>
                      <a:ext cx="3766328" cy="2450306"/>
                    </a:xfrm>
                    <a:prstGeom prst="rect">
                      <a:avLst/>
                    </a:prstGeom>
                  </pic:spPr>
                </pic:pic>
              </a:graphicData>
            </a:graphic>
          </wp:inline>
        </w:drawing>
      </w:r>
    </w:p>
    <w:p w:rsidR="27B22AEE" w:rsidP="4D1AE66B" w:rsidRDefault="27B22AEE" w14:paraId="7F0913FB" w14:textId="5F360EE7">
      <w:pPr>
        <w:pStyle w:val="Normal"/>
      </w:pPr>
      <w:r w:rsidR="27B22AEE">
        <w:drawing>
          <wp:inline wp14:editId="56C6B4FA" wp14:anchorId="3722543B">
            <wp:extent cx="3729726" cy="2426494"/>
            <wp:effectExtent l="0" t="0" r="0" b="0"/>
            <wp:docPr id="478105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105319" name=""/>
                    <pic:cNvPicPr/>
                  </pic:nvPicPr>
                  <pic:blipFill>
                    <a:blip xmlns:r="http://schemas.openxmlformats.org/officeDocument/2006/relationships" r:embed="rId580558541">
                      <a:extLst>
                        <a:ext uri="{28A0092B-C50C-407E-A947-70E740481C1C}">
                          <a14:useLocalDpi xmlns:a14="http://schemas.microsoft.com/office/drawing/2010/main"/>
                        </a:ext>
                      </a:extLst>
                    </a:blip>
                    <a:stretch>
                      <a:fillRect/>
                    </a:stretch>
                  </pic:blipFill>
                  <pic:spPr>
                    <a:xfrm rot="0">
                      <a:off x="0" y="0"/>
                      <a:ext cx="3729726" cy="2426494"/>
                    </a:xfrm>
                    <a:prstGeom prst="rect">
                      <a:avLst/>
                    </a:prstGeom>
                  </pic:spPr>
                </pic:pic>
              </a:graphicData>
            </a:graphic>
          </wp:inline>
        </w:drawing>
      </w:r>
    </w:p>
    <w:p w:rsidR="4D1AE66B" w:rsidP="4D1AE66B" w:rsidRDefault="4D1AE66B" w14:paraId="2DC09FE0" w14:textId="56941132">
      <w:pPr>
        <w:pStyle w:val="Normal"/>
        <w:rPr>
          <w:noProof w:val="0"/>
          <w:lang w:val="en-GB"/>
        </w:rPr>
      </w:pPr>
    </w:p>
    <w:p w:rsidR="4D1AE66B" w:rsidP="4D1AE66B" w:rsidRDefault="4D1AE66B" w14:paraId="13EEE16A" w14:textId="5BC39705">
      <w:pPr>
        <w:pStyle w:val="Normal"/>
        <w:rPr>
          <w:rFonts w:ascii="Arial Nova" w:hAnsi="Arial Nova" w:eastAsia="Arial Nova" w:cs="Arial Nova"/>
          <w:noProof w:val="0"/>
          <w:color w:val="auto"/>
          <w:lang w:val="en-GB"/>
        </w:rPr>
      </w:pPr>
    </w:p>
    <w:p w:rsidR="4D1AE66B" w:rsidP="4D1AE66B" w:rsidRDefault="4D1AE66B" w14:paraId="78EDA309" w14:textId="5381ECF7">
      <w:pPr>
        <w:pStyle w:val="Normal"/>
        <w:rPr>
          <w:rFonts w:ascii="Arial Nova" w:hAnsi="Arial Nova" w:eastAsia="Arial Nova" w:cs="Arial Nova"/>
          <w:noProof w:val="0"/>
          <w:color w:val="auto"/>
          <w:lang w:val="en-GB"/>
        </w:rPr>
      </w:pPr>
    </w:p>
    <w:p w:rsidR="4D1AE66B" w:rsidP="4D1AE66B" w:rsidRDefault="4D1AE66B" w14:paraId="0DA480D5" w14:textId="59E7DC73">
      <w:pPr>
        <w:pStyle w:val="Normal"/>
        <w:rPr>
          <w:rFonts w:ascii="Arial Nova" w:hAnsi="Arial Nova" w:eastAsia="Arial Nova" w:cs="Arial Nova"/>
          <w:noProof w:val="0"/>
          <w:color w:val="auto"/>
          <w:lang w:val="en-GB"/>
        </w:rPr>
      </w:pPr>
    </w:p>
    <w:p w:rsidR="4D1AE66B" w:rsidP="4D1AE66B" w:rsidRDefault="4D1AE66B" w14:paraId="4924FD0D" w14:textId="00D2A5A9">
      <w:pPr>
        <w:pStyle w:val="Normal"/>
        <w:rPr>
          <w:rFonts w:ascii="Arial Nova" w:hAnsi="Arial Nova" w:eastAsia="Arial Nova" w:cs="Arial Nova"/>
          <w:noProof w:val="0"/>
          <w:color w:val="auto"/>
          <w:lang w:val="en-GB"/>
        </w:rPr>
      </w:pPr>
    </w:p>
    <w:p w:rsidR="4D1AE66B" w:rsidP="4D1AE66B" w:rsidRDefault="4D1AE66B" w14:paraId="58816ED3" w14:textId="64F9635C">
      <w:pPr>
        <w:pStyle w:val="Normal"/>
        <w:rPr>
          <w:rFonts w:ascii="Arial Nova" w:hAnsi="Arial Nova" w:eastAsia="Arial Nova" w:cs="Arial Nova"/>
          <w:noProof w:val="0"/>
          <w:color w:val="auto"/>
          <w:lang w:val="en-GB"/>
        </w:rPr>
      </w:pPr>
    </w:p>
    <w:p w:rsidR="4D1AE66B" w:rsidP="4D1AE66B" w:rsidRDefault="4D1AE66B" w14:paraId="47212E26" w14:textId="192E2662">
      <w:pPr>
        <w:pStyle w:val="Normal"/>
        <w:rPr>
          <w:rFonts w:ascii="Arial Nova" w:hAnsi="Arial Nova" w:eastAsia="Arial Nova" w:cs="Arial Nova"/>
          <w:noProof w:val="0"/>
          <w:color w:val="auto"/>
          <w:lang w:val="en-GB"/>
        </w:rPr>
      </w:pPr>
    </w:p>
    <w:p w:rsidR="4D1AE66B" w:rsidP="4D1AE66B" w:rsidRDefault="4D1AE66B" w14:paraId="4F0C44CB" w14:textId="40118DD1">
      <w:pPr>
        <w:pStyle w:val="Normal"/>
        <w:rPr>
          <w:rFonts w:ascii="Arial Nova" w:hAnsi="Arial Nova" w:eastAsia="Arial Nova" w:cs="Arial Nova"/>
          <w:noProof w:val="0"/>
          <w:color w:val="auto"/>
          <w:lang w:val="en-GB"/>
        </w:rPr>
      </w:pPr>
    </w:p>
    <w:p w:rsidR="4D1AE66B" w:rsidP="4D1AE66B" w:rsidRDefault="4D1AE66B" w14:paraId="65E2052E" w14:textId="7EC9A303">
      <w:pPr>
        <w:pStyle w:val="Normal"/>
        <w:rPr>
          <w:rFonts w:ascii="Arial Nova" w:hAnsi="Arial Nova" w:eastAsia="Arial Nova" w:cs="Arial Nova"/>
          <w:noProof w:val="0"/>
          <w:color w:val="auto"/>
          <w:lang w:val="en-GB"/>
        </w:rPr>
      </w:pPr>
    </w:p>
    <w:p w:rsidR="4D1AE66B" w:rsidP="4D1AE66B" w:rsidRDefault="4D1AE66B" w14:paraId="787B526F" w14:textId="6A6D4A14">
      <w:pPr>
        <w:pStyle w:val="Normal"/>
        <w:rPr>
          <w:rFonts w:ascii="Arial Nova" w:hAnsi="Arial Nova" w:eastAsia="Arial Nova" w:cs="Arial Nova"/>
          <w:noProof w:val="0"/>
          <w:color w:val="auto"/>
          <w:lang w:val="en-GB"/>
        </w:rPr>
      </w:pPr>
    </w:p>
    <w:p w:rsidR="4D1AE66B" w:rsidP="4D1AE66B" w:rsidRDefault="4D1AE66B" w14:paraId="1A9926A1" w14:textId="410A6099">
      <w:pPr>
        <w:pStyle w:val="Normal"/>
        <w:rPr>
          <w:rFonts w:ascii="Arial Nova" w:hAnsi="Arial Nova" w:eastAsia="Arial Nova" w:cs="Arial Nova"/>
          <w:noProof w:val="0"/>
          <w:color w:val="auto"/>
          <w:lang w:val="en-GB"/>
        </w:rPr>
      </w:pPr>
    </w:p>
    <w:p w:rsidR="4D1AE66B" w:rsidP="4D1AE66B" w:rsidRDefault="4D1AE66B" w14:paraId="4B3E4104" w14:textId="4551CF25">
      <w:pPr>
        <w:pStyle w:val="Normal"/>
        <w:rPr>
          <w:noProof w:val="0"/>
          <w:lang w:val="en-GB"/>
        </w:rPr>
      </w:pPr>
    </w:p>
    <w:p w:rsidR="27B22AEE" w:rsidP="4D1AE66B" w:rsidRDefault="27B22AEE" w14:paraId="38E2F6AC" w14:textId="4C56295E">
      <w:pPr>
        <w:pStyle w:val="Normal"/>
      </w:pPr>
      <w:r w:rsidR="27B22AEE">
        <w:drawing>
          <wp:inline wp14:editId="284A7A5D" wp14:anchorId="358D3817">
            <wp:extent cx="3098188" cy="2015627"/>
            <wp:effectExtent l="0" t="0" r="0" b="0"/>
            <wp:docPr id="242596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596710" name=""/>
                    <pic:cNvPicPr/>
                  </pic:nvPicPr>
                  <pic:blipFill>
                    <a:blip xmlns:r="http://schemas.openxmlformats.org/officeDocument/2006/relationships" r:embed="rId2018587177">
                      <a:extLst>
                        <a:ext uri="{28A0092B-C50C-407E-A947-70E740481C1C}">
                          <a14:useLocalDpi xmlns:a14="http://schemas.microsoft.com/office/drawing/2010/main"/>
                        </a:ext>
                      </a:extLst>
                    </a:blip>
                    <a:stretch>
                      <a:fillRect/>
                    </a:stretch>
                  </pic:blipFill>
                  <pic:spPr>
                    <a:xfrm rot="0">
                      <a:off x="0" y="0"/>
                      <a:ext cx="3098188" cy="2015627"/>
                    </a:xfrm>
                    <a:prstGeom prst="rect">
                      <a:avLst/>
                    </a:prstGeom>
                  </pic:spPr>
                </pic:pic>
              </a:graphicData>
            </a:graphic>
          </wp:inline>
        </w:drawing>
      </w:r>
    </w:p>
    <w:p w:rsidR="4D1AE66B" w:rsidP="4D1AE66B" w:rsidRDefault="4D1AE66B" w14:paraId="247BB3DE" w14:textId="46E8FBC0">
      <w:pPr>
        <w:pStyle w:val="Normal"/>
      </w:pPr>
    </w:p>
    <w:p w:rsidR="4D1AE66B" w:rsidP="4D1AE66B" w:rsidRDefault="4D1AE66B" w14:paraId="46A91E77" w14:textId="1050C921">
      <w:pPr>
        <w:pStyle w:val="Normal"/>
      </w:pPr>
    </w:p>
    <w:p w:rsidR="4D1AE66B" w:rsidP="4D1AE66B" w:rsidRDefault="4D1AE66B" w14:paraId="4C82BB72" w14:textId="4A266378">
      <w:pPr>
        <w:pStyle w:val="Normal"/>
      </w:pPr>
    </w:p>
    <w:p w:rsidR="4922022D" w:rsidP="4D1AE66B" w:rsidRDefault="4922022D" w14:paraId="09355586" w14:textId="01C82B77">
      <w:pPr>
        <w:pStyle w:val="Normal"/>
      </w:pPr>
      <w:r w:rsidR="4922022D">
        <w:drawing>
          <wp:inline wp14:editId="37370026" wp14:anchorId="00578E24">
            <wp:extent cx="2996009" cy="1949151"/>
            <wp:effectExtent l="0" t="0" r="0" b="0"/>
            <wp:docPr id="1124287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4287649" name=""/>
                    <pic:cNvPicPr/>
                  </pic:nvPicPr>
                  <pic:blipFill>
                    <a:blip xmlns:r="http://schemas.openxmlformats.org/officeDocument/2006/relationships" r:embed="rId1399397606">
                      <a:extLst>
                        <a:ext uri="{28A0092B-C50C-407E-A947-70E740481C1C}">
                          <a14:useLocalDpi xmlns:a14="http://schemas.microsoft.com/office/drawing/2010/main"/>
                        </a:ext>
                      </a:extLst>
                    </a:blip>
                    <a:stretch>
                      <a:fillRect/>
                    </a:stretch>
                  </pic:blipFill>
                  <pic:spPr>
                    <a:xfrm rot="0">
                      <a:off x="0" y="0"/>
                      <a:ext cx="2996009" cy="1949151"/>
                    </a:xfrm>
                    <a:prstGeom prst="rect">
                      <a:avLst/>
                    </a:prstGeom>
                  </pic:spPr>
                </pic:pic>
              </a:graphicData>
            </a:graphic>
          </wp:inline>
        </w:drawing>
      </w:r>
    </w:p>
    <w:p w:rsidR="4D1AE66B" w:rsidP="4D1AE66B" w:rsidRDefault="4D1AE66B" w14:paraId="1600C382" w14:textId="724493E2">
      <w:pPr>
        <w:pStyle w:val="Normal"/>
      </w:pPr>
    </w:p>
    <w:p w:rsidR="4D1AE66B" w:rsidP="4D1AE66B" w:rsidRDefault="4D1AE66B" w14:paraId="656A2A3A" w14:textId="45F1CCDE">
      <w:pPr>
        <w:pStyle w:val="Normal"/>
      </w:pPr>
    </w:p>
    <w:p w:rsidR="4D1AE66B" w:rsidP="4D1AE66B" w:rsidRDefault="4D1AE66B" w14:paraId="7CA6F7DE" w14:textId="33F61663">
      <w:pPr>
        <w:pStyle w:val="Normal"/>
      </w:pPr>
    </w:p>
    <w:p w:rsidR="4922022D" w:rsidP="4D1AE66B" w:rsidRDefault="4922022D" w14:paraId="110801D1" w14:textId="070DFE3D">
      <w:pPr>
        <w:pStyle w:val="Normal"/>
      </w:pPr>
      <w:r w:rsidR="4922022D">
        <w:drawing>
          <wp:inline wp14:editId="3EE70EFF" wp14:anchorId="11E9C741">
            <wp:extent cx="2809554" cy="1827847"/>
            <wp:effectExtent l="0" t="0" r="0" b="0"/>
            <wp:docPr id="5901456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0145645" name=""/>
                    <pic:cNvPicPr/>
                  </pic:nvPicPr>
                  <pic:blipFill>
                    <a:blip xmlns:r="http://schemas.openxmlformats.org/officeDocument/2006/relationships" r:embed="rId1960098991">
                      <a:extLst>
                        <a:ext uri="{28A0092B-C50C-407E-A947-70E740481C1C}">
                          <a14:useLocalDpi xmlns:a14="http://schemas.microsoft.com/office/drawing/2010/main"/>
                        </a:ext>
                      </a:extLst>
                    </a:blip>
                    <a:stretch>
                      <a:fillRect/>
                    </a:stretch>
                  </pic:blipFill>
                  <pic:spPr>
                    <a:xfrm rot="0">
                      <a:off x="0" y="0"/>
                      <a:ext cx="2809554" cy="1827847"/>
                    </a:xfrm>
                    <a:prstGeom prst="rect">
                      <a:avLst/>
                    </a:prstGeom>
                  </pic:spPr>
                </pic:pic>
              </a:graphicData>
            </a:graphic>
          </wp:inline>
        </w:drawing>
      </w:r>
    </w:p>
    <w:p w:rsidR="27B22AEE" w:rsidP="4D1AE66B" w:rsidRDefault="27B22AEE" w14:paraId="16AEAA6F" w14:textId="31B20A23">
      <w:pPr>
        <w:pStyle w:val="Normal"/>
      </w:pPr>
      <w:r w:rsidR="27B22AEE">
        <w:drawing>
          <wp:inline wp14:editId="783D9E1D" wp14:anchorId="713FF075">
            <wp:extent cx="3176587" cy="2066632"/>
            <wp:effectExtent l="0" t="0" r="0" b="0"/>
            <wp:docPr id="4591836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9183683" name=""/>
                    <pic:cNvPicPr/>
                  </pic:nvPicPr>
                  <pic:blipFill>
                    <a:blip xmlns:r="http://schemas.openxmlformats.org/officeDocument/2006/relationships" r:embed="rId26559020">
                      <a:extLst>
                        <a:ext uri="{28A0092B-C50C-407E-A947-70E740481C1C}">
                          <a14:useLocalDpi xmlns:a14="http://schemas.microsoft.com/office/drawing/2010/main"/>
                        </a:ext>
                      </a:extLst>
                    </a:blip>
                    <a:stretch>
                      <a:fillRect/>
                    </a:stretch>
                  </pic:blipFill>
                  <pic:spPr>
                    <a:xfrm rot="0">
                      <a:off x="0" y="0"/>
                      <a:ext cx="3176587" cy="2066632"/>
                    </a:xfrm>
                    <a:prstGeom prst="rect">
                      <a:avLst/>
                    </a:prstGeom>
                  </pic:spPr>
                </pic:pic>
              </a:graphicData>
            </a:graphic>
          </wp:inline>
        </w:drawing>
      </w:r>
    </w:p>
    <w:p w:rsidR="2342CCD1" w:rsidP="4D1AE66B" w:rsidRDefault="2342CCD1" w14:paraId="6EC84972" w14:textId="09088C4C">
      <w:pPr>
        <w:pStyle w:val="Normal"/>
      </w:pPr>
      <w:r w:rsidR="2342CCD1">
        <w:drawing>
          <wp:inline wp14:editId="58311AF6" wp14:anchorId="24C5131B">
            <wp:extent cx="3912735" cy="2545556"/>
            <wp:effectExtent l="0" t="0" r="0" b="0"/>
            <wp:docPr id="711177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117718" name=""/>
                    <pic:cNvPicPr/>
                  </pic:nvPicPr>
                  <pic:blipFill>
                    <a:blip xmlns:r="http://schemas.openxmlformats.org/officeDocument/2006/relationships" r:embed="rId1347232156">
                      <a:extLst>
                        <a:ext uri="{28A0092B-C50C-407E-A947-70E740481C1C}">
                          <a14:useLocalDpi xmlns:a14="http://schemas.microsoft.com/office/drawing/2010/main"/>
                        </a:ext>
                      </a:extLst>
                    </a:blip>
                    <a:stretch>
                      <a:fillRect/>
                    </a:stretch>
                  </pic:blipFill>
                  <pic:spPr>
                    <a:xfrm rot="0">
                      <a:off x="0" y="0"/>
                      <a:ext cx="3912735" cy="2545556"/>
                    </a:xfrm>
                    <a:prstGeom prst="rect">
                      <a:avLst/>
                    </a:prstGeom>
                  </pic:spPr>
                </pic:pic>
              </a:graphicData>
            </a:graphic>
          </wp:inline>
        </w:drawing>
      </w:r>
    </w:p>
    <w:p w:rsidR="2342CCD1" w:rsidP="4D1AE66B" w:rsidRDefault="2342CCD1" w14:paraId="7D9ACDD5" w14:textId="759D0484">
      <w:pPr>
        <w:pStyle w:val="Normal"/>
      </w:pPr>
      <w:r w:rsidR="2342CCD1">
        <w:drawing>
          <wp:inline wp14:editId="49A044CC" wp14:anchorId="7878B9FC">
            <wp:extent cx="3729726" cy="2426494"/>
            <wp:effectExtent l="0" t="0" r="0" b="0"/>
            <wp:docPr id="9112130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1213099" name=""/>
                    <pic:cNvPicPr/>
                  </pic:nvPicPr>
                  <pic:blipFill>
                    <a:blip xmlns:r="http://schemas.openxmlformats.org/officeDocument/2006/relationships" r:embed="rId852570660">
                      <a:extLst>
                        <a:ext uri="{28A0092B-C50C-407E-A947-70E740481C1C}">
                          <a14:useLocalDpi xmlns:a14="http://schemas.microsoft.com/office/drawing/2010/main"/>
                        </a:ext>
                      </a:extLst>
                    </a:blip>
                    <a:stretch>
                      <a:fillRect/>
                    </a:stretch>
                  </pic:blipFill>
                  <pic:spPr>
                    <a:xfrm rot="0">
                      <a:off x="0" y="0"/>
                      <a:ext cx="3729726" cy="2426494"/>
                    </a:xfrm>
                    <a:prstGeom prst="rect">
                      <a:avLst/>
                    </a:prstGeom>
                  </pic:spPr>
                </pic:pic>
              </a:graphicData>
            </a:graphic>
          </wp:inline>
        </w:drawing>
      </w:r>
    </w:p>
    <w:p w:rsidR="4D1AE66B" w:rsidP="4D1AE66B" w:rsidRDefault="4D1AE66B" w14:paraId="6B49AFA5" w14:textId="07F9ABC8">
      <w:pPr>
        <w:spacing w:before="270" w:beforeAutospacing="off" w:after="180" w:afterAutospacing="off"/>
        <w:rPr>
          <w:rFonts w:ascii="Helvetica" w:hAnsi="Helvetica" w:eastAsia="Helvetica" w:cs="Helvetica"/>
          <w:i w:val="0"/>
          <w:iCs w:val="0"/>
          <w:noProof w:val="0"/>
          <w:sz w:val="27"/>
          <w:szCs w:val="27"/>
          <w:lang w:val="en-GB"/>
        </w:rPr>
      </w:pPr>
    </w:p>
    <w:p w:rsidR="4D1AE66B" w:rsidP="4D1AE66B" w:rsidRDefault="4D1AE66B" w14:paraId="17C8FA34" w14:textId="69729AC4">
      <w:pPr>
        <w:spacing w:before="270" w:beforeAutospacing="off" w:after="180" w:afterAutospacing="off"/>
        <w:rPr>
          <w:rFonts w:ascii="Helvetica" w:hAnsi="Helvetica" w:eastAsia="Helvetica" w:cs="Helvetica"/>
          <w:i w:val="0"/>
          <w:iCs w:val="0"/>
          <w:noProof w:val="0"/>
          <w:sz w:val="27"/>
          <w:szCs w:val="27"/>
          <w:lang w:val="en-GB"/>
        </w:rPr>
      </w:pPr>
    </w:p>
    <w:p w:rsidR="3451E839" w:rsidP="4D1AE66B" w:rsidRDefault="3451E839" w14:paraId="47DB0D36" w14:textId="36A7424D">
      <w:pPr>
        <w:spacing w:before="270" w:beforeAutospacing="off" w:after="180" w:afterAutospacing="off"/>
      </w:pPr>
      <w:r w:rsidRPr="4D1AE66B" w:rsidR="3451E839">
        <w:rPr>
          <w:rFonts w:ascii="Helvetica" w:hAnsi="Helvetica" w:eastAsia="Helvetica" w:cs="Helvetica"/>
          <w:i w:val="0"/>
          <w:iCs w:val="0"/>
          <w:noProof w:val="0"/>
          <w:sz w:val="27"/>
          <w:szCs w:val="27"/>
          <w:lang w:val="en-GB"/>
        </w:rPr>
        <w:t>Reference list</w:t>
      </w:r>
    </w:p>
    <w:p w:rsidR="3451E839" w:rsidP="4D1AE66B" w:rsidRDefault="3451E839" w14:paraId="2B74A603" w14:textId="5BC2D4CF">
      <w:pPr>
        <w:spacing w:before="240" w:beforeAutospacing="off" w:after="180" w:afterAutospacing="off"/>
      </w:pPr>
      <w:r w:rsidRPr="4D1AE66B" w:rsidR="3451E839">
        <w:rPr>
          <w:rFonts w:ascii="Helvetica" w:hAnsi="Helvetica" w:eastAsia="Helvetica" w:cs="Helvetica"/>
          <w:i w:val="0"/>
          <w:iCs w:val="0"/>
          <w:noProof w:val="0"/>
          <w:lang w:val="en-GB"/>
        </w:rPr>
        <w:t xml:space="preserve">Ajzen, I. (1991). The theory of planned behavior. </w:t>
      </w:r>
      <w:r w:rsidRPr="4D1AE66B" w:rsidR="3451E839">
        <w:rPr>
          <w:rFonts w:ascii="Helvetica" w:hAnsi="Helvetica" w:eastAsia="Helvetica" w:cs="Helvetica"/>
          <w:i w:val="1"/>
          <w:iCs w:val="1"/>
          <w:noProof w:val="0"/>
          <w:lang w:val="en-GB"/>
        </w:rPr>
        <w:t>Organizational Behavior and Human Decision Processes</w:t>
      </w:r>
      <w:r w:rsidRPr="4D1AE66B" w:rsidR="3451E839">
        <w:rPr>
          <w:rFonts w:ascii="Helvetica" w:hAnsi="Helvetica" w:eastAsia="Helvetica" w:cs="Helvetica"/>
          <w:i w:val="0"/>
          <w:iCs w:val="0"/>
          <w:noProof w:val="0"/>
          <w:lang w:val="en-GB"/>
        </w:rPr>
        <w:t>, 50(2), pp.179–211. doi:</w:t>
      </w:r>
      <w:hyperlink r:id="Rca4b4591ffbf4f21">
        <w:r w:rsidRPr="4D1AE66B" w:rsidR="3451E839">
          <w:rPr>
            <w:rStyle w:val="Hyperlink"/>
            <w:rFonts w:ascii="Helvetica" w:hAnsi="Helvetica" w:eastAsia="Helvetica" w:cs="Helvetica"/>
            <w:i w:val="0"/>
            <w:iCs w:val="0"/>
            <w:noProof w:val="0"/>
            <w:lang w:val="en-GB"/>
          </w:rPr>
          <w:t>https://doi.org/10.1016/0749-5978(91)90020-T</w:t>
        </w:r>
      </w:hyperlink>
      <w:r w:rsidRPr="4D1AE66B" w:rsidR="3451E839">
        <w:rPr>
          <w:rFonts w:ascii="Helvetica" w:hAnsi="Helvetica" w:eastAsia="Helvetica" w:cs="Helvetica"/>
          <w:i w:val="0"/>
          <w:iCs w:val="0"/>
          <w:noProof w:val="0"/>
          <w:lang w:val="en-GB"/>
        </w:rPr>
        <w:t>.</w:t>
      </w:r>
    </w:p>
    <w:p w:rsidR="3451E839" w:rsidP="4D1AE66B" w:rsidRDefault="3451E839" w14:paraId="16215B6A" w14:textId="2CA7B329">
      <w:pPr>
        <w:spacing w:before="240" w:beforeAutospacing="off" w:after="180" w:afterAutospacing="off"/>
      </w:pPr>
      <w:r w:rsidRPr="4D1AE66B" w:rsidR="3451E839">
        <w:rPr>
          <w:rFonts w:ascii="Helvetica" w:hAnsi="Helvetica" w:eastAsia="Helvetica" w:cs="Helvetica"/>
          <w:i w:val="0"/>
          <w:iCs w:val="0"/>
          <w:noProof w:val="0"/>
          <w:lang w:val="en-GB"/>
        </w:rPr>
        <w:t xml:space="preserve">Ballarano, D., Patella, S.M. and Asdrubali, F. (2022). Sustainable Transportation for Events: A Systematic Review. </w:t>
      </w:r>
      <w:r w:rsidRPr="4D1AE66B" w:rsidR="3451E839">
        <w:rPr>
          <w:rFonts w:ascii="Helvetica" w:hAnsi="Helvetica" w:eastAsia="Helvetica" w:cs="Helvetica"/>
          <w:i w:val="1"/>
          <w:iCs w:val="1"/>
          <w:noProof w:val="0"/>
          <w:lang w:val="en-GB"/>
        </w:rPr>
        <w:t>Sustainability</w:t>
      </w:r>
      <w:r w:rsidRPr="4D1AE66B" w:rsidR="3451E839">
        <w:rPr>
          <w:rFonts w:ascii="Helvetica" w:hAnsi="Helvetica" w:eastAsia="Helvetica" w:cs="Helvetica"/>
          <w:i w:val="0"/>
          <w:iCs w:val="0"/>
          <w:noProof w:val="0"/>
          <w:lang w:val="en-GB"/>
        </w:rPr>
        <w:t>, 14(23), p.15815. doi:</w:t>
      </w:r>
      <w:hyperlink r:id="R9722251a4a25440e">
        <w:r w:rsidRPr="4D1AE66B" w:rsidR="3451E839">
          <w:rPr>
            <w:rStyle w:val="Hyperlink"/>
            <w:rFonts w:ascii="Helvetica" w:hAnsi="Helvetica" w:eastAsia="Helvetica" w:cs="Helvetica"/>
            <w:i w:val="0"/>
            <w:iCs w:val="0"/>
            <w:noProof w:val="0"/>
            <w:lang w:val="en-GB"/>
          </w:rPr>
          <w:t>https://doi.org/10.3390/su142315815</w:t>
        </w:r>
      </w:hyperlink>
      <w:r w:rsidRPr="4D1AE66B" w:rsidR="3451E839">
        <w:rPr>
          <w:rFonts w:ascii="Helvetica" w:hAnsi="Helvetica" w:eastAsia="Helvetica" w:cs="Helvetica"/>
          <w:i w:val="0"/>
          <w:iCs w:val="0"/>
          <w:noProof w:val="0"/>
          <w:lang w:val="en-GB"/>
        </w:rPr>
        <w:t>.</w:t>
      </w:r>
    </w:p>
    <w:p w:rsidR="3451E839" w:rsidP="4D1AE66B" w:rsidRDefault="3451E839" w14:paraId="248430AD" w14:textId="6E9084C8">
      <w:pPr>
        <w:spacing w:before="240" w:beforeAutospacing="off" w:after="180" w:afterAutospacing="off"/>
      </w:pPr>
      <w:r w:rsidRPr="4D1AE66B" w:rsidR="3451E839">
        <w:rPr>
          <w:rFonts w:ascii="Helvetica" w:hAnsi="Helvetica" w:eastAsia="Helvetica" w:cs="Helvetica"/>
          <w:i w:val="0"/>
          <w:iCs w:val="0"/>
          <w:noProof w:val="0"/>
          <w:lang w:val="en-GB"/>
        </w:rPr>
        <w:t xml:space="preserve">Becken, S. and Simmons, D.G. (2002). Understanding energy consumption patterns of tourist attractions and activities in New Zealand. </w:t>
      </w:r>
      <w:r w:rsidRPr="4D1AE66B" w:rsidR="3451E839">
        <w:rPr>
          <w:rFonts w:ascii="Helvetica" w:hAnsi="Helvetica" w:eastAsia="Helvetica" w:cs="Helvetica"/>
          <w:i w:val="1"/>
          <w:iCs w:val="1"/>
          <w:noProof w:val="0"/>
          <w:lang w:val="en-GB"/>
        </w:rPr>
        <w:t>Tourism Management</w:t>
      </w:r>
      <w:r w:rsidRPr="4D1AE66B" w:rsidR="3451E839">
        <w:rPr>
          <w:rFonts w:ascii="Helvetica" w:hAnsi="Helvetica" w:eastAsia="Helvetica" w:cs="Helvetica"/>
          <w:i w:val="0"/>
          <w:iCs w:val="0"/>
          <w:noProof w:val="0"/>
          <w:lang w:val="en-GB"/>
        </w:rPr>
        <w:t>, 23(4), pp.343–354. doi:</w:t>
      </w:r>
      <w:hyperlink r:id="Rf899d5e3e0ea4b5e">
        <w:r w:rsidRPr="4D1AE66B" w:rsidR="3451E839">
          <w:rPr>
            <w:rStyle w:val="Hyperlink"/>
            <w:rFonts w:ascii="Helvetica" w:hAnsi="Helvetica" w:eastAsia="Helvetica" w:cs="Helvetica"/>
            <w:i w:val="0"/>
            <w:iCs w:val="0"/>
            <w:noProof w:val="0"/>
            <w:lang w:val="en-GB"/>
          </w:rPr>
          <w:t>https://doi.org/10.1016/s0261-5177(01)00091-7</w:t>
        </w:r>
      </w:hyperlink>
      <w:r w:rsidRPr="4D1AE66B" w:rsidR="3451E839">
        <w:rPr>
          <w:rFonts w:ascii="Helvetica" w:hAnsi="Helvetica" w:eastAsia="Helvetica" w:cs="Helvetica"/>
          <w:i w:val="0"/>
          <w:iCs w:val="0"/>
          <w:noProof w:val="0"/>
          <w:lang w:val="en-GB"/>
        </w:rPr>
        <w:t>.</w:t>
      </w:r>
    </w:p>
    <w:p w:rsidR="3451E839" w:rsidP="4D1AE66B" w:rsidRDefault="3451E839" w14:paraId="4F00496F" w14:textId="34ECDF8E">
      <w:pPr>
        <w:spacing w:before="240" w:beforeAutospacing="off" w:after="180" w:afterAutospacing="off"/>
      </w:pPr>
      <w:r w:rsidRPr="4D1AE66B" w:rsidR="3451E839">
        <w:rPr>
          <w:rFonts w:ascii="Helvetica" w:hAnsi="Helvetica" w:eastAsia="Helvetica" w:cs="Helvetica"/>
          <w:i w:val="0"/>
          <w:iCs w:val="0"/>
          <w:noProof w:val="0"/>
          <w:lang w:val="en-GB"/>
        </w:rPr>
        <w:t xml:space="preserve">Braun, V. and Clarke, V. (2006). </w:t>
      </w:r>
      <w:r w:rsidRPr="4D1AE66B" w:rsidR="3451E839">
        <w:rPr>
          <w:rFonts w:ascii="Helvetica" w:hAnsi="Helvetica" w:eastAsia="Helvetica" w:cs="Helvetica"/>
          <w:i w:val="1"/>
          <w:iCs w:val="1"/>
          <w:noProof w:val="0"/>
          <w:lang w:val="en-GB"/>
        </w:rPr>
        <w:t>Using Thematic Analysis in Psychology</w:t>
      </w:r>
      <w:r w:rsidRPr="4D1AE66B" w:rsidR="3451E839">
        <w:rPr>
          <w:rFonts w:ascii="Helvetica" w:hAnsi="Helvetica" w:eastAsia="Helvetica" w:cs="Helvetica"/>
          <w:i w:val="0"/>
          <w:iCs w:val="0"/>
          <w:noProof w:val="0"/>
          <w:lang w:val="en-GB"/>
        </w:rPr>
        <w:t>. [online] Qualitative Research In Psychology. doi:</w:t>
      </w:r>
      <w:hyperlink r:id="R5f278fbd94c147bb">
        <w:r w:rsidRPr="4D1AE66B" w:rsidR="3451E839">
          <w:rPr>
            <w:rStyle w:val="Hyperlink"/>
            <w:rFonts w:ascii="Helvetica" w:hAnsi="Helvetica" w:eastAsia="Helvetica" w:cs="Helvetica"/>
            <w:i w:val="0"/>
            <w:iCs w:val="0"/>
            <w:noProof w:val="0"/>
            <w:lang w:val="en-GB"/>
          </w:rPr>
          <w:t>https://doi.org/10.1191/1478088706qp063oa</w:t>
        </w:r>
      </w:hyperlink>
      <w:r w:rsidRPr="4D1AE66B" w:rsidR="3451E839">
        <w:rPr>
          <w:rFonts w:ascii="Helvetica" w:hAnsi="Helvetica" w:eastAsia="Helvetica" w:cs="Helvetica"/>
          <w:i w:val="0"/>
          <w:iCs w:val="0"/>
          <w:noProof w:val="0"/>
          <w:lang w:val="en-GB"/>
        </w:rPr>
        <w:t>.</w:t>
      </w:r>
    </w:p>
    <w:p w:rsidR="3451E839" w:rsidP="4D1AE66B" w:rsidRDefault="3451E839" w14:paraId="3B8B686E" w14:textId="4DBCD034">
      <w:pPr>
        <w:spacing w:before="240" w:beforeAutospacing="off" w:after="180" w:afterAutospacing="off"/>
      </w:pPr>
      <w:r w:rsidRPr="4D1AE66B" w:rsidR="3451E839">
        <w:rPr>
          <w:rFonts w:ascii="Helvetica" w:hAnsi="Helvetica" w:eastAsia="Helvetica" w:cs="Helvetica"/>
          <w:i w:val="0"/>
          <w:iCs w:val="0"/>
          <w:noProof w:val="0"/>
          <w:lang w:val="en-GB"/>
        </w:rPr>
        <w:t xml:space="preserve">Brewster, M. (2010). Special Event Production: The Process, Special Event Production: The Resources. </w:t>
      </w:r>
      <w:r w:rsidRPr="4D1AE66B" w:rsidR="3451E839">
        <w:rPr>
          <w:rFonts w:ascii="Helvetica" w:hAnsi="Helvetica" w:eastAsia="Helvetica" w:cs="Helvetica"/>
          <w:i w:val="1"/>
          <w:iCs w:val="1"/>
          <w:noProof w:val="0"/>
          <w:lang w:val="en-GB"/>
        </w:rPr>
        <w:t>Tourism Management</w:t>
      </w:r>
      <w:r w:rsidRPr="4D1AE66B" w:rsidR="3451E839">
        <w:rPr>
          <w:rFonts w:ascii="Helvetica" w:hAnsi="Helvetica" w:eastAsia="Helvetica" w:cs="Helvetica"/>
          <w:i w:val="0"/>
          <w:iCs w:val="0"/>
          <w:noProof w:val="0"/>
          <w:lang w:val="en-GB"/>
        </w:rPr>
        <w:t>, 31(4), pp.558–559. doi:</w:t>
      </w:r>
      <w:hyperlink r:id="R6becf74ffd3e4f23">
        <w:r w:rsidRPr="4D1AE66B" w:rsidR="3451E839">
          <w:rPr>
            <w:rStyle w:val="Hyperlink"/>
            <w:rFonts w:ascii="Helvetica" w:hAnsi="Helvetica" w:eastAsia="Helvetica" w:cs="Helvetica"/>
            <w:i w:val="0"/>
            <w:iCs w:val="0"/>
            <w:noProof w:val="0"/>
            <w:lang w:val="en-GB"/>
          </w:rPr>
          <w:t>https://doi.org/10.1016/j.tourman.2009.07.005</w:t>
        </w:r>
      </w:hyperlink>
      <w:r w:rsidRPr="4D1AE66B" w:rsidR="3451E839">
        <w:rPr>
          <w:rFonts w:ascii="Helvetica" w:hAnsi="Helvetica" w:eastAsia="Helvetica" w:cs="Helvetica"/>
          <w:i w:val="0"/>
          <w:iCs w:val="0"/>
          <w:noProof w:val="0"/>
          <w:lang w:val="en-GB"/>
        </w:rPr>
        <w:t>.</w:t>
      </w:r>
    </w:p>
    <w:p w:rsidR="3451E839" w:rsidP="4D1AE66B" w:rsidRDefault="3451E839" w14:paraId="6DD4F8EF" w14:textId="36C1E6DC">
      <w:pPr>
        <w:spacing w:before="240" w:beforeAutospacing="off" w:after="180" w:afterAutospacing="off"/>
      </w:pPr>
      <w:r w:rsidRPr="4D1AE66B" w:rsidR="3451E839">
        <w:rPr>
          <w:rFonts w:ascii="Helvetica" w:hAnsi="Helvetica" w:eastAsia="Helvetica" w:cs="Helvetica"/>
          <w:i w:val="0"/>
          <w:iCs w:val="0"/>
          <w:noProof w:val="0"/>
          <w:lang w:val="en-GB"/>
        </w:rPr>
        <w:t xml:space="preserve">Bryman, A. (2016). </w:t>
      </w:r>
      <w:r w:rsidRPr="4D1AE66B" w:rsidR="3451E839">
        <w:rPr>
          <w:rFonts w:ascii="Helvetica" w:hAnsi="Helvetica" w:eastAsia="Helvetica" w:cs="Helvetica"/>
          <w:i w:val="1"/>
          <w:iCs w:val="1"/>
          <w:noProof w:val="0"/>
          <w:lang w:val="en-GB"/>
        </w:rPr>
        <w:t>Social Research Methods</w:t>
      </w:r>
      <w:r w:rsidRPr="4D1AE66B" w:rsidR="3451E839">
        <w:rPr>
          <w:rFonts w:ascii="Helvetica" w:hAnsi="Helvetica" w:eastAsia="Helvetica" w:cs="Helvetica"/>
          <w:i w:val="0"/>
          <w:iCs w:val="0"/>
          <w:noProof w:val="0"/>
          <w:lang w:val="en-GB"/>
        </w:rPr>
        <w:t xml:space="preserve">. [online] </w:t>
      </w:r>
      <w:r w:rsidRPr="4D1AE66B" w:rsidR="3451E839">
        <w:rPr>
          <w:rFonts w:ascii="Helvetica" w:hAnsi="Helvetica" w:eastAsia="Helvetica" w:cs="Helvetica"/>
          <w:i w:val="1"/>
          <w:iCs w:val="1"/>
          <w:noProof w:val="0"/>
          <w:lang w:val="en-GB"/>
        </w:rPr>
        <w:t>Google Books</w:t>
      </w:r>
      <w:r w:rsidRPr="4D1AE66B" w:rsidR="3451E839">
        <w:rPr>
          <w:rFonts w:ascii="Helvetica" w:hAnsi="Helvetica" w:eastAsia="Helvetica" w:cs="Helvetica"/>
          <w:i w:val="0"/>
          <w:iCs w:val="0"/>
          <w:noProof w:val="0"/>
          <w:lang w:val="en-GB"/>
        </w:rPr>
        <w:t xml:space="preserve">. Oxford University Press. Available at: </w:t>
      </w:r>
      <w:hyperlink w:anchor="v=onepage&amp;q&amp;f=false" r:id="R49d3feb80e054a7d">
        <w:r w:rsidRPr="4D1AE66B" w:rsidR="3451E839">
          <w:rPr>
            <w:rStyle w:val="Hyperlink"/>
            <w:rFonts w:ascii="Helvetica" w:hAnsi="Helvetica" w:eastAsia="Helvetica" w:cs="Helvetica"/>
            <w:i w:val="0"/>
            <w:iCs w:val="0"/>
            <w:noProof w:val="0"/>
            <w:lang w:val="en-GB"/>
          </w:rPr>
          <w:t>https://books.google.co.uk/books?id=N2zQCgAAQBAJ&amp;printsec=frontcover&amp;source=gbs_ge_summary_r&amp;cad=0#v=onepage&amp;q&amp;f=false</w:t>
        </w:r>
      </w:hyperlink>
      <w:r w:rsidRPr="4D1AE66B" w:rsidR="3451E839">
        <w:rPr>
          <w:rFonts w:ascii="Helvetica" w:hAnsi="Helvetica" w:eastAsia="Helvetica" w:cs="Helvetica"/>
          <w:i w:val="0"/>
          <w:iCs w:val="0"/>
          <w:noProof w:val="0"/>
          <w:lang w:val="en-GB"/>
        </w:rPr>
        <w:t>.</w:t>
      </w:r>
    </w:p>
    <w:p w:rsidR="3451E839" w:rsidP="4D1AE66B" w:rsidRDefault="3451E839" w14:paraId="45A2CF8B" w14:textId="5D974DED">
      <w:pPr>
        <w:spacing w:before="240" w:beforeAutospacing="off" w:after="180" w:afterAutospacing="off"/>
      </w:pPr>
      <w:r w:rsidRPr="4D1AE66B" w:rsidR="3451E839">
        <w:rPr>
          <w:rFonts w:ascii="Helvetica" w:hAnsi="Helvetica" w:eastAsia="Helvetica" w:cs="Helvetica"/>
          <w:i w:val="0"/>
          <w:iCs w:val="0"/>
          <w:noProof w:val="0"/>
          <w:lang w:val="en-GB"/>
        </w:rPr>
        <w:t xml:space="preserve">Clark, R.S. and Plano Clark, V.L. (2022). The use of mixed methods to advance positive psychology: A methodological review. </w:t>
      </w:r>
      <w:r w:rsidRPr="4D1AE66B" w:rsidR="3451E839">
        <w:rPr>
          <w:rFonts w:ascii="Helvetica" w:hAnsi="Helvetica" w:eastAsia="Helvetica" w:cs="Helvetica"/>
          <w:i w:val="1"/>
          <w:iCs w:val="1"/>
          <w:noProof w:val="0"/>
          <w:lang w:val="en-GB"/>
        </w:rPr>
        <w:t>International Journal of Wellbeing</w:t>
      </w:r>
      <w:r w:rsidRPr="4D1AE66B" w:rsidR="3451E839">
        <w:rPr>
          <w:rFonts w:ascii="Helvetica" w:hAnsi="Helvetica" w:eastAsia="Helvetica" w:cs="Helvetica"/>
          <w:i w:val="0"/>
          <w:iCs w:val="0"/>
          <w:noProof w:val="0"/>
          <w:lang w:val="en-GB"/>
        </w:rPr>
        <w:t>, 12(3), pp.35–55. doi:</w:t>
      </w:r>
      <w:hyperlink r:id="R1022bdfc93744801">
        <w:r w:rsidRPr="4D1AE66B" w:rsidR="3451E839">
          <w:rPr>
            <w:rStyle w:val="Hyperlink"/>
            <w:rFonts w:ascii="Helvetica" w:hAnsi="Helvetica" w:eastAsia="Helvetica" w:cs="Helvetica"/>
            <w:i w:val="0"/>
            <w:iCs w:val="0"/>
            <w:noProof w:val="0"/>
            <w:lang w:val="en-GB"/>
          </w:rPr>
          <w:t>https://doi.org/10.5502/ijw.v12i3.2017</w:t>
        </w:r>
      </w:hyperlink>
      <w:r w:rsidRPr="4D1AE66B" w:rsidR="3451E839">
        <w:rPr>
          <w:rFonts w:ascii="Helvetica" w:hAnsi="Helvetica" w:eastAsia="Helvetica" w:cs="Helvetica"/>
          <w:i w:val="0"/>
          <w:iCs w:val="0"/>
          <w:noProof w:val="0"/>
          <w:lang w:val="en-GB"/>
        </w:rPr>
        <w:t>.</w:t>
      </w:r>
    </w:p>
    <w:p w:rsidR="3451E839" w:rsidP="4D1AE66B" w:rsidRDefault="3451E839" w14:paraId="2956E0B9" w14:textId="5C2CDD60">
      <w:pPr>
        <w:spacing w:before="240" w:beforeAutospacing="off" w:after="180" w:afterAutospacing="off"/>
      </w:pPr>
      <w:r w:rsidRPr="4D1AE66B" w:rsidR="3451E839">
        <w:rPr>
          <w:rFonts w:ascii="Helvetica" w:hAnsi="Helvetica" w:eastAsia="Helvetica" w:cs="Helvetica"/>
          <w:i w:val="0"/>
          <w:iCs w:val="0"/>
          <w:noProof w:val="0"/>
          <w:lang w:val="en-GB"/>
        </w:rPr>
        <w:t xml:space="preserve">Cohen, A.K., Hoyt, L.T. and Dull, B. (2020). A Descriptive Study of COVID-19–Related Experiences and Perspectives of a National Sample of College Students in Spring 2020. </w:t>
      </w:r>
      <w:r w:rsidRPr="4D1AE66B" w:rsidR="3451E839">
        <w:rPr>
          <w:rFonts w:ascii="Helvetica" w:hAnsi="Helvetica" w:eastAsia="Helvetica" w:cs="Helvetica"/>
          <w:i w:val="1"/>
          <w:iCs w:val="1"/>
          <w:noProof w:val="0"/>
          <w:lang w:val="en-GB"/>
        </w:rPr>
        <w:t>Journal of Adolescent Health</w:t>
      </w:r>
      <w:r w:rsidRPr="4D1AE66B" w:rsidR="3451E839">
        <w:rPr>
          <w:rFonts w:ascii="Helvetica" w:hAnsi="Helvetica" w:eastAsia="Helvetica" w:cs="Helvetica"/>
          <w:i w:val="0"/>
          <w:iCs w:val="0"/>
          <w:noProof w:val="0"/>
          <w:lang w:val="en-GB"/>
        </w:rPr>
        <w:t>, 67(3), pp.369–375. doi:</w:t>
      </w:r>
      <w:hyperlink r:id="R7a81ab4c8126495f">
        <w:r w:rsidRPr="4D1AE66B" w:rsidR="3451E839">
          <w:rPr>
            <w:rStyle w:val="Hyperlink"/>
            <w:rFonts w:ascii="Helvetica" w:hAnsi="Helvetica" w:eastAsia="Helvetica" w:cs="Helvetica"/>
            <w:i w:val="0"/>
            <w:iCs w:val="0"/>
            <w:noProof w:val="0"/>
            <w:lang w:val="en-GB"/>
          </w:rPr>
          <w:t>https://doi.org/10.1016/j.jadohealth.2020.06.009</w:t>
        </w:r>
      </w:hyperlink>
      <w:r w:rsidRPr="4D1AE66B" w:rsidR="3451E839">
        <w:rPr>
          <w:rFonts w:ascii="Helvetica" w:hAnsi="Helvetica" w:eastAsia="Helvetica" w:cs="Helvetica"/>
          <w:i w:val="0"/>
          <w:iCs w:val="0"/>
          <w:noProof w:val="0"/>
          <w:lang w:val="en-GB"/>
        </w:rPr>
        <w:t>.</w:t>
      </w:r>
    </w:p>
    <w:p w:rsidR="3451E839" w:rsidP="4D1AE66B" w:rsidRDefault="3451E839" w14:paraId="33005353" w14:textId="43630EF8">
      <w:pPr>
        <w:spacing w:before="240" w:beforeAutospacing="off" w:after="180" w:afterAutospacing="off"/>
      </w:pPr>
      <w:r w:rsidRPr="4D1AE66B" w:rsidR="3451E839">
        <w:rPr>
          <w:rFonts w:ascii="Helvetica" w:hAnsi="Helvetica" w:eastAsia="Helvetica" w:cs="Helvetica"/>
          <w:i w:val="0"/>
          <w:iCs w:val="0"/>
          <w:noProof w:val="0"/>
          <w:lang w:val="en-GB"/>
        </w:rPr>
        <w:t xml:space="preserve">Dawadi, S., Shrestha, S. and Giri, R.A. (2021). Mixed-Methods Research: a Discussion on Its Types, Challenges, and Criticisms. </w:t>
      </w:r>
      <w:r w:rsidRPr="4D1AE66B" w:rsidR="3451E839">
        <w:rPr>
          <w:rFonts w:ascii="Helvetica" w:hAnsi="Helvetica" w:eastAsia="Helvetica" w:cs="Helvetica"/>
          <w:i w:val="1"/>
          <w:iCs w:val="1"/>
          <w:noProof w:val="0"/>
          <w:lang w:val="en-GB"/>
        </w:rPr>
        <w:t>Journal of Practical Studies in Education</w:t>
      </w:r>
      <w:r w:rsidRPr="4D1AE66B" w:rsidR="3451E839">
        <w:rPr>
          <w:rFonts w:ascii="Helvetica" w:hAnsi="Helvetica" w:eastAsia="Helvetica" w:cs="Helvetica"/>
          <w:i w:val="0"/>
          <w:iCs w:val="0"/>
          <w:noProof w:val="0"/>
          <w:lang w:val="en-GB"/>
        </w:rPr>
        <w:t>, [online] 2(2), pp.25–36. doi:</w:t>
      </w:r>
      <w:hyperlink r:id="R0c9d1ed7cbd24488">
        <w:r w:rsidRPr="4D1AE66B" w:rsidR="3451E839">
          <w:rPr>
            <w:rStyle w:val="Hyperlink"/>
            <w:rFonts w:ascii="Helvetica" w:hAnsi="Helvetica" w:eastAsia="Helvetica" w:cs="Helvetica"/>
            <w:i w:val="0"/>
            <w:iCs w:val="0"/>
            <w:noProof w:val="0"/>
            <w:lang w:val="en-GB"/>
          </w:rPr>
          <w:t>https://doi.org/10.46809/jpse.v2i2.20</w:t>
        </w:r>
      </w:hyperlink>
      <w:r w:rsidRPr="4D1AE66B" w:rsidR="3451E839">
        <w:rPr>
          <w:rFonts w:ascii="Helvetica" w:hAnsi="Helvetica" w:eastAsia="Helvetica" w:cs="Helvetica"/>
          <w:i w:val="0"/>
          <w:iCs w:val="0"/>
          <w:noProof w:val="0"/>
          <w:lang w:val="en-GB"/>
        </w:rPr>
        <w:t>.</w:t>
      </w:r>
    </w:p>
    <w:p w:rsidR="3451E839" w:rsidP="4D1AE66B" w:rsidRDefault="3451E839" w14:paraId="1B545791" w14:textId="161E4601">
      <w:pPr>
        <w:spacing w:before="240" w:beforeAutospacing="off" w:after="180" w:afterAutospacing="off"/>
      </w:pPr>
      <w:r w:rsidRPr="4D1AE66B" w:rsidR="3451E839">
        <w:rPr>
          <w:rFonts w:ascii="Helvetica" w:hAnsi="Helvetica" w:eastAsia="Helvetica" w:cs="Helvetica"/>
          <w:i w:val="0"/>
          <w:iCs w:val="0"/>
          <w:noProof w:val="0"/>
          <w:lang w:val="en-GB"/>
        </w:rPr>
        <w:t xml:space="preserve">Gössling, S. (2021). Tourism, technology and ICT: a critical review of affordances and concessions. </w:t>
      </w:r>
      <w:r w:rsidRPr="4D1AE66B" w:rsidR="3451E839">
        <w:rPr>
          <w:rFonts w:ascii="Helvetica" w:hAnsi="Helvetica" w:eastAsia="Helvetica" w:cs="Helvetica"/>
          <w:i w:val="1"/>
          <w:iCs w:val="1"/>
          <w:noProof w:val="0"/>
          <w:lang w:val="en-GB"/>
        </w:rPr>
        <w:t>Journal of Sustainable Tourism</w:t>
      </w:r>
      <w:r w:rsidRPr="4D1AE66B" w:rsidR="3451E839">
        <w:rPr>
          <w:rFonts w:ascii="Helvetica" w:hAnsi="Helvetica" w:eastAsia="Helvetica" w:cs="Helvetica"/>
          <w:i w:val="0"/>
          <w:iCs w:val="0"/>
          <w:noProof w:val="0"/>
          <w:lang w:val="en-GB"/>
        </w:rPr>
        <w:t>, 29(5), pp.733–750. doi:</w:t>
      </w:r>
      <w:hyperlink r:id="Rf8e6dde61c654b7b">
        <w:r w:rsidRPr="4D1AE66B" w:rsidR="3451E839">
          <w:rPr>
            <w:rStyle w:val="Hyperlink"/>
            <w:rFonts w:ascii="Helvetica" w:hAnsi="Helvetica" w:eastAsia="Helvetica" w:cs="Helvetica"/>
            <w:i w:val="0"/>
            <w:iCs w:val="0"/>
            <w:noProof w:val="0"/>
            <w:lang w:val="en-GB"/>
          </w:rPr>
          <w:t>https://doi.org/10.1080/09669582.2021.1873353</w:t>
        </w:r>
      </w:hyperlink>
      <w:r w:rsidRPr="4D1AE66B" w:rsidR="3451E839">
        <w:rPr>
          <w:rFonts w:ascii="Helvetica" w:hAnsi="Helvetica" w:eastAsia="Helvetica" w:cs="Helvetica"/>
          <w:i w:val="0"/>
          <w:iCs w:val="0"/>
          <w:noProof w:val="0"/>
          <w:lang w:val="en-GB"/>
        </w:rPr>
        <w:t>.</w:t>
      </w:r>
    </w:p>
    <w:p w:rsidR="3451E839" w:rsidP="4D1AE66B" w:rsidRDefault="3451E839" w14:paraId="3CF9FC8C" w14:textId="27DE0EDC">
      <w:pPr>
        <w:spacing w:before="240" w:beforeAutospacing="off" w:after="180" w:afterAutospacing="off"/>
      </w:pPr>
      <w:r w:rsidRPr="4D1AE66B" w:rsidR="3451E839">
        <w:rPr>
          <w:rFonts w:ascii="Helvetica" w:hAnsi="Helvetica" w:eastAsia="Helvetica" w:cs="Helvetica"/>
          <w:i w:val="0"/>
          <w:iCs w:val="0"/>
          <w:noProof w:val="0"/>
          <w:lang w:val="en-GB"/>
        </w:rPr>
        <w:t xml:space="preserve">Gössling, S., Cohen, S., Higham, J., Peeters, P. and Eijgelaar, E. (2018). Desirable transport futures. </w:t>
      </w:r>
      <w:r w:rsidRPr="4D1AE66B" w:rsidR="3451E839">
        <w:rPr>
          <w:rFonts w:ascii="Helvetica" w:hAnsi="Helvetica" w:eastAsia="Helvetica" w:cs="Helvetica"/>
          <w:i w:val="1"/>
          <w:iCs w:val="1"/>
          <w:noProof w:val="0"/>
          <w:lang w:val="en-GB"/>
        </w:rPr>
        <w:t>Transportation Research Part D: Transport and Environment</w:t>
      </w:r>
      <w:r w:rsidRPr="4D1AE66B" w:rsidR="3451E839">
        <w:rPr>
          <w:rFonts w:ascii="Helvetica" w:hAnsi="Helvetica" w:eastAsia="Helvetica" w:cs="Helvetica"/>
          <w:i w:val="0"/>
          <w:iCs w:val="0"/>
          <w:noProof w:val="0"/>
          <w:lang w:val="en-GB"/>
        </w:rPr>
        <w:t>, 61, pp.301–309. doi:</w:t>
      </w:r>
      <w:hyperlink r:id="R72e6d9d7b4d94576">
        <w:r w:rsidRPr="4D1AE66B" w:rsidR="3451E839">
          <w:rPr>
            <w:rStyle w:val="Hyperlink"/>
            <w:rFonts w:ascii="Helvetica" w:hAnsi="Helvetica" w:eastAsia="Helvetica" w:cs="Helvetica"/>
            <w:i w:val="0"/>
            <w:iCs w:val="0"/>
            <w:noProof w:val="0"/>
            <w:lang w:val="en-GB"/>
          </w:rPr>
          <w:t>https://doi.org/10.1016/j.trd.2018.01.008</w:t>
        </w:r>
      </w:hyperlink>
      <w:r w:rsidRPr="4D1AE66B" w:rsidR="3451E839">
        <w:rPr>
          <w:rFonts w:ascii="Helvetica" w:hAnsi="Helvetica" w:eastAsia="Helvetica" w:cs="Helvetica"/>
          <w:i w:val="0"/>
          <w:iCs w:val="0"/>
          <w:noProof w:val="0"/>
          <w:lang w:val="en-GB"/>
        </w:rPr>
        <w:t>.</w:t>
      </w:r>
    </w:p>
    <w:p w:rsidR="3451E839" w:rsidP="4D1AE66B" w:rsidRDefault="3451E839" w14:paraId="2114CA9B" w14:textId="72B7E67D">
      <w:pPr>
        <w:spacing w:before="240" w:beforeAutospacing="off" w:after="180" w:afterAutospacing="off"/>
      </w:pPr>
      <w:r w:rsidRPr="4D1AE66B" w:rsidR="3451E839">
        <w:rPr>
          <w:rFonts w:ascii="Helvetica" w:hAnsi="Helvetica" w:eastAsia="Helvetica" w:cs="Helvetica"/>
          <w:i w:val="0"/>
          <w:iCs w:val="0"/>
          <w:noProof w:val="0"/>
          <w:lang w:val="en-GB"/>
        </w:rPr>
        <w:t xml:space="preserve">Hottle, T., Hawkins, T.R., Chiquelin, C., Lange, B., Young, B., Sun, P., Elgowainy, A. and Wang, M. (2022). Environmental life-cycle assessment of concrete produced in the United States. </w:t>
      </w:r>
      <w:r w:rsidRPr="4D1AE66B" w:rsidR="3451E839">
        <w:rPr>
          <w:rFonts w:ascii="Helvetica" w:hAnsi="Helvetica" w:eastAsia="Helvetica" w:cs="Helvetica"/>
          <w:i w:val="1"/>
          <w:iCs w:val="1"/>
          <w:noProof w:val="0"/>
          <w:lang w:val="en-GB"/>
        </w:rPr>
        <w:t>Journal of Cleaner Production</w:t>
      </w:r>
      <w:r w:rsidRPr="4D1AE66B" w:rsidR="3451E839">
        <w:rPr>
          <w:rFonts w:ascii="Helvetica" w:hAnsi="Helvetica" w:eastAsia="Helvetica" w:cs="Helvetica"/>
          <w:i w:val="0"/>
          <w:iCs w:val="0"/>
          <w:noProof w:val="0"/>
          <w:lang w:val="en-GB"/>
        </w:rPr>
        <w:t>, 363, p.131834. doi:</w:t>
      </w:r>
      <w:hyperlink r:id="R0828e39632e444b8">
        <w:r w:rsidRPr="4D1AE66B" w:rsidR="3451E839">
          <w:rPr>
            <w:rStyle w:val="Hyperlink"/>
            <w:rFonts w:ascii="Helvetica" w:hAnsi="Helvetica" w:eastAsia="Helvetica" w:cs="Helvetica"/>
            <w:i w:val="0"/>
            <w:iCs w:val="0"/>
            <w:noProof w:val="0"/>
            <w:lang w:val="en-GB"/>
          </w:rPr>
          <w:t>https://doi.org/10.1016/j.jclepro.2022.131834</w:t>
        </w:r>
      </w:hyperlink>
      <w:r w:rsidRPr="4D1AE66B" w:rsidR="3451E839">
        <w:rPr>
          <w:rFonts w:ascii="Helvetica" w:hAnsi="Helvetica" w:eastAsia="Helvetica" w:cs="Helvetica"/>
          <w:i w:val="0"/>
          <w:iCs w:val="0"/>
          <w:noProof w:val="0"/>
          <w:lang w:val="en-GB"/>
        </w:rPr>
        <w:t>.</w:t>
      </w:r>
    </w:p>
    <w:p w:rsidR="3451E839" w:rsidP="4D1AE66B" w:rsidRDefault="3451E839" w14:paraId="41C2BCAF" w14:textId="53E5583A">
      <w:pPr>
        <w:spacing w:before="240" w:beforeAutospacing="off" w:after="180" w:afterAutospacing="off"/>
      </w:pPr>
      <w:r w:rsidRPr="4D1AE66B" w:rsidR="3451E839">
        <w:rPr>
          <w:rFonts w:ascii="Helvetica" w:hAnsi="Helvetica" w:eastAsia="Helvetica" w:cs="Helvetica"/>
          <w:i w:val="0"/>
          <w:iCs w:val="0"/>
          <w:noProof w:val="0"/>
          <w:lang w:val="en-GB"/>
        </w:rPr>
        <w:t xml:space="preserve">Hottle, T.A., Bilec, M.M. and Landis, A.E. (2017). Biopolymer production and end of life comparisons using life cycle assessment. </w:t>
      </w:r>
      <w:r w:rsidRPr="4D1AE66B" w:rsidR="3451E839">
        <w:rPr>
          <w:rFonts w:ascii="Helvetica" w:hAnsi="Helvetica" w:eastAsia="Helvetica" w:cs="Helvetica"/>
          <w:i w:val="1"/>
          <w:iCs w:val="1"/>
          <w:noProof w:val="0"/>
          <w:lang w:val="en-GB"/>
        </w:rPr>
        <w:t>Resources, Conservation and Recycling</w:t>
      </w:r>
      <w:r w:rsidRPr="4D1AE66B" w:rsidR="3451E839">
        <w:rPr>
          <w:rFonts w:ascii="Helvetica" w:hAnsi="Helvetica" w:eastAsia="Helvetica" w:cs="Helvetica"/>
          <w:i w:val="0"/>
          <w:iCs w:val="0"/>
          <w:noProof w:val="0"/>
          <w:lang w:val="en-GB"/>
        </w:rPr>
        <w:t>, 122, pp.295–306. doi:</w:t>
      </w:r>
      <w:hyperlink r:id="R3bdfc7d21de6450c">
        <w:r w:rsidRPr="4D1AE66B" w:rsidR="3451E839">
          <w:rPr>
            <w:rStyle w:val="Hyperlink"/>
            <w:rFonts w:ascii="Helvetica" w:hAnsi="Helvetica" w:eastAsia="Helvetica" w:cs="Helvetica"/>
            <w:i w:val="0"/>
            <w:iCs w:val="0"/>
            <w:noProof w:val="0"/>
            <w:lang w:val="en-GB"/>
          </w:rPr>
          <w:t>https://doi.org/10.1016/j.resconrec.2017.03.002</w:t>
        </w:r>
      </w:hyperlink>
      <w:r w:rsidRPr="4D1AE66B" w:rsidR="3451E839">
        <w:rPr>
          <w:rFonts w:ascii="Helvetica" w:hAnsi="Helvetica" w:eastAsia="Helvetica" w:cs="Helvetica"/>
          <w:i w:val="0"/>
          <w:iCs w:val="0"/>
          <w:noProof w:val="0"/>
          <w:lang w:val="en-GB"/>
        </w:rPr>
        <w:t>.</w:t>
      </w:r>
    </w:p>
    <w:p w:rsidR="3451E839" w:rsidP="4D1AE66B" w:rsidRDefault="3451E839" w14:paraId="5A3D6548" w14:textId="6D974AF1">
      <w:pPr>
        <w:spacing w:before="240" w:beforeAutospacing="off" w:after="180" w:afterAutospacing="off"/>
      </w:pPr>
      <w:r w:rsidRPr="4D1AE66B" w:rsidR="3451E839">
        <w:rPr>
          <w:rFonts w:ascii="Helvetica" w:hAnsi="Helvetica" w:eastAsia="Helvetica" w:cs="Helvetica"/>
          <w:i w:val="0"/>
          <w:iCs w:val="0"/>
          <w:noProof w:val="0"/>
          <w:lang w:val="en-GB"/>
        </w:rPr>
        <w:t xml:space="preserve">Loehr, J. (2022). </w:t>
      </w:r>
      <w:r w:rsidRPr="4D1AE66B" w:rsidR="3451E839">
        <w:rPr>
          <w:rFonts w:ascii="Helvetica" w:hAnsi="Helvetica" w:eastAsia="Helvetica" w:cs="Helvetica"/>
          <w:i w:val="1"/>
          <w:iCs w:val="1"/>
          <w:noProof w:val="0"/>
          <w:lang w:val="en-GB"/>
        </w:rPr>
        <w:t>Tourisms impact on global climate change</w:t>
      </w:r>
      <w:r w:rsidRPr="4D1AE66B" w:rsidR="3451E839">
        <w:rPr>
          <w:rFonts w:ascii="Helvetica" w:hAnsi="Helvetica" w:eastAsia="Helvetica" w:cs="Helvetica"/>
          <w:i w:val="0"/>
          <w:iCs w:val="0"/>
          <w:noProof w:val="0"/>
          <w:lang w:val="en-GB"/>
        </w:rPr>
        <w:t xml:space="preserve">. [online] </w:t>
      </w:r>
      <w:hyperlink r:id="R39097327f8e748e4">
        <w:r w:rsidRPr="4D1AE66B" w:rsidR="3451E839">
          <w:rPr>
            <w:rStyle w:val="Hyperlink"/>
            <w:rFonts w:ascii="Helvetica" w:hAnsi="Helvetica" w:eastAsia="Helvetica" w:cs="Helvetica"/>
            <w:i w:val="0"/>
            <w:iCs w:val="0"/>
            <w:noProof w:val="0"/>
            <w:lang w:val="en-GB"/>
          </w:rPr>
          <w:t>www.elgaronline.com</w:t>
        </w:r>
      </w:hyperlink>
      <w:r w:rsidRPr="4D1AE66B" w:rsidR="3451E839">
        <w:rPr>
          <w:rFonts w:ascii="Helvetica" w:hAnsi="Helvetica" w:eastAsia="Helvetica" w:cs="Helvetica"/>
          <w:i w:val="0"/>
          <w:iCs w:val="0"/>
          <w:noProof w:val="0"/>
          <w:lang w:val="en-GB"/>
        </w:rPr>
        <w:t xml:space="preserve">. Available at: </w:t>
      </w:r>
      <w:hyperlink r:id="R5fb8ba9bea77420c">
        <w:r w:rsidRPr="4D1AE66B" w:rsidR="3451E839">
          <w:rPr>
            <w:rStyle w:val="Hyperlink"/>
            <w:rFonts w:ascii="Helvetica" w:hAnsi="Helvetica" w:eastAsia="Helvetica" w:cs="Helvetica"/>
            <w:i w:val="0"/>
            <w:iCs w:val="0"/>
            <w:noProof w:val="0"/>
            <w:lang w:val="en-GB"/>
          </w:rPr>
          <w:t>https://www.elgaronline.com/edcollchap/book/9781800377684/book-part-9781800377684-30.xml</w:t>
        </w:r>
      </w:hyperlink>
      <w:r w:rsidRPr="4D1AE66B" w:rsidR="3451E839">
        <w:rPr>
          <w:rFonts w:ascii="Helvetica" w:hAnsi="Helvetica" w:eastAsia="Helvetica" w:cs="Helvetica"/>
          <w:i w:val="0"/>
          <w:iCs w:val="0"/>
          <w:noProof w:val="0"/>
          <w:lang w:val="en-GB"/>
        </w:rPr>
        <w:t>.</w:t>
      </w:r>
    </w:p>
    <w:p w:rsidR="3451E839" w:rsidP="4D1AE66B" w:rsidRDefault="3451E839" w14:paraId="501F2A73" w14:textId="04AFA552">
      <w:pPr>
        <w:spacing w:before="240" w:beforeAutospacing="off" w:after="180" w:afterAutospacing="off"/>
      </w:pPr>
      <w:r w:rsidRPr="4D1AE66B" w:rsidR="3451E839">
        <w:rPr>
          <w:rFonts w:ascii="Helvetica" w:hAnsi="Helvetica" w:eastAsia="Helvetica" w:cs="Helvetica"/>
          <w:i w:val="0"/>
          <w:iCs w:val="0"/>
          <w:noProof w:val="0"/>
          <w:lang w:val="en-GB"/>
        </w:rPr>
        <w:t xml:space="preserve">Musgrave, J. and Raj, R. (2009). </w:t>
      </w:r>
      <w:r w:rsidRPr="4D1AE66B" w:rsidR="3451E839">
        <w:rPr>
          <w:rFonts w:ascii="Helvetica" w:hAnsi="Helvetica" w:eastAsia="Helvetica" w:cs="Helvetica"/>
          <w:i w:val="1"/>
          <w:iCs w:val="1"/>
          <w:noProof w:val="0"/>
          <w:lang w:val="en-GB"/>
        </w:rPr>
        <w:t>Introduction to a conceptual framework for sustainable events</w:t>
      </w:r>
      <w:r w:rsidRPr="4D1AE66B" w:rsidR="3451E839">
        <w:rPr>
          <w:rFonts w:ascii="Helvetica" w:hAnsi="Helvetica" w:eastAsia="Helvetica" w:cs="Helvetica"/>
          <w:i w:val="0"/>
          <w:iCs w:val="0"/>
          <w:noProof w:val="0"/>
          <w:lang w:val="en-GB"/>
        </w:rPr>
        <w:t xml:space="preserve">. [online] Available at: </w:t>
      </w:r>
      <w:hyperlink r:id="Raf7d5037c2f84159">
        <w:r w:rsidRPr="4D1AE66B" w:rsidR="3451E839">
          <w:rPr>
            <w:rStyle w:val="Hyperlink"/>
            <w:rFonts w:ascii="Helvetica" w:hAnsi="Helvetica" w:eastAsia="Helvetica" w:cs="Helvetica"/>
            <w:i w:val="0"/>
            <w:iCs w:val="0"/>
            <w:noProof w:val="0"/>
            <w:lang w:val="en-GB"/>
          </w:rPr>
          <w:t>https://www.researchgate.net/publication/290711696_Introduction_to_a_conceptual_framework_for_sustainable_events</w:t>
        </w:r>
      </w:hyperlink>
      <w:r w:rsidRPr="4D1AE66B" w:rsidR="3451E839">
        <w:rPr>
          <w:rFonts w:ascii="Helvetica" w:hAnsi="Helvetica" w:eastAsia="Helvetica" w:cs="Helvetica"/>
          <w:i w:val="0"/>
          <w:iCs w:val="0"/>
          <w:noProof w:val="0"/>
          <w:lang w:val="en-GB"/>
        </w:rPr>
        <w:t xml:space="preserve"> [Accessed 10 Nov. 2025].</w:t>
      </w:r>
    </w:p>
    <w:p w:rsidR="3451E839" w:rsidP="4D1AE66B" w:rsidRDefault="3451E839" w14:paraId="524164E8" w14:textId="4A74EB4F">
      <w:pPr>
        <w:spacing w:before="240" w:beforeAutospacing="off" w:after="180" w:afterAutospacing="off"/>
      </w:pPr>
      <w:r w:rsidRPr="4D1AE66B" w:rsidR="3451E839">
        <w:rPr>
          <w:rFonts w:ascii="Helvetica" w:hAnsi="Helvetica" w:eastAsia="Helvetica" w:cs="Helvetica"/>
          <w:i w:val="0"/>
          <w:iCs w:val="0"/>
          <w:noProof w:val="0"/>
          <w:lang w:val="en-GB"/>
        </w:rPr>
        <w:t xml:space="preserve">Plano Clark, V.L. (2019). Meaningful integration within mixed methods studies: Identifying why, what, when, and how. </w:t>
      </w:r>
      <w:r w:rsidRPr="4D1AE66B" w:rsidR="3451E839">
        <w:rPr>
          <w:rFonts w:ascii="Helvetica" w:hAnsi="Helvetica" w:eastAsia="Helvetica" w:cs="Helvetica"/>
          <w:i w:val="1"/>
          <w:iCs w:val="1"/>
          <w:noProof w:val="0"/>
          <w:lang w:val="en-GB"/>
        </w:rPr>
        <w:t>Contemporary Educational Psychology</w:t>
      </w:r>
      <w:r w:rsidRPr="4D1AE66B" w:rsidR="3451E839">
        <w:rPr>
          <w:rFonts w:ascii="Helvetica" w:hAnsi="Helvetica" w:eastAsia="Helvetica" w:cs="Helvetica"/>
          <w:i w:val="0"/>
          <w:iCs w:val="0"/>
          <w:noProof w:val="0"/>
          <w:lang w:val="en-GB"/>
        </w:rPr>
        <w:t>, 57(9), pp.106–111. doi:</w:t>
      </w:r>
      <w:hyperlink r:id="R7985bf0683984ff9">
        <w:r w:rsidRPr="4D1AE66B" w:rsidR="3451E839">
          <w:rPr>
            <w:rStyle w:val="Hyperlink"/>
            <w:rFonts w:ascii="Helvetica" w:hAnsi="Helvetica" w:eastAsia="Helvetica" w:cs="Helvetica"/>
            <w:i w:val="0"/>
            <w:iCs w:val="0"/>
            <w:noProof w:val="0"/>
            <w:lang w:val="en-GB"/>
          </w:rPr>
          <w:t>https://doi.org/10.1016/j.cedpsych.2019.01.007</w:t>
        </w:r>
      </w:hyperlink>
      <w:r w:rsidRPr="4D1AE66B" w:rsidR="3451E839">
        <w:rPr>
          <w:rFonts w:ascii="Helvetica" w:hAnsi="Helvetica" w:eastAsia="Helvetica" w:cs="Helvetica"/>
          <w:i w:val="0"/>
          <w:iCs w:val="0"/>
          <w:noProof w:val="0"/>
          <w:lang w:val="en-GB"/>
        </w:rPr>
        <w:t>.</w:t>
      </w:r>
    </w:p>
    <w:p w:rsidR="3451E839" w:rsidP="4D1AE66B" w:rsidRDefault="3451E839" w14:paraId="750FDDED" w14:textId="7EB49094">
      <w:pPr>
        <w:spacing w:before="240" w:beforeAutospacing="off" w:after="180" w:afterAutospacing="off"/>
      </w:pPr>
      <w:r w:rsidRPr="4D1AE66B" w:rsidR="3451E839">
        <w:rPr>
          <w:rFonts w:ascii="Helvetica" w:hAnsi="Helvetica" w:eastAsia="Helvetica" w:cs="Helvetica"/>
          <w:i w:val="0"/>
          <w:iCs w:val="0"/>
          <w:noProof w:val="0"/>
          <w:lang w:val="en-GB"/>
        </w:rPr>
        <w:t xml:space="preserve">Shen, C., Panda, S. and Vogelstein, J.T. (2021). The Chi-Square Test of Distance Correlation. </w:t>
      </w:r>
      <w:r w:rsidRPr="4D1AE66B" w:rsidR="3451E839">
        <w:rPr>
          <w:rFonts w:ascii="Helvetica" w:hAnsi="Helvetica" w:eastAsia="Helvetica" w:cs="Helvetica"/>
          <w:i w:val="1"/>
          <w:iCs w:val="1"/>
          <w:noProof w:val="0"/>
          <w:lang w:val="en-GB"/>
        </w:rPr>
        <w:t>Journal of Computational and Graphical Statistics</w:t>
      </w:r>
      <w:r w:rsidRPr="4D1AE66B" w:rsidR="3451E839">
        <w:rPr>
          <w:rFonts w:ascii="Helvetica" w:hAnsi="Helvetica" w:eastAsia="Helvetica" w:cs="Helvetica"/>
          <w:i w:val="0"/>
          <w:iCs w:val="0"/>
          <w:noProof w:val="0"/>
          <w:lang w:val="en-GB"/>
        </w:rPr>
        <w:t>, 31(1), pp.254–262. doi:</w:t>
      </w:r>
      <w:hyperlink r:id="R7a7af2390a244e76">
        <w:r w:rsidRPr="4D1AE66B" w:rsidR="3451E839">
          <w:rPr>
            <w:rStyle w:val="Hyperlink"/>
            <w:rFonts w:ascii="Helvetica" w:hAnsi="Helvetica" w:eastAsia="Helvetica" w:cs="Helvetica"/>
            <w:i w:val="0"/>
            <w:iCs w:val="0"/>
            <w:noProof w:val="0"/>
            <w:lang w:val="en-GB"/>
          </w:rPr>
          <w:t>https://doi.org/10.1080/10618600.2021.1938585</w:t>
        </w:r>
      </w:hyperlink>
      <w:r w:rsidRPr="4D1AE66B" w:rsidR="3451E839">
        <w:rPr>
          <w:rFonts w:ascii="Helvetica" w:hAnsi="Helvetica" w:eastAsia="Helvetica" w:cs="Helvetica"/>
          <w:i w:val="0"/>
          <w:iCs w:val="0"/>
          <w:noProof w:val="0"/>
          <w:lang w:val="en-GB"/>
        </w:rPr>
        <w:t>.</w:t>
      </w:r>
    </w:p>
    <w:p w:rsidR="3451E839" w:rsidP="4D1AE66B" w:rsidRDefault="3451E839" w14:paraId="7EDD03CA" w14:textId="42A23FD0">
      <w:pPr>
        <w:spacing w:before="240" w:beforeAutospacing="off" w:after="180" w:afterAutospacing="off"/>
      </w:pPr>
      <w:r w:rsidRPr="4D1AE66B" w:rsidR="3451E839">
        <w:rPr>
          <w:rFonts w:ascii="Helvetica" w:hAnsi="Helvetica" w:eastAsia="Helvetica" w:cs="Helvetica"/>
          <w:i w:val="0"/>
          <w:iCs w:val="0"/>
          <w:noProof w:val="0"/>
          <w:lang w:val="en-GB"/>
        </w:rPr>
        <w:t xml:space="preserve">Vaidya, H. and Chatterji, T. (2019). SDG 11 Sustainable Cities and Communities. </w:t>
      </w:r>
      <w:r w:rsidRPr="4D1AE66B" w:rsidR="3451E839">
        <w:rPr>
          <w:rFonts w:ascii="Helvetica" w:hAnsi="Helvetica" w:eastAsia="Helvetica" w:cs="Helvetica"/>
          <w:i w:val="1"/>
          <w:iCs w:val="1"/>
          <w:noProof w:val="0"/>
          <w:lang w:val="en-GB"/>
        </w:rPr>
        <w:t>Science for Sustainable Societies</w:t>
      </w:r>
      <w:r w:rsidRPr="4D1AE66B" w:rsidR="3451E839">
        <w:rPr>
          <w:rFonts w:ascii="Helvetica" w:hAnsi="Helvetica" w:eastAsia="Helvetica" w:cs="Helvetica"/>
          <w:i w:val="0"/>
          <w:iCs w:val="0"/>
          <w:noProof w:val="0"/>
          <w:lang w:val="en-GB"/>
        </w:rPr>
        <w:t>, [online] pp.173–185. doi:</w:t>
      </w:r>
      <w:hyperlink r:id="Rcac49a5f6a154b34">
        <w:r w:rsidRPr="4D1AE66B" w:rsidR="3451E839">
          <w:rPr>
            <w:rStyle w:val="Hyperlink"/>
            <w:rFonts w:ascii="Helvetica" w:hAnsi="Helvetica" w:eastAsia="Helvetica" w:cs="Helvetica"/>
            <w:i w:val="0"/>
            <w:iCs w:val="0"/>
            <w:noProof w:val="0"/>
            <w:lang w:val="en-GB"/>
          </w:rPr>
          <w:t>https://doi.org/10.1007/978-981-32-9927-6_12</w:t>
        </w:r>
      </w:hyperlink>
      <w:r w:rsidRPr="4D1AE66B" w:rsidR="3451E839">
        <w:rPr>
          <w:rFonts w:ascii="Helvetica" w:hAnsi="Helvetica" w:eastAsia="Helvetica" w:cs="Helvetica"/>
          <w:i w:val="0"/>
          <w:iCs w:val="0"/>
          <w:noProof w:val="0"/>
          <w:lang w:val="en-GB"/>
        </w:rPr>
        <w:t>.</w:t>
      </w:r>
    </w:p>
    <w:p w:rsidR="3451E839" w:rsidP="4D1AE66B" w:rsidRDefault="3451E839" w14:paraId="3569277A" w14:textId="20F8AAB5">
      <w:pPr>
        <w:spacing w:before="240" w:beforeAutospacing="off" w:after="180" w:afterAutospacing="off"/>
      </w:pPr>
      <w:r w:rsidRPr="4D1AE66B" w:rsidR="3451E839">
        <w:rPr>
          <w:rFonts w:ascii="Helvetica" w:hAnsi="Helvetica" w:eastAsia="Helvetica" w:cs="Helvetica"/>
          <w:i w:val="0"/>
          <w:iCs w:val="0"/>
          <w:noProof w:val="0"/>
          <w:lang w:val="en-GB"/>
        </w:rPr>
        <w:t xml:space="preserve">VEAL, A.J. (2017). </w:t>
      </w:r>
      <w:r w:rsidRPr="4D1AE66B" w:rsidR="3451E839">
        <w:rPr>
          <w:rFonts w:ascii="Helvetica" w:hAnsi="Helvetica" w:eastAsia="Helvetica" w:cs="Helvetica"/>
          <w:i w:val="1"/>
          <w:iCs w:val="1"/>
          <w:noProof w:val="0"/>
          <w:lang w:val="en-GB"/>
        </w:rPr>
        <w:t>Research Methods for Leisure and Tourism</w:t>
      </w:r>
      <w:r w:rsidRPr="4D1AE66B" w:rsidR="3451E839">
        <w:rPr>
          <w:rFonts w:ascii="Helvetica" w:hAnsi="Helvetica" w:eastAsia="Helvetica" w:cs="Helvetica"/>
          <w:i w:val="0"/>
          <w:iCs w:val="0"/>
          <w:noProof w:val="0"/>
          <w:lang w:val="en-GB"/>
        </w:rPr>
        <w:t xml:space="preserve">. [online] Google Books. Available at: </w:t>
      </w:r>
      <w:hyperlink w:anchor="v=onepage&amp;q&amp;f=false" r:id="Rb71cb5de51144f03">
        <w:r w:rsidRPr="4D1AE66B" w:rsidR="3451E839">
          <w:rPr>
            <w:rStyle w:val="Hyperlink"/>
            <w:rFonts w:ascii="Helvetica" w:hAnsi="Helvetica" w:eastAsia="Helvetica" w:cs="Helvetica"/>
            <w:i w:val="0"/>
            <w:iCs w:val="0"/>
            <w:noProof w:val="0"/>
            <w:lang w:val="en-GB"/>
          </w:rPr>
          <w:t>https://books.google.co.uk/books?id=sPJFDwAAQBAJ&amp;printsec=frontcover&amp;hl=ms&amp;source=gbs_ge_summary_r&amp;cad=0#v=onepage&amp;q&amp;f=false</w:t>
        </w:r>
      </w:hyperlink>
      <w:r w:rsidRPr="4D1AE66B" w:rsidR="3451E839">
        <w:rPr>
          <w:rFonts w:ascii="Helvetica" w:hAnsi="Helvetica" w:eastAsia="Helvetica" w:cs="Helvetica"/>
          <w:i w:val="0"/>
          <w:iCs w:val="0"/>
          <w:noProof w:val="0"/>
          <w:lang w:val="en-GB"/>
        </w:rPr>
        <w:t xml:space="preserve"> [Accessed 17 Nov. 2025].</w:t>
      </w:r>
    </w:p>
    <w:p w:rsidR="3451E839" w:rsidP="4D1AE66B" w:rsidRDefault="3451E839" w14:paraId="3B672499" w14:textId="05C01109">
      <w:pPr>
        <w:spacing w:before="240" w:beforeAutospacing="off" w:after="180" w:afterAutospacing="off"/>
      </w:pPr>
      <w:r w:rsidRPr="4D1AE66B" w:rsidR="3451E839">
        <w:rPr>
          <w:rFonts w:ascii="Helvetica" w:hAnsi="Helvetica" w:eastAsia="Helvetica" w:cs="Helvetica"/>
          <w:i w:val="0"/>
          <w:iCs w:val="0"/>
          <w:noProof w:val="0"/>
          <w:lang w:val="en-GB"/>
        </w:rPr>
        <w:t xml:space="preserve">WTM (2025). </w:t>
      </w:r>
      <w:r w:rsidRPr="4D1AE66B" w:rsidR="3451E839">
        <w:rPr>
          <w:rFonts w:ascii="Helvetica" w:hAnsi="Helvetica" w:eastAsia="Helvetica" w:cs="Helvetica"/>
          <w:i w:val="1"/>
          <w:iCs w:val="1"/>
          <w:noProof w:val="0"/>
          <w:lang w:val="en-GB"/>
        </w:rPr>
        <w:t>Where Travel &amp; Tourism Meet | World Travel Market London</w:t>
      </w:r>
      <w:r w:rsidRPr="4D1AE66B" w:rsidR="3451E839">
        <w:rPr>
          <w:rFonts w:ascii="Helvetica" w:hAnsi="Helvetica" w:eastAsia="Helvetica" w:cs="Helvetica"/>
          <w:i w:val="0"/>
          <w:iCs w:val="0"/>
          <w:noProof w:val="0"/>
          <w:lang w:val="en-GB"/>
        </w:rPr>
        <w:t xml:space="preserve">. [online] Wtm.com. Available at: </w:t>
      </w:r>
      <w:hyperlink w:anchor="/" r:id="R176a20b6faf245c8">
        <w:r w:rsidRPr="4D1AE66B" w:rsidR="3451E839">
          <w:rPr>
            <w:rStyle w:val="Hyperlink"/>
            <w:rFonts w:ascii="Helvetica" w:hAnsi="Helvetica" w:eastAsia="Helvetica" w:cs="Helvetica"/>
            <w:i w:val="0"/>
            <w:iCs w:val="0"/>
            <w:noProof w:val="0"/>
            <w:lang w:val="en-GB"/>
          </w:rPr>
          <w:t>https://www.wtm.com/london/en-gb.html#/</w:t>
        </w:r>
      </w:hyperlink>
      <w:r w:rsidRPr="4D1AE66B" w:rsidR="3451E839">
        <w:rPr>
          <w:rFonts w:ascii="Helvetica" w:hAnsi="Helvetica" w:eastAsia="Helvetica" w:cs="Helvetica"/>
          <w:i w:val="0"/>
          <w:iCs w:val="0"/>
          <w:noProof w:val="0"/>
          <w:lang w:val="en-GB"/>
        </w:rPr>
        <w:t>.</w:t>
      </w:r>
    </w:p>
    <w:p w:rsidR="4D1AE66B" w:rsidP="4D1AE66B" w:rsidRDefault="4D1AE66B" w14:paraId="23910F91" w14:textId="06971D9D">
      <w:pPr>
        <w:pStyle w:val="Normal"/>
        <w:rPr>
          <w:noProof w:val="0"/>
          <w:lang w:val="en-GB"/>
        </w:rPr>
      </w:pPr>
    </w:p>
    <w:p w:rsidR="4D1AE66B" w:rsidP="4D1AE66B" w:rsidRDefault="4D1AE66B" w14:paraId="21279488" w14:textId="6287E034">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GB"/>
        </w:rPr>
      </w:pPr>
    </w:p>
    <w:p w:rsidR="4D1AE66B" w:rsidP="4D1AE66B" w:rsidRDefault="4D1AE66B" w14:paraId="24B03521" w14:textId="0FB1F5C4">
      <w:pPr>
        <w:pStyle w:val="Normal"/>
        <w:rPr>
          <w:rFonts w:ascii="Arial Nova" w:hAnsi="Arial Nova" w:eastAsia="Arial Nova" w:cs="Arial Nova"/>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fce78e9c2e214edd"/>
      <w:footerReference w:type="default" r:id="R19e8fe07166545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1AE66B" w:rsidTr="4D1AE66B" w14:paraId="7813438B">
      <w:trPr>
        <w:trHeight w:val="300"/>
      </w:trPr>
      <w:tc>
        <w:tcPr>
          <w:tcW w:w="3005" w:type="dxa"/>
          <w:tcMar/>
        </w:tcPr>
        <w:p w:rsidR="4D1AE66B" w:rsidP="4D1AE66B" w:rsidRDefault="4D1AE66B" w14:paraId="417AC36D" w14:textId="6936E2D1">
          <w:pPr>
            <w:pStyle w:val="Header"/>
            <w:bidi w:val="0"/>
            <w:ind w:left="-115"/>
            <w:jc w:val="left"/>
          </w:pPr>
        </w:p>
      </w:tc>
      <w:tc>
        <w:tcPr>
          <w:tcW w:w="3005" w:type="dxa"/>
          <w:tcMar/>
        </w:tcPr>
        <w:p w:rsidR="4D1AE66B" w:rsidP="4D1AE66B" w:rsidRDefault="4D1AE66B" w14:paraId="1902917E" w14:textId="09186411">
          <w:pPr>
            <w:pStyle w:val="Header"/>
            <w:bidi w:val="0"/>
            <w:jc w:val="center"/>
          </w:pPr>
        </w:p>
      </w:tc>
      <w:tc>
        <w:tcPr>
          <w:tcW w:w="3005" w:type="dxa"/>
          <w:tcMar/>
        </w:tcPr>
        <w:p w:rsidR="4D1AE66B" w:rsidP="4D1AE66B" w:rsidRDefault="4D1AE66B" w14:paraId="69365C06" w14:textId="6BCAD4FA">
          <w:pPr>
            <w:pStyle w:val="Header"/>
            <w:bidi w:val="0"/>
            <w:ind w:right="-115"/>
            <w:jc w:val="right"/>
          </w:pPr>
        </w:p>
      </w:tc>
    </w:tr>
  </w:tbl>
  <w:p w:rsidR="4D1AE66B" w:rsidP="4D1AE66B" w:rsidRDefault="4D1AE66B" w14:paraId="0982F7B3" w14:textId="0DB61C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1AE66B" w:rsidTr="4D1AE66B" w14:paraId="51ECDEEA">
      <w:trPr>
        <w:trHeight w:val="300"/>
      </w:trPr>
      <w:tc>
        <w:tcPr>
          <w:tcW w:w="3005" w:type="dxa"/>
          <w:tcMar/>
        </w:tcPr>
        <w:p w:rsidR="4D1AE66B" w:rsidP="4D1AE66B" w:rsidRDefault="4D1AE66B" w14:paraId="1302C027" w14:textId="549F8A64">
          <w:pPr>
            <w:pStyle w:val="Header"/>
            <w:bidi w:val="0"/>
            <w:ind w:left="-115"/>
            <w:jc w:val="left"/>
          </w:pPr>
        </w:p>
      </w:tc>
      <w:tc>
        <w:tcPr>
          <w:tcW w:w="3005" w:type="dxa"/>
          <w:tcMar/>
        </w:tcPr>
        <w:p w:rsidR="4D1AE66B" w:rsidP="4D1AE66B" w:rsidRDefault="4D1AE66B" w14:paraId="7CC9A47D" w14:textId="6FF56B03">
          <w:pPr>
            <w:pStyle w:val="Header"/>
            <w:bidi w:val="0"/>
            <w:jc w:val="center"/>
          </w:pPr>
        </w:p>
      </w:tc>
      <w:tc>
        <w:tcPr>
          <w:tcW w:w="3005" w:type="dxa"/>
          <w:tcMar/>
        </w:tcPr>
        <w:p w:rsidR="4D1AE66B" w:rsidP="4D1AE66B" w:rsidRDefault="4D1AE66B" w14:paraId="5538E537" w14:textId="260127D5">
          <w:pPr>
            <w:pStyle w:val="Header"/>
            <w:bidi w:val="0"/>
            <w:ind w:right="-115"/>
            <w:jc w:val="right"/>
          </w:pPr>
        </w:p>
      </w:tc>
    </w:tr>
  </w:tbl>
  <w:p w:rsidR="4D1AE66B" w:rsidP="4D1AE66B" w:rsidRDefault="4D1AE66B" w14:paraId="640908F9" w14:textId="34E66990">
    <w:pPr>
      <w:pStyle w:val="Header"/>
      <w:bidi w:val="0"/>
    </w:pPr>
  </w:p>
</w:hdr>
</file>

<file path=word/intelligence2.xml><?xml version="1.0" encoding="utf-8"?>
<int2:intelligence xmlns:int2="http://schemas.microsoft.com/office/intelligence/2020/intelligence">
  <int2:observations>
    <int2:textHash int2:hashCode="eULyc/6C7NBNs7" int2:id="FPrvAVxN">
      <int2:state int2:type="spell" int2:value="Rejected"/>
    </int2:textHash>
    <int2:textHash int2:hashCode="A0RCDsuq1Zx4Hg" int2:id="HCX4v33s">
      <int2:state int2:type="spell" int2:value="Rejected"/>
    </int2:textHash>
    <int2:textHash int2:hashCode="ycD8TSi01A6Sd7" int2:id="e9EJJT8G">
      <int2:state int2:type="spell" int2:value="Rejected"/>
    </int2:textHash>
    <int2:textHash int2:hashCode="16BAL+dZ/1Oi9W" int2:id="hEgt5p8f">
      <int2:state int2:type="spell" int2:value="Rejected"/>
    </int2:textHash>
    <int2:bookmark int2:bookmarkName="_Int_neItaMGD" int2:invalidationBookmarkName="" int2:hashCode="e0dMsLOcF3PXGS" int2:id="qKjtpZtU">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fff13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9fc7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fe3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2AF2AB"/>
    <w:rsid w:val="0013F1E2"/>
    <w:rsid w:val="002EC60F"/>
    <w:rsid w:val="008D0BDD"/>
    <w:rsid w:val="00DBB45A"/>
    <w:rsid w:val="01135C79"/>
    <w:rsid w:val="0168B381"/>
    <w:rsid w:val="018785E5"/>
    <w:rsid w:val="01DC3038"/>
    <w:rsid w:val="02426BBD"/>
    <w:rsid w:val="029B6E32"/>
    <w:rsid w:val="02E0B376"/>
    <w:rsid w:val="03049025"/>
    <w:rsid w:val="03430F7D"/>
    <w:rsid w:val="03CFE027"/>
    <w:rsid w:val="03EA8ACA"/>
    <w:rsid w:val="03F0B610"/>
    <w:rsid w:val="043D9D05"/>
    <w:rsid w:val="043F2C26"/>
    <w:rsid w:val="052AF2AB"/>
    <w:rsid w:val="05A58F7B"/>
    <w:rsid w:val="05B57DB3"/>
    <w:rsid w:val="05CEF2E7"/>
    <w:rsid w:val="05E73B21"/>
    <w:rsid w:val="06713E2D"/>
    <w:rsid w:val="06D72436"/>
    <w:rsid w:val="07042587"/>
    <w:rsid w:val="070C499A"/>
    <w:rsid w:val="0733147E"/>
    <w:rsid w:val="0770B7F1"/>
    <w:rsid w:val="0787020C"/>
    <w:rsid w:val="0797E7D5"/>
    <w:rsid w:val="08567166"/>
    <w:rsid w:val="08C1B313"/>
    <w:rsid w:val="08C5CF95"/>
    <w:rsid w:val="08EC462A"/>
    <w:rsid w:val="09F8ECF9"/>
    <w:rsid w:val="0A191F39"/>
    <w:rsid w:val="0A1CC67E"/>
    <w:rsid w:val="0B5D3F6C"/>
    <w:rsid w:val="0B728D0C"/>
    <w:rsid w:val="0B8408AB"/>
    <w:rsid w:val="0C945215"/>
    <w:rsid w:val="0D4BB95D"/>
    <w:rsid w:val="0D630056"/>
    <w:rsid w:val="0DF7D822"/>
    <w:rsid w:val="0E6508DD"/>
    <w:rsid w:val="0F30DF32"/>
    <w:rsid w:val="0F40054D"/>
    <w:rsid w:val="1007C6E6"/>
    <w:rsid w:val="102996E5"/>
    <w:rsid w:val="1071A431"/>
    <w:rsid w:val="1075DCA3"/>
    <w:rsid w:val="10802B4E"/>
    <w:rsid w:val="10C15199"/>
    <w:rsid w:val="10DB59C3"/>
    <w:rsid w:val="118F8AE4"/>
    <w:rsid w:val="12248163"/>
    <w:rsid w:val="1302C6EB"/>
    <w:rsid w:val="1391D25F"/>
    <w:rsid w:val="13A85080"/>
    <w:rsid w:val="14103754"/>
    <w:rsid w:val="14220BA5"/>
    <w:rsid w:val="144162DA"/>
    <w:rsid w:val="14EFB198"/>
    <w:rsid w:val="150E4084"/>
    <w:rsid w:val="153231DA"/>
    <w:rsid w:val="156E0846"/>
    <w:rsid w:val="1583A79A"/>
    <w:rsid w:val="15B56E53"/>
    <w:rsid w:val="160D73A1"/>
    <w:rsid w:val="1618B1C4"/>
    <w:rsid w:val="162DA67D"/>
    <w:rsid w:val="163F2381"/>
    <w:rsid w:val="176DC62A"/>
    <w:rsid w:val="177296B8"/>
    <w:rsid w:val="17B8D206"/>
    <w:rsid w:val="17FD7689"/>
    <w:rsid w:val="180D7CA2"/>
    <w:rsid w:val="183E6CFD"/>
    <w:rsid w:val="18472EDB"/>
    <w:rsid w:val="1862CA67"/>
    <w:rsid w:val="1883DC0C"/>
    <w:rsid w:val="1887A098"/>
    <w:rsid w:val="18E96262"/>
    <w:rsid w:val="18F3FA18"/>
    <w:rsid w:val="191BEA72"/>
    <w:rsid w:val="19806CDB"/>
    <w:rsid w:val="198EABD4"/>
    <w:rsid w:val="1AC9D66C"/>
    <w:rsid w:val="1B142DD1"/>
    <w:rsid w:val="1B2FC428"/>
    <w:rsid w:val="1B948344"/>
    <w:rsid w:val="1BDFA0F7"/>
    <w:rsid w:val="1C351B94"/>
    <w:rsid w:val="1C55B474"/>
    <w:rsid w:val="1C73816D"/>
    <w:rsid w:val="1DC3B20B"/>
    <w:rsid w:val="1DCD7429"/>
    <w:rsid w:val="1DF2FD8E"/>
    <w:rsid w:val="1E54EC67"/>
    <w:rsid w:val="1EF7A78C"/>
    <w:rsid w:val="1F2AEC5B"/>
    <w:rsid w:val="1F942074"/>
    <w:rsid w:val="2008A93B"/>
    <w:rsid w:val="205AF5F6"/>
    <w:rsid w:val="20A0F985"/>
    <w:rsid w:val="20A9F2A9"/>
    <w:rsid w:val="20AAD1C2"/>
    <w:rsid w:val="215794C1"/>
    <w:rsid w:val="2184A74E"/>
    <w:rsid w:val="21F63F2A"/>
    <w:rsid w:val="225BC53D"/>
    <w:rsid w:val="229537F2"/>
    <w:rsid w:val="23202428"/>
    <w:rsid w:val="2342CCD1"/>
    <w:rsid w:val="23DDEB05"/>
    <w:rsid w:val="24035B15"/>
    <w:rsid w:val="240543D3"/>
    <w:rsid w:val="242354E3"/>
    <w:rsid w:val="247EA4F2"/>
    <w:rsid w:val="24D0E63C"/>
    <w:rsid w:val="24D3B48F"/>
    <w:rsid w:val="253A847B"/>
    <w:rsid w:val="254D8128"/>
    <w:rsid w:val="25BBC20D"/>
    <w:rsid w:val="25BE9D3A"/>
    <w:rsid w:val="25DEFDB6"/>
    <w:rsid w:val="26272D2B"/>
    <w:rsid w:val="268CC626"/>
    <w:rsid w:val="26D40133"/>
    <w:rsid w:val="2720F846"/>
    <w:rsid w:val="27390DF2"/>
    <w:rsid w:val="2769EDAE"/>
    <w:rsid w:val="27B22AEE"/>
    <w:rsid w:val="27B3BBDD"/>
    <w:rsid w:val="28BD558C"/>
    <w:rsid w:val="28D96ACE"/>
    <w:rsid w:val="29767008"/>
    <w:rsid w:val="2992C695"/>
    <w:rsid w:val="2A50E01F"/>
    <w:rsid w:val="2A73C05D"/>
    <w:rsid w:val="2B030E84"/>
    <w:rsid w:val="2B48244F"/>
    <w:rsid w:val="2B73EC0D"/>
    <w:rsid w:val="2BB2BACE"/>
    <w:rsid w:val="2C2C2247"/>
    <w:rsid w:val="2C8140C4"/>
    <w:rsid w:val="2D29D099"/>
    <w:rsid w:val="2D7C5376"/>
    <w:rsid w:val="2DB7627B"/>
    <w:rsid w:val="2DCF80E5"/>
    <w:rsid w:val="2E059096"/>
    <w:rsid w:val="2EC5A6D9"/>
    <w:rsid w:val="2EC72C2E"/>
    <w:rsid w:val="2F594401"/>
    <w:rsid w:val="2F677E2A"/>
    <w:rsid w:val="2F6E99C4"/>
    <w:rsid w:val="2FBAE587"/>
    <w:rsid w:val="2FEFC049"/>
    <w:rsid w:val="311C2211"/>
    <w:rsid w:val="3122591F"/>
    <w:rsid w:val="3191D9B9"/>
    <w:rsid w:val="31D204D9"/>
    <w:rsid w:val="325B3E13"/>
    <w:rsid w:val="32B58EA5"/>
    <w:rsid w:val="32F0E9B8"/>
    <w:rsid w:val="3323EF11"/>
    <w:rsid w:val="33B161CD"/>
    <w:rsid w:val="341FAD35"/>
    <w:rsid w:val="343AA2AA"/>
    <w:rsid w:val="3451E839"/>
    <w:rsid w:val="34813C2D"/>
    <w:rsid w:val="34D4DCCF"/>
    <w:rsid w:val="35362A5F"/>
    <w:rsid w:val="35AA339B"/>
    <w:rsid w:val="364E0759"/>
    <w:rsid w:val="36DE87B8"/>
    <w:rsid w:val="36F00D98"/>
    <w:rsid w:val="37518AF7"/>
    <w:rsid w:val="375BE2A0"/>
    <w:rsid w:val="37C7B162"/>
    <w:rsid w:val="3861F391"/>
    <w:rsid w:val="3883C4FF"/>
    <w:rsid w:val="38C5D124"/>
    <w:rsid w:val="38D27F40"/>
    <w:rsid w:val="39098DBB"/>
    <w:rsid w:val="3922996E"/>
    <w:rsid w:val="397F0EA1"/>
    <w:rsid w:val="3A6E8EDC"/>
    <w:rsid w:val="3AAFC839"/>
    <w:rsid w:val="3B402FA2"/>
    <w:rsid w:val="3BAEBAE8"/>
    <w:rsid w:val="3C2247EB"/>
    <w:rsid w:val="3C7A6271"/>
    <w:rsid w:val="3CAA24CD"/>
    <w:rsid w:val="3D04E429"/>
    <w:rsid w:val="3D532D7B"/>
    <w:rsid w:val="3D96DE2E"/>
    <w:rsid w:val="3DA502A2"/>
    <w:rsid w:val="3DCE9597"/>
    <w:rsid w:val="3E512B35"/>
    <w:rsid w:val="3E697C27"/>
    <w:rsid w:val="3ECDADA7"/>
    <w:rsid w:val="3F725FE9"/>
    <w:rsid w:val="3F895396"/>
    <w:rsid w:val="3FD0DFBB"/>
    <w:rsid w:val="40583E8F"/>
    <w:rsid w:val="405FCB27"/>
    <w:rsid w:val="407CBC85"/>
    <w:rsid w:val="40DD2975"/>
    <w:rsid w:val="40F863E5"/>
    <w:rsid w:val="412A07B4"/>
    <w:rsid w:val="412ED891"/>
    <w:rsid w:val="4142FF4E"/>
    <w:rsid w:val="41438FDF"/>
    <w:rsid w:val="4146FE09"/>
    <w:rsid w:val="41E53F8D"/>
    <w:rsid w:val="434E30D8"/>
    <w:rsid w:val="441B27D9"/>
    <w:rsid w:val="44300200"/>
    <w:rsid w:val="445224C8"/>
    <w:rsid w:val="44D4491F"/>
    <w:rsid w:val="44F15A9B"/>
    <w:rsid w:val="450521D6"/>
    <w:rsid w:val="4599FDF9"/>
    <w:rsid w:val="46224373"/>
    <w:rsid w:val="462DF707"/>
    <w:rsid w:val="46895C05"/>
    <w:rsid w:val="47667CE6"/>
    <w:rsid w:val="47C14B4B"/>
    <w:rsid w:val="485F58C2"/>
    <w:rsid w:val="48735899"/>
    <w:rsid w:val="4885E962"/>
    <w:rsid w:val="48BC2497"/>
    <w:rsid w:val="48F95265"/>
    <w:rsid w:val="4922022D"/>
    <w:rsid w:val="4A714AF9"/>
    <w:rsid w:val="4A973207"/>
    <w:rsid w:val="4B79432D"/>
    <w:rsid w:val="4B7D7177"/>
    <w:rsid w:val="4BA48E5A"/>
    <w:rsid w:val="4C2115CC"/>
    <w:rsid w:val="4C393163"/>
    <w:rsid w:val="4CA5B5DE"/>
    <w:rsid w:val="4D1AE66B"/>
    <w:rsid w:val="4D3FEEF3"/>
    <w:rsid w:val="4D526187"/>
    <w:rsid w:val="4EA66417"/>
    <w:rsid w:val="4EE05A35"/>
    <w:rsid w:val="4EFF3D8F"/>
    <w:rsid w:val="4FCADA21"/>
    <w:rsid w:val="50D3BF0A"/>
    <w:rsid w:val="50DF9E14"/>
    <w:rsid w:val="510D490F"/>
    <w:rsid w:val="521A1DEF"/>
    <w:rsid w:val="533D8627"/>
    <w:rsid w:val="535E4E8A"/>
    <w:rsid w:val="53FA3FAE"/>
    <w:rsid w:val="5411957B"/>
    <w:rsid w:val="5418CF73"/>
    <w:rsid w:val="54DC4394"/>
    <w:rsid w:val="551B36E6"/>
    <w:rsid w:val="553FD998"/>
    <w:rsid w:val="556BFCB8"/>
    <w:rsid w:val="55D024BE"/>
    <w:rsid w:val="5603BB3C"/>
    <w:rsid w:val="56077D47"/>
    <w:rsid w:val="56BB6EAA"/>
    <w:rsid w:val="56DA9A36"/>
    <w:rsid w:val="571AA845"/>
    <w:rsid w:val="57FD40F6"/>
    <w:rsid w:val="5844DD02"/>
    <w:rsid w:val="5856968D"/>
    <w:rsid w:val="58B33F85"/>
    <w:rsid w:val="590E161F"/>
    <w:rsid w:val="59696AF5"/>
    <w:rsid w:val="5971B73F"/>
    <w:rsid w:val="59DE0DE1"/>
    <w:rsid w:val="5A39A72F"/>
    <w:rsid w:val="5A8ACB26"/>
    <w:rsid w:val="5AA204C3"/>
    <w:rsid w:val="5B0A3284"/>
    <w:rsid w:val="5BBEF0DC"/>
    <w:rsid w:val="5BF51EF5"/>
    <w:rsid w:val="5C396601"/>
    <w:rsid w:val="5C531AEC"/>
    <w:rsid w:val="5C63A24A"/>
    <w:rsid w:val="5D1AB4EA"/>
    <w:rsid w:val="5D3AE062"/>
    <w:rsid w:val="5D88B72B"/>
    <w:rsid w:val="5E57C5B4"/>
    <w:rsid w:val="5EABF756"/>
    <w:rsid w:val="5F01809D"/>
    <w:rsid w:val="5F05874C"/>
    <w:rsid w:val="5F516508"/>
    <w:rsid w:val="5F98552E"/>
    <w:rsid w:val="60B7B247"/>
    <w:rsid w:val="60C6B182"/>
    <w:rsid w:val="60ED2DF7"/>
    <w:rsid w:val="61422A5E"/>
    <w:rsid w:val="6146E216"/>
    <w:rsid w:val="61FE46DD"/>
    <w:rsid w:val="62842E5B"/>
    <w:rsid w:val="62B06287"/>
    <w:rsid w:val="62FDC4A9"/>
    <w:rsid w:val="63E0BAA2"/>
    <w:rsid w:val="64B534D9"/>
    <w:rsid w:val="64EA6A6F"/>
    <w:rsid w:val="651ED6E4"/>
    <w:rsid w:val="653DC6A5"/>
    <w:rsid w:val="659F5D05"/>
    <w:rsid w:val="6618BFAA"/>
    <w:rsid w:val="66291508"/>
    <w:rsid w:val="6665B477"/>
    <w:rsid w:val="66C9B7F6"/>
    <w:rsid w:val="678106A2"/>
    <w:rsid w:val="681CF775"/>
    <w:rsid w:val="6844AF59"/>
    <w:rsid w:val="6852FFD4"/>
    <w:rsid w:val="68AF67EB"/>
    <w:rsid w:val="68B38DD8"/>
    <w:rsid w:val="68F41BF5"/>
    <w:rsid w:val="69170A6C"/>
    <w:rsid w:val="6A3C2122"/>
    <w:rsid w:val="6A60AA33"/>
    <w:rsid w:val="6AA2A273"/>
    <w:rsid w:val="6AB1C821"/>
    <w:rsid w:val="6AE07224"/>
    <w:rsid w:val="6AE549E9"/>
    <w:rsid w:val="6AFD3F9A"/>
    <w:rsid w:val="6B60A032"/>
    <w:rsid w:val="6BBF9A0C"/>
    <w:rsid w:val="6BE6B0DD"/>
    <w:rsid w:val="6C0DFCFE"/>
    <w:rsid w:val="6C2DD48F"/>
    <w:rsid w:val="6D256ACF"/>
    <w:rsid w:val="6D3F185F"/>
    <w:rsid w:val="6E21EE24"/>
    <w:rsid w:val="6E2B60E5"/>
    <w:rsid w:val="6F2FE7CD"/>
    <w:rsid w:val="6F4DED89"/>
    <w:rsid w:val="6F6DEC4F"/>
    <w:rsid w:val="6F8B2A54"/>
    <w:rsid w:val="6FBDBF35"/>
    <w:rsid w:val="7077C5BC"/>
    <w:rsid w:val="70856912"/>
    <w:rsid w:val="70B39989"/>
    <w:rsid w:val="70FEA658"/>
    <w:rsid w:val="7106F1D1"/>
    <w:rsid w:val="71153294"/>
    <w:rsid w:val="717FB3BF"/>
    <w:rsid w:val="71B0D4FA"/>
    <w:rsid w:val="71E83281"/>
    <w:rsid w:val="71F94C03"/>
    <w:rsid w:val="7307A7C4"/>
    <w:rsid w:val="7307FC94"/>
    <w:rsid w:val="73528A50"/>
    <w:rsid w:val="737F6998"/>
    <w:rsid w:val="73917339"/>
    <w:rsid w:val="73CAE3A6"/>
    <w:rsid w:val="75105DE2"/>
    <w:rsid w:val="75A71D5C"/>
    <w:rsid w:val="76555BC7"/>
    <w:rsid w:val="76B3F471"/>
    <w:rsid w:val="771F8894"/>
    <w:rsid w:val="77DC6410"/>
    <w:rsid w:val="78055397"/>
    <w:rsid w:val="78587A34"/>
    <w:rsid w:val="794F7D01"/>
    <w:rsid w:val="79C93610"/>
    <w:rsid w:val="7A28BC85"/>
    <w:rsid w:val="7A69E820"/>
    <w:rsid w:val="7AFBD976"/>
    <w:rsid w:val="7B698BF0"/>
    <w:rsid w:val="7B95A4F5"/>
    <w:rsid w:val="7BC4A9B3"/>
    <w:rsid w:val="7C211D1B"/>
    <w:rsid w:val="7C8B8A18"/>
    <w:rsid w:val="7CD16386"/>
    <w:rsid w:val="7CEB493A"/>
    <w:rsid w:val="7D6CCB38"/>
    <w:rsid w:val="7D7F45DD"/>
    <w:rsid w:val="7E0EAC16"/>
    <w:rsid w:val="7EC29C1F"/>
    <w:rsid w:val="7F9BBAFF"/>
    <w:rsid w:val="7FFE1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F2AB"/>
  <w15:chartTrackingRefBased/>
  <w15:docId w15:val="{0418CBF0-A970-4C8D-A937-8CFF55D6DA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D1AE66B"/>
    <w:pPr>
      <w:spacing/>
      <w:ind w:left="720"/>
      <w:contextualSpacing/>
    </w:pPr>
  </w:style>
  <w:style w:type="paragraph" w:styleId="Header">
    <w:uiPriority w:val="99"/>
    <w:name w:val="header"/>
    <w:basedOn w:val="Normal"/>
    <w:unhideWhenUsed/>
    <w:rsid w:val="4D1AE66B"/>
    <w:pPr>
      <w:tabs>
        <w:tab w:val="center" w:leader="none" w:pos="4680"/>
        <w:tab w:val="right" w:leader="none" w:pos="9360"/>
      </w:tabs>
      <w:spacing w:after="0" w:line="240" w:lineRule="auto"/>
    </w:pPr>
  </w:style>
  <w:style w:type="paragraph" w:styleId="Footer">
    <w:uiPriority w:val="99"/>
    <w:name w:val="footer"/>
    <w:basedOn w:val="Normal"/>
    <w:unhideWhenUsed/>
    <w:rsid w:val="4D1AE66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D1AE66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97828430" /><Relationship Type="http://schemas.openxmlformats.org/officeDocument/2006/relationships/image" Target="/media/image2.png" Id="rId580558541" /><Relationship Type="http://schemas.openxmlformats.org/officeDocument/2006/relationships/image" Target="/media/image3.png" Id="rId2018587177" /><Relationship Type="http://schemas.openxmlformats.org/officeDocument/2006/relationships/image" Target="/media/image4.png" Id="rId1399397606" /><Relationship Type="http://schemas.openxmlformats.org/officeDocument/2006/relationships/image" Target="/media/image5.png" Id="rId1960098991" /><Relationship Type="http://schemas.openxmlformats.org/officeDocument/2006/relationships/image" Target="/media/image6.png" Id="rId26559020" /><Relationship Type="http://schemas.openxmlformats.org/officeDocument/2006/relationships/image" Target="/media/image7.png" Id="rId1347232156" /><Relationship Type="http://schemas.openxmlformats.org/officeDocument/2006/relationships/image" Target="/media/image8.png" Id="rId852570660" /><Relationship Type="http://schemas.openxmlformats.org/officeDocument/2006/relationships/hyperlink" Target="https://doi.org/10.1016/0749-5978(91)90020-T" TargetMode="External" Id="Rca4b4591ffbf4f21" /><Relationship Type="http://schemas.openxmlformats.org/officeDocument/2006/relationships/hyperlink" Target="https://doi.org/10.3390/su142315815" TargetMode="External" Id="R9722251a4a25440e" /><Relationship Type="http://schemas.openxmlformats.org/officeDocument/2006/relationships/hyperlink" Target="https://doi.org/10.1016/s0261-5177(01)00091-7" TargetMode="External" Id="Rf899d5e3e0ea4b5e" /><Relationship Type="http://schemas.openxmlformats.org/officeDocument/2006/relationships/hyperlink" Target="https://doi.org/10.1191/1478088706qp063oa" TargetMode="External" Id="R5f278fbd94c147bb" /><Relationship Type="http://schemas.openxmlformats.org/officeDocument/2006/relationships/hyperlink" Target="https://doi.org/10.1016/j.tourman.2009.07.005" TargetMode="External" Id="R6becf74ffd3e4f23" /><Relationship Type="http://schemas.openxmlformats.org/officeDocument/2006/relationships/hyperlink" Target="https://books.google.co.uk/books?id=N2zQCgAAQBAJ&amp;printsec=frontcover&amp;source=gbs_ge_summary_r&amp;cad=0" TargetMode="External" Id="R49d3feb80e054a7d" /><Relationship Type="http://schemas.openxmlformats.org/officeDocument/2006/relationships/hyperlink" Target="https://doi.org/10.5502/ijw.v12i3.2017" TargetMode="External" Id="R1022bdfc93744801" /><Relationship Type="http://schemas.openxmlformats.org/officeDocument/2006/relationships/hyperlink" Target="https://doi.org/10.1016/j.jadohealth.2020.06.009" TargetMode="External" Id="R7a81ab4c8126495f" /><Relationship Type="http://schemas.openxmlformats.org/officeDocument/2006/relationships/hyperlink" Target="https://doi.org/10.46809/jpse.v2i2.20" TargetMode="External" Id="R0c9d1ed7cbd24488" /><Relationship Type="http://schemas.openxmlformats.org/officeDocument/2006/relationships/hyperlink" Target="https://doi.org/10.1080/09669582.2021.1873353" TargetMode="External" Id="Rf8e6dde61c654b7b" /><Relationship Type="http://schemas.openxmlformats.org/officeDocument/2006/relationships/hyperlink" Target="https://doi.org/10.1016/j.trd.2018.01.008" TargetMode="External" Id="R72e6d9d7b4d94576" /><Relationship Type="http://schemas.openxmlformats.org/officeDocument/2006/relationships/hyperlink" Target="https://doi.org/10.1016/j.jclepro.2022.131834" TargetMode="External" Id="R0828e39632e444b8" /><Relationship Type="http://schemas.openxmlformats.org/officeDocument/2006/relationships/hyperlink" Target="https://doi.org/10.1016/j.resconrec.2017.03.002" TargetMode="External" Id="R3bdfc7d21de6450c" /><Relationship Type="http://schemas.openxmlformats.org/officeDocument/2006/relationships/hyperlink" Target="https://www.elgaronline.com" TargetMode="External" Id="R39097327f8e748e4" /><Relationship Type="http://schemas.openxmlformats.org/officeDocument/2006/relationships/hyperlink" Target="https://www.elgaronline.com/edcollchap/book/9781800377684/book-part-9781800377684-30.xml" TargetMode="External" Id="R5fb8ba9bea77420c" /><Relationship Type="http://schemas.openxmlformats.org/officeDocument/2006/relationships/hyperlink" Target="https://www.researchgate.net/publication/290711696_Introduction_to_a_conceptual_framework_for_sustainable_events" TargetMode="External" Id="Raf7d5037c2f84159" /><Relationship Type="http://schemas.openxmlformats.org/officeDocument/2006/relationships/hyperlink" Target="https://doi.org/10.1016/j.cedpsych.2019.01.007" TargetMode="External" Id="R7985bf0683984ff9" /><Relationship Type="http://schemas.openxmlformats.org/officeDocument/2006/relationships/hyperlink" Target="https://doi.org/10.1080/10618600.2021.1938585" TargetMode="External" Id="R7a7af2390a244e76" /><Relationship Type="http://schemas.openxmlformats.org/officeDocument/2006/relationships/hyperlink" Target="https://doi.org/10.1007/978-981-32-9927-6_12" TargetMode="External" Id="Rcac49a5f6a154b34" /><Relationship Type="http://schemas.openxmlformats.org/officeDocument/2006/relationships/hyperlink" Target="https://books.google.co.uk/books?id=sPJFDwAAQBAJ&amp;printsec=frontcover&amp;hl=ms&amp;source=gbs_ge_summary_r&amp;cad=0" TargetMode="External" Id="Rb71cb5de51144f03" /><Relationship Type="http://schemas.openxmlformats.org/officeDocument/2006/relationships/hyperlink" Target="https://www.wtm.com/london/en-gb.html" TargetMode="External" Id="R176a20b6faf245c8" /><Relationship Type="http://schemas.openxmlformats.org/officeDocument/2006/relationships/header" Target="/word/header.xml" Id="Rfce78e9c2e214edd" /><Relationship Type="http://schemas.openxmlformats.org/officeDocument/2006/relationships/footer" Target="/word/footer.xml" Id="R19e8fe071665458e" /><Relationship Type="http://schemas.microsoft.com/office/2020/10/relationships/intelligence" Target="/word/intelligence2.xml" Id="Rd972ab516c1346b5" /><Relationship Type="http://schemas.openxmlformats.org/officeDocument/2006/relationships/numbering" Target="/word/numbering.xml" Id="R3193b3ab3a8240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JudikaËl Fongang (2232549)</dc:creator>
  <keywords/>
  <dc:description/>
  <lastModifiedBy>JudikaËl Fongang (2232549)</lastModifiedBy>
  <revision>3</revision>
  <dcterms:created xsi:type="dcterms:W3CDTF">2025-11-07T15:11:00.2730124Z</dcterms:created>
  <dcterms:modified xsi:type="dcterms:W3CDTF">2025-11-17T23:59:08.6041262Z</dcterms:modified>
</coreProperties>
</file>