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6AC4CC" w14:textId="036E7503" w:rsidR="00AB2306" w:rsidRDefault="0021599F" w:rsidP="00677D6E">
      <w:pPr>
        <w:rPr>
          <w:b/>
          <w:bCs/>
          <w:u w:val="single"/>
        </w:rPr>
      </w:pPr>
      <w:r w:rsidRPr="00AB2306">
        <w:rPr>
          <w:b/>
          <w:bCs/>
          <w:noProof/>
          <w:u w:val="single"/>
        </w:rPr>
        <mc:AlternateContent>
          <mc:Choice Requires="wps">
            <w:drawing>
              <wp:anchor distT="45720" distB="45720" distL="114300" distR="114300" simplePos="0" relativeHeight="251659264" behindDoc="0" locked="0" layoutInCell="1" allowOverlap="1" wp14:anchorId="0BAC59CA" wp14:editId="680D7ED8">
                <wp:simplePos x="0" y="0"/>
                <wp:positionH relativeFrom="margin">
                  <wp:posOffset>1189355</wp:posOffset>
                </wp:positionH>
                <wp:positionV relativeFrom="paragraph">
                  <wp:posOffset>423</wp:posOffset>
                </wp:positionV>
                <wp:extent cx="3327400" cy="2565400"/>
                <wp:effectExtent l="0" t="0" r="254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7400" cy="2565400"/>
                        </a:xfrm>
                        <a:prstGeom prst="rect">
                          <a:avLst/>
                        </a:prstGeom>
                        <a:solidFill>
                          <a:srgbClr val="FFFFFF"/>
                        </a:solidFill>
                        <a:ln w="9525">
                          <a:solidFill>
                            <a:schemeClr val="bg1"/>
                          </a:solidFill>
                          <a:miter lim="800000"/>
                          <a:headEnd/>
                          <a:tailEnd/>
                        </a:ln>
                      </wps:spPr>
                      <wps:txbx>
                        <w:txbxContent>
                          <w:p w14:paraId="13210796" w14:textId="0AF2B53F" w:rsidR="00AB2306" w:rsidRPr="00AB2306" w:rsidRDefault="00AB2306" w:rsidP="00AB2306">
                            <w:pPr>
                              <w:spacing w:line="360" w:lineRule="auto"/>
                              <w:jc w:val="center"/>
                            </w:pPr>
                            <w:r w:rsidRPr="00AB2306">
                              <w:t>SWOT analysis</w:t>
                            </w:r>
                          </w:p>
                          <w:p w14:paraId="62C16743" w14:textId="77777777" w:rsidR="00AB2306" w:rsidRDefault="00AB2306" w:rsidP="00AB2306">
                            <w:pPr>
                              <w:spacing w:line="360" w:lineRule="auto"/>
                              <w:jc w:val="center"/>
                            </w:pPr>
                            <w:r w:rsidRPr="00AB2306">
                              <w:t>Sally James</w:t>
                            </w:r>
                          </w:p>
                          <w:p w14:paraId="12980D54" w14:textId="2B39799A" w:rsidR="00AB2306" w:rsidRPr="00AB2306" w:rsidRDefault="00AB2306" w:rsidP="00AB2306">
                            <w:pPr>
                              <w:spacing w:line="360" w:lineRule="auto"/>
                              <w:jc w:val="center"/>
                            </w:pPr>
                            <w:r>
                              <w:t xml:space="preserve">Student </w:t>
                            </w:r>
                            <w:r w:rsidR="001900EE">
                              <w:t>Number</w:t>
                            </w:r>
                            <w:r>
                              <w:t>:</w:t>
                            </w:r>
                            <w:r w:rsidRPr="00AB2306">
                              <w:t xml:space="preserve"> 2208030</w:t>
                            </w:r>
                          </w:p>
                          <w:p w14:paraId="0AB4A2FE" w14:textId="0EBD304D" w:rsidR="00AB2306" w:rsidRPr="00AB2306" w:rsidRDefault="00AB2306" w:rsidP="00AB2306">
                            <w:pPr>
                              <w:spacing w:line="360" w:lineRule="auto"/>
                              <w:jc w:val="center"/>
                            </w:pPr>
                            <w:r w:rsidRPr="00AB2306">
                              <w:t>1500 Words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BAC59CA" id="_x0000_t202" coordsize="21600,21600" o:spt="202" path="m,l,21600r21600,l21600,xe">
                <v:stroke joinstyle="miter"/>
                <v:path gradientshapeok="t" o:connecttype="rect"/>
              </v:shapetype>
              <v:shape id="Text Box 2" o:spid="_x0000_s1026" type="#_x0000_t202" style="position:absolute;margin-left:93.65pt;margin-top:.05pt;width:262pt;height:202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" strokecolor="white [3212]">
                <v:textbox>
                  <w:txbxContent>
                    <w:p w14:paraId="13210796" w14:textId="0AF2B53F" w:rsidR="00AB2306" w:rsidRPr="00AB2306" w:rsidRDefault="00AB2306" w:rsidP="00AB2306">
                      <w:pPr>
                        <w:spacing w:line="360" w:lineRule="auto"/>
                        <w:jc w:val="center"/>
                      </w:pPr>
                      <w:r w:rsidRPr="00AB2306">
                        <w:t>SWOT analysis</w:t>
                      </w:r>
                    </w:p>
                    <w:p w14:paraId="62C16743" w14:textId="77777777" w:rsidR="00AB2306" w:rsidRDefault="00AB2306" w:rsidP="00AB2306">
                      <w:pPr>
                        <w:spacing w:line="360" w:lineRule="auto"/>
                        <w:jc w:val="center"/>
                      </w:pPr>
                      <w:r w:rsidRPr="00AB2306">
                        <w:t>Sally James</w:t>
                      </w:r>
                    </w:p>
                    <w:p w14:paraId="12980D54" w14:textId="2B39799A" w:rsidR="00AB2306" w:rsidRPr="00AB2306" w:rsidRDefault="00AB2306" w:rsidP="00AB2306">
                      <w:pPr>
                        <w:spacing w:line="360" w:lineRule="auto"/>
                        <w:jc w:val="center"/>
                      </w:pPr>
                      <w:r>
                        <w:t xml:space="preserve">Student </w:t>
                      </w:r>
                      <w:r w:rsidR="001900EE">
                        <w:t>Number</w:t>
                      </w:r>
                      <w:r>
                        <w:t>:</w:t>
                      </w:r>
                      <w:r w:rsidRPr="00AB2306">
                        <w:t xml:space="preserve"> 2208030</w:t>
                      </w:r>
                    </w:p>
                    <w:p w14:paraId="0AB4A2FE" w14:textId="0EBD304D" w:rsidR="00AB2306" w:rsidRPr="00AB2306" w:rsidRDefault="00AB2306" w:rsidP="00AB2306">
                      <w:pPr>
                        <w:spacing w:line="360" w:lineRule="auto"/>
                        <w:jc w:val="center"/>
                      </w:pPr>
                      <w:r w:rsidRPr="00AB2306">
                        <w:t>1500 Words</w:t>
                      </w:r>
                    </w:p>
                  </w:txbxContent>
                </v:textbox>
                <w10:wrap type="square" anchorx="margin"/>
              </v:shape>
            </w:pict>
          </mc:Fallback>
        </mc:AlternateContent>
      </w:r>
    </w:p>
    <w:p w14:paraId="44E8F26C" w14:textId="7CAFE844" w:rsidR="00AB2306" w:rsidRDefault="00AB2306" w:rsidP="00677D6E">
      <w:pPr>
        <w:rPr>
          <w:b/>
          <w:bCs/>
          <w:u w:val="single"/>
        </w:rPr>
      </w:pPr>
    </w:p>
    <w:p w14:paraId="660682A5" w14:textId="28772692" w:rsidR="00AB2306" w:rsidRDefault="00AB2306" w:rsidP="00677D6E">
      <w:pPr>
        <w:rPr>
          <w:b/>
          <w:bCs/>
          <w:u w:val="single"/>
        </w:rPr>
      </w:pPr>
    </w:p>
    <w:p w14:paraId="73B07834" w14:textId="44562F09" w:rsidR="00AB2306" w:rsidRDefault="00AB2306" w:rsidP="00677D6E">
      <w:pPr>
        <w:rPr>
          <w:b/>
          <w:bCs/>
          <w:u w:val="single"/>
        </w:rPr>
      </w:pPr>
    </w:p>
    <w:p w14:paraId="2C767205" w14:textId="59126273" w:rsidR="00AB2306" w:rsidRDefault="00AB2306" w:rsidP="00677D6E">
      <w:pPr>
        <w:rPr>
          <w:b/>
          <w:bCs/>
          <w:u w:val="single"/>
        </w:rPr>
      </w:pPr>
    </w:p>
    <w:p w14:paraId="5C803B01" w14:textId="0CCA4C28" w:rsidR="00AB2306" w:rsidRDefault="00AB2306" w:rsidP="00677D6E">
      <w:pPr>
        <w:rPr>
          <w:b/>
          <w:bCs/>
          <w:u w:val="single"/>
        </w:rPr>
      </w:pPr>
    </w:p>
    <w:p w14:paraId="304CB592" w14:textId="29330FB3" w:rsidR="00AB2306" w:rsidRDefault="00AB2306" w:rsidP="00677D6E">
      <w:pPr>
        <w:rPr>
          <w:b/>
          <w:bCs/>
          <w:u w:val="single"/>
        </w:rPr>
      </w:pPr>
    </w:p>
    <w:p w14:paraId="33CB005F" w14:textId="24D29CFA" w:rsidR="00AB2306" w:rsidRDefault="00AB2306" w:rsidP="00677D6E">
      <w:pPr>
        <w:rPr>
          <w:b/>
          <w:bCs/>
          <w:u w:val="single"/>
        </w:rPr>
      </w:pPr>
    </w:p>
    <w:p w14:paraId="03A3A058" w14:textId="263D1C1B" w:rsidR="00AB2306" w:rsidRDefault="00AB2306" w:rsidP="00677D6E">
      <w:pPr>
        <w:rPr>
          <w:b/>
          <w:bCs/>
          <w:u w:val="single"/>
        </w:rPr>
      </w:pPr>
    </w:p>
    <w:p w14:paraId="53CD1E37" w14:textId="460C4DD8" w:rsidR="00AB2306" w:rsidRDefault="00AB2306" w:rsidP="00677D6E">
      <w:pPr>
        <w:rPr>
          <w:b/>
          <w:bCs/>
          <w:u w:val="single"/>
        </w:rPr>
      </w:pPr>
    </w:p>
    <w:p w14:paraId="30FF0CA0" w14:textId="446D22FB" w:rsidR="00AB2306" w:rsidRDefault="00AB2306" w:rsidP="00677D6E">
      <w:pPr>
        <w:rPr>
          <w:b/>
          <w:bCs/>
          <w:u w:val="single"/>
        </w:rPr>
      </w:pPr>
    </w:p>
    <w:p w14:paraId="256E7A83" w14:textId="21EF7DE3" w:rsidR="00AB2306" w:rsidRDefault="00AB2306" w:rsidP="00D6667F">
      <w:pPr>
        <w:spacing w:line="360" w:lineRule="auto"/>
        <w:rPr>
          <w:b/>
          <w:bCs/>
          <w:u w:val="single"/>
        </w:rPr>
      </w:pPr>
    </w:p>
    <w:p w14:paraId="3C64470A" w14:textId="77777777" w:rsidR="00AB2306" w:rsidRDefault="00AB2306" w:rsidP="00D6667F">
      <w:pPr>
        <w:spacing w:line="360" w:lineRule="auto"/>
        <w:rPr>
          <w:b/>
          <w:bCs/>
          <w:u w:val="single"/>
        </w:rPr>
      </w:pPr>
    </w:p>
    <w:p w14:paraId="767F3D3B" w14:textId="77777777" w:rsidR="009D4982" w:rsidRDefault="009D4982" w:rsidP="00D6667F">
      <w:pPr>
        <w:spacing w:line="360" w:lineRule="auto"/>
      </w:pPr>
    </w:p>
    <w:p w14:paraId="2E4CEF2F" w14:textId="77777777" w:rsidR="009D4982" w:rsidRDefault="009D4982" w:rsidP="00D6667F">
      <w:pPr>
        <w:spacing w:line="360" w:lineRule="auto"/>
      </w:pPr>
    </w:p>
    <w:p w14:paraId="5D7B3969" w14:textId="77777777" w:rsidR="009D4982" w:rsidRDefault="009D4982" w:rsidP="00D6667F">
      <w:pPr>
        <w:spacing w:line="360" w:lineRule="auto"/>
      </w:pPr>
    </w:p>
    <w:p w14:paraId="1B13F9DD" w14:textId="77777777" w:rsidR="009D4982" w:rsidRDefault="009D4982" w:rsidP="00D6667F">
      <w:pPr>
        <w:spacing w:line="360" w:lineRule="auto"/>
      </w:pPr>
    </w:p>
    <w:p w14:paraId="13D0B08E" w14:textId="77777777" w:rsidR="009D4982" w:rsidRDefault="009D4982" w:rsidP="00D6667F">
      <w:pPr>
        <w:spacing w:line="360" w:lineRule="auto"/>
      </w:pPr>
    </w:p>
    <w:p w14:paraId="7145C410" w14:textId="77777777" w:rsidR="009D4982" w:rsidRDefault="009D4982" w:rsidP="00D6667F">
      <w:pPr>
        <w:spacing w:line="360" w:lineRule="auto"/>
      </w:pPr>
    </w:p>
    <w:p w14:paraId="620E6D9F" w14:textId="77777777" w:rsidR="009D4982" w:rsidRDefault="009D4982" w:rsidP="00D6667F">
      <w:pPr>
        <w:spacing w:line="360" w:lineRule="auto"/>
      </w:pPr>
    </w:p>
    <w:p w14:paraId="6180E1A4" w14:textId="77777777" w:rsidR="009D4982" w:rsidRDefault="009D4982" w:rsidP="00D6667F">
      <w:pPr>
        <w:spacing w:line="360" w:lineRule="auto"/>
      </w:pPr>
    </w:p>
    <w:p w14:paraId="198478CC" w14:textId="77777777" w:rsidR="009D4982" w:rsidRDefault="009D4982" w:rsidP="00D6667F">
      <w:pPr>
        <w:spacing w:line="360" w:lineRule="auto"/>
      </w:pPr>
    </w:p>
    <w:p w14:paraId="42F8BD92" w14:textId="77777777" w:rsidR="009D4982" w:rsidRDefault="009D4982" w:rsidP="00D6667F">
      <w:pPr>
        <w:spacing w:line="360" w:lineRule="auto"/>
      </w:pPr>
    </w:p>
    <w:p w14:paraId="5A126259" w14:textId="77777777" w:rsidR="009D4982" w:rsidRDefault="009D4982" w:rsidP="00D6667F">
      <w:pPr>
        <w:spacing w:line="360" w:lineRule="auto"/>
      </w:pPr>
    </w:p>
    <w:p w14:paraId="42F243F4" w14:textId="77777777" w:rsidR="009D4982" w:rsidRDefault="009D4982" w:rsidP="00D6667F">
      <w:pPr>
        <w:spacing w:line="360" w:lineRule="auto"/>
      </w:pPr>
    </w:p>
    <w:p w14:paraId="71F0F4E0" w14:textId="505F001B" w:rsidR="00C3681E" w:rsidRPr="00DE4E8A" w:rsidRDefault="00C3681E" w:rsidP="00D6667F">
      <w:pPr>
        <w:spacing w:line="360" w:lineRule="auto"/>
      </w:pPr>
    </w:p>
    <w:p w14:paraId="43EF319B" w14:textId="10003A6E" w:rsidR="00C3681E" w:rsidRDefault="00C3681E" w:rsidP="00D6667F">
      <w:pPr>
        <w:spacing w:line="360" w:lineRule="auto"/>
      </w:pPr>
      <w:r>
        <w:t xml:space="preserve">A SWOT analysis is a structured way to look at personal strengths, weaknesses, opportunities, and threats to support academic growth and professional development (Gürel and Tat, 2017). For this SWOT analysis I will be concentrating on what I have learnt about reflecting as a student from lectures in university. In health and social care education across Wales, reflection is used to help students become safe, caring, and person-centred practitioners (Social Care Wales, 2020). Reflecting on personal learning helps identify what’s going well, what needs improving, and what might get in the way because it reveals patterns in how we process feedback and adapt study habits. The Nursing and Midwifery Council (NMC, 2018) highlights reflection as vital for safe practice, professional accountability, and ongoing improvement, particularly through university lectures that teach structured models like </w:t>
      </w:r>
      <w:r w:rsidR="00C2404B">
        <w:t>Gibbs</w:t>
      </w:r>
      <w:r>
        <w:t xml:space="preserve"> to build these skills early. This SWOT analysis looks at one main point for each area, a single strength, a weakness, an opportunity, and a threat but explores them in depth. For this new student, reflection is not just about passing assignments. It’s about learning how to think differently, manage challenges, and develop the mindset needed for working in health and social care in Wales because lectures showed it turns r</w:t>
      </w:r>
      <w:r w:rsidR="00C2404B">
        <w:t>eal</w:t>
      </w:r>
      <w:r>
        <w:t xml:space="preserve"> experiences into actionable learning.</w:t>
      </w:r>
    </w:p>
    <w:p w14:paraId="5011B59D" w14:textId="77777777" w:rsidR="00C3681E" w:rsidRPr="00C3681E" w:rsidRDefault="00C3681E" w:rsidP="00D6667F">
      <w:pPr>
        <w:spacing w:line="360" w:lineRule="auto"/>
        <w:rPr>
          <w:b/>
          <w:bCs/>
          <w:u w:val="single"/>
        </w:rPr>
      </w:pPr>
      <w:r w:rsidRPr="00C3681E">
        <w:rPr>
          <w:b/>
          <w:bCs/>
          <w:u w:val="single"/>
        </w:rPr>
        <w:t>Strength</w:t>
      </w:r>
    </w:p>
    <w:p w14:paraId="52712086" w14:textId="3E0A750C" w:rsidR="00C3681E" w:rsidRDefault="00C3681E" w:rsidP="00D6667F">
      <w:pPr>
        <w:spacing w:line="360" w:lineRule="auto"/>
      </w:pPr>
      <w:r>
        <w:t>The student’s main strength is a strong feeling of honesty and self-awareness when reflecting on their learning and experiences from university lectures. From the start of the course, they have shown confidence in acknowledging any confusion or errors because this openness allows tutors to provide feedback during class discussions. The student openly reflects on feelings like anxiety, pride, and frustration, which helps build self-understanding and emotional resilience since genuine emotion reveals deeper learning blocks.</w:t>
      </w:r>
    </w:p>
    <w:p w14:paraId="7BD713B7" w14:textId="41171655" w:rsidR="00C3681E" w:rsidRDefault="00BA4668" w:rsidP="00D6667F">
      <w:pPr>
        <w:spacing w:line="360" w:lineRule="auto"/>
      </w:pPr>
      <w:r w:rsidRPr="00BA4668">
        <w:t>Rudolph (2019) thinks that the positive side of this honesty is that it allows learning to happen because reflection becomes authentic rather than performative, leading to real growth as emphasised in lectures.</w:t>
      </w:r>
      <w:r>
        <w:t xml:space="preserve"> </w:t>
      </w:r>
      <w:r w:rsidR="00C3681E">
        <w:t xml:space="preserve">When reflection is real and not just written to please tutors, it becomes a tool for growth since it encourages critical evaluation of lecture </w:t>
      </w:r>
      <w:r w:rsidR="00C3681E">
        <w:lastRenderedPageBreak/>
        <w:t>content. Being open about uncertainty and challenge shows emotional maturity and allows deeper thought about what could be improved next time because it connects personal feelings to academic progress. As Mezirow (1991) points out, real learning often starts when we feel uncomfortable when our assumptions get challenged, and that pushes us to grow, we must be honest with ourselves.</w:t>
      </w:r>
    </w:p>
    <w:p w14:paraId="2802F215" w14:textId="6D75C6A4" w:rsidR="00C3681E" w:rsidRDefault="00C3681E" w:rsidP="00D6667F">
      <w:pPr>
        <w:spacing w:line="360" w:lineRule="auto"/>
      </w:pPr>
      <w:r>
        <w:t xml:space="preserve">However, this same strength can also create challenges because emotional openness risks overshadowing analysis. Because the student is so emotionally open, they sometimes focus too much on how they felt in the moment rather than what those emotions reveal about their learning from lectures. The student often turns reflection into self-blame instead of constructive evaluation. </w:t>
      </w:r>
      <w:r w:rsidR="002265DE" w:rsidRPr="002265DE">
        <w:t>Dweck (2006) thinks that while honesty is good, too much self-criticism can damage confidence and motivation because the goal of student reflection is skill-building, not judgment.</w:t>
      </w:r>
      <w:r w:rsidR="002265DE">
        <w:t xml:space="preserve"> </w:t>
      </w:r>
      <w:r>
        <w:t>To keep that balance, the student could try using models like Gibbs’ Reflective Cycle to go from just talking about feelings to looking at what’s been learned and what actions to take next (Gibbs, 1988).</w:t>
      </w:r>
    </w:p>
    <w:p w14:paraId="72DCA81E" w14:textId="77777777" w:rsidR="00C3681E" w:rsidRDefault="00C3681E" w:rsidP="00D6667F">
      <w:pPr>
        <w:spacing w:line="360" w:lineRule="auto"/>
      </w:pPr>
      <w:r>
        <w:t>In professional terms, being self-aware supports compassionate care because recognising emotions from lecture reflections helps health professionals understand others’ feelings, which links to person-centred approaches in Wales (Social Care Wales, 2020). So, even though this strength sometimes causes overthinking, it also forms the basis for empathy and professionalism since university practice hones these links early. With practice, the student’s honesty can evolve from emotional reflection into consistent critical reflection that links feelings to learning and positive action.</w:t>
      </w:r>
    </w:p>
    <w:p w14:paraId="795F98AC" w14:textId="77777777" w:rsidR="00C3681E" w:rsidRPr="00C3681E" w:rsidRDefault="00C3681E" w:rsidP="00D6667F">
      <w:pPr>
        <w:spacing w:line="360" w:lineRule="auto"/>
        <w:rPr>
          <w:b/>
          <w:bCs/>
          <w:u w:val="single"/>
        </w:rPr>
      </w:pPr>
      <w:r w:rsidRPr="00C3681E">
        <w:rPr>
          <w:b/>
          <w:bCs/>
          <w:u w:val="single"/>
        </w:rPr>
        <w:t>Weakness</w:t>
      </w:r>
    </w:p>
    <w:p w14:paraId="6371044E" w14:textId="20BBFE0E" w:rsidR="00C3681E" w:rsidRDefault="00C3681E" w:rsidP="00D6667F">
      <w:pPr>
        <w:spacing w:line="360" w:lineRule="auto"/>
      </w:pPr>
      <w:r>
        <w:t xml:space="preserve">The student’s main weakness </w:t>
      </w:r>
      <w:r w:rsidR="00A21920">
        <w:t>is</w:t>
      </w:r>
      <w:r>
        <w:t xml:space="preserve"> in written communication, particularly because of dyslexia. Being diagnosed while studying helped explain difficulties with spelling, structuring work, and clearly expressing ideas in writing because it clarified why verbal understanding </w:t>
      </w:r>
      <w:r w:rsidR="00114866">
        <w:t xml:space="preserve">can seem easier than </w:t>
      </w:r>
      <w:r>
        <w:t xml:space="preserve">written. Although they </w:t>
      </w:r>
      <w:r w:rsidR="00114866">
        <w:t>show</w:t>
      </w:r>
      <w:r>
        <w:t xml:space="preserve"> strong verbal communication skills in class discussions, translating thoughts into well-organised written form remains a challenge since dyslexia </w:t>
      </w:r>
      <w:r w:rsidR="001F211C">
        <w:t>can change</w:t>
      </w:r>
      <w:r>
        <w:t xml:space="preserve"> logical flow.</w:t>
      </w:r>
    </w:p>
    <w:p w14:paraId="2C3B2E55" w14:textId="5C5FACE1" w:rsidR="00C3681E" w:rsidRDefault="00B17B6A" w:rsidP="00D6667F">
      <w:pPr>
        <w:spacing w:line="360" w:lineRule="auto"/>
      </w:pPr>
      <w:r>
        <w:lastRenderedPageBreak/>
        <w:t>Although</w:t>
      </w:r>
      <w:r w:rsidR="00C3681E">
        <w:t xml:space="preserve"> learning about reflective frameworks such as Gibbs’ Reflective Cycle during university lectures, they have already engaged in self-evaluation of their learning and professional practice since these models </w:t>
      </w:r>
      <w:r w:rsidR="00531105">
        <w:t xml:space="preserve">help </w:t>
      </w:r>
      <w:r w:rsidR="00C3681E">
        <w:t xml:space="preserve">weak areas. This </w:t>
      </w:r>
      <w:r w:rsidR="009C1288">
        <w:t>understanding of</w:t>
      </w:r>
      <w:r w:rsidR="00C3681E">
        <w:t xml:space="preserve"> how dyslexia affects processing and expression, has encouraged the student to identify</w:t>
      </w:r>
      <w:r w:rsidR="00531105">
        <w:t xml:space="preserve"> </w:t>
      </w:r>
      <w:r w:rsidR="00C3681E">
        <w:t>strategies and supports. For example, Welsh universities provide assistive technologies like text-to-speech software, grammar tools, and mind-mapping programs to aid students with dyslexia (Cardiff Metropolitan University, 2020). The student has begun incorporating these tools, which help reduce</w:t>
      </w:r>
    </w:p>
    <w:p w14:paraId="6BC4DC77" w14:textId="05F5841E" w:rsidR="00C3681E" w:rsidRDefault="00C3681E" w:rsidP="00D6667F">
      <w:pPr>
        <w:spacing w:line="360" w:lineRule="auto"/>
      </w:pPr>
      <w:r>
        <w:t>Despite these positive steps, the weakness still impacts confidence</w:t>
      </w:r>
      <w:r w:rsidR="00A47275">
        <w:t xml:space="preserve">. </w:t>
      </w:r>
      <w:r>
        <w:t>When faced with a blank page, the student can feel overwhelmed by how to begin, as ideas often come quickly but are difficult to organise logically when writing. Moon (2006) believes that students often struggle to structure reflective writing effectively, especially when reflection models feel repetitive. Planning reflective pieces using Gibbs’ model can take time and sometimes feel repetitive, which can make the writing process less engaging because it demands sustained focus amid dyslexia challenges. Occasionally, tight deadlines lead to rushed submissions and underdeveloped ideas, impacting assessment outcomes (Moon, 2006).</w:t>
      </w:r>
    </w:p>
    <w:p w14:paraId="208CB56A" w14:textId="7C8D8B77" w:rsidR="00C3681E" w:rsidRDefault="00C3681E" w:rsidP="00D6667F">
      <w:pPr>
        <w:spacing w:line="360" w:lineRule="auto"/>
      </w:pPr>
      <w:r>
        <w:t xml:space="preserve">In healthcare settings, this weakness has important implications because clear documentation ensures patient safety and accountability (NMC, 2018). Clear and accurate written communication is essential for documentation, patient safety, and accountability. Errors or unclear records could affect care quality. This realisation motivates the student to strengthen their writing not only for academic success but also for future professional standards, particularly in their goal to become a midwife since lectures linked these skills directly. </w:t>
      </w:r>
      <w:r w:rsidR="00734C87">
        <w:t>T</w:t>
      </w:r>
      <w:r>
        <w:t xml:space="preserve">he student’s awareness of this challenge has fostered determination and resilience because reflection reframes limitations </w:t>
      </w:r>
      <w:r w:rsidR="009C41D7">
        <w:t>to grow.</w:t>
      </w:r>
      <w:r>
        <w:t xml:space="preserve"> This growing self-acceptance supports both personal and professional development</w:t>
      </w:r>
      <w:r w:rsidR="00FC1280">
        <w:t xml:space="preserve"> </w:t>
      </w:r>
      <w:r>
        <w:t xml:space="preserve">core values in health and social care, where compassion and adaptability are </w:t>
      </w:r>
      <w:r w:rsidR="009C41D7">
        <w:t>important</w:t>
      </w:r>
      <w:r>
        <w:t>.</w:t>
      </w:r>
    </w:p>
    <w:p w14:paraId="2B4467BD" w14:textId="77777777" w:rsidR="009C1288" w:rsidRDefault="00C3681E" w:rsidP="00D6667F">
      <w:pPr>
        <w:spacing w:line="360" w:lineRule="auto"/>
        <w:rPr>
          <w:b/>
          <w:bCs/>
          <w:u w:val="single"/>
        </w:rPr>
      </w:pPr>
      <w:r w:rsidRPr="00C3681E">
        <w:rPr>
          <w:b/>
          <w:bCs/>
          <w:u w:val="single"/>
        </w:rPr>
        <w:t>Opportunity</w:t>
      </w:r>
    </w:p>
    <w:p w14:paraId="72B32A6F" w14:textId="58C8D29B" w:rsidR="00C3681E" w:rsidRPr="009C1288" w:rsidRDefault="00C3681E" w:rsidP="00D6667F">
      <w:pPr>
        <w:spacing w:line="360" w:lineRule="auto"/>
        <w:rPr>
          <w:b/>
          <w:bCs/>
          <w:u w:val="single"/>
        </w:rPr>
      </w:pPr>
      <w:r>
        <w:lastRenderedPageBreak/>
        <w:t>The student’s biggest opportunity comes from studying in a supportive, inclusive university environment in Wales where lectures emphasise reflective practice. Health and social care programmes in Wales place strong emphasis on equality, accessibility, and person-centred learning (Social Care Wales, 2020). There are systems in place that offer academic, personal, and emotional support for all students, including those with learning differences such as dyslexia because these align with inclusive teaching models introduced in class.</w:t>
      </w:r>
    </w:p>
    <w:p w14:paraId="06B5B42D" w14:textId="77777777" w:rsidR="00C3681E" w:rsidRDefault="00C3681E" w:rsidP="00D6667F">
      <w:pPr>
        <w:spacing w:line="360" w:lineRule="auto"/>
      </w:pPr>
      <w:r>
        <w:t>This opportunity gives the student a chance to succeed because targeted supports directly address reflective writing barriers from lectures. Access to specialist help, assistive technology, and extra time on assignments can address the challenges caused by dyslexia. The student has also discovered areas of the university that focus on reflective writing, critical thinking, and academic reading since lectures guided exploration of these resources. With the right guidance, these supports can turn what feels like a disadvantage into an area of strength.</w:t>
      </w:r>
    </w:p>
    <w:p w14:paraId="08158DE9" w14:textId="77777777" w:rsidR="00C3681E" w:rsidRDefault="00C3681E" w:rsidP="00D6667F">
      <w:pPr>
        <w:spacing w:line="360" w:lineRule="auto"/>
      </w:pPr>
      <w:r>
        <w:t>An important part of this opportunity is how it connects with professional development because student reflection builds habits for lifelong learning. Reflection is a skill that continues after university. In health and social care, professionals are expected to use reflection throughout their careers to maintain registration and provide safe, effective care (NMC, 2018). By developing reflective writing skills now, the student is building a habit that will support lifelong learning and Continuing Professional Development (CPD).</w:t>
      </w:r>
    </w:p>
    <w:p w14:paraId="004703EA" w14:textId="77777777" w:rsidR="00C3681E" w:rsidRDefault="00C3681E" w:rsidP="00D6667F">
      <w:pPr>
        <w:spacing w:line="360" w:lineRule="auto"/>
      </w:pPr>
      <w:r>
        <w:t>Being surrounded by others from diverse backgrounds encourages empathy and better communication because group lecture activities model collaboration. Working together in group projects helps the student share strengths and recognise the value of other people’s perspectives. These experiences support the Welsh Government’s vision for A Healthier Wales, which prioritises collaboration, equality, and holistic approaches to care (Welsh Government, 2018).</w:t>
      </w:r>
    </w:p>
    <w:p w14:paraId="74141B05" w14:textId="77777777" w:rsidR="00C3681E" w:rsidRDefault="00C3681E" w:rsidP="00D6667F">
      <w:pPr>
        <w:spacing w:line="360" w:lineRule="auto"/>
      </w:pPr>
      <w:r>
        <w:t xml:space="preserve">However, opportunities only matter if they are used properly because hesitation limits benefits. The student sometimes hesitates to seek help, worried about being judged or seeming less capable. This hesitation could limit the benefits of support services. The </w:t>
      </w:r>
      <w:r>
        <w:lastRenderedPageBreak/>
        <w:t>challenge is to see asking for help as a strength, not a weakness because lectures framed it as proactive learning. Making full use of inclusive education in Wales could completely change the student’s academic confidence and performance.</w:t>
      </w:r>
    </w:p>
    <w:p w14:paraId="18EE73E1" w14:textId="77777777" w:rsidR="00C3681E" w:rsidRPr="00C3681E" w:rsidRDefault="00C3681E" w:rsidP="00D6667F">
      <w:pPr>
        <w:spacing w:line="360" w:lineRule="auto"/>
        <w:rPr>
          <w:b/>
          <w:bCs/>
          <w:u w:val="single"/>
        </w:rPr>
      </w:pPr>
      <w:r w:rsidRPr="00C3681E">
        <w:rPr>
          <w:b/>
          <w:bCs/>
          <w:u w:val="single"/>
        </w:rPr>
        <w:t>Threat</w:t>
      </w:r>
    </w:p>
    <w:p w14:paraId="0EE04FD0" w14:textId="77777777" w:rsidR="00C3681E" w:rsidRDefault="00C3681E" w:rsidP="00D6667F">
      <w:pPr>
        <w:spacing w:line="360" w:lineRule="auto"/>
      </w:pPr>
      <w:r>
        <w:t>The main threat to the student’s progress is balancing time, confidence, and wellbeing amid lecture demands. University life can be overwhelming especially for someone adjusting to academic writing, placements, and new routines. The health and social care course involve juggling lectures, practical learning, and reflective logs, often alongside personal responsibilities like work or family life because these overlap without built-in buffers.</w:t>
      </w:r>
    </w:p>
    <w:p w14:paraId="399CF7DF" w14:textId="77777777" w:rsidR="00C3681E" w:rsidRDefault="00C3681E" w:rsidP="00D6667F">
      <w:pPr>
        <w:spacing w:line="360" w:lineRule="auto"/>
      </w:pPr>
      <w:r>
        <w:t>The positive side of recognising this threat early is that it allows planning and prevention because awareness from reflections prevents escalation. The student already knows that poor time management and stress can quickly affect grades and confidence, as research indicates that academic stress and poor organisational skills are linked to lower academic performance and decreased self-esteem (</w:t>
      </w:r>
      <w:proofErr w:type="spellStart"/>
      <w:r>
        <w:t>Rothblum</w:t>
      </w:r>
      <w:proofErr w:type="spellEnd"/>
      <w:r>
        <w:t xml:space="preserve"> et al., 2000). Understanding these risks makes it easier to create plans, such as using planners, setting small goals, and dedicating time each week for reflection.</w:t>
      </w:r>
    </w:p>
    <w:p w14:paraId="3E1DBD5B" w14:textId="77777777" w:rsidR="00C3681E" w:rsidRDefault="00C3681E" w:rsidP="00D6667F">
      <w:pPr>
        <w:spacing w:line="360" w:lineRule="auto"/>
      </w:pPr>
      <w:r>
        <w:t>However, time pressure and stress can still make an impact because they disrupt the mental space needed for deep reflection. When deadlines overlap, anxiety builds up, and concentration drops. Comparing themselves to classmates who seem more confident can create feelings of imposter syndrome a common issue among university students (Clance and Imes, 1978). This can lead to overworking, lack of sleep, or burnout, which in turn makes writing and reflection even harder.</w:t>
      </w:r>
    </w:p>
    <w:p w14:paraId="1C1C1CA1" w14:textId="77777777" w:rsidR="00C3681E" w:rsidRDefault="00C3681E" w:rsidP="00D6667F">
      <w:pPr>
        <w:spacing w:line="360" w:lineRule="auto"/>
      </w:pPr>
      <w:r>
        <w:t>The link between well-being and learning is well recognised because exhausted students produce superficial work. According to A Healthier Wales (Welsh Government, 2018), maintaining personal wellbeing is essential for providing compassionate care to others. If the student becomes too stressed or tired, it’s harder to stay motivated or empathetic. Universities in Wales offer wellbeing support, but personal pride and fear of judgment can stop students from using it.</w:t>
      </w:r>
    </w:p>
    <w:p w14:paraId="642A2D90" w14:textId="208302F2" w:rsidR="00C3681E" w:rsidRDefault="00C3681E" w:rsidP="00D6667F">
      <w:pPr>
        <w:spacing w:line="360" w:lineRule="auto"/>
      </w:pPr>
      <w:r>
        <w:lastRenderedPageBreak/>
        <w:t>Kabat-Zinn (2003) believes that the biggest threat to students is burnout from juggling too many responsibilities at once significant stress and emotional exhaustion. To manage this, the student plans to focus on small wins, celebrate progress, and reach out for help when needed. By treating wellbeing as a priority, the student can better both their academic performance and mental health.</w:t>
      </w:r>
    </w:p>
    <w:p w14:paraId="01139668" w14:textId="77777777" w:rsidR="0021599F" w:rsidRPr="0021599F" w:rsidRDefault="0021599F" w:rsidP="00D6667F">
      <w:pPr>
        <w:spacing w:line="360" w:lineRule="auto"/>
      </w:pPr>
    </w:p>
    <w:p w14:paraId="5301D262" w14:textId="77777777" w:rsidR="00C3681E" w:rsidRDefault="00C3681E" w:rsidP="00D6667F">
      <w:pPr>
        <w:spacing w:line="360" w:lineRule="auto"/>
      </w:pPr>
      <w:r>
        <w:t>This SWOT analysis helped the student think deeply about their honest self-awareness, writing challenges, support opportunities, and threats to well-being. Each area has both positives and negatives, the main message is that reflection itself is the key to progress because it integrates lecture learnings into personal growth. Honesty in reflection must be balanced with self-kindness. Writing skills can grow with support and practice.</w:t>
      </w:r>
    </w:p>
    <w:p w14:paraId="4122C68D" w14:textId="59A2BB8C" w:rsidR="00C3681E" w:rsidRDefault="00C3681E" w:rsidP="00D6667F">
      <w:pPr>
        <w:spacing w:line="360" w:lineRule="auto"/>
      </w:pPr>
      <w:r>
        <w:t>Inclusive education in Wales offers real chances for development. And threats like stress and low confidence can be managed through planning and self-care.</w:t>
      </w:r>
    </w:p>
    <w:p w14:paraId="0E10665F" w14:textId="77777777" w:rsidR="00C3681E" w:rsidRDefault="00C3681E" w:rsidP="00D6667F">
      <w:pPr>
        <w:spacing w:line="360" w:lineRule="auto"/>
      </w:pPr>
      <w:r>
        <w:t>As reflective practice is at the heart of safe and compassionate healthcare (NMC, 2018; Social Care Wales, 2020), this reflection demonstrates that personal development is as important as academic achievement. The student’s aim now is to keep growing, stay resilient, and continue developing the reflective habits that support both education and professional life.</w:t>
      </w:r>
    </w:p>
    <w:p w14:paraId="3735BB75" w14:textId="78A9F779" w:rsidR="00C3681E" w:rsidRPr="00C3681E" w:rsidRDefault="00C3681E" w:rsidP="00D6667F">
      <w:pPr>
        <w:spacing w:line="360" w:lineRule="auto"/>
        <w:rPr>
          <w:b/>
          <w:bCs/>
          <w:u w:val="single"/>
        </w:rPr>
      </w:pPr>
      <w:r w:rsidRPr="00C3681E">
        <w:rPr>
          <w:b/>
          <w:bCs/>
          <w:u w:val="single"/>
        </w:rPr>
        <w:t xml:space="preserve">Reference List </w:t>
      </w:r>
    </w:p>
    <w:p w14:paraId="74C7F5B1" w14:textId="77777777" w:rsidR="006862E6" w:rsidRDefault="006862E6" w:rsidP="006862E6">
      <w:pPr>
        <w:spacing w:line="360" w:lineRule="auto"/>
      </w:pPr>
      <w:r>
        <w:t xml:space="preserve">Cardiff Metropolitan University (2020) Dyslexia, ADHD and </w:t>
      </w:r>
      <w:proofErr w:type="spellStart"/>
      <w:r>
        <w:t>SpLD</w:t>
      </w:r>
      <w:proofErr w:type="spellEnd"/>
      <w:r>
        <w:t xml:space="preserve"> support. Available at: https://www.cardiffmet.ac.uk/support/student-services/disability-mental-health-and-dyslexia/dyslexia-adhd-and-spld-support/ (Accessed: 9 December 2025).</w:t>
      </w:r>
      <w:r>
        <w:rPr>
          <w:rFonts w:ascii="Arial" w:hAnsi="Arial" w:cs="Arial"/>
        </w:rPr>
        <w:t>​</w:t>
      </w:r>
    </w:p>
    <w:p w14:paraId="70716681" w14:textId="77777777" w:rsidR="006862E6" w:rsidRDefault="006862E6" w:rsidP="006862E6">
      <w:pPr>
        <w:spacing w:line="360" w:lineRule="auto"/>
      </w:pPr>
      <w:r>
        <w:t>Clance, P.R. and Imes, S.A. (1978) ‘The imposter phenomenon in high achieving women: Dynamics and therapeutic intervention’, Psychotherapy: Theory, Research &amp; Practice, 15(3), pp. 241–247.</w:t>
      </w:r>
      <w:r>
        <w:rPr>
          <w:rFonts w:ascii="Arial" w:hAnsi="Arial" w:cs="Arial"/>
        </w:rPr>
        <w:t>​</w:t>
      </w:r>
    </w:p>
    <w:p w14:paraId="5BBB0C67" w14:textId="77777777" w:rsidR="006862E6" w:rsidRDefault="006862E6" w:rsidP="006862E6">
      <w:pPr>
        <w:spacing w:line="360" w:lineRule="auto"/>
      </w:pPr>
      <w:r>
        <w:t>Dweck, C.S. (2006) Mindset: The new psychology of success. New York: Random House.</w:t>
      </w:r>
      <w:r>
        <w:rPr>
          <w:rFonts w:ascii="Arial" w:hAnsi="Arial" w:cs="Arial"/>
        </w:rPr>
        <w:t>​</w:t>
      </w:r>
    </w:p>
    <w:p w14:paraId="3D7D9203" w14:textId="77777777" w:rsidR="006862E6" w:rsidRDefault="006862E6" w:rsidP="006862E6">
      <w:pPr>
        <w:spacing w:line="360" w:lineRule="auto"/>
      </w:pPr>
      <w:r>
        <w:lastRenderedPageBreak/>
        <w:t>Gibbs, G. (1988) Learning by doing: A guide to teaching and learning methods. London: Further Education Unit.</w:t>
      </w:r>
      <w:r>
        <w:rPr>
          <w:rFonts w:ascii="Arial" w:hAnsi="Arial" w:cs="Arial"/>
        </w:rPr>
        <w:t>​</w:t>
      </w:r>
    </w:p>
    <w:p w14:paraId="5438886A" w14:textId="77777777" w:rsidR="006862E6" w:rsidRDefault="006862E6" w:rsidP="006862E6">
      <w:pPr>
        <w:spacing w:line="360" w:lineRule="auto"/>
      </w:pPr>
      <w:r>
        <w:t>Gürel, E. and Tat, M. (2017) ‘SWOT analysis: A theoretical review’, Journal of International Social Research, 10(51), pp. 994–1006.</w:t>
      </w:r>
      <w:r>
        <w:rPr>
          <w:rFonts w:ascii="Arial" w:hAnsi="Arial" w:cs="Arial"/>
        </w:rPr>
        <w:t>​</w:t>
      </w:r>
    </w:p>
    <w:p w14:paraId="0ECCCA08" w14:textId="77777777" w:rsidR="006862E6" w:rsidRDefault="006862E6" w:rsidP="006862E6">
      <w:pPr>
        <w:spacing w:line="360" w:lineRule="auto"/>
      </w:pPr>
      <w:r>
        <w:t>Kabat-Zinn, J. (2003) ‘Mindfulness-based stress reduction (MBSR) and the stress response: A new approach to burnout prevention’, Journal of Behavioural Medicine, 26(4), pp. 303–309.</w:t>
      </w:r>
      <w:r>
        <w:rPr>
          <w:rFonts w:ascii="Arial" w:hAnsi="Arial" w:cs="Arial"/>
        </w:rPr>
        <w:t>​</w:t>
      </w:r>
    </w:p>
    <w:p w14:paraId="058C0587" w14:textId="77777777" w:rsidR="006862E6" w:rsidRDefault="006862E6" w:rsidP="006862E6">
      <w:pPr>
        <w:spacing w:line="360" w:lineRule="auto"/>
      </w:pPr>
      <w:r>
        <w:t>Mezirow, J. (1991) Transformative dimensions of adult learning. San Francisco: Jossey-Bass.</w:t>
      </w:r>
      <w:r>
        <w:rPr>
          <w:rFonts w:ascii="Arial" w:hAnsi="Arial" w:cs="Arial"/>
        </w:rPr>
        <w:t>​</w:t>
      </w:r>
    </w:p>
    <w:p w14:paraId="4E514B65" w14:textId="77777777" w:rsidR="006862E6" w:rsidRDefault="006862E6" w:rsidP="006862E6">
      <w:pPr>
        <w:spacing w:line="360" w:lineRule="auto"/>
      </w:pPr>
      <w:r>
        <w:t xml:space="preserve">Moon, J.A. (2006) Learning journals: A handbook for reflective practice and professional development. 2nd </w:t>
      </w:r>
      <w:proofErr w:type="spellStart"/>
      <w:r>
        <w:t>edn</w:t>
      </w:r>
      <w:proofErr w:type="spellEnd"/>
      <w:r>
        <w:t>. London: Routledge.</w:t>
      </w:r>
      <w:r>
        <w:rPr>
          <w:rFonts w:ascii="Arial" w:hAnsi="Arial" w:cs="Arial"/>
        </w:rPr>
        <w:t>​</w:t>
      </w:r>
    </w:p>
    <w:p w14:paraId="12BB8405" w14:textId="77777777" w:rsidR="006862E6" w:rsidRDefault="006862E6" w:rsidP="006862E6">
      <w:pPr>
        <w:spacing w:line="360" w:lineRule="auto"/>
      </w:pPr>
      <w:r>
        <w:t>Nursing and Midwifery Council (NMC) (2018) The code: Professional standards of practice and behaviour for nurses, midwives and nursing associates. London: NMC.</w:t>
      </w:r>
      <w:r>
        <w:rPr>
          <w:rFonts w:ascii="Arial" w:hAnsi="Arial" w:cs="Arial"/>
        </w:rPr>
        <w:t>​</w:t>
      </w:r>
    </w:p>
    <w:p w14:paraId="132DF238" w14:textId="77777777" w:rsidR="006862E6" w:rsidRDefault="006862E6" w:rsidP="006862E6">
      <w:pPr>
        <w:spacing w:line="360" w:lineRule="auto"/>
      </w:pPr>
      <w:proofErr w:type="spellStart"/>
      <w:r>
        <w:t>Rothblum</w:t>
      </w:r>
      <w:proofErr w:type="spellEnd"/>
      <w:r>
        <w:t>, E.D., Solomon, L.J. and Murakami, J.F. (2000) ‘A study of students with academic procrastination’, Journal of Counselling Psychology, 47(4), pp. 493–505.</w:t>
      </w:r>
      <w:r>
        <w:rPr>
          <w:rFonts w:ascii="Arial" w:hAnsi="Arial" w:cs="Arial"/>
        </w:rPr>
        <w:t>​</w:t>
      </w:r>
    </w:p>
    <w:p w14:paraId="1C0B0651" w14:textId="77777777" w:rsidR="006862E6" w:rsidRDefault="006862E6" w:rsidP="006862E6">
      <w:pPr>
        <w:spacing w:line="360" w:lineRule="auto"/>
      </w:pPr>
      <w:r>
        <w:t>Rudolph, J. (2019) ‘Review of “Becoming a critically reflective teacher, 2nd ed.” by Stephen D. Brookfield’, Journal of Applied Learning &amp; Teaching, 2(2), pp. 116–118.</w:t>
      </w:r>
      <w:r>
        <w:rPr>
          <w:rFonts w:ascii="Arial" w:hAnsi="Arial" w:cs="Arial"/>
        </w:rPr>
        <w:t>​</w:t>
      </w:r>
    </w:p>
    <w:p w14:paraId="47A6E5B7" w14:textId="77777777" w:rsidR="006862E6" w:rsidRDefault="006862E6" w:rsidP="006862E6">
      <w:pPr>
        <w:spacing w:line="360" w:lineRule="auto"/>
      </w:pPr>
      <w:r>
        <w:t>Social Care Wales (2020) Code of professional practice for social care. Cardiff: Social Care Wales.</w:t>
      </w:r>
      <w:r>
        <w:rPr>
          <w:rFonts w:ascii="Arial" w:hAnsi="Arial" w:cs="Arial"/>
        </w:rPr>
        <w:t>​</w:t>
      </w:r>
    </w:p>
    <w:p w14:paraId="114C9E4D" w14:textId="679378B6" w:rsidR="00D6667F" w:rsidRPr="009D4982" w:rsidRDefault="006862E6" w:rsidP="006862E6">
      <w:pPr>
        <w:spacing w:line="360" w:lineRule="auto"/>
      </w:pPr>
      <w:r>
        <w:t>Welsh Government (2018) A healthier Wales: Our plan for health and social care. Cardiff: Welsh Governmen</w:t>
      </w:r>
      <w:r>
        <w:t>t</w:t>
      </w:r>
      <w:r w:rsidR="009C1288">
        <w:t>.</w:t>
      </w:r>
    </w:p>
    <w:sectPr w:rsidR="00D6667F" w:rsidRPr="009D4982">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4939A0" w14:textId="77777777" w:rsidR="00BB68CA" w:rsidRDefault="00BB68CA">
      <w:pPr>
        <w:spacing w:after="0" w:line="240" w:lineRule="auto"/>
      </w:pPr>
      <w:r>
        <w:separator/>
      </w:r>
    </w:p>
  </w:endnote>
  <w:endnote w:type="continuationSeparator" w:id="0">
    <w:p w14:paraId="7054EA76" w14:textId="77777777" w:rsidR="00BB68CA" w:rsidRDefault="00BB68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277FAF" w14:textId="77777777" w:rsidR="00BB68CA" w:rsidRDefault="00BB68CA">
      <w:pPr>
        <w:spacing w:after="0" w:line="240" w:lineRule="auto"/>
      </w:pPr>
      <w:r>
        <w:rPr>
          <w:color w:val="000000"/>
        </w:rPr>
        <w:separator/>
      </w:r>
    </w:p>
  </w:footnote>
  <w:footnote w:type="continuationSeparator" w:id="0">
    <w:p w14:paraId="53E67DB0" w14:textId="77777777" w:rsidR="00BB68CA" w:rsidRDefault="00BB68C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5CB9"/>
    <w:rsid w:val="00033C7D"/>
    <w:rsid w:val="00054F25"/>
    <w:rsid w:val="00075791"/>
    <w:rsid w:val="00084952"/>
    <w:rsid w:val="000B74C2"/>
    <w:rsid w:val="000B760C"/>
    <w:rsid w:val="000E26B0"/>
    <w:rsid w:val="000E7D48"/>
    <w:rsid w:val="000F4869"/>
    <w:rsid w:val="001129A4"/>
    <w:rsid w:val="00114866"/>
    <w:rsid w:val="00174C36"/>
    <w:rsid w:val="001900EE"/>
    <w:rsid w:val="001C4FF2"/>
    <w:rsid w:val="001F211C"/>
    <w:rsid w:val="0021599F"/>
    <w:rsid w:val="002265DE"/>
    <w:rsid w:val="002B6225"/>
    <w:rsid w:val="002E68DB"/>
    <w:rsid w:val="002E787D"/>
    <w:rsid w:val="00405FA2"/>
    <w:rsid w:val="00411E76"/>
    <w:rsid w:val="00431B1A"/>
    <w:rsid w:val="00432FB9"/>
    <w:rsid w:val="004658D2"/>
    <w:rsid w:val="00467A9D"/>
    <w:rsid w:val="00525873"/>
    <w:rsid w:val="00531105"/>
    <w:rsid w:val="00532B9F"/>
    <w:rsid w:val="00640612"/>
    <w:rsid w:val="00677D6E"/>
    <w:rsid w:val="006862E6"/>
    <w:rsid w:val="006A1A61"/>
    <w:rsid w:val="006D6ABF"/>
    <w:rsid w:val="0070059B"/>
    <w:rsid w:val="00720CA4"/>
    <w:rsid w:val="00734C87"/>
    <w:rsid w:val="007C27F7"/>
    <w:rsid w:val="007C7EC4"/>
    <w:rsid w:val="007D4C83"/>
    <w:rsid w:val="007E5CB9"/>
    <w:rsid w:val="007F55A1"/>
    <w:rsid w:val="00870C81"/>
    <w:rsid w:val="00873EAF"/>
    <w:rsid w:val="008A39F1"/>
    <w:rsid w:val="008A799A"/>
    <w:rsid w:val="00965E0A"/>
    <w:rsid w:val="0099588F"/>
    <w:rsid w:val="009C1288"/>
    <w:rsid w:val="009C41D7"/>
    <w:rsid w:val="009D4982"/>
    <w:rsid w:val="009E102C"/>
    <w:rsid w:val="009F7DA2"/>
    <w:rsid w:val="00A21920"/>
    <w:rsid w:val="00A228FF"/>
    <w:rsid w:val="00A240DE"/>
    <w:rsid w:val="00A47275"/>
    <w:rsid w:val="00A62EE5"/>
    <w:rsid w:val="00A71790"/>
    <w:rsid w:val="00A9322F"/>
    <w:rsid w:val="00AA7594"/>
    <w:rsid w:val="00AB2306"/>
    <w:rsid w:val="00AC00F4"/>
    <w:rsid w:val="00AD77F0"/>
    <w:rsid w:val="00B17B6A"/>
    <w:rsid w:val="00B21B50"/>
    <w:rsid w:val="00B31D24"/>
    <w:rsid w:val="00B63341"/>
    <w:rsid w:val="00BA4668"/>
    <w:rsid w:val="00BB68CA"/>
    <w:rsid w:val="00C23377"/>
    <w:rsid w:val="00C2404B"/>
    <w:rsid w:val="00C343B5"/>
    <w:rsid w:val="00C3681E"/>
    <w:rsid w:val="00C4369A"/>
    <w:rsid w:val="00C77CE8"/>
    <w:rsid w:val="00CB7889"/>
    <w:rsid w:val="00D04E1E"/>
    <w:rsid w:val="00D43B3B"/>
    <w:rsid w:val="00D4448C"/>
    <w:rsid w:val="00D6667F"/>
    <w:rsid w:val="00DA0BF4"/>
    <w:rsid w:val="00DB3022"/>
    <w:rsid w:val="00DE4E8A"/>
    <w:rsid w:val="00DF2FEC"/>
    <w:rsid w:val="00DF40BD"/>
    <w:rsid w:val="00E26DB8"/>
    <w:rsid w:val="00E93655"/>
    <w:rsid w:val="00F91A04"/>
    <w:rsid w:val="00FC1280"/>
    <w:rsid w:val="00FD726F"/>
    <w:rsid w:val="00FE2850"/>
    <w:rsid w:val="7B4843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256EC"/>
  <w15:docId w15:val="{F80A20C9-BCDC-4DC2-B46B-674C83CC4D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link w:val="HeaderChar"/>
    <w:uiPriority w:val="99"/>
    <w:semiHidden/>
    <w:unhideWhenUsed/>
    <w:rsid w:val="00E26DB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26DB8"/>
  </w:style>
  <w:style w:type="paragraph" w:styleId="Footer">
    <w:name w:val="footer"/>
    <w:basedOn w:val="Normal"/>
    <w:link w:val="FooterChar"/>
    <w:uiPriority w:val="99"/>
    <w:semiHidden/>
    <w:unhideWhenUsed/>
    <w:rsid w:val="00E26DB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E26D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2165</Words>
  <Characters>12341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Sally James</dc:creator>
  <cp:keywords/>
  <dc:description/>
  <cp:lastModifiedBy>Sally James</cp:lastModifiedBy>
  <cp:revision>2</cp:revision>
  <dcterms:created xsi:type="dcterms:W3CDTF">2025-12-12T20:03:00Z</dcterms:created>
  <dcterms:modified xsi:type="dcterms:W3CDTF">2025-12-12T20:03:00Z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c60ec36f-fb81-4de0-b119-d788dd63ea53</vt:lpwstr>
  </property>
</Properties>
</file>