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D1836F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140E7">
              <w:rPr>
                <w:b/>
                <w:color w:val="auto"/>
                <w:sz w:val="32"/>
              </w:rPr>
              <w:t>__</w:t>
            </w:r>
            <w:r w:rsidR="005A1BA3">
              <w:rPr>
                <w:b/>
                <w:color w:val="auto"/>
                <w:sz w:val="32"/>
              </w:rPr>
              <w:t>_</w:t>
            </w:r>
            <w:r w:rsidR="006140E7">
              <w:rPr>
                <w:b/>
                <w:color w:val="auto"/>
                <w:sz w:val="32"/>
              </w:rPr>
              <w:t>Christopher Jones</w:t>
            </w:r>
            <w:r w:rsidR="005A1BA3">
              <w:rPr>
                <w:b/>
                <w:color w:val="auto"/>
                <w:sz w:val="32"/>
              </w:rPr>
              <w:t>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B96B607" w:rsidR="005A1BA3" w:rsidRDefault="006140E7" w:rsidP="00340E9A">
            <w:pPr>
              <w:overflowPunct/>
              <w:autoSpaceDE/>
              <w:autoSpaceDN/>
              <w:adjustRightInd/>
              <w:ind w:right="237"/>
              <w:textAlignment w:val="auto"/>
              <w:rPr>
                <w:b/>
                <w:color w:val="auto"/>
                <w:sz w:val="32"/>
              </w:rPr>
            </w:pPr>
            <w:r>
              <w:rPr>
                <w:b/>
                <w:color w:val="auto"/>
                <w:sz w:val="32"/>
              </w:rPr>
              <w:t>________1815598</w:t>
            </w:r>
            <w:r w:rsidR="005A1BA3">
              <w:rPr>
                <w:b/>
                <w:color w:val="auto"/>
                <w:sz w:val="32"/>
              </w:rPr>
              <w:t>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3B9BEF73" w14:textId="4D5B854A" w:rsidR="008B28E7" w:rsidRDefault="008B28E7" w:rsidP="5848403C">
      <w:pPr>
        <w:ind w:right="237"/>
        <w:jc w:val="both"/>
        <w:rPr>
          <w:sz w:val="24"/>
          <w:szCs w:val="24"/>
          <w:highlight w:val="yellow"/>
        </w:rPr>
      </w:pPr>
    </w:p>
    <w:p w14:paraId="2572C327" w14:textId="77777777" w:rsidR="00BF75A9" w:rsidRPr="00270EEB" w:rsidRDefault="00BF75A9" w:rsidP="5848403C">
      <w:pPr>
        <w:ind w:right="237"/>
        <w:jc w:val="both"/>
        <w:rPr>
          <w:sz w:val="24"/>
          <w:szCs w:val="24"/>
          <w:highlight w:val="yellow"/>
        </w:rPr>
      </w:pPr>
    </w:p>
    <w:p w14:paraId="1073C960" w14:textId="0A0F73EB"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should the workbook be presented?</w:t>
      </w:r>
    </w:p>
    <w:p w14:paraId="2348424D" w14:textId="5FD4142D" w:rsidR="5848403C" w:rsidRDefault="5848403C" w:rsidP="5848403C">
      <w:pPr>
        <w:jc w:val="both"/>
        <w:rPr>
          <w:rFonts w:eastAsia="Arial"/>
          <w:color w:val="000000" w:themeColor="text1"/>
          <w:sz w:val="24"/>
          <w:szCs w:val="24"/>
        </w:rPr>
      </w:pPr>
    </w:p>
    <w:p w14:paraId="1F1F2734" w14:textId="092FCA57" w:rsidR="00B66369"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9901740" w14:textId="7DFFEEC3" w:rsidR="5848403C" w:rsidRDefault="5848403C" w:rsidP="5848403C">
      <w:pPr>
        <w:jc w:val="both"/>
        <w:rPr>
          <w:rFonts w:eastAsia="Arial"/>
          <w:color w:val="000000" w:themeColor="text1"/>
          <w:sz w:val="24"/>
          <w:szCs w:val="24"/>
        </w:rPr>
      </w:pPr>
    </w:p>
    <w:p w14:paraId="73840992" w14:textId="359B1324"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is the workbook assessed?</w:t>
      </w:r>
    </w:p>
    <w:p w14:paraId="4FFA5420" w14:textId="375CB4C4" w:rsidR="5848403C" w:rsidRDefault="5848403C" w:rsidP="5848403C">
      <w:pPr>
        <w:jc w:val="both"/>
        <w:rPr>
          <w:rFonts w:eastAsia="Arial"/>
          <w:color w:val="000000" w:themeColor="text1"/>
          <w:sz w:val="24"/>
          <w:szCs w:val="24"/>
        </w:rPr>
      </w:pPr>
    </w:p>
    <w:p w14:paraId="61D52A92" w14:textId="70DE46D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Advice and support about the completion of this workbook will be provided by university staff as part</w:t>
      </w:r>
      <w:r w:rsidR="00D951B9">
        <w:rPr>
          <w:rFonts w:eastAsia="Arial"/>
          <w:color w:val="000000" w:themeColor="text1"/>
          <w:sz w:val="24"/>
          <w:szCs w:val="24"/>
        </w:rPr>
        <w:t xml:space="preserve"> of your initial training day. </w:t>
      </w:r>
      <w:r w:rsidRPr="5848403C">
        <w:rPr>
          <w:rFonts w:eastAsia="Arial"/>
          <w:color w:val="000000" w:themeColor="text1"/>
          <w:sz w:val="24"/>
          <w:szCs w:val="24"/>
        </w:rPr>
        <w:t xml:space="preserve">Your tutor constable and in-force training staff will not be involved in assessing or marking your workbook after it has been submitted. </w:t>
      </w:r>
    </w:p>
    <w:p w14:paraId="21A96553" w14:textId="2952EB29" w:rsidR="5848403C" w:rsidRDefault="5848403C" w:rsidP="5848403C">
      <w:pPr>
        <w:jc w:val="both"/>
        <w:rPr>
          <w:rFonts w:eastAsia="Arial"/>
          <w:color w:val="000000" w:themeColor="text1"/>
          <w:sz w:val="24"/>
          <w:szCs w:val="24"/>
        </w:rPr>
      </w:pPr>
    </w:p>
    <w:p w14:paraId="781ACD54" w14:textId="35724F4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Dates of workbook submission will be made available during the initial training day and posted on Moodle.</w:t>
      </w:r>
    </w:p>
    <w:p w14:paraId="61051D5F" w14:textId="501332F6" w:rsidR="5848403C" w:rsidRDefault="5848403C" w:rsidP="5848403C">
      <w:pPr>
        <w:jc w:val="both"/>
        <w:rPr>
          <w:rFonts w:eastAsia="Arial"/>
          <w:color w:val="000000" w:themeColor="text1"/>
          <w:sz w:val="24"/>
          <w:szCs w:val="24"/>
        </w:rPr>
      </w:pPr>
    </w:p>
    <w:p w14:paraId="77A8A7A3" w14:textId="22149CC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Once submitted your workbook will be assessed and marked independently.</w:t>
      </w:r>
    </w:p>
    <w:p w14:paraId="62D7F2AE" w14:textId="66D8CE3D" w:rsidR="5848403C" w:rsidRDefault="5848403C" w:rsidP="5848403C">
      <w:pPr>
        <w:jc w:val="both"/>
        <w:rPr>
          <w:rFonts w:eastAsia="Arial"/>
          <w:color w:val="000000" w:themeColor="text1"/>
          <w:sz w:val="24"/>
          <w:szCs w:val="24"/>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7C1412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For this task I will be reflecting on the coping strategies I have applied to develop resilience and minimise stress while adapting to the role of constable during my tutorship period. </w:t>
      </w:r>
    </w:p>
    <w:p w14:paraId="0BECDD58"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Firstly, I will look at the definition of ‘resilience’. </w:t>
      </w:r>
    </w:p>
    <w:p w14:paraId="18F43597"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i/>
          <w:color w:val="auto"/>
          <w:sz w:val="22"/>
          <w:szCs w:val="22"/>
          <w:lang w:eastAsia="en-US"/>
        </w:rPr>
        <w:t>‘Resilience is how well a person can adapt to the events in their life. A person with good resilience has the ability to bounce back more quickly and with less stress than someone whose resilience is less developed.’ (COHEN, Harold P.H.D. 2018)</w:t>
      </w:r>
    </w:p>
    <w:p w14:paraId="6BB8934E"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A Police Constable (PC) is a role that varies day by day and there is no telling what type of situations a PC may find him/herself in at any time. From analysing Cohen’s definition of resilience, one can see why it is important to have a good level of resilience in this role. Some of the incidents that a PC can find themselves in can be traumatic due to their nature and can have negative effects on their well-being.</w:t>
      </w:r>
    </w:p>
    <w:p w14:paraId="22F8130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1FF62A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i/>
          <w:color w:val="auto"/>
          <w:sz w:val="22"/>
          <w:szCs w:val="22"/>
          <w:lang w:eastAsia="en-US"/>
        </w:rPr>
        <w:t>‘Multiple traumas or repeatedly being exposed to life-threatening events can have a further impact on your body and mind. Parts of the brain can become sensitized, causing you to be on high alert and to perceive threats all around, leaving you jumpy and anxious.</w:t>
      </w:r>
      <w:r w:rsidRPr="006140E7">
        <w:rPr>
          <w:rFonts w:ascii="Calibri" w:eastAsia="Calibri" w:hAnsi="Calibri" w:cs="Times New Roman"/>
          <w:i/>
          <w:color w:val="auto"/>
          <w:sz w:val="22"/>
          <w:szCs w:val="22"/>
          <w:lang w:eastAsia="en-US"/>
        </w:rPr>
        <w:br/>
        <w:t>Other parts of the brain associated with memory can actually shrink, making it difficult to consolidate and form new memories.  Prolonged stress can affect the development of a number of health issues, including diabetes, obesity and hypertension.’ (Matta, MA 2018)</w:t>
      </w:r>
    </w:p>
    <w:p w14:paraId="5D77F8A8"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E8B1F0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During my tutorship period, I have personally dealt with incidents and situations in which my resilience has been tested in order to deal with trauma. To name a few, I have dealt with the sudden death of a young person, been the first on scene at a road traffic collision, and on one occasion, I have been subjected to an assault whilst on duty. </w:t>
      </w:r>
    </w:p>
    <w:p w14:paraId="1A31E26D"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br/>
        <w:t xml:space="preserve">When faced with an incident that may have tested my resilience, I would use the coping strategy of talking to my new colleagues in order to gain insight on how they have dealt with similar situations. Also, by using this coping strategy I have bonded closely with the other Police Officers on my shift. </w:t>
      </w:r>
      <w:r w:rsidRPr="006140E7">
        <w:rPr>
          <w:rFonts w:ascii="Calibri" w:eastAsia="Calibri" w:hAnsi="Calibri" w:cs="Times New Roman"/>
          <w:color w:val="auto"/>
          <w:sz w:val="22"/>
          <w:szCs w:val="22"/>
          <w:lang w:eastAsia="en-US"/>
        </w:rPr>
        <w:lastRenderedPageBreak/>
        <w:t xml:space="preserve">As a group we regularly reflect on incidents that have taken place and this allows us to vent our feelings and emotions together. I find this coping strategy necessary as it allows myself to vent rather than bottle up emotions. </w:t>
      </w:r>
    </w:p>
    <w:p w14:paraId="06C840C0"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B68AE5C"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Another coping strategy that I have used over the duration of my tutorship period was that of practising mindfulness and yoga during my rest days or when I could find time between shifts. I found it extremely beneficial in reducing any anxiety, negative thoughts and stress that I may have picked up and brought home from work. Not only have I felt the benefits mentally from this coping strategy, but I also feel better physically while carrying out my daily duties as a PC. </w:t>
      </w:r>
    </w:p>
    <w:p w14:paraId="09F5EA7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A31D34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color w:val="auto"/>
          <w:sz w:val="22"/>
          <w:szCs w:val="22"/>
          <w:lang w:eastAsia="en-US"/>
        </w:rPr>
        <w:t>The webpage ‘Exercise Mindfulness’ notes that ‘</w:t>
      </w:r>
      <w:r w:rsidRPr="006140E7">
        <w:rPr>
          <w:rFonts w:ascii="Calibri" w:eastAsia="Calibri" w:hAnsi="Calibri" w:cs="Times New Roman"/>
          <w:i/>
          <w:color w:val="auto"/>
          <w:sz w:val="22"/>
          <w:szCs w:val="22"/>
          <w:lang w:eastAsia="en-US"/>
        </w:rPr>
        <w:t xml:space="preserve">Mindfulness enables us to change our relationship with our thoughts and feelings and respond to our experiences, whether pleasant or unpleasant, in a skilful and helpful way. Effectively managing physical and mental stress, anxiety and low mood gracefully.  Enabling us to live life with balance.’ (Exercise Mindfulness 2018) </w:t>
      </w:r>
    </w:p>
    <w:p w14:paraId="2482BC5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p>
    <w:p w14:paraId="467FE08C"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Exposure to traumatic and high risk incidents for the first time has of course had an effect on me. However I feel I have coped with my emotions and demonstrated resilience to a high standard, which would be expected of me by my employer. I have not allowed the trauma of any one particular incident hinder my performance when going to the next one and will continue to utilize the coping strategies I have outlined above going forward in my role as a PC.</w:t>
      </w:r>
    </w:p>
    <w:p w14:paraId="32D6224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BED6883"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color w:val="auto"/>
          <w:sz w:val="22"/>
          <w:szCs w:val="22"/>
          <w:lang w:eastAsia="en-US"/>
        </w:rPr>
        <w:t>Word Count - 625</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DAEA19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For this task I will describe a policing incident in which I played a role with a victim and reflect on what happened. I will review the communication methods used and how effective they were and explain my considerations in relation to vulnerability. I will also detail my responsibilities for safeguarding the persons involved to reduce risk from situational or environmental factors. </w:t>
      </w:r>
    </w:p>
    <w:p w14:paraId="6F79771D"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1DB9743"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I was on duty with my colleague in the Blaenymaes area of Swansea and we were requested by the control room to attend a call relating to a suspected domestic disturbance that had taken place. The call originated from a concerned third party who described that she had heard lots of shouting, screaming and banging from the adjoining property. We were also informed that there were two young children at the property.  My colleague and I attended promptly. While on route to the address I was considering the THRIVE model which allows officers to make a risk assessment based on Threat, Harm, Risk, Investigation, Vulnerability and Engagement. I used this model to determine </w:t>
      </w:r>
      <w:r w:rsidRPr="006140E7">
        <w:rPr>
          <w:rFonts w:ascii="Calibri" w:eastAsia="Calibri" w:hAnsi="Calibri" w:cs="Times New Roman"/>
          <w:color w:val="auto"/>
          <w:sz w:val="22"/>
          <w:szCs w:val="22"/>
          <w:lang w:eastAsia="en-US"/>
        </w:rPr>
        <w:lastRenderedPageBreak/>
        <w:t xml:space="preserve">that this could possibly a high risk incident given the limited detail that we had already received from the control room. </w:t>
      </w:r>
    </w:p>
    <w:p w14:paraId="0046A568"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14445D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Upon arrival at the address we were met by a female on crutches, stood at the front door that was clearly upset. I activated my body-worn camera as per force policy to capture any potential disclosure / evidence that may present itself. The female was crying and holding the side of her face. The female was adamant that nothing had happened and that she wanted us to leave. I assured her that we had a duty of care and that we would not be looking to leave until we had established what had happened and that there were no concerns for her safety. We proceeded through to the living room of the house where it was clear a disturbance had taken place. There were smashed pictures and mirrors on the wall, a destroyed coffee table and damaged television. I once again explained to the female that it was obvious something has happened and that we needed to get to the bottom of it. The female was still hesitant to trust us as officers and was evasive in her answers. </w:t>
      </w:r>
    </w:p>
    <w:p w14:paraId="2339539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I searched around the rest of the house for the children that were present and thankfully found them safe and well in their bedroom, however there was no other person present at the time. </w:t>
      </w:r>
    </w:p>
    <w:p w14:paraId="69493022"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I asked the female to sit down and I crouched down to her level to demonstrate that I posed no threat to her, I found this communication skill highly effective as the female began to open up and gave us insight as to what had happened.</w:t>
      </w:r>
    </w:p>
    <w:p w14:paraId="37C8657D"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The female removed her hand from her face, showing us fresh bruising and swelling underneath her left eye. I asked her again in a soft tone; ‘What’s happened?’ </w:t>
      </w:r>
    </w:p>
    <w:p w14:paraId="1DEA3DC9"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The female disclosed that her ex-partner had attended the address and wanted to see the children, however due to him being under the influence of drugs, it was not appropriate.</w:t>
      </w:r>
    </w:p>
    <w:p w14:paraId="3E510589"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The pair got into a verbal argument before he started to smash the living room up and then punched her to the eye during her attempt to restrain him. The male had left prior to police attendance.</w:t>
      </w:r>
    </w:p>
    <w:p w14:paraId="454E377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To record the disclosure I illustrated a comprehensive entry onto my electronic pocket notebook.  </w:t>
      </w:r>
    </w:p>
    <w:p w14:paraId="64B333F0"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Continuing to use the verbal and non-verbal communication skills of speaking in soft tones and open body language I asked the female if she would be willing to provide a statement in relation to this incident. Though reluctant, she did agree that it was the best thing to do and was happy to provide a statement. I also asked the female if she would be willing for me to take photographs of her injuries, to which she agreed. </w:t>
      </w:r>
    </w:p>
    <w:p w14:paraId="49DC5840"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When obtaining the statement from the female, I adopted the approach of using open questions, in order to gain as much detail as possible from a person who was already proving to be evasive when questioned. This approach presented the female with an opportunity to give free narrative and possibly add key details to the statement. I listened carefully to the answers the female was providing and used non-verbal communication skills such as nodding to demonstrate this to the female. The female went on to detail a history of abuse from her ex-partner, which again highlighted my concerns for her vulnerability. </w:t>
      </w:r>
    </w:p>
    <w:p w14:paraId="253275D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Once I had obtained the statement I explained the procedures we as the police have in place in order to support vulnerable people and victims of crime. I explained the process fully of a Public Protection Notification report which is a document that we create to alert partner agencies to the events that have happened, and by working together, can play a part in providing support. I then completed a Domestic and Stalking Harassment questionnaire with the female to establish risk.</w:t>
      </w:r>
    </w:p>
    <w:p w14:paraId="1BDF130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lastRenderedPageBreak/>
        <w:t>Due to the nature of this particular incident and the history of abuse disclosed to us during our attendance, the questionnaire deemed this as high risk. The female engaged very positively to this and welcomed all the support we could offer. I then completed a victim focus referral form in order to offer the female further support.</w:t>
      </w:r>
    </w:p>
    <w:p w14:paraId="57EA5C58"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In regards to safeguarding we advised the female to stay at a friend’s address to allow for comfort and safety in-case the male returned to the address.  We then conveyed the female and her young children to a friend’s address and proceeded to conduct arrest enquiries for the male. </w:t>
      </w:r>
    </w:p>
    <w:p w14:paraId="54E5838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3F3603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I personally felt that this female was vulnerable given that she was the sole primary carer of two young children and while faced with a physical disability, was subjected to an assault and criminal damage from a drug fuelled ex-partner. </w:t>
      </w:r>
    </w:p>
    <w:p w14:paraId="2ABE916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color w:val="auto"/>
          <w:sz w:val="22"/>
          <w:szCs w:val="22"/>
          <w:lang w:eastAsia="en-US"/>
        </w:rPr>
        <w:t xml:space="preserve">Though not only was the female in this incident vulnerable, but her two young children were too. Even though the children seemed to be safe and well on our attendance, exposure to these kind of incidents as young children can develop into Adverse Childhood Experiences (ACE’s). Centers for Disease Control and Prevention notes </w:t>
      </w:r>
      <w:r w:rsidRPr="006140E7">
        <w:rPr>
          <w:rFonts w:ascii="Calibri" w:eastAsia="Calibri" w:hAnsi="Calibri" w:cs="Times New Roman"/>
          <w:i/>
          <w:color w:val="auto"/>
          <w:sz w:val="22"/>
          <w:szCs w:val="22"/>
          <w:lang w:eastAsia="en-US"/>
        </w:rPr>
        <w:t xml:space="preserve">that adverse childhood experiences, are potentially traumatic events that occur in childhood (0-17 years).  ACEs are linked to chronic health problems, mental illness, and substance misuse in adulthood. ACEs can also negatively impact education and job opportunities. (Centres for Disease Control and Prevention, 2019) </w:t>
      </w:r>
    </w:p>
    <w:p w14:paraId="6BDC95B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I would like to introduce what the college of policing defines as a ‘vulnerable person’. </w:t>
      </w:r>
    </w:p>
    <w:p w14:paraId="0869BA39"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i/>
          <w:color w:val="auto"/>
          <w:sz w:val="22"/>
          <w:szCs w:val="22"/>
          <w:lang w:eastAsia="en-US"/>
        </w:rPr>
        <w:t>‘’A person is vulnerable if, as a result of their situation or circumstances, they are unable to take care of or protect themselves or others from harm or exploitation.’’ (College of Policing, 2020)</w:t>
      </w:r>
    </w:p>
    <w:p w14:paraId="5B19DDA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Having considered the above definition, I deem it appropriate that the female and her two children were indeed ‘vulnerable’. </w:t>
      </w:r>
    </w:p>
    <w:p w14:paraId="0A59D579"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In review, I find it extremely important that vulnerability is appropriately recognised and that through close partnership work with outside agencies, support and safeguarding can be conducted for all parties involved.</w:t>
      </w:r>
    </w:p>
    <w:p w14:paraId="335F2919"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Using Gibbs’ Model for reflection 1988 I will now reflect on my feelings and performance in relation to this incident.</w:t>
      </w:r>
    </w:p>
    <w:p w14:paraId="64B8690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During the incident I felt that I was dealing with a more complex issue than solely an assault or criminal damage. I felt that there was a lot to consider, such as the domestic element, the vulnerability of the female with the disability, the two young children and the mention of drug abuse from their father.</w:t>
      </w:r>
    </w:p>
    <w:p w14:paraId="11A19C7E"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On evaluation, I felt that I acted appropriately and through my use of communication skills and demeanour, convinced a reluctant and intimidated victim of crime to provide us as the police an account of what had happened and also obtained the relevant details for partnership agency referrals to be made, while prioritising safeguarding. </w:t>
      </w:r>
    </w:p>
    <w:p w14:paraId="7FFD3FAC"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If I could have changed anything, I would perhaps have maintained an open mind in relation to the fact that not everybody likes the police nor wants to receive help. I have found there seems to be a culture of distrust in the police from the eyes of the public that live in the particular area this incident happened in and people can be evasive and dismissive of police. It can be frustrating at times to be called to an incident where the victim isn’t engaging or helpful in the progress of an </w:t>
      </w:r>
      <w:r w:rsidRPr="006140E7">
        <w:rPr>
          <w:rFonts w:ascii="Calibri" w:eastAsia="Calibri" w:hAnsi="Calibri" w:cs="Times New Roman"/>
          <w:color w:val="auto"/>
          <w:sz w:val="22"/>
          <w:szCs w:val="22"/>
          <w:lang w:eastAsia="en-US"/>
        </w:rPr>
        <w:lastRenderedPageBreak/>
        <w:t xml:space="preserve">investigation. It’s my belief that in order to gain the trust from individuals with these types of views of the police, we need to be shown to do all we can in regards to investigating allegations and providing help and support to all those who are in need. However, I feel that during this incident I demonstrated understanding in diversity by respecting the views of the female in regard to having a distrust of the police and also her right to have the freedom of opinion and expression without interference. </w:t>
      </w:r>
    </w:p>
    <w:p w14:paraId="3180A8A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FD2587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On analysis, the injury to the face of the female and the smashed up living room, does indicate that a disturbance had taken place. The female’s account as to what happened was detailed and impactful and added high importance to the investigation. Hopefully, the female engaged fully with the support offered to her by the relevant agencies. </w:t>
      </w:r>
    </w:p>
    <w:p w14:paraId="3399CD77"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E6C1317"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To conclude, I feel that my colleague and I did everything in our power to assist the investigation and safeguarding of the female during our attendance in accordance of the policing code of practise. I feel even though the female did not want help initially, I respected her views though had the ethical obligation to do what was right for her by investigating the matter thoroughly. </w:t>
      </w:r>
    </w:p>
    <w:p w14:paraId="0325306D"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 Though if I am faced with a similar situation in future involving vulnerable children, I would make the Adverse Childhood Experience (ACE’s) coordinator for the Force aware of the incident to offer further support to those involved post incident. </w:t>
      </w:r>
    </w:p>
    <w:p w14:paraId="44BF7B9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0F65B2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Word Count - 1639</w:t>
      </w:r>
    </w:p>
    <w:p w14:paraId="0614CB1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54154C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For this task I will be describing an incident in which I was the interviewing officer. I will then go on to outline my considerations when planning and preparing for the interview and explain and reflect on the responsibilities I demonstrated during the interview process. Finally I will evaluate my performance in the interview and its effectiveness in the investigation. </w:t>
      </w:r>
    </w:p>
    <w:p w14:paraId="065D9F60"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0B7D3E1"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I was the interviewing officer for an incident that took place outside a bingo hall in Swansea that related to a domestic related assault between a father and daughter. The father and daughter had been drinking alcohol at the bingo hall for most of the afternoon and were starting to argue before they both left together. While the pair were walking home their argument got physical and the father gripped his daughter by the throat while shouting at her. He then pushed his daughter causing her to fall to the ground. The father proceeded to kick his daughter while she was on the ground. The father then left his daughter in the street and went home. </w:t>
      </w:r>
    </w:p>
    <w:p w14:paraId="37484CC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Once the daughter arrived home, she phoned the police and explained what happened. Police officers then attended the address of the daughter where she made a complaint of assault against her father and produced a statement to this effect. </w:t>
      </w:r>
    </w:p>
    <w:p w14:paraId="6BB7748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lastRenderedPageBreak/>
        <w:t xml:space="preserve">The father was subsequently arrested at his home address nearby for the offence of Assault Occasioning Actual Bodily Harm, covered under section 47 of the Offences Against The Persons Act 1861.  </w:t>
      </w:r>
    </w:p>
    <w:p w14:paraId="77FDEB8E"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3428D50"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For the rest of this task, I will now refer to the father as ‘detained person’ or ‘DP’. </w:t>
      </w:r>
    </w:p>
    <w:p w14:paraId="0B34111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I was made aware of this incident when I arrived at work to a hand-on package on my desk, which explained the events that took place and detailed the outstanding actions that needed to be completed in order to progress the investigation and that I also needed to interview the detained person.</w:t>
      </w:r>
    </w:p>
    <w:p w14:paraId="6780E08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color w:val="auto"/>
          <w:sz w:val="22"/>
          <w:szCs w:val="22"/>
          <w:lang w:eastAsia="en-US"/>
        </w:rPr>
        <w:t>Blackstone’s Handbook for Policing Students notes that ‘</w:t>
      </w:r>
      <w:r w:rsidRPr="006140E7">
        <w:rPr>
          <w:rFonts w:ascii="Calibri" w:eastAsia="Calibri" w:hAnsi="Calibri" w:cs="Times New Roman"/>
          <w:i/>
          <w:color w:val="auto"/>
          <w:sz w:val="22"/>
          <w:szCs w:val="22"/>
          <w:lang w:eastAsia="en-US"/>
        </w:rPr>
        <w:t>the aim of the investigative interview is to establish a detailed explanation (an account), and to compare it to the material facts that have been established from witness(es) or other evidential sources such as CCTV or forensics.’ (Bryant S &amp; Bryant R 2019 p553)</w:t>
      </w:r>
    </w:p>
    <w:p w14:paraId="5632327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In order to plan and prepare for the interview of the detained person I would firstly need to make efforts to gather evidence. I needed to conduct further enquiries in relation to CCTV at the bingo hall that may have captured the assault. I also needed to conduct house to house enquires to ascertain if there were any potential witnesses and if they would be willing to provide a statement or if they had anything of evidential value to add to the investigation. Finally I attended the victim’s address to photograph her injuries. </w:t>
      </w:r>
    </w:p>
    <w:p w14:paraId="5EC8065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Once the gathering of evidence was complete, I began to prepare a written interview plan and prepare the physical exhibits ready for the interview. I carefully and thoughtfully constructed questions to put to the DP during the interview. When considering my questions I wanted to focus on the objectives of obtaining a detailed explanation from the DP allowing me to compare it with the other material facts and evidence gathered. I also kept in mind the points to prove for the offence for which the DP was arrested for, in order to construct relevant questions. I followed the approach of using open questions such as ‘Tell me… Explain to me… Describe to me’. This approach would allow for the DP to give a free narrative and possibly fill any gaps in the investigative and evidential knowledge. Depending on how the DP would answer my questions, I then planned to ask another open question, following the ‘5WH’ approach; (Who? What? When? Where? Why? How?). </w:t>
      </w:r>
    </w:p>
    <w:p w14:paraId="3AA8B131"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To prepare for any contingencies that may occur, such as a ‘no comment’ interview, I kept in mind the objectives and points to prove and constructed closed questions for this possibility.</w:t>
      </w:r>
    </w:p>
    <w:p w14:paraId="74A2805C"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Prior to the interview I build rapport with the DP and treated him with respect. I also build rapport with the solicitor while giving her a written briefing abiding by Code C of the Police and Criminal Evidence Act. </w:t>
      </w:r>
    </w:p>
    <w:p w14:paraId="19234847"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‘The Police and Criminal Evidence Act, Code C 2019 sets out the requirements for the detention, treatment and questioning of suspects not related to terrorism in police custody by police officers.’ (Home Office 2019) </w:t>
      </w:r>
    </w:p>
    <w:p w14:paraId="79989332"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D53E956"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 At the beginning of the interview, I engaged with the DP and identified myself, the location and explained the DP’s rights to him during this phase. I explained how the interview was being audio and visually recorded and pointed out the cameras in the room to the DP. The DP was then cautioned, to which I then explained and checked for comprehension.</w:t>
      </w:r>
    </w:p>
    <w:p w14:paraId="472B71F7"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lastRenderedPageBreak/>
        <w:t xml:space="preserve">I also outlined the objectives of the interview and that it was to allow the DP to give his side of the story and stressed the importance on the amount of detail given. During this phase of the interview, I checked that the DP understood everything that I had said to him.  </w:t>
      </w:r>
      <w:r w:rsidRPr="006140E7">
        <w:rPr>
          <w:rFonts w:ascii="Calibri" w:eastAsia="Calibri" w:hAnsi="Calibri" w:cs="Times New Roman"/>
          <w:color w:val="auto"/>
          <w:sz w:val="22"/>
          <w:szCs w:val="22"/>
          <w:lang w:eastAsia="en-US"/>
        </w:rPr>
        <w:br/>
        <w:t>The expectations of the interview were also given to the DP to establish clear communication between myself and the DP in order to avoid any interruptions.</w:t>
      </w:r>
    </w:p>
    <w:p w14:paraId="68BFF5F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During the interview I asked the questions in which I had prepared and obtained an account from the DP. He claimed that he was acting in self-defence and that his daughter had assaulted him. The DP was further questioned on how he felt justified in using an excessive use of force against his daughter and that his actions may have resulted in severe injuries. I used this topic during interview to present the DP with the photographs of the injuries and began a ‘challenge phase’. When questioned on the exhibits, the DP became very defensive and irate.  The DP then aggressively began to shout at me during interview to which I responded with a question regarding his temper. The DP then wanted the interview paused. I paused the interview and allowed the DP to have further consultation from his solicitor. </w:t>
      </w:r>
    </w:p>
    <w:p w14:paraId="274BA10E"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Once the DP and solicitor were happy to continue, I then resumed interview and asked the DP to confirm that he and myself had not discussed the incident during the break. The DP was then reminded that he was still under caution and that we would now resume the interview. I then questioned the DP further however he began to answer all of my open questions with ‘No comment’. Thankfully, I had prepared for this contingency and had my closed question sheet to hand, from which I then questioned the DP.</w:t>
      </w:r>
    </w:p>
    <w:p w14:paraId="1B6E62E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To end the interview I asked if there was anything that the DP would like to add or clarify in relation to the incident to which he replied no.  I then concluded the interview and outlined the next steps to the DP before he was returned to his cell. </w:t>
      </w:r>
    </w:p>
    <w:p w14:paraId="74D47F4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Once the DP had returned to his cell, I then recorded a summary of what was said during interview on his arrest record and also illustrated an MG15 form and caused a record of transcribed interview to be produced. </w:t>
      </w:r>
    </w:p>
    <w:p w14:paraId="17236DFC"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53F1006"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To reflect on the incident that I have described I am going to follow Gibbs’ Model of Reflection 1988. </w:t>
      </w:r>
    </w:p>
    <w:p w14:paraId="1F5687D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During the whole process of planning, preparing and executing the interview, I felt confident and capable of handling the procedure. I carefully chose my questions while covering the points to prove and meeting the objectives of the interview. I couldn’t help but think when I was conducting the interview that the DP was being evasive of my questions by the way he was avoiding eye contact when I was asking him about the incident in question. I adopted other non-verbal communication skills when speaking to the DP such as nodding to demonstrate I was listening attentively to what he was saying which I felt helped the flow of conversation during interview. </w:t>
      </w:r>
    </w:p>
    <w:p w14:paraId="55A68F95"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At times I would say ‘yes’ or mutter ‘mhm’ to let the DP know I understood the points he was making. I would avoid doing this again as at the time, I was unaware that when a record of transcribed interview is produced, it picks up every word said during interview and may be seen as me being in agreement with the DP. </w:t>
      </w:r>
    </w:p>
    <w:p w14:paraId="71DF3BB7"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Upon analysis I feel that the interview provided the investigation with an impactful result, leading to the charge of assault against the DP. I feel that had I not spent the time carefully planning my questions and preparing for the interview, certain aspects and points to prove may have been missed leading to a different result. </w:t>
      </w:r>
    </w:p>
    <w:p w14:paraId="1C02CD99"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lastRenderedPageBreak/>
        <w:t xml:space="preserve">In conclusion I believe that I acted appropriately throughout and conducted an effective interview while abiding by code C of PACE. However if I could have done anything differently, I would make a conscious effort to focus on non-verbal communication skills rather than to vocally show understanding of what points the DP was making. </w:t>
      </w:r>
    </w:p>
    <w:p w14:paraId="329632A3"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I feel that I have learnt a great deal from this interview in regards to the importance of planning and preparation can lead to an effective and impactful interview.</w:t>
      </w:r>
    </w:p>
    <w:p w14:paraId="472158B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554C1C9"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Word Count - 1518</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B1EF156"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br/>
        <w:t xml:space="preserve">For this task I will be describing a policing incident that I was involved with and reflect upon what happened. I will be making considerations on how anti-social behaviour impacted on the local community and what constitutes effective and appropriate police action. I will then outline my responsibilities when responding to anti-social behaviour, including enforcement, prevention activity and partnership activity. Finally, I will reflect upon aspects of problem solving, evidence based policing, decision making and discretion which may impact upon wider police community relations while considering my experiences to date. </w:t>
      </w:r>
    </w:p>
    <w:p w14:paraId="6D1D6534"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1BC06A90"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I had just began my tour of duty one afternoon and was catching up with my colleagues at the beginning of a shift over a coffee when I received a call from the police control room relating to a disturbance on a nearby street. The call originated from a Police Community Support Officer (PCSO), stating that a male known to her had climbed the roof of a building on the street and was shouting obscenities at her and other members of the public. Other members of the public were annoyed, intimidated and upset over what they were being subjected to, and local businesses were angry that they were losing potential custom over this male’s behaviour. </w:t>
      </w:r>
    </w:p>
    <w:p w14:paraId="3FC4D4BA"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My Sargent and I attended the call promptly via police vehicle. As we both arrived on scene, we were passed further information on the males warning markers and were also informed that his presence in the locality was a breach of his Criminal Behaviour Order (CBO). </w:t>
      </w:r>
    </w:p>
    <w:p w14:paraId="7D21C92B"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142F8284" w14:textId="77777777" w:rsidR="006140E7" w:rsidRPr="006140E7" w:rsidRDefault="006140E7" w:rsidP="006140E7">
      <w:pPr>
        <w:overflowPunct/>
        <w:autoSpaceDE/>
        <w:autoSpaceDN/>
        <w:adjustRightInd/>
        <w:spacing w:after="160" w:line="259" w:lineRule="auto"/>
        <w:textAlignment w:val="auto"/>
        <w:rPr>
          <w:rFonts w:ascii="Calibri" w:hAnsi="Calibri" w:cs="Times New Roman"/>
          <w:i/>
          <w:color w:val="auto"/>
          <w:sz w:val="22"/>
          <w:szCs w:val="22"/>
          <w:lang w:eastAsia="en-US"/>
        </w:rPr>
      </w:pPr>
      <w:r w:rsidRPr="006140E7">
        <w:rPr>
          <w:rFonts w:ascii="Calibri" w:hAnsi="Calibri" w:cs="Times New Roman"/>
          <w:color w:val="auto"/>
          <w:sz w:val="22"/>
          <w:szCs w:val="22"/>
          <w:lang w:eastAsia="en-US"/>
        </w:rPr>
        <w:t xml:space="preserve">Blackstone’s Handbook for Policing Students notes that </w:t>
      </w:r>
      <w:r w:rsidRPr="006140E7">
        <w:rPr>
          <w:rFonts w:ascii="Calibri" w:hAnsi="Calibri" w:cs="Times New Roman"/>
          <w:i/>
          <w:color w:val="auto"/>
          <w:sz w:val="22"/>
          <w:szCs w:val="22"/>
          <w:lang w:eastAsia="en-US"/>
        </w:rPr>
        <w:t>Criminal Behaviour Orders (CBOs) were introduced to deal with the most persistently anti-social individuals who engage in criminal activity.</w:t>
      </w:r>
      <w:r w:rsidRPr="006140E7">
        <w:rPr>
          <w:rFonts w:ascii="Calibri" w:hAnsi="Calibri" w:cs="Times New Roman"/>
          <w:i/>
          <w:color w:val="auto"/>
          <w:sz w:val="22"/>
          <w:szCs w:val="22"/>
          <w:lang w:eastAsia="en-US"/>
        </w:rPr>
        <w:br/>
      </w:r>
      <w:r w:rsidRPr="006140E7">
        <w:rPr>
          <w:rFonts w:ascii="Calibri" w:hAnsi="Calibri" w:cs="Times New Roman"/>
          <w:color w:val="auto"/>
          <w:sz w:val="22"/>
          <w:szCs w:val="22"/>
          <w:lang w:eastAsia="en-US"/>
        </w:rPr>
        <w:t xml:space="preserve">It also notes that – </w:t>
      </w:r>
      <w:r w:rsidRPr="006140E7">
        <w:rPr>
          <w:rFonts w:ascii="Calibri" w:hAnsi="Calibri" w:cs="Times New Roman"/>
          <w:i/>
          <w:color w:val="auto"/>
          <w:sz w:val="22"/>
          <w:szCs w:val="22"/>
          <w:lang w:eastAsia="en-US"/>
        </w:rPr>
        <w:t xml:space="preserve">Breaching a CBO is a criminal offence, so the breach must be proved beyond reasonable doubt. On summary conviction the penalty is up to six months’ imprisonment or a fine or both and, on indictment, up to five years’ imprisonment or a fine or both. (Bryant R &amp; Bryant S, p302 2019) </w:t>
      </w:r>
    </w:p>
    <w:p w14:paraId="7DAEBA39" w14:textId="77777777" w:rsidR="006140E7" w:rsidRPr="006140E7" w:rsidRDefault="006140E7" w:rsidP="006140E7">
      <w:pPr>
        <w:overflowPunct/>
        <w:autoSpaceDE/>
        <w:autoSpaceDN/>
        <w:adjustRightInd/>
        <w:spacing w:after="160" w:line="259" w:lineRule="auto"/>
        <w:textAlignment w:val="auto"/>
        <w:rPr>
          <w:rFonts w:ascii="Calibri" w:hAnsi="Calibri" w:cs="Times New Roman"/>
          <w:i/>
          <w:color w:val="auto"/>
          <w:sz w:val="22"/>
          <w:szCs w:val="22"/>
          <w:lang w:eastAsia="en-US"/>
        </w:rPr>
      </w:pPr>
    </w:p>
    <w:p w14:paraId="332B065B"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br/>
        <w:t xml:space="preserve">Having spoken to the PSCO, she informed us that the male had ran away when he’d heard the police sirens, however she passed us his description. </w:t>
      </w:r>
    </w:p>
    <w:p w14:paraId="149FAF65"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We proceeded to conduct an area search on foot for the male in the vicinity of the initial incident however this was proving to be fruitless at this time. There were many other teenagers in the area who were associated with the male but weren’t willing to provide any information as to where he had gone. </w:t>
      </w:r>
    </w:p>
    <w:p w14:paraId="4D188377"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As we had a negative result in locating the male at this stage, we made the decision to return to our police vehicle and return to the station. We began our journey, then as if from nowhere, the male ran out in front of us. He stopped, looked directly at us, and then ran away. We both got out of the vehicle and chased the male on foot, while giving clear instruction for him to stop running. </w:t>
      </w:r>
    </w:p>
    <w:p w14:paraId="40785AE6"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While chasing the male, I was considering which offences I would be arresting the male for. I made the decision that I would arrest him for breaching his CBO, and also for Section 5 Public Order.</w:t>
      </w:r>
    </w:p>
    <w:p w14:paraId="64440E42"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21E3D89D" w14:textId="77777777" w:rsidR="006140E7" w:rsidRPr="006140E7" w:rsidRDefault="006140E7" w:rsidP="006140E7">
      <w:pPr>
        <w:overflowPunct/>
        <w:autoSpaceDE/>
        <w:autoSpaceDN/>
        <w:adjustRightInd/>
        <w:spacing w:after="160" w:line="259" w:lineRule="auto"/>
        <w:textAlignment w:val="auto"/>
        <w:rPr>
          <w:rFonts w:ascii="Calibri" w:hAnsi="Calibri" w:cs="Times New Roman"/>
          <w:i/>
          <w:color w:val="auto"/>
          <w:sz w:val="22"/>
          <w:szCs w:val="22"/>
          <w:lang w:eastAsia="en-US"/>
        </w:rPr>
      </w:pPr>
      <w:r w:rsidRPr="006140E7">
        <w:rPr>
          <w:rFonts w:ascii="Calibri" w:hAnsi="Calibri" w:cs="Times New Roman"/>
          <w:color w:val="auto"/>
          <w:sz w:val="22"/>
          <w:szCs w:val="22"/>
          <w:lang w:eastAsia="en-US"/>
        </w:rPr>
        <w:t>Section 5 Public Order 1986 -</w:t>
      </w:r>
      <w:r w:rsidRPr="006140E7">
        <w:rPr>
          <w:rFonts w:ascii="Calibri" w:hAnsi="Calibri" w:cs="Times New Roman"/>
          <w:i/>
          <w:color w:val="auto"/>
          <w:sz w:val="22"/>
          <w:szCs w:val="22"/>
          <w:lang w:eastAsia="en-US"/>
        </w:rPr>
        <w:t xml:space="preserve">a person is guilty of an offence if he uses threatening or abusive words or behaviour, or disorderly behaviour, or displays any writing, sign or other visible representation which is threatening, within the hearing or sight of a person likely to be caused harassment, alarm or distress thereby. (Public Order Act 1986) </w:t>
      </w:r>
    </w:p>
    <w:p w14:paraId="3CF9C252" w14:textId="77777777" w:rsidR="006140E7" w:rsidRPr="006140E7" w:rsidRDefault="006140E7" w:rsidP="006140E7">
      <w:pPr>
        <w:overflowPunct/>
        <w:autoSpaceDE/>
        <w:autoSpaceDN/>
        <w:adjustRightInd/>
        <w:spacing w:after="160" w:line="259" w:lineRule="auto"/>
        <w:textAlignment w:val="auto"/>
        <w:rPr>
          <w:rFonts w:ascii="Calibri" w:hAnsi="Calibri" w:cs="Times New Roman"/>
          <w:i/>
          <w:color w:val="auto"/>
          <w:sz w:val="22"/>
          <w:szCs w:val="22"/>
          <w:lang w:eastAsia="en-US"/>
        </w:rPr>
      </w:pPr>
    </w:p>
    <w:p w14:paraId="54A0A1F9"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My Sargent, caught up to the male and gripped him by the arm to bring him to a stop. I then caught up and explained the grounds of arrest to him, before cautioning him and outlining the necessity of the arrest. The male lost his temper and started to actively resist arrest. He shouted and swore at us </w:t>
      </w:r>
      <w:r w:rsidRPr="006140E7">
        <w:rPr>
          <w:rFonts w:ascii="Calibri" w:hAnsi="Calibri" w:cs="Times New Roman"/>
          <w:color w:val="auto"/>
          <w:sz w:val="22"/>
          <w:szCs w:val="22"/>
          <w:lang w:eastAsia="en-US"/>
        </w:rPr>
        <w:lastRenderedPageBreak/>
        <w:t xml:space="preserve">both while attempting to pull away and make efforts to escape. We took him to the ground and attempted to gain compliance through use of tactical communication skills, such as the ‘5 Step Appeal’. The ‘5 Step Appeal’ is a proven communication tactic in which police officers use to gain compliance willingly before having to rely on the use of unarmed or armed physical skills. </w:t>
      </w:r>
    </w:p>
    <w:p w14:paraId="3172B3A9"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The ‘5 Step Appeal’ proved to be ineffective on this occasion and use of force was applied in another attempt to gain compliance. Unfortunately, this also did not seem to be working, and we now had the impact factor of a crowd of teenagers surrounding us. This became quite a hostile environment as we were dealing with an aggressive offender on the floor while being subjected to taunts, swearing and further disturbance from the on-looking teenagers who were refusing to leave.</w:t>
      </w:r>
    </w:p>
    <w:p w14:paraId="18632AF2"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Other members of the public made attempts to assist in getting the teenagers away from the area in order for us to carry out our duties effectively however they were not engaging at all and continued to stay and cause further disorder. </w:t>
      </w:r>
    </w:p>
    <w:p w14:paraId="2F734382"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The male we were dealing with managed to fight his way up to his feet and proceeded to punch me to the left side of my face. Thankfully, I did not sustain any injuries. I then took hold of him and used unarmed skills to bring him back to the ground. I then further arrested him for assault police. </w:t>
      </w:r>
    </w:p>
    <w:p w14:paraId="73F1918A"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156947A2"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Further units then arrived on the scene to assist in the detaining of the male and to usher away the teenagers.</w:t>
      </w:r>
    </w:p>
    <w:p w14:paraId="02EDC5EE"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The male was then handcuffed, searched and conveyed via police van to the custody unit where his detention was authorised. </w:t>
      </w:r>
    </w:p>
    <w:p w14:paraId="76CEF826"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7D12CEF4" w14:textId="77777777" w:rsidR="006140E7" w:rsidRPr="006140E7" w:rsidRDefault="006140E7" w:rsidP="006140E7">
      <w:pPr>
        <w:overflowPunct/>
        <w:autoSpaceDE/>
        <w:autoSpaceDN/>
        <w:adjustRightInd/>
        <w:spacing w:after="160" w:line="259" w:lineRule="auto"/>
        <w:textAlignment w:val="auto"/>
        <w:rPr>
          <w:rFonts w:ascii="Calibri" w:hAnsi="Calibri" w:cs="Times New Roman"/>
          <w:i/>
          <w:color w:val="auto"/>
          <w:sz w:val="22"/>
          <w:szCs w:val="22"/>
          <w:lang w:eastAsia="en-US"/>
        </w:rPr>
      </w:pPr>
      <w:r w:rsidRPr="006140E7">
        <w:rPr>
          <w:rFonts w:ascii="Calibri" w:hAnsi="Calibri" w:cs="Times New Roman"/>
          <w:i/>
          <w:color w:val="auto"/>
          <w:sz w:val="22"/>
          <w:szCs w:val="22"/>
          <w:lang w:eastAsia="en-US"/>
        </w:rPr>
        <w:t xml:space="preserve">Anti-social behaviour covers a wide range of unacceptable activity that causes harm to an individual, to their community or to their environment. This could be an action by someone else that leaves you feeling alarmed, harassed or distressed. It also includes fear of crime or concern for public safety, public disorder or public nuisance. (Home Office 2020) </w:t>
      </w:r>
    </w:p>
    <w:p w14:paraId="559A4EDD" w14:textId="77777777" w:rsidR="006140E7" w:rsidRPr="006140E7" w:rsidRDefault="006140E7" w:rsidP="006140E7">
      <w:pPr>
        <w:overflowPunct/>
        <w:autoSpaceDE/>
        <w:autoSpaceDN/>
        <w:adjustRightInd/>
        <w:spacing w:after="160" w:line="259" w:lineRule="auto"/>
        <w:textAlignment w:val="auto"/>
        <w:rPr>
          <w:rFonts w:ascii="Calibri" w:hAnsi="Calibri" w:cs="Times New Roman"/>
          <w:i/>
          <w:color w:val="auto"/>
          <w:sz w:val="22"/>
          <w:szCs w:val="22"/>
          <w:lang w:eastAsia="en-US"/>
        </w:rPr>
      </w:pPr>
    </w:p>
    <w:p w14:paraId="1BD0679A"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I consider the above incident as ‘Anti-Social Behaviour’ due to the nature of offences and the way it impacted the local community. We were faced with an offender that was directly causing harassment, alarm and distress to members of the public through disorderly behaviour, abusive and threatening language. There was also an element of concern for public safety during the offenders time on the roof and again whilst resisting arrest. There was also public disorder and nuisance caused by the on-looking teenagers who were, in theory, also behaving in a manner that would be deemed to be anti-social.</w:t>
      </w:r>
    </w:p>
    <w:p w14:paraId="25234754"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557426D3"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When considering my decision making, I had more than enough grounds to also arrest some of the teenagers present for the same offence of Section 5 Public Order due to their language and actions. I applied the use of discretion in not doing so and focusing on the main offender on this occasion. Post incident however, I collaborated with the PSCO to identify the teenagers present, and informed their parents of their actions and issued appropriate words of advice. My PSCO colleague then made the relevant ASB referrals for those involved. These referrals may have made the Youth Offending Team and Early Intervention Services aware of the events that had taken place, and these type of </w:t>
      </w:r>
      <w:r w:rsidRPr="006140E7">
        <w:rPr>
          <w:rFonts w:ascii="Calibri" w:hAnsi="Calibri" w:cs="Times New Roman"/>
          <w:color w:val="auto"/>
          <w:sz w:val="22"/>
          <w:szCs w:val="22"/>
          <w:lang w:eastAsia="en-US"/>
        </w:rPr>
        <w:lastRenderedPageBreak/>
        <w:t xml:space="preserve">organisations could begin to take positive action. </w:t>
      </w:r>
      <w:r w:rsidRPr="006140E7">
        <w:rPr>
          <w:rFonts w:ascii="Calibri" w:hAnsi="Calibri" w:cs="Times New Roman"/>
          <w:color w:val="auto"/>
          <w:sz w:val="22"/>
          <w:szCs w:val="22"/>
          <w:lang w:eastAsia="en-US"/>
        </w:rPr>
        <w:br/>
        <w:t>By deciding to use this approach I feel I have demonstrated my responsibility in taking positive action in the prevention of Anti-Social Behaviour. I consider the actions carried out by us as the police in this incident to be effective and appropriate.</w:t>
      </w:r>
    </w:p>
    <w:p w14:paraId="6402472A"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46710048"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In regards to considering bias when dealing with ASB I would like to make reference to a research article from the University of Cambridge webpage, in which Dr Susie Hulley of Cambridge’s Institute of Criminology Research, reveals a disconnect between what adults and young people interpret as anti-social behaviour, as 40% of adults see young people gathering in public as ASB. Compared to 9% of teenagers. (University of Cambridge 2014)</w:t>
      </w:r>
    </w:p>
    <w:p w14:paraId="7824A4D1"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It is important to consider bias when dealing with any incident as we all have unconscious biases. However we must not allow these unconscious biases to influence our decisions and lead to prejudices, as this is where we lose our integrity and core values. </w:t>
      </w:r>
      <w:r w:rsidRPr="006140E7">
        <w:rPr>
          <w:rFonts w:ascii="Calibri" w:hAnsi="Calibri" w:cs="Times New Roman"/>
          <w:color w:val="auto"/>
          <w:sz w:val="22"/>
          <w:szCs w:val="22"/>
          <w:lang w:eastAsia="en-US"/>
        </w:rPr>
        <w:br/>
        <w:t xml:space="preserve">I feel that in relation to this incident, some members of the public may have had the personal unconscious bias of seeing teenagers gathering in public and jumping to the conclusion that it was anti-social behaviour. However it was the mere behaviour and language used by the offender and other teenagers that led to them being labelled as ‘anti-social’. </w:t>
      </w:r>
      <w:r w:rsidRPr="006140E7">
        <w:rPr>
          <w:rFonts w:ascii="Calibri" w:hAnsi="Calibri" w:cs="Times New Roman"/>
          <w:color w:val="auto"/>
          <w:sz w:val="22"/>
          <w:szCs w:val="22"/>
          <w:lang w:eastAsia="en-US"/>
        </w:rPr>
        <w:br/>
        <w:t>I do not feel that I allowed any unconscious bias or anybody else’s biases interfere with the way that I responded and dealt with this incident.</w:t>
      </w:r>
    </w:p>
    <w:p w14:paraId="30D3DDE3"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4AF41FF6"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I now want to reflect on my considerations on problem solving and evidence based policing. </w:t>
      </w:r>
    </w:p>
    <w:p w14:paraId="127AF9AF"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Firstly I will introduce, what is meant by a ‘problem’.</w:t>
      </w:r>
      <w:r w:rsidRPr="006140E7">
        <w:rPr>
          <w:rFonts w:ascii="Calibri" w:hAnsi="Calibri" w:cs="Times New Roman"/>
          <w:color w:val="auto"/>
          <w:sz w:val="22"/>
          <w:szCs w:val="22"/>
          <w:lang w:eastAsia="en-US"/>
        </w:rPr>
        <w:br/>
        <w:t xml:space="preserve">In regards to policing ASB, a ‘problem’ can be defined as a group of events or incidents (e.g. signal crimes) causing harassment alarm or distress to members of a local community requiring a police response. </w:t>
      </w:r>
    </w:p>
    <w:p w14:paraId="12C975D6"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For the purpose of creating debate, I would like to question myself.</w:t>
      </w:r>
    </w:p>
    <w:p w14:paraId="55BA3C40"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Did I solve the problem of ASB in relation to the incident that I was faced with? </w:t>
      </w:r>
      <w:r w:rsidRPr="006140E7">
        <w:rPr>
          <w:rFonts w:ascii="Calibri" w:hAnsi="Calibri" w:cs="Times New Roman"/>
          <w:color w:val="auto"/>
          <w:sz w:val="22"/>
          <w:szCs w:val="22"/>
          <w:lang w:eastAsia="en-US"/>
        </w:rPr>
        <w:br/>
      </w:r>
      <w:r w:rsidRPr="006140E7">
        <w:rPr>
          <w:rFonts w:ascii="Calibri" w:hAnsi="Calibri" w:cs="Times New Roman"/>
          <w:color w:val="auto"/>
          <w:sz w:val="22"/>
          <w:szCs w:val="22"/>
          <w:lang w:eastAsia="en-US"/>
        </w:rPr>
        <w:br/>
        <w:t>The answer is both yes and no. Yes, I did arrest an offender for breaching his Criminal Behaviour Order to enforce prevention of ASB and I also arrested for further offences of Public Order and Assault. I consider this as solving the ‘immediate problem’ and gave the community a temporary relief of the situation. And also, yes, by taking positive action against the teenagers by referring them to partner agencies.</w:t>
      </w:r>
    </w:p>
    <w:p w14:paraId="64A65537"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However, there is an argument to suggest that this has not solved a potential underlying issue within the community that led to this incident in the first place. The offender in this incident already had a Criminal Behaviour Order, but was still persisting to commit offences with no regard for the consequences of being in breach of it. The teenagers involved may well be referred to the relevant agencies, but I find myself asking the question, what can be done to stop other potential offenders partaking in this sort of behaviour?</w:t>
      </w:r>
    </w:p>
    <w:p w14:paraId="5C200362"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By implementing the OSARA model, I believe that the underlying issue could be solved. </w:t>
      </w:r>
      <w:r w:rsidRPr="006140E7">
        <w:rPr>
          <w:rFonts w:ascii="Calibri" w:hAnsi="Calibri" w:cs="Times New Roman"/>
          <w:color w:val="auto"/>
          <w:sz w:val="22"/>
          <w:szCs w:val="22"/>
          <w:lang w:eastAsia="en-US"/>
        </w:rPr>
        <w:br/>
        <w:t xml:space="preserve">The objective would be to decrease the Anti-Social Behaviour levels in relation to youth annoyance in the local community. On analysis, the underlying issues causing the problem with youth </w:t>
      </w:r>
      <w:r w:rsidRPr="006140E7">
        <w:rPr>
          <w:rFonts w:ascii="Calibri" w:hAnsi="Calibri" w:cs="Times New Roman"/>
          <w:color w:val="auto"/>
          <w:sz w:val="22"/>
          <w:szCs w:val="22"/>
          <w:lang w:eastAsia="en-US"/>
        </w:rPr>
        <w:lastRenderedPageBreak/>
        <w:t xml:space="preserve">annoyance stems from boredom and lack of productive activities for the young people to engage in within the community. Through working with local authorities and other agencies to develop a constructive solution, I believe a positive impact would be made on the community and levels of ASB caused by youth annoyance would decrease. </w:t>
      </w:r>
    </w:p>
    <w:p w14:paraId="532EAFBA"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By using an evidence based policing approach, we could then use the results of the above theory in order to implement and share new working strategies to counter-act youth annoyance related ASB. </w:t>
      </w:r>
    </w:p>
    <w:p w14:paraId="41184657"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5B4F544A"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Using Gibbs Model of Reflection 1988 I will now reflect on the incident.</w:t>
      </w:r>
    </w:p>
    <w:p w14:paraId="0D618F2D"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At the time of the incident, I felt under pressure from the members of the community in order to do something about the offender. When we initially were getting negative results from the area search conducted, I felt frustrated that he may have gotten away, though was immediately met with satisfaction when we encountered him and caught him. </w:t>
      </w:r>
      <w:r w:rsidRPr="006140E7">
        <w:rPr>
          <w:rFonts w:ascii="Calibri" w:hAnsi="Calibri" w:cs="Times New Roman"/>
          <w:color w:val="auto"/>
          <w:sz w:val="22"/>
          <w:szCs w:val="22"/>
          <w:lang w:eastAsia="en-US"/>
        </w:rPr>
        <w:br/>
        <w:t>As the struggle to gain compliance was taking place and we were met with the crowd of youths, I began to feel under pressure once again and also my sense of alertness heightened in order to protect my colleague and myself from any potential dangers. When the offender caught me with a punch, I did not rise to his level of anger nor did I lose control, I dealt with the situation appropriately and used proportionate and necessary force in order to manage the conflict. Once further units attended and the offender was detained effectively and teenagers moved on, I had an initial sense of relief that the incident was over. However whilst on the way to the custody unit I couldn’t help but feel that this was indeed a temporary solution to on-going issues within the community.</w:t>
      </w:r>
    </w:p>
    <w:p w14:paraId="72BE6139"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On analysis I believe the incident happened due to underlying issues in the community relating to a lack of activities and productive outlets for young people to take part in and have therefore resorted to causing trouble as a means of entertainment. </w:t>
      </w:r>
    </w:p>
    <w:p w14:paraId="0CA4CA89"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To evaluate, I feel that I have learned from this experience and the importance of using problem solving theories and evidence based policing in order to counter-act ASB. As a response officer we are very rarely have time to treat the root cause of an issue and only deal with the incident that is in front of us. However, as evidence based policing has taught us, we may find ourselves going to the same call over and over again, if underlying issues leading to the problems are not solved. </w:t>
      </w:r>
    </w:p>
    <w:p w14:paraId="28FAA2F1"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In conclusion, if there was anything else I could have done, I would have demonstrated further initiative and got in touch with the local authorities and perhaps local schools, alongside the neighbourhood policing teams, in order to voice my concerns and to work together on an approach to develop a working strategy to counter-act youth annoyance ASB.  </w:t>
      </w:r>
    </w:p>
    <w:p w14:paraId="3249C1BB"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5299F607"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When faced with a similar incident next time, it is likely I will still be dealing with the incident in front of me, as is the nature of the role of a response officer, however I will keep an open mind in relation to the underlying issues causing the problem in the first place in hopes that I will identify another approach and assist in solving the problem.</w:t>
      </w:r>
    </w:p>
    <w:p w14:paraId="7780553D"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1152F82E"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Word Count - 2293</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088DBBCC" w:rsidR="00390074" w:rsidRDefault="00390074" w:rsidP="5848403C">
      <w:pPr>
        <w:ind w:right="237"/>
        <w:jc w:val="both"/>
        <w:rPr>
          <w:b/>
          <w:bCs/>
          <w:sz w:val="24"/>
          <w:szCs w:val="24"/>
        </w:rPr>
      </w:pPr>
    </w:p>
    <w:p w14:paraId="406A370F" w14:textId="77777777" w:rsidR="006140E7" w:rsidRPr="00270EEB" w:rsidRDefault="006140E7" w:rsidP="5848403C">
      <w:pPr>
        <w:ind w:right="237"/>
        <w:jc w:val="both"/>
        <w:rPr>
          <w:b/>
          <w:bCs/>
          <w:sz w:val="24"/>
          <w:szCs w:val="24"/>
        </w:rPr>
      </w:pPr>
    </w:p>
    <w:p w14:paraId="1C595623"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What Is Resilience? – Cohen, Harold PHD, 2018. Available at - </w:t>
      </w:r>
      <w:hyperlink r:id="rId13" w:history="1">
        <w:r w:rsidRPr="006140E7">
          <w:rPr>
            <w:rFonts w:ascii="Calibri" w:eastAsia="Calibri" w:hAnsi="Calibri" w:cs="Times New Roman"/>
            <w:color w:val="0563C1"/>
            <w:sz w:val="22"/>
            <w:szCs w:val="22"/>
            <w:u w:val="single"/>
            <w:lang w:eastAsia="en-US"/>
          </w:rPr>
          <w:t>https://psychcentral.com/lib/what-is-resilience/</w:t>
        </w:r>
      </w:hyperlink>
      <w:r w:rsidRPr="006140E7">
        <w:rPr>
          <w:rFonts w:ascii="Calibri" w:eastAsia="Calibri" w:hAnsi="Calibri" w:cs="Times New Roman"/>
          <w:color w:val="auto"/>
          <w:sz w:val="22"/>
          <w:szCs w:val="22"/>
          <w:lang w:eastAsia="en-US"/>
        </w:rPr>
        <w:t xml:space="preserve"> (Accessed on 05/01/2020)</w:t>
      </w:r>
    </w:p>
    <w:p w14:paraId="2A4A495E" w14:textId="69AD8F35" w:rsid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25BD77E"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EED6E04"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How Trauma Can Affect Your Body and Mind, Matta MA 2018. Available at - </w:t>
      </w:r>
      <w:hyperlink r:id="rId14" w:history="1">
        <w:r w:rsidRPr="006140E7">
          <w:rPr>
            <w:rFonts w:ascii="Calibri" w:eastAsia="Calibri" w:hAnsi="Calibri" w:cs="Times New Roman"/>
            <w:color w:val="0563C1"/>
            <w:sz w:val="22"/>
            <w:szCs w:val="22"/>
            <w:u w:val="single"/>
            <w:lang w:eastAsia="en-US"/>
          </w:rPr>
          <w:t>https://psychcentral.com/blog/how-trauma-can-affect-your-body-mind/</w:t>
        </w:r>
      </w:hyperlink>
      <w:r w:rsidRPr="006140E7">
        <w:rPr>
          <w:rFonts w:ascii="Calibri" w:eastAsia="Calibri" w:hAnsi="Calibri" w:cs="Times New Roman"/>
          <w:color w:val="auto"/>
          <w:sz w:val="22"/>
          <w:szCs w:val="22"/>
          <w:lang w:eastAsia="en-US"/>
        </w:rPr>
        <w:t xml:space="preserve"> (Accessed on 05/01/2020)</w:t>
      </w:r>
    </w:p>
    <w:p w14:paraId="75A28B9B" w14:textId="5D1A48BE" w:rsid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46598AF"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7D2B8C2" w14:textId="3866CF45" w:rsid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What is Mindfulness and How Can It Help Me? Exercise Mindfulness. Available at -</w:t>
      </w:r>
      <w:hyperlink r:id="rId15" w:history="1">
        <w:r w:rsidRPr="006140E7">
          <w:rPr>
            <w:rFonts w:ascii="Calibri" w:eastAsia="Calibri" w:hAnsi="Calibri" w:cs="Times New Roman"/>
            <w:color w:val="0563C1"/>
            <w:sz w:val="22"/>
            <w:szCs w:val="22"/>
            <w:u w:val="single"/>
            <w:lang w:eastAsia="en-US"/>
          </w:rPr>
          <w:t>http://www.exercisemindfulness.co.uk/benefits-of-mindfulness/</w:t>
        </w:r>
      </w:hyperlink>
      <w:r w:rsidRPr="006140E7">
        <w:rPr>
          <w:rFonts w:ascii="Calibri" w:eastAsia="Calibri" w:hAnsi="Calibri" w:cs="Times New Roman"/>
          <w:color w:val="auto"/>
          <w:sz w:val="22"/>
          <w:szCs w:val="22"/>
          <w:lang w:eastAsia="en-US"/>
        </w:rPr>
        <w:t xml:space="preserve"> (Accessed on 05/01/2020)</w:t>
      </w:r>
    </w:p>
    <w:p w14:paraId="5B2A4B41" w14:textId="11389DEB" w:rsid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40F00E2"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E1575EE" w14:textId="340F4675" w:rsid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color w:val="auto"/>
          <w:sz w:val="22"/>
          <w:szCs w:val="22"/>
          <w:lang w:eastAsia="en-US"/>
        </w:rPr>
        <w:t xml:space="preserve">Vulnerability – </w:t>
      </w:r>
      <w:r w:rsidRPr="006140E7">
        <w:rPr>
          <w:rFonts w:ascii="Calibri" w:eastAsia="Calibri" w:hAnsi="Calibri" w:cs="Times New Roman"/>
          <w:i/>
          <w:color w:val="auto"/>
          <w:sz w:val="22"/>
          <w:szCs w:val="22"/>
          <w:lang w:eastAsia="en-US"/>
        </w:rPr>
        <w:t xml:space="preserve">available at </w:t>
      </w:r>
      <w:hyperlink r:id="rId16" w:history="1">
        <w:r w:rsidRPr="006140E7">
          <w:rPr>
            <w:rFonts w:ascii="Calibri" w:eastAsia="Calibri" w:hAnsi="Calibri" w:cs="Times New Roman"/>
            <w:i/>
            <w:color w:val="0563C1"/>
            <w:sz w:val="22"/>
            <w:szCs w:val="22"/>
            <w:u w:val="single"/>
            <w:lang w:eastAsia="en-US"/>
          </w:rPr>
          <w:t>https://www.college.police.uk/What-we-do/Development/Vulnerability/Pages/Vulnerability.aspx</w:t>
        </w:r>
      </w:hyperlink>
      <w:r w:rsidRPr="006140E7">
        <w:rPr>
          <w:rFonts w:ascii="Calibri" w:eastAsia="Calibri" w:hAnsi="Calibri" w:cs="Times New Roman"/>
          <w:i/>
          <w:color w:val="auto"/>
          <w:sz w:val="22"/>
          <w:szCs w:val="22"/>
          <w:lang w:eastAsia="en-US"/>
        </w:rPr>
        <w:t xml:space="preserve"> (accessed on 17/01/2020)</w:t>
      </w:r>
    </w:p>
    <w:p w14:paraId="490ECFBE"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859E53B"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BBBE3FE" w14:textId="008D54C0" w:rsid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color w:val="auto"/>
          <w:sz w:val="22"/>
          <w:szCs w:val="22"/>
          <w:lang w:eastAsia="en-US"/>
        </w:rPr>
        <w:t xml:space="preserve">Preventing Adverse Childhood Experiences – </w:t>
      </w:r>
      <w:r w:rsidRPr="006140E7">
        <w:rPr>
          <w:rFonts w:ascii="Calibri" w:eastAsia="Calibri" w:hAnsi="Calibri" w:cs="Times New Roman"/>
          <w:i/>
          <w:color w:val="auto"/>
          <w:sz w:val="22"/>
          <w:szCs w:val="22"/>
          <w:lang w:eastAsia="en-US"/>
        </w:rPr>
        <w:t>available at-</w:t>
      </w:r>
      <w:hyperlink r:id="rId17" w:history="1">
        <w:r w:rsidRPr="006140E7">
          <w:rPr>
            <w:rFonts w:ascii="Calibri" w:eastAsia="Calibri" w:hAnsi="Calibri" w:cs="Times New Roman"/>
            <w:i/>
            <w:color w:val="0563C1"/>
            <w:sz w:val="22"/>
            <w:szCs w:val="22"/>
            <w:u w:val="single"/>
            <w:lang w:eastAsia="en-US"/>
          </w:rPr>
          <w:t>https://www.cdc.gov/violenceprevention/childabuseandneglect/aces/fastfact.html?CDC_AA_refVal=https%3A%2F%2Fwww.cdc.gov%2Fviolenceprevention%2Fchildabuseandneglect%2Facestudy%2Faboutace.html</w:t>
        </w:r>
      </w:hyperlink>
      <w:r w:rsidRPr="006140E7">
        <w:rPr>
          <w:rFonts w:ascii="Calibri" w:eastAsia="Calibri" w:hAnsi="Calibri" w:cs="Times New Roman"/>
          <w:i/>
          <w:color w:val="auto"/>
          <w:sz w:val="22"/>
          <w:szCs w:val="22"/>
          <w:lang w:eastAsia="en-US"/>
        </w:rPr>
        <w:t xml:space="preserve"> (accessed on 17/01/2020)</w:t>
      </w:r>
    </w:p>
    <w:p w14:paraId="48F8F6EE"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p>
    <w:p w14:paraId="7BE593B8"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6140E7">
        <w:rPr>
          <w:rFonts w:ascii="Calibri" w:eastAsia="Calibri" w:hAnsi="Calibri" w:cs="Times New Roman"/>
          <w:color w:val="auto"/>
          <w:sz w:val="22"/>
          <w:szCs w:val="22"/>
          <w:lang w:eastAsia="en-US"/>
        </w:rPr>
        <w:t xml:space="preserve">Establishing the aims and objectives of the interview - </w:t>
      </w:r>
      <w:r w:rsidRPr="006140E7">
        <w:rPr>
          <w:rFonts w:ascii="Calibri" w:eastAsia="Calibri" w:hAnsi="Calibri" w:cs="Times New Roman"/>
          <w:i/>
          <w:color w:val="auto"/>
          <w:sz w:val="22"/>
          <w:szCs w:val="22"/>
          <w:lang w:eastAsia="en-US"/>
        </w:rPr>
        <w:t>Bryant, S &amp; Bryant, R (2019) Blackstone’s Handbook for Policing Students. 13th Ed. Oxford University Press</w:t>
      </w:r>
    </w:p>
    <w:p w14:paraId="3160F793"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0069472" w14:textId="77777777" w:rsidR="006140E7" w:rsidRPr="006140E7" w:rsidRDefault="006140E7" w:rsidP="006140E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140E7">
        <w:rPr>
          <w:rFonts w:ascii="Calibri" w:eastAsia="Calibri" w:hAnsi="Calibri" w:cs="Times New Roman"/>
          <w:color w:val="auto"/>
          <w:sz w:val="22"/>
          <w:szCs w:val="22"/>
          <w:lang w:eastAsia="en-US"/>
        </w:rPr>
        <w:t xml:space="preserve">Code C of the Police and Criminal Evidence Act 1984 – </w:t>
      </w:r>
      <w:r w:rsidRPr="006140E7">
        <w:rPr>
          <w:rFonts w:ascii="Calibri" w:eastAsia="Calibri" w:hAnsi="Calibri" w:cs="Times New Roman"/>
          <w:i/>
          <w:color w:val="auto"/>
          <w:sz w:val="22"/>
          <w:szCs w:val="22"/>
          <w:lang w:eastAsia="en-US"/>
        </w:rPr>
        <w:t xml:space="preserve">available at -  </w:t>
      </w:r>
      <w:hyperlink r:id="rId18" w:history="1">
        <w:r w:rsidRPr="006140E7">
          <w:rPr>
            <w:rFonts w:ascii="Calibri" w:eastAsia="Calibri" w:hAnsi="Calibri" w:cs="Times New Roman"/>
            <w:i/>
            <w:color w:val="0563C1"/>
            <w:sz w:val="22"/>
            <w:szCs w:val="22"/>
            <w:u w:val="single"/>
            <w:lang w:eastAsia="en-US"/>
          </w:rPr>
          <w:t>https://www.gov.uk/guidance/police-and-criminal-evidence-act-1984-pace-codes-of-practice</w:t>
        </w:r>
      </w:hyperlink>
      <w:r w:rsidRPr="006140E7">
        <w:rPr>
          <w:rFonts w:ascii="Calibri" w:eastAsia="Calibri" w:hAnsi="Calibri" w:cs="Times New Roman"/>
          <w:i/>
          <w:color w:val="auto"/>
          <w:sz w:val="22"/>
          <w:szCs w:val="22"/>
          <w:lang w:eastAsia="en-US"/>
        </w:rPr>
        <w:t xml:space="preserve"> (accessed on the 11/01/2020)</w:t>
      </w:r>
    </w:p>
    <w:p w14:paraId="2EA9E8F3" w14:textId="77777777" w:rsidR="006140E7" w:rsidRPr="006140E7" w:rsidRDefault="006140E7" w:rsidP="006140E7">
      <w:pPr>
        <w:overflowPunct/>
        <w:autoSpaceDE/>
        <w:autoSpaceDN/>
        <w:adjustRightInd/>
        <w:spacing w:after="160" w:line="259" w:lineRule="auto"/>
        <w:textAlignment w:val="auto"/>
        <w:rPr>
          <w:rFonts w:ascii="Calibri" w:hAnsi="Calibri" w:cs="Times New Roman"/>
          <w:i/>
          <w:color w:val="auto"/>
          <w:sz w:val="22"/>
          <w:szCs w:val="22"/>
          <w:lang w:eastAsia="en-US"/>
        </w:rPr>
      </w:pPr>
      <w:r w:rsidRPr="006140E7">
        <w:rPr>
          <w:rFonts w:ascii="Calibri" w:hAnsi="Calibri" w:cs="Times New Roman"/>
          <w:i/>
          <w:color w:val="auto"/>
          <w:sz w:val="22"/>
          <w:szCs w:val="22"/>
          <w:lang w:eastAsia="en-US"/>
        </w:rPr>
        <w:t>Criminal Behaviour Orders – Bryant, S &amp; Bryant, R (2019) Blackstone’s Handbook for Policing Students. 13th Ed. Oxford University Press</w:t>
      </w:r>
    </w:p>
    <w:p w14:paraId="475A6EAB"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73547F64"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Section 5 Public Order 1986 – </w:t>
      </w:r>
      <w:r w:rsidRPr="006140E7">
        <w:rPr>
          <w:rFonts w:ascii="Calibri" w:hAnsi="Calibri" w:cs="Times New Roman"/>
          <w:i/>
          <w:color w:val="auto"/>
          <w:sz w:val="22"/>
          <w:szCs w:val="22"/>
          <w:lang w:eastAsia="en-US"/>
        </w:rPr>
        <w:t xml:space="preserve">available at </w:t>
      </w:r>
      <w:hyperlink r:id="rId19" w:history="1">
        <w:r w:rsidRPr="006140E7">
          <w:rPr>
            <w:rFonts w:ascii="Calibri" w:hAnsi="Calibri" w:cs="Times New Roman"/>
            <w:i/>
            <w:color w:val="0563C1"/>
            <w:sz w:val="22"/>
            <w:szCs w:val="22"/>
            <w:u w:val="single"/>
            <w:lang w:eastAsia="en-US"/>
          </w:rPr>
          <w:t>https://www.legislation.gov.uk/ukpga/1986/64/section/5</w:t>
        </w:r>
      </w:hyperlink>
      <w:r w:rsidRPr="006140E7">
        <w:rPr>
          <w:rFonts w:ascii="Calibri" w:hAnsi="Calibri" w:cs="Times New Roman"/>
          <w:i/>
          <w:color w:val="auto"/>
          <w:sz w:val="22"/>
          <w:szCs w:val="22"/>
          <w:lang w:eastAsia="en-US"/>
        </w:rPr>
        <w:t xml:space="preserve"> (accessed on 18/01/2020)</w:t>
      </w:r>
    </w:p>
    <w:p w14:paraId="0BA82767"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4CFC4880"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r w:rsidRPr="006140E7">
        <w:rPr>
          <w:rFonts w:ascii="Calibri" w:hAnsi="Calibri" w:cs="Times New Roman"/>
          <w:color w:val="auto"/>
          <w:sz w:val="22"/>
          <w:szCs w:val="22"/>
          <w:lang w:eastAsia="en-US"/>
        </w:rPr>
        <w:t xml:space="preserve">Anti-Social Behaviour – </w:t>
      </w:r>
      <w:r w:rsidRPr="006140E7">
        <w:rPr>
          <w:rFonts w:ascii="Calibri" w:hAnsi="Calibri" w:cs="Times New Roman"/>
          <w:i/>
          <w:color w:val="auto"/>
          <w:sz w:val="22"/>
          <w:szCs w:val="22"/>
          <w:lang w:eastAsia="en-US"/>
        </w:rPr>
        <w:t xml:space="preserve">available at </w:t>
      </w:r>
      <w:hyperlink r:id="rId20" w:history="1">
        <w:r w:rsidRPr="006140E7">
          <w:rPr>
            <w:rFonts w:ascii="Calibri" w:hAnsi="Calibri" w:cs="Times New Roman"/>
            <w:i/>
            <w:color w:val="0563C1"/>
            <w:sz w:val="22"/>
            <w:szCs w:val="22"/>
            <w:u w:val="single"/>
            <w:lang w:eastAsia="en-US"/>
          </w:rPr>
          <w:t>https://www.police.uk/crime-prevention-advice/anti-social-behaviour/</w:t>
        </w:r>
      </w:hyperlink>
      <w:r w:rsidRPr="006140E7">
        <w:rPr>
          <w:rFonts w:ascii="Calibri" w:hAnsi="Calibri" w:cs="Times New Roman"/>
          <w:i/>
          <w:color w:val="auto"/>
          <w:sz w:val="22"/>
          <w:szCs w:val="22"/>
          <w:lang w:eastAsia="en-US"/>
        </w:rPr>
        <w:t xml:space="preserve"> (accessed on 18/01/2020)</w:t>
      </w:r>
    </w:p>
    <w:p w14:paraId="0576252E" w14:textId="77777777" w:rsidR="006140E7" w:rsidRPr="006140E7" w:rsidRDefault="006140E7" w:rsidP="006140E7">
      <w:pPr>
        <w:overflowPunct/>
        <w:autoSpaceDE/>
        <w:autoSpaceDN/>
        <w:adjustRightInd/>
        <w:spacing w:after="160" w:line="259" w:lineRule="auto"/>
        <w:textAlignment w:val="auto"/>
        <w:rPr>
          <w:rFonts w:ascii="Calibri" w:hAnsi="Calibri" w:cs="Times New Roman"/>
          <w:color w:val="auto"/>
          <w:sz w:val="22"/>
          <w:szCs w:val="22"/>
          <w:lang w:eastAsia="en-US"/>
        </w:rPr>
      </w:pPr>
    </w:p>
    <w:p w14:paraId="207CFE8D" w14:textId="77777777" w:rsidR="006140E7" w:rsidRPr="006140E7" w:rsidRDefault="006140E7" w:rsidP="006140E7">
      <w:pPr>
        <w:overflowPunct/>
        <w:autoSpaceDE/>
        <w:autoSpaceDN/>
        <w:adjustRightInd/>
        <w:spacing w:after="160" w:line="259" w:lineRule="auto"/>
        <w:textAlignment w:val="auto"/>
        <w:rPr>
          <w:rFonts w:ascii="Calibri" w:hAnsi="Calibri" w:cs="Times New Roman"/>
          <w:i/>
          <w:color w:val="auto"/>
          <w:sz w:val="22"/>
          <w:szCs w:val="22"/>
          <w:lang w:eastAsia="en-US"/>
        </w:rPr>
      </w:pPr>
      <w:r w:rsidRPr="006140E7">
        <w:rPr>
          <w:rFonts w:ascii="Calibri" w:hAnsi="Calibri" w:cs="Times New Roman"/>
          <w:color w:val="auto"/>
          <w:sz w:val="22"/>
          <w:szCs w:val="22"/>
          <w:lang w:eastAsia="en-US"/>
        </w:rPr>
        <w:t xml:space="preserve">Generation blame: how age affects our view of anti-social behaviour – </w:t>
      </w:r>
      <w:r w:rsidRPr="006140E7">
        <w:rPr>
          <w:rFonts w:ascii="Calibri" w:hAnsi="Calibri" w:cs="Times New Roman"/>
          <w:i/>
          <w:color w:val="auto"/>
          <w:sz w:val="22"/>
          <w:szCs w:val="22"/>
          <w:lang w:eastAsia="en-US"/>
        </w:rPr>
        <w:t xml:space="preserve">available at </w:t>
      </w:r>
      <w:hyperlink r:id="rId21" w:history="1">
        <w:r w:rsidRPr="006140E7">
          <w:rPr>
            <w:rFonts w:ascii="Calibri" w:hAnsi="Calibri" w:cs="Times New Roman"/>
            <w:i/>
            <w:color w:val="0563C1"/>
            <w:sz w:val="22"/>
            <w:szCs w:val="22"/>
            <w:u w:val="single"/>
            <w:lang w:eastAsia="en-US"/>
          </w:rPr>
          <w:t>https://www.cam.ac.uk/research/news/generation-blame-how-age-affects-our-views-of-anti-social-behaviour</w:t>
        </w:r>
      </w:hyperlink>
      <w:r w:rsidRPr="006140E7">
        <w:rPr>
          <w:rFonts w:ascii="Calibri" w:hAnsi="Calibri" w:cs="Times New Roman"/>
          <w:i/>
          <w:color w:val="auto"/>
          <w:sz w:val="22"/>
          <w:szCs w:val="22"/>
          <w:lang w:eastAsia="en-US"/>
        </w:rPr>
        <w:t xml:space="preserve"> (accessed on 18/01/2020)</w:t>
      </w:r>
    </w:p>
    <w:p w14:paraId="6ED77802" w14:textId="77777777" w:rsidR="0093018C" w:rsidRPr="00294868" w:rsidRDefault="00BC5725" w:rsidP="5848403C">
      <w:pPr>
        <w:keepNext/>
        <w:ind w:right="237"/>
        <w:jc w:val="center"/>
        <w:rPr>
          <w:b/>
          <w:bCs/>
          <w:sz w:val="24"/>
          <w:szCs w:val="24"/>
        </w:rPr>
      </w:pPr>
      <w:bookmarkStart w:id="0" w:name="_GoBack"/>
      <w:bookmarkEnd w:id="0"/>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DBCF9FE" w:rsidR="5848403C" w:rsidRDefault="006140E7" w:rsidP="5848403C">
      <w:pPr>
        <w:jc w:val="both"/>
        <w:rPr>
          <w:rFonts w:eastAsia="Arial"/>
          <w:color w:val="000000" w:themeColor="text1"/>
          <w:sz w:val="24"/>
          <w:szCs w:val="24"/>
        </w:rPr>
      </w:pPr>
      <w:r>
        <w:rPr>
          <w:rFonts w:eastAsia="Arial"/>
          <w:color w:val="000000" w:themeColor="text1"/>
          <w:sz w:val="24"/>
          <w:szCs w:val="24"/>
        </w:rPr>
        <w:t>Signed:  _ _ Christopher Jones</w:t>
      </w:r>
      <w:r w:rsidR="5848403C" w:rsidRPr="5848403C">
        <w:rPr>
          <w:rFonts w:eastAsia="Arial"/>
          <w:color w:val="000000" w:themeColor="text1"/>
          <w:sz w:val="24"/>
          <w:szCs w:val="24"/>
        </w:rPr>
        <w:t>_ _ _ _  (Learner</w:t>
      </w:r>
    </w:p>
    <w:p w14:paraId="5473B39D" w14:textId="25489F28" w:rsidR="5848403C" w:rsidRDefault="5848403C" w:rsidP="5848403C">
      <w:pPr>
        <w:jc w:val="both"/>
        <w:rPr>
          <w:rFonts w:eastAsia="Arial"/>
          <w:color w:val="000000" w:themeColor="text1"/>
          <w:sz w:val="24"/>
          <w:szCs w:val="24"/>
        </w:rPr>
      </w:pPr>
    </w:p>
    <w:p w14:paraId="4EC5D203" w14:textId="3A01BC45" w:rsidR="5848403C" w:rsidRDefault="006140E7" w:rsidP="5848403C">
      <w:pPr>
        <w:jc w:val="both"/>
        <w:rPr>
          <w:rFonts w:eastAsia="Arial"/>
          <w:color w:val="000000" w:themeColor="text1"/>
          <w:sz w:val="24"/>
          <w:szCs w:val="24"/>
        </w:rPr>
      </w:pPr>
      <w:r>
        <w:rPr>
          <w:rFonts w:eastAsia="Arial"/>
          <w:color w:val="000000" w:themeColor="text1"/>
          <w:sz w:val="24"/>
          <w:szCs w:val="24"/>
        </w:rPr>
        <w:t>Date: _ _ _ _ 18/01/2020</w:t>
      </w:r>
      <w:r w:rsidR="5848403C" w:rsidRPr="5848403C">
        <w:rPr>
          <w:rFonts w:eastAsia="Arial"/>
          <w:color w:val="000000" w:themeColor="text1"/>
          <w:sz w:val="24"/>
          <w:szCs w:val="24"/>
        </w:rPr>
        <w:t xml:space="preserve">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2C376AB" w:rsidR="00F6513F" w:rsidRDefault="00F6513F">
    <w:pPr>
      <w:pStyle w:val="Footer"/>
      <w:jc w:val="right"/>
    </w:pPr>
    <w:r>
      <w:fldChar w:fldCharType="begin"/>
    </w:r>
    <w:r>
      <w:instrText xml:space="preserve"> PAGE   \* MERGEFORMAT </w:instrText>
    </w:r>
    <w:r>
      <w:fldChar w:fldCharType="separate"/>
    </w:r>
    <w:r w:rsidR="00591ECF">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91ECF"/>
    <w:rsid w:val="005A1B4C"/>
    <w:rsid w:val="005A1BA3"/>
    <w:rsid w:val="005A545C"/>
    <w:rsid w:val="005B4607"/>
    <w:rsid w:val="005C1567"/>
    <w:rsid w:val="005C6CE5"/>
    <w:rsid w:val="005D3F07"/>
    <w:rsid w:val="005D583E"/>
    <w:rsid w:val="005E13EA"/>
    <w:rsid w:val="005E53BD"/>
    <w:rsid w:val="00601C05"/>
    <w:rsid w:val="00606E27"/>
    <w:rsid w:val="006108C9"/>
    <w:rsid w:val="006140E7"/>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sychcentral.com/lib/what-is-resilience/" TargetMode="External"/><Relationship Id="rId18" Type="http://schemas.openxmlformats.org/officeDocument/2006/relationships/hyperlink" Target="https://www.gov.uk/guidance/police-and-criminal-evidence-act-1984-pace-codes-of-practice" TargetMode="External"/><Relationship Id="rId3" Type="http://schemas.openxmlformats.org/officeDocument/2006/relationships/customXml" Target="../customXml/item3.xml"/><Relationship Id="rId21" Type="http://schemas.openxmlformats.org/officeDocument/2006/relationships/hyperlink" Target="https://www.cam.ac.uk/research/news/generation-blame-how-age-affects-our-views-of-anti-social-behaviour"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dc.gov/violenceprevention/childabuseandneglect/aces/fastfact.html?CDC_AA_refVal=https%3A%2F%2Fwww.cdc.gov%2Fviolenceprevention%2Fchildabuseandneglect%2Facestudy%2Faboutace.html" TargetMode="External"/><Relationship Id="rId2" Type="http://schemas.openxmlformats.org/officeDocument/2006/relationships/customXml" Target="../customXml/item2.xml"/><Relationship Id="rId16" Type="http://schemas.openxmlformats.org/officeDocument/2006/relationships/hyperlink" Target="https://www.college.police.uk/What-we-do/Development/Vulnerability/Pages/Vulnerability.aspx" TargetMode="External"/><Relationship Id="rId20" Type="http://schemas.openxmlformats.org/officeDocument/2006/relationships/hyperlink" Target="https://www.police.uk/crime-prevention-advice/anti-social-behaviou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exercisemindfulness.co.uk/benefits-of-mindfulnes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1986/64/section/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sychcentral.com/blog/how-trauma-can-affect-your-body-min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http://www.w3.org/XML/1998/namespace"/>
  </ds:schemaRefs>
</ds:datastoreItem>
</file>

<file path=customXml/itemProps4.xml><?xml version="1.0" encoding="utf-8"?>
<ds:datastoreItem xmlns:ds="http://schemas.openxmlformats.org/officeDocument/2006/customXml" ds:itemID="{12D7D0DF-4D64-4304-9F6A-10D95F4FE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7891</Words>
  <Characters>41633</Characters>
  <Application>Microsoft Office Word</Application>
  <DocSecurity>0</DocSecurity>
  <Lines>346</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Jones,Christopher swp6435</cp:lastModifiedBy>
  <cp:revision>2</cp:revision>
  <cp:lastPrinted>2019-09-26T14:40:00Z</cp:lastPrinted>
  <dcterms:created xsi:type="dcterms:W3CDTF">2020-01-18T15:15:00Z</dcterms:created>
  <dcterms:modified xsi:type="dcterms:W3CDTF">2020-01-18T15:15:00Z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0b5c37c8-6c38-4d11-9d31-8555a9df133c</vt:lpwstr>
  </property>
  <property fmtid="{D5CDD505-2E9C-101B-9397-08002B2CF9AE}" pid="4" name="Classification">
    <vt:lpwstr>OFFICIAL</vt:lpwstr>
  </property>
  <property fmtid="{D5CDD505-2E9C-101B-9397-08002B2CF9AE}" pid="5" name="Visibility">
    <vt:lpwstr>NOT VISIBLE</vt:lpwstr>
  </property>
</Properties>
</file>