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A1263" w14:textId="77777777" w:rsidR="007764C7" w:rsidRPr="00923AFB" w:rsidRDefault="007764C7" w:rsidP="007764C7">
      <w:pPr>
        <w:spacing w:line="276" w:lineRule="auto"/>
        <w:jc w:val="center"/>
        <w:rPr>
          <w:rFonts w:ascii="Arial" w:hAnsi="Arial" w:cs="Arial"/>
          <w:b/>
          <w:bCs/>
        </w:rPr>
      </w:pPr>
      <w:r w:rsidRPr="00923AFB">
        <w:rPr>
          <w:rFonts w:ascii="Arial" w:hAnsi="Arial" w:cs="Arial"/>
          <w:b/>
          <w:bCs/>
        </w:rPr>
        <w:t> </w:t>
      </w:r>
    </w:p>
    <w:p w14:paraId="21B05142" w14:textId="77777777" w:rsidR="007764C7" w:rsidRPr="00C86076" w:rsidRDefault="007764C7" w:rsidP="007764C7">
      <w:pPr>
        <w:spacing w:line="276" w:lineRule="auto"/>
        <w:jc w:val="center"/>
        <w:rPr>
          <w:rFonts w:ascii="Arial" w:hAnsi="Arial" w:cs="Arial"/>
          <w:b/>
          <w:bCs/>
          <w:sz w:val="36"/>
          <w:szCs w:val="36"/>
        </w:rPr>
      </w:pPr>
      <w:r w:rsidRPr="00C86076">
        <w:rPr>
          <w:rFonts w:ascii="Arial" w:hAnsi="Arial" w:cs="Arial"/>
          <w:b/>
          <w:bCs/>
          <w:sz w:val="36"/>
          <w:szCs w:val="36"/>
        </w:rPr>
        <w:t xml:space="preserve">Student name: </w:t>
      </w:r>
      <w:r w:rsidRPr="00C86076">
        <w:rPr>
          <w:rFonts w:ascii="Arial" w:hAnsi="Arial" w:cs="Arial"/>
          <w:sz w:val="36"/>
          <w:szCs w:val="36"/>
        </w:rPr>
        <w:t xml:space="preserve">Mauricette </w:t>
      </w:r>
      <w:proofErr w:type="spellStart"/>
      <w:r w:rsidRPr="00C86076">
        <w:rPr>
          <w:rFonts w:ascii="Arial" w:hAnsi="Arial" w:cs="Arial"/>
          <w:sz w:val="36"/>
          <w:szCs w:val="36"/>
        </w:rPr>
        <w:t>Mhayerenge</w:t>
      </w:r>
      <w:proofErr w:type="spellEnd"/>
    </w:p>
    <w:p w14:paraId="042A1D08" w14:textId="77777777" w:rsidR="007764C7" w:rsidRPr="00C86076" w:rsidRDefault="007764C7" w:rsidP="007764C7">
      <w:pPr>
        <w:spacing w:line="276" w:lineRule="auto"/>
        <w:jc w:val="center"/>
        <w:rPr>
          <w:rFonts w:ascii="Arial" w:hAnsi="Arial" w:cs="Arial"/>
          <w:sz w:val="36"/>
          <w:szCs w:val="36"/>
        </w:rPr>
      </w:pPr>
      <w:r w:rsidRPr="00C86076">
        <w:rPr>
          <w:rFonts w:ascii="Arial" w:hAnsi="Arial" w:cs="Arial"/>
          <w:b/>
          <w:bCs/>
          <w:sz w:val="36"/>
          <w:szCs w:val="36"/>
        </w:rPr>
        <w:t xml:space="preserve">Student number ID: </w:t>
      </w:r>
      <w:r w:rsidRPr="00C86076">
        <w:rPr>
          <w:rFonts w:ascii="Arial" w:hAnsi="Arial" w:cs="Arial"/>
          <w:sz w:val="36"/>
          <w:szCs w:val="36"/>
        </w:rPr>
        <w:t>2420920</w:t>
      </w:r>
    </w:p>
    <w:p w14:paraId="5EA87D64" w14:textId="77777777" w:rsidR="007764C7" w:rsidRPr="00C86076" w:rsidRDefault="007764C7" w:rsidP="007764C7">
      <w:pPr>
        <w:spacing w:line="276" w:lineRule="auto"/>
        <w:jc w:val="center"/>
        <w:rPr>
          <w:rFonts w:ascii="Arial" w:hAnsi="Arial" w:cs="Arial"/>
          <w:sz w:val="36"/>
          <w:szCs w:val="36"/>
        </w:rPr>
      </w:pPr>
      <w:r w:rsidRPr="00C86076">
        <w:rPr>
          <w:rFonts w:ascii="Arial" w:hAnsi="Arial" w:cs="Arial"/>
          <w:b/>
          <w:bCs/>
          <w:sz w:val="36"/>
          <w:szCs w:val="36"/>
        </w:rPr>
        <w:t>Word count:</w:t>
      </w:r>
      <w:r w:rsidRPr="00C86076">
        <w:rPr>
          <w:rFonts w:ascii="Arial" w:hAnsi="Arial" w:cs="Arial"/>
          <w:sz w:val="36"/>
          <w:szCs w:val="36"/>
        </w:rPr>
        <w:t xml:space="preserve"> 2000</w:t>
      </w:r>
    </w:p>
    <w:p w14:paraId="00DF5C18" w14:textId="77777777" w:rsidR="007764C7" w:rsidRPr="00C86076" w:rsidRDefault="007764C7" w:rsidP="007764C7">
      <w:pPr>
        <w:spacing w:line="276" w:lineRule="auto"/>
        <w:jc w:val="center"/>
        <w:rPr>
          <w:rFonts w:ascii="Arial" w:hAnsi="Arial" w:cs="Arial"/>
          <w:b/>
          <w:bCs/>
          <w:sz w:val="36"/>
          <w:szCs w:val="36"/>
        </w:rPr>
      </w:pPr>
      <w:r w:rsidRPr="00C86076">
        <w:rPr>
          <w:rFonts w:ascii="Arial" w:hAnsi="Arial" w:cs="Arial"/>
          <w:b/>
          <w:bCs/>
          <w:sz w:val="36"/>
          <w:szCs w:val="36"/>
        </w:rPr>
        <w:t xml:space="preserve">Module name: </w:t>
      </w:r>
      <w:r w:rsidRPr="00C86076">
        <w:rPr>
          <w:rFonts w:ascii="Arial" w:hAnsi="Arial" w:cs="Arial"/>
          <w:sz w:val="36"/>
          <w:szCs w:val="36"/>
        </w:rPr>
        <w:t>principles of health and social care practice</w:t>
      </w:r>
    </w:p>
    <w:p w14:paraId="13DCB460" w14:textId="77777777" w:rsidR="007764C7" w:rsidRPr="00C86076" w:rsidRDefault="007764C7" w:rsidP="007764C7">
      <w:pPr>
        <w:spacing w:line="276" w:lineRule="auto"/>
        <w:jc w:val="center"/>
        <w:rPr>
          <w:rFonts w:ascii="Arial" w:hAnsi="Arial" w:cs="Arial"/>
          <w:sz w:val="36"/>
          <w:szCs w:val="36"/>
        </w:rPr>
      </w:pPr>
      <w:r w:rsidRPr="00C86076">
        <w:rPr>
          <w:rFonts w:ascii="Arial" w:hAnsi="Arial" w:cs="Arial"/>
          <w:b/>
          <w:bCs/>
          <w:sz w:val="36"/>
          <w:szCs w:val="36"/>
        </w:rPr>
        <w:t xml:space="preserve">Module code: </w:t>
      </w:r>
      <w:r w:rsidRPr="00C86076">
        <w:rPr>
          <w:rFonts w:ascii="Arial" w:hAnsi="Arial" w:cs="Arial"/>
          <w:sz w:val="36"/>
          <w:szCs w:val="36"/>
        </w:rPr>
        <w:t>BMHP5016</w:t>
      </w:r>
    </w:p>
    <w:p w14:paraId="15008E70" w14:textId="77777777" w:rsidR="007764C7" w:rsidRPr="00C86076" w:rsidRDefault="007764C7" w:rsidP="007764C7">
      <w:pPr>
        <w:spacing w:line="276" w:lineRule="auto"/>
        <w:jc w:val="center"/>
        <w:rPr>
          <w:rFonts w:ascii="Arial" w:hAnsi="Arial" w:cs="Arial"/>
          <w:b/>
          <w:bCs/>
          <w:sz w:val="36"/>
          <w:szCs w:val="36"/>
        </w:rPr>
      </w:pPr>
      <w:r w:rsidRPr="00C86076">
        <w:rPr>
          <w:rFonts w:ascii="Arial" w:hAnsi="Arial" w:cs="Arial"/>
          <w:b/>
          <w:bCs/>
          <w:sz w:val="36"/>
          <w:szCs w:val="36"/>
        </w:rPr>
        <w:t xml:space="preserve">Lecturer: </w:t>
      </w:r>
      <w:proofErr w:type="spellStart"/>
      <w:r w:rsidRPr="00C86076">
        <w:rPr>
          <w:rFonts w:ascii="Arial" w:hAnsi="Arial" w:cs="Arial"/>
          <w:sz w:val="36"/>
          <w:szCs w:val="36"/>
        </w:rPr>
        <w:t>Tsiwani</w:t>
      </w:r>
      <w:proofErr w:type="spellEnd"/>
      <w:r w:rsidRPr="00C86076">
        <w:rPr>
          <w:rFonts w:ascii="Arial" w:hAnsi="Arial" w:cs="Arial"/>
          <w:sz w:val="36"/>
          <w:szCs w:val="36"/>
        </w:rPr>
        <w:t xml:space="preserve"> Khumalo</w:t>
      </w:r>
    </w:p>
    <w:p w14:paraId="51650935" w14:textId="77777777" w:rsidR="007764C7" w:rsidRPr="00C86076" w:rsidRDefault="007764C7" w:rsidP="007764C7">
      <w:pPr>
        <w:spacing w:line="276" w:lineRule="auto"/>
        <w:jc w:val="center"/>
        <w:rPr>
          <w:rFonts w:ascii="Arial" w:hAnsi="Arial" w:cs="Arial"/>
          <w:sz w:val="36"/>
          <w:szCs w:val="36"/>
        </w:rPr>
      </w:pPr>
      <w:r w:rsidRPr="00C86076">
        <w:rPr>
          <w:rFonts w:ascii="Arial" w:hAnsi="Arial" w:cs="Arial"/>
          <w:b/>
          <w:bCs/>
          <w:sz w:val="36"/>
          <w:szCs w:val="36"/>
        </w:rPr>
        <w:t xml:space="preserve">Assignment title: </w:t>
      </w:r>
      <w:r w:rsidRPr="00C86076">
        <w:rPr>
          <w:rFonts w:ascii="Arial" w:hAnsi="Arial" w:cs="Arial"/>
          <w:sz w:val="36"/>
          <w:szCs w:val="36"/>
        </w:rPr>
        <w:t>reflective report</w:t>
      </w:r>
    </w:p>
    <w:p w14:paraId="2C1F2663" w14:textId="75563C14" w:rsidR="007764C7" w:rsidRPr="00C86076" w:rsidRDefault="007764C7" w:rsidP="007764C7">
      <w:pPr>
        <w:spacing w:line="276" w:lineRule="auto"/>
        <w:jc w:val="center"/>
        <w:rPr>
          <w:rFonts w:ascii="Arial" w:hAnsi="Arial" w:cs="Arial"/>
          <w:sz w:val="36"/>
          <w:szCs w:val="36"/>
        </w:rPr>
      </w:pPr>
      <w:r w:rsidRPr="00C86076">
        <w:rPr>
          <w:rFonts w:ascii="Arial" w:hAnsi="Arial" w:cs="Arial"/>
          <w:b/>
          <w:bCs/>
          <w:sz w:val="36"/>
          <w:szCs w:val="36"/>
        </w:rPr>
        <w:t>Submission date:</w:t>
      </w:r>
      <w:r w:rsidRPr="00C86076">
        <w:rPr>
          <w:rFonts w:ascii="Arial" w:hAnsi="Arial" w:cs="Arial"/>
          <w:sz w:val="36"/>
          <w:szCs w:val="36"/>
        </w:rPr>
        <w:t xml:space="preserve"> </w:t>
      </w:r>
      <w:r>
        <w:rPr>
          <w:rFonts w:ascii="Arial" w:hAnsi="Arial" w:cs="Arial"/>
          <w:sz w:val="36"/>
          <w:szCs w:val="36"/>
        </w:rPr>
        <w:t>02</w:t>
      </w:r>
      <w:r w:rsidRPr="00C86076">
        <w:rPr>
          <w:rFonts w:ascii="Arial" w:hAnsi="Arial" w:cs="Arial"/>
          <w:sz w:val="36"/>
          <w:szCs w:val="36"/>
        </w:rPr>
        <w:t>/0</w:t>
      </w:r>
      <w:r>
        <w:rPr>
          <w:rFonts w:ascii="Arial" w:hAnsi="Arial" w:cs="Arial"/>
          <w:sz w:val="36"/>
          <w:szCs w:val="36"/>
        </w:rPr>
        <w:t>3</w:t>
      </w:r>
      <w:r w:rsidRPr="00C86076">
        <w:rPr>
          <w:rFonts w:ascii="Arial" w:hAnsi="Arial" w:cs="Arial"/>
          <w:sz w:val="36"/>
          <w:szCs w:val="36"/>
        </w:rPr>
        <w:t>/2026</w:t>
      </w:r>
    </w:p>
    <w:p w14:paraId="397C755E" w14:textId="217485C5" w:rsidR="00681D20" w:rsidRPr="007764C7" w:rsidRDefault="00681D20" w:rsidP="007764C7">
      <w:pPr>
        <w:spacing w:line="360" w:lineRule="auto"/>
        <w:jc w:val="both"/>
        <w:rPr>
          <w:rFonts w:ascii="Arial" w:hAnsi="Arial" w:cs="Arial"/>
        </w:rPr>
      </w:pPr>
    </w:p>
    <w:p w14:paraId="4FF0761A" w14:textId="77777777" w:rsidR="002474C6" w:rsidRPr="007764C7" w:rsidRDefault="002474C6" w:rsidP="007764C7">
      <w:pPr>
        <w:spacing w:line="360" w:lineRule="auto"/>
        <w:jc w:val="both"/>
        <w:rPr>
          <w:rFonts w:ascii="Arial" w:hAnsi="Arial" w:cs="Arial"/>
          <w:b/>
          <w:bCs/>
        </w:rPr>
      </w:pPr>
    </w:p>
    <w:p w14:paraId="43D60FA5" w14:textId="77777777" w:rsidR="002474C6" w:rsidRPr="007764C7" w:rsidRDefault="002474C6" w:rsidP="007764C7">
      <w:pPr>
        <w:spacing w:line="360" w:lineRule="auto"/>
        <w:jc w:val="both"/>
        <w:rPr>
          <w:rFonts w:ascii="Arial" w:hAnsi="Arial" w:cs="Arial"/>
          <w:b/>
          <w:bCs/>
        </w:rPr>
      </w:pPr>
    </w:p>
    <w:p w14:paraId="09661138" w14:textId="77777777" w:rsidR="002474C6" w:rsidRPr="007764C7" w:rsidRDefault="002474C6" w:rsidP="007764C7">
      <w:pPr>
        <w:spacing w:line="360" w:lineRule="auto"/>
        <w:jc w:val="both"/>
        <w:rPr>
          <w:rFonts w:ascii="Arial" w:hAnsi="Arial" w:cs="Arial"/>
          <w:b/>
          <w:bCs/>
        </w:rPr>
      </w:pPr>
    </w:p>
    <w:p w14:paraId="7E65D8A8" w14:textId="77777777" w:rsidR="002474C6" w:rsidRPr="007764C7" w:rsidRDefault="002474C6" w:rsidP="007764C7">
      <w:pPr>
        <w:spacing w:line="360" w:lineRule="auto"/>
        <w:jc w:val="both"/>
        <w:rPr>
          <w:rFonts w:ascii="Arial" w:hAnsi="Arial" w:cs="Arial"/>
          <w:b/>
          <w:bCs/>
        </w:rPr>
      </w:pPr>
    </w:p>
    <w:p w14:paraId="23C386DA" w14:textId="77777777" w:rsidR="002474C6" w:rsidRPr="007764C7" w:rsidRDefault="002474C6" w:rsidP="007764C7">
      <w:pPr>
        <w:spacing w:line="360" w:lineRule="auto"/>
        <w:jc w:val="both"/>
        <w:rPr>
          <w:rFonts w:ascii="Arial" w:hAnsi="Arial" w:cs="Arial"/>
          <w:b/>
          <w:bCs/>
        </w:rPr>
      </w:pPr>
    </w:p>
    <w:p w14:paraId="208922D4" w14:textId="77777777" w:rsidR="002474C6" w:rsidRPr="007764C7" w:rsidRDefault="002474C6" w:rsidP="007764C7">
      <w:pPr>
        <w:spacing w:line="360" w:lineRule="auto"/>
        <w:jc w:val="both"/>
        <w:rPr>
          <w:rFonts w:ascii="Arial" w:hAnsi="Arial" w:cs="Arial"/>
          <w:b/>
          <w:bCs/>
        </w:rPr>
      </w:pPr>
    </w:p>
    <w:p w14:paraId="3F46D621" w14:textId="77777777" w:rsidR="002474C6" w:rsidRPr="007764C7" w:rsidRDefault="002474C6" w:rsidP="007764C7">
      <w:pPr>
        <w:spacing w:line="360" w:lineRule="auto"/>
        <w:jc w:val="both"/>
        <w:rPr>
          <w:rFonts w:ascii="Arial" w:hAnsi="Arial" w:cs="Arial"/>
          <w:b/>
          <w:bCs/>
        </w:rPr>
      </w:pPr>
    </w:p>
    <w:p w14:paraId="501C62C1" w14:textId="77777777" w:rsidR="005606B2" w:rsidRDefault="005606B2" w:rsidP="007764C7">
      <w:pPr>
        <w:spacing w:line="360" w:lineRule="auto"/>
        <w:jc w:val="both"/>
        <w:rPr>
          <w:rFonts w:ascii="Arial" w:hAnsi="Arial" w:cs="Arial"/>
          <w:b/>
          <w:bCs/>
          <w:u w:val="single"/>
        </w:rPr>
      </w:pPr>
    </w:p>
    <w:p w14:paraId="23C94D21" w14:textId="77777777" w:rsidR="005606B2" w:rsidRDefault="005606B2" w:rsidP="007764C7">
      <w:pPr>
        <w:spacing w:line="360" w:lineRule="auto"/>
        <w:jc w:val="both"/>
        <w:rPr>
          <w:rFonts w:ascii="Arial" w:hAnsi="Arial" w:cs="Arial"/>
          <w:b/>
          <w:bCs/>
          <w:u w:val="single"/>
        </w:rPr>
      </w:pPr>
    </w:p>
    <w:p w14:paraId="3D0DDD50" w14:textId="77777777" w:rsidR="005606B2" w:rsidRDefault="005606B2" w:rsidP="007764C7">
      <w:pPr>
        <w:spacing w:line="360" w:lineRule="auto"/>
        <w:jc w:val="both"/>
        <w:rPr>
          <w:rFonts w:ascii="Arial" w:hAnsi="Arial" w:cs="Arial"/>
          <w:b/>
          <w:bCs/>
          <w:u w:val="single"/>
        </w:rPr>
      </w:pPr>
    </w:p>
    <w:p w14:paraId="2EEB5649" w14:textId="77777777" w:rsidR="005606B2" w:rsidRDefault="005606B2" w:rsidP="007764C7">
      <w:pPr>
        <w:spacing w:line="360" w:lineRule="auto"/>
        <w:jc w:val="both"/>
        <w:rPr>
          <w:rFonts w:ascii="Arial" w:hAnsi="Arial" w:cs="Arial"/>
          <w:b/>
          <w:bCs/>
          <w:u w:val="single"/>
        </w:rPr>
      </w:pPr>
    </w:p>
    <w:p w14:paraId="37E8DB26" w14:textId="77777777" w:rsidR="005606B2" w:rsidRDefault="005606B2" w:rsidP="007764C7">
      <w:pPr>
        <w:spacing w:line="360" w:lineRule="auto"/>
        <w:jc w:val="both"/>
        <w:rPr>
          <w:rFonts w:ascii="Arial" w:hAnsi="Arial" w:cs="Arial"/>
          <w:b/>
          <w:bCs/>
          <w:u w:val="single"/>
        </w:rPr>
      </w:pPr>
    </w:p>
    <w:p w14:paraId="65D8FFAE" w14:textId="77777777" w:rsidR="005606B2" w:rsidRDefault="005606B2" w:rsidP="007764C7">
      <w:pPr>
        <w:spacing w:line="360" w:lineRule="auto"/>
        <w:jc w:val="both"/>
        <w:rPr>
          <w:rFonts w:ascii="Arial" w:hAnsi="Arial" w:cs="Arial"/>
          <w:b/>
          <w:bCs/>
          <w:u w:val="single"/>
        </w:rPr>
      </w:pPr>
    </w:p>
    <w:p w14:paraId="301A6552" w14:textId="77777777" w:rsidR="005606B2" w:rsidRDefault="005606B2" w:rsidP="007764C7">
      <w:pPr>
        <w:spacing w:line="360" w:lineRule="auto"/>
        <w:jc w:val="both"/>
        <w:rPr>
          <w:rFonts w:ascii="Arial" w:hAnsi="Arial" w:cs="Arial"/>
          <w:b/>
          <w:bCs/>
          <w:u w:val="single"/>
        </w:rPr>
      </w:pPr>
    </w:p>
    <w:p w14:paraId="70E3E157" w14:textId="77777777" w:rsidR="005606B2" w:rsidRPr="005606B2" w:rsidRDefault="005606B2" w:rsidP="005606B2">
      <w:pPr>
        <w:spacing w:line="360" w:lineRule="auto"/>
        <w:jc w:val="both"/>
        <w:rPr>
          <w:rFonts w:ascii="Arial" w:hAnsi="Arial" w:cs="Arial"/>
          <w:b/>
          <w:bCs/>
        </w:rPr>
      </w:pPr>
      <w:r w:rsidRPr="005606B2">
        <w:rPr>
          <w:rFonts w:ascii="Arial" w:hAnsi="Arial" w:cs="Arial"/>
          <w:b/>
          <w:bCs/>
        </w:rPr>
        <w:lastRenderedPageBreak/>
        <w:t>Table of contents</w:t>
      </w:r>
    </w:p>
    <w:p w14:paraId="7148B499" w14:textId="77777777" w:rsidR="005606B2" w:rsidRPr="005606B2" w:rsidRDefault="005606B2" w:rsidP="005606B2">
      <w:pPr>
        <w:spacing w:line="360" w:lineRule="auto"/>
        <w:jc w:val="both"/>
        <w:rPr>
          <w:rFonts w:ascii="Arial" w:hAnsi="Arial" w:cs="Arial"/>
          <w:b/>
          <w:bCs/>
        </w:rPr>
      </w:pPr>
      <w:r w:rsidRPr="005606B2">
        <w:rPr>
          <w:rFonts w:ascii="Arial" w:hAnsi="Arial" w:cs="Arial"/>
          <w:b/>
          <w:bCs/>
        </w:rPr>
        <w:t>Cover page………………………………………………………………………………………….1</w:t>
      </w:r>
    </w:p>
    <w:p w14:paraId="0D45444D" w14:textId="77777777" w:rsidR="005606B2" w:rsidRPr="005606B2" w:rsidRDefault="005606B2" w:rsidP="005606B2">
      <w:pPr>
        <w:spacing w:line="360" w:lineRule="auto"/>
        <w:jc w:val="both"/>
        <w:rPr>
          <w:rFonts w:ascii="Arial" w:hAnsi="Arial" w:cs="Arial"/>
          <w:b/>
          <w:bCs/>
        </w:rPr>
      </w:pPr>
      <w:r w:rsidRPr="005606B2">
        <w:rPr>
          <w:rFonts w:ascii="Arial" w:hAnsi="Arial" w:cs="Arial"/>
          <w:b/>
          <w:bCs/>
        </w:rPr>
        <w:t>Summary…………………………………………………………………………………………….2</w:t>
      </w:r>
    </w:p>
    <w:p w14:paraId="3559F50C" w14:textId="6A7FE786" w:rsidR="005606B2" w:rsidRPr="005606B2" w:rsidRDefault="005606B2" w:rsidP="005606B2">
      <w:pPr>
        <w:spacing w:line="360" w:lineRule="auto"/>
        <w:jc w:val="both"/>
        <w:rPr>
          <w:rFonts w:ascii="Arial" w:hAnsi="Arial" w:cs="Arial"/>
          <w:b/>
          <w:bCs/>
        </w:rPr>
      </w:pPr>
      <w:r w:rsidRPr="005606B2">
        <w:rPr>
          <w:rFonts w:ascii="Arial" w:hAnsi="Arial" w:cs="Arial"/>
          <w:b/>
          <w:bCs/>
        </w:rPr>
        <w:t>Introduction………………………………………………………………………………………</w:t>
      </w:r>
      <w:r w:rsidR="00D91A81">
        <w:rPr>
          <w:rFonts w:ascii="Arial" w:hAnsi="Arial" w:cs="Arial"/>
          <w:b/>
          <w:bCs/>
        </w:rPr>
        <w:t>…</w:t>
      </w:r>
      <w:r w:rsidRPr="005606B2">
        <w:rPr>
          <w:rFonts w:ascii="Arial" w:hAnsi="Arial" w:cs="Arial"/>
          <w:b/>
          <w:bCs/>
        </w:rPr>
        <w:t>3</w:t>
      </w:r>
    </w:p>
    <w:p w14:paraId="571A943E" w14:textId="09AAFABE" w:rsidR="005606B2" w:rsidRPr="005606B2" w:rsidRDefault="005606B2" w:rsidP="005606B2">
      <w:pPr>
        <w:spacing w:line="360" w:lineRule="auto"/>
        <w:jc w:val="both"/>
        <w:rPr>
          <w:rFonts w:ascii="Arial" w:hAnsi="Arial" w:cs="Arial"/>
          <w:b/>
          <w:bCs/>
        </w:rPr>
      </w:pPr>
      <w:r w:rsidRPr="005606B2">
        <w:rPr>
          <w:rFonts w:ascii="Arial" w:hAnsi="Arial" w:cs="Arial"/>
          <w:b/>
          <w:bCs/>
        </w:rPr>
        <w:t>Task1: Person-Centred Care…………………………………………………………………..3-</w:t>
      </w:r>
      <w:r w:rsidR="00D91A81">
        <w:rPr>
          <w:rFonts w:ascii="Arial" w:hAnsi="Arial" w:cs="Arial"/>
          <w:b/>
          <w:bCs/>
        </w:rPr>
        <w:t>5</w:t>
      </w:r>
    </w:p>
    <w:p w14:paraId="7AD276A4" w14:textId="61E6D34E" w:rsidR="00D91A81" w:rsidRPr="00D91A81" w:rsidRDefault="00D91A81" w:rsidP="00D91A81">
      <w:pPr>
        <w:spacing w:line="360" w:lineRule="auto"/>
        <w:jc w:val="both"/>
        <w:rPr>
          <w:rFonts w:ascii="Arial" w:hAnsi="Arial" w:cs="Arial"/>
          <w:b/>
          <w:bCs/>
        </w:rPr>
      </w:pPr>
      <w:r w:rsidRPr="00D91A81">
        <w:rPr>
          <w:rFonts w:ascii="Arial" w:hAnsi="Arial" w:cs="Arial"/>
          <w:b/>
          <w:bCs/>
        </w:rPr>
        <w:t>Task 2: Practical Examples of Concepts in Practice</w:t>
      </w:r>
      <w:r>
        <w:rPr>
          <w:rFonts w:ascii="Arial" w:hAnsi="Arial" w:cs="Arial"/>
          <w:b/>
          <w:bCs/>
        </w:rPr>
        <w:t>……………………………………...6-7</w:t>
      </w:r>
    </w:p>
    <w:p w14:paraId="29A8D495" w14:textId="3FE1C991" w:rsidR="005606B2" w:rsidRPr="005606B2" w:rsidRDefault="00D91A81" w:rsidP="005606B2">
      <w:pPr>
        <w:spacing w:line="360" w:lineRule="auto"/>
        <w:jc w:val="both"/>
        <w:rPr>
          <w:rFonts w:ascii="Arial" w:hAnsi="Arial" w:cs="Arial"/>
          <w:b/>
          <w:bCs/>
        </w:rPr>
      </w:pPr>
      <w:r w:rsidRPr="00D91A81">
        <w:rPr>
          <w:rFonts w:ascii="Arial" w:hAnsi="Arial" w:cs="Arial"/>
          <w:b/>
          <w:bCs/>
        </w:rPr>
        <w:t>Task 3: Description, Feelings, Evaluation, Analysis, Action</w:t>
      </w:r>
      <w:r>
        <w:rPr>
          <w:rFonts w:ascii="Arial" w:hAnsi="Arial" w:cs="Arial"/>
          <w:b/>
          <w:bCs/>
        </w:rPr>
        <w:t>…………………………….7-9</w:t>
      </w:r>
    </w:p>
    <w:p w14:paraId="4CF0144C" w14:textId="230B4265" w:rsidR="005606B2" w:rsidRPr="005606B2" w:rsidRDefault="005606B2" w:rsidP="005606B2">
      <w:pPr>
        <w:spacing w:line="360" w:lineRule="auto"/>
        <w:jc w:val="both"/>
        <w:rPr>
          <w:rFonts w:ascii="Arial" w:hAnsi="Arial" w:cs="Arial"/>
          <w:b/>
          <w:bCs/>
        </w:rPr>
      </w:pPr>
      <w:r w:rsidRPr="005606B2">
        <w:rPr>
          <w:rFonts w:ascii="Arial" w:hAnsi="Arial" w:cs="Arial"/>
          <w:b/>
          <w:bCs/>
        </w:rPr>
        <w:t>Conclusion…………………………………………………………………………………………..</w:t>
      </w:r>
      <w:r w:rsidR="00D91A81">
        <w:rPr>
          <w:rFonts w:ascii="Arial" w:hAnsi="Arial" w:cs="Arial"/>
          <w:b/>
          <w:bCs/>
        </w:rPr>
        <w:t>9</w:t>
      </w:r>
    </w:p>
    <w:p w14:paraId="31477BFB" w14:textId="5E861324" w:rsidR="005606B2" w:rsidRPr="005606B2" w:rsidRDefault="005606B2" w:rsidP="005606B2">
      <w:pPr>
        <w:spacing w:line="360" w:lineRule="auto"/>
        <w:jc w:val="both"/>
        <w:rPr>
          <w:rFonts w:ascii="Arial" w:hAnsi="Arial" w:cs="Arial"/>
          <w:b/>
          <w:bCs/>
        </w:rPr>
      </w:pPr>
      <w:r w:rsidRPr="005606B2">
        <w:rPr>
          <w:rFonts w:ascii="Arial" w:hAnsi="Arial" w:cs="Arial"/>
          <w:b/>
          <w:bCs/>
        </w:rPr>
        <w:t>References…………………………………………………………………………………………</w:t>
      </w:r>
      <w:r w:rsidR="00D91A81">
        <w:rPr>
          <w:rFonts w:ascii="Arial" w:hAnsi="Arial" w:cs="Arial"/>
          <w:b/>
          <w:bCs/>
        </w:rPr>
        <w:t>10</w:t>
      </w:r>
    </w:p>
    <w:p w14:paraId="1E6C13E4" w14:textId="77777777" w:rsidR="005606B2" w:rsidRPr="005606B2" w:rsidRDefault="005606B2" w:rsidP="005606B2">
      <w:pPr>
        <w:spacing w:line="360" w:lineRule="auto"/>
        <w:jc w:val="both"/>
        <w:rPr>
          <w:rFonts w:ascii="Arial" w:hAnsi="Arial" w:cs="Arial"/>
          <w:b/>
          <w:bCs/>
        </w:rPr>
      </w:pPr>
    </w:p>
    <w:p w14:paraId="3343E526" w14:textId="77777777" w:rsidR="005606B2" w:rsidRPr="005606B2" w:rsidRDefault="005606B2" w:rsidP="005606B2">
      <w:pPr>
        <w:spacing w:line="360" w:lineRule="auto"/>
        <w:jc w:val="both"/>
        <w:rPr>
          <w:rFonts w:ascii="Arial" w:hAnsi="Arial" w:cs="Arial"/>
          <w:b/>
          <w:bCs/>
          <w:u w:val="single"/>
        </w:rPr>
      </w:pPr>
      <w:r w:rsidRPr="005606B2">
        <w:rPr>
          <w:rFonts w:ascii="Arial" w:hAnsi="Arial" w:cs="Arial"/>
          <w:b/>
          <w:bCs/>
          <w:u w:val="single"/>
        </w:rPr>
        <w:t>Summary</w:t>
      </w:r>
    </w:p>
    <w:p w14:paraId="4EBABC0B" w14:textId="77777777" w:rsidR="005606B2" w:rsidRPr="005606B2" w:rsidRDefault="005606B2" w:rsidP="005606B2">
      <w:pPr>
        <w:spacing w:line="360" w:lineRule="auto"/>
        <w:jc w:val="both"/>
        <w:rPr>
          <w:rFonts w:ascii="Arial" w:hAnsi="Arial" w:cs="Arial"/>
        </w:rPr>
      </w:pPr>
      <w:r w:rsidRPr="005606B2">
        <w:rPr>
          <w:rFonts w:ascii="Arial" w:hAnsi="Arial" w:cs="Arial"/>
        </w:rPr>
        <w:t>This assignment explores the three important areas of effective health and social care practice: person centred care, partnership working and ethics. These three principles underpin high quality, safe and compassionate care within the UK health and social care system. Task 1 examines person centred care and provides definitions that discuss its importance and links it to relevant legislation and practice. Task 2 focuses on partnership working, exploring definitions, benefits, challenges, and the role of policy in promoting integrated care. Task 3 provides an in-depth analysis of ethics in health and social care, including definitions ethical principles and professional responsibilities as well as the application of ethical decision making in practice. The assignment concludes by highlighting how these three principles together improve services quality, promote dignity and  make sure that people are always part of the care planning and service delivery.</w:t>
      </w:r>
    </w:p>
    <w:p w14:paraId="6CCCD8A5" w14:textId="77777777" w:rsidR="005606B2" w:rsidRPr="005606B2" w:rsidRDefault="005606B2" w:rsidP="005606B2">
      <w:pPr>
        <w:spacing w:line="360" w:lineRule="auto"/>
        <w:jc w:val="both"/>
        <w:rPr>
          <w:rFonts w:ascii="Arial" w:hAnsi="Arial" w:cs="Arial"/>
        </w:rPr>
      </w:pPr>
      <w:r w:rsidRPr="005606B2">
        <w:rPr>
          <w:rFonts w:ascii="Arial" w:hAnsi="Arial" w:cs="Arial"/>
        </w:rPr>
        <w:t>In addition, the assignment critically reflects on how these principles operate in real practice settings. It considers the responsibilities of professionals working within multidisciplinary environments and recognises the challenges that can affect implementation. The discussion demonstrates that although policies strongly promote these approaches, their success depends on the attitudes, skills and accountability of practitioners.</w:t>
      </w:r>
    </w:p>
    <w:p w14:paraId="09A02C4E" w14:textId="77777777" w:rsidR="005606B2" w:rsidRPr="005606B2" w:rsidRDefault="005606B2" w:rsidP="005606B2">
      <w:pPr>
        <w:spacing w:line="360" w:lineRule="auto"/>
        <w:jc w:val="both"/>
        <w:rPr>
          <w:rFonts w:ascii="Arial" w:hAnsi="Arial" w:cs="Arial"/>
        </w:rPr>
      </w:pPr>
    </w:p>
    <w:p w14:paraId="0959E1E6" w14:textId="77777777" w:rsidR="005606B2" w:rsidRPr="005606B2" w:rsidRDefault="005606B2" w:rsidP="005606B2">
      <w:pPr>
        <w:spacing w:line="360" w:lineRule="auto"/>
        <w:jc w:val="both"/>
        <w:rPr>
          <w:rFonts w:ascii="Arial" w:hAnsi="Arial" w:cs="Arial"/>
        </w:rPr>
      </w:pPr>
    </w:p>
    <w:p w14:paraId="0E4F806D" w14:textId="77777777" w:rsidR="005606B2" w:rsidRPr="005606B2" w:rsidRDefault="005606B2" w:rsidP="005606B2">
      <w:pPr>
        <w:spacing w:line="360" w:lineRule="auto"/>
        <w:jc w:val="both"/>
        <w:rPr>
          <w:rFonts w:ascii="Arial" w:hAnsi="Arial" w:cs="Arial"/>
          <w:b/>
          <w:bCs/>
          <w:u w:val="single"/>
        </w:rPr>
      </w:pPr>
    </w:p>
    <w:p w14:paraId="60D05146" w14:textId="583BEF13" w:rsidR="005606B2" w:rsidRPr="005606B2" w:rsidRDefault="005606B2" w:rsidP="005606B2">
      <w:pPr>
        <w:spacing w:line="360" w:lineRule="auto"/>
        <w:jc w:val="both"/>
        <w:rPr>
          <w:rFonts w:ascii="Arial" w:hAnsi="Arial" w:cs="Arial"/>
          <w:b/>
          <w:bCs/>
          <w:u w:val="single"/>
        </w:rPr>
      </w:pPr>
      <w:r w:rsidRPr="005606B2">
        <w:rPr>
          <w:rFonts w:ascii="Arial" w:hAnsi="Arial" w:cs="Arial"/>
          <w:b/>
          <w:bCs/>
          <w:u w:val="single"/>
        </w:rPr>
        <w:lastRenderedPageBreak/>
        <w:t>Introduction</w:t>
      </w:r>
    </w:p>
    <w:p w14:paraId="32CAD953" w14:textId="77777777" w:rsidR="005606B2" w:rsidRPr="005606B2" w:rsidRDefault="005606B2" w:rsidP="005606B2">
      <w:pPr>
        <w:spacing w:line="360" w:lineRule="auto"/>
        <w:jc w:val="both"/>
        <w:rPr>
          <w:rFonts w:ascii="Arial" w:hAnsi="Arial" w:cs="Arial"/>
        </w:rPr>
      </w:pPr>
      <w:r w:rsidRPr="005606B2">
        <w:rPr>
          <w:rFonts w:ascii="Arial" w:hAnsi="Arial" w:cs="Arial"/>
        </w:rPr>
        <w:t>In the United Kingdom Health and Social Care is guided by principles that make sure people receive safe effective and compassionate support. Within these principles, person centred care, partnership working and ethics are central to professional practice. These concepts are embedded in legislation, professional standards and national policy frameworks, shaping how practitioners engage with individuals, families and multidisciplinary teams. This assignment examines each principle in depth, demonstrating how they contribute to improved outcomes and high-quality care. The structure follows three tasks: person centred care, partnership working and ethics in health and social care practice. Each of the principles will be supported by academic literature and policy guidance.</w:t>
      </w:r>
    </w:p>
    <w:p w14:paraId="2B001866" w14:textId="77777777" w:rsidR="005606B2" w:rsidRPr="005606B2" w:rsidRDefault="005606B2" w:rsidP="005606B2">
      <w:pPr>
        <w:spacing w:line="360" w:lineRule="auto"/>
        <w:jc w:val="both"/>
        <w:rPr>
          <w:rFonts w:ascii="Arial" w:hAnsi="Arial" w:cs="Arial"/>
        </w:rPr>
      </w:pPr>
      <w:r w:rsidRPr="005606B2">
        <w:rPr>
          <w:rFonts w:ascii="Arial" w:hAnsi="Arial" w:cs="Arial"/>
        </w:rPr>
        <w:t>Modern health and social care services support individuals with complex and diverse needs. An ageing population, long-term conditions, mental health challenges and social inequalities require professionals to work in ways that are respectful, coordinated and morally responsible. Therefore, understanding these three principles is essential for any future practitioner. They are not separate ideas but interconnected foundations that guide daily decision-making, communication and service delivery (United Kingdom Government, 2023).</w:t>
      </w:r>
    </w:p>
    <w:p w14:paraId="622D49F2" w14:textId="49FAE1BD" w:rsidR="00E800BE" w:rsidRPr="00E800BE" w:rsidRDefault="00E800BE" w:rsidP="007764C7">
      <w:pPr>
        <w:spacing w:line="360" w:lineRule="auto"/>
        <w:jc w:val="both"/>
        <w:rPr>
          <w:rFonts w:ascii="Arial" w:hAnsi="Arial" w:cs="Arial"/>
          <w:b/>
          <w:bCs/>
          <w:u w:val="single"/>
        </w:rPr>
      </w:pPr>
      <w:r w:rsidRPr="00E800BE">
        <w:rPr>
          <w:rFonts w:ascii="Arial" w:hAnsi="Arial" w:cs="Arial"/>
          <w:b/>
          <w:bCs/>
          <w:u w:val="single"/>
        </w:rPr>
        <w:t>Task 1: Person Centred Care</w:t>
      </w:r>
    </w:p>
    <w:p w14:paraId="6914DE7C" w14:textId="77777777" w:rsidR="00413E4C" w:rsidRDefault="00E800BE" w:rsidP="007764C7">
      <w:pPr>
        <w:spacing w:line="360" w:lineRule="auto"/>
        <w:jc w:val="both"/>
        <w:rPr>
          <w:rFonts w:ascii="Arial" w:hAnsi="Arial" w:cs="Arial"/>
          <w:b/>
          <w:bCs/>
        </w:rPr>
      </w:pPr>
      <w:r w:rsidRPr="00E800BE">
        <w:rPr>
          <w:rFonts w:ascii="Arial" w:hAnsi="Arial" w:cs="Arial"/>
          <w:b/>
          <w:bCs/>
        </w:rPr>
        <w:t>Definitions</w:t>
      </w:r>
    </w:p>
    <w:p w14:paraId="4383039C" w14:textId="2D3F1BA9" w:rsidR="00E800BE" w:rsidRPr="00E800BE" w:rsidRDefault="00E800BE" w:rsidP="007764C7">
      <w:pPr>
        <w:spacing w:line="360" w:lineRule="auto"/>
        <w:jc w:val="both"/>
        <w:rPr>
          <w:rFonts w:ascii="Arial" w:hAnsi="Arial" w:cs="Arial"/>
          <w:b/>
          <w:bCs/>
        </w:rPr>
      </w:pPr>
      <w:r w:rsidRPr="00E800BE">
        <w:rPr>
          <w:rFonts w:ascii="Arial" w:hAnsi="Arial" w:cs="Arial"/>
        </w:rPr>
        <w:t>Person centred care places individuals at the centre of decisions, ensuring their needs and values guide care (Mathers &amp; Paynton, 2016). The NHS describes it as personalised and empowering care that enables people to take control of their health (NHS England, 2023). Coulter and Oldham state that “person centred care involves shared decision-making and collaboration between professionals and service users” (Coulter &amp; Oldham, 2016). The Care Act 2014 reinforces this by focusing on wellbeing.</w:t>
      </w:r>
    </w:p>
    <w:p w14:paraId="142E5A81"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Importance of Person-Centred Care</w:t>
      </w:r>
    </w:p>
    <w:p w14:paraId="5152D0BE" w14:textId="77777777" w:rsidR="00E800BE" w:rsidRPr="00E800BE" w:rsidRDefault="00E800BE" w:rsidP="007764C7">
      <w:pPr>
        <w:spacing w:line="360" w:lineRule="auto"/>
        <w:jc w:val="both"/>
        <w:rPr>
          <w:rFonts w:ascii="Arial" w:hAnsi="Arial" w:cs="Arial"/>
        </w:rPr>
      </w:pPr>
      <w:r w:rsidRPr="00E800BE">
        <w:rPr>
          <w:rFonts w:ascii="Arial" w:hAnsi="Arial" w:cs="Arial"/>
        </w:rPr>
        <w:t>This approach promotes dignity, autonomy and respect. It encourages individuals to take part in decisions, improving satisfaction and outcomes (Edgman-Levitan &amp; Schoenbaum, 2021). It aligns with the Care Act 2014, which highlights wellbeing and choice.</w:t>
      </w:r>
    </w:p>
    <w:p w14:paraId="711EE69B" w14:textId="77777777" w:rsidR="00E800BE" w:rsidRPr="00E800BE" w:rsidRDefault="00E800BE" w:rsidP="007764C7">
      <w:pPr>
        <w:spacing w:line="360" w:lineRule="auto"/>
        <w:jc w:val="both"/>
        <w:rPr>
          <w:rFonts w:ascii="Arial" w:hAnsi="Arial" w:cs="Arial"/>
        </w:rPr>
      </w:pPr>
      <w:r w:rsidRPr="00E800BE">
        <w:rPr>
          <w:rFonts w:ascii="Arial" w:hAnsi="Arial" w:cs="Arial"/>
        </w:rPr>
        <w:t>When individuals feel listened to, they are more likely to follow care plans, improving long-term condition management. It also promotes equality by recognising culture, religion and beliefs, reducing discrimination (Sharma, Bamford &amp; Dodman, 2016).</w:t>
      </w:r>
    </w:p>
    <w:p w14:paraId="4981C37E"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Application in Practice</w:t>
      </w:r>
    </w:p>
    <w:p w14:paraId="123583EE" w14:textId="77777777" w:rsidR="00E800BE" w:rsidRPr="00E800BE" w:rsidRDefault="00E800BE" w:rsidP="007764C7">
      <w:pPr>
        <w:spacing w:line="360" w:lineRule="auto"/>
        <w:jc w:val="both"/>
        <w:rPr>
          <w:rFonts w:ascii="Arial" w:hAnsi="Arial" w:cs="Arial"/>
        </w:rPr>
      </w:pPr>
      <w:r w:rsidRPr="00E800BE">
        <w:rPr>
          <w:rFonts w:ascii="Arial" w:hAnsi="Arial" w:cs="Arial"/>
        </w:rPr>
        <w:lastRenderedPageBreak/>
        <w:t>Professionals must listen and tailor care to personal preferences. For example, a person with dementia may prefer to remain at home. Capacity should be assessed under the Mental Capacity Act 2005, and informed decisions supported. Personalised care plans and shared decision-making models guide this process (Lee, Yang &amp; Lee, 2022).</w:t>
      </w:r>
    </w:p>
    <w:p w14:paraId="2A12FC0E" w14:textId="77777777" w:rsidR="00E800BE" w:rsidRPr="00E800BE" w:rsidRDefault="00E800BE" w:rsidP="007764C7">
      <w:pPr>
        <w:spacing w:line="360" w:lineRule="auto"/>
        <w:jc w:val="both"/>
        <w:rPr>
          <w:rFonts w:ascii="Arial" w:hAnsi="Arial" w:cs="Arial"/>
        </w:rPr>
      </w:pPr>
      <w:r w:rsidRPr="00E800BE">
        <w:rPr>
          <w:rFonts w:ascii="Arial" w:hAnsi="Arial" w:cs="Arial"/>
        </w:rPr>
        <w:t>Clear communication, accessible information and advocacy are important. Risk assessments should balance safety with independence.</w:t>
      </w:r>
    </w:p>
    <w:p w14:paraId="355C8093"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Policy and Legislation</w:t>
      </w:r>
    </w:p>
    <w:p w14:paraId="38BD58ED" w14:textId="77777777" w:rsidR="00E800BE" w:rsidRPr="00E800BE" w:rsidRDefault="00E800BE" w:rsidP="007764C7">
      <w:pPr>
        <w:spacing w:line="360" w:lineRule="auto"/>
        <w:jc w:val="both"/>
        <w:rPr>
          <w:rFonts w:ascii="Arial" w:hAnsi="Arial" w:cs="Arial"/>
        </w:rPr>
      </w:pPr>
      <w:r w:rsidRPr="00E800BE">
        <w:rPr>
          <w:rFonts w:ascii="Arial" w:hAnsi="Arial" w:cs="Arial"/>
        </w:rPr>
        <w:t>The NHS Long Term Plan promotes personalised care and shared decision-making (NHS England, 2019). NICE guidelines and CQC standards emphasise involvement and accountability (Blake, Sparrow &amp; Field, 2015). These frameworks make person centred care a professional requirement.</w:t>
      </w:r>
    </w:p>
    <w:p w14:paraId="5309478D"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Critical Discussion</w:t>
      </w:r>
    </w:p>
    <w:p w14:paraId="260AC2B1" w14:textId="77777777" w:rsidR="00E800BE" w:rsidRPr="00E800BE" w:rsidRDefault="00E800BE" w:rsidP="007764C7">
      <w:pPr>
        <w:spacing w:line="360" w:lineRule="auto"/>
        <w:jc w:val="both"/>
        <w:rPr>
          <w:rFonts w:ascii="Arial" w:hAnsi="Arial" w:cs="Arial"/>
        </w:rPr>
      </w:pPr>
      <w:r w:rsidRPr="00E800BE">
        <w:rPr>
          <w:rFonts w:ascii="Arial" w:hAnsi="Arial" w:cs="Arial"/>
        </w:rPr>
        <w:t xml:space="preserve">Challenges include staff shortages, time pressures and balancing autonomy with safety. Administrative work can limit direct contact. However, reflective practice and ongoing professional development support good standards (Kwame &amp; </w:t>
      </w:r>
      <w:proofErr w:type="spellStart"/>
      <w:r w:rsidRPr="00E800BE">
        <w:rPr>
          <w:rFonts w:ascii="Arial" w:hAnsi="Arial" w:cs="Arial"/>
        </w:rPr>
        <w:t>Petrucka</w:t>
      </w:r>
      <w:proofErr w:type="spellEnd"/>
      <w:r w:rsidRPr="00E800BE">
        <w:rPr>
          <w:rFonts w:ascii="Arial" w:hAnsi="Arial" w:cs="Arial"/>
        </w:rPr>
        <w:t>, 2021).</w:t>
      </w:r>
    </w:p>
    <w:p w14:paraId="05DBCB4F" w14:textId="77777777" w:rsidR="00E800BE" w:rsidRPr="00E800BE" w:rsidRDefault="00E800BE" w:rsidP="007764C7">
      <w:pPr>
        <w:spacing w:line="360" w:lineRule="auto"/>
        <w:jc w:val="both"/>
        <w:rPr>
          <w:rFonts w:ascii="Arial" w:hAnsi="Arial" w:cs="Arial"/>
        </w:rPr>
      </w:pPr>
      <w:r w:rsidRPr="00E800BE">
        <w:rPr>
          <w:rFonts w:ascii="Arial" w:hAnsi="Arial" w:cs="Arial"/>
        </w:rPr>
        <w:t>Partnership Working</w:t>
      </w:r>
    </w:p>
    <w:p w14:paraId="5C13425B"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Definitions</w:t>
      </w:r>
    </w:p>
    <w:p w14:paraId="69E580C9" w14:textId="77777777" w:rsidR="00E800BE" w:rsidRPr="00E800BE" w:rsidRDefault="00E800BE" w:rsidP="007764C7">
      <w:pPr>
        <w:spacing w:line="360" w:lineRule="auto"/>
        <w:jc w:val="both"/>
        <w:rPr>
          <w:rFonts w:ascii="Arial" w:hAnsi="Arial" w:cs="Arial"/>
        </w:rPr>
      </w:pPr>
      <w:r w:rsidRPr="00E800BE">
        <w:rPr>
          <w:rFonts w:ascii="Arial" w:hAnsi="Arial" w:cs="Arial"/>
        </w:rPr>
        <w:t>Partnership working involves collaboration between professionals and organisations to achieve shared goals. Glasby and Dickinson describe it as coordinated action to deliver integrated services. SCIE (2020) states it brings expertise together to improve outcomes. The Department of Health (2012) highlights shared responsibility and accountability (Glasby, Dickinson &amp; Miller, 2011).</w:t>
      </w:r>
    </w:p>
    <w:p w14:paraId="248A9628"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Importance of Partnership Working</w:t>
      </w:r>
    </w:p>
    <w:p w14:paraId="73AF4F06" w14:textId="77777777" w:rsidR="00E800BE" w:rsidRPr="00E800BE" w:rsidRDefault="00E800BE" w:rsidP="007764C7">
      <w:pPr>
        <w:spacing w:line="360" w:lineRule="auto"/>
        <w:jc w:val="both"/>
        <w:rPr>
          <w:rFonts w:ascii="Arial" w:hAnsi="Arial" w:cs="Arial"/>
        </w:rPr>
      </w:pPr>
      <w:r w:rsidRPr="00E800BE">
        <w:rPr>
          <w:rFonts w:ascii="Arial" w:hAnsi="Arial" w:cs="Arial"/>
        </w:rPr>
        <w:t>Care needs are often complex and require multi-agency input. Collaboration improves communication, reduces duplication and strengthens safeguarding through information sharing. Without coordination, services can become fragmented.</w:t>
      </w:r>
    </w:p>
    <w:p w14:paraId="277798DC"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Examples in Practice</w:t>
      </w:r>
    </w:p>
    <w:p w14:paraId="322FF72E" w14:textId="77777777" w:rsidR="00E800BE" w:rsidRPr="00E800BE" w:rsidRDefault="00E800BE" w:rsidP="007764C7">
      <w:pPr>
        <w:spacing w:line="360" w:lineRule="auto"/>
        <w:jc w:val="both"/>
        <w:rPr>
          <w:rFonts w:ascii="Arial" w:hAnsi="Arial" w:cs="Arial"/>
        </w:rPr>
      </w:pPr>
      <w:r w:rsidRPr="00E800BE">
        <w:rPr>
          <w:rFonts w:ascii="Arial" w:hAnsi="Arial" w:cs="Arial"/>
        </w:rPr>
        <w:t>Hospital discharge planning involves nurses, social workers and therapists working together to ensure safe transitions. Multidisciplinary team meetings in mental health services support coordinated care plans (Gonçalves-Bradley et al., 2022). Safeguarding Adults Boards also demonstrate partnership working.</w:t>
      </w:r>
    </w:p>
    <w:p w14:paraId="752A6F95"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lastRenderedPageBreak/>
        <w:t>Benefits and Challenges</w:t>
      </w:r>
    </w:p>
    <w:p w14:paraId="78079917" w14:textId="77777777" w:rsidR="00E800BE" w:rsidRPr="00E800BE" w:rsidRDefault="00E800BE" w:rsidP="007764C7">
      <w:pPr>
        <w:spacing w:line="360" w:lineRule="auto"/>
        <w:jc w:val="both"/>
        <w:rPr>
          <w:rFonts w:ascii="Arial" w:hAnsi="Arial" w:cs="Arial"/>
        </w:rPr>
      </w:pPr>
      <w:r w:rsidRPr="00E800BE">
        <w:rPr>
          <w:rFonts w:ascii="Arial" w:hAnsi="Arial" w:cs="Arial"/>
        </w:rPr>
        <w:t>Benefits include continuity of care and shared expertise. Challenges include communication barriers, unclear roles and power imbalances. Clear leadership and trust are essential.</w:t>
      </w:r>
    </w:p>
    <w:p w14:paraId="56891232" w14:textId="77777777" w:rsidR="00E800BE" w:rsidRPr="00E800BE" w:rsidRDefault="00E800BE" w:rsidP="007764C7">
      <w:pPr>
        <w:spacing w:line="360" w:lineRule="auto"/>
        <w:jc w:val="both"/>
        <w:rPr>
          <w:rFonts w:ascii="Arial" w:hAnsi="Arial" w:cs="Arial"/>
        </w:rPr>
      </w:pPr>
      <w:r w:rsidRPr="00E800BE">
        <w:rPr>
          <w:rFonts w:ascii="Arial" w:hAnsi="Arial" w:cs="Arial"/>
        </w:rPr>
        <w:t>Ethics in Health and Social Care Practice</w:t>
      </w:r>
    </w:p>
    <w:p w14:paraId="638BF854"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Definitions</w:t>
      </w:r>
    </w:p>
    <w:p w14:paraId="0BC2AB80" w14:textId="77777777" w:rsidR="00E800BE" w:rsidRPr="00E800BE" w:rsidRDefault="00E800BE" w:rsidP="007764C7">
      <w:pPr>
        <w:spacing w:line="360" w:lineRule="auto"/>
        <w:jc w:val="both"/>
        <w:rPr>
          <w:rFonts w:ascii="Arial" w:hAnsi="Arial" w:cs="Arial"/>
        </w:rPr>
      </w:pPr>
      <w:r w:rsidRPr="00E800BE">
        <w:rPr>
          <w:rFonts w:ascii="Arial" w:hAnsi="Arial" w:cs="Arial"/>
        </w:rPr>
        <w:t>Ethics refers to moral principles guiding practice. Beauchamp and Childress (2019) define ethics as principles determining right and wrong. The NMC (2018) links ethics to dignity and fairness.</w:t>
      </w:r>
    </w:p>
    <w:p w14:paraId="463A0014"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Importance of Ethics</w:t>
      </w:r>
    </w:p>
    <w:p w14:paraId="3A21CA0B" w14:textId="77777777" w:rsidR="00E800BE" w:rsidRPr="00E800BE" w:rsidRDefault="00E800BE" w:rsidP="007764C7">
      <w:pPr>
        <w:spacing w:line="360" w:lineRule="auto"/>
        <w:jc w:val="both"/>
        <w:rPr>
          <w:rFonts w:ascii="Arial" w:hAnsi="Arial" w:cs="Arial"/>
        </w:rPr>
      </w:pPr>
      <w:r w:rsidRPr="00E800BE">
        <w:rPr>
          <w:rFonts w:ascii="Arial" w:hAnsi="Arial" w:cs="Arial"/>
        </w:rPr>
        <w:t>Ethics protects rights, supports consent and confidentiality, and maintains public trust. It strengthens professional relationships.</w:t>
      </w:r>
    </w:p>
    <w:p w14:paraId="3D50EC7A"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Ethical Principles</w:t>
      </w:r>
    </w:p>
    <w:p w14:paraId="648CCE0C" w14:textId="77777777" w:rsidR="00E800BE" w:rsidRPr="00E800BE" w:rsidRDefault="00E800BE" w:rsidP="007764C7">
      <w:pPr>
        <w:spacing w:line="360" w:lineRule="auto"/>
        <w:jc w:val="both"/>
        <w:rPr>
          <w:rFonts w:ascii="Arial" w:hAnsi="Arial" w:cs="Arial"/>
        </w:rPr>
      </w:pPr>
      <w:r w:rsidRPr="00E800BE">
        <w:rPr>
          <w:rFonts w:ascii="Arial" w:hAnsi="Arial" w:cs="Arial"/>
          <w:b/>
          <w:bCs/>
        </w:rPr>
        <w:t>Autonomy</w:t>
      </w:r>
      <w:r w:rsidRPr="00E800BE">
        <w:rPr>
          <w:rFonts w:ascii="Arial" w:hAnsi="Arial" w:cs="Arial"/>
        </w:rPr>
        <w:t xml:space="preserve"> – Respecting informed decisions.</w:t>
      </w:r>
    </w:p>
    <w:p w14:paraId="08C99860" w14:textId="77777777" w:rsidR="00E800BE" w:rsidRPr="00E800BE" w:rsidRDefault="00E800BE" w:rsidP="007764C7">
      <w:pPr>
        <w:spacing w:line="360" w:lineRule="auto"/>
        <w:jc w:val="both"/>
        <w:rPr>
          <w:rFonts w:ascii="Arial" w:hAnsi="Arial" w:cs="Arial"/>
        </w:rPr>
      </w:pPr>
      <w:r w:rsidRPr="00E800BE">
        <w:rPr>
          <w:rFonts w:ascii="Arial" w:hAnsi="Arial" w:cs="Arial"/>
          <w:b/>
          <w:bCs/>
        </w:rPr>
        <w:t>Beneficence</w:t>
      </w:r>
      <w:r w:rsidRPr="00E800BE">
        <w:rPr>
          <w:rFonts w:ascii="Arial" w:hAnsi="Arial" w:cs="Arial"/>
        </w:rPr>
        <w:t xml:space="preserve"> – Acting in individuals’ best interests.</w:t>
      </w:r>
    </w:p>
    <w:p w14:paraId="38E75193" w14:textId="77777777" w:rsidR="00E800BE" w:rsidRPr="00E800BE" w:rsidRDefault="00E800BE" w:rsidP="007764C7">
      <w:pPr>
        <w:spacing w:line="360" w:lineRule="auto"/>
        <w:jc w:val="both"/>
        <w:rPr>
          <w:rFonts w:ascii="Arial" w:hAnsi="Arial" w:cs="Arial"/>
        </w:rPr>
      </w:pPr>
      <w:r w:rsidRPr="00E800BE">
        <w:rPr>
          <w:rFonts w:ascii="Arial" w:hAnsi="Arial" w:cs="Arial"/>
          <w:b/>
          <w:bCs/>
        </w:rPr>
        <w:t>Non-Maleficence</w:t>
      </w:r>
      <w:r w:rsidRPr="00E800BE">
        <w:rPr>
          <w:rFonts w:ascii="Arial" w:hAnsi="Arial" w:cs="Arial"/>
        </w:rPr>
        <w:t xml:space="preserve"> – Avoiding harm.</w:t>
      </w:r>
    </w:p>
    <w:p w14:paraId="1D313ECF" w14:textId="77777777" w:rsidR="00E800BE" w:rsidRPr="00E800BE" w:rsidRDefault="00E800BE" w:rsidP="007764C7">
      <w:pPr>
        <w:spacing w:line="360" w:lineRule="auto"/>
        <w:jc w:val="both"/>
        <w:rPr>
          <w:rFonts w:ascii="Arial" w:hAnsi="Arial" w:cs="Arial"/>
        </w:rPr>
      </w:pPr>
      <w:r w:rsidRPr="00E800BE">
        <w:rPr>
          <w:rFonts w:ascii="Arial" w:hAnsi="Arial" w:cs="Arial"/>
          <w:b/>
          <w:bCs/>
        </w:rPr>
        <w:t>Justice</w:t>
      </w:r>
      <w:r w:rsidRPr="00E800BE">
        <w:rPr>
          <w:rFonts w:ascii="Arial" w:hAnsi="Arial" w:cs="Arial"/>
        </w:rPr>
        <w:t xml:space="preserve"> – Ensuring fairness and non-discrimination.</w:t>
      </w:r>
    </w:p>
    <w:p w14:paraId="05434CD7"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Application in Practice</w:t>
      </w:r>
    </w:p>
    <w:p w14:paraId="01E78C15" w14:textId="77777777" w:rsidR="00E800BE" w:rsidRPr="00E800BE" w:rsidRDefault="00E800BE" w:rsidP="007764C7">
      <w:pPr>
        <w:spacing w:line="360" w:lineRule="auto"/>
        <w:jc w:val="both"/>
        <w:rPr>
          <w:rFonts w:ascii="Arial" w:hAnsi="Arial" w:cs="Arial"/>
        </w:rPr>
      </w:pPr>
      <w:r w:rsidRPr="00E800BE">
        <w:rPr>
          <w:rFonts w:ascii="Arial" w:hAnsi="Arial" w:cs="Arial"/>
        </w:rPr>
        <w:t>Professionals balance principles daily. The Mental Capacity Act guides decisions where capacity is questioned. The Nursing and Midwifery Code (2018) requires professionals to prioritise people and practise safely. Confidentiality must follow data protection laws.</w:t>
      </w:r>
    </w:p>
    <w:p w14:paraId="2AF5A90B"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Ethical Dilemmas</w:t>
      </w:r>
    </w:p>
    <w:p w14:paraId="2D62D34E" w14:textId="77777777" w:rsidR="00E800BE" w:rsidRPr="00E800BE" w:rsidRDefault="00E800BE" w:rsidP="007764C7">
      <w:pPr>
        <w:spacing w:line="360" w:lineRule="auto"/>
        <w:jc w:val="both"/>
        <w:rPr>
          <w:rFonts w:ascii="Arial" w:hAnsi="Arial" w:cs="Arial"/>
        </w:rPr>
      </w:pPr>
      <w:r w:rsidRPr="00E800BE">
        <w:rPr>
          <w:rFonts w:ascii="Arial" w:hAnsi="Arial" w:cs="Arial"/>
        </w:rPr>
        <w:t>Dilemmas arise when principles conflict, especially in safeguarding. Supervision and reflection support sound judgement (Varkey, 2021).</w:t>
      </w:r>
    </w:p>
    <w:p w14:paraId="43512CAE" w14:textId="77777777" w:rsidR="00E800BE" w:rsidRPr="00E800BE" w:rsidRDefault="00E800BE" w:rsidP="007764C7">
      <w:pPr>
        <w:spacing w:line="360" w:lineRule="auto"/>
        <w:jc w:val="both"/>
        <w:rPr>
          <w:rFonts w:ascii="Arial" w:hAnsi="Arial" w:cs="Arial"/>
          <w:b/>
          <w:bCs/>
        </w:rPr>
      </w:pPr>
      <w:r w:rsidRPr="00E800BE">
        <w:rPr>
          <w:rFonts w:ascii="Arial" w:hAnsi="Arial" w:cs="Arial"/>
          <w:b/>
          <w:bCs/>
        </w:rPr>
        <w:t>Policy and Legislation</w:t>
      </w:r>
    </w:p>
    <w:p w14:paraId="1C2BE4C8" w14:textId="77777777" w:rsidR="00E800BE" w:rsidRPr="005606B2" w:rsidRDefault="00E800BE" w:rsidP="007764C7">
      <w:pPr>
        <w:spacing w:line="360" w:lineRule="auto"/>
        <w:jc w:val="both"/>
        <w:rPr>
          <w:rFonts w:ascii="Arial" w:hAnsi="Arial" w:cs="Arial"/>
        </w:rPr>
      </w:pPr>
      <w:r w:rsidRPr="00E800BE">
        <w:rPr>
          <w:rFonts w:ascii="Arial" w:hAnsi="Arial" w:cs="Arial"/>
        </w:rPr>
        <w:t>The Human Rights Act 1998 protects dignity and privacy. The Care Act 2014 promotes wellbeing and protection. The NMC Code and equality legislation ensure accountability (Varkey, 2021).</w:t>
      </w:r>
    </w:p>
    <w:p w14:paraId="40D538CC" w14:textId="77777777" w:rsidR="00D91A81" w:rsidRDefault="00D91A81" w:rsidP="007764C7">
      <w:pPr>
        <w:spacing w:line="360" w:lineRule="auto"/>
        <w:jc w:val="both"/>
        <w:rPr>
          <w:rFonts w:ascii="Arial" w:hAnsi="Arial" w:cs="Arial"/>
          <w:b/>
          <w:bCs/>
          <w:u w:val="single"/>
        </w:rPr>
      </w:pPr>
    </w:p>
    <w:p w14:paraId="0321AF68" w14:textId="77777777" w:rsidR="00D91A81" w:rsidRDefault="00D91A81" w:rsidP="007764C7">
      <w:pPr>
        <w:spacing w:line="360" w:lineRule="auto"/>
        <w:jc w:val="both"/>
        <w:rPr>
          <w:rFonts w:ascii="Arial" w:hAnsi="Arial" w:cs="Arial"/>
          <w:b/>
          <w:bCs/>
          <w:u w:val="single"/>
        </w:rPr>
      </w:pPr>
    </w:p>
    <w:p w14:paraId="691CC02E" w14:textId="4EF0B377" w:rsidR="00B60857" w:rsidRPr="00B60857" w:rsidRDefault="00B60857" w:rsidP="007764C7">
      <w:pPr>
        <w:spacing w:line="360" w:lineRule="auto"/>
        <w:jc w:val="both"/>
        <w:rPr>
          <w:rFonts w:ascii="Arial" w:hAnsi="Arial" w:cs="Arial"/>
          <w:b/>
          <w:bCs/>
          <w:u w:val="single"/>
        </w:rPr>
      </w:pPr>
      <w:r w:rsidRPr="00B60857">
        <w:rPr>
          <w:rFonts w:ascii="Arial" w:hAnsi="Arial" w:cs="Arial"/>
          <w:b/>
          <w:bCs/>
          <w:u w:val="single"/>
        </w:rPr>
        <w:lastRenderedPageBreak/>
        <w:t>Task 2: Practical Examples of Concepts in Practice</w:t>
      </w:r>
    </w:p>
    <w:p w14:paraId="0F0580CD" w14:textId="73A48CBF" w:rsidR="00B60857" w:rsidRPr="00B60857" w:rsidRDefault="00B60857" w:rsidP="007764C7">
      <w:pPr>
        <w:spacing w:line="360" w:lineRule="auto"/>
        <w:jc w:val="both"/>
        <w:rPr>
          <w:rFonts w:ascii="Arial" w:hAnsi="Arial" w:cs="Arial"/>
        </w:rPr>
      </w:pPr>
      <w:r w:rsidRPr="00B60857">
        <w:rPr>
          <w:rFonts w:ascii="Arial" w:hAnsi="Arial" w:cs="Arial"/>
        </w:rPr>
        <w:t>In a UK health and social care setting, person-centred care, partnership working, and ethical practice can greatly improve outcomes. A clear real-life example is hospital discharge planning for older adults with complex needs, guided by principles in the Care Act 2014 and NHS England policy (NHS England, 20</w:t>
      </w:r>
      <w:r w:rsidR="00AD232F" w:rsidRPr="005606B2">
        <w:rPr>
          <w:rFonts w:ascii="Arial" w:hAnsi="Arial" w:cs="Arial"/>
        </w:rPr>
        <w:t>23</w:t>
      </w:r>
      <w:r w:rsidRPr="00B60857">
        <w:rPr>
          <w:rFonts w:ascii="Arial" w:hAnsi="Arial" w:cs="Arial"/>
        </w:rPr>
        <w:t>).</w:t>
      </w:r>
    </w:p>
    <w:p w14:paraId="612AF503" w14:textId="26986087" w:rsidR="00B60857" w:rsidRPr="00B60857" w:rsidRDefault="00B60857" w:rsidP="007764C7">
      <w:pPr>
        <w:spacing w:line="360" w:lineRule="auto"/>
        <w:jc w:val="both"/>
        <w:rPr>
          <w:rFonts w:ascii="Arial" w:hAnsi="Arial" w:cs="Arial"/>
        </w:rPr>
      </w:pPr>
      <w:r w:rsidRPr="00B60857">
        <w:rPr>
          <w:rFonts w:ascii="Arial" w:hAnsi="Arial" w:cs="Arial"/>
        </w:rPr>
        <w:t xml:space="preserve">Mrs </w:t>
      </w:r>
      <w:r w:rsidR="00AD232F" w:rsidRPr="005606B2">
        <w:rPr>
          <w:rFonts w:ascii="Arial" w:hAnsi="Arial" w:cs="Arial"/>
        </w:rPr>
        <w:t>Himertte</w:t>
      </w:r>
      <w:r w:rsidRPr="00B60857">
        <w:rPr>
          <w:rFonts w:ascii="Arial" w:hAnsi="Arial" w:cs="Arial"/>
        </w:rPr>
        <w:t xml:space="preserve"> is an 82-year-old woman who lives alone and was admitted to hospital after a fall. She has arthritis, mild dementia, and reduced mobility. When she was ready for discharge, the team did not make decisions without her. Instead, they applied person-centred care by asking about her wishes. Mrs </w:t>
      </w:r>
      <w:r w:rsidR="00AD232F" w:rsidRPr="005606B2">
        <w:rPr>
          <w:rFonts w:ascii="Arial" w:hAnsi="Arial" w:cs="Arial"/>
        </w:rPr>
        <w:t>Himertte</w:t>
      </w:r>
      <w:r w:rsidRPr="00B60857">
        <w:rPr>
          <w:rFonts w:ascii="Arial" w:hAnsi="Arial" w:cs="Arial"/>
        </w:rPr>
        <w:t xml:space="preserve"> explained she wanted to remain at home and maintain her independence. Staff discussed options clearly, avoided medical jargon, and checked her understanding. This reflects shared decision-making as described by Coulter and Oldham (2016). She felt respected and involved, not ignored.</w:t>
      </w:r>
    </w:p>
    <w:p w14:paraId="48066B4D" w14:textId="78972A72" w:rsidR="00B60857" w:rsidRPr="00B60857" w:rsidRDefault="00B60857" w:rsidP="007764C7">
      <w:pPr>
        <w:spacing w:line="360" w:lineRule="auto"/>
        <w:jc w:val="both"/>
        <w:rPr>
          <w:rFonts w:ascii="Arial" w:hAnsi="Arial" w:cs="Arial"/>
        </w:rPr>
      </w:pPr>
      <w:r w:rsidRPr="00B60857">
        <w:rPr>
          <w:rFonts w:ascii="Arial" w:hAnsi="Arial" w:cs="Arial"/>
        </w:rPr>
        <w:t>Partnership working was also clear. The hospital discharge coordinator arranged a meeting with her GP, district nurse, social worker, and physiotherapist. Each professional contributed their expertise. The social worker organised home care support, the physiotherapist created a mobility plan, and the GP reviewed her medication. This coordinated approach reduced risk of readmission and prevented repeated assessments. Working together ensured smooth and safe transition back home, which reflects integrated care principles promoted in current NHS guidance (NHS England, 20</w:t>
      </w:r>
      <w:r w:rsidR="006019DF" w:rsidRPr="005606B2">
        <w:rPr>
          <w:rFonts w:ascii="Arial" w:hAnsi="Arial" w:cs="Arial"/>
        </w:rPr>
        <w:t>23</w:t>
      </w:r>
      <w:r w:rsidRPr="00B60857">
        <w:rPr>
          <w:rFonts w:ascii="Arial" w:hAnsi="Arial" w:cs="Arial"/>
        </w:rPr>
        <w:t>).</w:t>
      </w:r>
    </w:p>
    <w:p w14:paraId="394F4270" w14:textId="163C1804" w:rsidR="00B60857" w:rsidRPr="00B60857" w:rsidRDefault="00B60857" w:rsidP="007764C7">
      <w:pPr>
        <w:spacing w:line="360" w:lineRule="auto"/>
        <w:jc w:val="both"/>
        <w:rPr>
          <w:rFonts w:ascii="Arial" w:hAnsi="Arial" w:cs="Arial"/>
        </w:rPr>
      </w:pPr>
      <w:r w:rsidRPr="00B60857">
        <w:rPr>
          <w:rFonts w:ascii="Arial" w:hAnsi="Arial" w:cs="Arial"/>
        </w:rPr>
        <w:t xml:space="preserve">Throughout the process, ethics guided practice. Mrs </w:t>
      </w:r>
      <w:r w:rsidR="00AD232F" w:rsidRPr="005606B2">
        <w:rPr>
          <w:rFonts w:ascii="Arial" w:hAnsi="Arial" w:cs="Arial"/>
        </w:rPr>
        <w:t>Himertte</w:t>
      </w:r>
      <w:r w:rsidRPr="00B60857">
        <w:rPr>
          <w:rFonts w:ascii="Arial" w:hAnsi="Arial" w:cs="Arial"/>
        </w:rPr>
        <w:t xml:space="preserve"> autonomy was respected because she was supported to make decisions about her care. Beneficence and non-maleficence were considered by encouraging safe exercises without increasing her risk of another fall. Confidential information was shared only with relevant professionals, protecting her dignity and privacy. These actions align with professional standards set out by the NMC (20</w:t>
      </w:r>
      <w:r w:rsidR="006F0917" w:rsidRPr="005606B2">
        <w:rPr>
          <w:rFonts w:ascii="Arial" w:hAnsi="Arial" w:cs="Arial"/>
        </w:rPr>
        <w:t>21</w:t>
      </w:r>
      <w:r w:rsidRPr="00B60857">
        <w:rPr>
          <w:rFonts w:ascii="Arial" w:hAnsi="Arial" w:cs="Arial"/>
        </w:rPr>
        <w:t>).</w:t>
      </w:r>
    </w:p>
    <w:p w14:paraId="30B497E2" w14:textId="77777777" w:rsidR="00B60857" w:rsidRPr="00B60857" w:rsidRDefault="00B60857" w:rsidP="007764C7">
      <w:pPr>
        <w:spacing w:line="360" w:lineRule="auto"/>
        <w:jc w:val="both"/>
        <w:rPr>
          <w:rFonts w:ascii="Arial" w:hAnsi="Arial" w:cs="Arial"/>
        </w:rPr>
      </w:pPr>
      <w:r w:rsidRPr="00B60857">
        <w:rPr>
          <w:rFonts w:ascii="Arial" w:hAnsi="Arial" w:cs="Arial"/>
        </w:rPr>
        <w:t>These concepts improve patient care by increasing trust, safety and satisfaction. When patients feel heard, they are more likely to engage with support plans. Partnership working reduces gaps in services and improves safeguarding. Ethical practice ensures fairness and protects rights.</w:t>
      </w:r>
    </w:p>
    <w:p w14:paraId="1B3380BC" w14:textId="77777777" w:rsidR="00B60857" w:rsidRPr="00B60857" w:rsidRDefault="00B60857" w:rsidP="007764C7">
      <w:pPr>
        <w:spacing w:line="360" w:lineRule="auto"/>
        <w:jc w:val="both"/>
        <w:rPr>
          <w:rFonts w:ascii="Arial" w:hAnsi="Arial" w:cs="Arial"/>
        </w:rPr>
      </w:pPr>
      <w:r w:rsidRPr="00B60857">
        <w:rPr>
          <w:rFonts w:ascii="Arial" w:hAnsi="Arial" w:cs="Arial"/>
        </w:rPr>
        <w:t>However, challenges still exist. Staff shortages and heavy workloads can limit time spent with patients. Communication breakdowns between agencies may delay support. To improve practice, organisations should protect time for discharge planning meetings, invest in staff training on communication skills, and promote a culture where patient voices are valued.</w:t>
      </w:r>
    </w:p>
    <w:p w14:paraId="21DE78A7" w14:textId="77777777" w:rsidR="00B60857" w:rsidRPr="005606B2" w:rsidRDefault="00B60857" w:rsidP="007764C7">
      <w:pPr>
        <w:spacing w:line="360" w:lineRule="auto"/>
        <w:jc w:val="both"/>
        <w:rPr>
          <w:rFonts w:ascii="Arial" w:hAnsi="Arial" w:cs="Arial"/>
        </w:rPr>
      </w:pPr>
      <w:r w:rsidRPr="00B60857">
        <w:rPr>
          <w:rFonts w:ascii="Arial" w:hAnsi="Arial" w:cs="Arial"/>
        </w:rPr>
        <w:lastRenderedPageBreak/>
        <w:t>Mrs Adams’ case shows that when person-centred care, partnership working, and ethics are applied together, patient care becomes more respectful, coordinated and effective.</w:t>
      </w:r>
    </w:p>
    <w:p w14:paraId="1828F081" w14:textId="2F19165A" w:rsidR="007764C7" w:rsidRPr="007764C7" w:rsidRDefault="007764C7" w:rsidP="007764C7">
      <w:pPr>
        <w:spacing w:line="360" w:lineRule="auto"/>
        <w:jc w:val="both"/>
        <w:rPr>
          <w:rFonts w:ascii="Arial" w:hAnsi="Arial" w:cs="Arial"/>
          <w:b/>
          <w:bCs/>
          <w:u w:val="single"/>
        </w:rPr>
      </w:pPr>
      <w:r w:rsidRPr="007764C7">
        <w:rPr>
          <w:rFonts w:ascii="Arial" w:hAnsi="Arial" w:cs="Arial"/>
          <w:b/>
          <w:bCs/>
          <w:u w:val="single"/>
        </w:rPr>
        <w:t>Task 3: Description, Feelings, Evaluation, Analysis, Action</w:t>
      </w:r>
    </w:p>
    <w:p w14:paraId="759F40CE" w14:textId="77777777" w:rsidR="007764C7" w:rsidRPr="007764C7" w:rsidRDefault="007764C7" w:rsidP="007764C7">
      <w:pPr>
        <w:spacing w:line="360" w:lineRule="auto"/>
        <w:jc w:val="both"/>
        <w:rPr>
          <w:rFonts w:ascii="Arial" w:hAnsi="Arial" w:cs="Arial"/>
        </w:rPr>
      </w:pPr>
      <w:r w:rsidRPr="007764C7">
        <w:rPr>
          <w:rFonts w:ascii="Arial" w:hAnsi="Arial" w:cs="Arial"/>
          <w:b/>
          <w:bCs/>
        </w:rPr>
        <w:t>Description</w:t>
      </w:r>
      <w:r w:rsidRPr="007764C7">
        <w:rPr>
          <w:rFonts w:ascii="Arial" w:hAnsi="Arial" w:cs="Arial"/>
        </w:rPr>
        <w:br/>
        <w:t>During my placement in a community care setting, I supported an older service user who required help with daily living and emotional support. The individual had reduced mobility and sometimes felt anxious about relying on others. This situation allowed me to apply ideas from task 1 and task 2 in real practice. I used person-centred care by listening to the service user’s preferences and encouraging independence where possible. For example, I supported them to complete parts of personal care themselves when they wished, rather than taking control. This respected their dignity and autonomy. Partnership working was also important because care involved coordination with other professionals such as the care coordinator and district nurse. Information was shared to ensure consistent support and safe outcomes. Ethical principles guided my actions, including respect, confidentiality and fairness. I ensured the service user’s information was not discussed outside the team and treated them with dignity in all interactions.</w:t>
      </w:r>
    </w:p>
    <w:p w14:paraId="798604A9" w14:textId="77777777" w:rsidR="007764C7" w:rsidRPr="007764C7" w:rsidRDefault="007764C7" w:rsidP="007764C7">
      <w:pPr>
        <w:spacing w:line="360" w:lineRule="auto"/>
        <w:jc w:val="both"/>
        <w:rPr>
          <w:rFonts w:ascii="Arial" w:hAnsi="Arial" w:cs="Arial"/>
        </w:rPr>
      </w:pPr>
      <w:r w:rsidRPr="007764C7">
        <w:rPr>
          <w:rFonts w:ascii="Arial" w:hAnsi="Arial" w:cs="Arial"/>
          <w:b/>
          <w:bCs/>
        </w:rPr>
        <w:t>Feelings</w:t>
      </w:r>
      <w:r w:rsidRPr="007764C7">
        <w:rPr>
          <w:rFonts w:ascii="Arial" w:hAnsi="Arial" w:cs="Arial"/>
        </w:rPr>
        <w:br/>
        <w:t>At the beginning, I felt slightly nervous because I wanted to provide good support without making mistakes. Caring for someone in a vulnerable position requires sensitivity, and I was aware of my responsibility. However, I also felt motivated to help and build a trusting relationship. When the service user expressed appreciation for my support, I felt more confident. This reinforced the value of person-centred care and reminded me that small actions, such as listening and showing empathy, can improve wellbeing. I also recognised the importance of teamwork. Guidance from experienced colleagues helped me feel secure and develop my skills.</w:t>
      </w:r>
    </w:p>
    <w:p w14:paraId="256DC1E7" w14:textId="77777777" w:rsidR="007764C7" w:rsidRPr="007764C7" w:rsidRDefault="007764C7" w:rsidP="007764C7">
      <w:pPr>
        <w:spacing w:line="360" w:lineRule="auto"/>
        <w:jc w:val="both"/>
        <w:rPr>
          <w:rFonts w:ascii="Arial" w:hAnsi="Arial" w:cs="Arial"/>
        </w:rPr>
      </w:pPr>
      <w:r w:rsidRPr="007764C7">
        <w:rPr>
          <w:rFonts w:ascii="Arial" w:hAnsi="Arial" w:cs="Arial"/>
          <w:b/>
          <w:bCs/>
        </w:rPr>
        <w:t>Evaluation</w:t>
      </w:r>
      <w:r w:rsidRPr="007764C7">
        <w:rPr>
          <w:rFonts w:ascii="Arial" w:hAnsi="Arial" w:cs="Arial"/>
        </w:rPr>
        <w:br/>
        <w:t>Overall, the experience was positive because it allowed me to apply theoretical concepts in practice. Person-centred care worked well as the service user felt involved in decisions. For instance, they preferred to complete certain tasks independently, and I supported this choice. This promoted autonomy and dignity, which aligns with ethical principles. Partnership working was also effective because communication between professionals ensured coordinated care. When information was shared, support became more consistent and responsive to the individual’s needs.</w:t>
      </w:r>
    </w:p>
    <w:p w14:paraId="7EB49427" w14:textId="77777777" w:rsidR="007764C7" w:rsidRPr="007764C7" w:rsidRDefault="007764C7" w:rsidP="007764C7">
      <w:pPr>
        <w:spacing w:line="360" w:lineRule="auto"/>
        <w:jc w:val="both"/>
        <w:rPr>
          <w:rFonts w:ascii="Arial" w:hAnsi="Arial" w:cs="Arial"/>
        </w:rPr>
      </w:pPr>
      <w:r w:rsidRPr="007764C7">
        <w:rPr>
          <w:rFonts w:ascii="Arial" w:hAnsi="Arial" w:cs="Arial"/>
        </w:rPr>
        <w:t xml:space="preserve">However, there were areas for improvement. At times, I assumed that information had been communicated between professionals without checking. This could have led to </w:t>
      </w:r>
      <w:r w:rsidRPr="007764C7">
        <w:rPr>
          <w:rFonts w:ascii="Arial" w:hAnsi="Arial" w:cs="Arial"/>
        </w:rPr>
        <w:lastRenderedPageBreak/>
        <w:t>misunderstandings. Clearer communication and confirmation of shared information would have strengthened teamwork. Additionally, time pressures in a busy care environment sometimes limited opportunities for longer conversations with the service user. Meaningful communication is essential for understanding emotional needs, not just practical requirements. These challenges highlight the realities of health and social care practice, where organisational constraints can affect service delivery.</w:t>
      </w:r>
    </w:p>
    <w:p w14:paraId="70A4A92E" w14:textId="77777777" w:rsidR="007764C7" w:rsidRPr="007764C7" w:rsidRDefault="007764C7" w:rsidP="007764C7">
      <w:pPr>
        <w:spacing w:line="360" w:lineRule="auto"/>
        <w:jc w:val="both"/>
        <w:rPr>
          <w:rFonts w:ascii="Arial" w:hAnsi="Arial" w:cs="Arial"/>
        </w:rPr>
      </w:pPr>
      <w:r w:rsidRPr="007764C7">
        <w:rPr>
          <w:rFonts w:ascii="Arial" w:hAnsi="Arial" w:cs="Arial"/>
          <w:b/>
          <w:bCs/>
        </w:rPr>
        <w:t>Analysis</w:t>
      </w:r>
      <w:r w:rsidRPr="007764C7">
        <w:rPr>
          <w:rFonts w:ascii="Arial" w:hAnsi="Arial" w:cs="Arial"/>
        </w:rPr>
        <w:br/>
        <w:t>This experience demonstrates how the concepts from tasks 1 and 2 interact in practice. Person-centred care improved the service user’s confidence because they felt listened to and respected. This aligns with the idea that individuals should be active participants in decisions about their care. When people feel valued, they are more likely to engage with support plans and trust professionals.</w:t>
      </w:r>
    </w:p>
    <w:p w14:paraId="77FB4437" w14:textId="77777777" w:rsidR="007764C7" w:rsidRPr="007764C7" w:rsidRDefault="007764C7" w:rsidP="007764C7">
      <w:pPr>
        <w:spacing w:line="360" w:lineRule="auto"/>
        <w:jc w:val="both"/>
        <w:rPr>
          <w:rFonts w:ascii="Arial" w:hAnsi="Arial" w:cs="Arial"/>
        </w:rPr>
      </w:pPr>
      <w:r w:rsidRPr="007764C7">
        <w:rPr>
          <w:rFonts w:ascii="Arial" w:hAnsi="Arial" w:cs="Arial"/>
        </w:rPr>
        <w:t>Partnership working enhanced coordination between services. By sharing information and responsibilities, professionals provided holistic support. This reduced duplication and ensured that different aspects of care were addressed. For example, the district nurse focused on health needs while the care coordinator arranged practical support. Multi-agency collaboration is important because health and social care needs are often complex.</w:t>
      </w:r>
    </w:p>
    <w:p w14:paraId="7D74F194" w14:textId="77777777" w:rsidR="007764C7" w:rsidRPr="007764C7" w:rsidRDefault="007764C7" w:rsidP="007764C7">
      <w:pPr>
        <w:spacing w:line="360" w:lineRule="auto"/>
        <w:jc w:val="both"/>
        <w:rPr>
          <w:rFonts w:ascii="Arial" w:hAnsi="Arial" w:cs="Arial"/>
        </w:rPr>
      </w:pPr>
      <w:r w:rsidRPr="007764C7">
        <w:rPr>
          <w:rFonts w:ascii="Arial" w:hAnsi="Arial" w:cs="Arial"/>
        </w:rPr>
        <w:t>Ethical principles were central to decision-making. Respecting autonomy meant supporting the service user’s choices, even when they preferred to do tasks independently. Beneficence and non-maleficence guided my actions by aiming to help while avoiding harm. Confidentiality protected the individual’s dignity and built trust. Ethical practice is essential in health and social care because it safeguards rights and promotes fairness.</w:t>
      </w:r>
    </w:p>
    <w:p w14:paraId="0A64C7DC" w14:textId="77777777" w:rsidR="007764C7" w:rsidRPr="007764C7" w:rsidRDefault="007764C7" w:rsidP="007764C7">
      <w:pPr>
        <w:spacing w:line="360" w:lineRule="auto"/>
        <w:jc w:val="both"/>
        <w:rPr>
          <w:rFonts w:ascii="Arial" w:hAnsi="Arial" w:cs="Arial"/>
        </w:rPr>
      </w:pPr>
      <w:r w:rsidRPr="007764C7">
        <w:rPr>
          <w:rFonts w:ascii="Arial" w:hAnsi="Arial" w:cs="Arial"/>
        </w:rPr>
        <w:t>Challenges such as communication breakdowns and time pressures reflect common issues in practice. These difficulties can impact service quality, but they also provide learning opportunities. Reflecting on such challenges helps practitioners identify improvements and develop professional skills.</w:t>
      </w:r>
    </w:p>
    <w:p w14:paraId="5753F798" w14:textId="77777777" w:rsidR="007764C7" w:rsidRPr="007764C7" w:rsidRDefault="007764C7" w:rsidP="007764C7">
      <w:pPr>
        <w:spacing w:line="360" w:lineRule="auto"/>
        <w:jc w:val="both"/>
        <w:rPr>
          <w:rFonts w:ascii="Arial" w:hAnsi="Arial" w:cs="Arial"/>
        </w:rPr>
      </w:pPr>
      <w:r w:rsidRPr="007764C7">
        <w:rPr>
          <w:rFonts w:ascii="Arial" w:hAnsi="Arial" w:cs="Arial"/>
          <w:b/>
          <w:bCs/>
        </w:rPr>
        <w:t>Action</w:t>
      </w:r>
      <w:r w:rsidRPr="007764C7">
        <w:rPr>
          <w:rFonts w:ascii="Arial" w:hAnsi="Arial" w:cs="Arial"/>
        </w:rPr>
        <w:br/>
        <w:t>To improve my future practice, I will focus on clearer communication with colleagues. I plan to confirm information rather than assume it has been shared, reducing the risk of errors. I will also continue developing my listening skills so that service users feel understood and valued. Training in communication and person-centred care will strengthen my competence and confidence.</w:t>
      </w:r>
    </w:p>
    <w:p w14:paraId="4B4E76A8" w14:textId="77777777" w:rsidR="007764C7" w:rsidRPr="007764C7" w:rsidRDefault="007764C7" w:rsidP="007764C7">
      <w:pPr>
        <w:spacing w:line="360" w:lineRule="auto"/>
        <w:jc w:val="both"/>
        <w:rPr>
          <w:rFonts w:ascii="Arial" w:hAnsi="Arial" w:cs="Arial"/>
        </w:rPr>
      </w:pPr>
      <w:r w:rsidRPr="007764C7">
        <w:rPr>
          <w:rFonts w:ascii="Arial" w:hAnsi="Arial" w:cs="Arial"/>
        </w:rPr>
        <w:t xml:space="preserve">In future situations, I aim to spend more time understanding both the emotional and practical needs of service users. Health and social care </w:t>
      </w:r>
      <w:proofErr w:type="gramStart"/>
      <w:r w:rsidRPr="007764C7">
        <w:rPr>
          <w:rFonts w:ascii="Arial" w:hAnsi="Arial" w:cs="Arial"/>
        </w:rPr>
        <w:t>is</w:t>
      </w:r>
      <w:proofErr w:type="gramEnd"/>
      <w:r w:rsidRPr="007764C7">
        <w:rPr>
          <w:rFonts w:ascii="Arial" w:hAnsi="Arial" w:cs="Arial"/>
        </w:rPr>
        <w:t xml:space="preserve"> not only about physical assistance but also </w:t>
      </w:r>
      <w:r w:rsidRPr="007764C7">
        <w:rPr>
          <w:rFonts w:ascii="Arial" w:hAnsi="Arial" w:cs="Arial"/>
        </w:rPr>
        <w:lastRenderedPageBreak/>
        <w:t>about dignity and wellbeing. Partnership working will remain important because coordinated support leads to better outcomes. I will also use reflective practice regularly to evaluate my actions and identify areas for growth.</w:t>
      </w:r>
    </w:p>
    <w:p w14:paraId="1C2AEF36" w14:textId="77777777" w:rsidR="007764C7" w:rsidRPr="005606B2" w:rsidRDefault="007764C7" w:rsidP="007764C7">
      <w:pPr>
        <w:spacing w:line="360" w:lineRule="auto"/>
        <w:jc w:val="both"/>
        <w:rPr>
          <w:rFonts w:ascii="Arial" w:hAnsi="Arial" w:cs="Arial"/>
        </w:rPr>
      </w:pPr>
      <w:r w:rsidRPr="007764C7">
        <w:rPr>
          <w:rFonts w:ascii="Arial" w:hAnsi="Arial" w:cs="Arial"/>
        </w:rPr>
        <w:t>Overall, this experience demonstrated how person-centred care, partnership working, and ethics work together to improve care. The service user benefited from being involved in decisions and receiving coordinated support. Ethical principles ensured respectful and fair treatment. Although challenges existed, they provided valuable lessons. Moving forward, I will apply these insights to enhance my professional development and provide high-quality care. Reflection will continue to guide my learning and help me deliver care that is compassionate, collaborative and focused on individual needs.</w:t>
      </w:r>
    </w:p>
    <w:p w14:paraId="5C20F517" w14:textId="77777777" w:rsidR="007764C7" w:rsidRPr="005606B2" w:rsidRDefault="007764C7" w:rsidP="007764C7">
      <w:pPr>
        <w:spacing w:line="276" w:lineRule="auto"/>
        <w:jc w:val="both"/>
        <w:rPr>
          <w:rFonts w:ascii="Arial" w:hAnsi="Arial" w:cs="Arial"/>
          <w:b/>
          <w:bCs/>
          <w:u w:val="single"/>
        </w:rPr>
      </w:pPr>
      <w:r w:rsidRPr="005606B2">
        <w:rPr>
          <w:rFonts w:ascii="Arial" w:hAnsi="Arial" w:cs="Arial"/>
          <w:b/>
          <w:bCs/>
          <w:u w:val="single"/>
        </w:rPr>
        <w:t>Conclusion</w:t>
      </w:r>
    </w:p>
    <w:p w14:paraId="77674D1E" w14:textId="77777777" w:rsidR="007764C7" w:rsidRPr="005606B2" w:rsidRDefault="007764C7" w:rsidP="005606B2">
      <w:pPr>
        <w:spacing w:line="360" w:lineRule="auto"/>
        <w:jc w:val="both"/>
        <w:rPr>
          <w:rFonts w:ascii="Arial" w:hAnsi="Arial" w:cs="Arial"/>
        </w:rPr>
      </w:pPr>
      <w:r w:rsidRPr="005606B2">
        <w:rPr>
          <w:rFonts w:ascii="Arial" w:hAnsi="Arial" w:cs="Arial"/>
        </w:rPr>
        <w:t>Person-centred care, partnership working and ethics are essential principles in health and social care practice. Together, they ensure that individuals receive compassionate, safe and effective support. Person-centred care promotes autonomy and dignity, partnership working enhances coordination and holistic care, and ethics ensures fairness, respect and professional integrity. These principles are embedded in legislation and policy, guiding practitioners to deliver high-quality care that meets the diverse needs of individuals and communities.</w:t>
      </w:r>
    </w:p>
    <w:p w14:paraId="510668F7" w14:textId="77777777" w:rsidR="007764C7" w:rsidRPr="005606B2" w:rsidRDefault="007764C7" w:rsidP="005606B2">
      <w:pPr>
        <w:spacing w:line="360" w:lineRule="auto"/>
        <w:jc w:val="both"/>
        <w:rPr>
          <w:rFonts w:ascii="Arial" w:hAnsi="Arial" w:cs="Arial"/>
        </w:rPr>
      </w:pPr>
      <w:r w:rsidRPr="005606B2">
        <w:rPr>
          <w:rFonts w:ascii="Arial" w:hAnsi="Arial" w:cs="Arial"/>
        </w:rPr>
        <w:t>In conclusion, effective health and social care practice depends not only on clinical skills but also on values, collaboration and moral responsibility. When these three principles are applied consistently, individuals experience improved outcomes, greater satisfaction and enhanced wellbeing. Therefore, future practitioners must continuously reflect on their practice, engage in professional development and uphold ethical and person-centred values in all areas of care delivery.</w:t>
      </w:r>
    </w:p>
    <w:p w14:paraId="065AAE52" w14:textId="77777777" w:rsidR="007764C7" w:rsidRDefault="007764C7" w:rsidP="007764C7">
      <w:pPr>
        <w:spacing w:line="360" w:lineRule="auto"/>
        <w:jc w:val="both"/>
        <w:rPr>
          <w:rFonts w:ascii="Arial" w:hAnsi="Arial" w:cs="Arial"/>
        </w:rPr>
      </w:pPr>
    </w:p>
    <w:p w14:paraId="656A375A" w14:textId="77777777" w:rsidR="005606B2" w:rsidRDefault="005606B2" w:rsidP="007764C7">
      <w:pPr>
        <w:spacing w:line="276" w:lineRule="auto"/>
        <w:jc w:val="both"/>
        <w:rPr>
          <w:rFonts w:ascii="Arial" w:hAnsi="Arial" w:cs="Arial"/>
          <w:b/>
          <w:bCs/>
        </w:rPr>
      </w:pPr>
    </w:p>
    <w:p w14:paraId="761F8542" w14:textId="77777777" w:rsidR="005606B2" w:rsidRDefault="005606B2" w:rsidP="007764C7">
      <w:pPr>
        <w:spacing w:line="276" w:lineRule="auto"/>
        <w:jc w:val="both"/>
        <w:rPr>
          <w:rFonts w:ascii="Arial" w:hAnsi="Arial" w:cs="Arial"/>
          <w:b/>
          <w:bCs/>
        </w:rPr>
      </w:pPr>
    </w:p>
    <w:p w14:paraId="164CC18C" w14:textId="77777777" w:rsidR="005606B2" w:rsidRDefault="005606B2" w:rsidP="007764C7">
      <w:pPr>
        <w:spacing w:line="276" w:lineRule="auto"/>
        <w:jc w:val="both"/>
        <w:rPr>
          <w:rFonts w:ascii="Arial" w:hAnsi="Arial" w:cs="Arial"/>
          <w:b/>
          <w:bCs/>
        </w:rPr>
      </w:pPr>
    </w:p>
    <w:p w14:paraId="25122F93" w14:textId="77777777" w:rsidR="005606B2" w:rsidRDefault="005606B2" w:rsidP="007764C7">
      <w:pPr>
        <w:spacing w:line="276" w:lineRule="auto"/>
        <w:jc w:val="both"/>
        <w:rPr>
          <w:rFonts w:ascii="Arial" w:hAnsi="Arial" w:cs="Arial"/>
          <w:b/>
          <w:bCs/>
        </w:rPr>
      </w:pPr>
    </w:p>
    <w:p w14:paraId="3BFF6D42" w14:textId="77777777" w:rsidR="005606B2" w:rsidRDefault="005606B2" w:rsidP="007764C7">
      <w:pPr>
        <w:spacing w:line="276" w:lineRule="auto"/>
        <w:jc w:val="both"/>
        <w:rPr>
          <w:rFonts w:ascii="Arial" w:hAnsi="Arial" w:cs="Arial"/>
          <w:b/>
          <w:bCs/>
        </w:rPr>
      </w:pPr>
    </w:p>
    <w:p w14:paraId="08F3FBA8" w14:textId="77777777" w:rsidR="00D91A81" w:rsidRDefault="00D91A81" w:rsidP="007764C7">
      <w:pPr>
        <w:spacing w:line="276" w:lineRule="auto"/>
        <w:jc w:val="both"/>
        <w:rPr>
          <w:rFonts w:ascii="Arial" w:hAnsi="Arial" w:cs="Arial"/>
          <w:b/>
          <w:bCs/>
        </w:rPr>
      </w:pPr>
    </w:p>
    <w:p w14:paraId="028930D8" w14:textId="77777777" w:rsidR="00D91A81" w:rsidRDefault="00D91A81" w:rsidP="007764C7">
      <w:pPr>
        <w:spacing w:line="276" w:lineRule="auto"/>
        <w:jc w:val="both"/>
        <w:rPr>
          <w:rFonts w:ascii="Arial" w:hAnsi="Arial" w:cs="Arial"/>
          <w:b/>
          <w:bCs/>
        </w:rPr>
      </w:pPr>
    </w:p>
    <w:p w14:paraId="41960E94" w14:textId="77777777" w:rsidR="00D91A81" w:rsidRDefault="00D91A81" w:rsidP="007764C7">
      <w:pPr>
        <w:spacing w:line="276" w:lineRule="auto"/>
        <w:jc w:val="both"/>
        <w:rPr>
          <w:rFonts w:ascii="Arial" w:hAnsi="Arial" w:cs="Arial"/>
          <w:b/>
          <w:bCs/>
        </w:rPr>
      </w:pPr>
    </w:p>
    <w:p w14:paraId="648A03E8" w14:textId="77777777" w:rsidR="00D91A81" w:rsidRDefault="00D91A81" w:rsidP="007764C7">
      <w:pPr>
        <w:spacing w:line="276" w:lineRule="auto"/>
        <w:jc w:val="both"/>
        <w:rPr>
          <w:rFonts w:ascii="Arial" w:hAnsi="Arial" w:cs="Arial"/>
          <w:b/>
          <w:bCs/>
        </w:rPr>
      </w:pPr>
    </w:p>
    <w:p w14:paraId="00145874" w14:textId="34BA277F" w:rsidR="007764C7" w:rsidRDefault="007764C7" w:rsidP="007764C7">
      <w:pPr>
        <w:spacing w:line="276" w:lineRule="auto"/>
        <w:jc w:val="both"/>
        <w:rPr>
          <w:rFonts w:ascii="Arial" w:hAnsi="Arial" w:cs="Arial"/>
          <w:b/>
          <w:bCs/>
        </w:rPr>
      </w:pPr>
      <w:r w:rsidRPr="00826551">
        <w:rPr>
          <w:rFonts w:ascii="Arial" w:hAnsi="Arial" w:cs="Arial"/>
          <w:b/>
          <w:bCs/>
        </w:rPr>
        <w:lastRenderedPageBreak/>
        <w:t>References:</w:t>
      </w:r>
    </w:p>
    <w:p w14:paraId="4762008C" w14:textId="77777777" w:rsidR="005606B2" w:rsidRPr="00476E88" w:rsidRDefault="005606B2" w:rsidP="007764C7">
      <w:pPr>
        <w:spacing w:line="276" w:lineRule="auto"/>
        <w:jc w:val="both"/>
        <w:rPr>
          <w:rFonts w:ascii="Arial" w:hAnsi="Arial" w:cs="Arial"/>
        </w:rPr>
      </w:pPr>
      <w:r w:rsidRPr="00476E88">
        <w:rPr>
          <w:rFonts w:ascii="Arial" w:hAnsi="Arial" w:cs="Arial"/>
        </w:rPr>
        <w:t xml:space="preserve">Blake, A., Sparrow, N. &amp; Field, S. (2015) ‘The CQC inspections: what they mean for general practice’, </w:t>
      </w:r>
      <w:r w:rsidRPr="00476E88">
        <w:rPr>
          <w:rFonts w:ascii="Arial" w:hAnsi="Arial" w:cs="Arial"/>
          <w:i/>
          <w:iCs/>
        </w:rPr>
        <w:t>British Journal of General Practice</w:t>
      </w:r>
      <w:r w:rsidRPr="00476E88">
        <w:rPr>
          <w:rFonts w:ascii="Arial" w:hAnsi="Arial" w:cs="Arial"/>
        </w:rPr>
        <w:t xml:space="preserve">, 65(632), pp. 112–113. Available at: </w:t>
      </w:r>
      <w:hyperlink r:id="rId7" w:history="1">
        <w:r w:rsidRPr="00124B79">
          <w:rPr>
            <w:rStyle w:val="Hyperlink"/>
            <w:rFonts w:ascii="Arial" w:hAnsi="Arial" w:cs="Arial"/>
          </w:rPr>
          <w:t>https://doi.org/10.3399/bjgp15X683845</w:t>
        </w:r>
      </w:hyperlink>
      <w:r w:rsidRPr="00476E88">
        <w:rPr>
          <w:rFonts w:ascii="Arial" w:hAnsi="Arial" w:cs="Arial"/>
        </w:rPr>
        <w:t xml:space="preserve"> (Accessed: </w:t>
      </w:r>
      <w:r>
        <w:rPr>
          <w:rFonts w:ascii="Arial" w:hAnsi="Arial" w:cs="Arial"/>
        </w:rPr>
        <w:t>20 February</w:t>
      </w:r>
      <w:r w:rsidRPr="00476E88">
        <w:rPr>
          <w:rFonts w:ascii="Arial" w:hAnsi="Arial" w:cs="Arial"/>
        </w:rPr>
        <w:t>202</w:t>
      </w:r>
      <w:r>
        <w:rPr>
          <w:rFonts w:ascii="Arial" w:hAnsi="Arial" w:cs="Arial"/>
        </w:rPr>
        <w:t>6</w:t>
      </w:r>
      <w:r w:rsidRPr="00476E88">
        <w:rPr>
          <w:rFonts w:ascii="Arial" w:hAnsi="Arial" w:cs="Arial"/>
        </w:rPr>
        <w:t>).</w:t>
      </w:r>
    </w:p>
    <w:p w14:paraId="5393CC55" w14:textId="77777777" w:rsidR="005606B2" w:rsidRDefault="005606B2" w:rsidP="007764C7">
      <w:pPr>
        <w:spacing w:line="276" w:lineRule="auto"/>
        <w:jc w:val="both"/>
        <w:rPr>
          <w:rFonts w:ascii="Arial" w:hAnsi="Arial" w:cs="Arial"/>
        </w:rPr>
      </w:pPr>
    </w:p>
    <w:p w14:paraId="15BBCB2F" w14:textId="510F5099" w:rsidR="005606B2" w:rsidRPr="00B4162D" w:rsidRDefault="005606B2" w:rsidP="007764C7">
      <w:pPr>
        <w:spacing w:line="276" w:lineRule="auto"/>
        <w:jc w:val="both"/>
        <w:rPr>
          <w:rFonts w:ascii="Arial" w:hAnsi="Arial" w:cs="Arial"/>
        </w:rPr>
      </w:pPr>
      <w:r w:rsidRPr="00B4162D">
        <w:rPr>
          <w:rFonts w:ascii="Arial" w:hAnsi="Arial" w:cs="Arial"/>
        </w:rPr>
        <w:t xml:space="preserve">Coulter, A. &amp; Oldham, J. (2016) ‘Person-centred care: what is it and how do we get there?’, </w:t>
      </w:r>
      <w:r w:rsidRPr="00B4162D">
        <w:rPr>
          <w:rFonts w:ascii="Arial" w:hAnsi="Arial" w:cs="Arial"/>
          <w:i/>
          <w:iCs/>
        </w:rPr>
        <w:t>Future Hospital Journal</w:t>
      </w:r>
      <w:r w:rsidRPr="00B4162D">
        <w:rPr>
          <w:rFonts w:ascii="Arial" w:hAnsi="Arial" w:cs="Arial"/>
        </w:rPr>
        <w:t xml:space="preserve">, 3(2), pp. 114–116. Available at: </w:t>
      </w:r>
      <w:hyperlink r:id="rId8" w:history="1">
        <w:r w:rsidRPr="00081CF5">
          <w:rPr>
            <w:rStyle w:val="Hyperlink"/>
            <w:rFonts w:ascii="Arial" w:hAnsi="Arial" w:cs="Arial"/>
          </w:rPr>
          <w:t>https://doi.org/10.7861/futurehosp.3-2-114</w:t>
        </w:r>
      </w:hyperlink>
      <w:r w:rsidRPr="00B4162D">
        <w:rPr>
          <w:rFonts w:ascii="Arial" w:hAnsi="Arial" w:cs="Arial"/>
        </w:rPr>
        <w:t xml:space="preserve"> (Accessed: </w:t>
      </w:r>
      <w:r>
        <w:rPr>
          <w:rFonts w:ascii="Arial" w:hAnsi="Arial" w:cs="Arial"/>
        </w:rPr>
        <w:t>21 February</w:t>
      </w:r>
      <w:r w:rsidRPr="00B4162D">
        <w:rPr>
          <w:rFonts w:ascii="Arial" w:hAnsi="Arial" w:cs="Arial"/>
        </w:rPr>
        <w:t xml:space="preserve"> 202</w:t>
      </w:r>
      <w:r>
        <w:rPr>
          <w:rFonts w:ascii="Arial" w:hAnsi="Arial" w:cs="Arial"/>
        </w:rPr>
        <w:t>6</w:t>
      </w:r>
      <w:r w:rsidRPr="00B4162D">
        <w:rPr>
          <w:rFonts w:ascii="Arial" w:hAnsi="Arial" w:cs="Arial"/>
        </w:rPr>
        <w:t>).</w:t>
      </w:r>
    </w:p>
    <w:p w14:paraId="2FD234DB" w14:textId="77777777" w:rsidR="005606B2" w:rsidRDefault="005606B2" w:rsidP="007764C7">
      <w:pPr>
        <w:spacing w:line="276" w:lineRule="auto"/>
        <w:jc w:val="both"/>
        <w:rPr>
          <w:rFonts w:ascii="Arial" w:hAnsi="Arial" w:cs="Arial"/>
        </w:rPr>
      </w:pPr>
    </w:p>
    <w:p w14:paraId="606E991F" w14:textId="6812AF0B" w:rsidR="005606B2" w:rsidRPr="00E318B8" w:rsidRDefault="005606B2" w:rsidP="007764C7">
      <w:pPr>
        <w:spacing w:line="276" w:lineRule="auto"/>
        <w:jc w:val="both"/>
        <w:rPr>
          <w:rFonts w:ascii="Arial" w:hAnsi="Arial" w:cs="Arial"/>
        </w:rPr>
      </w:pPr>
      <w:r w:rsidRPr="00E318B8">
        <w:rPr>
          <w:rFonts w:ascii="Arial" w:hAnsi="Arial" w:cs="Arial"/>
        </w:rPr>
        <w:t>Edgman-Levitan, S. &amp; Schoenbaum, S.C. (2021) ‘Patient-</w:t>
      </w:r>
      <w:proofErr w:type="spellStart"/>
      <w:r w:rsidRPr="00E318B8">
        <w:rPr>
          <w:rFonts w:ascii="Arial" w:hAnsi="Arial" w:cs="Arial"/>
        </w:rPr>
        <w:t>centered</w:t>
      </w:r>
      <w:proofErr w:type="spellEnd"/>
      <w:r w:rsidRPr="00E318B8">
        <w:rPr>
          <w:rFonts w:ascii="Arial" w:hAnsi="Arial" w:cs="Arial"/>
        </w:rPr>
        <w:t xml:space="preserve"> care: achieving higher quality by designing care through the patient’s eyes’, </w:t>
      </w:r>
      <w:r w:rsidRPr="00E318B8">
        <w:rPr>
          <w:rFonts w:ascii="Arial" w:hAnsi="Arial" w:cs="Arial"/>
          <w:i/>
          <w:iCs/>
        </w:rPr>
        <w:t>Israel Journal of Health Policy Research</w:t>
      </w:r>
      <w:r w:rsidRPr="00E318B8">
        <w:rPr>
          <w:rFonts w:ascii="Arial" w:hAnsi="Arial" w:cs="Arial"/>
        </w:rPr>
        <w:t xml:space="preserve">, 10(1), p. 21. Available at: </w:t>
      </w:r>
      <w:hyperlink r:id="rId9" w:tgtFrame="_new" w:history="1">
        <w:r w:rsidRPr="00E318B8">
          <w:rPr>
            <w:rStyle w:val="Hyperlink"/>
            <w:rFonts w:ascii="Arial" w:hAnsi="Arial" w:cs="Arial"/>
          </w:rPr>
          <w:t>https://doi.org/10.1186/s13584-021-00459-9</w:t>
        </w:r>
      </w:hyperlink>
      <w:r w:rsidRPr="00E318B8">
        <w:rPr>
          <w:rFonts w:ascii="Arial" w:hAnsi="Arial" w:cs="Arial"/>
        </w:rPr>
        <w:t xml:space="preserve"> (Accessed: </w:t>
      </w:r>
      <w:r>
        <w:rPr>
          <w:rFonts w:ascii="Arial" w:hAnsi="Arial" w:cs="Arial"/>
        </w:rPr>
        <w:t>21 February</w:t>
      </w:r>
      <w:r w:rsidRPr="00E318B8">
        <w:rPr>
          <w:rFonts w:ascii="Arial" w:hAnsi="Arial" w:cs="Arial"/>
        </w:rPr>
        <w:t xml:space="preserve"> 202</w:t>
      </w:r>
      <w:r>
        <w:rPr>
          <w:rFonts w:ascii="Arial" w:hAnsi="Arial" w:cs="Arial"/>
        </w:rPr>
        <w:t>6</w:t>
      </w:r>
      <w:r w:rsidRPr="00E318B8">
        <w:rPr>
          <w:rFonts w:ascii="Arial" w:hAnsi="Arial" w:cs="Arial"/>
        </w:rPr>
        <w:t>)</w:t>
      </w:r>
      <w:r>
        <w:rPr>
          <w:rFonts w:ascii="Arial" w:hAnsi="Arial" w:cs="Arial"/>
        </w:rPr>
        <w:t>.</w:t>
      </w:r>
    </w:p>
    <w:p w14:paraId="46371F42" w14:textId="77777777" w:rsidR="005606B2" w:rsidRDefault="005606B2" w:rsidP="007764C7">
      <w:pPr>
        <w:spacing w:line="276" w:lineRule="auto"/>
        <w:jc w:val="both"/>
        <w:rPr>
          <w:rFonts w:ascii="Arial" w:hAnsi="Arial" w:cs="Arial"/>
        </w:rPr>
      </w:pPr>
    </w:p>
    <w:p w14:paraId="0DF52C4E" w14:textId="2E4272B4" w:rsidR="005606B2" w:rsidRPr="008E433B" w:rsidRDefault="005606B2" w:rsidP="007764C7">
      <w:pPr>
        <w:spacing w:line="276" w:lineRule="auto"/>
        <w:jc w:val="both"/>
        <w:rPr>
          <w:rFonts w:ascii="Arial" w:hAnsi="Arial" w:cs="Arial"/>
        </w:rPr>
      </w:pPr>
      <w:r w:rsidRPr="008E433B">
        <w:rPr>
          <w:rFonts w:ascii="Arial" w:hAnsi="Arial" w:cs="Arial"/>
        </w:rPr>
        <w:t xml:space="preserve">Glasby, J., Dickinson, H. &amp; Miller, R. (2011) ‘Partnership working in England – where we are now and where we’ve come from’, </w:t>
      </w:r>
      <w:r w:rsidRPr="008E433B">
        <w:rPr>
          <w:rFonts w:ascii="Arial" w:hAnsi="Arial" w:cs="Arial"/>
          <w:i/>
          <w:iCs/>
        </w:rPr>
        <w:t>International Journal of Integrated Care</w:t>
      </w:r>
      <w:r w:rsidRPr="008E433B">
        <w:rPr>
          <w:rFonts w:ascii="Arial" w:hAnsi="Arial" w:cs="Arial"/>
        </w:rPr>
        <w:t xml:space="preserve">, 11(Special 10th Anniversary Edition), e002. Available at: </w:t>
      </w:r>
      <w:hyperlink r:id="rId10" w:history="1">
        <w:r w:rsidRPr="00113A73">
          <w:rPr>
            <w:rStyle w:val="Hyperlink"/>
            <w:rFonts w:ascii="Arial" w:hAnsi="Arial" w:cs="Arial"/>
          </w:rPr>
          <w:t>https://doi.org/10.5334/ijic.545</w:t>
        </w:r>
      </w:hyperlink>
      <w:r w:rsidRPr="008E433B">
        <w:rPr>
          <w:rFonts w:ascii="Arial" w:hAnsi="Arial" w:cs="Arial"/>
        </w:rPr>
        <w:t xml:space="preserve"> (Accessed: </w:t>
      </w:r>
      <w:r>
        <w:rPr>
          <w:rFonts w:ascii="Arial" w:hAnsi="Arial" w:cs="Arial"/>
        </w:rPr>
        <w:t>22 February</w:t>
      </w:r>
      <w:r w:rsidRPr="008E433B">
        <w:rPr>
          <w:rFonts w:ascii="Arial" w:hAnsi="Arial" w:cs="Arial"/>
        </w:rPr>
        <w:t>202</w:t>
      </w:r>
      <w:r>
        <w:rPr>
          <w:rFonts w:ascii="Arial" w:hAnsi="Arial" w:cs="Arial"/>
        </w:rPr>
        <w:t>6</w:t>
      </w:r>
      <w:r w:rsidRPr="008E433B">
        <w:rPr>
          <w:rFonts w:ascii="Arial" w:hAnsi="Arial" w:cs="Arial"/>
        </w:rPr>
        <w:t>).</w:t>
      </w:r>
    </w:p>
    <w:p w14:paraId="4767BAEF" w14:textId="77777777" w:rsidR="005606B2" w:rsidRDefault="005606B2" w:rsidP="007764C7">
      <w:pPr>
        <w:spacing w:line="276" w:lineRule="auto"/>
        <w:jc w:val="both"/>
        <w:rPr>
          <w:rFonts w:ascii="Arial" w:hAnsi="Arial" w:cs="Arial"/>
        </w:rPr>
      </w:pPr>
    </w:p>
    <w:p w14:paraId="11B17159" w14:textId="4BB705D6" w:rsidR="005606B2" w:rsidRPr="008C3DC7" w:rsidRDefault="005606B2" w:rsidP="007764C7">
      <w:pPr>
        <w:spacing w:line="276" w:lineRule="auto"/>
        <w:jc w:val="both"/>
        <w:rPr>
          <w:rFonts w:ascii="Arial" w:hAnsi="Arial" w:cs="Arial"/>
        </w:rPr>
      </w:pPr>
      <w:r w:rsidRPr="008C3DC7">
        <w:rPr>
          <w:rFonts w:ascii="Arial" w:hAnsi="Arial" w:cs="Arial"/>
        </w:rPr>
        <w:t xml:space="preserve">Gonçalves-Bradley, D.C., Lannin, N.A., Clemson, L., Cameron, I.D. &amp; Shepperd, S. (2022) ‘Discharge planning from hospital’, </w:t>
      </w:r>
      <w:r w:rsidRPr="008C3DC7">
        <w:rPr>
          <w:rFonts w:ascii="Arial" w:hAnsi="Arial" w:cs="Arial"/>
          <w:i/>
          <w:iCs/>
        </w:rPr>
        <w:t>Cochrane Database of Systematic Reviews</w:t>
      </w:r>
      <w:r w:rsidRPr="008C3DC7">
        <w:rPr>
          <w:rFonts w:ascii="Arial" w:hAnsi="Arial" w:cs="Arial"/>
        </w:rPr>
        <w:t xml:space="preserve">, 2(2), p. CD000313. Available at: </w:t>
      </w:r>
      <w:hyperlink r:id="rId11" w:tgtFrame="_new" w:history="1">
        <w:r w:rsidRPr="008C3DC7">
          <w:rPr>
            <w:rStyle w:val="Hyperlink"/>
            <w:rFonts w:ascii="Arial" w:hAnsi="Arial" w:cs="Arial"/>
          </w:rPr>
          <w:t>https://doi.org/10.1002/14651858.CD000313.pub6</w:t>
        </w:r>
      </w:hyperlink>
      <w:r w:rsidRPr="008C3DC7">
        <w:rPr>
          <w:rFonts w:ascii="Arial" w:hAnsi="Arial" w:cs="Arial"/>
        </w:rPr>
        <w:t xml:space="preserve"> (Accessed: 22 February 2026).</w:t>
      </w:r>
    </w:p>
    <w:p w14:paraId="1E9F8545" w14:textId="77777777" w:rsidR="005606B2" w:rsidRDefault="005606B2" w:rsidP="007764C7">
      <w:pPr>
        <w:spacing w:line="276" w:lineRule="auto"/>
        <w:jc w:val="both"/>
        <w:rPr>
          <w:rFonts w:ascii="Arial" w:hAnsi="Arial" w:cs="Arial"/>
        </w:rPr>
      </w:pPr>
    </w:p>
    <w:p w14:paraId="5F5621F8" w14:textId="717B34A5" w:rsidR="005606B2" w:rsidRPr="004A056B" w:rsidRDefault="005606B2" w:rsidP="007764C7">
      <w:pPr>
        <w:spacing w:line="276" w:lineRule="auto"/>
        <w:jc w:val="both"/>
        <w:rPr>
          <w:rFonts w:ascii="Arial" w:hAnsi="Arial" w:cs="Arial"/>
        </w:rPr>
      </w:pPr>
      <w:r w:rsidRPr="004A056B">
        <w:rPr>
          <w:rFonts w:ascii="Arial" w:hAnsi="Arial" w:cs="Arial"/>
        </w:rPr>
        <w:t xml:space="preserve">Kwame, A. &amp; </w:t>
      </w:r>
      <w:proofErr w:type="spellStart"/>
      <w:r w:rsidRPr="004A056B">
        <w:rPr>
          <w:rFonts w:ascii="Arial" w:hAnsi="Arial" w:cs="Arial"/>
        </w:rPr>
        <w:t>Petrucka</w:t>
      </w:r>
      <w:proofErr w:type="spellEnd"/>
      <w:r w:rsidRPr="004A056B">
        <w:rPr>
          <w:rFonts w:ascii="Arial" w:hAnsi="Arial" w:cs="Arial"/>
        </w:rPr>
        <w:t xml:space="preserve">, P.M. (2021) ‘A literature-based study of patient-centred care and communication in nurse-patient interactions: barriers, facilitators, and the way forward’, </w:t>
      </w:r>
      <w:r w:rsidRPr="004A056B">
        <w:rPr>
          <w:rFonts w:ascii="Arial" w:hAnsi="Arial" w:cs="Arial"/>
          <w:i/>
          <w:iCs/>
        </w:rPr>
        <w:t>BMC Nursing</w:t>
      </w:r>
      <w:r w:rsidRPr="004A056B">
        <w:rPr>
          <w:rFonts w:ascii="Arial" w:hAnsi="Arial" w:cs="Arial"/>
        </w:rPr>
        <w:t xml:space="preserve">, 20(1), p. 158. Available at: </w:t>
      </w:r>
      <w:hyperlink r:id="rId12" w:tgtFrame="_new" w:history="1">
        <w:r w:rsidRPr="004A056B">
          <w:rPr>
            <w:rStyle w:val="Hyperlink"/>
            <w:rFonts w:ascii="Arial" w:hAnsi="Arial" w:cs="Arial"/>
          </w:rPr>
          <w:t>https://doi.org/10.1186/s12912-021-00684-2</w:t>
        </w:r>
      </w:hyperlink>
      <w:r w:rsidRPr="004A056B">
        <w:rPr>
          <w:rFonts w:ascii="Arial" w:hAnsi="Arial" w:cs="Arial"/>
        </w:rPr>
        <w:t xml:space="preserve"> (Accessed: </w:t>
      </w:r>
      <w:r>
        <w:rPr>
          <w:rFonts w:ascii="Arial" w:hAnsi="Arial" w:cs="Arial"/>
        </w:rPr>
        <w:t>February</w:t>
      </w:r>
      <w:r w:rsidRPr="004A056B">
        <w:rPr>
          <w:rFonts w:ascii="Arial" w:hAnsi="Arial" w:cs="Arial"/>
        </w:rPr>
        <w:t xml:space="preserve"> 202</w:t>
      </w:r>
      <w:r>
        <w:rPr>
          <w:rFonts w:ascii="Arial" w:hAnsi="Arial" w:cs="Arial"/>
        </w:rPr>
        <w:t>6</w:t>
      </w:r>
      <w:r w:rsidRPr="004A056B">
        <w:rPr>
          <w:rFonts w:ascii="Arial" w:hAnsi="Arial" w:cs="Arial"/>
        </w:rPr>
        <w:t>).</w:t>
      </w:r>
    </w:p>
    <w:p w14:paraId="6C359518" w14:textId="77777777" w:rsidR="005606B2" w:rsidRDefault="005606B2" w:rsidP="007764C7">
      <w:pPr>
        <w:spacing w:line="276" w:lineRule="auto"/>
        <w:jc w:val="both"/>
        <w:rPr>
          <w:rFonts w:ascii="Arial" w:hAnsi="Arial" w:cs="Arial"/>
        </w:rPr>
      </w:pPr>
    </w:p>
    <w:p w14:paraId="0662219B" w14:textId="68C86E1F" w:rsidR="005606B2" w:rsidRPr="000E096F" w:rsidRDefault="005606B2" w:rsidP="007764C7">
      <w:pPr>
        <w:spacing w:line="276" w:lineRule="auto"/>
        <w:jc w:val="both"/>
        <w:rPr>
          <w:rFonts w:ascii="Arial" w:hAnsi="Arial" w:cs="Arial"/>
        </w:rPr>
      </w:pPr>
      <w:r w:rsidRPr="000E096F">
        <w:rPr>
          <w:rFonts w:ascii="Arial" w:hAnsi="Arial" w:cs="Arial"/>
        </w:rPr>
        <w:t>Lee, J.Y., Yang, E. &amp; Lee, K.H. (2022) ‘Experiences of implementing person-</w:t>
      </w:r>
      <w:proofErr w:type="spellStart"/>
      <w:r w:rsidRPr="000E096F">
        <w:rPr>
          <w:rFonts w:ascii="Arial" w:hAnsi="Arial" w:cs="Arial"/>
        </w:rPr>
        <w:t>centered</w:t>
      </w:r>
      <w:proofErr w:type="spellEnd"/>
      <w:r w:rsidRPr="000E096F">
        <w:rPr>
          <w:rFonts w:ascii="Arial" w:hAnsi="Arial" w:cs="Arial"/>
        </w:rPr>
        <w:t xml:space="preserve"> care for individuals living with dementia among nursing staff within collaborative practices: a meta-synthesis’, </w:t>
      </w:r>
      <w:r w:rsidRPr="000E096F">
        <w:rPr>
          <w:rFonts w:ascii="Arial" w:hAnsi="Arial" w:cs="Arial"/>
          <w:i/>
          <w:iCs/>
        </w:rPr>
        <w:t>International Journal of Nursing Studies</w:t>
      </w:r>
      <w:r w:rsidRPr="000E096F">
        <w:rPr>
          <w:rFonts w:ascii="Arial" w:hAnsi="Arial" w:cs="Arial"/>
        </w:rPr>
        <w:t xml:space="preserve">, 132, p. 104426. Available at: </w:t>
      </w:r>
      <w:hyperlink r:id="rId13" w:tgtFrame="_new" w:history="1">
        <w:r w:rsidRPr="000E096F">
          <w:rPr>
            <w:rStyle w:val="Hyperlink"/>
            <w:rFonts w:ascii="Arial" w:hAnsi="Arial" w:cs="Arial"/>
          </w:rPr>
          <w:t>https://doi.org/10.1016/j.ijnurstu.2022.104426</w:t>
        </w:r>
      </w:hyperlink>
      <w:r w:rsidRPr="000E096F">
        <w:rPr>
          <w:rFonts w:ascii="Arial" w:hAnsi="Arial" w:cs="Arial"/>
        </w:rPr>
        <w:t xml:space="preserve"> (Accessed: </w:t>
      </w:r>
      <w:r>
        <w:rPr>
          <w:rFonts w:ascii="Arial" w:hAnsi="Arial" w:cs="Arial"/>
        </w:rPr>
        <w:t>21 February 2026</w:t>
      </w:r>
      <w:r w:rsidRPr="000E096F">
        <w:rPr>
          <w:rFonts w:ascii="Arial" w:hAnsi="Arial" w:cs="Arial"/>
        </w:rPr>
        <w:t>).</w:t>
      </w:r>
    </w:p>
    <w:p w14:paraId="131A4FAE" w14:textId="77777777" w:rsidR="005606B2" w:rsidRDefault="005606B2" w:rsidP="007764C7">
      <w:pPr>
        <w:spacing w:line="276" w:lineRule="auto"/>
        <w:jc w:val="both"/>
        <w:rPr>
          <w:rFonts w:ascii="Arial" w:hAnsi="Arial" w:cs="Arial"/>
        </w:rPr>
      </w:pPr>
    </w:p>
    <w:p w14:paraId="7DAFEA1B" w14:textId="5EA5A0E5" w:rsidR="005606B2" w:rsidRDefault="005606B2" w:rsidP="007764C7">
      <w:pPr>
        <w:spacing w:line="276" w:lineRule="auto"/>
        <w:jc w:val="both"/>
        <w:rPr>
          <w:rFonts w:ascii="Arial" w:hAnsi="Arial" w:cs="Arial"/>
        </w:rPr>
      </w:pPr>
      <w:r w:rsidRPr="009C3981">
        <w:rPr>
          <w:rFonts w:ascii="Arial" w:hAnsi="Arial" w:cs="Arial"/>
        </w:rPr>
        <w:t xml:space="preserve">Mathers, N. &amp; Paynton, D. (2016) ‘Rhetoric and reality in person-centred care: introducing the House of Care framework’, </w:t>
      </w:r>
      <w:r w:rsidRPr="009C3981">
        <w:rPr>
          <w:rFonts w:ascii="Arial" w:hAnsi="Arial" w:cs="Arial"/>
          <w:i/>
          <w:iCs/>
        </w:rPr>
        <w:t>British Journal of General Practice</w:t>
      </w:r>
      <w:r w:rsidRPr="009C3981">
        <w:rPr>
          <w:rFonts w:ascii="Arial" w:hAnsi="Arial" w:cs="Arial"/>
        </w:rPr>
        <w:t xml:space="preserve">, 66(642), pp. 12–13. Available at: </w:t>
      </w:r>
      <w:hyperlink r:id="rId14" w:history="1">
        <w:r w:rsidRPr="00081CF5">
          <w:rPr>
            <w:rStyle w:val="Hyperlink"/>
            <w:rFonts w:ascii="Arial" w:hAnsi="Arial" w:cs="Arial"/>
          </w:rPr>
          <w:t>https://doi.org/10.3399/bjgp16X683077</w:t>
        </w:r>
      </w:hyperlink>
      <w:r>
        <w:rPr>
          <w:rFonts w:ascii="Arial" w:hAnsi="Arial" w:cs="Arial"/>
        </w:rPr>
        <w:t xml:space="preserve"> (Accessed: February 2026).</w:t>
      </w:r>
    </w:p>
    <w:p w14:paraId="16E40361" w14:textId="77777777" w:rsidR="005606B2" w:rsidRDefault="005606B2" w:rsidP="007764C7">
      <w:pPr>
        <w:spacing w:line="276" w:lineRule="auto"/>
        <w:jc w:val="both"/>
        <w:rPr>
          <w:rFonts w:ascii="Arial" w:hAnsi="Arial" w:cs="Arial"/>
        </w:rPr>
      </w:pPr>
    </w:p>
    <w:p w14:paraId="60B513DB" w14:textId="736F7B8F" w:rsidR="005606B2" w:rsidRPr="009B717F" w:rsidRDefault="005606B2" w:rsidP="007764C7">
      <w:pPr>
        <w:spacing w:line="276" w:lineRule="auto"/>
        <w:jc w:val="both"/>
        <w:rPr>
          <w:rFonts w:ascii="Arial" w:hAnsi="Arial" w:cs="Arial"/>
        </w:rPr>
      </w:pPr>
      <w:r w:rsidRPr="009B717F">
        <w:rPr>
          <w:rFonts w:ascii="Arial" w:hAnsi="Arial" w:cs="Arial"/>
        </w:rPr>
        <w:lastRenderedPageBreak/>
        <w:t xml:space="preserve">NHS England (2019) </w:t>
      </w:r>
      <w:r w:rsidRPr="009B717F">
        <w:rPr>
          <w:rFonts w:ascii="Arial" w:hAnsi="Arial" w:cs="Arial"/>
          <w:i/>
          <w:iCs/>
        </w:rPr>
        <w:t>The NHS Long Term Plan</w:t>
      </w:r>
      <w:r w:rsidRPr="009B717F">
        <w:rPr>
          <w:rFonts w:ascii="Arial" w:hAnsi="Arial" w:cs="Arial"/>
        </w:rPr>
        <w:t xml:space="preserve">. Available at: </w:t>
      </w:r>
      <w:hyperlink r:id="rId15" w:tgtFrame="_new" w:history="1">
        <w:r w:rsidRPr="009B717F">
          <w:rPr>
            <w:rStyle w:val="Hyperlink"/>
            <w:rFonts w:ascii="Arial" w:hAnsi="Arial" w:cs="Arial"/>
          </w:rPr>
          <w:t>https://www.longtermplan.nhs.uk/</w:t>
        </w:r>
      </w:hyperlink>
      <w:r w:rsidRPr="009B717F">
        <w:rPr>
          <w:rFonts w:ascii="Arial" w:hAnsi="Arial" w:cs="Arial"/>
        </w:rPr>
        <w:t xml:space="preserve"> (Accessed: </w:t>
      </w:r>
      <w:r>
        <w:rPr>
          <w:rFonts w:ascii="Arial" w:hAnsi="Arial" w:cs="Arial"/>
        </w:rPr>
        <w:t>22 February 2026</w:t>
      </w:r>
      <w:r w:rsidRPr="009B717F">
        <w:rPr>
          <w:rFonts w:ascii="Arial" w:hAnsi="Arial" w:cs="Arial"/>
        </w:rPr>
        <w:t>).</w:t>
      </w:r>
    </w:p>
    <w:p w14:paraId="0CF2D0FB" w14:textId="77777777" w:rsidR="005606B2" w:rsidRDefault="005606B2" w:rsidP="007764C7">
      <w:pPr>
        <w:spacing w:line="276" w:lineRule="auto"/>
        <w:jc w:val="both"/>
        <w:rPr>
          <w:rFonts w:ascii="Arial" w:hAnsi="Arial" w:cs="Arial"/>
        </w:rPr>
      </w:pPr>
    </w:p>
    <w:p w14:paraId="1DC790C0" w14:textId="44625F67" w:rsidR="005606B2" w:rsidRPr="004241C7" w:rsidRDefault="005606B2" w:rsidP="007764C7">
      <w:pPr>
        <w:spacing w:line="276" w:lineRule="auto"/>
        <w:jc w:val="both"/>
        <w:rPr>
          <w:rFonts w:ascii="Arial" w:hAnsi="Arial" w:cs="Arial"/>
        </w:rPr>
      </w:pPr>
      <w:r w:rsidRPr="004241C7">
        <w:rPr>
          <w:rFonts w:ascii="Arial" w:hAnsi="Arial" w:cs="Arial"/>
        </w:rPr>
        <w:t xml:space="preserve">NHS England (2023) </w:t>
      </w:r>
      <w:r w:rsidRPr="004241C7">
        <w:rPr>
          <w:rFonts w:ascii="Arial" w:hAnsi="Arial" w:cs="Arial"/>
          <w:i/>
          <w:iCs/>
        </w:rPr>
        <w:t>Intermediate care framework: rehabilitation, reablement and recovery following hospital discharge</w:t>
      </w:r>
      <w:r w:rsidRPr="004241C7">
        <w:rPr>
          <w:rFonts w:ascii="Arial" w:hAnsi="Arial" w:cs="Arial"/>
        </w:rPr>
        <w:t xml:space="preserve">. Available at: </w:t>
      </w:r>
      <w:hyperlink r:id="rId16" w:tgtFrame="_new" w:history="1">
        <w:r w:rsidRPr="004241C7">
          <w:rPr>
            <w:rStyle w:val="Hyperlink"/>
            <w:rFonts w:ascii="Arial" w:hAnsi="Arial" w:cs="Arial"/>
          </w:rPr>
          <w:t>https://www.england.nhs.uk/wp-content/uploads/2023/09/PRN00761-intermediate-care-framework-rehabilitation-reablement-recovery-following-hospital-discharge.pdf</w:t>
        </w:r>
      </w:hyperlink>
      <w:r w:rsidRPr="004241C7">
        <w:rPr>
          <w:rFonts w:ascii="Arial" w:hAnsi="Arial" w:cs="Arial"/>
        </w:rPr>
        <w:t xml:space="preserve"> (Accessed: </w:t>
      </w:r>
      <w:r>
        <w:rPr>
          <w:rFonts w:ascii="Arial" w:hAnsi="Arial" w:cs="Arial"/>
        </w:rPr>
        <w:t>01 Mars</w:t>
      </w:r>
      <w:r w:rsidRPr="004241C7">
        <w:rPr>
          <w:rFonts w:ascii="Arial" w:hAnsi="Arial" w:cs="Arial"/>
        </w:rPr>
        <w:t xml:space="preserve"> 202</w:t>
      </w:r>
      <w:r>
        <w:rPr>
          <w:rFonts w:ascii="Arial" w:hAnsi="Arial" w:cs="Arial"/>
        </w:rPr>
        <w:t>6</w:t>
      </w:r>
      <w:r w:rsidRPr="004241C7">
        <w:rPr>
          <w:rFonts w:ascii="Arial" w:hAnsi="Arial" w:cs="Arial"/>
        </w:rPr>
        <w:t>).</w:t>
      </w:r>
    </w:p>
    <w:p w14:paraId="13D5B5CF" w14:textId="77777777" w:rsidR="005606B2" w:rsidRDefault="005606B2" w:rsidP="007764C7">
      <w:pPr>
        <w:spacing w:line="276" w:lineRule="auto"/>
        <w:jc w:val="both"/>
        <w:rPr>
          <w:rFonts w:ascii="Arial" w:hAnsi="Arial" w:cs="Arial"/>
        </w:rPr>
      </w:pPr>
    </w:p>
    <w:p w14:paraId="0C08E793" w14:textId="5A47E980" w:rsidR="005606B2" w:rsidRDefault="005606B2" w:rsidP="007764C7">
      <w:pPr>
        <w:spacing w:line="276" w:lineRule="auto"/>
        <w:jc w:val="both"/>
        <w:rPr>
          <w:rFonts w:ascii="Arial" w:hAnsi="Arial" w:cs="Arial"/>
        </w:rPr>
      </w:pPr>
      <w:r w:rsidRPr="00DC0D68">
        <w:rPr>
          <w:rFonts w:ascii="Arial" w:hAnsi="Arial" w:cs="Arial"/>
        </w:rPr>
        <w:t>NHS England (</w:t>
      </w:r>
      <w:r>
        <w:rPr>
          <w:rFonts w:ascii="Arial" w:hAnsi="Arial" w:cs="Arial"/>
        </w:rPr>
        <w:t>2023</w:t>
      </w:r>
      <w:r w:rsidRPr="00DC0D68">
        <w:rPr>
          <w:rFonts w:ascii="Arial" w:hAnsi="Arial" w:cs="Arial"/>
        </w:rPr>
        <w:t xml:space="preserve">) </w:t>
      </w:r>
      <w:r w:rsidRPr="00DC0D68">
        <w:rPr>
          <w:rFonts w:ascii="Arial" w:hAnsi="Arial" w:cs="Arial"/>
          <w:i/>
          <w:iCs/>
        </w:rPr>
        <w:t>What is personalised care?</w:t>
      </w:r>
      <w:r w:rsidRPr="00DC0D68">
        <w:rPr>
          <w:rFonts w:ascii="Arial" w:hAnsi="Arial" w:cs="Arial"/>
        </w:rPr>
        <w:t xml:space="preserve">. Available at: </w:t>
      </w:r>
      <w:hyperlink r:id="rId17" w:tgtFrame="_new" w:history="1">
        <w:r w:rsidRPr="00DC0D68">
          <w:rPr>
            <w:rStyle w:val="Hyperlink"/>
            <w:rFonts w:ascii="Arial" w:hAnsi="Arial" w:cs="Arial"/>
          </w:rPr>
          <w:t>https://www.england.nhs.uk/personalisedcare/what-is-personalised-care/</w:t>
        </w:r>
      </w:hyperlink>
      <w:r w:rsidRPr="00DC0D68">
        <w:rPr>
          <w:rFonts w:ascii="Arial" w:hAnsi="Arial" w:cs="Arial"/>
        </w:rPr>
        <w:t xml:space="preserve"> (Accessed: </w:t>
      </w:r>
      <w:r>
        <w:rPr>
          <w:rFonts w:ascii="Arial" w:hAnsi="Arial" w:cs="Arial"/>
        </w:rPr>
        <w:t xml:space="preserve">21 February </w:t>
      </w:r>
      <w:r w:rsidRPr="00DC0D68">
        <w:rPr>
          <w:rFonts w:ascii="Arial" w:hAnsi="Arial" w:cs="Arial"/>
        </w:rPr>
        <w:t>2025).</w:t>
      </w:r>
    </w:p>
    <w:p w14:paraId="5D909ED3" w14:textId="77777777" w:rsidR="005606B2" w:rsidRDefault="005606B2" w:rsidP="007764C7">
      <w:pPr>
        <w:spacing w:line="276" w:lineRule="auto"/>
        <w:jc w:val="both"/>
        <w:rPr>
          <w:rFonts w:ascii="Arial" w:hAnsi="Arial" w:cs="Arial"/>
        </w:rPr>
      </w:pPr>
    </w:p>
    <w:p w14:paraId="4CA8B35D" w14:textId="08AC85AB" w:rsidR="005606B2" w:rsidRPr="001E559A" w:rsidRDefault="005606B2" w:rsidP="007764C7">
      <w:pPr>
        <w:spacing w:line="276" w:lineRule="auto"/>
        <w:jc w:val="both"/>
        <w:rPr>
          <w:rFonts w:ascii="Arial" w:hAnsi="Arial" w:cs="Arial"/>
        </w:rPr>
      </w:pPr>
      <w:r w:rsidRPr="001E559A">
        <w:rPr>
          <w:rFonts w:ascii="Arial" w:hAnsi="Arial" w:cs="Arial"/>
        </w:rPr>
        <w:t xml:space="preserve">Nursing and Midwifery Council (2021) </w:t>
      </w:r>
      <w:r w:rsidRPr="001E559A">
        <w:rPr>
          <w:rFonts w:ascii="Arial" w:hAnsi="Arial" w:cs="Arial"/>
          <w:i/>
          <w:iCs/>
        </w:rPr>
        <w:t>Future nurse: standards of proficiency for registered nurses</w:t>
      </w:r>
      <w:r w:rsidRPr="001E559A">
        <w:rPr>
          <w:rFonts w:ascii="Arial" w:hAnsi="Arial" w:cs="Arial"/>
        </w:rPr>
        <w:t xml:space="preserve">. Available at: </w:t>
      </w:r>
      <w:hyperlink r:id="rId18" w:tgtFrame="_new" w:history="1">
        <w:r w:rsidRPr="001E559A">
          <w:rPr>
            <w:rStyle w:val="Hyperlink"/>
            <w:rFonts w:ascii="Arial" w:hAnsi="Arial" w:cs="Arial"/>
          </w:rPr>
          <w:t>https://www.nmc.org.uk/globalassets/sitedocuments/education-standards/future-nurse-proficiencies.pdf</w:t>
        </w:r>
      </w:hyperlink>
      <w:r w:rsidRPr="001E559A">
        <w:rPr>
          <w:rFonts w:ascii="Arial" w:hAnsi="Arial" w:cs="Arial"/>
        </w:rPr>
        <w:t xml:space="preserve"> (Accessed: 01 Mars 2026).</w:t>
      </w:r>
    </w:p>
    <w:p w14:paraId="35E3E46C" w14:textId="77777777" w:rsidR="005606B2" w:rsidRDefault="005606B2" w:rsidP="007764C7">
      <w:pPr>
        <w:spacing w:line="276" w:lineRule="auto"/>
        <w:jc w:val="both"/>
        <w:rPr>
          <w:rFonts w:ascii="Arial" w:hAnsi="Arial" w:cs="Arial"/>
        </w:rPr>
      </w:pPr>
    </w:p>
    <w:p w14:paraId="7EF5E321" w14:textId="1029FD37" w:rsidR="005606B2" w:rsidRPr="008E1442" w:rsidRDefault="005606B2" w:rsidP="007764C7">
      <w:pPr>
        <w:spacing w:line="276" w:lineRule="auto"/>
        <w:jc w:val="both"/>
        <w:rPr>
          <w:rFonts w:ascii="Arial" w:hAnsi="Arial" w:cs="Arial"/>
        </w:rPr>
      </w:pPr>
      <w:r w:rsidRPr="008E1442">
        <w:rPr>
          <w:rFonts w:ascii="Arial" w:hAnsi="Arial" w:cs="Arial"/>
        </w:rPr>
        <w:t xml:space="preserve">Sharma, T., Bamford, M. &amp; Dodman, D. (2016) ‘Person-centred care: an overview of reviews’, </w:t>
      </w:r>
      <w:r w:rsidRPr="008E1442">
        <w:rPr>
          <w:rFonts w:ascii="Arial" w:hAnsi="Arial" w:cs="Arial"/>
          <w:i/>
          <w:iCs/>
        </w:rPr>
        <w:t>Contemporary Nurse</w:t>
      </w:r>
      <w:r w:rsidRPr="008E1442">
        <w:rPr>
          <w:rFonts w:ascii="Arial" w:hAnsi="Arial" w:cs="Arial"/>
        </w:rPr>
        <w:t xml:space="preserve">, 51(2), pp. 1–30. Available at: </w:t>
      </w:r>
      <w:hyperlink r:id="rId19" w:history="1">
        <w:r w:rsidRPr="00081CF5">
          <w:rPr>
            <w:rStyle w:val="Hyperlink"/>
            <w:rFonts w:ascii="Arial" w:hAnsi="Arial" w:cs="Arial"/>
          </w:rPr>
          <w:t>https://doi.org/10.1080/10376178.2016.1150192</w:t>
        </w:r>
      </w:hyperlink>
      <w:r w:rsidRPr="008E1442">
        <w:rPr>
          <w:rFonts w:ascii="Arial" w:hAnsi="Arial" w:cs="Arial"/>
        </w:rPr>
        <w:t xml:space="preserve"> (Accessed: </w:t>
      </w:r>
      <w:r>
        <w:rPr>
          <w:rFonts w:ascii="Arial" w:hAnsi="Arial" w:cs="Arial"/>
        </w:rPr>
        <w:t>21February</w:t>
      </w:r>
      <w:r w:rsidRPr="008E1442">
        <w:rPr>
          <w:rFonts w:ascii="Arial" w:hAnsi="Arial" w:cs="Arial"/>
        </w:rPr>
        <w:t xml:space="preserve"> 202</w:t>
      </w:r>
      <w:r>
        <w:rPr>
          <w:rFonts w:ascii="Arial" w:hAnsi="Arial" w:cs="Arial"/>
        </w:rPr>
        <w:t>6</w:t>
      </w:r>
      <w:r w:rsidRPr="008E1442">
        <w:rPr>
          <w:rFonts w:ascii="Arial" w:hAnsi="Arial" w:cs="Arial"/>
        </w:rPr>
        <w:t>).</w:t>
      </w:r>
    </w:p>
    <w:p w14:paraId="6EE37731" w14:textId="77777777" w:rsidR="005606B2" w:rsidRDefault="005606B2" w:rsidP="007764C7">
      <w:pPr>
        <w:spacing w:line="276" w:lineRule="auto"/>
        <w:jc w:val="both"/>
        <w:rPr>
          <w:rFonts w:ascii="Arial" w:hAnsi="Arial" w:cs="Arial"/>
        </w:rPr>
      </w:pPr>
    </w:p>
    <w:p w14:paraId="3A175BDB" w14:textId="02BEDAFB" w:rsidR="005606B2" w:rsidRDefault="005606B2" w:rsidP="007764C7">
      <w:pPr>
        <w:spacing w:line="276" w:lineRule="auto"/>
        <w:jc w:val="both"/>
        <w:rPr>
          <w:rFonts w:ascii="Arial" w:hAnsi="Arial" w:cs="Arial"/>
        </w:rPr>
      </w:pPr>
      <w:r w:rsidRPr="00826551">
        <w:rPr>
          <w:rFonts w:ascii="Arial" w:hAnsi="Arial" w:cs="Arial"/>
        </w:rPr>
        <w:t>United Kingdom Government (</w:t>
      </w:r>
      <w:r>
        <w:rPr>
          <w:rFonts w:ascii="Arial" w:hAnsi="Arial" w:cs="Arial"/>
        </w:rPr>
        <w:t>2023</w:t>
      </w:r>
      <w:r w:rsidRPr="00826551">
        <w:rPr>
          <w:rFonts w:ascii="Arial" w:hAnsi="Arial" w:cs="Arial"/>
        </w:rPr>
        <w:t xml:space="preserve">) </w:t>
      </w:r>
      <w:r w:rsidRPr="00826551">
        <w:rPr>
          <w:rFonts w:ascii="Arial" w:hAnsi="Arial" w:cs="Arial"/>
          <w:i/>
          <w:iCs/>
        </w:rPr>
        <w:t>The NHS Constitution for England</w:t>
      </w:r>
      <w:r w:rsidRPr="00826551">
        <w:rPr>
          <w:rFonts w:ascii="Arial" w:hAnsi="Arial" w:cs="Arial"/>
        </w:rPr>
        <w:t xml:space="preserve">. Available at: </w:t>
      </w:r>
      <w:hyperlink r:id="rId20" w:tgtFrame="_new" w:history="1">
        <w:r w:rsidRPr="00826551">
          <w:rPr>
            <w:rStyle w:val="Hyperlink"/>
            <w:rFonts w:ascii="Arial" w:hAnsi="Arial" w:cs="Arial"/>
          </w:rPr>
          <w:t>https://www.gov.uk/government/publications/the-nhs-constitution-for-england/the-nhs-constitution-for-england</w:t>
        </w:r>
      </w:hyperlink>
      <w:r w:rsidRPr="00826551">
        <w:rPr>
          <w:rFonts w:ascii="Arial" w:hAnsi="Arial" w:cs="Arial"/>
        </w:rPr>
        <w:t xml:space="preserve"> (Accessed: </w:t>
      </w:r>
      <w:r>
        <w:rPr>
          <w:rFonts w:ascii="Arial" w:hAnsi="Arial" w:cs="Arial"/>
        </w:rPr>
        <w:t xml:space="preserve">22 February </w:t>
      </w:r>
      <w:r w:rsidRPr="00826551">
        <w:rPr>
          <w:rFonts w:ascii="Arial" w:hAnsi="Arial" w:cs="Arial"/>
        </w:rPr>
        <w:t>202</w:t>
      </w:r>
      <w:r>
        <w:rPr>
          <w:rFonts w:ascii="Arial" w:hAnsi="Arial" w:cs="Arial"/>
        </w:rPr>
        <w:t>6</w:t>
      </w:r>
      <w:r w:rsidRPr="00826551">
        <w:rPr>
          <w:rFonts w:ascii="Arial" w:hAnsi="Arial" w:cs="Arial"/>
        </w:rPr>
        <w:t>)</w:t>
      </w:r>
      <w:r>
        <w:rPr>
          <w:rFonts w:ascii="Arial" w:hAnsi="Arial" w:cs="Arial"/>
        </w:rPr>
        <w:t>.</w:t>
      </w:r>
    </w:p>
    <w:p w14:paraId="3EEEB64C" w14:textId="77777777" w:rsidR="005606B2" w:rsidRDefault="005606B2" w:rsidP="007764C7">
      <w:pPr>
        <w:spacing w:line="276" w:lineRule="auto"/>
        <w:jc w:val="both"/>
        <w:rPr>
          <w:rFonts w:ascii="Arial" w:hAnsi="Arial" w:cs="Arial"/>
        </w:rPr>
      </w:pPr>
    </w:p>
    <w:p w14:paraId="2D2BA592" w14:textId="276092DB" w:rsidR="005606B2" w:rsidRPr="00141A8A" w:rsidRDefault="005606B2" w:rsidP="007764C7">
      <w:pPr>
        <w:spacing w:line="276" w:lineRule="auto"/>
        <w:jc w:val="both"/>
        <w:rPr>
          <w:rFonts w:ascii="Arial" w:hAnsi="Arial" w:cs="Arial"/>
        </w:rPr>
      </w:pPr>
      <w:r w:rsidRPr="00141A8A">
        <w:rPr>
          <w:rFonts w:ascii="Arial" w:hAnsi="Arial" w:cs="Arial"/>
        </w:rPr>
        <w:t xml:space="preserve">Varkey, B. (2021) ‘Principles of clinical ethics and their application to practice’, </w:t>
      </w:r>
      <w:r w:rsidRPr="00141A8A">
        <w:rPr>
          <w:rFonts w:ascii="Arial" w:hAnsi="Arial" w:cs="Arial"/>
          <w:i/>
          <w:iCs/>
        </w:rPr>
        <w:t>Medical Principles and Practice</w:t>
      </w:r>
      <w:r w:rsidRPr="00141A8A">
        <w:rPr>
          <w:rFonts w:ascii="Arial" w:hAnsi="Arial" w:cs="Arial"/>
        </w:rPr>
        <w:t xml:space="preserve">, 30(1), pp. 17–28. Available at: </w:t>
      </w:r>
      <w:hyperlink r:id="rId21" w:tgtFrame="_new" w:history="1">
        <w:r w:rsidRPr="00141A8A">
          <w:rPr>
            <w:rStyle w:val="Hyperlink"/>
            <w:rFonts w:ascii="Arial" w:hAnsi="Arial" w:cs="Arial"/>
          </w:rPr>
          <w:t>https://doi.org/10.1159/000509119</w:t>
        </w:r>
      </w:hyperlink>
      <w:r w:rsidRPr="00141A8A">
        <w:rPr>
          <w:rFonts w:ascii="Arial" w:hAnsi="Arial" w:cs="Arial"/>
        </w:rPr>
        <w:t xml:space="preserve"> (Accessed: 22 February 2026).</w:t>
      </w:r>
    </w:p>
    <w:p w14:paraId="6F03F7AC" w14:textId="77777777" w:rsidR="007764C7" w:rsidRPr="00141A8A" w:rsidRDefault="007764C7" w:rsidP="007764C7">
      <w:pPr>
        <w:spacing w:line="276" w:lineRule="auto"/>
        <w:jc w:val="both"/>
        <w:rPr>
          <w:rFonts w:ascii="Arial" w:hAnsi="Arial" w:cs="Arial"/>
        </w:rPr>
      </w:pPr>
    </w:p>
    <w:p w14:paraId="6E9C5FCE" w14:textId="77777777" w:rsidR="007764C7" w:rsidRPr="007764C7" w:rsidRDefault="007764C7" w:rsidP="007764C7">
      <w:pPr>
        <w:spacing w:line="360" w:lineRule="auto"/>
        <w:jc w:val="both"/>
        <w:rPr>
          <w:rFonts w:ascii="Arial" w:hAnsi="Arial" w:cs="Arial"/>
        </w:rPr>
      </w:pPr>
    </w:p>
    <w:p w14:paraId="6194E1D9" w14:textId="77777777" w:rsidR="007764C7" w:rsidRPr="00B60857" w:rsidRDefault="007764C7" w:rsidP="007764C7">
      <w:pPr>
        <w:spacing w:line="360" w:lineRule="auto"/>
        <w:jc w:val="both"/>
        <w:rPr>
          <w:rFonts w:ascii="Arial" w:hAnsi="Arial" w:cs="Arial"/>
        </w:rPr>
      </w:pPr>
    </w:p>
    <w:p w14:paraId="41AF9F37" w14:textId="77777777" w:rsidR="00B60857" w:rsidRPr="00E800BE" w:rsidRDefault="00B60857" w:rsidP="007764C7">
      <w:pPr>
        <w:spacing w:line="360" w:lineRule="auto"/>
        <w:jc w:val="both"/>
        <w:rPr>
          <w:rFonts w:ascii="Arial" w:hAnsi="Arial" w:cs="Arial"/>
        </w:rPr>
      </w:pPr>
    </w:p>
    <w:p w14:paraId="127208BA" w14:textId="77777777" w:rsidR="008A3780" w:rsidRPr="007764C7" w:rsidRDefault="008A3780" w:rsidP="007764C7">
      <w:pPr>
        <w:spacing w:line="360" w:lineRule="auto"/>
        <w:jc w:val="both"/>
        <w:rPr>
          <w:rFonts w:ascii="Arial" w:hAnsi="Arial" w:cs="Arial"/>
        </w:rPr>
      </w:pPr>
    </w:p>
    <w:sectPr w:rsidR="008A3780" w:rsidRPr="007764C7">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A2084" w14:textId="77777777" w:rsidR="000960B5" w:rsidRDefault="000960B5" w:rsidP="005606B2">
      <w:pPr>
        <w:spacing w:after="0" w:line="240" w:lineRule="auto"/>
      </w:pPr>
      <w:r>
        <w:separator/>
      </w:r>
    </w:p>
  </w:endnote>
  <w:endnote w:type="continuationSeparator" w:id="0">
    <w:p w14:paraId="4FEAE6D5" w14:textId="77777777" w:rsidR="000960B5" w:rsidRDefault="000960B5" w:rsidP="005606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4FDBF5" w14:textId="77777777" w:rsidR="000960B5" w:rsidRDefault="000960B5" w:rsidP="005606B2">
      <w:pPr>
        <w:spacing w:after="0" w:line="240" w:lineRule="auto"/>
      </w:pPr>
      <w:r>
        <w:separator/>
      </w:r>
    </w:p>
  </w:footnote>
  <w:footnote w:type="continuationSeparator" w:id="0">
    <w:p w14:paraId="4224054E" w14:textId="77777777" w:rsidR="000960B5" w:rsidRDefault="000960B5" w:rsidP="005606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7156657"/>
      <w:docPartObj>
        <w:docPartGallery w:val="Page Numbers (Top of Page)"/>
        <w:docPartUnique/>
      </w:docPartObj>
    </w:sdtPr>
    <w:sdtContent>
      <w:p w14:paraId="2C684841" w14:textId="0AC3A287" w:rsidR="005606B2" w:rsidRDefault="005606B2">
        <w:pPr>
          <w:pStyle w:val="Header"/>
          <w:jc w:val="center"/>
        </w:pPr>
        <w:r>
          <w:fldChar w:fldCharType="begin"/>
        </w:r>
        <w:r>
          <w:instrText>PAGE   \* MERGEFORMAT</w:instrText>
        </w:r>
        <w:r>
          <w:fldChar w:fldCharType="separate"/>
        </w:r>
        <w:r>
          <w:t>2</w:t>
        </w:r>
        <w:r>
          <w:fldChar w:fldCharType="end"/>
        </w:r>
      </w:p>
    </w:sdtContent>
  </w:sdt>
  <w:p w14:paraId="2E739010" w14:textId="77777777" w:rsidR="005606B2" w:rsidRDefault="005606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9753D2"/>
    <w:multiLevelType w:val="multilevel"/>
    <w:tmpl w:val="E0FA7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9522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4C6"/>
    <w:rsid w:val="000960B5"/>
    <w:rsid w:val="001C112D"/>
    <w:rsid w:val="002474C6"/>
    <w:rsid w:val="002F0758"/>
    <w:rsid w:val="00413E4C"/>
    <w:rsid w:val="005606B2"/>
    <w:rsid w:val="005A0B01"/>
    <w:rsid w:val="006019DF"/>
    <w:rsid w:val="00681D20"/>
    <w:rsid w:val="006F0917"/>
    <w:rsid w:val="007764C7"/>
    <w:rsid w:val="008A3780"/>
    <w:rsid w:val="00951062"/>
    <w:rsid w:val="00AD232F"/>
    <w:rsid w:val="00B60857"/>
    <w:rsid w:val="00D91A81"/>
    <w:rsid w:val="00DB2CF0"/>
    <w:rsid w:val="00E0582F"/>
    <w:rsid w:val="00E80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C2CEF"/>
  <w15:chartTrackingRefBased/>
  <w15:docId w15:val="{2D38347B-7B77-48C4-A417-5A75E4D5C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4C6"/>
  </w:style>
  <w:style w:type="paragraph" w:styleId="Heading1">
    <w:name w:val="heading 1"/>
    <w:basedOn w:val="Normal"/>
    <w:next w:val="Normal"/>
    <w:link w:val="Heading1Char"/>
    <w:uiPriority w:val="9"/>
    <w:qFormat/>
    <w:rsid w:val="002474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74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74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74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74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74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74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74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74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4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74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74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74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74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74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74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74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74C6"/>
    <w:rPr>
      <w:rFonts w:eastAsiaTheme="majorEastAsia" w:cstheme="majorBidi"/>
      <w:color w:val="272727" w:themeColor="text1" w:themeTint="D8"/>
    </w:rPr>
  </w:style>
  <w:style w:type="paragraph" w:styleId="Title">
    <w:name w:val="Title"/>
    <w:basedOn w:val="Normal"/>
    <w:next w:val="Normal"/>
    <w:link w:val="TitleChar"/>
    <w:uiPriority w:val="10"/>
    <w:qFormat/>
    <w:rsid w:val="002474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4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74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74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74C6"/>
    <w:pPr>
      <w:spacing w:before="160"/>
      <w:jc w:val="center"/>
    </w:pPr>
    <w:rPr>
      <w:i/>
      <w:iCs/>
      <w:color w:val="404040" w:themeColor="text1" w:themeTint="BF"/>
    </w:rPr>
  </w:style>
  <w:style w:type="character" w:customStyle="1" w:styleId="QuoteChar">
    <w:name w:val="Quote Char"/>
    <w:basedOn w:val="DefaultParagraphFont"/>
    <w:link w:val="Quote"/>
    <w:uiPriority w:val="29"/>
    <w:rsid w:val="002474C6"/>
    <w:rPr>
      <w:i/>
      <w:iCs/>
      <w:color w:val="404040" w:themeColor="text1" w:themeTint="BF"/>
    </w:rPr>
  </w:style>
  <w:style w:type="paragraph" w:styleId="ListParagraph">
    <w:name w:val="List Paragraph"/>
    <w:basedOn w:val="Normal"/>
    <w:uiPriority w:val="34"/>
    <w:qFormat/>
    <w:rsid w:val="002474C6"/>
    <w:pPr>
      <w:ind w:left="720"/>
      <w:contextualSpacing/>
    </w:pPr>
  </w:style>
  <w:style w:type="character" w:styleId="IntenseEmphasis">
    <w:name w:val="Intense Emphasis"/>
    <w:basedOn w:val="DefaultParagraphFont"/>
    <w:uiPriority w:val="21"/>
    <w:qFormat/>
    <w:rsid w:val="002474C6"/>
    <w:rPr>
      <w:i/>
      <w:iCs/>
      <w:color w:val="0F4761" w:themeColor="accent1" w:themeShade="BF"/>
    </w:rPr>
  </w:style>
  <w:style w:type="paragraph" w:styleId="IntenseQuote">
    <w:name w:val="Intense Quote"/>
    <w:basedOn w:val="Normal"/>
    <w:next w:val="Normal"/>
    <w:link w:val="IntenseQuoteChar"/>
    <w:uiPriority w:val="30"/>
    <w:qFormat/>
    <w:rsid w:val="002474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74C6"/>
    <w:rPr>
      <w:i/>
      <w:iCs/>
      <w:color w:val="0F4761" w:themeColor="accent1" w:themeShade="BF"/>
    </w:rPr>
  </w:style>
  <w:style w:type="character" w:styleId="IntenseReference">
    <w:name w:val="Intense Reference"/>
    <w:basedOn w:val="DefaultParagraphFont"/>
    <w:uiPriority w:val="32"/>
    <w:qFormat/>
    <w:rsid w:val="002474C6"/>
    <w:rPr>
      <w:b/>
      <w:bCs/>
      <w:smallCaps/>
      <w:color w:val="0F4761" w:themeColor="accent1" w:themeShade="BF"/>
      <w:spacing w:val="5"/>
    </w:rPr>
  </w:style>
  <w:style w:type="character" w:styleId="Hyperlink">
    <w:name w:val="Hyperlink"/>
    <w:basedOn w:val="DefaultParagraphFont"/>
    <w:uiPriority w:val="99"/>
    <w:unhideWhenUsed/>
    <w:rsid w:val="007764C7"/>
    <w:rPr>
      <w:color w:val="467886" w:themeColor="hyperlink"/>
      <w:u w:val="single"/>
    </w:rPr>
  </w:style>
  <w:style w:type="paragraph" w:styleId="Header">
    <w:name w:val="header"/>
    <w:basedOn w:val="Normal"/>
    <w:link w:val="HeaderChar"/>
    <w:uiPriority w:val="99"/>
    <w:unhideWhenUsed/>
    <w:rsid w:val="005606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6B2"/>
  </w:style>
  <w:style w:type="paragraph" w:styleId="Footer">
    <w:name w:val="footer"/>
    <w:basedOn w:val="Normal"/>
    <w:link w:val="FooterChar"/>
    <w:uiPriority w:val="99"/>
    <w:unhideWhenUsed/>
    <w:rsid w:val="005606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6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861/futurehosp.3-2-114" TargetMode="External"/><Relationship Id="rId13" Type="http://schemas.openxmlformats.org/officeDocument/2006/relationships/hyperlink" Target="https://doi.org/10.1016/j.ijnurstu.2022.104426" TargetMode="External"/><Relationship Id="rId18" Type="http://schemas.openxmlformats.org/officeDocument/2006/relationships/hyperlink" Target="https://www.nmc.org.uk/globalassets/sitedocuments/education-standards/future-nurse-proficiencies.pdf" TargetMode="External"/><Relationship Id="rId3" Type="http://schemas.openxmlformats.org/officeDocument/2006/relationships/settings" Target="settings.xml"/><Relationship Id="rId21" Type="http://schemas.openxmlformats.org/officeDocument/2006/relationships/hyperlink" Target="https://doi.org/10.1159/000509119" TargetMode="External"/><Relationship Id="rId7" Type="http://schemas.openxmlformats.org/officeDocument/2006/relationships/hyperlink" Target="https://doi.org/10.3399/bjgp15X683845" TargetMode="External"/><Relationship Id="rId12" Type="http://schemas.openxmlformats.org/officeDocument/2006/relationships/hyperlink" Target="https://doi.org/10.1186/s12912-021-00684-2" TargetMode="External"/><Relationship Id="rId17" Type="http://schemas.openxmlformats.org/officeDocument/2006/relationships/hyperlink" Target="https://www.england.nhs.uk/personalisedcare/what-is-personalised-care/" TargetMode="External"/><Relationship Id="rId2" Type="http://schemas.openxmlformats.org/officeDocument/2006/relationships/styles" Target="styles.xml"/><Relationship Id="rId16" Type="http://schemas.openxmlformats.org/officeDocument/2006/relationships/hyperlink" Target="https://www.england.nhs.uk/wp-content/uploads/2023/09/PRN00761-intermediate-care-framework-rehabilitation-reablement-recovery-following-hospital-discharge.pdf" TargetMode="External"/><Relationship Id="rId20" Type="http://schemas.openxmlformats.org/officeDocument/2006/relationships/hyperlink" Target="https://www.gov.uk/government/publications/the-nhs-constitution-for-england/the-nhs-constitution-for-englan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14651858.CD000313.pub6"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ongtermplan.nhs.uk/" TargetMode="External"/><Relationship Id="rId23" Type="http://schemas.openxmlformats.org/officeDocument/2006/relationships/fontTable" Target="fontTable.xml"/><Relationship Id="rId10" Type="http://schemas.openxmlformats.org/officeDocument/2006/relationships/hyperlink" Target="https://doi.org/10.5334/ijic.545" TargetMode="External"/><Relationship Id="rId19" Type="http://schemas.openxmlformats.org/officeDocument/2006/relationships/hyperlink" Target="https://doi.org/10.1080/10376178.2016.1150192" TargetMode="External"/><Relationship Id="rId4" Type="http://schemas.openxmlformats.org/officeDocument/2006/relationships/webSettings" Target="webSettings.xml"/><Relationship Id="rId9" Type="http://schemas.openxmlformats.org/officeDocument/2006/relationships/hyperlink" Target="https://doi.org/10.1186/s13584-021-00459-9" TargetMode="External"/><Relationship Id="rId14" Type="http://schemas.openxmlformats.org/officeDocument/2006/relationships/hyperlink" Target="https://doi.org/10.3399/bjgp16X683077"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3404</Words>
  <Characters>19404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Lenge, Roger</dc:creator>
  <cp:keywords/>
  <dc:description/>
  <cp:lastModifiedBy>Lenge, Roger</cp:lastModifiedBy>
  <cp:revision>2</cp:revision>
  <dcterms:created xsi:type="dcterms:W3CDTF">2026-03-02T02:51:00Z</dcterms:created>
  <dcterms:modified xsi:type="dcterms:W3CDTF">2026-03-02T02:51:00Z</dcterms:modified>
</cp:coreProperties>
</file>