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59953D5B" w:rsidR="000264A1" w:rsidRDefault="000264A1" w:rsidP="000264A1">
      <w:r>
        <w:fldChar w:fldCharType="begin"/>
      </w:r>
      <w:r w:rsidR="004F0C3F">
        <w:instrText xml:space="preserve"> INCLUDEPICTURE "C:\\Users\\biancasanfilippo\\Library\\Group Containers\\UBF8T346G9.ms\\WebArchiveCopyPasteTempFiles\\com.microsoft.Word\\UWTSD-Logo.jpg" \* MERGEFORMAT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195602A5" w14:textId="1473614C" w:rsidR="00722ABC" w:rsidRPr="003F20CF" w:rsidRDefault="000264A1" w:rsidP="000264A1">
      <w:pPr>
        <w:jc w:val="center"/>
        <w:rPr>
          <w:rStyle w:val="Strong"/>
          <w:rFonts w:ascii="Arial" w:hAnsi="Arial" w:cs="Arial"/>
          <w:color w:val="1D2125"/>
          <w:sz w:val="28"/>
          <w:szCs w:val="28"/>
        </w:rPr>
      </w:pPr>
      <w:r w:rsidRPr="003F20CF">
        <w:rPr>
          <w:rStyle w:val="Strong"/>
          <w:rFonts w:ascii="Arial" w:hAnsi="Arial" w:cs="Arial"/>
          <w:color w:val="1D2125"/>
          <w:sz w:val="28"/>
          <w:szCs w:val="28"/>
        </w:rPr>
        <w:t>BMHP6029-Psychopathological Classifications and Provisions</w:t>
      </w:r>
    </w:p>
    <w:p w14:paraId="797850F8" w14:textId="77777777" w:rsidR="007A7083" w:rsidRDefault="007A7083" w:rsidP="000264A1">
      <w:pPr>
        <w:jc w:val="center"/>
        <w:rPr>
          <w:rStyle w:val="Strong"/>
          <w:rFonts w:ascii="Arial" w:hAnsi="Arial" w:cs="Arial"/>
          <w:color w:val="1D2125"/>
          <w:sz w:val="36"/>
          <w:szCs w:val="36"/>
        </w:rPr>
      </w:pPr>
    </w:p>
    <w:p w14:paraId="407A7D59" w14:textId="77777777" w:rsidR="003F20CF" w:rsidRDefault="003F20CF" w:rsidP="000264A1">
      <w:pPr>
        <w:jc w:val="center"/>
        <w:rPr>
          <w:rStyle w:val="Strong"/>
          <w:rFonts w:ascii="Arial" w:hAnsi="Arial" w:cs="Arial"/>
          <w:color w:val="1D2125"/>
          <w:sz w:val="36"/>
          <w:szCs w:val="36"/>
        </w:rPr>
      </w:pPr>
    </w:p>
    <w:p w14:paraId="26FDCFBC" w14:textId="1604B86A" w:rsidR="00C365EC" w:rsidRDefault="00C365EC" w:rsidP="000264A1">
      <w:pPr>
        <w:jc w:val="center"/>
        <w:rPr>
          <w:rStyle w:val="Strong"/>
          <w:rFonts w:ascii="Arial" w:hAnsi="Arial" w:cs="Arial"/>
          <w:color w:val="1D2125"/>
          <w:sz w:val="36"/>
          <w:szCs w:val="36"/>
        </w:rPr>
      </w:pPr>
      <w:r>
        <w:rPr>
          <w:rStyle w:val="Strong"/>
          <w:rFonts w:ascii="Arial" w:hAnsi="Arial" w:cs="Arial"/>
          <w:color w:val="1D2125"/>
          <w:sz w:val="36"/>
          <w:szCs w:val="36"/>
        </w:rPr>
        <w:t>Social Anxiety</w:t>
      </w:r>
      <w:r w:rsidR="00946BB5">
        <w:rPr>
          <w:rStyle w:val="Strong"/>
          <w:rFonts w:ascii="Arial" w:hAnsi="Arial" w:cs="Arial"/>
          <w:color w:val="1D2125"/>
          <w:sz w:val="36"/>
          <w:szCs w:val="36"/>
        </w:rPr>
        <w:t xml:space="preserve"> Disorder (ICD-11, 6B04)</w:t>
      </w:r>
    </w:p>
    <w:p w14:paraId="41A39E2F" w14:textId="64F5E22C" w:rsidR="00946BB5" w:rsidRPr="000264A1" w:rsidRDefault="00946BB5" w:rsidP="000264A1">
      <w:pPr>
        <w:jc w:val="center"/>
        <w:rPr>
          <w:rStyle w:val="Strong"/>
          <w:rFonts w:ascii="Arial" w:hAnsi="Arial" w:cs="Arial"/>
          <w:color w:val="1D2125"/>
          <w:sz w:val="36"/>
          <w:szCs w:val="36"/>
        </w:rPr>
      </w:pPr>
      <w:r>
        <w:rPr>
          <w:rStyle w:val="Strong"/>
          <w:rFonts w:ascii="Arial" w:hAnsi="Arial" w:cs="Arial"/>
          <w:color w:val="1D2125"/>
          <w:sz w:val="36"/>
          <w:szCs w:val="36"/>
        </w:rPr>
        <w:t>Classification, Diagnosis, Treatment and Re</w:t>
      </w:r>
      <w:r w:rsidR="003F20CF">
        <w:rPr>
          <w:rStyle w:val="Strong"/>
          <w:rFonts w:ascii="Arial" w:hAnsi="Arial" w:cs="Arial"/>
          <w:color w:val="1D2125"/>
          <w:sz w:val="36"/>
          <w:szCs w:val="36"/>
        </w:rPr>
        <w:t>habilitation</w:t>
      </w:r>
    </w:p>
    <w:p w14:paraId="2A88E453" w14:textId="77777777" w:rsidR="000264A1" w:rsidRDefault="000264A1" w:rsidP="000264A1">
      <w:pPr>
        <w:jc w:val="center"/>
        <w:rPr>
          <w:rStyle w:val="Strong"/>
          <w:rFonts w:ascii="Arial" w:hAnsi="Arial" w:cs="Arial"/>
          <w:color w:val="1D2125"/>
          <w:sz w:val="36"/>
          <w:szCs w:val="36"/>
        </w:rPr>
      </w:pPr>
    </w:p>
    <w:p w14:paraId="723DF23E" w14:textId="77777777" w:rsidR="000264A1" w:rsidRPr="000264A1" w:rsidRDefault="000264A1" w:rsidP="00992A97">
      <w:pPr>
        <w:rPr>
          <w:rStyle w:val="Strong"/>
          <w:rFonts w:ascii="Arial" w:hAnsi="Arial" w:cs="Arial"/>
          <w:color w:val="1D2125"/>
          <w:sz w:val="36"/>
          <w:szCs w:val="36"/>
        </w:rPr>
      </w:pPr>
    </w:p>
    <w:p w14:paraId="3DB89340" w14:textId="24510D6A" w:rsidR="000264A1" w:rsidRPr="003F20CF" w:rsidRDefault="000264A1" w:rsidP="000264A1">
      <w:pPr>
        <w:rPr>
          <w:rStyle w:val="Strong"/>
          <w:rFonts w:ascii="Arial" w:hAnsi="Arial" w:cs="Arial"/>
          <w:b w:val="0"/>
          <w:bCs w:val="0"/>
          <w:color w:val="1D2125"/>
          <w:sz w:val="22"/>
          <w:szCs w:val="22"/>
        </w:rPr>
      </w:pPr>
      <w:r w:rsidRPr="003F20CF">
        <w:rPr>
          <w:rStyle w:val="Strong"/>
          <w:rFonts w:ascii="Arial" w:hAnsi="Arial" w:cs="Arial"/>
          <w:color w:val="1D2125"/>
          <w:sz w:val="22"/>
          <w:szCs w:val="22"/>
        </w:rPr>
        <w:t>Student name</w:t>
      </w:r>
      <w:r w:rsidR="002A08D1" w:rsidRPr="003F20CF">
        <w:rPr>
          <w:rStyle w:val="Strong"/>
          <w:rFonts w:ascii="Arial" w:hAnsi="Arial" w:cs="Arial"/>
          <w:color w:val="1D2125"/>
          <w:sz w:val="22"/>
          <w:szCs w:val="22"/>
        </w:rPr>
        <w:t xml:space="preserve">: </w:t>
      </w:r>
      <w:r w:rsidR="002A08D1" w:rsidRPr="003F20CF">
        <w:rPr>
          <w:rStyle w:val="Strong"/>
          <w:rFonts w:ascii="Arial" w:hAnsi="Arial" w:cs="Arial"/>
          <w:b w:val="0"/>
          <w:bCs w:val="0"/>
          <w:color w:val="1D2125"/>
          <w:sz w:val="22"/>
          <w:szCs w:val="22"/>
        </w:rPr>
        <w:t>Amber Rana</w:t>
      </w:r>
    </w:p>
    <w:p w14:paraId="3F25C99D" w14:textId="75162FE0" w:rsidR="000264A1" w:rsidRPr="003F20CF" w:rsidRDefault="000264A1" w:rsidP="000264A1">
      <w:pPr>
        <w:rPr>
          <w:rStyle w:val="Strong"/>
          <w:rFonts w:ascii="Arial" w:hAnsi="Arial" w:cs="Arial"/>
          <w:b w:val="0"/>
          <w:bCs w:val="0"/>
          <w:color w:val="1D2125"/>
          <w:sz w:val="22"/>
          <w:szCs w:val="22"/>
        </w:rPr>
      </w:pPr>
      <w:r w:rsidRPr="003F20CF">
        <w:rPr>
          <w:rStyle w:val="Strong"/>
          <w:rFonts w:ascii="Arial" w:hAnsi="Arial" w:cs="Arial"/>
          <w:color w:val="1D2125"/>
          <w:sz w:val="22"/>
          <w:szCs w:val="22"/>
        </w:rPr>
        <w:t>Student number</w:t>
      </w:r>
      <w:r w:rsidR="002A08D1" w:rsidRPr="003F20CF">
        <w:rPr>
          <w:rStyle w:val="Strong"/>
          <w:rFonts w:ascii="Arial" w:hAnsi="Arial" w:cs="Arial"/>
          <w:color w:val="1D2125"/>
          <w:sz w:val="22"/>
          <w:szCs w:val="22"/>
        </w:rPr>
        <w:t xml:space="preserve">: </w:t>
      </w:r>
      <w:r w:rsidR="00992A97" w:rsidRPr="003F20CF">
        <w:rPr>
          <w:rStyle w:val="Strong"/>
          <w:rFonts w:ascii="Arial" w:hAnsi="Arial" w:cs="Arial"/>
          <w:b w:val="0"/>
          <w:bCs w:val="0"/>
          <w:color w:val="1D2125"/>
          <w:sz w:val="22"/>
          <w:szCs w:val="22"/>
        </w:rPr>
        <w:t>2333688</w:t>
      </w:r>
    </w:p>
    <w:p w14:paraId="36EFEBA7" w14:textId="77777777" w:rsidR="00992A97" w:rsidRPr="003F20CF" w:rsidRDefault="00992A97" w:rsidP="00992A97">
      <w:pPr>
        <w:rPr>
          <w:rStyle w:val="Strong"/>
          <w:rFonts w:ascii="Arial" w:hAnsi="Arial" w:cs="Arial"/>
          <w:b w:val="0"/>
          <w:bCs w:val="0"/>
          <w:color w:val="1D2125"/>
          <w:sz w:val="22"/>
          <w:szCs w:val="22"/>
        </w:rPr>
      </w:pPr>
      <w:r w:rsidRPr="003F20CF">
        <w:rPr>
          <w:rFonts w:ascii="Arial" w:hAnsi="Arial" w:cs="Arial"/>
          <w:b/>
          <w:bCs/>
          <w:color w:val="000000"/>
          <w:sz w:val="22"/>
          <w:szCs w:val="22"/>
        </w:rPr>
        <w:t xml:space="preserve">Component 2: </w:t>
      </w:r>
      <w:r w:rsidRPr="003F20CF">
        <w:rPr>
          <w:rFonts w:ascii="Arial" w:hAnsi="Arial" w:cs="Arial"/>
          <w:color w:val="000000"/>
          <w:sz w:val="22"/>
          <w:szCs w:val="22"/>
        </w:rPr>
        <w:t>Written Assignment (Report)</w:t>
      </w:r>
      <w:r w:rsidRPr="003F20CF">
        <w:rPr>
          <w:rStyle w:val="Strong"/>
          <w:rFonts w:ascii="Arial" w:hAnsi="Arial" w:cs="Arial"/>
          <w:b w:val="0"/>
          <w:bCs w:val="0"/>
          <w:color w:val="1D2125"/>
          <w:sz w:val="22"/>
          <w:szCs w:val="22"/>
        </w:rPr>
        <w:t xml:space="preserve"> </w:t>
      </w:r>
    </w:p>
    <w:p w14:paraId="4C2DAF00" w14:textId="0800C5BC" w:rsidR="002750AA" w:rsidRPr="003F20CF" w:rsidRDefault="002750AA" w:rsidP="00992A97">
      <w:pPr>
        <w:rPr>
          <w:rStyle w:val="Strong"/>
          <w:rFonts w:ascii="Arial" w:hAnsi="Arial" w:cs="Arial"/>
          <w:color w:val="1D2125"/>
          <w:sz w:val="22"/>
          <w:szCs w:val="22"/>
        </w:rPr>
      </w:pPr>
      <w:r w:rsidRPr="003F20CF">
        <w:rPr>
          <w:rStyle w:val="Strong"/>
          <w:rFonts w:ascii="Arial" w:hAnsi="Arial" w:cs="Arial"/>
          <w:color w:val="1D2125"/>
          <w:sz w:val="22"/>
          <w:szCs w:val="22"/>
        </w:rPr>
        <w:t xml:space="preserve">Lecturer: </w:t>
      </w:r>
      <w:r w:rsidR="001E50F0" w:rsidRPr="003F20CF">
        <w:rPr>
          <w:rStyle w:val="Strong"/>
          <w:rFonts w:ascii="Arial" w:hAnsi="Arial" w:cs="Arial"/>
          <w:b w:val="0"/>
          <w:bCs w:val="0"/>
          <w:color w:val="1D2125"/>
          <w:sz w:val="22"/>
          <w:szCs w:val="22"/>
        </w:rPr>
        <w:t>Bianca</w:t>
      </w:r>
      <w:r w:rsidR="00BD6F52" w:rsidRPr="003F20CF">
        <w:rPr>
          <w:rStyle w:val="Strong"/>
          <w:rFonts w:ascii="Arial" w:hAnsi="Arial" w:cs="Arial"/>
          <w:b w:val="0"/>
          <w:bCs w:val="0"/>
          <w:color w:val="1D2125"/>
          <w:sz w:val="22"/>
          <w:szCs w:val="22"/>
        </w:rPr>
        <w:t xml:space="preserve"> Sanfilippo</w:t>
      </w:r>
      <w:r w:rsidR="00550536" w:rsidRPr="003F20CF">
        <w:rPr>
          <w:rStyle w:val="Strong"/>
          <w:rFonts w:ascii="Arial" w:hAnsi="Arial" w:cs="Arial"/>
          <w:b w:val="0"/>
          <w:bCs w:val="0"/>
          <w:color w:val="1D2125"/>
          <w:sz w:val="22"/>
          <w:szCs w:val="22"/>
        </w:rPr>
        <w:br/>
      </w:r>
    </w:p>
    <w:p w14:paraId="12891674" w14:textId="052F83F9" w:rsidR="002750AA" w:rsidRPr="003F20CF" w:rsidRDefault="002750AA" w:rsidP="00992A97">
      <w:pPr>
        <w:rPr>
          <w:rStyle w:val="Strong"/>
          <w:rFonts w:ascii="Arial" w:hAnsi="Arial" w:cs="Arial"/>
          <w:color w:val="1D2125"/>
          <w:sz w:val="22"/>
          <w:szCs w:val="22"/>
        </w:rPr>
      </w:pPr>
      <w:r w:rsidRPr="003F20CF">
        <w:rPr>
          <w:rStyle w:val="Strong"/>
          <w:rFonts w:ascii="Arial" w:hAnsi="Arial" w:cs="Arial"/>
          <w:color w:val="1D2125"/>
          <w:sz w:val="22"/>
          <w:szCs w:val="22"/>
        </w:rPr>
        <w:t>Submission deadline:</w:t>
      </w:r>
      <w:r w:rsidR="00847A72" w:rsidRPr="003F20CF">
        <w:rPr>
          <w:rStyle w:val="Strong"/>
          <w:rFonts w:ascii="Arial" w:hAnsi="Arial" w:cs="Arial"/>
          <w:color w:val="1D2125"/>
          <w:sz w:val="22"/>
          <w:szCs w:val="22"/>
        </w:rPr>
        <w:t xml:space="preserve"> </w:t>
      </w:r>
      <w:r w:rsidR="00EB65FB" w:rsidRPr="003F20CF">
        <w:rPr>
          <w:rStyle w:val="Strong"/>
          <w:rFonts w:ascii="Arial" w:hAnsi="Arial" w:cs="Arial"/>
          <w:b w:val="0"/>
          <w:bCs w:val="0"/>
          <w:color w:val="1D2125"/>
          <w:sz w:val="22"/>
          <w:szCs w:val="22"/>
        </w:rPr>
        <w:t>14</w:t>
      </w:r>
      <w:r w:rsidR="00EB65FB" w:rsidRPr="003F20CF">
        <w:rPr>
          <w:rStyle w:val="Strong"/>
          <w:rFonts w:ascii="Arial" w:hAnsi="Arial" w:cs="Arial"/>
          <w:b w:val="0"/>
          <w:bCs w:val="0"/>
          <w:color w:val="1D2125"/>
          <w:sz w:val="22"/>
          <w:szCs w:val="22"/>
          <w:vertAlign w:val="superscript"/>
        </w:rPr>
        <w:t>th</w:t>
      </w:r>
      <w:r w:rsidR="00EB65FB" w:rsidRPr="003F20CF">
        <w:rPr>
          <w:rStyle w:val="Strong"/>
          <w:rFonts w:ascii="Arial" w:hAnsi="Arial" w:cs="Arial"/>
          <w:color w:val="1D2125"/>
          <w:sz w:val="22"/>
          <w:szCs w:val="22"/>
        </w:rPr>
        <w:t xml:space="preserve"> </w:t>
      </w:r>
      <w:r w:rsidR="007C01BE" w:rsidRPr="003F20CF">
        <w:rPr>
          <w:rStyle w:val="Strong"/>
          <w:rFonts w:ascii="Arial" w:hAnsi="Arial" w:cs="Arial"/>
          <w:b w:val="0"/>
          <w:bCs w:val="0"/>
          <w:color w:val="1D2125"/>
          <w:sz w:val="22"/>
          <w:szCs w:val="22"/>
        </w:rPr>
        <w:t>August</w:t>
      </w:r>
      <w:r w:rsidR="00847A72" w:rsidRPr="003F20CF">
        <w:rPr>
          <w:rStyle w:val="Strong"/>
          <w:rFonts w:ascii="Arial" w:hAnsi="Arial" w:cs="Arial"/>
          <w:b w:val="0"/>
          <w:bCs w:val="0"/>
          <w:color w:val="1D2125"/>
          <w:sz w:val="22"/>
          <w:szCs w:val="22"/>
        </w:rPr>
        <w:t xml:space="preserve"> 2026</w:t>
      </w:r>
    </w:p>
    <w:p w14:paraId="2CE015E3" w14:textId="6BE57924" w:rsidR="002750AA" w:rsidRPr="003F20CF" w:rsidRDefault="002750AA" w:rsidP="00992A97">
      <w:pPr>
        <w:rPr>
          <w:rStyle w:val="Strong"/>
          <w:rFonts w:ascii="Arial" w:hAnsi="Arial" w:cs="Arial"/>
          <w:color w:val="1D2125"/>
          <w:sz w:val="22"/>
          <w:szCs w:val="22"/>
        </w:rPr>
      </w:pPr>
      <w:r w:rsidRPr="003F20CF">
        <w:rPr>
          <w:rStyle w:val="Strong"/>
          <w:rFonts w:ascii="Arial" w:hAnsi="Arial" w:cs="Arial"/>
          <w:color w:val="1D2125"/>
          <w:sz w:val="22"/>
          <w:szCs w:val="22"/>
        </w:rPr>
        <w:t>DSA extension</w:t>
      </w:r>
      <w:r w:rsidR="00951992" w:rsidRPr="003F20CF">
        <w:rPr>
          <w:rStyle w:val="Strong"/>
          <w:rFonts w:ascii="Arial" w:hAnsi="Arial" w:cs="Arial"/>
          <w:color w:val="1D2125"/>
          <w:sz w:val="22"/>
          <w:szCs w:val="22"/>
        </w:rPr>
        <w:t xml:space="preserve">: </w:t>
      </w:r>
      <w:r w:rsidR="007C01BE" w:rsidRPr="003F20CF">
        <w:rPr>
          <w:rStyle w:val="Strong"/>
          <w:rFonts w:ascii="Arial" w:hAnsi="Arial" w:cs="Arial"/>
          <w:b w:val="0"/>
          <w:bCs w:val="0"/>
          <w:color w:val="1D2125"/>
          <w:sz w:val="22"/>
          <w:szCs w:val="22"/>
        </w:rPr>
        <w:t xml:space="preserve"> </w:t>
      </w:r>
      <w:r w:rsidR="00417A93" w:rsidRPr="003F20CF">
        <w:rPr>
          <w:rStyle w:val="Strong"/>
          <w:rFonts w:ascii="Arial" w:hAnsi="Arial" w:cs="Arial"/>
          <w:b w:val="0"/>
          <w:bCs w:val="0"/>
          <w:color w:val="1D2125"/>
          <w:sz w:val="22"/>
          <w:szCs w:val="22"/>
        </w:rPr>
        <w:t>21</w:t>
      </w:r>
      <w:r w:rsidR="00417A93" w:rsidRPr="003F20CF">
        <w:rPr>
          <w:rStyle w:val="Strong"/>
          <w:rFonts w:ascii="Arial" w:hAnsi="Arial" w:cs="Arial"/>
          <w:b w:val="0"/>
          <w:bCs w:val="0"/>
          <w:color w:val="1D2125"/>
          <w:sz w:val="22"/>
          <w:szCs w:val="22"/>
          <w:vertAlign w:val="superscript"/>
        </w:rPr>
        <w:t>st</w:t>
      </w:r>
      <w:r w:rsidR="00417A93" w:rsidRPr="003F20CF">
        <w:rPr>
          <w:rStyle w:val="Strong"/>
          <w:rFonts w:ascii="Arial" w:hAnsi="Arial" w:cs="Arial"/>
          <w:b w:val="0"/>
          <w:bCs w:val="0"/>
          <w:color w:val="1D2125"/>
          <w:sz w:val="22"/>
          <w:szCs w:val="22"/>
        </w:rPr>
        <w:t xml:space="preserve"> </w:t>
      </w:r>
      <w:r w:rsidR="007C01BE" w:rsidRPr="003F20CF">
        <w:rPr>
          <w:rStyle w:val="Strong"/>
          <w:rFonts w:ascii="Arial" w:hAnsi="Arial" w:cs="Arial"/>
          <w:b w:val="0"/>
          <w:bCs w:val="0"/>
          <w:color w:val="1D2125"/>
          <w:sz w:val="22"/>
          <w:szCs w:val="22"/>
        </w:rPr>
        <w:t>August 2026</w:t>
      </w:r>
    </w:p>
    <w:p w14:paraId="42BD5DB9" w14:textId="1289E8DF" w:rsidR="00951992" w:rsidRPr="003F20CF" w:rsidRDefault="00951992" w:rsidP="00992A97">
      <w:pPr>
        <w:rPr>
          <w:rStyle w:val="Strong"/>
          <w:rFonts w:ascii="Arial" w:hAnsi="Arial" w:cs="Arial"/>
          <w:color w:val="1D2125"/>
          <w:sz w:val="22"/>
          <w:szCs w:val="22"/>
        </w:rPr>
      </w:pPr>
      <w:r w:rsidRPr="003F20CF">
        <w:rPr>
          <w:rStyle w:val="Strong"/>
          <w:rFonts w:ascii="Arial" w:hAnsi="Arial" w:cs="Arial"/>
          <w:color w:val="1D2125"/>
          <w:sz w:val="22"/>
          <w:szCs w:val="22"/>
        </w:rPr>
        <w:t>Word count:</w:t>
      </w:r>
      <w:r w:rsidR="00E9037F">
        <w:rPr>
          <w:rStyle w:val="Strong"/>
          <w:rFonts w:ascii="Arial" w:hAnsi="Arial" w:cs="Arial"/>
          <w:color w:val="1D2125"/>
          <w:sz w:val="22"/>
          <w:szCs w:val="22"/>
        </w:rPr>
        <w:t xml:space="preserve"> 2090</w:t>
      </w:r>
    </w:p>
    <w:p w14:paraId="7DD82387" w14:textId="77777777" w:rsidR="000264A1" w:rsidRDefault="000264A1" w:rsidP="000264A1">
      <w:pPr>
        <w:rPr>
          <w:rFonts w:ascii="Arial" w:hAnsi="Arial" w:cs="Arial"/>
          <w:sz w:val="36"/>
          <w:szCs w:val="36"/>
        </w:rPr>
      </w:pPr>
    </w:p>
    <w:p w14:paraId="563A7395" w14:textId="77777777" w:rsidR="000264A1" w:rsidRDefault="000264A1" w:rsidP="000264A1">
      <w:pPr>
        <w:rPr>
          <w:rFonts w:ascii="Arial" w:hAnsi="Arial" w:cs="Arial"/>
          <w:sz w:val="36"/>
          <w:szCs w:val="36"/>
        </w:rPr>
      </w:pPr>
    </w:p>
    <w:sdt>
      <w:sdtPr>
        <w:id w:val="-921869468"/>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17957B5D" w14:textId="34B6D146" w:rsidR="0029677F" w:rsidRDefault="0029677F">
          <w:pPr>
            <w:pStyle w:val="TOCHeading"/>
          </w:pPr>
          <w:r>
            <w:t>Table of Contents</w:t>
          </w:r>
        </w:p>
        <w:p w14:paraId="27BFC0E5" w14:textId="493FC45C" w:rsidR="00B42665" w:rsidRDefault="0029677F">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37915454" w:history="1">
            <w:r w:rsidR="00B42665" w:rsidRPr="003337C4">
              <w:rPr>
                <w:rStyle w:val="Hyperlink"/>
                <w:noProof/>
              </w:rPr>
              <w:t>1.</w:t>
            </w:r>
            <w:r w:rsidR="00B42665">
              <w:rPr>
                <w:rFonts w:eastAsiaTheme="minorEastAsia"/>
                <w:noProof/>
                <w:lang w:eastAsia="en-GB"/>
              </w:rPr>
              <w:tab/>
            </w:r>
            <w:r w:rsidR="00B42665" w:rsidRPr="003337C4">
              <w:rPr>
                <w:rStyle w:val="Hyperlink"/>
                <w:noProof/>
              </w:rPr>
              <w:t>Classification and Diagnosis</w:t>
            </w:r>
            <w:r w:rsidR="00B42665">
              <w:rPr>
                <w:noProof/>
                <w:webHidden/>
              </w:rPr>
              <w:tab/>
            </w:r>
            <w:r w:rsidR="00B42665">
              <w:rPr>
                <w:noProof/>
                <w:webHidden/>
              </w:rPr>
              <w:fldChar w:fldCharType="begin"/>
            </w:r>
            <w:r w:rsidR="00B42665">
              <w:rPr>
                <w:noProof/>
                <w:webHidden/>
              </w:rPr>
              <w:instrText xml:space="preserve"> PAGEREF _Toc237915454 \h </w:instrText>
            </w:r>
            <w:r w:rsidR="00B42665">
              <w:rPr>
                <w:noProof/>
                <w:webHidden/>
              </w:rPr>
            </w:r>
            <w:r w:rsidR="00B42665">
              <w:rPr>
                <w:noProof/>
                <w:webHidden/>
              </w:rPr>
              <w:fldChar w:fldCharType="separate"/>
            </w:r>
            <w:r w:rsidR="00B42665">
              <w:rPr>
                <w:noProof/>
                <w:webHidden/>
              </w:rPr>
              <w:t>3</w:t>
            </w:r>
            <w:r w:rsidR="00B42665">
              <w:rPr>
                <w:noProof/>
                <w:webHidden/>
              </w:rPr>
              <w:fldChar w:fldCharType="end"/>
            </w:r>
          </w:hyperlink>
        </w:p>
        <w:p w14:paraId="0257DB99" w14:textId="3C2AE675" w:rsidR="00B42665" w:rsidRDefault="00B42665">
          <w:pPr>
            <w:pStyle w:val="TOC1"/>
            <w:tabs>
              <w:tab w:val="left" w:pos="480"/>
              <w:tab w:val="right" w:leader="dot" w:pos="9016"/>
            </w:tabs>
            <w:rPr>
              <w:rFonts w:eastAsiaTheme="minorEastAsia"/>
              <w:noProof/>
              <w:lang w:eastAsia="en-GB"/>
            </w:rPr>
          </w:pPr>
          <w:hyperlink w:anchor="_Toc237915455" w:history="1">
            <w:r w:rsidRPr="003337C4">
              <w:rPr>
                <w:rStyle w:val="Hyperlink"/>
                <w:noProof/>
              </w:rPr>
              <w:t>2.</w:t>
            </w:r>
            <w:r>
              <w:rPr>
                <w:rFonts w:eastAsiaTheme="minorEastAsia"/>
                <w:noProof/>
                <w:lang w:eastAsia="en-GB"/>
              </w:rPr>
              <w:tab/>
            </w:r>
            <w:r w:rsidRPr="003337C4">
              <w:rPr>
                <w:rStyle w:val="Hyperlink"/>
                <w:noProof/>
              </w:rPr>
              <w:t>Treatment and Rehabilitation</w:t>
            </w:r>
            <w:r>
              <w:rPr>
                <w:noProof/>
                <w:webHidden/>
              </w:rPr>
              <w:tab/>
            </w:r>
            <w:r>
              <w:rPr>
                <w:noProof/>
                <w:webHidden/>
              </w:rPr>
              <w:fldChar w:fldCharType="begin"/>
            </w:r>
            <w:r>
              <w:rPr>
                <w:noProof/>
                <w:webHidden/>
              </w:rPr>
              <w:instrText xml:space="preserve"> PAGEREF _Toc237915455 \h </w:instrText>
            </w:r>
            <w:r>
              <w:rPr>
                <w:noProof/>
                <w:webHidden/>
              </w:rPr>
            </w:r>
            <w:r>
              <w:rPr>
                <w:noProof/>
                <w:webHidden/>
              </w:rPr>
              <w:fldChar w:fldCharType="separate"/>
            </w:r>
            <w:r>
              <w:rPr>
                <w:noProof/>
                <w:webHidden/>
              </w:rPr>
              <w:t>4</w:t>
            </w:r>
            <w:r>
              <w:rPr>
                <w:noProof/>
                <w:webHidden/>
              </w:rPr>
              <w:fldChar w:fldCharType="end"/>
            </w:r>
          </w:hyperlink>
        </w:p>
        <w:p w14:paraId="7F903E37" w14:textId="7C8AE1DC" w:rsidR="00B42665" w:rsidRDefault="00B42665">
          <w:pPr>
            <w:pStyle w:val="TOC1"/>
            <w:tabs>
              <w:tab w:val="left" w:pos="480"/>
              <w:tab w:val="right" w:leader="dot" w:pos="9016"/>
            </w:tabs>
            <w:rPr>
              <w:rFonts w:eastAsiaTheme="minorEastAsia"/>
              <w:noProof/>
              <w:lang w:eastAsia="en-GB"/>
            </w:rPr>
          </w:pPr>
          <w:hyperlink w:anchor="_Toc237915456" w:history="1">
            <w:r w:rsidRPr="003337C4">
              <w:rPr>
                <w:rStyle w:val="Hyperlink"/>
                <w:noProof/>
              </w:rPr>
              <w:t>3.</w:t>
            </w:r>
            <w:r>
              <w:rPr>
                <w:rFonts w:eastAsiaTheme="minorEastAsia"/>
                <w:noProof/>
                <w:lang w:eastAsia="en-GB"/>
              </w:rPr>
              <w:tab/>
            </w:r>
            <w:r w:rsidRPr="003337C4">
              <w:rPr>
                <w:rStyle w:val="Hyperlink"/>
                <w:noProof/>
              </w:rPr>
              <w:t>Current Debates and Emerging Issues</w:t>
            </w:r>
            <w:r>
              <w:rPr>
                <w:noProof/>
                <w:webHidden/>
              </w:rPr>
              <w:tab/>
            </w:r>
            <w:r>
              <w:rPr>
                <w:noProof/>
                <w:webHidden/>
              </w:rPr>
              <w:fldChar w:fldCharType="begin"/>
            </w:r>
            <w:r>
              <w:rPr>
                <w:noProof/>
                <w:webHidden/>
              </w:rPr>
              <w:instrText xml:space="preserve"> PAGEREF _Toc237915456 \h </w:instrText>
            </w:r>
            <w:r>
              <w:rPr>
                <w:noProof/>
                <w:webHidden/>
              </w:rPr>
            </w:r>
            <w:r>
              <w:rPr>
                <w:noProof/>
                <w:webHidden/>
              </w:rPr>
              <w:fldChar w:fldCharType="separate"/>
            </w:r>
            <w:r>
              <w:rPr>
                <w:noProof/>
                <w:webHidden/>
              </w:rPr>
              <w:t>5</w:t>
            </w:r>
            <w:r>
              <w:rPr>
                <w:noProof/>
                <w:webHidden/>
              </w:rPr>
              <w:fldChar w:fldCharType="end"/>
            </w:r>
          </w:hyperlink>
        </w:p>
        <w:p w14:paraId="5BAFC8AE" w14:textId="7D0FE621" w:rsidR="00B42665" w:rsidRDefault="00B42665">
          <w:pPr>
            <w:pStyle w:val="TOC1"/>
            <w:tabs>
              <w:tab w:val="left" w:pos="480"/>
              <w:tab w:val="right" w:leader="dot" w:pos="9016"/>
            </w:tabs>
            <w:rPr>
              <w:rFonts w:eastAsiaTheme="minorEastAsia"/>
              <w:noProof/>
              <w:lang w:eastAsia="en-GB"/>
            </w:rPr>
          </w:pPr>
          <w:hyperlink w:anchor="_Toc237915457" w:history="1">
            <w:r w:rsidRPr="003337C4">
              <w:rPr>
                <w:rStyle w:val="Hyperlink"/>
                <w:noProof/>
              </w:rPr>
              <w:t>4.</w:t>
            </w:r>
            <w:r>
              <w:rPr>
                <w:rFonts w:eastAsiaTheme="minorEastAsia"/>
                <w:noProof/>
                <w:lang w:eastAsia="en-GB"/>
              </w:rPr>
              <w:tab/>
            </w:r>
            <w:r w:rsidRPr="003337C4">
              <w:rPr>
                <w:rStyle w:val="Hyperlink"/>
                <w:noProof/>
              </w:rPr>
              <w:t>Recommendations</w:t>
            </w:r>
            <w:r>
              <w:rPr>
                <w:noProof/>
                <w:webHidden/>
              </w:rPr>
              <w:tab/>
            </w:r>
            <w:r>
              <w:rPr>
                <w:noProof/>
                <w:webHidden/>
              </w:rPr>
              <w:fldChar w:fldCharType="begin"/>
            </w:r>
            <w:r>
              <w:rPr>
                <w:noProof/>
                <w:webHidden/>
              </w:rPr>
              <w:instrText xml:space="preserve"> PAGEREF _Toc237915457 \h </w:instrText>
            </w:r>
            <w:r>
              <w:rPr>
                <w:noProof/>
                <w:webHidden/>
              </w:rPr>
            </w:r>
            <w:r>
              <w:rPr>
                <w:noProof/>
                <w:webHidden/>
              </w:rPr>
              <w:fldChar w:fldCharType="separate"/>
            </w:r>
            <w:r>
              <w:rPr>
                <w:noProof/>
                <w:webHidden/>
              </w:rPr>
              <w:t>6</w:t>
            </w:r>
            <w:r>
              <w:rPr>
                <w:noProof/>
                <w:webHidden/>
              </w:rPr>
              <w:fldChar w:fldCharType="end"/>
            </w:r>
          </w:hyperlink>
        </w:p>
        <w:p w14:paraId="01B29FFE" w14:textId="209B42E6" w:rsidR="00B42665" w:rsidRDefault="00B42665">
          <w:pPr>
            <w:pStyle w:val="TOC1"/>
            <w:tabs>
              <w:tab w:val="left" w:pos="480"/>
              <w:tab w:val="right" w:leader="dot" w:pos="9016"/>
            </w:tabs>
            <w:rPr>
              <w:rFonts w:eastAsiaTheme="minorEastAsia"/>
              <w:noProof/>
              <w:lang w:eastAsia="en-GB"/>
            </w:rPr>
          </w:pPr>
          <w:hyperlink w:anchor="_Toc237915458" w:history="1">
            <w:r w:rsidRPr="003337C4">
              <w:rPr>
                <w:rStyle w:val="Hyperlink"/>
                <w:noProof/>
              </w:rPr>
              <w:t>5.</w:t>
            </w:r>
            <w:r>
              <w:rPr>
                <w:rFonts w:eastAsiaTheme="minorEastAsia"/>
                <w:noProof/>
                <w:lang w:eastAsia="en-GB"/>
              </w:rPr>
              <w:tab/>
            </w:r>
            <w:r w:rsidRPr="003337C4">
              <w:rPr>
                <w:rStyle w:val="Hyperlink"/>
                <w:noProof/>
              </w:rPr>
              <w:t>Conclusion</w:t>
            </w:r>
            <w:r>
              <w:rPr>
                <w:noProof/>
                <w:webHidden/>
              </w:rPr>
              <w:tab/>
            </w:r>
            <w:r>
              <w:rPr>
                <w:noProof/>
                <w:webHidden/>
              </w:rPr>
              <w:fldChar w:fldCharType="begin"/>
            </w:r>
            <w:r>
              <w:rPr>
                <w:noProof/>
                <w:webHidden/>
              </w:rPr>
              <w:instrText xml:space="preserve"> PAGEREF _Toc237915458 \h </w:instrText>
            </w:r>
            <w:r>
              <w:rPr>
                <w:noProof/>
                <w:webHidden/>
              </w:rPr>
            </w:r>
            <w:r>
              <w:rPr>
                <w:noProof/>
                <w:webHidden/>
              </w:rPr>
              <w:fldChar w:fldCharType="separate"/>
            </w:r>
            <w:r>
              <w:rPr>
                <w:noProof/>
                <w:webHidden/>
              </w:rPr>
              <w:t>8</w:t>
            </w:r>
            <w:r>
              <w:rPr>
                <w:noProof/>
                <w:webHidden/>
              </w:rPr>
              <w:fldChar w:fldCharType="end"/>
            </w:r>
          </w:hyperlink>
        </w:p>
        <w:p w14:paraId="3CB09283" w14:textId="747E06B4" w:rsidR="00B42665" w:rsidRDefault="00B42665">
          <w:pPr>
            <w:pStyle w:val="TOC1"/>
            <w:tabs>
              <w:tab w:val="right" w:leader="dot" w:pos="9016"/>
            </w:tabs>
            <w:rPr>
              <w:rFonts w:eastAsiaTheme="minorEastAsia"/>
              <w:noProof/>
              <w:lang w:eastAsia="en-GB"/>
            </w:rPr>
          </w:pPr>
          <w:hyperlink w:anchor="_Toc237915459" w:history="1">
            <w:r w:rsidRPr="003337C4">
              <w:rPr>
                <w:rStyle w:val="Hyperlink"/>
                <w:noProof/>
              </w:rPr>
              <w:t>References</w:t>
            </w:r>
            <w:r>
              <w:rPr>
                <w:noProof/>
                <w:webHidden/>
              </w:rPr>
              <w:tab/>
            </w:r>
            <w:r>
              <w:rPr>
                <w:noProof/>
                <w:webHidden/>
              </w:rPr>
              <w:fldChar w:fldCharType="begin"/>
            </w:r>
            <w:r>
              <w:rPr>
                <w:noProof/>
                <w:webHidden/>
              </w:rPr>
              <w:instrText xml:space="preserve"> PAGEREF _Toc237915459 \h </w:instrText>
            </w:r>
            <w:r>
              <w:rPr>
                <w:noProof/>
                <w:webHidden/>
              </w:rPr>
            </w:r>
            <w:r>
              <w:rPr>
                <w:noProof/>
                <w:webHidden/>
              </w:rPr>
              <w:fldChar w:fldCharType="separate"/>
            </w:r>
            <w:r>
              <w:rPr>
                <w:noProof/>
                <w:webHidden/>
              </w:rPr>
              <w:t>9</w:t>
            </w:r>
            <w:r>
              <w:rPr>
                <w:noProof/>
                <w:webHidden/>
              </w:rPr>
              <w:fldChar w:fldCharType="end"/>
            </w:r>
          </w:hyperlink>
        </w:p>
        <w:p w14:paraId="5CAA5E53" w14:textId="5CF1911E" w:rsidR="0029677F" w:rsidRDefault="0029677F">
          <w:r>
            <w:rPr>
              <w:b/>
              <w:bCs/>
            </w:rPr>
            <w:fldChar w:fldCharType="end"/>
          </w:r>
        </w:p>
      </w:sdtContent>
    </w:sdt>
    <w:p w14:paraId="5805392B" w14:textId="77777777" w:rsidR="000264A1" w:rsidRDefault="000264A1" w:rsidP="000264A1">
      <w:pPr>
        <w:rPr>
          <w:rFonts w:ascii="Arial" w:hAnsi="Arial" w:cs="Arial"/>
          <w:sz w:val="36"/>
          <w:szCs w:val="36"/>
        </w:rPr>
      </w:pPr>
    </w:p>
    <w:p w14:paraId="4F5FBEC9" w14:textId="77777777" w:rsidR="000264A1" w:rsidRDefault="000264A1" w:rsidP="000264A1">
      <w:pPr>
        <w:rPr>
          <w:rFonts w:ascii="Arial" w:hAnsi="Arial" w:cs="Arial"/>
          <w:sz w:val="36"/>
          <w:szCs w:val="36"/>
        </w:rPr>
      </w:pPr>
    </w:p>
    <w:p w14:paraId="79D3557B" w14:textId="77777777" w:rsidR="00951992" w:rsidRDefault="00951992" w:rsidP="008A6D32">
      <w:pPr>
        <w:pStyle w:val="NormalWeb"/>
        <w:rPr>
          <w:rFonts w:ascii="Arial" w:hAnsi="Arial" w:cs="Arial"/>
          <w:b/>
          <w:bCs/>
          <w:color w:val="000000"/>
        </w:rPr>
      </w:pPr>
    </w:p>
    <w:p w14:paraId="324E851E" w14:textId="77777777" w:rsidR="00296600" w:rsidRDefault="00296600">
      <w:pPr>
        <w:rPr>
          <w:rFonts w:ascii="Arial" w:eastAsia="Times New Roman" w:hAnsi="Arial" w:cs="Arial"/>
          <w:b/>
          <w:bCs/>
          <w:color w:val="000000"/>
          <w:kern w:val="0"/>
          <w:lang w:eastAsia="en-GB"/>
          <w14:ligatures w14:val="none"/>
        </w:rPr>
      </w:pPr>
      <w:r>
        <w:rPr>
          <w:rFonts w:ascii="Arial" w:hAnsi="Arial" w:cs="Arial"/>
          <w:b/>
          <w:bCs/>
          <w:color w:val="000000"/>
        </w:rPr>
        <w:br w:type="page"/>
      </w:r>
    </w:p>
    <w:p w14:paraId="5DD55A3B" w14:textId="78724270" w:rsidR="008A6D32" w:rsidRDefault="008A6D32" w:rsidP="00C61251">
      <w:pPr>
        <w:pStyle w:val="Heading1"/>
        <w:numPr>
          <w:ilvl w:val="0"/>
          <w:numId w:val="2"/>
        </w:numPr>
      </w:pPr>
      <w:bookmarkStart w:id="0" w:name="_Toc237915454"/>
      <w:r w:rsidRPr="008A6D32">
        <w:lastRenderedPageBreak/>
        <w:t>Classification and Diagnosis</w:t>
      </w:r>
      <w:bookmarkEnd w:id="0"/>
    </w:p>
    <w:p w14:paraId="4201E364" w14:textId="4983101E" w:rsidR="00977E6F" w:rsidRPr="00BD1910" w:rsidRDefault="0034434F" w:rsidP="00BD1910">
      <w:pPr>
        <w:spacing w:line="360" w:lineRule="auto"/>
        <w:jc w:val="both"/>
        <w:rPr>
          <w:rFonts w:ascii="Arial" w:hAnsi="Arial" w:cs="Arial"/>
          <w:sz w:val="22"/>
          <w:szCs w:val="22"/>
        </w:rPr>
      </w:pPr>
      <w:r w:rsidRPr="00BD1910">
        <w:rPr>
          <w:rFonts w:ascii="Arial" w:hAnsi="Arial" w:cs="Arial"/>
          <w:sz w:val="22"/>
          <w:szCs w:val="22"/>
        </w:rPr>
        <w:t xml:space="preserve">Social anxiety disorder (SAD) is classified in ICD-11 as a mental health condition. It falls under Chapter 6, which covers Mental, </w:t>
      </w:r>
      <w:r w:rsidR="00BE308B" w:rsidRPr="00BD1910">
        <w:rPr>
          <w:rFonts w:ascii="Arial" w:hAnsi="Arial" w:cs="Arial"/>
          <w:sz w:val="22"/>
          <w:szCs w:val="22"/>
        </w:rPr>
        <w:t>Behavioural</w:t>
      </w:r>
      <w:r w:rsidRPr="00BD1910">
        <w:rPr>
          <w:rFonts w:ascii="Arial" w:hAnsi="Arial" w:cs="Arial"/>
          <w:sz w:val="22"/>
          <w:szCs w:val="22"/>
        </w:rPr>
        <w:t>, or Neurodevelopmental Disorders, and has the code 6B04. SAD is more than just shyness or temporary nervousness. To be classified with SAD, a person must have strong fear or anxiety in one or more social situations. They often worry about being judged negatively, may avoid social interactions, or feel very upset. These feelings need to persist for several months and cause significant problems in daily life. It’s important to understand this because many people feel nervous in social situations but do not meet the criteria for a mental disorder (WHO, 2026).</w:t>
      </w:r>
    </w:p>
    <w:p w14:paraId="5D7D3830" w14:textId="37631579" w:rsidR="00977E6F" w:rsidRPr="00BD1910" w:rsidRDefault="008E56F2" w:rsidP="00BD1910">
      <w:pPr>
        <w:spacing w:line="360" w:lineRule="auto"/>
        <w:jc w:val="both"/>
        <w:rPr>
          <w:rFonts w:ascii="Arial" w:hAnsi="Arial" w:cs="Arial"/>
          <w:sz w:val="22"/>
          <w:szCs w:val="22"/>
        </w:rPr>
      </w:pPr>
      <w:r w:rsidRPr="00BD1910">
        <w:rPr>
          <w:rFonts w:ascii="Arial" w:hAnsi="Arial" w:cs="Arial"/>
          <w:sz w:val="22"/>
          <w:szCs w:val="22"/>
        </w:rPr>
        <w:t xml:space="preserve">When diagnosing a condition, it is important to </w:t>
      </w:r>
      <w:r w:rsidR="00ED70BD">
        <w:rPr>
          <w:rFonts w:ascii="Arial" w:hAnsi="Arial" w:cs="Arial"/>
          <w:sz w:val="22"/>
          <w:szCs w:val="22"/>
        </w:rPr>
        <w:t>consider the pattern, persistence, and effects of symptoms rather than</w:t>
      </w:r>
      <w:r w:rsidRPr="00BD1910">
        <w:rPr>
          <w:rFonts w:ascii="Arial" w:hAnsi="Arial" w:cs="Arial"/>
          <w:sz w:val="22"/>
          <w:szCs w:val="22"/>
        </w:rPr>
        <w:t xml:space="preserve"> focusing on one isolated fear. The ICD-11 highlights </w:t>
      </w:r>
      <w:r w:rsidR="00CA61EF">
        <w:rPr>
          <w:rFonts w:ascii="Arial" w:hAnsi="Arial" w:cs="Arial"/>
          <w:sz w:val="22"/>
          <w:szCs w:val="22"/>
        </w:rPr>
        <w:t>those social interactions</w:t>
      </w:r>
      <w:r w:rsidRPr="00BD1910">
        <w:rPr>
          <w:rFonts w:ascii="Arial" w:hAnsi="Arial" w:cs="Arial"/>
          <w:sz w:val="22"/>
          <w:szCs w:val="22"/>
        </w:rPr>
        <w:t xml:space="preserve">, being watched, and performing in front of others often trigger these fears. Clinicians should also consider if another disorder better explains the symptoms and whether the fear is out of proportion to the person’s cultural and environmental context. This approach makes diagnosis a clinical judgment rather than just a checklist. It also helps prevent classifying culturally expected </w:t>
      </w:r>
      <w:r w:rsidR="00ED70BD">
        <w:rPr>
          <w:rFonts w:ascii="Arial" w:hAnsi="Arial" w:cs="Arial"/>
          <w:sz w:val="22"/>
          <w:szCs w:val="22"/>
        </w:rPr>
        <w:t>behaviours</w:t>
      </w:r>
      <w:r w:rsidRPr="00BD1910">
        <w:rPr>
          <w:rFonts w:ascii="Arial" w:hAnsi="Arial" w:cs="Arial"/>
          <w:sz w:val="22"/>
          <w:szCs w:val="22"/>
        </w:rPr>
        <w:t xml:space="preserve"> or normal personality traits like shyness as a disorder (WHO, 2026; Hofmann, Asnaani and Hinton, 2010).</w:t>
      </w:r>
    </w:p>
    <w:p w14:paraId="045ACE95" w14:textId="62D713D0" w:rsidR="0014500C" w:rsidRDefault="0014500C" w:rsidP="00BD1910">
      <w:pPr>
        <w:spacing w:line="360" w:lineRule="auto"/>
        <w:jc w:val="both"/>
        <w:rPr>
          <w:rFonts w:ascii="Arial" w:hAnsi="Arial" w:cs="Arial"/>
          <w:sz w:val="22"/>
          <w:szCs w:val="22"/>
        </w:rPr>
      </w:pPr>
      <w:r>
        <w:rPr>
          <w:rFonts w:ascii="Arial" w:hAnsi="Arial" w:cs="Arial"/>
          <w:sz w:val="22"/>
          <w:szCs w:val="22"/>
        </w:rPr>
        <w:t xml:space="preserve">To diagnose social anxiety disorder (SAD), it is important to look at the person’s history, when their symptoms started, how much they avoid social situations, any physical symptoms, how it affects their daily life, and if they have any other mental health issues. The National Institute for Health and Care Excellence (NICE) suggests asking the person directly about their fears and how these fears impact their education, work, relationships, and daily activities. </w:t>
      </w:r>
      <w:r w:rsidR="00013A45">
        <w:rPr>
          <w:rFonts w:ascii="Arial" w:hAnsi="Arial" w:cs="Arial"/>
          <w:sz w:val="22"/>
          <w:szCs w:val="22"/>
        </w:rPr>
        <w:t>When appropriate, standardised questionnaires can be helpful</w:t>
      </w:r>
      <w:r>
        <w:rPr>
          <w:rFonts w:ascii="Arial" w:hAnsi="Arial" w:cs="Arial"/>
          <w:sz w:val="22"/>
          <w:szCs w:val="22"/>
        </w:rPr>
        <w:t xml:space="preserve"> (NICE, 2013).</w:t>
      </w:r>
    </w:p>
    <w:p w14:paraId="27E16082" w14:textId="50B0FBD6" w:rsidR="00977E6F" w:rsidRPr="00BD1910" w:rsidRDefault="0014500C" w:rsidP="00BD1910">
      <w:pPr>
        <w:spacing w:line="360" w:lineRule="auto"/>
        <w:jc w:val="both"/>
        <w:rPr>
          <w:rFonts w:ascii="Arial" w:hAnsi="Arial" w:cs="Arial"/>
          <w:sz w:val="22"/>
          <w:szCs w:val="22"/>
        </w:rPr>
      </w:pPr>
      <w:r>
        <w:rPr>
          <w:rFonts w:ascii="Arial" w:hAnsi="Arial" w:cs="Arial"/>
          <w:sz w:val="22"/>
          <w:szCs w:val="22"/>
        </w:rPr>
        <w:t>It is also crucial to rule out other conditions since disorders like panic disorder, agoraphobia, depression, body dysmorphic disorder, autism, and selective mutism can have similar symptoms to SAD. The International Classification of Diseases (ICD-11) notes that panic attacks can happen in social settings without necessarily leading to a diagnosis of panic disorder (WHO, 2026).</w:t>
      </w:r>
    </w:p>
    <w:p w14:paraId="58DA4CFB" w14:textId="1E7DF205" w:rsidR="00680339" w:rsidRDefault="000E379F" w:rsidP="00013A45">
      <w:pPr>
        <w:spacing w:line="360" w:lineRule="auto"/>
        <w:jc w:val="both"/>
        <w:rPr>
          <w:rFonts w:ascii="Arial" w:hAnsi="Arial" w:cs="Arial"/>
          <w:sz w:val="22"/>
          <w:szCs w:val="22"/>
        </w:rPr>
      </w:pPr>
      <w:r>
        <w:rPr>
          <w:rFonts w:ascii="Arial" w:hAnsi="Arial" w:cs="Arial"/>
          <w:sz w:val="22"/>
          <w:szCs w:val="22"/>
        </w:rPr>
        <w:t xml:space="preserve">The classification of social anxiety is useful because it helps in assessment, service planning, and research. However, using labels for different categories has its limits. Social anxiety exists on a spectrum, and what is considered a "disorder" can vary based on culture, age, and social norms. Research shows that how social anxiety is expressed and how common it is can differ from one culture to another. Therefore, clinicians should not assume that certain </w:t>
      </w:r>
      <w:r w:rsidR="00013A45">
        <w:rPr>
          <w:rFonts w:ascii="Arial" w:hAnsi="Arial" w:cs="Arial"/>
          <w:sz w:val="22"/>
          <w:szCs w:val="22"/>
        </w:rPr>
        <w:t>behaviours</w:t>
      </w:r>
      <w:r>
        <w:rPr>
          <w:rFonts w:ascii="Arial" w:hAnsi="Arial" w:cs="Arial"/>
          <w:sz w:val="22"/>
          <w:szCs w:val="22"/>
        </w:rPr>
        <w:t xml:space="preserve">, like eye contact, assertiveness, or public actions, are normal for everyone. Good assessment </w:t>
      </w:r>
      <w:r>
        <w:rPr>
          <w:rFonts w:ascii="Arial" w:hAnsi="Arial" w:cs="Arial"/>
          <w:sz w:val="22"/>
          <w:szCs w:val="22"/>
        </w:rPr>
        <w:lastRenderedPageBreak/>
        <w:t xml:space="preserve">combines the ICD-11 criteria with a </w:t>
      </w:r>
      <w:r w:rsidR="00013A45">
        <w:rPr>
          <w:rFonts w:ascii="Arial" w:hAnsi="Arial" w:cs="Arial"/>
          <w:sz w:val="22"/>
          <w:szCs w:val="22"/>
        </w:rPr>
        <w:t>personalised</w:t>
      </w:r>
      <w:r>
        <w:rPr>
          <w:rFonts w:ascii="Arial" w:hAnsi="Arial" w:cs="Arial"/>
          <w:sz w:val="22"/>
          <w:szCs w:val="22"/>
        </w:rPr>
        <w:t xml:space="preserve"> understanding of why a person feels anxious and what keeps the problem going (Hofmann et al., 2010; Wolitzky-Taylor and LeBeau, 2023).</w:t>
      </w:r>
    </w:p>
    <w:p w14:paraId="03DC0326" w14:textId="77777777" w:rsidR="00EB6AD6" w:rsidRPr="00013A45" w:rsidRDefault="00EB6AD6" w:rsidP="00013A45">
      <w:pPr>
        <w:spacing w:line="360" w:lineRule="auto"/>
        <w:jc w:val="both"/>
        <w:rPr>
          <w:rFonts w:ascii="Arial" w:hAnsi="Arial" w:cs="Arial"/>
          <w:sz w:val="22"/>
          <w:szCs w:val="22"/>
        </w:rPr>
      </w:pPr>
    </w:p>
    <w:p w14:paraId="23CCEF70" w14:textId="43E026FB" w:rsidR="008A6D32" w:rsidRDefault="008A6D32" w:rsidP="00C61251">
      <w:pPr>
        <w:pStyle w:val="Heading1"/>
        <w:numPr>
          <w:ilvl w:val="0"/>
          <w:numId w:val="2"/>
        </w:numPr>
      </w:pPr>
      <w:bookmarkStart w:id="1" w:name="_Toc237915455"/>
      <w:r w:rsidRPr="008A6D32">
        <w:t>Treatment and Rehabilitation</w:t>
      </w:r>
      <w:bookmarkEnd w:id="1"/>
    </w:p>
    <w:p w14:paraId="76D79718" w14:textId="790ECC19" w:rsidR="00C3148C" w:rsidRPr="00BD1910" w:rsidRDefault="00D1414A" w:rsidP="00BD1910">
      <w:pPr>
        <w:spacing w:line="360" w:lineRule="auto"/>
        <w:jc w:val="both"/>
        <w:rPr>
          <w:rFonts w:ascii="Arial" w:hAnsi="Arial" w:cs="Arial"/>
          <w:sz w:val="22"/>
          <w:szCs w:val="22"/>
        </w:rPr>
      </w:pPr>
      <w:r>
        <w:rPr>
          <w:rFonts w:ascii="Arial" w:hAnsi="Arial" w:cs="Arial"/>
          <w:sz w:val="22"/>
          <w:szCs w:val="22"/>
        </w:rPr>
        <w:t xml:space="preserve">For adults, the main recommended treatment for social anxiety disorder (SAD) is a type of therapy called cognitive behavioural therapy (CBT). This therapy focuses on specific issues, such as how someone views themselves and their fears about how others judge them. It helps people test their fears by </w:t>
      </w:r>
      <w:r w:rsidR="00175AC3">
        <w:rPr>
          <w:rFonts w:ascii="Arial" w:hAnsi="Arial" w:cs="Arial"/>
          <w:sz w:val="22"/>
          <w:szCs w:val="22"/>
        </w:rPr>
        <w:t>facing</w:t>
      </w:r>
      <w:r>
        <w:rPr>
          <w:rFonts w:ascii="Arial" w:hAnsi="Arial" w:cs="Arial"/>
          <w:sz w:val="22"/>
          <w:szCs w:val="22"/>
        </w:rPr>
        <w:t xml:space="preserve"> challenging social situations instead of just seeking reassurance. Recent studies show that therapy can be effective for SAD, and CBT is one of the best-supported methods, although not everyone </w:t>
      </w:r>
      <w:r w:rsidR="00175AC3">
        <w:rPr>
          <w:rFonts w:ascii="Arial" w:hAnsi="Arial" w:cs="Arial"/>
          <w:sz w:val="22"/>
          <w:szCs w:val="22"/>
        </w:rPr>
        <w:t>responds the same way</w:t>
      </w:r>
      <w:r>
        <w:rPr>
          <w:rFonts w:ascii="Arial" w:hAnsi="Arial" w:cs="Arial"/>
          <w:sz w:val="22"/>
          <w:szCs w:val="22"/>
        </w:rPr>
        <w:t xml:space="preserve"> and outcomes can differ from study to study (NICE, 2013; de Ponti et al., 2024; Sun et al., 2025).</w:t>
      </w:r>
    </w:p>
    <w:p w14:paraId="47CC7678" w14:textId="1AFB34B4" w:rsidR="00C3148C" w:rsidRPr="00BD1910" w:rsidRDefault="00487AE2" w:rsidP="00BD1910">
      <w:pPr>
        <w:spacing w:line="360" w:lineRule="auto"/>
        <w:jc w:val="both"/>
        <w:rPr>
          <w:rFonts w:ascii="Arial" w:hAnsi="Arial" w:cs="Arial"/>
          <w:sz w:val="22"/>
          <w:szCs w:val="22"/>
        </w:rPr>
      </w:pPr>
      <w:r>
        <w:rPr>
          <w:rFonts w:ascii="Arial" w:hAnsi="Arial" w:cs="Arial"/>
          <w:sz w:val="22"/>
          <w:szCs w:val="22"/>
        </w:rPr>
        <w:t xml:space="preserve">Cognitive </w:t>
      </w:r>
      <w:r w:rsidR="0033400D">
        <w:rPr>
          <w:rFonts w:ascii="Arial" w:hAnsi="Arial" w:cs="Arial"/>
          <w:sz w:val="22"/>
          <w:szCs w:val="22"/>
        </w:rPr>
        <w:t>Behavioural Therapy (CBT) has strong evidence supporting its use, including randomised</w:t>
      </w:r>
      <w:r>
        <w:rPr>
          <w:rFonts w:ascii="Arial" w:hAnsi="Arial" w:cs="Arial"/>
          <w:sz w:val="22"/>
          <w:szCs w:val="22"/>
        </w:rPr>
        <w:t xml:space="preserve"> controlled trials and systematic reviews. These studies show that CBT can help with anxiety-related disorders. Many people continue to benefit from CBT even after their treatment ends. However, it is important to </w:t>
      </w:r>
      <w:r w:rsidR="0033400D">
        <w:rPr>
          <w:rFonts w:ascii="Arial" w:hAnsi="Arial" w:cs="Arial"/>
          <w:sz w:val="22"/>
          <w:szCs w:val="22"/>
        </w:rPr>
        <w:t>recognise</w:t>
      </w:r>
      <w:r>
        <w:rPr>
          <w:rFonts w:ascii="Arial" w:hAnsi="Arial" w:cs="Arial"/>
          <w:sz w:val="22"/>
          <w:szCs w:val="22"/>
        </w:rPr>
        <w:t xml:space="preserve"> its limits. Average results may not reflect individual experiences, as differences in severity, other mental health issues, culture, neurodiversity, and access to trained therapists can affect outcomes. Additionally, people who drop out of treatment or are not included in studies </w:t>
      </w:r>
      <w:r w:rsidR="0033400D">
        <w:rPr>
          <w:rFonts w:ascii="Arial" w:hAnsi="Arial" w:cs="Arial"/>
          <w:sz w:val="22"/>
          <w:szCs w:val="22"/>
        </w:rPr>
        <w:t>may be underrepresented</w:t>
      </w:r>
      <w:r>
        <w:rPr>
          <w:rFonts w:ascii="Arial" w:hAnsi="Arial" w:cs="Arial"/>
          <w:sz w:val="22"/>
          <w:szCs w:val="22"/>
        </w:rPr>
        <w:t xml:space="preserve">. As a result, </w:t>
      </w:r>
      <w:r w:rsidR="0033400D">
        <w:rPr>
          <w:rFonts w:ascii="Arial" w:hAnsi="Arial" w:cs="Arial"/>
          <w:sz w:val="22"/>
          <w:szCs w:val="22"/>
        </w:rPr>
        <w:t>CBT's effectiveness in everyday practice may be lower than research suggests</w:t>
      </w:r>
      <w:r>
        <w:rPr>
          <w:rFonts w:ascii="Arial" w:hAnsi="Arial" w:cs="Arial"/>
          <w:sz w:val="22"/>
          <w:szCs w:val="22"/>
        </w:rPr>
        <w:t xml:space="preserve"> (Carpenter et al., 2018; van Dis et al., 2020; de Ponti et al., 2024).</w:t>
      </w:r>
    </w:p>
    <w:p w14:paraId="09E9B216" w14:textId="24747A39" w:rsidR="00C3148C" w:rsidRPr="00BC3E6F" w:rsidRDefault="003B7918" w:rsidP="00BD1910">
      <w:pPr>
        <w:spacing w:line="360" w:lineRule="auto"/>
        <w:jc w:val="both"/>
        <w:rPr>
          <w:rFonts w:ascii="Arial" w:hAnsi="Arial" w:cs="Arial"/>
          <w:color w:val="000000" w:themeColor="text1"/>
          <w:sz w:val="22"/>
          <w:szCs w:val="22"/>
        </w:rPr>
      </w:pPr>
      <w:r w:rsidRPr="00BC3E6F">
        <w:rPr>
          <w:rFonts w:ascii="Arial" w:hAnsi="Arial" w:cs="Arial"/>
          <w:color w:val="000000" w:themeColor="text1"/>
          <w:sz w:val="22"/>
          <w:szCs w:val="22"/>
        </w:rPr>
        <w:t xml:space="preserve">Medication may be an option if someone chooses not to pursue cognitive </w:t>
      </w:r>
      <w:r w:rsidR="00BC3E6F">
        <w:rPr>
          <w:rFonts w:ascii="Arial" w:hAnsi="Arial" w:cs="Arial"/>
          <w:color w:val="000000" w:themeColor="text1"/>
          <w:sz w:val="22"/>
          <w:szCs w:val="22"/>
        </w:rPr>
        <w:t>behavioural</w:t>
      </w:r>
      <w:r w:rsidRPr="00BC3E6F">
        <w:rPr>
          <w:rFonts w:ascii="Arial" w:hAnsi="Arial" w:cs="Arial"/>
          <w:color w:val="000000" w:themeColor="text1"/>
          <w:sz w:val="22"/>
          <w:szCs w:val="22"/>
        </w:rPr>
        <w:t xml:space="preserve"> therapy (CBT), cannot access it, or prefers medication. The National Institute for Health and Care Excellence (NICE) recommends selective serotonin reuptake inhibitors like escitalopram or sertraline for adults who choose medication, with careful monitoring for side effects and how well the medication works. Previous studies have shown that both psychological and medication treatments can help reduce symptoms, but individual CBT has been found to have a better balance of benefits versus risks. In contrast, a recent review found no strong evidence that beta-blockers help with social anxiety or panic disorder, even though more people are being prescribed them. This suggests that caution is needed when considering them as a standard treatment for social anxiety disorder (SAD) (NICE, 2013; Mayo-Wilson et al., 2014; Archer et al., 2025).</w:t>
      </w:r>
    </w:p>
    <w:p w14:paraId="6561BD52" w14:textId="3D13590F" w:rsidR="00C3148C" w:rsidRPr="00120316" w:rsidRDefault="00120316" w:rsidP="00BD1910">
      <w:pPr>
        <w:spacing w:line="360" w:lineRule="auto"/>
        <w:jc w:val="both"/>
        <w:rPr>
          <w:rFonts w:ascii="Arial" w:hAnsi="Arial" w:cs="Arial"/>
          <w:color w:val="000000" w:themeColor="text1"/>
          <w:sz w:val="22"/>
          <w:szCs w:val="22"/>
        </w:rPr>
      </w:pPr>
      <w:r w:rsidRPr="00120316">
        <w:rPr>
          <w:rFonts w:ascii="Arial" w:hAnsi="Arial" w:cs="Arial"/>
          <w:color w:val="000000" w:themeColor="text1"/>
          <w:sz w:val="22"/>
          <w:szCs w:val="22"/>
        </w:rPr>
        <w:t xml:space="preserve">Rehabilitation is more than </w:t>
      </w:r>
      <w:r>
        <w:rPr>
          <w:rFonts w:ascii="Arial" w:hAnsi="Arial" w:cs="Arial"/>
          <w:color w:val="000000" w:themeColor="text1"/>
          <w:sz w:val="22"/>
          <w:szCs w:val="22"/>
        </w:rPr>
        <w:t>symptom reduction</w:t>
      </w:r>
      <w:r w:rsidRPr="00120316">
        <w:rPr>
          <w:rFonts w:ascii="Arial" w:hAnsi="Arial" w:cs="Arial"/>
          <w:color w:val="000000" w:themeColor="text1"/>
          <w:sz w:val="22"/>
          <w:szCs w:val="22"/>
        </w:rPr>
        <w:t xml:space="preserve">. The ICD-11 mainly </w:t>
      </w:r>
      <w:r>
        <w:rPr>
          <w:rFonts w:ascii="Arial" w:hAnsi="Arial" w:cs="Arial"/>
          <w:color w:val="000000" w:themeColor="text1"/>
          <w:sz w:val="22"/>
          <w:szCs w:val="22"/>
        </w:rPr>
        <w:t>classifies and diagnoses</w:t>
      </w:r>
      <w:r w:rsidRPr="00120316">
        <w:rPr>
          <w:rFonts w:ascii="Arial" w:hAnsi="Arial" w:cs="Arial"/>
          <w:color w:val="000000" w:themeColor="text1"/>
          <w:sz w:val="22"/>
          <w:szCs w:val="22"/>
        </w:rPr>
        <w:t xml:space="preserve"> conditions, but it doesn’t outline a specific rehabilitation program. In practice, rehabilitation can </w:t>
      </w:r>
      <w:r w:rsidRPr="00120316">
        <w:rPr>
          <w:rFonts w:ascii="Arial" w:hAnsi="Arial" w:cs="Arial"/>
          <w:color w:val="000000" w:themeColor="text1"/>
          <w:sz w:val="22"/>
          <w:szCs w:val="22"/>
        </w:rPr>
        <w:lastRenderedPageBreak/>
        <w:t xml:space="preserve">involve gradually returning to school or work, rebuilding social connections, boosting confidence, tackling avoidance </w:t>
      </w:r>
      <w:r>
        <w:rPr>
          <w:rFonts w:ascii="Arial" w:hAnsi="Arial" w:cs="Arial"/>
          <w:color w:val="000000" w:themeColor="text1"/>
          <w:sz w:val="22"/>
          <w:szCs w:val="22"/>
        </w:rPr>
        <w:t>behaviours</w:t>
      </w:r>
      <w:r w:rsidRPr="00120316">
        <w:rPr>
          <w:rFonts w:ascii="Arial" w:hAnsi="Arial" w:cs="Arial"/>
          <w:color w:val="000000" w:themeColor="text1"/>
          <w:sz w:val="22"/>
          <w:szCs w:val="22"/>
        </w:rPr>
        <w:t xml:space="preserve">, including family when appropriate, and planning for potential setbacks. NICE highlights the need </w:t>
      </w:r>
      <w:r>
        <w:rPr>
          <w:rFonts w:ascii="Arial" w:hAnsi="Arial" w:cs="Arial"/>
          <w:color w:val="000000" w:themeColor="text1"/>
          <w:sz w:val="22"/>
          <w:szCs w:val="22"/>
        </w:rPr>
        <w:t>to improve education, work, and social life, as well as relieve</w:t>
      </w:r>
      <w:r w:rsidRPr="00120316">
        <w:rPr>
          <w:rFonts w:ascii="Arial" w:hAnsi="Arial" w:cs="Arial"/>
          <w:color w:val="000000" w:themeColor="text1"/>
          <w:sz w:val="22"/>
          <w:szCs w:val="22"/>
        </w:rPr>
        <w:t xml:space="preserve"> symptoms. This focus on functioning is crucial because someone may feel less anxious but still be socially isolated or unable to engage in meaningful activities (WHO, 2026; NICE, 2013).</w:t>
      </w:r>
    </w:p>
    <w:p w14:paraId="34288708" w14:textId="63269F4E" w:rsidR="00581A40" w:rsidRPr="006058FA" w:rsidRDefault="006058FA" w:rsidP="00BD1910">
      <w:pPr>
        <w:spacing w:line="360" w:lineRule="auto"/>
        <w:jc w:val="both"/>
        <w:rPr>
          <w:rFonts w:ascii="Arial" w:hAnsi="Arial" w:cs="Arial"/>
          <w:color w:val="000000" w:themeColor="text1"/>
          <w:sz w:val="22"/>
          <w:szCs w:val="22"/>
        </w:rPr>
      </w:pPr>
      <w:r w:rsidRPr="006058FA">
        <w:rPr>
          <w:rFonts w:ascii="Arial" w:hAnsi="Arial" w:cs="Arial"/>
          <w:color w:val="000000" w:themeColor="text1"/>
          <w:sz w:val="22"/>
          <w:szCs w:val="22"/>
        </w:rPr>
        <w:t>Digital and immersive treatments are new options that may help more people access care. A 2025 study of randomised trials found that virtual reality exposure therapy can reduce social anxiety. It provides a controlled way to practice facing feared situations, which can benefit those who struggle with immediate real-world exposure. However, virtual reality should not fully replace traditional therapy, as the study samples are relatively small, access can be limited by equipment and digital skills, and long-term outcomes are less certain. Therefore, digital methods are best seen as flexible additions to person-centred rehabilitation rather than automatic substitutes for therapist-led care (Tan et al., 2025; de Ponti et al., 2024).</w:t>
      </w:r>
    </w:p>
    <w:p w14:paraId="668504A0" w14:textId="1A1AB997" w:rsidR="008A6D32" w:rsidRPr="008A6D32" w:rsidRDefault="008A6D32" w:rsidP="00977E6F">
      <w:pPr>
        <w:pStyle w:val="NormalWeb"/>
        <w:rPr>
          <w:rFonts w:ascii="Arial" w:hAnsi="Arial" w:cs="Arial"/>
          <w:b/>
          <w:bCs/>
          <w:color w:val="000000"/>
        </w:rPr>
      </w:pPr>
    </w:p>
    <w:p w14:paraId="0D06B3CB" w14:textId="636D4A51" w:rsidR="008A6D32" w:rsidRDefault="008A6D32" w:rsidP="006711B6">
      <w:pPr>
        <w:pStyle w:val="Heading1"/>
        <w:numPr>
          <w:ilvl w:val="0"/>
          <w:numId w:val="2"/>
        </w:numPr>
      </w:pPr>
      <w:bookmarkStart w:id="2" w:name="_Toc237915456"/>
      <w:r w:rsidRPr="008A6D32">
        <w:t>Current Debates and Emerging Issues</w:t>
      </w:r>
      <w:bookmarkEnd w:id="2"/>
    </w:p>
    <w:p w14:paraId="1658215C" w14:textId="669A366E" w:rsidR="00D34C75" w:rsidRPr="00BD1910" w:rsidRDefault="0051383C" w:rsidP="00BD1910">
      <w:pPr>
        <w:spacing w:line="360" w:lineRule="auto"/>
        <w:jc w:val="both"/>
        <w:rPr>
          <w:rFonts w:ascii="Arial" w:hAnsi="Arial" w:cs="Arial"/>
          <w:sz w:val="22"/>
          <w:szCs w:val="22"/>
        </w:rPr>
      </w:pPr>
      <w:r>
        <w:rPr>
          <w:rFonts w:ascii="Arial" w:hAnsi="Arial" w:cs="Arial"/>
          <w:sz w:val="22"/>
          <w:szCs w:val="22"/>
        </w:rPr>
        <w:t xml:space="preserve">There is an ongoing debate about whether diagnostic systems define a specific disorder or create an artificial line in a range of normal social fear. The ICD-11 tries to address this by requiring that symptoms last a long time, are excessive, and cause significant problems. However, clinicians still need to use their judgment. </w:t>
      </w:r>
      <w:r w:rsidR="009C23A4">
        <w:rPr>
          <w:rFonts w:ascii="Arial" w:hAnsi="Arial" w:cs="Arial"/>
          <w:sz w:val="22"/>
          <w:szCs w:val="22"/>
        </w:rPr>
        <w:t>This situation presents a challenge. Recognising a condition widely may help more people get treatment. However, classifying normal shyness as a disorder could lead to unnecessary treatments.</w:t>
      </w:r>
      <w:r>
        <w:rPr>
          <w:rFonts w:ascii="Arial" w:hAnsi="Arial" w:cs="Arial"/>
          <w:sz w:val="22"/>
          <w:szCs w:val="22"/>
        </w:rPr>
        <w:t xml:space="preserve"> Cultural differences add to the complexity because </w:t>
      </w:r>
      <w:r w:rsidR="00E47EFA">
        <w:rPr>
          <w:rFonts w:ascii="Arial" w:hAnsi="Arial" w:cs="Arial"/>
          <w:sz w:val="22"/>
          <w:szCs w:val="22"/>
        </w:rPr>
        <w:t>behaviour</w:t>
      </w:r>
      <w:r>
        <w:rPr>
          <w:rFonts w:ascii="Arial" w:hAnsi="Arial" w:cs="Arial"/>
          <w:sz w:val="22"/>
          <w:szCs w:val="22"/>
        </w:rPr>
        <w:t xml:space="preserve"> seen as avoidant in one culture might be accepted or valued in another. The best approach is to </w:t>
      </w:r>
      <w:r w:rsidR="009C23A4">
        <w:rPr>
          <w:rFonts w:ascii="Arial" w:hAnsi="Arial" w:cs="Arial"/>
          <w:sz w:val="22"/>
          <w:szCs w:val="22"/>
        </w:rPr>
        <w:t>diagnose</w:t>
      </w:r>
      <w:r>
        <w:rPr>
          <w:rFonts w:ascii="Arial" w:hAnsi="Arial" w:cs="Arial"/>
          <w:sz w:val="22"/>
          <w:szCs w:val="22"/>
        </w:rPr>
        <w:t xml:space="preserve"> only when symptoms clearly go beyond cultural norms and lead to real distress or difficulties in functioning (WHO, 2026; Hofmann, Asnaani, and Hinton, 2010).</w:t>
      </w:r>
    </w:p>
    <w:p w14:paraId="4E047135" w14:textId="26672517" w:rsidR="00D34C75" w:rsidRPr="00666341" w:rsidRDefault="000B1A7A" w:rsidP="00BD1910">
      <w:pPr>
        <w:spacing w:line="360" w:lineRule="auto"/>
        <w:jc w:val="both"/>
        <w:rPr>
          <w:rFonts w:ascii="Arial" w:hAnsi="Arial" w:cs="Arial"/>
          <w:color w:val="000000" w:themeColor="text1"/>
          <w:sz w:val="22"/>
          <w:szCs w:val="22"/>
        </w:rPr>
      </w:pPr>
      <w:r w:rsidRPr="00666341">
        <w:rPr>
          <w:rFonts w:ascii="Arial" w:hAnsi="Arial" w:cs="Arial"/>
          <w:color w:val="000000" w:themeColor="text1"/>
          <w:sz w:val="22"/>
          <w:szCs w:val="22"/>
        </w:rPr>
        <w:t xml:space="preserve">Neurodivergence is an important topic today. Autism and Social Anxiety Disorder (SAD) both can lead to less eye contact, withdrawal, and trouble in social situations, but the reasons behind these </w:t>
      </w:r>
      <w:r w:rsidR="00666341">
        <w:rPr>
          <w:rFonts w:ascii="Arial" w:hAnsi="Arial" w:cs="Arial"/>
          <w:color w:val="000000" w:themeColor="text1"/>
          <w:sz w:val="22"/>
          <w:szCs w:val="22"/>
        </w:rPr>
        <w:t>behaviours</w:t>
      </w:r>
      <w:r w:rsidRPr="00666341">
        <w:rPr>
          <w:rFonts w:ascii="Arial" w:hAnsi="Arial" w:cs="Arial"/>
          <w:color w:val="000000" w:themeColor="text1"/>
          <w:sz w:val="22"/>
          <w:szCs w:val="22"/>
        </w:rPr>
        <w:t xml:space="preserve"> are different. Autism is a condition that affects brain development and causes social-communication differences from a young age. SAD, on the other hand, is based on the fear of being judged negatively and usually develops later in life. </w:t>
      </w:r>
      <w:r w:rsidR="00666341">
        <w:rPr>
          <w:rFonts w:ascii="Arial" w:hAnsi="Arial" w:cs="Arial"/>
          <w:color w:val="000000" w:themeColor="text1"/>
          <w:sz w:val="22"/>
          <w:szCs w:val="22"/>
        </w:rPr>
        <w:t xml:space="preserve"> </w:t>
      </w:r>
      <w:r w:rsidRPr="00666341">
        <w:rPr>
          <w:rFonts w:ascii="Arial" w:hAnsi="Arial" w:cs="Arial"/>
          <w:color w:val="000000" w:themeColor="text1"/>
          <w:sz w:val="22"/>
          <w:szCs w:val="22"/>
        </w:rPr>
        <w:t xml:space="preserve">Recent guidelines on how to tell these two apart warn that autistic young people and those with SAD may score similarly on some screening tests. This can lead to </w:t>
      </w:r>
      <w:r w:rsidR="00666341">
        <w:rPr>
          <w:rFonts w:ascii="Arial" w:hAnsi="Arial" w:cs="Arial"/>
          <w:color w:val="000000" w:themeColor="text1"/>
          <w:sz w:val="22"/>
          <w:szCs w:val="22"/>
        </w:rPr>
        <w:t>diagnostic confusion</w:t>
      </w:r>
      <w:r w:rsidRPr="00666341">
        <w:rPr>
          <w:rFonts w:ascii="Arial" w:hAnsi="Arial" w:cs="Arial"/>
          <w:color w:val="000000" w:themeColor="text1"/>
          <w:sz w:val="22"/>
          <w:szCs w:val="22"/>
        </w:rPr>
        <w:t xml:space="preserve">. To avoid </w:t>
      </w:r>
      <w:r w:rsidRPr="00666341">
        <w:rPr>
          <w:rFonts w:ascii="Arial" w:hAnsi="Arial" w:cs="Arial"/>
          <w:color w:val="000000" w:themeColor="text1"/>
          <w:sz w:val="22"/>
          <w:szCs w:val="22"/>
        </w:rPr>
        <w:lastRenderedPageBreak/>
        <w:t xml:space="preserve">this, it is essential to take a detailed history and assess </w:t>
      </w:r>
      <w:r w:rsidR="00666341" w:rsidRPr="00666341">
        <w:rPr>
          <w:rFonts w:ascii="Arial" w:hAnsi="Arial" w:cs="Arial"/>
          <w:color w:val="000000" w:themeColor="text1"/>
          <w:sz w:val="22"/>
          <w:szCs w:val="22"/>
        </w:rPr>
        <w:t>everyone</w:t>
      </w:r>
      <w:r w:rsidRPr="00666341">
        <w:rPr>
          <w:rFonts w:ascii="Arial" w:hAnsi="Arial" w:cs="Arial"/>
          <w:color w:val="000000" w:themeColor="text1"/>
          <w:sz w:val="22"/>
          <w:szCs w:val="22"/>
        </w:rPr>
        <w:t xml:space="preserve"> in different settings (Olson et al., 2024).</w:t>
      </w:r>
    </w:p>
    <w:p w14:paraId="1B77CD3B" w14:textId="561A3502" w:rsidR="00D34C75" w:rsidRPr="00D91A4A" w:rsidRDefault="00420049" w:rsidP="00BD1910">
      <w:pPr>
        <w:spacing w:line="360" w:lineRule="auto"/>
        <w:jc w:val="both"/>
        <w:rPr>
          <w:rFonts w:ascii="Arial" w:hAnsi="Arial" w:cs="Arial"/>
          <w:color w:val="000000" w:themeColor="text1"/>
          <w:sz w:val="22"/>
          <w:szCs w:val="22"/>
        </w:rPr>
      </w:pPr>
      <w:r w:rsidRPr="00D91A4A">
        <w:rPr>
          <w:rFonts w:ascii="Arial" w:hAnsi="Arial" w:cs="Arial"/>
          <w:color w:val="000000" w:themeColor="text1"/>
          <w:sz w:val="22"/>
          <w:szCs w:val="22"/>
        </w:rPr>
        <w:t xml:space="preserve">Research suggests that common ideas about social anxiety might not fully explain how autistic people feel. A review </w:t>
      </w:r>
      <w:r w:rsidR="00D91A4A">
        <w:rPr>
          <w:rFonts w:ascii="Arial" w:hAnsi="Arial" w:cs="Arial"/>
          <w:color w:val="000000" w:themeColor="text1"/>
          <w:sz w:val="22"/>
          <w:szCs w:val="22"/>
        </w:rPr>
        <w:t>identified known factors such as</w:t>
      </w:r>
      <w:r w:rsidRPr="00D91A4A">
        <w:rPr>
          <w:rFonts w:ascii="Arial" w:hAnsi="Arial" w:cs="Arial"/>
          <w:color w:val="000000" w:themeColor="text1"/>
          <w:sz w:val="22"/>
          <w:szCs w:val="22"/>
        </w:rPr>
        <w:t xml:space="preserve"> fear of being judged and safety </w:t>
      </w:r>
      <w:r w:rsidR="00D91A4A">
        <w:rPr>
          <w:rFonts w:ascii="Arial" w:hAnsi="Arial" w:cs="Arial"/>
          <w:color w:val="000000" w:themeColor="text1"/>
          <w:sz w:val="22"/>
          <w:szCs w:val="22"/>
        </w:rPr>
        <w:t>behaviours</w:t>
      </w:r>
      <w:r w:rsidRPr="00D91A4A">
        <w:rPr>
          <w:rFonts w:ascii="Arial" w:hAnsi="Arial" w:cs="Arial"/>
          <w:color w:val="000000" w:themeColor="text1"/>
          <w:sz w:val="22"/>
          <w:szCs w:val="22"/>
        </w:rPr>
        <w:t xml:space="preserve">. However, it also highlighted autism-related issues such as intolerance of uncertainty, difficulty in managing emotions, sensory problems, and peer bullying. Most of this evidence comes from </w:t>
      </w:r>
      <w:r w:rsidR="00D91A4A">
        <w:rPr>
          <w:rFonts w:ascii="Arial" w:hAnsi="Arial" w:cs="Arial"/>
          <w:color w:val="000000" w:themeColor="text1"/>
          <w:sz w:val="22"/>
          <w:szCs w:val="22"/>
        </w:rPr>
        <w:t>cross-sectional studies</w:t>
      </w:r>
      <w:r w:rsidRPr="00D91A4A">
        <w:rPr>
          <w:rFonts w:ascii="Arial" w:hAnsi="Arial" w:cs="Arial"/>
          <w:color w:val="000000" w:themeColor="text1"/>
          <w:sz w:val="22"/>
          <w:szCs w:val="22"/>
        </w:rPr>
        <w:t xml:space="preserve"> and relies on self-reports, which makes it hard to draw firm conclusions about causes. This suggests it is reasonable to adjust treatments, but we should be careful when claiming that social anxiety in autism is completely different until we have clearer long-term studies (Lei et al., 2024).</w:t>
      </w:r>
    </w:p>
    <w:p w14:paraId="5E091524" w14:textId="45CBF012" w:rsidR="00D34C75" w:rsidRPr="002C7D82" w:rsidRDefault="00380BA5" w:rsidP="00BD1910">
      <w:pPr>
        <w:spacing w:line="360" w:lineRule="auto"/>
        <w:jc w:val="both"/>
        <w:rPr>
          <w:rFonts w:ascii="Arial" w:hAnsi="Arial" w:cs="Arial"/>
          <w:color w:val="000000" w:themeColor="text1"/>
          <w:sz w:val="22"/>
          <w:szCs w:val="22"/>
        </w:rPr>
      </w:pPr>
      <w:r w:rsidRPr="002C7D82">
        <w:rPr>
          <w:rFonts w:ascii="Arial" w:hAnsi="Arial" w:cs="Arial"/>
          <w:color w:val="000000" w:themeColor="text1"/>
          <w:sz w:val="22"/>
          <w:szCs w:val="22"/>
        </w:rPr>
        <w:t xml:space="preserve">Research based on personal experiences adds valuable insights to this discussion. In a survey of autistic adults who reported high levels of social anxiety, many said that therapists sometimes dismissed their social fears as irrational. They felt that therapists did not </w:t>
      </w:r>
      <w:r w:rsidR="002C7D82">
        <w:rPr>
          <w:rFonts w:ascii="Arial" w:hAnsi="Arial" w:cs="Arial"/>
          <w:color w:val="000000" w:themeColor="text1"/>
          <w:sz w:val="22"/>
          <w:szCs w:val="22"/>
        </w:rPr>
        <w:t>recognise</w:t>
      </w:r>
      <w:r w:rsidRPr="002C7D82">
        <w:rPr>
          <w:rFonts w:ascii="Arial" w:hAnsi="Arial" w:cs="Arial"/>
          <w:color w:val="000000" w:themeColor="text1"/>
          <w:sz w:val="22"/>
          <w:szCs w:val="22"/>
        </w:rPr>
        <w:t xml:space="preserve"> real issues like sensory overload, communication difficulties, or discrimination. Participants also mentioned that therapy was less effective when clinicians did not understand neurodiversity or </w:t>
      </w:r>
      <w:r w:rsidR="00CA61EF" w:rsidRPr="002C7D82">
        <w:rPr>
          <w:rFonts w:ascii="Arial" w:hAnsi="Arial" w:cs="Arial"/>
          <w:color w:val="000000" w:themeColor="text1"/>
          <w:sz w:val="22"/>
          <w:szCs w:val="22"/>
        </w:rPr>
        <w:t>adjust</w:t>
      </w:r>
      <w:r w:rsidRPr="002C7D82">
        <w:rPr>
          <w:rFonts w:ascii="Arial" w:hAnsi="Arial" w:cs="Arial"/>
          <w:color w:val="000000" w:themeColor="text1"/>
          <w:sz w:val="22"/>
          <w:szCs w:val="22"/>
        </w:rPr>
        <w:t xml:space="preserve"> </w:t>
      </w:r>
      <w:r w:rsidR="00CA61EF">
        <w:rPr>
          <w:rFonts w:ascii="Arial" w:hAnsi="Arial" w:cs="Arial"/>
          <w:color w:val="000000" w:themeColor="text1"/>
          <w:sz w:val="22"/>
          <w:szCs w:val="22"/>
        </w:rPr>
        <w:t>therapy to their specific</w:t>
      </w:r>
      <w:r w:rsidRPr="002C7D82">
        <w:rPr>
          <w:rFonts w:ascii="Arial" w:hAnsi="Arial" w:cs="Arial"/>
          <w:color w:val="000000" w:themeColor="text1"/>
          <w:sz w:val="22"/>
          <w:szCs w:val="22"/>
        </w:rPr>
        <w:t xml:space="preserve"> needs. These findings do not prove that cognitive </w:t>
      </w:r>
      <w:r w:rsidR="002C7D82">
        <w:rPr>
          <w:rFonts w:ascii="Arial" w:hAnsi="Arial" w:cs="Arial"/>
          <w:color w:val="000000" w:themeColor="text1"/>
          <w:sz w:val="22"/>
          <w:szCs w:val="22"/>
        </w:rPr>
        <w:t>behavioural</w:t>
      </w:r>
      <w:r w:rsidRPr="002C7D82">
        <w:rPr>
          <w:rFonts w:ascii="Arial" w:hAnsi="Arial" w:cs="Arial"/>
          <w:color w:val="000000" w:themeColor="text1"/>
          <w:sz w:val="22"/>
          <w:szCs w:val="22"/>
        </w:rPr>
        <w:t xml:space="preserve"> therapy (CBT) is ineffective for autistic people. However, they highlight the importance of moving away from a “one-size-fits-all” approach. Instead, </w:t>
      </w:r>
      <w:r w:rsidR="002C7D82">
        <w:rPr>
          <w:rFonts w:ascii="Arial" w:hAnsi="Arial" w:cs="Arial"/>
          <w:color w:val="000000" w:themeColor="text1"/>
          <w:sz w:val="22"/>
          <w:szCs w:val="22"/>
        </w:rPr>
        <w:t>the focus should be on personalised</w:t>
      </w:r>
      <w:r w:rsidRPr="002C7D82">
        <w:rPr>
          <w:rFonts w:ascii="Arial" w:hAnsi="Arial" w:cs="Arial"/>
          <w:color w:val="000000" w:themeColor="text1"/>
          <w:sz w:val="22"/>
          <w:szCs w:val="22"/>
        </w:rPr>
        <w:t xml:space="preserve"> plans, clear communication, sensory adjustments, and setting goals together (Wilson and Gullon-Scott, 2024).</w:t>
      </w:r>
    </w:p>
    <w:p w14:paraId="22EB9F7C" w14:textId="401663F0" w:rsidR="008A6D32" w:rsidRDefault="0068417D" w:rsidP="0068417D">
      <w:pPr>
        <w:spacing w:line="360" w:lineRule="auto"/>
        <w:jc w:val="both"/>
        <w:rPr>
          <w:rFonts w:ascii="Arial" w:hAnsi="Arial" w:cs="Arial"/>
          <w:color w:val="000000" w:themeColor="text1"/>
          <w:sz w:val="22"/>
          <w:szCs w:val="22"/>
        </w:rPr>
      </w:pPr>
      <w:r w:rsidRPr="0068417D">
        <w:rPr>
          <w:rFonts w:ascii="Arial" w:hAnsi="Arial" w:cs="Arial"/>
          <w:color w:val="000000" w:themeColor="text1"/>
          <w:sz w:val="22"/>
          <w:szCs w:val="22"/>
        </w:rPr>
        <w:t>There is ongoing debate about how quickly new technologies should be used in routine care. Digital assessment tools and virtual reality can help people access treatment, reduce embarrassment, and allow repeated practice. However, they can also introduce new risks, such as privacy issues, unequal access to digital resources, and over-reliance on automated solutions. Mental health professionals need to protect patients' confidential information when assessing and treating social anxiety disorder. Since mental health information is a special type of data under the UK GDPR, it must be handled securely and lawfully in line with the Data Protection Act 2018 (ICO, 2024; UK Parliament, 2018).</w:t>
      </w:r>
    </w:p>
    <w:p w14:paraId="6FA0100A" w14:textId="77777777" w:rsidR="0068417D" w:rsidRPr="0068417D" w:rsidRDefault="0068417D" w:rsidP="0068417D">
      <w:pPr>
        <w:spacing w:line="360" w:lineRule="auto"/>
        <w:jc w:val="both"/>
        <w:rPr>
          <w:rFonts w:ascii="Arial" w:hAnsi="Arial" w:cs="Arial"/>
          <w:color w:val="000000" w:themeColor="text1"/>
          <w:sz w:val="22"/>
          <w:szCs w:val="22"/>
        </w:rPr>
      </w:pPr>
    </w:p>
    <w:p w14:paraId="663F265C" w14:textId="2237B550" w:rsidR="008A6D32" w:rsidRDefault="008A6D32" w:rsidP="006711B6">
      <w:pPr>
        <w:pStyle w:val="Heading1"/>
        <w:numPr>
          <w:ilvl w:val="0"/>
          <w:numId w:val="2"/>
        </w:numPr>
      </w:pPr>
      <w:bookmarkStart w:id="3" w:name="_Toc237915457"/>
      <w:r w:rsidRPr="008A6D32">
        <w:t>Recommendations</w:t>
      </w:r>
      <w:bookmarkEnd w:id="3"/>
    </w:p>
    <w:p w14:paraId="2F4C2A0E" w14:textId="6225737D" w:rsidR="002A25F0" w:rsidRPr="00EB2A98" w:rsidRDefault="00EE2A86" w:rsidP="00BD1910">
      <w:pPr>
        <w:spacing w:line="360" w:lineRule="auto"/>
        <w:jc w:val="both"/>
        <w:rPr>
          <w:rFonts w:ascii="Arial" w:hAnsi="Arial" w:cs="Arial"/>
          <w:color w:val="000000" w:themeColor="text1"/>
          <w:sz w:val="22"/>
          <w:szCs w:val="22"/>
        </w:rPr>
      </w:pPr>
      <w:r w:rsidRPr="001D16F2">
        <w:rPr>
          <w:rFonts w:ascii="Arial" w:hAnsi="Arial" w:cs="Arial"/>
          <w:b/>
          <w:bCs/>
          <w:color w:val="000000" w:themeColor="text1"/>
          <w:sz w:val="22"/>
          <w:szCs w:val="22"/>
        </w:rPr>
        <w:t>First</w:t>
      </w:r>
      <w:r w:rsidRPr="00EB2A98">
        <w:rPr>
          <w:rFonts w:ascii="Arial" w:hAnsi="Arial" w:cs="Arial"/>
          <w:color w:val="000000" w:themeColor="text1"/>
          <w:sz w:val="22"/>
          <w:szCs w:val="22"/>
        </w:rPr>
        <w:t xml:space="preserve">, to improve assessments, it's important to combine the ICD-11 criteria with an understanding of the individual’s cultural background. Clinicians should note the person's fears, </w:t>
      </w:r>
      <w:r w:rsidR="00EB2A98">
        <w:rPr>
          <w:rFonts w:ascii="Arial" w:hAnsi="Arial" w:cs="Arial"/>
          <w:color w:val="000000" w:themeColor="text1"/>
          <w:sz w:val="22"/>
          <w:szCs w:val="22"/>
        </w:rPr>
        <w:t>behaviours</w:t>
      </w:r>
      <w:r w:rsidRPr="00EB2A98">
        <w:rPr>
          <w:rFonts w:ascii="Arial" w:hAnsi="Arial" w:cs="Arial"/>
          <w:color w:val="000000" w:themeColor="text1"/>
          <w:sz w:val="22"/>
          <w:szCs w:val="22"/>
        </w:rPr>
        <w:t xml:space="preserve"> they avoid, how these affect their daily life, their developmental history, and </w:t>
      </w:r>
      <w:r w:rsidRPr="00EB2A98">
        <w:rPr>
          <w:rFonts w:ascii="Arial" w:hAnsi="Arial" w:cs="Arial"/>
          <w:color w:val="000000" w:themeColor="text1"/>
          <w:sz w:val="22"/>
          <w:szCs w:val="22"/>
        </w:rPr>
        <w:lastRenderedPageBreak/>
        <w:t xml:space="preserve">any other conditions they might have. Relying solely on screening scores is not enough. If autism or another neurodevelopmental condition could be present, services should perform assessments that consider development and not assume that all social withdrawal is due to anxiety. This approach can improve diagnosis accuracy and help avoid both missing conditions and </w:t>
      </w:r>
      <w:r w:rsidR="00EB2A98">
        <w:rPr>
          <w:rFonts w:ascii="Arial" w:hAnsi="Arial" w:cs="Arial"/>
          <w:color w:val="000000" w:themeColor="text1"/>
          <w:sz w:val="22"/>
          <w:szCs w:val="22"/>
        </w:rPr>
        <w:t>labelling typical or neurodiverse behaviour</w:t>
      </w:r>
      <w:r w:rsidRPr="00EB2A98">
        <w:rPr>
          <w:rFonts w:ascii="Arial" w:hAnsi="Arial" w:cs="Arial"/>
          <w:color w:val="000000" w:themeColor="text1"/>
          <w:sz w:val="22"/>
          <w:szCs w:val="22"/>
        </w:rPr>
        <w:t xml:space="preserve"> as problematic (WHO, 2026; Olson et al., 2024).</w:t>
      </w:r>
    </w:p>
    <w:p w14:paraId="17F6281D" w14:textId="1C8ECAAB" w:rsidR="002A25F0" w:rsidRPr="00557039" w:rsidRDefault="00805431" w:rsidP="00BD1910">
      <w:pPr>
        <w:spacing w:line="360" w:lineRule="auto"/>
        <w:jc w:val="both"/>
        <w:rPr>
          <w:rFonts w:ascii="Arial" w:hAnsi="Arial" w:cs="Arial"/>
          <w:color w:val="000000" w:themeColor="text1"/>
          <w:sz w:val="22"/>
          <w:szCs w:val="22"/>
        </w:rPr>
      </w:pPr>
      <w:r w:rsidRPr="001D16F2">
        <w:rPr>
          <w:rFonts w:ascii="Arial" w:hAnsi="Arial" w:cs="Arial"/>
          <w:b/>
          <w:bCs/>
          <w:color w:val="000000" w:themeColor="text1"/>
          <w:sz w:val="22"/>
          <w:szCs w:val="22"/>
        </w:rPr>
        <w:t>Second</w:t>
      </w:r>
      <w:r w:rsidRPr="00557039">
        <w:rPr>
          <w:rFonts w:ascii="Arial" w:hAnsi="Arial" w:cs="Arial"/>
          <w:color w:val="000000" w:themeColor="text1"/>
          <w:sz w:val="22"/>
          <w:szCs w:val="22"/>
        </w:rPr>
        <w:t xml:space="preserve">, services should provide </w:t>
      </w:r>
      <w:r w:rsidR="00557039">
        <w:rPr>
          <w:rFonts w:ascii="Arial" w:hAnsi="Arial" w:cs="Arial"/>
          <w:color w:val="000000" w:themeColor="text1"/>
          <w:sz w:val="22"/>
          <w:szCs w:val="22"/>
        </w:rPr>
        <w:t xml:space="preserve">disorder-specific Cognitive Behavioural Therapy (CBT) </w:t>
      </w:r>
      <w:r w:rsidRPr="00557039">
        <w:rPr>
          <w:rFonts w:ascii="Arial" w:hAnsi="Arial" w:cs="Arial"/>
          <w:color w:val="000000" w:themeColor="text1"/>
          <w:sz w:val="22"/>
          <w:szCs w:val="22"/>
        </w:rPr>
        <w:t>as the main type of psychological treatment. They should also be flexible in how they deliver this treatment. Adjustments should be made to meet individual needs related to sensory preferences, communication styles, culture, other health issues, or practical challenges that might affect participation. Medication should be a choice made by the patient, not just a standard first step. Doctors should not commonly recommend beta-blockers for Social Anxiety Disorder (SAD) unless there is stronger evidence from research. Virtual reality or online exposure therapy may be used as an additional option when suitable, but we should evaluate how well these methods work and how accessible they are, rather than making assumptions (NICE, 2013; Archer et al., 2025; Tan et al., 2025).</w:t>
      </w:r>
    </w:p>
    <w:p w14:paraId="596DAFE2" w14:textId="540BEB4C" w:rsidR="002A25F0" w:rsidRPr="001D16F2" w:rsidRDefault="00F47DA7" w:rsidP="00BD1910">
      <w:pPr>
        <w:spacing w:line="360" w:lineRule="auto"/>
        <w:jc w:val="both"/>
        <w:rPr>
          <w:rFonts w:ascii="Arial" w:hAnsi="Arial" w:cs="Arial"/>
          <w:color w:val="000000" w:themeColor="text1"/>
          <w:sz w:val="22"/>
          <w:szCs w:val="22"/>
        </w:rPr>
      </w:pPr>
      <w:r w:rsidRPr="001D16F2">
        <w:rPr>
          <w:rFonts w:ascii="Arial" w:hAnsi="Arial" w:cs="Arial"/>
          <w:b/>
          <w:bCs/>
          <w:color w:val="000000" w:themeColor="text1"/>
          <w:sz w:val="22"/>
          <w:szCs w:val="22"/>
        </w:rPr>
        <w:t>Finally</w:t>
      </w:r>
      <w:r w:rsidRPr="001D16F2">
        <w:rPr>
          <w:rFonts w:ascii="Arial" w:hAnsi="Arial" w:cs="Arial"/>
          <w:color w:val="000000" w:themeColor="text1"/>
          <w:sz w:val="22"/>
          <w:szCs w:val="22"/>
        </w:rPr>
        <w:t xml:space="preserve">, future research should involve a wider range of participants, longer follow-up periods, and stronger studies that include autistic people and other neurodivergent groups. Researchers should separate anxiety that comes from fear of negative judgment from distress caused by sensory issues, communication challenges, or discrimination. Services should measure recovery by looking at participation in daily life, education, employment, and quality of life, rather than just focusing on symptom scores. These changes would lead to more </w:t>
      </w:r>
      <w:r w:rsidR="001D16F2">
        <w:rPr>
          <w:rFonts w:ascii="Arial" w:hAnsi="Arial" w:cs="Arial"/>
          <w:color w:val="000000" w:themeColor="text1"/>
          <w:sz w:val="22"/>
          <w:szCs w:val="22"/>
        </w:rPr>
        <w:t>personalised</w:t>
      </w:r>
      <w:r w:rsidRPr="001D16F2">
        <w:rPr>
          <w:rFonts w:ascii="Arial" w:hAnsi="Arial" w:cs="Arial"/>
          <w:color w:val="000000" w:themeColor="text1"/>
          <w:sz w:val="22"/>
          <w:szCs w:val="22"/>
        </w:rPr>
        <w:t xml:space="preserve"> policies and better connections between diagnosis, treatment, and meaningful recovery (Lei et al., 2024; Wilson and Gullon-Scott, 2024; NICE, 2013).</w:t>
      </w:r>
      <w:r w:rsidR="001657AC">
        <w:rPr>
          <w:rFonts w:ascii="Arial" w:hAnsi="Arial" w:cs="Arial"/>
          <w:color w:val="000000" w:themeColor="text1"/>
          <w:sz w:val="22"/>
          <w:szCs w:val="22"/>
        </w:rPr>
        <w:t xml:space="preserve"> </w:t>
      </w:r>
    </w:p>
    <w:p w14:paraId="75C42BB4" w14:textId="17452E3F" w:rsidR="008A6D32" w:rsidRPr="008A6D32" w:rsidRDefault="008A6D32" w:rsidP="006711B6">
      <w:pPr>
        <w:pStyle w:val="Heading1"/>
        <w:numPr>
          <w:ilvl w:val="0"/>
          <w:numId w:val="2"/>
        </w:numPr>
      </w:pPr>
      <w:bookmarkStart w:id="4" w:name="_Toc237915458"/>
      <w:r w:rsidRPr="008A6D32">
        <w:lastRenderedPageBreak/>
        <w:t>Conclusion</w:t>
      </w:r>
      <w:bookmarkEnd w:id="4"/>
    </w:p>
    <w:p w14:paraId="02920539" w14:textId="1AC4DCE3" w:rsidR="00B6301D" w:rsidRPr="00B42665" w:rsidRDefault="00CE61A2" w:rsidP="006058FA">
      <w:pPr>
        <w:keepLines/>
        <w:spacing w:line="360" w:lineRule="auto"/>
        <w:jc w:val="both"/>
        <w:rPr>
          <w:rFonts w:ascii="Arial" w:hAnsi="Arial" w:cs="Arial"/>
          <w:color w:val="000000" w:themeColor="text1"/>
          <w:sz w:val="22"/>
          <w:szCs w:val="22"/>
        </w:rPr>
      </w:pPr>
      <w:r w:rsidRPr="00B42665">
        <w:rPr>
          <w:rFonts w:ascii="Arial" w:hAnsi="Arial" w:cs="Arial"/>
          <w:color w:val="000000" w:themeColor="text1"/>
          <w:sz w:val="22"/>
          <w:szCs w:val="22"/>
        </w:rPr>
        <w:t xml:space="preserve">Social anxiety disorder is identified in the ICD-11 with the code 6B04. However, effective treatment goes beyond just naming the disorder. The best evidence shows that specific types of Cognitive </w:t>
      </w:r>
      <w:r w:rsidR="00B42665">
        <w:rPr>
          <w:rFonts w:ascii="Arial" w:hAnsi="Arial" w:cs="Arial"/>
          <w:color w:val="000000" w:themeColor="text1"/>
          <w:sz w:val="22"/>
          <w:szCs w:val="22"/>
        </w:rPr>
        <w:t>Behavioural</w:t>
      </w:r>
      <w:r w:rsidRPr="00B42665">
        <w:rPr>
          <w:rFonts w:ascii="Arial" w:hAnsi="Arial" w:cs="Arial"/>
          <w:color w:val="000000" w:themeColor="text1"/>
          <w:sz w:val="22"/>
          <w:szCs w:val="22"/>
        </w:rPr>
        <w:t xml:space="preserve"> Therapy (CBT) work best, although some adults may benefit from medication. Treatment should also aim to help people regain their social, educational, and work abilities. Current discussions highlight that culture, neurodivergence, and individual circumstances can influence how symptoms are seen, diagnosed, and treated. The overlap with autism points out the need to consider a person's developmental history and the reasons for their social withdrawal during assessments. Overall, while the ICD-11 offers a helpful framework, the most effective and ethical care combines classification with </w:t>
      </w:r>
      <w:r w:rsidR="00B42665">
        <w:rPr>
          <w:rFonts w:ascii="Arial" w:hAnsi="Arial" w:cs="Arial"/>
          <w:color w:val="000000" w:themeColor="text1"/>
          <w:sz w:val="22"/>
          <w:szCs w:val="22"/>
        </w:rPr>
        <w:t>personalised</w:t>
      </w:r>
      <w:r w:rsidRPr="00B42665">
        <w:rPr>
          <w:rFonts w:ascii="Arial" w:hAnsi="Arial" w:cs="Arial"/>
          <w:color w:val="000000" w:themeColor="text1"/>
          <w:sz w:val="22"/>
          <w:szCs w:val="22"/>
        </w:rPr>
        <w:t xml:space="preserve"> treatment plans, focuses on functional recovery, and ensures the safe handling of private mental health information (WHO, 2026; NICE, 2013; Lei et al., 2024).</w:t>
      </w:r>
    </w:p>
    <w:p w14:paraId="121EF567" w14:textId="77777777" w:rsidR="00B42665" w:rsidRDefault="00B42665">
      <w:pPr>
        <w:rPr>
          <w:rFonts w:asciiTheme="majorHAnsi" w:eastAsiaTheme="majorEastAsia" w:hAnsiTheme="majorHAnsi" w:cstheme="majorBidi"/>
          <w:color w:val="0F4761" w:themeColor="accent1" w:themeShade="BF"/>
          <w:sz w:val="40"/>
          <w:szCs w:val="40"/>
        </w:rPr>
      </w:pPr>
      <w:r>
        <w:br w:type="page"/>
      </w:r>
    </w:p>
    <w:p w14:paraId="464E4062" w14:textId="25D5B21E" w:rsidR="008A6D32" w:rsidRPr="008A6D32" w:rsidRDefault="008A6D32" w:rsidP="0029677F">
      <w:pPr>
        <w:pStyle w:val="Heading1"/>
      </w:pPr>
      <w:bookmarkStart w:id="5" w:name="_Toc237915459"/>
      <w:r w:rsidRPr="008A6D32">
        <w:lastRenderedPageBreak/>
        <w:t>References</w:t>
      </w:r>
      <w:bookmarkEnd w:id="5"/>
      <w:r w:rsidRPr="008A6D32">
        <w:t xml:space="preserve"> </w:t>
      </w:r>
    </w:p>
    <w:p w14:paraId="27513E16" w14:textId="76EA182A" w:rsidR="009E62E5" w:rsidRPr="00973FD3" w:rsidRDefault="009E62E5" w:rsidP="00E13826">
      <w:pPr>
        <w:spacing w:line="360" w:lineRule="auto"/>
        <w:ind w:left="360" w:hanging="360"/>
        <w:rPr>
          <w:rFonts w:ascii="Arial" w:hAnsi="Arial" w:cs="Arial"/>
          <w:sz w:val="22"/>
          <w:szCs w:val="22"/>
        </w:rPr>
      </w:pPr>
      <w:r w:rsidRPr="00973FD3">
        <w:rPr>
          <w:rFonts w:ascii="Arial" w:hAnsi="Arial" w:cs="Arial"/>
          <w:sz w:val="22"/>
          <w:szCs w:val="22"/>
        </w:rPr>
        <w:t>Archer, C.S., Wiles, N.J., Kessler, D.S., Turner, K.M. and Caldwell, D.M. (2025) ‘</w:t>
      </w:r>
      <w:r w:rsidRPr="00973FD3">
        <w:rPr>
          <w:rFonts w:ascii="Arial" w:hAnsi="Arial" w:cs="Arial"/>
          <w:i/>
          <w:iCs/>
          <w:sz w:val="22"/>
          <w:szCs w:val="22"/>
        </w:rPr>
        <w:t>Beta-blockers for the treatment of anxiety disorders: A systematic review and meta-analysis’,</w:t>
      </w:r>
      <w:r w:rsidRPr="00973FD3">
        <w:rPr>
          <w:rFonts w:ascii="Arial" w:hAnsi="Arial" w:cs="Arial"/>
          <w:sz w:val="22"/>
          <w:szCs w:val="22"/>
        </w:rPr>
        <w:t xml:space="preserve"> Journal of Affective Disorders, 368, pp. 90–99. Available at: </w:t>
      </w:r>
      <w:hyperlink r:id="rId8">
        <w:r w:rsidRPr="00973FD3">
          <w:rPr>
            <w:rFonts w:ascii="Arial" w:hAnsi="Arial" w:cs="Arial"/>
            <w:color w:val="0563C1"/>
            <w:sz w:val="22"/>
            <w:szCs w:val="22"/>
            <w:u w:val="single"/>
          </w:rPr>
          <w:t>https://doi.org/10.1016/j.jad.2024.09.068</w:t>
        </w:r>
      </w:hyperlink>
      <w:r w:rsidRPr="00973FD3">
        <w:rPr>
          <w:rFonts w:ascii="Arial" w:hAnsi="Arial" w:cs="Arial"/>
          <w:sz w:val="22"/>
          <w:szCs w:val="22"/>
        </w:rPr>
        <w:t xml:space="preserve"> </w:t>
      </w:r>
    </w:p>
    <w:p w14:paraId="72C79127" w14:textId="0DADED49" w:rsidR="009E62E5" w:rsidRPr="00973FD3" w:rsidRDefault="009E62E5" w:rsidP="00E13826">
      <w:pPr>
        <w:spacing w:line="360" w:lineRule="auto"/>
        <w:ind w:left="360" w:hanging="360"/>
        <w:rPr>
          <w:rFonts w:ascii="Arial" w:hAnsi="Arial" w:cs="Arial"/>
          <w:sz w:val="22"/>
          <w:szCs w:val="22"/>
        </w:rPr>
      </w:pPr>
      <w:r w:rsidRPr="00973FD3">
        <w:rPr>
          <w:rFonts w:ascii="Arial" w:hAnsi="Arial" w:cs="Arial"/>
          <w:sz w:val="22"/>
          <w:szCs w:val="22"/>
        </w:rPr>
        <w:t>Carpenter, J.K., Andrews, L.A., Witcraft, S.M., Powers, M.B., Smits, J.A.J. and Hofmann, S.G. (2018) ‘</w:t>
      </w:r>
      <w:r w:rsidRPr="00973FD3">
        <w:rPr>
          <w:rFonts w:ascii="Arial" w:hAnsi="Arial" w:cs="Arial"/>
          <w:i/>
          <w:iCs/>
          <w:sz w:val="22"/>
          <w:szCs w:val="22"/>
        </w:rPr>
        <w:t xml:space="preserve">Cognitive </w:t>
      </w:r>
      <w:r w:rsidR="000E481C" w:rsidRPr="00973FD3">
        <w:rPr>
          <w:rFonts w:ascii="Arial" w:hAnsi="Arial" w:cs="Arial"/>
          <w:i/>
          <w:iCs/>
          <w:sz w:val="22"/>
          <w:szCs w:val="22"/>
        </w:rPr>
        <w:t>behavioural therapy for anxiety and related disorders: A meta-analysis of randomised</w:t>
      </w:r>
      <w:r w:rsidRPr="00973FD3">
        <w:rPr>
          <w:rFonts w:ascii="Arial" w:hAnsi="Arial" w:cs="Arial"/>
          <w:i/>
          <w:iCs/>
          <w:sz w:val="22"/>
          <w:szCs w:val="22"/>
        </w:rPr>
        <w:t xml:space="preserve"> placebo-controlled trials’</w:t>
      </w:r>
      <w:r w:rsidRPr="00973FD3">
        <w:rPr>
          <w:rFonts w:ascii="Arial" w:hAnsi="Arial" w:cs="Arial"/>
          <w:sz w:val="22"/>
          <w:szCs w:val="22"/>
        </w:rPr>
        <w:t xml:space="preserve">, Depression and Anxiety, 35(6), pp. 502–514. Available at: </w:t>
      </w:r>
      <w:hyperlink r:id="rId9">
        <w:r w:rsidRPr="00973FD3">
          <w:rPr>
            <w:rFonts w:ascii="Arial" w:hAnsi="Arial" w:cs="Arial"/>
            <w:color w:val="0563C1"/>
            <w:sz w:val="22"/>
            <w:szCs w:val="22"/>
            <w:u w:val="single"/>
          </w:rPr>
          <w:t>https://doi.org/10.1002/da.22728</w:t>
        </w:r>
      </w:hyperlink>
    </w:p>
    <w:p w14:paraId="6D188A17" w14:textId="012344EA" w:rsidR="009E62E5" w:rsidRPr="00973FD3" w:rsidRDefault="002A3D2A" w:rsidP="00E13826">
      <w:pPr>
        <w:spacing w:line="360" w:lineRule="auto"/>
        <w:ind w:left="360" w:hanging="360"/>
        <w:rPr>
          <w:rFonts w:ascii="Arial" w:hAnsi="Arial" w:cs="Arial"/>
          <w:sz w:val="22"/>
          <w:szCs w:val="22"/>
        </w:rPr>
      </w:pPr>
      <w:r w:rsidRPr="00973FD3">
        <w:rPr>
          <w:rFonts w:ascii="Arial" w:hAnsi="Arial" w:cs="Arial"/>
          <w:sz w:val="22"/>
          <w:szCs w:val="22"/>
        </w:rPr>
        <w:t>D</w:t>
      </w:r>
      <w:r w:rsidR="009E62E5" w:rsidRPr="00973FD3">
        <w:rPr>
          <w:rFonts w:ascii="Arial" w:hAnsi="Arial" w:cs="Arial"/>
          <w:sz w:val="22"/>
          <w:szCs w:val="22"/>
        </w:rPr>
        <w:t>e Ponti, N., Matbouriahi, M., Franco, P., Harrer, M., Miguel, C., Papola, D., Sicimoğlu, A., Cuijpers, P. and Karyotaki, E. (2024) ‘</w:t>
      </w:r>
      <w:r w:rsidR="009E62E5" w:rsidRPr="00973FD3">
        <w:rPr>
          <w:rFonts w:ascii="Arial" w:hAnsi="Arial" w:cs="Arial"/>
          <w:i/>
          <w:iCs/>
          <w:sz w:val="22"/>
          <w:szCs w:val="22"/>
        </w:rPr>
        <w:t>The efficacy of psychotherapy for social anxiety disorder: A systematic review and meta-analysis’</w:t>
      </w:r>
      <w:r w:rsidR="009E62E5" w:rsidRPr="00973FD3">
        <w:rPr>
          <w:rFonts w:ascii="Arial" w:hAnsi="Arial" w:cs="Arial"/>
          <w:sz w:val="22"/>
          <w:szCs w:val="22"/>
        </w:rPr>
        <w:t xml:space="preserve">, Journal of Anxiety Disorders, 104, 102881. Available at: </w:t>
      </w:r>
      <w:hyperlink r:id="rId10">
        <w:r w:rsidR="009E62E5" w:rsidRPr="00973FD3">
          <w:rPr>
            <w:rFonts w:ascii="Arial" w:hAnsi="Arial" w:cs="Arial"/>
            <w:color w:val="0563C1"/>
            <w:sz w:val="22"/>
            <w:szCs w:val="22"/>
            <w:u w:val="single"/>
          </w:rPr>
          <w:t>https://doi.org/10.1016/j.janxdis.2024.102881</w:t>
        </w:r>
      </w:hyperlink>
      <w:r w:rsidR="009E62E5" w:rsidRPr="00973FD3">
        <w:rPr>
          <w:rFonts w:ascii="Arial" w:hAnsi="Arial" w:cs="Arial"/>
          <w:sz w:val="22"/>
          <w:szCs w:val="22"/>
        </w:rPr>
        <w:t xml:space="preserve"> </w:t>
      </w:r>
    </w:p>
    <w:p w14:paraId="6176772F" w14:textId="77777777" w:rsidR="009E62E5" w:rsidRPr="00973FD3" w:rsidRDefault="009E62E5" w:rsidP="00E13826">
      <w:pPr>
        <w:spacing w:line="360" w:lineRule="auto"/>
        <w:ind w:left="360" w:hanging="360"/>
        <w:rPr>
          <w:rFonts w:ascii="Arial" w:hAnsi="Arial" w:cs="Arial"/>
          <w:sz w:val="22"/>
          <w:szCs w:val="22"/>
        </w:rPr>
      </w:pPr>
      <w:r w:rsidRPr="00973FD3">
        <w:rPr>
          <w:rFonts w:ascii="Arial" w:hAnsi="Arial" w:cs="Arial"/>
          <w:sz w:val="22"/>
          <w:szCs w:val="22"/>
        </w:rPr>
        <w:t>Hofmann, S.G., Asnaani, A. and Hinton, D.E. (2010) ‘</w:t>
      </w:r>
      <w:r w:rsidRPr="00973FD3">
        <w:rPr>
          <w:rFonts w:ascii="Arial" w:hAnsi="Arial" w:cs="Arial"/>
          <w:i/>
          <w:iCs/>
          <w:sz w:val="22"/>
          <w:szCs w:val="22"/>
        </w:rPr>
        <w:t>Cultural aspects in social anxiety and social anxiety disorder’</w:t>
      </w:r>
      <w:r w:rsidRPr="00973FD3">
        <w:rPr>
          <w:rFonts w:ascii="Arial" w:hAnsi="Arial" w:cs="Arial"/>
          <w:sz w:val="22"/>
          <w:szCs w:val="22"/>
        </w:rPr>
        <w:t xml:space="preserve">, Depression and Anxiety, 27(12), pp. 1117–1127. Available at: </w:t>
      </w:r>
      <w:hyperlink r:id="rId11">
        <w:r w:rsidRPr="00973FD3">
          <w:rPr>
            <w:rFonts w:ascii="Arial" w:hAnsi="Arial" w:cs="Arial"/>
            <w:color w:val="0563C1"/>
            <w:sz w:val="22"/>
            <w:szCs w:val="22"/>
            <w:u w:val="single"/>
          </w:rPr>
          <w:t>https://pmc.ncbi.nlm.nih.gov/articles/PMC3075954/</w:t>
        </w:r>
      </w:hyperlink>
      <w:r w:rsidRPr="00973FD3">
        <w:rPr>
          <w:rFonts w:ascii="Arial" w:hAnsi="Arial" w:cs="Arial"/>
          <w:sz w:val="22"/>
          <w:szCs w:val="22"/>
        </w:rPr>
        <w:t xml:space="preserve"> (Accessed: 18 August 2026).</w:t>
      </w:r>
    </w:p>
    <w:p w14:paraId="18C73665" w14:textId="69650128" w:rsidR="009E62E5" w:rsidRPr="00973FD3" w:rsidRDefault="009E62E5" w:rsidP="00E13826">
      <w:pPr>
        <w:spacing w:line="360" w:lineRule="auto"/>
        <w:ind w:left="360" w:hanging="360"/>
        <w:rPr>
          <w:rFonts w:ascii="Arial" w:hAnsi="Arial" w:cs="Arial"/>
          <w:sz w:val="22"/>
          <w:szCs w:val="22"/>
        </w:rPr>
      </w:pPr>
      <w:r w:rsidRPr="00973FD3">
        <w:rPr>
          <w:rFonts w:ascii="Arial" w:hAnsi="Arial" w:cs="Arial"/>
          <w:sz w:val="22"/>
          <w:szCs w:val="22"/>
        </w:rPr>
        <w:t>Information Commissioner’s Office (2024) ‘</w:t>
      </w:r>
      <w:r w:rsidRPr="00973FD3">
        <w:rPr>
          <w:rFonts w:ascii="Arial" w:hAnsi="Arial" w:cs="Arial"/>
          <w:i/>
          <w:iCs/>
          <w:sz w:val="22"/>
          <w:szCs w:val="22"/>
        </w:rPr>
        <w:t>What is special category data?</w:t>
      </w:r>
      <w:r w:rsidRPr="00973FD3">
        <w:rPr>
          <w:rFonts w:ascii="Arial" w:hAnsi="Arial" w:cs="Arial"/>
          <w:sz w:val="22"/>
          <w:szCs w:val="22"/>
        </w:rPr>
        <w:t xml:space="preserve">’. Available at: </w:t>
      </w:r>
      <w:hyperlink r:id="rId12">
        <w:r w:rsidRPr="00973FD3">
          <w:rPr>
            <w:rFonts w:ascii="Arial" w:hAnsi="Arial" w:cs="Arial"/>
            <w:color w:val="0563C1"/>
            <w:sz w:val="22"/>
            <w:szCs w:val="22"/>
            <w:u w:val="single"/>
          </w:rPr>
          <w:t>https://ico.org.uk/for-organisations/uk-gdpr-guidance-and-resources/lawful-basis/special-category-data/what-is-special-category-data/</w:t>
        </w:r>
      </w:hyperlink>
      <w:r w:rsidRPr="00973FD3">
        <w:rPr>
          <w:rFonts w:ascii="Arial" w:hAnsi="Arial" w:cs="Arial"/>
          <w:sz w:val="22"/>
          <w:szCs w:val="22"/>
        </w:rPr>
        <w:t xml:space="preserve"> (Accessed: 1</w:t>
      </w:r>
      <w:r w:rsidR="000E481C" w:rsidRPr="00973FD3">
        <w:rPr>
          <w:rFonts w:ascii="Arial" w:hAnsi="Arial" w:cs="Arial"/>
          <w:sz w:val="22"/>
          <w:szCs w:val="22"/>
        </w:rPr>
        <w:t>0</w:t>
      </w:r>
      <w:r w:rsidRPr="00973FD3">
        <w:rPr>
          <w:rFonts w:ascii="Arial" w:hAnsi="Arial" w:cs="Arial"/>
          <w:sz w:val="22"/>
          <w:szCs w:val="22"/>
        </w:rPr>
        <w:t xml:space="preserve"> August 2026).</w:t>
      </w:r>
    </w:p>
    <w:p w14:paraId="2D7E7EE2" w14:textId="76EE4D10" w:rsidR="009E62E5" w:rsidRPr="00973FD3" w:rsidRDefault="009E62E5" w:rsidP="00E13826">
      <w:pPr>
        <w:spacing w:line="360" w:lineRule="auto"/>
        <w:ind w:left="360" w:hanging="360"/>
        <w:rPr>
          <w:rFonts w:ascii="Arial" w:hAnsi="Arial" w:cs="Arial"/>
          <w:sz w:val="22"/>
          <w:szCs w:val="22"/>
        </w:rPr>
      </w:pPr>
      <w:r w:rsidRPr="00973FD3">
        <w:rPr>
          <w:rFonts w:ascii="Arial" w:hAnsi="Arial" w:cs="Arial"/>
          <w:sz w:val="22"/>
          <w:szCs w:val="22"/>
        </w:rPr>
        <w:t>Lei, J., Mason, C., Russell, A., Hollocks, M.J. and Leigh, E. (2024) ‘</w:t>
      </w:r>
      <w:r w:rsidRPr="00973FD3">
        <w:rPr>
          <w:rFonts w:ascii="Arial" w:hAnsi="Arial" w:cs="Arial"/>
          <w:i/>
          <w:iCs/>
          <w:sz w:val="22"/>
          <w:szCs w:val="22"/>
        </w:rPr>
        <w:t>Understanding mechanisms that maintain social anxiety disorder in autistic individuals through the Clark and Wells (1995) model and beyond: A systematic review’</w:t>
      </w:r>
      <w:r w:rsidRPr="00973FD3">
        <w:rPr>
          <w:rFonts w:ascii="Arial" w:hAnsi="Arial" w:cs="Arial"/>
          <w:sz w:val="22"/>
          <w:szCs w:val="22"/>
        </w:rPr>
        <w:t xml:space="preserve">, Clinical Child and Family Psychology Review, 27, pp. 966–1030. Available at: </w:t>
      </w:r>
      <w:hyperlink r:id="rId13">
        <w:r w:rsidRPr="00973FD3">
          <w:rPr>
            <w:rFonts w:ascii="Arial" w:hAnsi="Arial" w:cs="Arial"/>
            <w:color w:val="0563C1"/>
            <w:sz w:val="22"/>
            <w:szCs w:val="22"/>
            <w:u w:val="single"/>
          </w:rPr>
          <w:t>https://doi.org/10.1007/s10567-024-00509-z</w:t>
        </w:r>
      </w:hyperlink>
      <w:r w:rsidRPr="00973FD3">
        <w:rPr>
          <w:rFonts w:ascii="Arial" w:hAnsi="Arial" w:cs="Arial"/>
          <w:sz w:val="22"/>
          <w:szCs w:val="22"/>
        </w:rPr>
        <w:t xml:space="preserve"> </w:t>
      </w:r>
    </w:p>
    <w:p w14:paraId="68D674CC" w14:textId="20EBA695" w:rsidR="009E62E5" w:rsidRPr="00973FD3" w:rsidRDefault="009E62E5" w:rsidP="00E13826">
      <w:pPr>
        <w:spacing w:line="360" w:lineRule="auto"/>
        <w:ind w:left="360" w:hanging="360"/>
        <w:rPr>
          <w:rFonts w:ascii="Arial" w:hAnsi="Arial" w:cs="Arial"/>
          <w:sz w:val="22"/>
          <w:szCs w:val="22"/>
        </w:rPr>
      </w:pPr>
      <w:r w:rsidRPr="00973FD3">
        <w:rPr>
          <w:rFonts w:ascii="Arial" w:hAnsi="Arial" w:cs="Arial"/>
          <w:sz w:val="22"/>
          <w:szCs w:val="22"/>
        </w:rPr>
        <w:t>Mayo-Wilson, E., Dias, S., Mavranezouli, I., Kew, K., Clark, D.M., Ades, A.E. and Pilling, S. (2014) ‘</w:t>
      </w:r>
      <w:r w:rsidRPr="00973FD3">
        <w:rPr>
          <w:rFonts w:ascii="Arial" w:hAnsi="Arial" w:cs="Arial"/>
          <w:i/>
          <w:iCs/>
          <w:sz w:val="22"/>
          <w:szCs w:val="22"/>
        </w:rPr>
        <w:t>Psychological and pharmacological interventions for social anxiety disorder in adults: A systematic review and network meta-analysis’</w:t>
      </w:r>
      <w:r w:rsidRPr="00973FD3">
        <w:rPr>
          <w:rFonts w:ascii="Arial" w:hAnsi="Arial" w:cs="Arial"/>
          <w:sz w:val="22"/>
          <w:szCs w:val="22"/>
        </w:rPr>
        <w:t xml:space="preserve">, The Lancet Psychiatry, 1(5), pp. 368–376. Available at: </w:t>
      </w:r>
      <w:hyperlink r:id="rId14">
        <w:r w:rsidRPr="00973FD3">
          <w:rPr>
            <w:rFonts w:ascii="Arial" w:hAnsi="Arial" w:cs="Arial"/>
            <w:color w:val="0563C1"/>
            <w:sz w:val="22"/>
            <w:szCs w:val="22"/>
            <w:u w:val="single"/>
          </w:rPr>
          <w:t>https://pubmed.ncbi.nlm.nih.gov/26361000/</w:t>
        </w:r>
      </w:hyperlink>
      <w:r w:rsidRPr="00973FD3">
        <w:rPr>
          <w:rFonts w:ascii="Arial" w:hAnsi="Arial" w:cs="Arial"/>
          <w:sz w:val="22"/>
          <w:szCs w:val="22"/>
        </w:rPr>
        <w:t xml:space="preserve"> (Accessed: 1</w:t>
      </w:r>
      <w:r w:rsidR="0006371C" w:rsidRPr="00973FD3">
        <w:rPr>
          <w:rFonts w:ascii="Arial" w:hAnsi="Arial" w:cs="Arial"/>
          <w:sz w:val="22"/>
          <w:szCs w:val="22"/>
        </w:rPr>
        <w:t>3</w:t>
      </w:r>
      <w:r w:rsidRPr="00973FD3">
        <w:rPr>
          <w:rFonts w:ascii="Arial" w:hAnsi="Arial" w:cs="Arial"/>
          <w:sz w:val="22"/>
          <w:szCs w:val="22"/>
        </w:rPr>
        <w:t xml:space="preserve"> August 2026).</w:t>
      </w:r>
    </w:p>
    <w:p w14:paraId="064BA801" w14:textId="77777777" w:rsidR="009E62E5" w:rsidRPr="00973FD3" w:rsidRDefault="009E62E5" w:rsidP="00E13826">
      <w:pPr>
        <w:spacing w:line="360" w:lineRule="auto"/>
        <w:ind w:left="360" w:hanging="360"/>
        <w:rPr>
          <w:rFonts w:ascii="Arial" w:hAnsi="Arial" w:cs="Arial"/>
          <w:sz w:val="22"/>
          <w:szCs w:val="22"/>
        </w:rPr>
      </w:pPr>
      <w:r w:rsidRPr="00973FD3">
        <w:rPr>
          <w:rFonts w:ascii="Arial" w:hAnsi="Arial" w:cs="Arial"/>
          <w:sz w:val="22"/>
          <w:szCs w:val="22"/>
        </w:rPr>
        <w:t xml:space="preserve">National Institute for Health and Care Excellence (2013) Social anxiety disorder: recognition, assessment and treatment (CG159), last reviewed 21 May 2024. Available at: </w:t>
      </w:r>
      <w:hyperlink r:id="rId15">
        <w:r w:rsidRPr="00973FD3">
          <w:rPr>
            <w:rFonts w:ascii="Arial" w:hAnsi="Arial" w:cs="Arial"/>
            <w:color w:val="0563C1"/>
            <w:sz w:val="22"/>
            <w:szCs w:val="22"/>
            <w:u w:val="single"/>
          </w:rPr>
          <w:t>https://www.nice.org.uk/guidance/cg159</w:t>
        </w:r>
      </w:hyperlink>
      <w:r w:rsidRPr="00973FD3">
        <w:rPr>
          <w:rFonts w:ascii="Arial" w:hAnsi="Arial" w:cs="Arial"/>
          <w:sz w:val="22"/>
          <w:szCs w:val="22"/>
        </w:rPr>
        <w:t xml:space="preserve"> (Accessed: 18 August 2026).</w:t>
      </w:r>
    </w:p>
    <w:p w14:paraId="1F78E570" w14:textId="77777777" w:rsidR="009E62E5" w:rsidRPr="00973FD3" w:rsidRDefault="009E62E5" w:rsidP="00E13826">
      <w:pPr>
        <w:spacing w:line="360" w:lineRule="auto"/>
        <w:ind w:left="360" w:hanging="360"/>
        <w:rPr>
          <w:rFonts w:ascii="Arial" w:hAnsi="Arial" w:cs="Arial"/>
          <w:sz w:val="22"/>
          <w:szCs w:val="22"/>
        </w:rPr>
      </w:pPr>
      <w:r w:rsidRPr="00973FD3">
        <w:rPr>
          <w:rFonts w:ascii="Arial" w:hAnsi="Arial" w:cs="Arial"/>
          <w:sz w:val="22"/>
          <w:szCs w:val="22"/>
        </w:rPr>
        <w:lastRenderedPageBreak/>
        <w:t>Olson, L., Bishop, S. and Thurm, A. (2024) ‘</w:t>
      </w:r>
      <w:r w:rsidRPr="00973FD3">
        <w:rPr>
          <w:rFonts w:ascii="Arial" w:hAnsi="Arial" w:cs="Arial"/>
          <w:i/>
          <w:iCs/>
          <w:sz w:val="22"/>
          <w:szCs w:val="22"/>
        </w:rPr>
        <w:t>Differential diagnosis of autism and other neurodevelopmental disorders’,</w:t>
      </w:r>
      <w:r w:rsidRPr="00973FD3">
        <w:rPr>
          <w:rFonts w:ascii="Arial" w:hAnsi="Arial" w:cs="Arial"/>
          <w:sz w:val="22"/>
          <w:szCs w:val="22"/>
        </w:rPr>
        <w:t xml:space="preserve"> Pediatric Clinics of North America, 71(2), pp. 157–177. Available at: </w:t>
      </w:r>
      <w:hyperlink r:id="rId16">
        <w:r w:rsidRPr="00973FD3">
          <w:rPr>
            <w:rFonts w:ascii="Arial" w:hAnsi="Arial" w:cs="Arial"/>
            <w:color w:val="0563C1"/>
            <w:sz w:val="22"/>
            <w:szCs w:val="22"/>
            <w:u w:val="single"/>
          </w:rPr>
          <w:t>https://pmc.ncbi.nlm.nih.gov/articles/PMC10904885/</w:t>
        </w:r>
      </w:hyperlink>
      <w:r w:rsidRPr="00973FD3">
        <w:rPr>
          <w:rFonts w:ascii="Arial" w:hAnsi="Arial" w:cs="Arial"/>
          <w:sz w:val="22"/>
          <w:szCs w:val="22"/>
        </w:rPr>
        <w:t xml:space="preserve"> (Accessed: 18 August 2026).</w:t>
      </w:r>
    </w:p>
    <w:p w14:paraId="7C06C091" w14:textId="6F36AF82" w:rsidR="009E62E5" w:rsidRPr="00973FD3" w:rsidRDefault="009E62E5" w:rsidP="00E13826">
      <w:pPr>
        <w:spacing w:line="360" w:lineRule="auto"/>
        <w:ind w:left="360" w:hanging="360"/>
        <w:rPr>
          <w:rFonts w:ascii="Arial" w:hAnsi="Arial" w:cs="Arial"/>
          <w:sz w:val="22"/>
          <w:szCs w:val="22"/>
        </w:rPr>
      </w:pPr>
      <w:r w:rsidRPr="00973FD3">
        <w:rPr>
          <w:rFonts w:ascii="Arial" w:hAnsi="Arial" w:cs="Arial"/>
          <w:sz w:val="22"/>
          <w:szCs w:val="22"/>
        </w:rPr>
        <w:t xml:space="preserve">Sun, L., Dai, X., Zhu, S., Liu, Z. and Zhongming, Z. (2025) </w:t>
      </w:r>
      <w:r w:rsidRPr="00973FD3">
        <w:rPr>
          <w:rFonts w:ascii="Arial" w:hAnsi="Arial" w:cs="Arial"/>
          <w:i/>
          <w:iCs/>
          <w:sz w:val="22"/>
          <w:szCs w:val="22"/>
        </w:rPr>
        <w:t>‘Psychotherapies for social anxiety disorder in adults: A systematic review and Bayesian network meta-analysis’</w:t>
      </w:r>
      <w:r w:rsidRPr="00973FD3">
        <w:rPr>
          <w:rFonts w:ascii="Arial" w:hAnsi="Arial" w:cs="Arial"/>
          <w:sz w:val="22"/>
          <w:szCs w:val="22"/>
        </w:rPr>
        <w:t xml:space="preserve">, Journal of Affective Disorders, 378, pp. 301–319. Available at: </w:t>
      </w:r>
      <w:hyperlink r:id="rId17">
        <w:r w:rsidRPr="00973FD3">
          <w:rPr>
            <w:rFonts w:ascii="Arial" w:hAnsi="Arial" w:cs="Arial"/>
            <w:color w:val="0563C1"/>
            <w:sz w:val="22"/>
            <w:szCs w:val="22"/>
            <w:u w:val="single"/>
          </w:rPr>
          <w:t>https://doi.org/10.1016/j.jad.2025.02.092</w:t>
        </w:r>
      </w:hyperlink>
    </w:p>
    <w:p w14:paraId="2A167470" w14:textId="766A47D0" w:rsidR="009E62E5" w:rsidRPr="00973FD3" w:rsidRDefault="009E62E5" w:rsidP="00E13826">
      <w:pPr>
        <w:spacing w:line="360" w:lineRule="auto"/>
        <w:ind w:left="360" w:hanging="360"/>
        <w:rPr>
          <w:rFonts w:ascii="Arial" w:hAnsi="Arial" w:cs="Arial"/>
          <w:sz w:val="22"/>
          <w:szCs w:val="22"/>
        </w:rPr>
      </w:pPr>
      <w:r w:rsidRPr="00973FD3">
        <w:rPr>
          <w:rFonts w:ascii="Arial" w:hAnsi="Arial" w:cs="Arial"/>
          <w:sz w:val="22"/>
          <w:szCs w:val="22"/>
        </w:rPr>
        <w:t xml:space="preserve">Tan, Y.L., Chang, V.Y.X., Ang, W.H.D., Ang, W.W. and Lau, Y. (2025) </w:t>
      </w:r>
      <w:r w:rsidRPr="00973FD3">
        <w:rPr>
          <w:rFonts w:ascii="Arial" w:hAnsi="Arial" w:cs="Arial"/>
          <w:i/>
          <w:iCs/>
          <w:sz w:val="22"/>
          <w:szCs w:val="22"/>
        </w:rPr>
        <w:t>‘Virtual reality exposure therapy for social anxiety disorders: A meta-analysis and meta-regression of randomized controlled trials’</w:t>
      </w:r>
      <w:r w:rsidRPr="00973FD3">
        <w:rPr>
          <w:rFonts w:ascii="Arial" w:hAnsi="Arial" w:cs="Arial"/>
          <w:sz w:val="22"/>
          <w:szCs w:val="22"/>
        </w:rPr>
        <w:t xml:space="preserve">, Anxiety, Stress, &amp; Coping, 38(2), pp. 141–160. Available at: </w:t>
      </w:r>
      <w:hyperlink r:id="rId18">
        <w:r w:rsidRPr="00973FD3">
          <w:rPr>
            <w:rFonts w:ascii="Arial" w:hAnsi="Arial" w:cs="Arial"/>
            <w:color w:val="0563C1"/>
            <w:sz w:val="22"/>
            <w:szCs w:val="22"/>
            <w:u w:val="single"/>
          </w:rPr>
          <w:t>https://doi.org/10.1080/10615806.2024.2392195</w:t>
        </w:r>
      </w:hyperlink>
      <w:r w:rsidRPr="00973FD3">
        <w:rPr>
          <w:rFonts w:ascii="Arial" w:hAnsi="Arial" w:cs="Arial"/>
          <w:sz w:val="22"/>
          <w:szCs w:val="22"/>
        </w:rPr>
        <w:t xml:space="preserve"> </w:t>
      </w:r>
    </w:p>
    <w:p w14:paraId="3A7DA69C" w14:textId="77777777" w:rsidR="009E62E5" w:rsidRPr="00973FD3" w:rsidRDefault="009E62E5" w:rsidP="00E13826">
      <w:pPr>
        <w:spacing w:line="360" w:lineRule="auto"/>
        <w:ind w:left="360" w:hanging="360"/>
        <w:rPr>
          <w:rFonts w:ascii="Arial" w:hAnsi="Arial" w:cs="Arial"/>
          <w:sz w:val="22"/>
          <w:szCs w:val="22"/>
        </w:rPr>
      </w:pPr>
      <w:r w:rsidRPr="00973FD3">
        <w:rPr>
          <w:rFonts w:ascii="Arial" w:hAnsi="Arial" w:cs="Arial"/>
          <w:sz w:val="22"/>
          <w:szCs w:val="22"/>
        </w:rPr>
        <w:t xml:space="preserve">UK Parliament (2018) Data Protection Act 2018. Available at: </w:t>
      </w:r>
      <w:hyperlink r:id="rId19">
        <w:r w:rsidRPr="00973FD3">
          <w:rPr>
            <w:rFonts w:ascii="Arial" w:hAnsi="Arial" w:cs="Arial"/>
            <w:color w:val="0563C1"/>
            <w:sz w:val="22"/>
            <w:szCs w:val="22"/>
            <w:u w:val="single"/>
          </w:rPr>
          <w:t>https://www.legislation.gov.uk/ukpga/2018/12/contents</w:t>
        </w:r>
      </w:hyperlink>
      <w:r w:rsidRPr="00973FD3">
        <w:rPr>
          <w:rFonts w:ascii="Arial" w:hAnsi="Arial" w:cs="Arial"/>
          <w:sz w:val="22"/>
          <w:szCs w:val="22"/>
        </w:rPr>
        <w:t xml:space="preserve"> (Accessed: 18 August 2026).</w:t>
      </w:r>
    </w:p>
    <w:p w14:paraId="016D71D0" w14:textId="3F04D886" w:rsidR="009E62E5" w:rsidRPr="00973FD3" w:rsidRDefault="009E62E5" w:rsidP="00E13826">
      <w:pPr>
        <w:spacing w:line="360" w:lineRule="auto"/>
        <w:ind w:left="360" w:hanging="360"/>
        <w:rPr>
          <w:rFonts w:ascii="Arial" w:hAnsi="Arial" w:cs="Arial"/>
          <w:sz w:val="22"/>
          <w:szCs w:val="22"/>
        </w:rPr>
      </w:pPr>
      <w:r w:rsidRPr="00973FD3">
        <w:rPr>
          <w:rFonts w:ascii="Arial" w:hAnsi="Arial" w:cs="Arial"/>
          <w:sz w:val="22"/>
          <w:szCs w:val="22"/>
        </w:rPr>
        <w:t xml:space="preserve">van Dis, E.A.M., van Veen, S.C., Hagenaars, M.A., Batelaan, N.M., Bockting, C.L.H., van den Heuvel, R.M., Cuijpers, P. and Engelhard, I.M. (2020) </w:t>
      </w:r>
      <w:r w:rsidRPr="00973FD3">
        <w:rPr>
          <w:rFonts w:ascii="Arial" w:hAnsi="Arial" w:cs="Arial"/>
          <w:i/>
          <w:iCs/>
          <w:sz w:val="22"/>
          <w:szCs w:val="22"/>
        </w:rPr>
        <w:t xml:space="preserve">‘Long-term outcomes of cognitive </w:t>
      </w:r>
      <w:r w:rsidR="00CF3F41" w:rsidRPr="00973FD3">
        <w:rPr>
          <w:rFonts w:ascii="Arial" w:hAnsi="Arial" w:cs="Arial"/>
          <w:i/>
          <w:iCs/>
          <w:sz w:val="22"/>
          <w:szCs w:val="22"/>
        </w:rPr>
        <w:t>behaviour</w:t>
      </w:r>
      <w:r w:rsidRPr="00973FD3">
        <w:rPr>
          <w:rFonts w:ascii="Arial" w:hAnsi="Arial" w:cs="Arial"/>
          <w:i/>
          <w:iCs/>
          <w:sz w:val="22"/>
          <w:szCs w:val="22"/>
        </w:rPr>
        <w:t xml:space="preserve"> therapy for anxiety-related disorders: A systematic review and meta-analysis’</w:t>
      </w:r>
      <w:r w:rsidRPr="00973FD3">
        <w:rPr>
          <w:rFonts w:ascii="Arial" w:hAnsi="Arial" w:cs="Arial"/>
          <w:sz w:val="22"/>
          <w:szCs w:val="22"/>
        </w:rPr>
        <w:t xml:space="preserve">, JAMA Psychiatry, 77(3), pp. 265–273. Available at: </w:t>
      </w:r>
      <w:hyperlink r:id="rId20">
        <w:r w:rsidRPr="00973FD3">
          <w:rPr>
            <w:rFonts w:ascii="Arial" w:hAnsi="Arial" w:cs="Arial"/>
            <w:color w:val="0563C1"/>
            <w:sz w:val="22"/>
            <w:szCs w:val="22"/>
            <w:u w:val="single"/>
          </w:rPr>
          <w:t>https://pubmed.ncbi.nlm.nih.gov/31758858/</w:t>
        </w:r>
      </w:hyperlink>
      <w:r w:rsidRPr="00973FD3">
        <w:rPr>
          <w:rFonts w:ascii="Arial" w:hAnsi="Arial" w:cs="Arial"/>
          <w:sz w:val="22"/>
          <w:szCs w:val="22"/>
        </w:rPr>
        <w:t xml:space="preserve"> (Accessed: 1</w:t>
      </w:r>
      <w:r w:rsidR="00725F9E" w:rsidRPr="00973FD3">
        <w:rPr>
          <w:rFonts w:ascii="Arial" w:hAnsi="Arial" w:cs="Arial"/>
          <w:sz w:val="22"/>
          <w:szCs w:val="22"/>
        </w:rPr>
        <w:t>0</w:t>
      </w:r>
      <w:r w:rsidRPr="00973FD3">
        <w:rPr>
          <w:rFonts w:ascii="Arial" w:hAnsi="Arial" w:cs="Arial"/>
          <w:sz w:val="22"/>
          <w:szCs w:val="22"/>
        </w:rPr>
        <w:t xml:space="preserve"> August 2026).</w:t>
      </w:r>
    </w:p>
    <w:p w14:paraId="5EB3E272" w14:textId="37E8B83F" w:rsidR="009E62E5" w:rsidRPr="00973FD3" w:rsidRDefault="009E62E5" w:rsidP="00E13826">
      <w:pPr>
        <w:spacing w:line="360" w:lineRule="auto"/>
        <w:ind w:left="360" w:hanging="360"/>
        <w:rPr>
          <w:rFonts w:ascii="Arial" w:hAnsi="Arial" w:cs="Arial"/>
          <w:sz w:val="22"/>
          <w:szCs w:val="22"/>
        </w:rPr>
      </w:pPr>
      <w:r w:rsidRPr="00973FD3">
        <w:rPr>
          <w:rFonts w:ascii="Arial" w:hAnsi="Arial" w:cs="Arial"/>
          <w:sz w:val="22"/>
          <w:szCs w:val="22"/>
        </w:rPr>
        <w:t>Wilson, A.C. and Gullon-Scott, F. (2024) ‘</w:t>
      </w:r>
      <w:r w:rsidRPr="00973FD3">
        <w:rPr>
          <w:rFonts w:ascii="Arial" w:hAnsi="Arial" w:cs="Arial"/>
          <w:i/>
          <w:iCs/>
          <w:sz w:val="22"/>
          <w:szCs w:val="22"/>
        </w:rPr>
        <w:t>It’s not always textbook social anxiety: A survey-based study investigating the nature of social anxiety and experiences of therapy in autistic people’</w:t>
      </w:r>
      <w:r w:rsidRPr="00973FD3">
        <w:rPr>
          <w:rFonts w:ascii="Arial" w:hAnsi="Arial" w:cs="Arial"/>
          <w:sz w:val="22"/>
          <w:szCs w:val="22"/>
        </w:rPr>
        <w:t xml:space="preserve">, Autism, 28(11). Available at: </w:t>
      </w:r>
      <w:hyperlink r:id="rId21">
        <w:r w:rsidRPr="00973FD3">
          <w:rPr>
            <w:rFonts w:ascii="Arial" w:hAnsi="Arial" w:cs="Arial"/>
            <w:color w:val="0563C1"/>
            <w:sz w:val="22"/>
            <w:szCs w:val="22"/>
            <w:u w:val="single"/>
          </w:rPr>
          <w:t>https://doi.org/10.1177/13623613241251513</w:t>
        </w:r>
      </w:hyperlink>
    </w:p>
    <w:p w14:paraId="36031DDC" w14:textId="0A941E2A" w:rsidR="009E62E5" w:rsidRPr="00973FD3" w:rsidRDefault="009E62E5" w:rsidP="00E13826">
      <w:pPr>
        <w:spacing w:line="360" w:lineRule="auto"/>
        <w:ind w:left="360" w:hanging="360"/>
        <w:rPr>
          <w:rFonts w:ascii="Arial" w:hAnsi="Arial" w:cs="Arial"/>
          <w:sz w:val="22"/>
          <w:szCs w:val="22"/>
        </w:rPr>
      </w:pPr>
      <w:r w:rsidRPr="00973FD3">
        <w:rPr>
          <w:rFonts w:ascii="Arial" w:hAnsi="Arial" w:cs="Arial"/>
          <w:sz w:val="22"/>
          <w:szCs w:val="22"/>
        </w:rPr>
        <w:t>Wolitzky-Taylor, K. and LeBeau, R. (2023) ‘</w:t>
      </w:r>
      <w:r w:rsidRPr="00973FD3">
        <w:rPr>
          <w:rFonts w:ascii="Arial" w:hAnsi="Arial" w:cs="Arial"/>
          <w:i/>
          <w:iCs/>
          <w:sz w:val="22"/>
          <w:szCs w:val="22"/>
        </w:rPr>
        <w:t>Recent advances in the understanding and psychological treatment of social anxiety disorder’</w:t>
      </w:r>
      <w:r w:rsidRPr="00973FD3">
        <w:rPr>
          <w:rFonts w:ascii="Arial" w:hAnsi="Arial" w:cs="Arial"/>
          <w:sz w:val="22"/>
          <w:szCs w:val="22"/>
        </w:rPr>
        <w:t xml:space="preserve">, Faculty Reviews, 12, 8. Available at: </w:t>
      </w:r>
      <w:hyperlink r:id="rId22">
        <w:r w:rsidRPr="00973FD3">
          <w:rPr>
            <w:rFonts w:ascii="Arial" w:hAnsi="Arial" w:cs="Arial"/>
            <w:color w:val="0563C1"/>
            <w:sz w:val="22"/>
            <w:szCs w:val="22"/>
            <w:u w:val="single"/>
          </w:rPr>
          <w:t>https://pmc.ncbi.nlm.nih.gov/articles/PMC10108597/</w:t>
        </w:r>
      </w:hyperlink>
      <w:r w:rsidRPr="00973FD3">
        <w:rPr>
          <w:rFonts w:ascii="Arial" w:hAnsi="Arial" w:cs="Arial"/>
          <w:sz w:val="22"/>
          <w:szCs w:val="22"/>
        </w:rPr>
        <w:t xml:space="preserve"> (Accessed: 1</w:t>
      </w:r>
      <w:r w:rsidR="00725F9E" w:rsidRPr="00973FD3">
        <w:rPr>
          <w:rFonts w:ascii="Arial" w:hAnsi="Arial" w:cs="Arial"/>
          <w:sz w:val="22"/>
          <w:szCs w:val="22"/>
        </w:rPr>
        <w:t>5</w:t>
      </w:r>
      <w:r w:rsidRPr="00973FD3">
        <w:rPr>
          <w:rFonts w:ascii="Arial" w:hAnsi="Arial" w:cs="Arial"/>
          <w:sz w:val="22"/>
          <w:szCs w:val="22"/>
        </w:rPr>
        <w:t xml:space="preserve"> August 2026).</w:t>
      </w:r>
    </w:p>
    <w:p w14:paraId="309D5C30" w14:textId="03C4510D" w:rsidR="009E62E5" w:rsidRPr="00973FD3" w:rsidRDefault="009E62E5" w:rsidP="00E13826">
      <w:pPr>
        <w:spacing w:line="360" w:lineRule="auto"/>
        <w:ind w:left="360" w:hanging="360"/>
        <w:rPr>
          <w:rFonts w:ascii="Arial" w:hAnsi="Arial" w:cs="Arial"/>
          <w:sz w:val="22"/>
          <w:szCs w:val="22"/>
        </w:rPr>
      </w:pPr>
      <w:r w:rsidRPr="00973FD3">
        <w:rPr>
          <w:rFonts w:ascii="Arial" w:hAnsi="Arial" w:cs="Arial"/>
          <w:sz w:val="22"/>
          <w:szCs w:val="22"/>
        </w:rPr>
        <w:t xml:space="preserve">World Health Organization (2026) ICD-11 for Mortality and Morbidity Statistics: 6B04 Social anxiety disorder. Available at: </w:t>
      </w:r>
      <w:hyperlink r:id="rId23">
        <w:r w:rsidRPr="00973FD3">
          <w:rPr>
            <w:rFonts w:ascii="Arial" w:hAnsi="Arial" w:cs="Arial"/>
            <w:color w:val="0563C1"/>
            <w:sz w:val="22"/>
            <w:szCs w:val="22"/>
            <w:u w:val="single"/>
          </w:rPr>
          <w:t>https://icd.who.int/browse11</w:t>
        </w:r>
      </w:hyperlink>
      <w:r w:rsidRPr="00973FD3">
        <w:rPr>
          <w:rFonts w:ascii="Arial" w:hAnsi="Arial" w:cs="Arial"/>
          <w:sz w:val="22"/>
          <w:szCs w:val="22"/>
        </w:rPr>
        <w:t xml:space="preserve"> (Accessed: 1</w:t>
      </w:r>
      <w:r w:rsidR="00725F9E" w:rsidRPr="00973FD3">
        <w:rPr>
          <w:rFonts w:ascii="Arial" w:hAnsi="Arial" w:cs="Arial"/>
          <w:sz w:val="22"/>
          <w:szCs w:val="22"/>
        </w:rPr>
        <w:t xml:space="preserve">0 </w:t>
      </w:r>
      <w:r w:rsidRPr="00973FD3">
        <w:rPr>
          <w:rFonts w:ascii="Arial" w:hAnsi="Arial" w:cs="Arial"/>
          <w:sz w:val="22"/>
          <w:szCs w:val="22"/>
        </w:rPr>
        <w:t>August 2026).</w:t>
      </w:r>
    </w:p>
    <w:p w14:paraId="41393BD6" w14:textId="77777777" w:rsidR="008A6D32" w:rsidRPr="008A6D32" w:rsidRDefault="008A6D32" w:rsidP="008A6D32">
      <w:pPr>
        <w:pStyle w:val="NormalWeb"/>
        <w:rPr>
          <w:rFonts w:ascii="Arial" w:hAnsi="Arial" w:cs="Arial"/>
          <w:color w:val="000000"/>
        </w:rPr>
      </w:pPr>
    </w:p>
    <w:p w14:paraId="6E41165F" w14:textId="77777777" w:rsidR="000264A1" w:rsidRPr="008A6D32" w:rsidRDefault="000264A1" w:rsidP="000264A1">
      <w:pPr>
        <w:rPr>
          <w:rFonts w:ascii="Arial" w:hAnsi="Arial" w:cs="Arial"/>
          <w:sz w:val="36"/>
          <w:szCs w:val="36"/>
        </w:rPr>
      </w:pPr>
    </w:p>
    <w:p w14:paraId="07786E37" w14:textId="77777777" w:rsidR="000264A1" w:rsidRPr="000264A1" w:rsidRDefault="000264A1" w:rsidP="000264A1">
      <w:pPr>
        <w:rPr>
          <w:rFonts w:ascii="Arial" w:hAnsi="Arial" w:cs="Arial"/>
          <w:sz w:val="36"/>
          <w:szCs w:val="36"/>
        </w:rPr>
      </w:pPr>
    </w:p>
    <w:sectPr w:rsidR="000264A1" w:rsidRPr="000264A1">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E0B767" w14:textId="77777777" w:rsidR="00AF0F77" w:rsidRDefault="00AF0F77" w:rsidP="000264A1">
      <w:pPr>
        <w:spacing w:after="0" w:line="240" w:lineRule="auto"/>
      </w:pPr>
      <w:r>
        <w:separator/>
      </w:r>
    </w:p>
  </w:endnote>
  <w:endnote w:type="continuationSeparator" w:id="0">
    <w:p w14:paraId="1AA66828" w14:textId="77777777" w:rsidR="00AF0F77" w:rsidRDefault="00AF0F77"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Content>
      <w:p w14:paraId="4FDE4EC7" w14:textId="6C3E183C"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C10C99">
          <w:rPr>
            <w:rStyle w:val="PageNumber"/>
          </w:rPr>
          <w:fldChar w:fldCharType="separate"/>
        </w:r>
        <w:r w:rsidR="00C10C99">
          <w:rPr>
            <w:rStyle w:val="PageNumber"/>
            <w:noProof/>
          </w:rPr>
          <w:t>2</w: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584EA5" w14:textId="77777777" w:rsidR="00AF0F77" w:rsidRDefault="00AF0F77" w:rsidP="000264A1">
      <w:pPr>
        <w:spacing w:after="0" w:line="240" w:lineRule="auto"/>
      </w:pPr>
      <w:r>
        <w:separator/>
      </w:r>
    </w:p>
  </w:footnote>
  <w:footnote w:type="continuationSeparator" w:id="0">
    <w:p w14:paraId="707F6215" w14:textId="77777777" w:rsidR="00AF0F77" w:rsidRDefault="00AF0F77" w:rsidP="00026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EA4020"/>
    <w:multiLevelType w:val="hybridMultilevel"/>
    <w:tmpl w:val="16D2DA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F949F0"/>
    <w:multiLevelType w:val="hybridMultilevel"/>
    <w:tmpl w:val="379E19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020306">
    <w:abstractNumId w:val="0"/>
  </w:num>
  <w:num w:numId="2" w16cid:durableId="1685639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13A45"/>
    <w:rsid w:val="000264A1"/>
    <w:rsid w:val="00060FB4"/>
    <w:rsid w:val="0006371C"/>
    <w:rsid w:val="000B1A7A"/>
    <w:rsid w:val="000E379F"/>
    <w:rsid w:val="000E481C"/>
    <w:rsid w:val="00120316"/>
    <w:rsid w:val="00126E11"/>
    <w:rsid w:val="0014500C"/>
    <w:rsid w:val="001521E9"/>
    <w:rsid w:val="001657AC"/>
    <w:rsid w:val="00175AC3"/>
    <w:rsid w:val="001D16F2"/>
    <w:rsid w:val="001E50F0"/>
    <w:rsid w:val="002750AA"/>
    <w:rsid w:val="00296600"/>
    <w:rsid w:val="0029677F"/>
    <w:rsid w:val="002A08D1"/>
    <w:rsid w:val="002A25F0"/>
    <w:rsid w:val="002A3D2A"/>
    <w:rsid w:val="002C7D82"/>
    <w:rsid w:val="0033400D"/>
    <w:rsid w:val="0034434F"/>
    <w:rsid w:val="00380BA5"/>
    <w:rsid w:val="003B3FCB"/>
    <w:rsid w:val="003B7918"/>
    <w:rsid w:val="003F20CF"/>
    <w:rsid w:val="00417A93"/>
    <w:rsid w:val="00420049"/>
    <w:rsid w:val="00463431"/>
    <w:rsid w:val="00487AE2"/>
    <w:rsid w:val="004F0C3F"/>
    <w:rsid w:val="0051383C"/>
    <w:rsid w:val="00521866"/>
    <w:rsid w:val="00550536"/>
    <w:rsid w:val="00556503"/>
    <w:rsid w:val="00557039"/>
    <w:rsid w:val="00581A40"/>
    <w:rsid w:val="005F3764"/>
    <w:rsid w:val="006058FA"/>
    <w:rsid w:val="00616C97"/>
    <w:rsid w:val="00637171"/>
    <w:rsid w:val="00666341"/>
    <w:rsid w:val="006711B6"/>
    <w:rsid w:val="00680339"/>
    <w:rsid w:val="0068417D"/>
    <w:rsid w:val="0071499E"/>
    <w:rsid w:val="00722ABC"/>
    <w:rsid w:val="00725F9E"/>
    <w:rsid w:val="00761857"/>
    <w:rsid w:val="007A7083"/>
    <w:rsid w:val="007C01BE"/>
    <w:rsid w:val="00805431"/>
    <w:rsid w:val="00843325"/>
    <w:rsid w:val="00847A72"/>
    <w:rsid w:val="008A6755"/>
    <w:rsid w:val="008A6D32"/>
    <w:rsid w:val="008E56F2"/>
    <w:rsid w:val="00946BB5"/>
    <w:rsid w:val="00947E39"/>
    <w:rsid w:val="00951992"/>
    <w:rsid w:val="00973FD3"/>
    <w:rsid w:val="00977E6F"/>
    <w:rsid w:val="00992A97"/>
    <w:rsid w:val="009C23A4"/>
    <w:rsid w:val="009E62E5"/>
    <w:rsid w:val="00A84B7E"/>
    <w:rsid w:val="00A97866"/>
    <w:rsid w:val="00AA1A31"/>
    <w:rsid w:val="00AF0F77"/>
    <w:rsid w:val="00B42665"/>
    <w:rsid w:val="00B6301D"/>
    <w:rsid w:val="00B742DE"/>
    <w:rsid w:val="00BC3E6F"/>
    <w:rsid w:val="00BD0A01"/>
    <w:rsid w:val="00BD1910"/>
    <w:rsid w:val="00BD6F52"/>
    <w:rsid w:val="00BE308B"/>
    <w:rsid w:val="00C10C99"/>
    <w:rsid w:val="00C152CC"/>
    <w:rsid w:val="00C3148C"/>
    <w:rsid w:val="00C365EC"/>
    <w:rsid w:val="00C61251"/>
    <w:rsid w:val="00C721A7"/>
    <w:rsid w:val="00CA183A"/>
    <w:rsid w:val="00CA61EF"/>
    <w:rsid w:val="00CE61A2"/>
    <w:rsid w:val="00CF3F41"/>
    <w:rsid w:val="00D1414A"/>
    <w:rsid w:val="00D34C75"/>
    <w:rsid w:val="00D91A4A"/>
    <w:rsid w:val="00DE6FA4"/>
    <w:rsid w:val="00E06D72"/>
    <w:rsid w:val="00E13826"/>
    <w:rsid w:val="00E47EFA"/>
    <w:rsid w:val="00E63EF3"/>
    <w:rsid w:val="00E86FD4"/>
    <w:rsid w:val="00E9037F"/>
    <w:rsid w:val="00EA2370"/>
    <w:rsid w:val="00EB2A98"/>
    <w:rsid w:val="00EB65FB"/>
    <w:rsid w:val="00EB6AD6"/>
    <w:rsid w:val="00ED70BD"/>
    <w:rsid w:val="00EE2A86"/>
    <w:rsid w:val="00F17B6E"/>
    <w:rsid w:val="00F47DA7"/>
    <w:rsid w:val="00F854B7"/>
    <w:rsid w:val="00FF3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paragraph" w:styleId="TOCHeading">
    <w:name w:val="TOC Heading"/>
    <w:basedOn w:val="Heading1"/>
    <w:next w:val="Normal"/>
    <w:uiPriority w:val="39"/>
    <w:unhideWhenUsed/>
    <w:qFormat/>
    <w:rsid w:val="0029677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9677F"/>
    <w:pPr>
      <w:spacing w:after="100"/>
    </w:pPr>
  </w:style>
  <w:style w:type="character" w:styleId="Hyperlink">
    <w:name w:val="Hyperlink"/>
    <w:basedOn w:val="DefaultParagraphFont"/>
    <w:uiPriority w:val="99"/>
    <w:unhideWhenUsed/>
    <w:rsid w:val="0029677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ad.2024.09.068" TargetMode="External"/><Relationship Id="rId13" Type="http://schemas.openxmlformats.org/officeDocument/2006/relationships/hyperlink" Target="https://doi.org/10.1007/s10567-024-00509-z" TargetMode="External"/><Relationship Id="rId18" Type="http://schemas.openxmlformats.org/officeDocument/2006/relationships/hyperlink" Target="https://doi.org/10.1080/10615806.2024.2392195"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177/13623613241251513" TargetMode="External"/><Relationship Id="rId7" Type="http://schemas.openxmlformats.org/officeDocument/2006/relationships/image" Target="media/image1.jpeg"/><Relationship Id="rId12" Type="http://schemas.openxmlformats.org/officeDocument/2006/relationships/hyperlink" Target="https://ico.org.uk/for-organisations/uk-gdpr-guidance-and-resources/lawful-basis/special-category-data/what-is-special-category-data/" TargetMode="External"/><Relationship Id="rId17" Type="http://schemas.openxmlformats.org/officeDocument/2006/relationships/hyperlink" Target="https://doi.org/10.1016/j.jad.2025.02.092"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pmc.ncbi.nlm.nih.gov/articles/PMC10904885/" TargetMode="External"/><Relationship Id="rId20" Type="http://schemas.openxmlformats.org/officeDocument/2006/relationships/hyperlink" Target="https://pubmed.ncbi.nlm.nih.gov/3175885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mc.ncbi.nlm.nih.gov/articles/PMC3075954/"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nice.org.uk/guidance/cg159" TargetMode="External"/><Relationship Id="rId23" Type="http://schemas.openxmlformats.org/officeDocument/2006/relationships/hyperlink" Target="https://icd.who.int/browse11" TargetMode="External"/><Relationship Id="rId10" Type="http://schemas.openxmlformats.org/officeDocument/2006/relationships/hyperlink" Target="https://doi.org/10.1016/j.janxdis.2024.102881" TargetMode="External"/><Relationship Id="rId19" Type="http://schemas.openxmlformats.org/officeDocument/2006/relationships/hyperlink" Target="https://www.legislation.gov.uk/ukpga/2018/12/contents" TargetMode="External"/><Relationship Id="rId4" Type="http://schemas.openxmlformats.org/officeDocument/2006/relationships/webSettings" Target="webSettings.xml"/><Relationship Id="rId9" Type="http://schemas.openxmlformats.org/officeDocument/2006/relationships/hyperlink" Target="https://doi.org/10.1002/da.22728" TargetMode="External"/><Relationship Id="rId14" Type="http://schemas.openxmlformats.org/officeDocument/2006/relationships/hyperlink" Target="https://pubmed.ncbi.nlm.nih.gov/26361000/" TargetMode="External"/><Relationship Id="rId22" Type="http://schemas.openxmlformats.org/officeDocument/2006/relationships/hyperlink" Target="https://pmc.ncbi.nlm.nih.gov/articles/PMC10108597/"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165</TotalTime>
  <Pages>10</Pages>
  <Words>3104</Words>
  <Characters>17693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Amber Zubair Rana</cp:lastModifiedBy>
  <cp:revision>99</cp:revision>
  <dcterms:created xsi:type="dcterms:W3CDTF">2026-06-09T08:26:00Z</dcterms:created>
  <dcterms:modified xsi:type="dcterms:W3CDTF">2026-08-18T02:20:00Z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57754b50-c591-49b9-b89e-6197a07fffb2</vt:lpwstr>
  </property>
</Properties>
</file>