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14:paraId="13A64A92" w14:textId="77777777" w:rsidR="00A930CB" w:rsidRPr="00E0498E" w:rsidRDefault="00A930CB" w:rsidP="00A930CB">
          <w:pPr>
            <w:spacing w:after="165" w:line="360" w:lineRule="auto"/>
            <w:rPr>
              <w:rFonts w:ascii="Arial" w:hAnsi="Arial" w:cs="Arial"/>
              <w:color w:val="000000"/>
              <w:sz w:val="40"/>
              <w:szCs w:val="40"/>
            </w:rPr>
          </w:pPr>
          <w:r w:rsidRPr="00E0498E">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E0498E" w:rsidRDefault="00A930CB" w:rsidP="00A930CB">
          <w:pPr>
            <w:spacing w:after="165" w:line="360" w:lineRule="auto"/>
            <w:jc w:val="center"/>
            <w:rPr>
              <w:rFonts w:ascii="Arial" w:hAnsi="Arial" w:cs="Arial"/>
              <w:color w:val="000000"/>
              <w:sz w:val="40"/>
              <w:szCs w:val="40"/>
            </w:rPr>
          </w:pPr>
          <w:r w:rsidRPr="00E0498E">
            <w:rPr>
              <w:rFonts w:ascii="Arial" w:hAnsi="Arial" w:cs="Arial"/>
              <w:color w:val="000000"/>
              <w:sz w:val="40"/>
              <w:szCs w:val="40"/>
            </w:rPr>
            <w:t xml:space="preserve">Module Assignment Submission </w:t>
          </w:r>
          <w:r w:rsidRPr="00E0498E">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0498E" w14:paraId="7E157FF9" w14:textId="77777777" w:rsidTr="0030173B">
            <w:tc>
              <w:tcPr>
                <w:tcW w:w="3438" w:type="dxa"/>
                <w:shd w:val="clear" w:color="auto" w:fill="D9D9D9"/>
              </w:tcPr>
              <w:p w14:paraId="049D6C4E" w14:textId="77777777" w:rsidR="00A930CB" w:rsidRPr="00E0498E" w:rsidRDefault="00A930CB" w:rsidP="00A930CB">
                <w:pPr>
                  <w:spacing w:before="120" w:after="120" w:line="360" w:lineRule="auto"/>
                  <w:rPr>
                    <w:rFonts w:ascii="Arial" w:hAnsi="Arial" w:cs="Arial"/>
                    <w:sz w:val="32"/>
                    <w:szCs w:val="32"/>
                  </w:rPr>
                </w:pPr>
                <w:r w:rsidRPr="00E0498E">
                  <w:rPr>
                    <w:rFonts w:ascii="Arial" w:hAnsi="Arial" w:cs="Arial"/>
                    <w:sz w:val="32"/>
                    <w:szCs w:val="32"/>
                  </w:rPr>
                  <w:t>Student Name:</w:t>
                </w:r>
              </w:p>
            </w:tc>
            <w:tc>
              <w:tcPr>
                <w:tcW w:w="6055" w:type="dxa"/>
              </w:tcPr>
              <w:p w14:paraId="26509FF7" w14:textId="514695F1" w:rsidR="00A930CB" w:rsidRPr="00AA0E12" w:rsidRDefault="00E0498E" w:rsidP="00A930CB">
                <w:pPr>
                  <w:spacing w:before="120" w:after="120" w:line="360" w:lineRule="auto"/>
                  <w:rPr>
                    <w:rFonts w:ascii="Arial" w:hAnsi="Arial" w:cs="Arial"/>
                    <w:sz w:val="32"/>
                    <w:szCs w:val="32"/>
                  </w:rPr>
                </w:pPr>
                <w:r w:rsidRPr="00AA0E12">
                  <w:rPr>
                    <w:rFonts w:ascii="Arial" w:hAnsi="Arial" w:cs="Arial"/>
                    <w:sz w:val="32"/>
                    <w:szCs w:val="32"/>
                  </w:rPr>
                  <w:t>Christopher Rees</w:t>
                </w:r>
              </w:p>
            </w:tc>
          </w:tr>
          <w:tr w:rsidR="00A930CB" w:rsidRPr="00E0498E" w14:paraId="47B8061E" w14:textId="77777777" w:rsidTr="0030173B">
            <w:tc>
              <w:tcPr>
                <w:tcW w:w="3438" w:type="dxa"/>
                <w:shd w:val="clear" w:color="auto" w:fill="D9D9D9"/>
              </w:tcPr>
              <w:p w14:paraId="19DB6AF8" w14:textId="77777777" w:rsidR="00A930CB" w:rsidRPr="00E0498E" w:rsidRDefault="00A930CB" w:rsidP="00A930CB">
                <w:pPr>
                  <w:spacing w:before="120" w:after="120" w:line="360" w:lineRule="auto"/>
                  <w:rPr>
                    <w:rFonts w:ascii="Arial" w:hAnsi="Arial" w:cs="Arial"/>
                    <w:sz w:val="32"/>
                    <w:szCs w:val="32"/>
                  </w:rPr>
                </w:pPr>
                <w:r w:rsidRPr="00E0498E">
                  <w:rPr>
                    <w:rFonts w:ascii="Arial" w:hAnsi="Arial" w:cs="Arial"/>
                    <w:sz w:val="32"/>
                    <w:szCs w:val="32"/>
                  </w:rPr>
                  <w:t>Student Number:</w:t>
                </w:r>
              </w:p>
            </w:tc>
            <w:tc>
              <w:tcPr>
                <w:tcW w:w="6055" w:type="dxa"/>
              </w:tcPr>
              <w:p w14:paraId="11A37B25" w14:textId="09858A30" w:rsidR="00A930CB" w:rsidRPr="00AA0E12" w:rsidRDefault="00AA0E12" w:rsidP="00A930CB">
                <w:pPr>
                  <w:spacing w:before="120" w:after="120" w:line="360" w:lineRule="auto"/>
                  <w:rPr>
                    <w:rFonts w:ascii="Arial" w:hAnsi="Arial" w:cs="Arial"/>
                    <w:sz w:val="32"/>
                    <w:szCs w:val="32"/>
                  </w:rPr>
                </w:pPr>
                <w:r>
                  <w:rPr>
                    <w:rFonts w:ascii="Arial" w:hAnsi="Arial" w:cs="Arial"/>
                    <w:sz w:val="32"/>
                    <w:szCs w:val="32"/>
                  </w:rPr>
                  <w:t>1708875</w:t>
                </w:r>
              </w:p>
            </w:tc>
          </w:tr>
          <w:tr w:rsidR="00A930CB" w:rsidRPr="00E0498E" w14:paraId="349EAAAF" w14:textId="77777777" w:rsidTr="0030173B">
            <w:tc>
              <w:tcPr>
                <w:tcW w:w="3438" w:type="dxa"/>
                <w:shd w:val="clear" w:color="auto" w:fill="D9D9D9"/>
              </w:tcPr>
              <w:p w14:paraId="79CF9844" w14:textId="1A14AA8B" w:rsidR="00A930CB" w:rsidRPr="00E0498E" w:rsidRDefault="00A930CB" w:rsidP="00A930CB">
                <w:pPr>
                  <w:spacing w:before="120" w:after="120" w:line="360" w:lineRule="auto"/>
                  <w:rPr>
                    <w:rFonts w:ascii="Arial" w:hAnsi="Arial" w:cs="Arial"/>
                    <w:sz w:val="32"/>
                    <w:szCs w:val="32"/>
                  </w:rPr>
                </w:pPr>
                <w:r w:rsidRPr="00E0498E">
                  <w:rPr>
                    <w:rFonts w:ascii="Arial" w:hAnsi="Arial" w:cs="Arial"/>
                    <w:sz w:val="32"/>
                    <w:szCs w:val="32"/>
                  </w:rPr>
                  <w:t xml:space="preserve">Module </w:t>
                </w:r>
                <w:r w:rsidR="005D5E30" w:rsidRPr="00E0498E">
                  <w:rPr>
                    <w:rFonts w:ascii="Arial" w:hAnsi="Arial" w:cs="Arial"/>
                    <w:sz w:val="32"/>
                    <w:szCs w:val="32"/>
                  </w:rPr>
                  <w:t>Code</w:t>
                </w:r>
                <w:r w:rsidRPr="00E0498E">
                  <w:rPr>
                    <w:rFonts w:ascii="Arial" w:hAnsi="Arial" w:cs="Arial"/>
                    <w:sz w:val="32"/>
                    <w:szCs w:val="32"/>
                  </w:rPr>
                  <w:t>:</w:t>
                </w:r>
              </w:p>
            </w:tc>
            <w:tc>
              <w:tcPr>
                <w:tcW w:w="6055" w:type="dxa"/>
              </w:tcPr>
              <w:p w14:paraId="2C117412" w14:textId="35C0CB39" w:rsidR="00A930CB" w:rsidRPr="00AA0E12" w:rsidRDefault="00AA0E12" w:rsidP="00A930CB">
                <w:pPr>
                  <w:spacing w:before="120" w:after="120" w:line="360" w:lineRule="auto"/>
                  <w:rPr>
                    <w:rFonts w:ascii="Arial" w:hAnsi="Arial" w:cs="Arial"/>
                    <w:sz w:val="32"/>
                    <w:szCs w:val="32"/>
                  </w:rPr>
                </w:pPr>
                <w:r>
                  <w:rPr>
                    <w:rFonts w:ascii="Arial" w:hAnsi="Arial" w:cs="Arial"/>
                    <w:sz w:val="32"/>
                    <w:szCs w:val="32"/>
                  </w:rPr>
                  <w:t>BMSK</w:t>
                </w:r>
                <w:r w:rsidR="001E6A6C">
                  <w:rPr>
                    <w:rFonts w:ascii="Arial" w:hAnsi="Arial" w:cs="Arial"/>
                    <w:sz w:val="32"/>
                    <w:szCs w:val="32"/>
                  </w:rPr>
                  <w:t>6012</w:t>
                </w:r>
              </w:p>
            </w:tc>
          </w:tr>
          <w:tr w:rsidR="001E6A6C" w:rsidRPr="00E0498E" w14:paraId="485DA616" w14:textId="77777777" w:rsidTr="0030173B">
            <w:trPr>
              <w:trHeight w:val="413"/>
            </w:trPr>
            <w:tc>
              <w:tcPr>
                <w:tcW w:w="3438" w:type="dxa"/>
                <w:shd w:val="clear" w:color="auto" w:fill="D9D9D9"/>
              </w:tcPr>
              <w:p w14:paraId="4606D4BD" w14:textId="77777777" w:rsidR="001E6A6C" w:rsidRPr="00E0498E" w:rsidRDefault="001E6A6C" w:rsidP="001E6A6C">
                <w:pPr>
                  <w:spacing w:before="120" w:after="120" w:line="360" w:lineRule="auto"/>
                  <w:rPr>
                    <w:rFonts w:ascii="Arial" w:hAnsi="Arial" w:cs="Arial"/>
                    <w:sz w:val="32"/>
                    <w:szCs w:val="32"/>
                  </w:rPr>
                </w:pPr>
                <w:r w:rsidRPr="00E0498E">
                  <w:rPr>
                    <w:rFonts w:ascii="Arial" w:hAnsi="Arial" w:cs="Arial"/>
                    <w:sz w:val="32"/>
                    <w:szCs w:val="32"/>
                  </w:rPr>
                  <w:t>Module Title:</w:t>
                </w:r>
              </w:p>
            </w:tc>
            <w:tc>
              <w:tcPr>
                <w:tcW w:w="6055" w:type="dxa"/>
              </w:tcPr>
              <w:p w14:paraId="0F1C3659" w14:textId="54117AAA" w:rsidR="001E6A6C" w:rsidRPr="001E6A6C" w:rsidRDefault="001E6A6C" w:rsidP="001E6A6C">
                <w:pPr>
                  <w:spacing w:before="120" w:after="120" w:line="360" w:lineRule="auto"/>
                  <w:rPr>
                    <w:rFonts w:ascii="Arial" w:hAnsi="Arial" w:cs="Arial"/>
                    <w:bCs/>
                    <w:sz w:val="32"/>
                    <w:szCs w:val="32"/>
                  </w:rPr>
                </w:pPr>
                <w:r w:rsidRPr="001E6A6C">
                  <w:rPr>
                    <w:rFonts w:ascii="Arial" w:hAnsi="Arial" w:cs="Arial"/>
                    <w:bCs/>
                    <w:sz w:val="32"/>
                    <w:szCs w:val="32"/>
                  </w:rPr>
                  <w:t>Developing Creativity and Innovation for Competitive Advantage</w:t>
                </w:r>
              </w:p>
            </w:tc>
          </w:tr>
        </w:tbl>
        <w:p w14:paraId="4BB964D8" w14:textId="77777777" w:rsidR="00A930CB" w:rsidRPr="00E0498E" w:rsidRDefault="00A930CB" w:rsidP="00A930CB">
          <w:pPr>
            <w:spacing w:before="120" w:after="120" w:line="360" w:lineRule="auto"/>
            <w:rPr>
              <w:rFonts w:ascii="Arial" w:hAnsi="Arial" w:cs="Arial"/>
              <w:color w:val="FF0000"/>
              <w:sz w:val="24"/>
              <w:szCs w:val="24"/>
            </w:rPr>
          </w:pPr>
        </w:p>
        <w:p w14:paraId="225E9DEB" w14:textId="77777777" w:rsidR="00A930CB" w:rsidRPr="00E0498E" w:rsidRDefault="00A930CB" w:rsidP="00A930CB">
          <w:pPr>
            <w:spacing w:before="120" w:after="120" w:line="360" w:lineRule="auto"/>
            <w:rPr>
              <w:rFonts w:ascii="Arial" w:hAnsi="Arial" w:cs="Arial"/>
              <w:b/>
              <w:color w:val="000000"/>
              <w:sz w:val="24"/>
              <w:szCs w:val="24"/>
            </w:rPr>
          </w:pPr>
          <w:r w:rsidRPr="00E0498E">
            <w:rPr>
              <w:rFonts w:ascii="Arial" w:hAnsi="Arial" w:cs="Arial"/>
              <w:b/>
              <w:color w:val="000000"/>
              <w:sz w:val="24"/>
              <w:szCs w:val="24"/>
            </w:rPr>
            <w:t>Statement of Confirmation of Authenticity</w:t>
          </w:r>
        </w:p>
        <w:p w14:paraId="22DD05FB" w14:textId="77777777" w:rsidR="00A930CB" w:rsidRPr="00E0498E" w:rsidRDefault="00A930CB" w:rsidP="00A930CB">
          <w:pPr>
            <w:spacing w:before="120" w:after="120" w:line="360" w:lineRule="auto"/>
            <w:rPr>
              <w:rFonts w:ascii="Arial" w:hAnsi="Arial" w:cs="Arial"/>
              <w:color w:val="000000"/>
              <w:sz w:val="24"/>
              <w:szCs w:val="24"/>
            </w:rPr>
          </w:pPr>
          <w:r w:rsidRPr="00E0498E">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E0498E" w:rsidRDefault="00A930CB" w:rsidP="008346D5">
          <w:pPr>
            <w:spacing w:before="120" w:after="120" w:line="360" w:lineRule="auto"/>
            <w:rPr>
              <w:rFonts w:ascii="Arial" w:hAnsi="Arial" w:cs="Arial"/>
              <w:color w:val="000000"/>
              <w:sz w:val="24"/>
              <w:szCs w:val="24"/>
            </w:rPr>
          </w:pPr>
          <w:r w:rsidRPr="00E0498E">
            <w:rPr>
              <w:rFonts w:ascii="Arial" w:hAnsi="Arial" w:cs="Arial"/>
              <w:color w:val="000000"/>
              <w:sz w:val="24"/>
              <w:szCs w:val="24"/>
            </w:rPr>
            <w:t>Attention is drawn to the plagiarism and unfair practice policies of the University</w:t>
          </w:r>
          <w:r w:rsidR="00F91F18" w:rsidRPr="00E0498E">
            <w:rPr>
              <w:rFonts w:ascii="Arial" w:hAnsi="Arial" w:cs="Arial"/>
              <w:color w:val="000000"/>
              <w:sz w:val="24"/>
              <w:szCs w:val="24"/>
            </w:rPr>
            <w:t>.</w:t>
          </w:r>
          <w:r w:rsidRPr="00E0498E">
            <w:rPr>
              <w:rFonts w:ascii="Arial" w:hAnsi="Arial" w:cs="Arial"/>
              <w:color w:val="000000"/>
              <w:sz w:val="24"/>
              <w:szCs w:val="24"/>
            </w:rPr>
            <w:t xml:space="preserve"> </w:t>
          </w:r>
        </w:p>
        <w:p w14:paraId="625660F1" w14:textId="77777777" w:rsidR="00A45277" w:rsidRPr="00E0498E" w:rsidRDefault="00A45277" w:rsidP="008346D5">
          <w:pPr>
            <w:spacing w:before="120" w:after="120" w:line="360" w:lineRule="auto"/>
            <w:rPr>
              <w:rFonts w:ascii="Arial" w:hAnsi="Arial" w:cs="Arial"/>
              <w:color w:val="000000"/>
              <w:sz w:val="24"/>
              <w:szCs w:val="24"/>
            </w:rPr>
          </w:pPr>
        </w:p>
        <w:p w14:paraId="1E8CE651" w14:textId="625B1631" w:rsidR="00885114" w:rsidRPr="00E0498E" w:rsidRDefault="00885114" w:rsidP="00A45277">
          <w:pPr>
            <w:rPr>
              <w:rFonts w:ascii="Arial" w:hAnsi="Arial" w:cs="Arial"/>
              <w:color w:val="000000"/>
              <w:sz w:val="24"/>
              <w:szCs w:val="24"/>
            </w:rPr>
          </w:pPr>
        </w:p>
        <w:p w14:paraId="5B6F418C" w14:textId="56327957" w:rsidR="00F91F18" w:rsidRPr="00E0498E" w:rsidRDefault="00F91F18" w:rsidP="00A45277">
          <w:pPr>
            <w:rPr>
              <w:rFonts w:ascii="Arial" w:hAnsi="Arial" w:cs="Arial"/>
              <w:color w:val="000000"/>
              <w:sz w:val="24"/>
              <w:szCs w:val="24"/>
            </w:rPr>
          </w:pPr>
        </w:p>
        <w:p w14:paraId="6965E481" w14:textId="04FC2A45" w:rsidR="00F91F18" w:rsidRPr="00E0498E" w:rsidRDefault="00F91F18" w:rsidP="00A45277">
          <w:pPr>
            <w:rPr>
              <w:rFonts w:ascii="Arial" w:hAnsi="Arial" w:cs="Arial"/>
              <w:color w:val="000000"/>
              <w:sz w:val="24"/>
              <w:szCs w:val="24"/>
            </w:rPr>
          </w:pPr>
        </w:p>
        <w:p w14:paraId="58EE40C7" w14:textId="4737F679" w:rsidR="00F91F18" w:rsidRPr="00E0498E" w:rsidRDefault="00F91F18" w:rsidP="00A45277">
          <w:pPr>
            <w:rPr>
              <w:rFonts w:ascii="Arial" w:hAnsi="Arial" w:cs="Arial"/>
              <w:color w:val="000000"/>
              <w:sz w:val="24"/>
              <w:szCs w:val="24"/>
            </w:rPr>
          </w:pPr>
        </w:p>
        <w:p w14:paraId="48F7542D" w14:textId="77777777" w:rsidR="00F91F18" w:rsidRPr="00E0498E" w:rsidRDefault="00F91F18" w:rsidP="00A45277">
          <w:pPr>
            <w:rPr>
              <w:rFonts w:ascii="Arial" w:hAnsi="Arial" w:cs="Arial"/>
              <w:color w:val="000000"/>
              <w:sz w:val="24"/>
              <w:szCs w:val="24"/>
            </w:rPr>
          </w:pPr>
        </w:p>
        <w:sdt>
          <w:sdtPr>
            <w:rPr>
              <w:rFonts w:asciiTheme="minorHAnsi" w:eastAsiaTheme="minorHAnsi" w:hAnsiTheme="minorHAnsi" w:cs="Arial"/>
              <w:sz w:val="22"/>
              <w:szCs w:val="22"/>
              <w:lang w:val="en-GB"/>
            </w:rPr>
            <w:id w:val="1199351396"/>
            <w:docPartObj>
              <w:docPartGallery w:val="Table of Contents"/>
              <w:docPartUnique/>
            </w:docPartObj>
          </w:sdtPr>
          <w:sdtEndPr>
            <w:rPr>
              <w:b/>
              <w:bCs/>
              <w:noProof/>
            </w:rPr>
          </w:sdtEndPr>
          <w:sdtContent>
            <w:p w14:paraId="1E6C77B6" w14:textId="6A56EC90" w:rsidR="00885114" w:rsidRPr="00E0498E" w:rsidRDefault="00885114">
              <w:pPr>
                <w:pStyle w:val="TOCHeading"/>
                <w:rPr>
                  <w:rFonts w:cs="Arial"/>
                </w:rPr>
              </w:pPr>
              <w:r w:rsidRPr="00E0498E">
                <w:rPr>
                  <w:rFonts w:cs="Arial"/>
                </w:rPr>
                <w:t>Table of Contents</w:t>
              </w:r>
            </w:p>
            <w:p w14:paraId="231FB907" w14:textId="04415C5A" w:rsidR="006469FA" w:rsidRDefault="00885114">
              <w:pPr>
                <w:pStyle w:val="TOC2"/>
                <w:tabs>
                  <w:tab w:val="right" w:leader="dot" w:pos="9350"/>
                </w:tabs>
                <w:rPr>
                  <w:rFonts w:eastAsiaTheme="minorEastAsia"/>
                  <w:noProof/>
                  <w:kern w:val="2"/>
                  <w:sz w:val="24"/>
                  <w:szCs w:val="24"/>
                  <w:lang w:eastAsia="en-GB"/>
                  <w14:ligatures w14:val="standardContextual"/>
                </w:rPr>
              </w:pPr>
              <w:r w:rsidRPr="00E0498E">
                <w:rPr>
                  <w:rFonts w:ascii="Arial" w:hAnsi="Arial" w:cs="Arial"/>
                </w:rPr>
                <w:fldChar w:fldCharType="begin"/>
              </w:r>
              <w:r w:rsidRPr="00E0498E">
                <w:rPr>
                  <w:rFonts w:ascii="Arial" w:hAnsi="Arial" w:cs="Arial"/>
                </w:rPr>
                <w:instrText xml:space="preserve"> TOC \o "1-3" \h \z \u </w:instrText>
              </w:r>
              <w:r w:rsidRPr="00E0498E">
                <w:rPr>
                  <w:rFonts w:ascii="Arial" w:hAnsi="Arial" w:cs="Arial"/>
                </w:rPr>
                <w:fldChar w:fldCharType="separate"/>
              </w:r>
              <w:hyperlink w:anchor="_Toc239630385" w:history="1">
                <w:r w:rsidR="006469FA" w:rsidRPr="00E45596">
                  <w:rPr>
                    <w:rStyle w:val="Hyperlink"/>
                    <w:noProof/>
                  </w:rPr>
                  <w:t>1.0 Introduction</w:t>
                </w:r>
                <w:r w:rsidR="006469FA">
                  <w:rPr>
                    <w:noProof/>
                    <w:webHidden/>
                  </w:rPr>
                  <w:tab/>
                </w:r>
                <w:r w:rsidR="006469FA">
                  <w:rPr>
                    <w:noProof/>
                    <w:webHidden/>
                  </w:rPr>
                  <w:fldChar w:fldCharType="begin"/>
                </w:r>
                <w:r w:rsidR="006469FA">
                  <w:rPr>
                    <w:noProof/>
                    <w:webHidden/>
                  </w:rPr>
                  <w:instrText xml:space="preserve"> PAGEREF _Toc239630385 \h </w:instrText>
                </w:r>
                <w:r w:rsidR="006469FA">
                  <w:rPr>
                    <w:noProof/>
                    <w:webHidden/>
                  </w:rPr>
                </w:r>
                <w:r w:rsidR="006469FA">
                  <w:rPr>
                    <w:noProof/>
                    <w:webHidden/>
                  </w:rPr>
                  <w:fldChar w:fldCharType="separate"/>
                </w:r>
                <w:r w:rsidR="006469FA">
                  <w:rPr>
                    <w:noProof/>
                    <w:webHidden/>
                  </w:rPr>
                  <w:t>2</w:t>
                </w:r>
                <w:r w:rsidR="006469FA">
                  <w:rPr>
                    <w:noProof/>
                    <w:webHidden/>
                  </w:rPr>
                  <w:fldChar w:fldCharType="end"/>
                </w:r>
              </w:hyperlink>
            </w:p>
            <w:p w14:paraId="130A122B" w14:textId="14DCBFAC" w:rsidR="006469FA" w:rsidRDefault="006469FA">
              <w:pPr>
                <w:pStyle w:val="TOC2"/>
                <w:tabs>
                  <w:tab w:val="right" w:leader="dot" w:pos="9350"/>
                </w:tabs>
                <w:rPr>
                  <w:rFonts w:eastAsiaTheme="minorEastAsia"/>
                  <w:noProof/>
                  <w:kern w:val="2"/>
                  <w:sz w:val="24"/>
                  <w:szCs w:val="24"/>
                  <w:lang w:eastAsia="en-GB"/>
                  <w14:ligatures w14:val="standardContextual"/>
                </w:rPr>
              </w:pPr>
              <w:hyperlink w:anchor="_Toc239630386" w:history="1">
                <w:r w:rsidRPr="00E45596">
                  <w:rPr>
                    <w:rStyle w:val="Hyperlink"/>
                    <w:noProof/>
                  </w:rPr>
                  <w:t>2.0 Question 1: Innovation models and organisational capacity</w:t>
                </w:r>
                <w:r>
                  <w:rPr>
                    <w:noProof/>
                    <w:webHidden/>
                  </w:rPr>
                  <w:tab/>
                </w:r>
                <w:r>
                  <w:rPr>
                    <w:noProof/>
                    <w:webHidden/>
                  </w:rPr>
                  <w:fldChar w:fldCharType="begin"/>
                </w:r>
                <w:r>
                  <w:rPr>
                    <w:noProof/>
                    <w:webHidden/>
                  </w:rPr>
                  <w:instrText xml:space="preserve"> PAGEREF _Toc239630386 \h </w:instrText>
                </w:r>
                <w:r>
                  <w:rPr>
                    <w:noProof/>
                    <w:webHidden/>
                  </w:rPr>
                </w:r>
                <w:r>
                  <w:rPr>
                    <w:noProof/>
                    <w:webHidden/>
                  </w:rPr>
                  <w:fldChar w:fldCharType="separate"/>
                </w:r>
                <w:r>
                  <w:rPr>
                    <w:noProof/>
                    <w:webHidden/>
                  </w:rPr>
                  <w:t>2</w:t>
                </w:r>
                <w:r>
                  <w:rPr>
                    <w:noProof/>
                    <w:webHidden/>
                  </w:rPr>
                  <w:fldChar w:fldCharType="end"/>
                </w:r>
              </w:hyperlink>
            </w:p>
            <w:p w14:paraId="0467C02F" w14:textId="0DA3EAEF" w:rsidR="006469FA" w:rsidRDefault="006469FA">
              <w:pPr>
                <w:pStyle w:val="TOC3"/>
                <w:tabs>
                  <w:tab w:val="right" w:leader="dot" w:pos="9350"/>
                </w:tabs>
                <w:rPr>
                  <w:noProof/>
                </w:rPr>
              </w:pPr>
              <w:hyperlink w:anchor="_Toc239630387" w:history="1">
                <w:r w:rsidRPr="00E45596">
                  <w:rPr>
                    <w:rStyle w:val="Hyperlink"/>
                    <w:noProof/>
                  </w:rPr>
                  <w:t>2.1 The innovation model of theoretical analysis</w:t>
                </w:r>
                <w:r>
                  <w:rPr>
                    <w:noProof/>
                    <w:webHidden/>
                  </w:rPr>
                  <w:tab/>
                </w:r>
                <w:r>
                  <w:rPr>
                    <w:noProof/>
                    <w:webHidden/>
                  </w:rPr>
                  <w:fldChar w:fldCharType="begin"/>
                </w:r>
                <w:r>
                  <w:rPr>
                    <w:noProof/>
                    <w:webHidden/>
                  </w:rPr>
                  <w:instrText xml:space="preserve"> PAGEREF _Toc239630387 \h </w:instrText>
                </w:r>
                <w:r>
                  <w:rPr>
                    <w:noProof/>
                    <w:webHidden/>
                  </w:rPr>
                </w:r>
                <w:r>
                  <w:rPr>
                    <w:noProof/>
                    <w:webHidden/>
                  </w:rPr>
                  <w:fldChar w:fldCharType="separate"/>
                </w:r>
                <w:r>
                  <w:rPr>
                    <w:noProof/>
                    <w:webHidden/>
                  </w:rPr>
                  <w:t>2</w:t>
                </w:r>
                <w:r>
                  <w:rPr>
                    <w:noProof/>
                    <w:webHidden/>
                  </w:rPr>
                  <w:fldChar w:fldCharType="end"/>
                </w:r>
              </w:hyperlink>
            </w:p>
            <w:p w14:paraId="1B448645" w14:textId="7EED47D5" w:rsidR="006469FA" w:rsidRDefault="006469FA">
              <w:pPr>
                <w:pStyle w:val="TOC3"/>
                <w:tabs>
                  <w:tab w:val="right" w:leader="dot" w:pos="9350"/>
                </w:tabs>
                <w:rPr>
                  <w:noProof/>
                </w:rPr>
              </w:pPr>
              <w:hyperlink w:anchor="_Toc239630388" w:history="1">
                <w:r w:rsidRPr="00E45596">
                  <w:rPr>
                    <w:rStyle w:val="Hyperlink"/>
                    <w:noProof/>
                  </w:rPr>
                  <w:t>2.2 Diagnostic Audit of Trivallis's Capacity to Innovate</w:t>
                </w:r>
                <w:r>
                  <w:rPr>
                    <w:noProof/>
                    <w:webHidden/>
                  </w:rPr>
                  <w:tab/>
                </w:r>
                <w:r>
                  <w:rPr>
                    <w:noProof/>
                    <w:webHidden/>
                  </w:rPr>
                  <w:fldChar w:fldCharType="begin"/>
                </w:r>
                <w:r>
                  <w:rPr>
                    <w:noProof/>
                    <w:webHidden/>
                  </w:rPr>
                  <w:instrText xml:space="preserve"> PAGEREF _Toc239630388 \h </w:instrText>
                </w:r>
                <w:r>
                  <w:rPr>
                    <w:noProof/>
                    <w:webHidden/>
                  </w:rPr>
                </w:r>
                <w:r>
                  <w:rPr>
                    <w:noProof/>
                    <w:webHidden/>
                  </w:rPr>
                  <w:fldChar w:fldCharType="separate"/>
                </w:r>
                <w:r>
                  <w:rPr>
                    <w:noProof/>
                    <w:webHidden/>
                  </w:rPr>
                  <w:t>5</w:t>
                </w:r>
                <w:r>
                  <w:rPr>
                    <w:noProof/>
                    <w:webHidden/>
                  </w:rPr>
                  <w:fldChar w:fldCharType="end"/>
                </w:r>
              </w:hyperlink>
            </w:p>
            <w:p w14:paraId="2EDFCB93" w14:textId="71176604" w:rsidR="006469FA" w:rsidRDefault="006469FA">
              <w:pPr>
                <w:pStyle w:val="TOC2"/>
                <w:tabs>
                  <w:tab w:val="right" w:leader="dot" w:pos="9350"/>
                </w:tabs>
                <w:rPr>
                  <w:rFonts w:eastAsiaTheme="minorEastAsia"/>
                  <w:noProof/>
                  <w:kern w:val="2"/>
                  <w:sz w:val="24"/>
                  <w:szCs w:val="24"/>
                  <w:lang w:eastAsia="en-GB"/>
                  <w14:ligatures w14:val="standardContextual"/>
                </w:rPr>
              </w:pPr>
              <w:hyperlink w:anchor="_Toc239630389" w:history="1">
                <w:r w:rsidRPr="00E45596">
                  <w:rPr>
                    <w:rStyle w:val="Hyperlink"/>
                    <w:noProof/>
                  </w:rPr>
                  <w:t>3.0 Question 2: Harnessing Creativity and Fostering a Creative Culture</w:t>
                </w:r>
                <w:r>
                  <w:rPr>
                    <w:noProof/>
                    <w:webHidden/>
                  </w:rPr>
                  <w:tab/>
                </w:r>
                <w:r>
                  <w:rPr>
                    <w:noProof/>
                    <w:webHidden/>
                  </w:rPr>
                  <w:fldChar w:fldCharType="begin"/>
                </w:r>
                <w:r>
                  <w:rPr>
                    <w:noProof/>
                    <w:webHidden/>
                  </w:rPr>
                  <w:instrText xml:space="preserve"> PAGEREF _Toc239630389 \h </w:instrText>
                </w:r>
                <w:r>
                  <w:rPr>
                    <w:noProof/>
                    <w:webHidden/>
                  </w:rPr>
                </w:r>
                <w:r>
                  <w:rPr>
                    <w:noProof/>
                    <w:webHidden/>
                  </w:rPr>
                  <w:fldChar w:fldCharType="separate"/>
                </w:r>
                <w:r>
                  <w:rPr>
                    <w:noProof/>
                    <w:webHidden/>
                  </w:rPr>
                  <w:t>6</w:t>
                </w:r>
                <w:r>
                  <w:rPr>
                    <w:noProof/>
                    <w:webHidden/>
                  </w:rPr>
                  <w:fldChar w:fldCharType="end"/>
                </w:r>
              </w:hyperlink>
            </w:p>
            <w:p w14:paraId="5A919D51" w14:textId="1CC7C8D2" w:rsidR="006469FA" w:rsidRDefault="006469FA">
              <w:pPr>
                <w:pStyle w:val="TOC3"/>
                <w:tabs>
                  <w:tab w:val="right" w:leader="dot" w:pos="9350"/>
                </w:tabs>
                <w:rPr>
                  <w:noProof/>
                </w:rPr>
              </w:pPr>
              <w:hyperlink w:anchor="_Toc239630390" w:history="1">
                <w:r w:rsidRPr="00E45596">
                  <w:rPr>
                    <w:rStyle w:val="Hyperlink"/>
                    <w:noProof/>
                  </w:rPr>
                  <w:t>3.1 Harnessing Individual and Team Creativity</w:t>
                </w:r>
                <w:r>
                  <w:rPr>
                    <w:noProof/>
                    <w:webHidden/>
                  </w:rPr>
                  <w:tab/>
                </w:r>
                <w:r>
                  <w:rPr>
                    <w:noProof/>
                    <w:webHidden/>
                  </w:rPr>
                  <w:fldChar w:fldCharType="begin"/>
                </w:r>
                <w:r>
                  <w:rPr>
                    <w:noProof/>
                    <w:webHidden/>
                  </w:rPr>
                  <w:instrText xml:space="preserve"> PAGEREF _Toc239630390 \h </w:instrText>
                </w:r>
                <w:r>
                  <w:rPr>
                    <w:noProof/>
                    <w:webHidden/>
                  </w:rPr>
                </w:r>
                <w:r>
                  <w:rPr>
                    <w:noProof/>
                    <w:webHidden/>
                  </w:rPr>
                  <w:fldChar w:fldCharType="separate"/>
                </w:r>
                <w:r>
                  <w:rPr>
                    <w:noProof/>
                    <w:webHidden/>
                  </w:rPr>
                  <w:t>6</w:t>
                </w:r>
                <w:r>
                  <w:rPr>
                    <w:noProof/>
                    <w:webHidden/>
                  </w:rPr>
                  <w:fldChar w:fldCharType="end"/>
                </w:r>
              </w:hyperlink>
            </w:p>
            <w:p w14:paraId="1F4D213E" w14:textId="57D3FB1B" w:rsidR="006469FA" w:rsidRDefault="006469FA">
              <w:pPr>
                <w:pStyle w:val="TOC3"/>
                <w:tabs>
                  <w:tab w:val="right" w:leader="dot" w:pos="9350"/>
                </w:tabs>
                <w:rPr>
                  <w:noProof/>
                </w:rPr>
              </w:pPr>
              <w:hyperlink w:anchor="_Toc239630391" w:history="1">
                <w:r w:rsidRPr="00E45596">
                  <w:rPr>
                    <w:rStyle w:val="Hyperlink"/>
                    <w:noProof/>
                  </w:rPr>
                  <w:t>3.2 Fostering a Creative Culture in the Workplace</w:t>
                </w:r>
                <w:r>
                  <w:rPr>
                    <w:noProof/>
                    <w:webHidden/>
                  </w:rPr>
                  <w:tab/>
                </w:r>
                <w:r>
                  <w:rPr>
                    <w:noProof/>
                    <w:webHidden/>
                  </w:rPr>
                  <w:fldChar w:fldCharType="begin"/>
                </w:r>
                <w:r>
                  <w:rPr>
                    <w:noProof/>
                    <w:webHidden/>
                  </w:rPr>
                  <w:instrText xml:space="preserve"> PAGEREF _Toc239630391 \h </w:instrText>
                </w:r>
                <w:r>
                  <w:rPr>
                    <w:noProof/>
                    <w:webHidden/>
                  </w:rPr>
                </w:r>
                <w:r>
                  <w:rPr>
                    <w:noProof/>
                    <w:webHidden/>
                  </w:rPr>
                  <w:fldChar w:fldCharType="separate"/>
                </w:r>
                <w:r>
                  <w:rPr>
                    <w:noProof/>
                    <w:webHidden/>
                  </w:rPr>
                  <w:t>8</w:t>
                </w:r>
                <w:r>
                  <w:rPr>
                    <w:noProof/>
                    <w:webHidden/>
                  </w:rPr>
                  <w:fldChar w:fldCharType="end"/>
                </w:r>
              </w:hyperlink>
            </w:p>
            <w:p w14:paraId="6D0101D1" w14:textId="30E5A95C" w:rsidR="006469FA" w:rsidRDefault="006469FA">
              <w:pPr>
                <w:pStyle w:val="TOC2"/>
                <w:tabs>
                  <w:tab w:val="right" w:leader="dot" w:pos="9350"/>
                </w:tabs>
                <w:rPr>
                  <w:rFonts w:eastAsiaTheme="minorEastAsia"/>
                  <w:noProof/>
                  <w:kern w:val="2"/>
                  <w:sz w:val="24"/>
                  <w:szCs w:val="24"/>
                  <w:lang w:eastAsia="en-GB"/>
                  <w14:ligatures w14:val="standardContextual"/>
                </w:rPr>
              </w:pPr>
              <w:hyperlink w:anchor="_Toc239630392" w:history="1">
                <w:r w:rsidRPr="00E45596">
                  <w:rPr>
                    <w:rStyle w:val="Hyperlink"/>
                    <w:noProof/>
                  </w:rPr>
                  <w:t>4.0 Recommendations</w:t>
                </w:r>
                <w:r>
                  <w:rPr>
                    <w:noProof/>
                    <w:webHidden/>
                  </w:rPr>
                  <w:tab/>
                </w:r>
                <w:r>
                  <w:rPr>
                    <w:noProof/>
                    <w:webHidden/>
                  </w:rPr>
                  <w:fldChar w:fldCharType="begin"/>
                </w:r>
                <w:r>
                  <w:rPr>
                    <w:noProof/>
                    <w:webHidden/>
                  </w:rPr>
                  <w:instrText xml:space="preserve"> PAGEREF _Toc239630392 \h </w:instrText>
                </w:r>
                <w:r>
                  <w:rPr>
                    <w:noProof/>
                    <w:webHidden/>
                  </w:rPr>
                </w:r>
                <w:r>
                  <w:rPr>
                    <w:noProof/>
                    <w:webHidden/>
                  </w:rPr>
                  <w:fldChar w:fldCharType="separate"/>
                </w:r>
                <w:r>
                  <w:rPr>
                    <w:noProof/>
                    <w:webHidden/>
                  </w:rPr>
                  <w:t>10</w:t>
                </w:r>
                <w:r>
                  <w:rPr>
                    <w:noProof/>
                    <w:webHidden/>
                  </w:rPr>
                  <w:fldChar w:fldCharType="end"/>
                </w:r>
              </w:hyperlink>
            </w:p>
            <w:p w14:paraId="5AAF94E7" w14:textId="70A548AA" w:rsidR="006469FA" w:rsidRDefault="006469FA">
              <w:pPr>
                <w:pStyle w:val="TOC2"/>
                <w:tabs>
                  <w:tab w:val="right" w:leader="dot" w:pos="9350"/>
                </w:tabs>
                <w:rPr>
                  <w:rFonts w:eastAsiaTheme="minorEastAsia"/>
                  <w:noProof/>
                  <w:kern w:val="2"/>
                  <w:sz w:val="24"/>
                  <w:szCs w:val="24"/>
                  <w:lang w:eastAsia="en-GB"/>
                  <w14:ligatures w14:val="standardContextual"/>
                </w:rPr>
              </w:pPr>
              <w:hyperlink w:anchor="_Toc239630393" w:history="1">
                <w:r w:rsidRPr="00E45596">
                  <w:rPr>
                    <w:rStyle w:val="Hyperlink"/>
                    <w:noProof/>
                  </w:rPr>
                  <w:t>5.0 Conclusion</w:t>
                </w:r>
                <w:r>
                  <w:rPr>
                    <w:noProof/>
                    <w:webHidden/>
                  </w:rPr>
                  <w:tab/>
                </w:r>
                <w:r>
                  <w:rPr>
                    <w:noProof/>
                    <w:webHidden/>
                  </w:rPr>
                  <w:fldChar w:fldCharType="begin"/>
                </w:r>
                <w:r>
                  <w:rPr>
                    <w:noProof/>
                    <w:webHidden/>
                  </w:rPr>
                  <w:instrText xml:space="preserve"> PAGEREF _Toc239630393 \h </w:instrText>
                </w:r>
                <w:r>
                  <w:rPr>
                    <w:noProof/>
                    <w:webHidden/>
                  </w:rPr>
                </w:r>
                <w:r>
                  <w:rPr>
                    <w:noProof/>
                    <w:webHidden/>
                  </w:rPr>
                  <w:fldChar w:fldCharType="separate"/>
                </w:r>
                <w:r>
                  <w:rPr>
                    <w:noProof/>
                    <w:webHidden/>
                  </w:rPr>
                  <w:t>11</w:t>
                </w:r>
                <w:r>
                  <w:rPr>
                    <w:noProof/>
                    <w:webHidden/>
                  </w:rPr>
                  <w:fldChar w:fldCharType="end"/>
                </w:r>
              </w:hyperlink>
            </w:p>
            <w:p w14:paraId="1CF04400" w14:textId="5D3A75AF" w:rsidR="006469FA" w:rsidRDefault="006469FA">
              <w:pPr>
                <w:pStyle w:val="TOC2"/>
                <w:tabs>
                  <w:tab w:val="right" w:leader="dot" w:pos="9350"/>
                </w:tabs>
                <w:rPr>
                  <w:rFonts w:eastAsiaTheme="minorEastAsia"/>
                  <w:noProof/>
                  <w:kern w:val="2"/>
                  <w:sz w:val="24"/>
                  <w:szCs w:val="24"/>
                  <w:lang w:eastAsia="en-GB"/>
                  <w14:ligatures w14:val="standardContextual"/>
                </w:rPr>
              </w:pPr>
              <w:hyperlink w:anchor="_Toc239630394" w:history="1">
                <w:r w:rsidRPr="00E45596">
                  <w:rPr>
                    <w:rStyle w:val="Hyperlink"/>
                    <w:noProof/>
                  </w:rPr>
                  <w:t>6.0 References</w:t>
                </w:r>
                <w:r>
                  <w:rPr>
                    <w:noProof/>
                    <w:webHidden/>
                  </w:rPr>
                  <w:tab/>
                </w:r>
                <w:r>
                  <w:rPr>
                    <w:noProof/>
                    <w:webHidden/>
                  </w:rPr>
                  <w:fldChar w:fldCharType="begin"/>
                </w:r>
                <w:r>
                  <w:rPr>
                    <w:noProof/>
                    <w:webHidden/>
                  </w:rPr>
                  <w:instrText xml:space="preserve"> PAGEREF _Toc239630394 \h </w:instrText>
                </w:r>
                <w:r>
                  <w:rPr>
                    <w:noProof/>
                    <w:webHidden/>
                  </w:rPr>
                </w:r>
                <w:r>
                  <w:rPr>
                    <w:noProof/>
                    <w:webHidden/>
                  </w:rPr>
                  <w:fldChar w:fldCharType="separate"/>
                </w:r>
                <w:r>
                  <w:rPr>
                    <w:noProof/>
                    <w:webHidden/>
                  </w:rPr>
                  <w:t>12</w:t>
                </w:r>
                <w:r>
                  <w:rPr>
                    <w:noProof/>
                    <w:webHidden/>
                  </w:rPr>
                  <w:fldChar w:fldCharType="end"/>
                </w:r>
              </w:hyperlink>
            </w:p>
            <w:p w14:paraId="42394321" w14:textId="486D84EC" w:rsidR="00885114" w:rsidRPr="00E0498E" w:rsidRDefault="00885114">
              <w:pPr>
                <w:rPr>
                  <w:rFonts w:ascii="Arial" w:hAnsi="Arial" w:cs="Arial"/>
                </w:rPr>
              </w:pPr>
              <w:r w:rsidRPr="00E0498E">
                <w:rPr>
                  <w:rFonts w:ascii="Arial" w:hAnsi="Arial" w:cs="Arial"/>
                  <w:b/>
                  <w:bCs/>
                  <w:noProof/>
                </w:rPr>
                <w:fldChar w:fldCharType="end"/>
              </w:r>
            </w:p>
          </w:sdtContent>
        </w:sdt>
        <w:p w14:paraId="79077526" w14:textId="08A434DE" w:rsidR="00885114" w:rsidRPr="00E0498E" w:rsidRDefault="00885114" w:rsidP="00885114">
          <w:pPr>
            <w:pStyle w:val="TOCHeading"/>
            <w:rPr>
              <w:rFonts w:cs="Arial"/>
            </w:rPr>
          </w:pPr>
        </w:p>
        <w:p w14:paraId="68FE57E8" w14:textId="78CB06D9" w:rsidR="00715A8B" w:rsidRPr="00E0498E" w:rsidRDefault="00000000" w:rsidP="00885114">
          <w:pPr>
            <w:spacing w:before="120" w:after="120" w:line="360" w:lineRule="auto"/>
            <w:rPr>
              <w:rFonts w:ascii="Arial" w:hAnsi="Arial" w:cs="Arial"/>
              <w:color w:val="000000"/>
              <w:sz w:val="24"/>
              <w:szCs w:val="24"/>
            </w:rPr>
          </w:pPr>
        </w:p>
      </w:sdtContent>
    </w:sdt>
    <w:p w14:paraId="1A7CBFC3" w14:textId="18394979" w:rsidR="00F53EF8" w:rsidRPr="00E0498E" w:rsidRDefault="007A0F0B" w:rsidP="00885114">
      <w:pPr>
        <w:rPr>
          <w:rFonts w:ascii="Arial" w:hAnsi="Arial" w:cs="Arial"/>
        </w:rPr>
      </w:pPr>
      <w:r w:rsidRPr="00E0498E">
        <w:rPr>
          <w:rFonts w:ascii="Arial" w:hAnsi="Arial" w:cs="Arial"/>
        </w:rPr>
        <w:br w:type="page"/>
      </w:r>
    </w:p>
    <w:p w14:paraId="05F2824D" w14:textId="03B28DB6" w:rsidR="001E6A6C" w:rsidRPr="003F0114" w:rsidRDefault="001E6A6C" w:rsidP="001E6A6C">
      <w:pPr>
        <w:pStyle w:val="Heading2"/>
        <w:rPr>
          <w:rFonts w:cs="Arial"/>
        </w:rPr>
      </w:pPr>
      <w:bookmarkStart w:id="0" w:name="_Toc239630385"/>
      <w:r w:rsidRPr="003F0114">
        <w:rPr>
          <w:rFonts w:cs="Arial"/>
        </w:rPr>
        <w:lastRenderedPageBreak/>
        <w:t>1.0 I</w:t>
      </w:r>
      <w:r w:rsidRPr="003F0114">
        <w:rPr>
          <w:rFonts w:cs="Arial"/>
        </w:rPr>
        <w:t>ntroduction</w:t>
      </w:r>
      <w:bookmarkEnd w:id="0"/>
    </w:p>
    <w:p w14:paraId="2E93AF06" w14:textId="77777777" w:rsidR="001E6A6C" w:rsidRPr="003F0114" w:rsidRDefault="001E6A6C" w:rsidP="001E6A6C">
      <w:pPr>
        <w:rPr>
          <w:rFonts w:ascii="Arial" w:hAnsi="Arial" w:cs="Arial"/>
        </w:rPr>
      </w:pPr>
    </w:p>
    <w:p w14:paraId="075E2A35" w14:textId="72AE4BE6" w:rsidR="001E6A6C" w:rsidRPr="003F0114" w:rsidRDefault="001E6A6C" w:rsidP="001E6A6C">
      <w:pPr>
        <w:rPr>
          <w:rFonts w:ascii="Arial" w:hAnsi="Arial" w:cs="Arial"/>
          <w:sz w:val="24"/>
          <w:szCs w:val="24"/>
        </w:rPr>
      </w:pPr>
      <w:proofErr w:type="spellStart"/>
      <w:r w:rsidRPr="003F0114">
        <w:rPr>
          <w:rFonts w:ascii="Arial" w:hAnsi="Arial" w:cs="Arial"/>
          <w:sz w:val="24"/>
          <w:szCs w:val="24"/>
        </w:rPr>
        <w:t>Trivallis</w:t>
      </w:r>
      <w:proofErr w:type="spellEnd"/>
      <w:r w:rsidRPr="003F0114">
        <w:rPr>
          <w:rFonts w:ascii="Arial" w:hAnsi="Arial" w:cs="Arial"/>
          <w:sz w:val="24"/>
          <w:szCs w:val="24"/>
        </w:rPr>
        <w:t xml:space="preserve"> is a Welsh housing association. It has approximately 500 staff and provides accommodation for some 25,000 residents in Rhondda Cynon Taff and Cardiff Bay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n.d.). The organization is subject to tight regulatory oversight in relation to its governance (Welsh Housing Quarterly, n.d.). </w:t>
      </w:r>
      <w:proofErr w:type="gramStart"/>
      <w:r w:rsidRPr="003F0114">
        <w:rPr>
          <w:rFonts w:ascii="Arial" w:hAnsi="Arial" w:cs="Arial"/>
          <w:sz w:val="24"/>
          <w:szCs w:val="24"/>
        </w:rPr>
        <w:t>So</w:t>
      </w:r>
      <w:proofErr w:type="gramEnd"/>
      <w:r w:rsidRPr="003F0114">
        <w:rPr>
          <w:rFonts w:ascii="Arial" w:hAnsi="Arial" w:cs="Arial"/>
          <w:sz w:val="24"/>
          <w:szCs w:val="24"/>
        </w:rPr>
        <w:t xml:space="preserve"> it relies heavily on strict compliance protocols to provide protection. However, it is a strategic weakness to focus only on statutory rules and risk avoidance. To survive changing external demands and to resolve complex community problems,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needs to develop its ability to innovate safely within these strict boundaries (Drucker, 1994).</w:t>
      </w:r>
      <w:r w:rsidRPr="003F0114">
        <w:rPr>
          <w:rFonts w:ascii="Arial" w:hAnsi="Arial" w:cs="Arial"/>
          <w:sz w:val="24"/>
          <w:szCs w:val="24"/>
        </w:rPr>
        <w:tab/>
      </w:r>
    </w:p>
    <w:p w14:paraId="4285F292" w14:textId="77777777" w:rsidR="001E6A6C" w:rsidRPr="003F0114" w:rsidRDefault="001E6A6C" w:rsidP="001E6A6C">
      <w:pPr>
        <w:rPr>
          <w:rFonts w:ascii="Arial" w:hAnsi="Arial" w:cs="Arial"/>
          <w:sz w:val="24"/>
          <w:szCs w:val="24"/>
        </w:rPr>
      </w:pPr>
      <w:r w:rsidRPr="003F0114">
        <w:rPr>
          <w:rFonts w:ascii="Arial" w:hAnsi="Arial" w:cs="Arial"/>
          <w:sz w:val="24"/>
          <w:szCs w:val="24"/>
        </w:rPr>
        <w:t xml:space="preserve">To deal with this change,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needs to clearly separate idea generation from execution. Creativity is just the cognitive process of generating ideas that are new and useful (Runco &amp; Jaeger, 2012). Innovation is the successful implementation of those creative ideas in the workplace (Amabile, 1988). Many people confuse these two ideas. This hides where the actual operational bottlenecks are. The report will first examine the formal innovation models and </w:t>
      </w:r>
      <w:proofErr w:type="spellStart"/>
      <w:r w:rsidRPr="003F0114">
        <w:rPr>
          <w:rFonts w:ascii="Arial" w:hAnsi="Arial" w:cs="Arial"/>
          <w:sz w:val="24"/>
          <w:szCs w:val="24"/>
        </w:rPr>
        <w:t>Trivallis’s</w:t>
      </w:r>
      <w:proofErr w:type="spellEnd"/>
      <w:r w:rsidRPr="003F0114">
        <w:rPr>
          <w:rFonts w:ascii="Arial" w:hAnsi="Arial" w:cs="Arial"/>
          <w:sz w:val="24"/>
          <w:szCs w:val="24"/>
        </w:rPr>
        <w:t xml:space="preserve"> capacity to innovate (Question 1). It will then evaluate how the organisation harnesses creativity and fosters a creative culture (Question 2).</w:t>
      </w:r>
    </w:p>
    <w:p w14:paraId="0FDFF066" w14:textId="77777777" w:rsidR="001E6A6C" w:rsidRPr="003F0114" w:rsidRDefault="001E6A6C" w:rsidP="001E6A6C">
      <w:pPr>
        <w:rPr>
          <w:rFonts w:ascii="Arial" w:hAnsi="Arial" w:cs="Arial"/>
        </w:rPr>
      </w:pPr>
    </w:p>
    <w:p w14:paraId="3627B0B3" w14:textId="1D163B85" w:rsidR="009A01DB" w:rsidRPr="003F0114" w:rsidRDefault="009A01DB" w:rsidP="001E6A6C">
      <w:pPr>
        <w:rPr>
          <w:rFonts w:ascii="Arial" w:eastAsiaTheme="majorEastAsia" w:hAnsi="Arial" w:cs="Arial"/>
          <w:sz w:val="26"/>
          <w:szCs w:val="26"/>
        </w:rPr>
      </w:pPr>
    </w:p>
    <w:p w14:paraId="6B05C742" w14:textId="77777777" w:rsidR="001E6A6C" w:rsidRPr="003F0114" w:rsidRDefault="001E6A6C" w:rsidP="001E6A6C">
      <w:pPr>
        <w:pStyle w:val="Heading2"/>
        <w:rPr>
          <w:rFonts w:cs="Arial"/>
        </w:rPr>
      </w:pPr>
      <w:bookmarkStart w:id="1" w:name="_Toc239630386"/>
      <w:r w:rsidRPr="003F0114">
        <w:rPr>
          <w:rFonts w:cs="Arial"/>
        </w:rPr>
        <w:t>2.0 Question 1: Innovation models and organisational capacity</w:t>
      </w:r>
      <w:bookmarkEnd w:id="1"/>
    </w:p>
    <w:p w14:paraId="0A85040A" w14:textId="77777777" w:rsidR="001E6A6C" w:rsidRPr="003F0114" w:rsidRDefault="001E6A6C" w:rsidP="001E6A6C">
      <w:pPr>
        <w:rPr>
          <w:rFonts w:ascii="Arial" w:eastAsiaTheme="majorEastAsia" w:hAnsi="Arial" w:cs="Arial"/>
          <w:sz w:val="26"/>
          <w:szCs w:val="26"/>
        </w:rPr>
      </w:pPr>
    </w:p>
    <w:p w14:paraId="57BA1FE4" w14:textId="77777777" w:rsidR="001E6A6C" w:rsidRPr="003F0114" w:rsidRDefault="001E6A6C" w:rsidP="001E6A6C">
      <w:pPr>
        <w:pStyle w:val="Heading3"/>
        <w:rPr>
          <w:rFonts w:cs="Arial"/>
        </w:rPr>
      </w:pPr>
      <w:bookmarkStart w:id="2" w:name="_Toc239630387"/>
      <w:r w:rsidRPr="003F0114">
        <w:rPr>
          <w:rFonts w:cs="Arial"/>
        </w:rPr>
        <w:t>2.1 The innovation model of theoretical analysis</w:t>
      </w:r>
      <w:bookmarkEnd w:id="2"/>
    </w:p>
    <w:p w14:paraId="21226585" w14:textId="77777777" w:rsidR="001E6A6C" w:rsidRPr="003F0114" w:rsidRDefault="001E6A6C" w:rsidP="001E6A6C">
      <w:pPr>
        <w:rPr>
          <w:rFonts w:ascii="Arial" w:hAnsi="Arial" w:cs="Arial"/>
        </w:rPr>
      </w:pPr>
    </w:p>
    <w:p w14:paraId="1A6663D8" w14:textId="77777777" w:rsidR="001E6A6C" w:rsidRPr="003F0114" w:rsidRDefault="001E6A6C" w:rsidP="001E6A6C">
      <w:pPr>
        <w:rPr>
          <w:rFonts w:ascii="Arial" w:eastAsiaTheme="majorEastAsia" w:hAnsi="Arial" w:cs="Arial"/>
          <w:sz w:val="24"/>
          <w:szCs w:val="24"/>
        </w:rPr>
      </w:pPr>
      <w:r w:rsidRPr="003F0114">
        <w:rPr>
          <w:rFonts w:ascii="Arial" w:eastAsiaTheme="majorEastAsia" w:hAnsi="Arial" w:cs="Arial"/>
          <w:sz w:val="24"/>
          <w:szCs w:val="24"/>
        </w:rPr>
        <w:t>The innovation process is divided into separate stages by the Stage-Gate model of Cooper (1990). These typically cover initial scoping and business case development through to final testing and launch. Each phase is separated by hard decision points called “gates”. This model is often liked by highly regulated, risk averse organisations. It provides tight control on the finances and clear rules for spending. At each gate, managers review a project on three things: deliverables (the proof that the team must deliver), criteria (the strategic and financial barriers to cross), and outputs (the final decision to Go, Kill, Hold, or Recycle) (Cooper, 2011). The Stage-Gate system demands numbers that prove that there is a market for the product and that it will make money, before the next stage of funding is released. This will help mitigate huge financial risks. It also stops the business from committing to lose projects.</w:t>
      </w:r>
    </w:p>
    <w:p w14:paraId="65110C2A" w14:textId="77777777" w:rsidR="001E6A6C" w:rsidRPr="003F0114" w:rsidRDefault="001E6A6C" w:rsidP="001E6A6C">
      <w:pPr>
        <w:rPr>
          <w:rFonts w:ascii="Arial" w:eastAsiaTheme="majorEastAsia" w:hAnsi="Arial" w:cs="Arial"/>
          <w:sz w:val="24"/>
          <w:szCs w:val="24"/>
        </w:rPr>
      </w:pPr>
      <w:r w:rsidRPr="003F0114">
        <w:rPr>
          <w:rFonts w:ascii="Arial" w:eastAsiaTheme="majorEastAsia" w:hAnsi="Arial" w:cs="Arial"/>
          <w:sz w:val="24"/>
          <w:szCs w:val="24"/>
        </w:rPr>
        <w:t xml:space="preserve">But this strict gating introduces administrative bottlenecks that can slow an organization down. Tidd and Bessant (2018) question the linearity and rigidity of the model. Their biggest problem, they say, is that it needs early Return on Investment (ROI) projections and solid evidence at the early stages of an idea. The application of late-stage financial </w:t>
      </w:r>
      <w:r w:rsidRPr="003F0114">
        <w:rPr>
          <w:rFonts w:ascii="Arial" w:eastAsiaTheme="majorEastAsia" w:hAnsi="Arial" w:cs="Arial"/>
          <w:sz w:val="24"/>
          <w:szCs w:val="24"/>
        </w:rPr>
        <w:lastRenderedPageBreak/>
        <w:t>metrics to early-stage concepts often kills radical ideas before they have a chance to unfold. In bureaucratic corporate settings, employees feel the need to be certain early on and censor themselves. Frontline staff are quick to learn to throw out-of-the-box ideas away. They know it’s going to be nearly impossible to get through Gate 1. Heavy paperwork for gate deliverables also causes delays. It slows the process down too much for fast-moving crises. Cooper's framework is good for projects where you know what you're getting into, but because it doesn't like ambiguity, it usually confines an organization to making small, safe improvements.</w:t>
      </w:r>
    </w:p>
    <w:p w14:paraId="5A0C9806" w14:textId="77777777" w:rsidR="001E6A6C" w:rsidRPr="003F0114" w:rsidRDefault="001E6A6C" w:rsidP="001E6A6C">
      <w:pPr>
        <w:rPr>
          <w:rFonts w:ascii="Arial" w:eastAsiaTheme="majorEastAsia" w:hAnsi="Arial" w:cs="Arial"/>
          <w:sz w:val="24"/>
          <w:szCs w:val="24"/>
        </w:rPr>
      </w:pPr>
      <w:r w:rsidRPr="003F0114">
        <w:rPr>
          <w:rFonts w:ascii="Arial" w:eastAsiaTheme="majorEastAsia" w:hAnsi="Arial" w:cs="Arial"/>
          <w:sz w:val="24"/>
          <w:szCs w:val="24"/>
        </w:rPr>
        <w:t xml:space="preserve">Pearson’s (1990) Ends/Means Matrix provides a contingency framework, not a linear pipeline. It classifies innovation according to how definite the final objective is (the ends) and the means used to achieve it (the means). This gives you four operating quadrants. Quadrant 4 is steady-state routine operations. Both ends and means are highly certain. For example, a housing provider that uses known contractors to undertake annual checks on the boiler. Quadrant 3 (Applications Engineering) is when the ends are </w:t>
      </w:r>
      <w:proofErr w:type="gramStart"/>
      <w:r w:rsidRPr="003F0114">
        <w:rPr>
          <w:rFonts w:ascii="Arial" w:eastAsiaTheme="majorEastAsia" w:hAnsi="Arial" w:cs="Arial"/>
          <w:sz w:val="24"/>
          <w:szCs w:val="24"/>
        </w:rPr>
        <w:t>unknown</w:t>
      </w:r>
      <w:proofErr w:type="gramEnd"/>
      <w:r w:rsidRPr="003F0114">
        <w:rPr>
          <w:rFonts w:ascii="Arial" w:eastAsiaTheme="majorEastAsia" w:hAnsi="Arial" w:cs="Arial"/>
          <w:sz w:val="24"/>
          <w:szCs w:val="24"/>
        </w:rPr>
        <w:t xml:space="preserve"> but the means are known. That’s where spotting new community trends with today’s tenant software comes in. Quadrant 2 (Development Engineering): The goal is known but the method is not. This is well illustrated by the sector-wide drive to retrofit old housing to meet net-zero carbon targets, without established engineering precedents.</w:t>
      </w:r>
    </w:p>
    <w:p w14:paraId="3031062E" w14:textId="77777777" w:rsidR="001E6A6C" w:rsidRPr="003F0114" w:rsidRDefault="001E6A6C" w:rsidP="001E6A6C">
      <w:pPr>
        <w:rPr>
          <w:rFonts w:ascii="Arial" w:eastAsiaTheme="majorEastAsia" w:hAnsi="Arial" w:cs="Arial"/>
          <w:sz w:val="24"/>
          <w:szCs w:val="24"/>
        </w:rPr>
      </w:pPr>
      <w:r w:rsidRPr="003F0114">
        <w:rPr>
          <w:rFonts w:ascii="Arial" w:eastAsiaTheme="majorEastAsia" w:hAnsi="Arial" w:cs="Arial"/>
          <w:sz w:val="24"/>
          <w:szCs w:val="24"/>
        </w:rPr>
        <w:t xml:space="preserve">Quadrant 1 </w:t>
      </w:r>
      <w:proofErr w:type="gramStart"/>
      <w:r w:rsidRPr="003F0114">
        <w:rPr>
          <w:rFonts w:ascii="Arial" w:eastAsiaTheme="majorEastAsia" w:hAnsi="Arial" w:cs="Arial"/>
          <w:sz w:val="24"/>
          <w:szCs w:val="24"/>
        </w:rPr>
        <w:t>( Exploratory</w:t>
      </w:r>
      <w:proofErr w:type="gramEnd"/>
      <w:r w:rsidRPr="003F0114">
        <w:rPr>
          <w:rFonts w:ascii="Arial" w:eastAsiaTheme="majorEastAsia" w:hAnsi="Arial" w:cs="Arial"/>
          <w:sz w:val="24"/>
          <w:szCs w:val="24"/>
        </w:rPr>
        <w:t xml:space="preserve"> Research) = high-ambiguity innovation. Here the ends and means both are </w:t>
      </w:r>
      <w:proofErr w:type="gramStart"/>
      <w:r w:rsidRPr="003F0114">
        <w:rPr>
          <w:rFonts w:ascii="Arial" w:eastAsiaTheme="majorEastAsia" w:hAnsi="Arial" w:cs="Arial"/>
          <w:sz w:val="24"/>
          <w:szCs w:val="24"/>
        </w:rPr>
        <w:t>absolutely uncertain</w:t>
      </w:r>
      <w:proofErr w:type="gramEnd"/>
      <w:r w:rsidRPr="003F0114">
        <w:rPr>
          <w:rFonts w:ascii="Arial" w:eastAsiaTheme="majorEastAsia" w:hAnsi="Arial" w:cs="Arial"/>
          <w:sz w:val="24"/>
          <w:szCs w:val="24"/>
        </w:rPr>
        <w:t>. This box fits trying to solve new anti-social behaviour trends driven by unprecedented societal shifts. Quadrant 1 is very difficult to deal with for regulated organisations. It involves a relaxed, “probe-and-learn” style of management that embraces trial, error and sunk financial costs (Pearson, 1990). The main advantage of the Ends/Means Matrix is that it recognises that high-uncertainty environments need to be protected from the rigorous financial rules demanded by models such as Stage-Gate. However, a major limitation of Pearson's (1990) framework is its lack of an operational structure and corporate control. It sorts risks well and suggests the right management style but does not provide concrete budgetary release mechanisms. It’s more of a strategy guide than a practical execution tool. It does not tell managers how to take a radical project from testing to daily operations.</w:t>
      </w:r>
    </w:p>
    <w:p w14:paraId="5E86DB37" w14:textId="77777777" w:rsidR="001E6A6C" w:rsidRPr="003F0114" w:rsidRDefault="001E6A6C" w:rsidP="001E6A6C">
      <w:pPr>
        <w:rPr>
          <w:rFonts w:ascii="Arial" w:eastAsiaTheme="majorEastAsia" w:hAnsi="Arial" w:cs="Arial"/>
          <w:sz w:val="24"/>
          <w:szCs w:val="24"/>
        </w:rPr>
      </w:pPr>
      <w:r w:rsidRPr="003F0114">
        <w:rPr>
          <w:rFonts w:ascii="Arial" w:eastAsiaTheme="majorEastAsia" w:hAnsi="Arial" w:cs="Arial"/>
          <w:sz w:val="24"/>
          <w:szCs w:val="24"/>
        </w:rPr>
        <w:t xml:space="preserve">Cooper's Stage-Gate and Pearson's Ends/Means Matrix make different assumptions about uncertainty when used together. Cooper believes that uncertainty can be reduced linearly by data collection and financial forecasting. Pearson sees ambiguity as an inherent part of solving new problems, requiring flexible adaptation rather than immediate control. In practice the models complement each other. An organization needs a "both/and" approach, not just one or the other. Taking the structures of Cooper (1990) too literally, without the flexibility of later iterations (Cooper, 2011), a business may become a slow bureaucracy that rejects radical thinking. Relying only on Pearson (1990) threatens to turn the organization into an unregulated research function, unable to scale its ideas safely. Dynamic governance is effective organisational innovation. In </w:t>
      </w:r>
      <w:r w:rsidRPr="003F0114">
        <w:rPr>
          <w:rFonts w:ascii="Arial" w:eastAsiaTheme="majorEastAsia" w:hAnsi="Arial" w:cs="Arial"/>
          <w:sz w:val="24"/>
          <w:szCs w:val="24"/>
        </w:rPr>
        <w:lastRenderedPageBreak/>
        <w:t xml:space="preserve">the very ambiguous early stages of an idea, a well-structured enterprise should use Pearson’s exploratory framework to protect the idea. Then it can push those validated concepts into Cooper’s rigorous Stage-Gate pipeline for disciplined, financially controlled execution. This need to balance flexible exploration with strict operational compliance is the basis for auditing </w:t>
      </w:r>
      <w:proofErr w:type="spellStart"/>
      <w:r w:rsidRPr="003F0114">
        <w:rPr>
          <w:rFonts w:ascii="Arial" w:eastAsiaTheme="majorEastAsia" w:hAnsi="Arial" w:cs="Arial"/>
          <w:sz w:val="24"/>
          <w:szCs w:val="24"/>
        </w:rPr>
        <w:t>Trivallis’s</w:t>
      </w:r>
      <w:proofErr w:type="spellEnd"/>
      <w:r w:rsidRPr="003F0114">
        <w:rPr>
          <w:rFonts w:ascii="Arial" w:eastAsiaTheme="majorEastAsia" w:hAnsi="Arial" w:cs="Arial"/>
          <w:sz w:val="24"/>
          <w:szCs w:val="24"/>
        </w:rPr>
        <w:t xml:space="preserve"> practical capacity</w:t>
      </w:r>
      <w:r w:rsidRPr="003F0114">
        <w:rPr>
          <w:rFonts w:ascii="Arial" w:eastAsiaTheme="majorEastAsia" w:hAnsi="Arial" w:cs="Arial"/>
          <w:sz w:val="24"/>
          <w:szCs w:val="24"/>
        </w:rPr>
        <w:t>.</w:t>
      </w:r>
    </w:p>
    <w:p w14:paraId="4120E8D4" w14:textId="77777777" w:rsidR="001E6A6C" w:rsidRPr="003F0114" w:rsidRDefault="001E6A6C" w:rsidP="001E6A6C">
      <w:pPr>
        <w:rPr>
          <w:rFonts w:ascii="Arial" w:eastAsiaTheme="majorEastAsia" w:hAnsi="Arial" w:cs="Arial"/>
          <w:sz w:val="24"/>
          <w:szCs w:val="24"/>
        </w:rPr>
      </w:pPr>
    </w:p>
    <w:p w14:paraId="5640AC51" w14:textId="3178BA02" w:rsidR="001E6A6C" w:rsidRPr="003F0114" w:rsidRDefault="001E6A6C" w:rsidP="001E6A6C">
      <w:pPr>
        <w:pStyle w:val="Heading3"/>
        <w:rPr>
          <w:rFonts w:cs="Arial"/>
        </w:rPr>
      </w:pPr>
      <w:bookmarkStart w:id="3" w:name="_Toc239630388"/>
      <w:r w:rsidRPr="003F0114">
        <w:rPr>
          <w:rFonts w:cs="Arial"/>
        </w:rPr>
        <w:t xml:space="preserve">2.2 Diagnostic Audit of </w:t>
      </w:r>
      <w:proofErr w:type="spellStart"/>
      <w:r w:rsidRPr="003F0114">
        <w:rPr>
          <w:rFonts w:cs="Arial"/>
        </w:rPr>
        <w:t>Trivallis's</w:t>
      </w:r>
      <w:proofErr w:type="spellEnd"/>
      <w:r w:rsidRPr="003F0114">
        <w:rPr>
          <w:rFonts w:cs="Arial"/>
        </w:rPr>
        <w:t xml:space="preserve"> Capacity to Innovate</w:t>
      </w:r>
      <w:bookmarkEnd w:id="3"/>
    </w:p>
    <w:p w14:paraId="0A1F7D8A" w14:textId="77777777" w:rsidR="001E6A6C" w:rsidRPr="003F0114" w:rsidRDefault="001E6A6C" w:rsidP="001E6A6C">
      <w:pPr>
        <w:rPr>
          <w:rFonts w:ascii="Arial" w:hAnsi="Arial" w:cs="Arial"/>
          <w:sz w:val="24"/>
          <w:szCs w:val="24"/>
        </w:rPr>
      </w:pPr>
    </w:p>
    <w:p w14:paraId="751FD000" w14:textId="4C17B916" w:rsidR="001E6A6C" w:rsidRPr="003F0114" w:rsidRDefault="001E6A6C" w:rsidP="001E6A6C">
      <w:pPr>
        <w:rPr>
          <w:rFonts w:ascii="Arial" w:hAnsi="Arial" w:cs="Arial"/>
          <w:sz w:val="24"/>
          <w:szCs w:val="24"/>
        </w:rPr>
      </w:pPr>
      <w:proofErr w:type="spellStart"/>
      <w:r w:rsidRPr="003F0114">
        <w:rPr>
          <w:rFonts w:ascii="Arial" w:hAnsi="Arial" w:cs="Arial"/>
          <w:sz w:val="24"/>
          <w:szCs w:val="24"/>
        </w:rPr>
        <w:t>Trivallis</w:t>
      </w:r>
      <w:proofErr w:type="spellEnd"/>
      <w:r w:rsidRPr="003F0114">
        <w:rPr>
          <w:rFonts w:ascii="Arial" w:hAnsi="Arial" w:cs="Arial"/>
          <w:sz w:val="24"/>
          <w:szCs w:val="24"/>
        </w:rPr>
        <w:t xml:space="preserve"> </w:t>
      </w:r>
      <w:proofErr w:type="spellStart"/>
      <w:r w:rsidRPr="003F0114">
        <w:rPr>
          <w:rFonts w:ascii="Arial" w:hAnsi="Arial" w:cs="Arial"/>
          <w:sz w:val="24"/>
          <w:szCs w:val="24"/>
        </w:rPr>
        <w:t>ha</w:t>
      </w:r>
      <w:r w:rsidR="00102B62" w:rsidRPr="003F0114">
        <w:rPr>
          <w:rFonts w:ascii="Arial" w:hAnsi="Arial" w:cs="Arial"/>
          <w:sz w:val="24"/>
          <w:szCs w:val="24"/>
        </w:rPr>
        <w:t xml:space="preserve"> </w:t>
      </w:r>
      <w:r w:rsidRPr="003F0114">
        <w:rPr>
          <w:rFonts w:ascii="Arial" w:hAnsi="Arial" w:cs="Arial"/>
          <w:sz w:val="24"/>
          <w:szCs w:val="24"/>
        </w:rPr>
        <w:t>s</w:t>
      </w:r>
      <w:proofErr w:type="spellEnd"/>
      <w:r w:rsidRPr="003F0114">
        <w:rPr>
          <w:rFonts w:ascii="Arial" w:hAnsi="Arial" w:cs="Arial"/>
          <w:sz w:val="24"/>
          <w:szCs w:val="24"/>
        </w:rPr>
        <w:t xml:space="preserve"> tight financial gating. This creates operational bottlenecks that freeze the organisation’s capacity to realise new ideas.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a risk-averse association, relies heavily on the Stage-Gate model by Cooper (1990, 2011). The board wants to see immediate ROI projections and executive buy-in before they will try out early-stage ideas. The mismatch forces frontline officers to self-censor. The high hurdle for approval is so daunting that staff abandon unusual ideas quickly. They learn that their own professional judgement is not as good as procedure. If staff are preoccupied with administrative checklists rather than tenant distress, the organisation misses the opportunity to innovate at the point of service delivery. This can be seen in the real-world result of </w:t>
      </w:r>
      <w:proofErr w:type="spellStart"/>
      <w:r w:rsidRPr="003F0114">
        <w:rPr>
          <w:rFonts w:ascii="Arial" w:hAnsi="Arial" w:cs="Arial"/>
          <w:sz w:val="24"/>
          <w:szCs w:val="24"/>
        </w:rPr>
        <w:t>Trivallis’s</w:t>
      </w:r>
      <w:proofErr w:type="spellEnd"/>
      <w:r w:rsidRPr="003F0114">
        <w:rPr>
          <w:rFonts w:ascii="Arial" w:hAnsi="Arial" w:cs="Arial"/>
          <w:sz w:val="24"/>
          <w:szCs w:val="24"/>
        </w:rPr>
        <w:t xml:space="preserve"> inability to deal with widespread damp and mould issues. The Public Services Ombudsman for Wales found systemic failures in procedures and record-keeping. These failures put tenants at risk of serious hazards for up to seven years (Funk, 2025). The organisation should have empowered staff on the ground to trial local solutions to these complaints. Instead, rigid observance of inflexible reporting gates trapped warnings in administrative bottlenecks. The organisation cannot adapt to failures at the frontline if it rigidly and linearly enforces the rule without flexibility in the early stages.</w:t>
      </w:r>
    </w:p>
    <w:p w14:paraId="607B8B08" w14:textId="77777777" w:rsidR="001E6A6C" w:rsidRPr="003F0114" w:rsidRDefault="001E6A6C" w:rsidP="001E6A6C">
      <w:pPr>
        <w:rPr>
          <w:rFonts w:ascii="Arial" w:hAnsi="Arial" w:cs="Arial"/>
          <w:sz w:val="24"/>
          <w:szCs w:val="24"/>
        </w:rPr>
      </w:pPr>
    </w:p>
    <w:p w14:paraId="7E91957C" w14:textId="77777777" w:rsidR="001E6A6C" w:rsidRPr="003F0114" w:rsidRDefault="001E6A6C" w:rsidP="001E6A6C">
      <w:pPr>
        <w:rPr>
          <w:rFonts w:ascii="Arial" w:hAnsi="Arial" w:cs="Arial"/>
          <w:sz w:val="24"/>
          <w:szCs w:val="24"/>
        </w:rPr>
      </w:pPr>
      <w:r w:rsidRPr="003F0114">
        <w:rPr>
          <w:rFonts w:ascii="Arial" w:hAnsi="Arial" w:cs="Arial"/>
          <w:sz w:val="24"/>
          <w:szCs w:val="24"/>
        </w:rPr>
        <w:t xml:space="preserve">This capacity problem is more evident when utilising Pearson’s (1990) Ends/Means Matrix.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performs well in Quadrant 4 (steady-state innovation). It reliably does routine planned maintenance where goals and methods are well defined. But when confronted with the complex and high-ambiguity Quadrant 1 challenges, the pipeline freezes. In these situations, both the ends and means are unclear. This was revealed by the Reinforced Autoclaved Aerated Concrete (RAAC) crisis. The tenants had to be evacuated fast because of the danger that the building might </w:t>
      </w:r>
      <w:proofErr w:type="gramStart"/>
      <w:r w:rsidRPr="003F0114">
        <w:rPr>
          <w:rFonts w:ascii="Arial" w:hAnsi="Arial" w:cs="Arial"/>
          <w:sz w:val="24"/>
          <w:szCs w:val="24"/>
        </w:rPr>
        <w:t>fall down</w:t>
      </w:r>
      <w:proofErr w:type="gramEnd"/>
      <w:r w:rsidRPr="003F0114">
        <w:rPr>
          <w:rFonts w:ascii="Arial" w:hAnsi="Arial" w:cs="Arial"/>
          <w:sz w:val="24"/>
          <w:szCs w:val="24"/>
        </w:rPr>
        <w:t xml:space="preserve">, but there was no long-term solution ready (Lewis, 2024). This was a textbook Quadrant 1 emergency. The organisation didn’t know what the final structural fix was and didn’t have an established method for emergency mass rehousing at that scale. In this highly uncertain environment,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was unable to use Pearson’s (1990) "probe-and-learn" management style. Executive leadership needs predictability from Quadrant 4 with every project. This leaves the organisation without a secure financial mechanism to fund exploratory innovation. Housing officers were unable to experiment safely with interim </w:t>
      </w:r>
      <w:r w:rsidRPr="003F0114">
        <w:rPr>
          <w:rFonts w:ascii="Arial" w:hAnsi="Arial" w:cs="Arial"/>
          <w:sz w:val="24"/>
          <w:szCs w:val="24"/>
        </w:rPr>
        <w:lastRenderedPageBreak/>
        <w:t>housing solutions without an exploratory budget and a rapid-response prototyping framework. The result is uncertain challenges dealt with through frantic crisis management, not structured problem-solving.</w:t>
      </w:r>
    </w:p>
    <w:p w14:paraId="32209F3F" w14:textId="77777777" w:rsidR="001E6A6C" w:rsidRPr="003F0114" w:rsidRDefault="001E6A6C" w:rsidP="001E6A6C">
      <w:pPr>
        <w:rPr>
          <w:rFonts w:ascii="Arial" w:hAnsi="Arial" w:cs="Arial"/>
          <w:sz w:val="24"/>
          <w:szCs w:val="24"/>
        </w:rPr>
      </w:pPr>
    </w:p>
    <w:p w14:paraId="288A0EA0" w14:textId="77777777" w:rsidR="001E6A6C" w:rsidRPr="003F0114" w:rsidRDefault="001E6A6C" w:rsidP="001E6A6C">
      <w:pPr>
        <w:rPr>
          <w:rFonts w:ascii="Arial" w:hAnsi="Arial" w:cs="Arial"/>
          <w:sz w:val="24"/>
          <w:szCs w:val="24"/>
        </w:rPr>
      </w:pPr>
      <w:r w:rsidRPr="003F0114">
        <w:rPr>
          <w:rFonts w:ascii="Arial" w:hAnsi="Arial" w:cs="Arial"/>
          <w:sz w:val="24"/>
          <w:szCs w:val="24"/>
        </w:rPr>
        <w:t xml:space="preserve">These bottlenecks are compounded by </w:t>
      </w:r>
      <w:proofErr w:type="spellStart"/>
      <w:r w:rsidRPr="003F0114">
        <w:rPr>
          <w:rFonts w:ascii="Arial" w:hAnsi="Arial" w:cs="Arial"/>
          <w:sz w:val="24"/>
          <w:szCs w:val="24"/>
        </w:rPr>
        <w:t>Trivallis’s</w:t>
      </w:r>
      <w:proofErr w:type="spellEnd"/>
      <w:r w:rsidRPr="003F0114">
        <w:rPr>
          <w:rFonts w:ascii="Arial" w:hAnsi="Arial" w:cs="Arial"/>
          <w:sz w:val="24"/>
          <w:szCs w:val="24"/>
        </w:rPr>
        <w:t xml:space="preserve"> inability to capture tacit knowledge of the front line. The SECI model asserts that successful innovation is the process of transforming internalised, tacit, experiential knowledge into formalised, explicit knowledge for use by the entire organisation (Nonaka &amp; Takeuchi, 1995).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has experienced officers with a deep intuitive knowledge of complex tenant behaviours. But this information is always being lost due to chaotic internal training and very high turnover in staff. For example, new staff did not understand the complex internal database system, which was like a bureaucratic maze. Rather than using tacit knowledge to train new recruits, designated mentors often left trainees to their own devices to deal with their workloads. Sometimes they literally ran home early to get away from the operational pressure.</w:t>
      </w:r>
    </w:p>
    <w:p w14:paraId="535FE8B0" w14:textId="77777777" w:rsidR="001E6A6C" w:rsidRPr="003F0114" w:rsidRDefault="001E6A6C" w:rsidP="001E6A6C">
      <w:pPr>
        <w:rPr>
          <w:rFonts w:ascii="Arial" w:hAnsi="Arial" w:cs="Arial"/>
          <w:sz w:val="24"/>
          <w:szCs w:val="24"/>
        </w:rPr>
      </w:pPr>
    </w:p>
    <w:p w14:paraId="2A949FC8" w14:textId="216E9C9A" w:rsidR="00FA5D69" w:rsidRPr="003F0114" w:rsidRDefault="001E6A6C" w:rsidP="001E6A6C">
      <w:pPr>
        <w:rPr>
          <w:rFonts w:ascii="Arial" w:hAnsi="Arial" w:cs="Arial"/>
          <w:sz w:val="24"/>
          <w:szCs w:val="24"/>
        </w:rPr>
      </w:pPr>
      <w:r w:rsidRPr="003F0114">
        <w:rPr>
          <w:rFonts w:ascii="Arial" w:hAnsi="Arial" w:cs="Arial"/>
          <w:sz w:val="24"/>
          <w:szCs w:val="24"/>
        </w:rPr>
        <w:t xml:space="preserve">The difficult onboarding environment led to new staff trying to manage high-risk caseloads with fragmented explicit knowledge, such as outdated manuals. They were left without the tacit knowing that is required for successful casework. Stage-Gate approval requires specific, numeric data. The board therefore usually ignores the "street-level" experience that does survive turnover. This intellectual capital is never formalised without Pearson’s exploratory quadrants to safely pilot ideas on tacit knowledge. This starves the innovation pipeline of fuel.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is not a learning organization (Senge, 1990). The association cannot capture tacit knowledge or manage exploratory ambiguity, so mistakes at the front line are not translated into system-wide improvements. The organisation just becomes reactive compliant instead.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theoretically is big enough to innovate. But its over-reliance on linear models and inability to access frontline knowledge make it structurally incapable of producing radical innovations.</w:t>
      </w:r>
    </w:p>
    <w:p w14:paraId="67D179EE" w14:textId="77777777" w:rsidR="00EF0131" w:rsidRPr="003F0114" w:rsidRDefault="00EF0131" w:rsidP="001E6A6C">
      <w:pPr>
        <w:rPr>
          <w:rFonts w:ascii="Arial" w:hAnsi="Arial" w:cs="Arial"/>
          <w:sz w:val="24"/>
          <w:szCs w:val="24"/>
        </w:rPr>
      </w:pPr>
    </w:p>
    <w:p w14:paraId="590EC13E" w14:textId="77777777" w:rsidR="00EF0131" w:rsidRPr="003F0114" w:rsidRDefault="00EF0131" w:rsidP="00EF0131">
      <w:pPr>
        <w:pStyle w:val="Heading2"/>
        <w:rPr>
          <w:rFonts w:cs="Arial"/>
        </w:rPr>
      </w:pPr>
      <w:bookmarkStart w:id="4" w:name="_Toc239630389"/>
      <w:r w:rsidRPr="003F0114">
        <w:rPr>
          <w:rFonts w:cs="Arial"/>
        </w:rPr>
        <w:t>3.0 Question 2: Harnessing Creativity and Fostering a Creative Culture</w:t>
      </w:r>
      <w:bookmarkEnd w:id="4"/>
    </w:p>
    <w:p w14:paraId="26183D3E" w14:textId="77777777" w:rsidR="00EF0131" w:rsidRPr="003F0114" w:rsidRDefault="00EF0131" w:rsidP="00EF0131">
      <w:pPr>
        <w:rPr>
          <w:rFonts w:ascii="Arial" w:hAnsi="Arial" w:cs="Arial"/>
          <w:sz w:val="24"/>
          <w:szCs w:val="24"/>
        </w:rPr>
      </w:pPr>
    </w:p>
    <w:p w14:paraId="0AF24593" w14:textId="77777777" w:rsidR="00EF0131" w:rsidRPr="003F0114" w:rsidRDefault="00EF0131" w:rsidP="00EF0131">
      <w:pPr>
        <w:pStyle w:val="Heading3"/>
        <w:rPr>
          <w:rFonts w:cs="Arial"/>
        </w:rPr>
      </w:pPr>
      <w:bookmarkStart w:id="5" w:name="_Toc239630390"/>
      <w:r w:rsidRPr="003F0114">
        <w:rPr>
          <w:rFonts w:cs="Arial"/>
        </w:rPr>
        <w:t>3.1 Harnessing Individual and Team Creativity</w:t>
      </w:r>
      <w:bookmarkEnd w:id="5"/>
    </w:p>
    <w:p w14:paraId="0B63C7E9" w14:textId="77777777" w:rsidR="00EF0131" w:rsidRPr="003F0114" w:rsidRDefault="00EF0131" w:rsidP="00EF0131">
      <w:pPr>
        <w:rPr>
          <w:rFonts w:ascii="Arial" w:hAnsi="Arial" w:cs="Arial"/>
          <w:sz w:val="24"/>
          <w:szCs w:val="24"/>
        </w:rPr>
      </w:pPr>
    </w:p>
    <w:p w14:paraId="0DF8EF45" w14:textId="77777777" w:rsidR="00EF0131" w:rsidRPr="003F0114" w:rsidRDefault="00EF0131" w:rsidP="00EF0131">
      <w:pPr>
        <w:rPr>
          <w:rFonts w:ascii="Arial" w:hAnsi="Arial" w:cs="Arial"/>
          <w:sz w:val="24"/>
          <w:szCs w:val="24"/>
        </w:rPr>
      </w:pPr>
      <w:proofErr w:type="spellStart"/>
      <w:r w:rsidRPr="003F0114">
        <w:rPr>
          <w:rFonts w:ascii="Arial" w:hAnsi="Arial" w:cs="Arial"/>
          <w:sz w:val="24"/>
          <w:szCs w:val="24"/>
        </w:rPr>
        <w:t>Trivallis</w:t>
      </w:r>
      <w:proofErr w:type="spellEnd"/>
      <w:r w:rsidRPr="003F0114">
        <w:rPr>
          <w:rFonts w:ascii="Arial" w:hAnsi="Arial" w:cs="Arial"/>
          <w:sz w:val="24"/>
          <w:szCs w:val="24"/>
        </w:rPr>
        <w:t xml:space="preserve"> is seeing a dip in intrinsic motivation, which is blocking individual creativity. This is because of intense statutory pressures and messy internal onboarding. According to Amabile’s (1988) Componential Model of Creativity, the output of individual creativity depends on the interaction of three elements: domain expertise, creative-thinking skills, and intrinsic task motivation. These components are multiplied by each other. If intrinsic </w:t>
      </w:r>
      <w:r w:rsidRPr="003F0114">
        <w:rPr>
          <w:rFonts w:ascii="Arial" w:hAnsi="Arial" w:cs="Arial"/>
          <w:sz w:val="24"/>
          <w:szCs w:val="24"/>
        </w:rPr>
        <w:lastRenderedPageBreak/>
        <w:t xml:space="preserve">motivation is missing, creative output drops to zero, no matter how much expertise the person has. The frontline housing officers at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have a huge amount of domain knowledge about community needs and complex tenant behaviours. But the development and application of this expertise is compromised badly from the start. The author observed this directly during an eight-week training programme run by outgoing staff. New employees were given work phones and thrown straight into live tenant calls. The new team was left with complex inherited workloads before they had even completed their training. Mentors often failed to fulfil their support obligations, frequently leaving the office early and leaving new employees completely on their own. This unsupportive setting drains intrinsic motivation, compounded by daily operations that are subject to strict safeguarding laws and punitive compliance checklists. Staff quickly learn to survive on basic procedures rather than experiment with new interventions. At the individual level, the raw creative potential of </w:t>
      </w:r>
      <w:proofErr w:type="spellStart"/>
      <w:r w:rsidRPr="003F0114">
        <w:rPr>
          <w:rFonts w:ascii="Arial" w:hAnsi="Arial" w:cs="Arial"/>
          <w:sz w:val="24"/>
          <w:szCs w:val="24"/>
        </w:rPr>
        <w:t>Trivallis’s</w:t>
      </w:r>
      <w:proofErr w:type="spellEnd"/>
      <w:r w:rsidRPr="003F0114">
        <w:rPr>
          <w:rFonts w:ascii="Arial" w:hAnsi="Arial" w:cs="Arial"/>
          <w:sz w:val="24"/>
          <w:szCs w:val="24"/>
        </w:rPr>
        <w:t xml:space="preserve"> workforce is shut down before it can be used. This suggests a fundamental flaw in an input to the organisation’s innovation pipeline.</w:t>
      </w:r>
    </w:p>
    <w:p w14:paraId="21FFD155" w14:textId="77777777" w:rsidR="00EF0131" w:rsidRPr="003F0114" w:rsidRDefault="00EF0131" w:rsidP="00EF0131">
      <w:pPr>
        <w:rPr>
          <w:rFonts w:ascii="Arial" w:hAnsi="Arial" w:cs="Arial"/>
          <w:sz w:val="24"/>
          <w:szCs w:val="24"/>
        </w:rPr>
      </w:pPr>
    </w:p>
    <w:p w14:paraId="6E0E643F" w14:textId="77777777" w:rsidR="00EF0131" w:rsidRPr="003F0114" w:rsidRDefault="00EF0131" w:rsidP="00EF0131">
      <w:pPr>
        <w:rPr>
          <w:rFonts w:ascii="Arial" w:hAnsi="Arial" w:cs="Arial"/>
          <w:sz w:val="24"/>
          <w:szCs w:val="24"/>
        </w:rPr>
      </w:pPr>
      <w:r w:rsidRPr="003F0114">
        <w:rPr>
          <w:rFonts w:ascii="Arial" w:hAnsi="Arial" w:cs="Arial"/>
          <w:sz w:val="24"/>
          <w:szCs w:val="24"/>
        </w:rPr>
        <w:t xml:space="preserve">A review of the organisation using Amabile's (1998) six management practices reveals structural issues that create a challenging environment for creativity. The model indicates that practices such as Challenge, Resources, Supervisory Encouragement and Organisational Support are needed to promote a creative workplace. At </w:t>
      </w:r>
      <w:proofErr w:type="spellStart"/>
      <w:r w:rsidRPr="003F0114">
        <w:rPr>
          <w:rFonts w:ascii="Arial" w:hAnsi="Arial" w:cs="Arial"/>
          <w:sz w:val="24"/>
          <w:szCs w:val="24"/>
        </w:rPr>
        <w:t>Trivallis</w:t>
      </w:r>
      <w:proofErr w:type="spellEnd"/>
      <w:r w:rsidRPr="003F0114">
        <w:rPr>
          <w:rFonts w:ascii="Arial" w:hAnsi="Arial" w:cs="Arial"/>
          <w:sz w:val="24"/>
          <w:szCs w:val="24"/>
        </w:rPr>
        <w:t>, "Challenge" does not feel like a motivational intellectual stretch. Instead, it takes the form of a huge caseload dumped on officers. "Resources" are chronically stretched in the same way. Frontline staff lack the time and operational bandwidth to generate new ideas. "Supervisory Encouragement" is extremely inconsistent, and sometimes actively harmful. During the author’s employment, instances where frontline requests for operational assistance were met with hostile behaviour from line managers served to severely damage team psychological safety. This results in "Organisational Support" being replaced by a culture of internal investigation and blame. Mistakes are punished, not used as learning opportunities. This mix guarantees in practice the absence of the environmental conditions that in theory stimulate creativity.</w:t>
      </w:r>
    </w:p>
    <w:p w14:paraId="3928B1D5" w14:textId="77777777" w:rsidR="00EF0131" w:rsidRPr="003F0114" w:rsidRDefault="00EF0131" w:rsidP="00EF0131">
      <w:pPr>
        <w:rPr>
          <w:rFonts w:ascii="Arial" w:hAnsi="Arial" w:cs="Arial"/>
          <w:sz w:val="24"/>
          <w:szCs w:val="24"/>
        </w:rPr>
      </w:pPr>
    </w:p>
    <w:p w14:paraId="693B1643" w14:textId="77777777" w:rsidR="00EF0131" w:rsidRPr="003F0114" w:rsidRDefault="00EF0131" w:rsidP="00EF0131">
      <w:pPr>
        <w:rPr>
          <w:rFonts w:ascii="Arial" w:hAnsi="Arial" w:cs="Arial"/>
          <w:sz w:val="24"/>
          <w:szCs w:val="24"/>
        </w:rPr>
      </w:pPr>
      <w:r w:rsidRPr="003F0114">
        <w:rPr>
          <w:rFonts w:ascii="Arial" w:hAnsi="Arial" w:cs="Arial"/>
          <w:sz w:val="24"/>
          <w:szCs w:val="24"/>
        </w:rPr>
        <w:t xml:space="preserve">Frontline management also lacks the structural capacity to create the conditions for creativity. This reveals a weakness of theoretical models when applied to heavily regulated sectors. "Freedom" (autonomy in processes) is an essential promoter of creativity (Amabile, 1998). But strict housing regulations naturally demand micromanagement and exact adherence to procedures. This effectively robs housing officers of their operational freedom. A major limitation of Amabile’s (1998) framework is that it presumes managers can just decide to give employees complete process freedom. To give full operational autonomy in a statutory body such as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is not legally possible and would be an unacceptable safeguarding risk to vulnerable tenants. If the legal ban on deviating from standard procedure is in place, then mere supervisory </w:t>
      </w:r>
      <w:r w:rsidRPr="003F0114">
        <w:rPr>
          <w:rFonts w:ascii="Arial" w:hAnsi="Arial" w:cs="Arial"/>
          <w:sz w:val="24"/>
          <w:szCs w:val="24"/>
        </w:rPr>
        <w:lastRenderedPageBreak/>
        <w:t>encouragement or broad organisational backing would not be enough. Management should develop other, more structured, means of tapping employee ideas. Organic creativity that arises from unbridled freedom cannot safely be permitted.</w:t>
      </w:r>
    </w:p>
    <w:p w14:paraId="1AD1F909" w14:textId="77777777" w:rsidR="00EF0131" w:rsidRPr="003F0114" w:rsidRDefault="00EF0131" w:rsidP="00EF0131">
      <w:pPr>
        <w:rPr>
          <w:rFonts w:ascii="Arial" w:hAnsi="Arial" w:cs="Arial"/>
          <w:sz w:val="24"/>
          <w:szCs w:val="24"/>
        </w:rPr>
      </w:pPr>
    </w:p>
    <w:p w14:paraId="044B88F1" w14:textId="77777777" w:rsidR="00EF0131" w:rsidRPr="003F0114" w:rsidRDefault="00EF0131" w:rsidP="00EF0131">
      <w:pPr>
        <w:rPr>
          <w:rFonts w:ascii="Arial" w:hAnsi="Arial" w:cs="Arial"/>
          <w:sz w:val="24"/>
          <w:szCs w:val="24"/>
        </w:rPr>
      </w:pPr>
      <w:r w:rsidRPr="003F0114">
        <w:rPr>
          <w:rFonts w:ascii="Arial" w:hAnsi="Arial" w:cs="Arial"/>
          <w:sz w:val="24"/>
          <w:szCs w:val="24"/>
        </w:rPr>
        <w:t xml:space="preserve">To harness team creativity safely within stringent compliance constraints,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needs to implement structured parallel thinking frameworks that separate idea generation from risk evaluation. As De Bono (2017) notes, unstructured meetings can often lead to early judgement and cognitive friction that can kill ideas. He suggests the Six Thinking Hats framework, which attempts to separate different ways of thinking, such as divergent and convergent thinking, into separate sequential phases. Currently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casework meetings are largely unstructured and psychologically unsafe for divergent thinking. A housing officer might come up with a new idea for helping tenants to resolve a community dispute (divergent thinking). Management will instinctively push back with immediate regulatory caution and compliance warnings (convergent thinking). The simultaneous clash creates a fear of failure. It immediately kills the proposal and the psychological safety required for creativity. To overcome the theoretical weakness in Amabile’s model for regulated sectors,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can make use of De Bono’s (2017) framework. The Six Thinking Hats method artificially separates divergent and convergent thinking into separate stages. Staff can freely brainstorm community interventions without limits (Green Hat) and then do the rigorous non-negotiable regulatory checks (Black Hat). This framework provides a safe, bounded space for </w:t>
      </w:r>
      <w:proofErr w:type="spellStart"/>
      <w:r w:rsidRPr="003F0114">
        <w:rPr>
          <w:rFonts w:ascii="Arial" w:hAnsi="Arial" w:cs="Arial"/>
          <w:sz w:val="24"/>
          <w:szCs w:val="24"/>
        </w:rPr>
        <w:t>Trivallis</w:t>
      </w:r>
      <w:proofErr w:type="spellEnd"/>
      <w:r w:rsidRPr="003F0114">
        <w:rPr>
          <w:rFonts w:ascii="Arial" w:hAnsi="Arial" w:cs="Arial"/>
          <w:sz w:val="24"/>
          <w:szCs w:val="24"/>
        </w:rPr>
        <w:t xml:space="preserve"> teams to express their creativity, and a way of balancing statutory compliance with the safeguarding of innovative potential.</w:t>
      </w:r>
    </w:p>
    <w:p w14:paraId="60D141A4" w14:textId="77777777" w:rsidR="00EF0131" w:rsidRPr="003F0114" w:rsidRDefault="00EF0131" w:rsidP="00EF0131">
      <w:pPr>
        <w:rPr>
          <w:rFonts w:ascii="Arial" w:hAnsi="Arial" w:cs="Arial"/>
          <w:sz w:val="24"/>
          <w:szCs w:val="24"/>
        </w:rPr>
      </w:pPr>
    </w:p>
    <w:p w14:paraId="234ACC0C" w14:textId="56D02457" w:rsidR="00EF0131" w:rsidRPr="003F0114" w:rsidRDefault="00EF0131" w:rsidP="00EF0131">
      <w:pPr>
        <w:rPr>
          <w:rFonts w:ascii="Arial" w:hAnsi="Arial" w:cs="Arial"/>
          <w:sz w:val="24"/>
          <w:szCs w:val="24"/>
        </w:rPr>
      </w:pPr>
      <w:proofErr w:type="spellStart"/>
      <w:r w:rsidRPr="003F0114">
        <w:rPr>
          <w:rFonts w:ascii="Arial" w:hAnsi="Arial" w:cs="Arial"/>
          <w:sz w:val="24"/>
          <w:szCs w:val="24"/>
        </w:rPr>
        <w:t>Trivallis</w:t>
      </w:r>
      <w:proofErr w:type="spellEnd"/>
      <w:r w:rsidRPr="003F0114">
        <w:rPr>
          <w:rFonts w:ascii="Arial" w:hAnsi="Arial" w:cs="Arial"/>
          <w:sz w:val="24"/>
          <w:szCs w:val="24"/>
        </w:rPr>
        <w:t xml:space="preserve"> brings the individual expertise and frontline knowledge to solve tough community problems. The problem is that it chronically lacks the environmental support and structured team processes to harness that creativity. The destruction of intrinsic motivation (Amabile, 1988), combined with a difficult supervisory environment and the legal impossibility of granting unconstrained operational freedom, means organic ideation has a hard time surviving. Its creative potential will be suppressed by the requirements of statutory compliance unless the organisation actively replaces its unstructured casework meetings with bounded parallel thinking frameworks such as De Bono’s (2017) Six Thinking Hats.</w:t>
      </w:r>
    </w:p>
    <w:p w14:paraId="49EDBDE6" w14:textId="77777777" w:rsidR="00EF0131" w:rsidRPr="003F0114" w:rsidRDefault="00EF0131" w:rsidP="00EF0131">
      <w:pPr>
        <w:pStyle w:val="Heading3"/>
        <w:rPr>
          <w:rFonts w:cs="Arial"/>
        </w:rPr>
      </w:pPr>
      <w:bookmarkStart w:id="6" w:name="_Toc239630391"/>
      <w:r w:rsidRPr="003F0114">
        <w:rPr>
          <w:rFonts w:cs="Arial"/>
        </w:rPr>
        <w:t>3.2 Fostering a Creative Culture in the Workplace</w:t>
      </w:r>
      <w:bookmarkEnd w:id="6"/>
    </w:p>
    <w:p w14:paraId="409B0735" w14:textId="77777777" w:rsidR="00EF0131" w:rsidRPr="003F0114" w:rsidRDefault="00EF0131" w:rsidP="00EF0131">
      <w:pPr>
        <w:rPr>
          <w:rFonts w:ascii="Arial" w:eastAsiaTheme="majorEastAsia" w:hAnsi="Arial" w:cs="Arial"/>
          <w:sz w:val="24"/>
          <w:szCs w:val="24"/>
        </w:rPr>
      </w:pPr>
    </w:p>
    <w:p w14:paraId="16705040" w14:textId="77777777" w:rsidR="00EF0131" w:rsidRPr="003F0114" w:rsidRDefault="00EF0131" w:rsidP="00EF0131">
      <w:pPr>
        <w:rPr>
          <w:rFonts w:ascii="Arial" w:eastAsiaTheme="majorEastAsia" w:hAnsi="Arial" w:cs="Arial"/>
          <w:sz w:val="24"/>
          <w:szCs w:val="24"/>
        </w:rPr>
      </w:pPr>
      <w:proofErr w:type="spellStart"/>
      <w:r w:rsidRPr="003F0114">
        <w:rPr>
          <w:rFonts w:ascii="Arial" w:eastAsiaTheme="majorEastAsia" w:hAnsi="Arial" w:cs="Arial"/>
          <w:sz w:val="24"/>
          <w:szCs w:val="24"/>
        </w:rPr>
        <w:t>Trivallis’s</w:t>
      </w:r>
      <w:proofErr w:type="spellEnd"/>
      <w:r w:rsidRPr="003F0114">
        <w:rPr>
          <w:rFonts w:ascii="Arial" w:eastAsiaTheme="majorEastAsia" w:hAnsi="Arial" w:cs="Arial"/>
          <w:sz w:val="24"/>
          <w:szCs w:val="24"/>
        </w:rPr>
        <w:t xml:space="preserve"> culture of compliance restricts employee contributions to basic capabilities. </w:t>
      </w:r>
      <w:proofErr w:type="gramStart"/>
      <w:r w:rsidRPr="003F0114">
        <w:rPr>
          <w:rFonts w:ascii="Arial" w:eastAsiaTheme="majorEastAsia" w:hAnsi="Arial" w:cs="Arial"/>
          <w:sz w:val="24"/>
          <w:szCs w:val="24"/>
        </w:rPr>
        <w:t>Thus</w:t>
      </w:r>
      <w:proofErr w:type="gramEnd"/>
      <w:r w:rsidRPr="003F0114">
        <w:rPr>
          <w:rFonts w:ascii="Arial" w:eastAsiaTheme="majorEastAsia" w:hAnsi="Arial" w:cs="Arial"/>
          <w:sz w:val="24"/>
          <w:szCs w:val="24"/>
        </w:rPr>
        <w:t xml:space="preserve"> the high-order potential is not utilised. Traditional hierarchies usually suppress the top-tier traits (initiative, creativity, passion) with the lower-tier capabilities (obedience, diligence, intellect) (Hamel, 2007). Welsh Housing Quarterly (n.d.) notes that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has tough statutory requirements to explicitly reward zero-defect compliance. This </w:t>
      </w:r>
      <w:r w:rsidRPr="003F0114">
        <w:rPr>
          <w:rFonts w:ascii="Arial" w:eastAsiaTheme="majorEastAsia" w:hAnsi="Arial" w:cs="Arial"/>
          <w:sz w:val="24"/>
          <w:szCs w:val="24"/>
        </w:rPr>
        <w:lastRenderedPageBreak/>
        <w:t xml:space="preserve">teaches employees to give diligence and obedience only. It offers basic operational safety, but it kills the initiative needed for complex crises. This is where Hamel’s (2012) assumption that unconstrained passion is always good breaks down. Serious safeguarding of social housing risks unfettered passion. Obedience to the law is not negotiable.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is trapped. Its people are trained to be diligent, to avoid regulatory trouble, but crises demand top-tier initiative.</w:t>
      </w:r>
    </w:p>
    <w:p w14:paraId="6DC3727A" w14:textId="77777777" w:rsidR="00EF0131" w:rsidRPr="003F0114" w:rsidRDefault="00EF0131" w:rsidP="00EF0131">
      <w:pPr>
        <w:rPr>
          <w:rFonts w:ascii="Arial" w:eastAsiaTheme="majorEastAsia" w:hAnsi="Arial" w:cs="Arial"/>
          <w:sz w:val="24"/>
          <w:szCs w:val="24"/>
        </w:rPr>
      </w:pPr>
    </w:p>
    <w:p w14:paraId="7E0B9A3E" w14:textId="77777777"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 xml:space="preserve">The theoretical trap is very clear in the daily work. Often the distance between executives and middle management was great. Housing officers therefore deliberately avoided the corporate office, often working from home to avoid arbitrary scrutiny. Survival demanded defensive working practices, and operational knowledge was not often shared. Departments kept information in their silos to protect themselves from being blamed. This crippled the intellect of the whole organisation. Staff turnover remained high, especially in areas under pressure where complex tenant needs met rigid bureaucracy. This structure frequently insulated senior management from what was happening on the ground, and staff believed that leadership was deliberately avoiding the friction of casework </w:t>
      </w:r>
      <w:proofErr w:type="gramStart"/>
      <w:r w:rsidRPr="003F0114">
        <w:rPr>
          <w:rFonts w:ascii="Arial" w:eastAsiaTheme="majorEastAsia" w:hAnsi="Arial" w:cs="Arial"/>
          <w:sz w:val="24"/>
          <w:szCs w:val="24"/>
        </w:rPr>
        <w:t>on a daily basis</w:t>
      </w:r>
      <w:proofErr w:type="gramEnd"/>
      <w:r w:rsidRPr="003F0114">
        <w:rPr>
          <w:rFonts w:ascii="Arial" w:eastAsiaTheme="majorEastAsia" w:hAnsi="Arial" w:cs="Arial"/>
          <w:sz w:val="24"/>
          <w:szCs w:val="24"/>
        </w:rPr>
        <w:t>. This intentional segmentation supports Hamel’s (2007) assertion that hierarchies inhibit initiative. Staff soon find that in an environment where leadership is absent, problem-solving goes unrewarded.</w:t>
      </w:r>
    </w:p>
    <w:p w14:paraId="1E293A55" w14:textId="77777777" w:rsidR="00EF0131" w:rsidRPr="003F0114" w:rsidRDefault="00EF0131" w:rsidP="00EF0131">
      <w:pPr>
        <w:rPr>
          <w:rFonts w:ascii="Arial" w:eastAsiaTheme="majorEastAsia" w:hAnsi="Arial" w:cs="Arial"/>
          <w:sz w:val="24"/>
          <w:szCs w:val="24"/>
        </w:rPr>
      </w:pPr>
    </w:p>
    <w:p w14:paraId="2EAF8175" w14:textId="77777777"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This is further compounded by the organisation’s reliance on inflexible and outdated procedures. Procedural uncertainty was the norm in the author’s day. Many important policies were either out of date or stuck in long updating cycles. Management expected too much reading from staff and would not allow staff to use their own professional judgement. They demanded compliance with documentation that was frequently out of sync with operational reality. The continued use of outdated procedures to satisfy audit trails actively fostered a culture of compliance first. Against the complex issues of the community, the intellectual elasticity was systematically extinguished.</w:t>
      </w:r>
    </w:p>
    <w:p w14:paraId="1E063049" w14:textId="77777777" w:rsidR="00EF0131" w:rsidRPr="003F0114" w:rsidRDefault="00EF0131" w:rsidP="00EF0131">
      <w:pPr>
        <w:rPr>
          <w:rFonts w:ascii="Arial" w:eastAsiaTheme="majorEastAsia" w:hAnsi="Arial" w:cs="Arial"/>
          <w:sz w:val="24"/>
          <w:szCs w:val="24"/>
        </w:rPr>
      </w:pPr>
    </w:p>
    <w:p w14:paraId="6E771EA2" w14:textId="77777777"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 xml:space="preserve">This failure to unlock higher capabilities is the result of a deep-seated dissonance between </w:t>
      </w:r>
      <w:proofErr w:type="spellStart"/>
      <w:r w:rsidRPr="003F0114">
        <w:rPr>
          <w:rFonts w:ascii="Arial" w:eastAsiaTheme="majorEastAsia" w:hAnsi="Arial" w:cs="Arial"/>
          <w:sz w:val="24"/>
          <w:szCs w:val="24"/>
        </w:rPr>
        <w:t>Trivallis’s</w:t>
      </w:r>
      <w:proofErr w:type="spellEnd"/>
      <w:r w:rsidRPr="003F0114">
        <w:rPr>
          <w:rFonts w:ascii="Arial" w:eastAsiaTheme="majorEastAsia" w:hAnsi="Arial" w:cs="Arial"/>
          <w:sz w:val="24"/>
          <w:szCs w:val="24"/>
        </w:rPr>
        <w:t xml:space="preserve"> stated aims and its shadow culture. Schein (2010) differentiates between visible, public "espoused values" and invisible, preconscious "basic underlying assumptions" that </w:t>
      </w:r>
      <w:proofErr w:type="gramStart"/>
      <w:r w:rsidRPr="003F0114">
        <w:rPr>
          <w:rFonts w:ascii="Arial" w:eastAsiaTheme="majorEastAsia" w:hAnsi="Arial" w:cs="Arial"/>
          <w:sz w:val="24"/>
          <w:szCs w:val="24"/>
        </w:rPr>
        <w:t>actually guide</w:t>
      </w:r>
      <w:proofErr w:type="gramEnd"/>
      <w:r w:rsidRPr="003F0114">
        <w:rPr>
          <w:rFonts w:ascii="Arial" w:eastAsiaTheme="majorEastAsia" w:hAnsi="Arial" w:cs="Arial"/>
          <w:sz w:val="24"/>
          <w:szCs w:val="24"/>
        </w:rPr>
        <w:t xml:space="preserve"> behaviour.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regularly produces strategic documents that promote community empowerment (espoused values). Frontline officers, however, operate according to unwritten rules (basic underlying assumptions) that have been reinforced over time and that emphasise blame avoidance and the avoidance of regulatory failure. The firmly held assumptions are those that govern behaviour in situations of conflict between the two (Schein, 2010).</w:t>
      </w:r>
    </w:p>
    <w:p w14:paraId="6ADF1CF1" w14:textId="77777777" w:rsidR="00EF0131" w:rsidRPr="003F0114" w:rsidRDefault="00EF0131" w:rsidP="00EF0131">
      <w:pPr>
        <w:rPr>
          <w:rFonts w:ascii="Arial" w:eastAsiaTheme="majorEastAsia" w:hAnsi="Arial" w:cs="Arial"/>
          <w:sz w:val="24"/>
          <w:szCs w:val="24"/>
        </w:rPr>
      </w:pPr>
    </w:p>
    <w:p w14:paraId="0C663F91" w14:textId="77777777"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lastRenderedPageBreak/>
        <w:t>The result of this cultural divide is plain to see. Significant governance regulatory interventions have underpinned the board’s defensive risk aversion and have highlighted the intense scrutiny (Welsh Housing Quarterly, n.d.). This fear from the top filtered down to the front lines. It was disastrous in the systemic damp and mould failings where tenants had to live in hazardous conditions for years (Funk, 2025). The staff were more interested in protecting themselves than taking the initiative to proactively deal with the crisis. They relied on poor record-keeping and defensive compliance to avoid blame. Out of this shadow culture a hostile controlling culture developed. Line management’s bullying of front-line staff was a direct cultural artefact of a management tier pushing its regulatory terror down. Leaders who are afraid of bad audits tend to lead by intimidation. This destroys psychological safety and ensures that fear dominates the workplace (Schein, 2010).</w:t>
      </w:r>
    </w:p>
    <w:p w14:paraId="49A15473" w14:textId="77777777" w:rsidR="00EF0131" w:rsidRPr="003F0114" w:rsidRDefault="00EF0131" w:rsidP="00EF0131">
      <w:pPr>
        <w:rPr>
          <w:rFonts w:ascii="Arial" w:eastAsiaTheme="majorEastAsia" w:hAnsi="Arial" w:cs="Arial"/>
          <w:sz w:val="24"/>
          <w:szCs w:val="24"/>
        </w:rPr>
      </w:pPr>
    </w:p>
    <w:p w14:paraId="478CE744" w14:textId="4D319126"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 xml:space="preserve">Instability in leadership and pressure from regulators fuel the fear-based shadow culture. Procedural risk actively punishes proactive or creative problem-solving.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needs to close the gap between values and basic assumptions </w:t>
      </w:r>
      <w:proofErr w:type="gramStart"/>
      <w:r w:rsidRPr="003F0114">
        <w:rPr>
          <w:rFonts w:ascii="Arial" w:eastAsiaTheme="majorEastAsia" w:hAnsi="Arial" w:cs="Arial"/>
          <w:sz w:val="24"/>
          <w:szCs w:val="24"/>
        </w:rPr>
        <w:t>in an effort to</w:t>
      </w:r>
      <w:proofErr w:type="gramEnd"/>
      <w:r w:rsidRPr="003F0114">
        <w:rPr>
          <w:rFonts w:ascii="Arial" w:eastAsiaTheme="majorEastAsia" w:hAnsi="Arial" w:cs="Arial"/>
          <w:sz w:val="24"/>
          <w:szCs w:val="24"/>
        </w:rPr>
        <w:t xml:space="preserve"> develop a creative culture. Leadership needs to unfreeze this fear-based culture by breaking down deeply embedded "mental models" to move employees up Hamel’s (2007) hierarchy (Senge, 1990). Organisations will not be able to innovate if they do not challenge the hidden assumptions on which they base their actions (Senge, 1990). The existing mental model of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 that all operational risk is punishable — needs to shift to one that explicitly rewards reasoned, rule-based innovation. A housing association </w:t>
      </w:r>
      <w:proofErr w:type="gramStart"/>
      <w:r w:rsidRPr="003F0114">
        <w:rPr>
          <w:rFonts w:ascii="Arial" w:eastAsiaTheme="majorEastAsia" w:hAnsi="Arial" w:cs="Arial"/>
          <w:sz w:val="24"/>
          <w:szCs w:val="24"/>
        </w:rPr>
        <w:t>has to</w:t>
      </w:r>
      <w:proofErr w:type="gramEnd"/>
      <w:r w:rsidRPr="003F0114">
        <w:rPr>
          <w:rFonts w:ascii="Arial" w:eastAsiaTheme="majorEastAsia" w:hAnsi="Arial" w:cs="Arial"/>
          <w:sz w:val="24"/>
          <w:szCs w:val="24"/>
        </w:rPr>
        <w:t xml:space="preserve"> innovate within very strong guardrails, unlike an unregulated tech company. A creative culture at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will not be unstructured, free-flowing passion. It will be a very disciplined system, structurally supportive of bounded autonomy. Executive leadership must break down the defensive mental models (Senge, 1990) and establish psychological safety to take calculated risks; </w:t>
      </w:r>
      <w:proofErr w:type="gramStart"/>
      <w:r w:rsidRPr="003F0114">
        <w:rPr>
          <w:rFonts w:ascii="Arial" w:eastAsiaTheme="majorEastAsia" w:hAnsi="Arial" w:cs="Arial"/>
          <w:sz w:val="24"/>
          <w:szCs w:val="24"/>
        </w:rPr>
        <w:t>otherwise</w:t>
      </w:r>
      <w:proofErr w:type="gramEnd"/>
      <w:r w:rsidRPr="003F0114">
        <w:rPr>
          <w:rFonts w:ascii="Arial" w:eastAsiaTheme="majorEastAsia" w:hAnsi="Arial" w:cs="Arial"/>
          <w:sz w:val="24"/>
          <w:szCs w:val="24"/>
        </w:rPr>
        <w:t xml:space="preserve"> the workforce will remain culturally bound to defensive obedience. This permanently paralyses creative potential.</w:t>
      </w:r>
    </w:p>
    <w:p w14:paraId="69F02BFA" w14:textId="42A18458" w:rsidR="00EF0131" w:rsidRPr="003F0114" w:rsidRDefault="00EF0131" w:rsidP="00EF0131">
      <w:pPr>
        <w:rPr>
          <w:rFonts w:ascii="Arial" w:eastAsiaTheme="majorEastAsia" w:hAnsi="Arial" w:cs="Arial"/>
          <w:sz w:val="24"/>
          <w:szCs w:val="24"/>
        </w:rPr>
      </w:pPr>
    </w:p>
    <w:p w14:paraId="233E461F" w14:textId="77777777" w:rsidR="00EF0131" w:rsidRPr="003F0114" w:rsidRDefault="00EF0131" w:rsidP="00EF0131">
      <w:pPr>
        <w:pStyle w:val="Heading2"/>
        <w:rPr>
          <w:rFonts w:cs="Arial"/>
        </w:rPr>
      </w:pPr>
      <w:bookmarkStart w:id="7" w:name="_Toc239630392"/>
      <w:r w:rsidRPr="003F0114">
        <w:rPr>
          <w:rFonts w:cs="Arial"/>
        </w:rPr>
        <w:t>4.0 Recommendations</w:t>
      </w:r>
      <w:bookmarkEnd w:id="7"/>
    </w:p>
    <w:p w14:paraId="2714E05D" w14:textId="77777777" w:rsidR="00EF0131" w:rsidRPr="003F0114" w:rsidRDefault="00EF0131" w:rsidP="00EF0131">
      <w:pPr>
        <w:rPr>
          <w:rFonts w:ascii="Arial" w:eastAsiaTheme="majorEastAsia" w:hAnsi="Arial" w:cs="Arial"/>
          <w:sz w:val="24"/>
          <w:szCs w:val="24"/>
        </w:rPr>
      </w:pPr>
    </w:p>
    <w:p w14:paraId="66F0261A" w14:textId="77777777" w:rsidR="00EF0131" w:rsidRPr="003F0114" w:rsidRDefault="00EF0131" w:rsidP="00EF0131">
      <w:pPr>
        <w:rPr>
          <w:rFonts w:ascii="Arial" w:eastAsiaTheme="majorEastAsia" w:hAnsi="Arial" w:cs="Arial"/>
          <w:sz w:val="24"/>
          <w:szCs w:val="24"/>
        </w:rPr>
      </w:pP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needs to build a Housing Innovation Mentors network across the organisation to capture the tacit knowledge on the frontline and solve the difficult onboarding process. This idea is drawn from Whirlpool’s success in using internal mentors to help manage its innovation pipeline (Rivkin, Leonard, &amp; Hamel, 2005). It is also supported by Haier’s model of empowering frontline micro-enterprises (Hamel &amp; Zanini, 2018). It provides safe and structured channels for new thinking. Right </w:t>
      </w:r>
      <w:proofErr w:type="gramStart"/>
      <w:r w:rsidRPr="003F0114">
        <w:rPr>
          <w:rFonts w:ascii="Arial" w:eastAsiaTheme="majorEastAsia" w:hAnsi="Arial" w:cs="Arial"/>
          <w:sz w:val="24"/>
          <w:szCs w:val="24"/>
        </w:rPr>
        <w:t>now</w:t>
      </w:r>
      <w:proofErr w:type="gramEnd"/>
      <w:r w:rsidRPr="003F0114">
        <w:rPr>
          <w:rFonts w:ascii="Arial" w:eastAsiaTheme="majorEastAsia" w:hAnsi="Arial" w:cs="Arial"/>
          <w:sz w:val="24"/>
          <w:szCs w:val="24"/>
        </w:rPr>
        <w:t xml:space="preserve"> there is a lot of </w:t>
      </w:r>
      <w:proofErr w:type="gramStart"/>
      <w:r w:rsidRPr="003F0114">
        <w:rPr>
          <w:rFonts w:ascii="Arial" w:eastAsiaTheme="majorEastAsia" w:hAnsi="Arial" w:cs="Arial"/>
          <w:sz w:val="24"/>
          <w:szCs w:val="24"/>
        </w:rPr>
        <w:t>turnover</w:t>
      </w:r>
      <w:proofErr w:type="gramEnd"/>
      <w:r w:rsidRPr="003F0114">
        <w:rPr>
          <w:rFonts w:ascii="Arial" w:eastAsiaTheme="majorEastAsia" w:hAnsi="Arial" w:cs="Arial"/>
          <w:sz w:val="24"/>
          <w:szCs w:val="24"/>
        </w:rPr>
        <w:t xml:space="preserve">, and along with </w:t>
      </w:r>
      <w:proofErr w:type="gramStart"/>
      <w:r w:rsidRPr="003F0114">
        <w:rPr>
          <w:rFonts w:ascii="Arial" w:eastAsiaTheme="majorEastAsia" w:hAnsi="Arial" w:cs="Arial"/>
          <w:sz w:val="24"/>
          <w:szCs w:val="24"/>
        </w:rPr>
        <w:t>it</w:t>
      </w:r>
      <w:proofErr w:type="gramEnd"/>
      <w:r w:rsidRPr="003F0114">
        <w:rPr>
          <w:rFonts w:ascii="Arial" w:eastAsiaTheme="majorEastAsia" w:hAnsi="Arial" w:cs="Arial"/>
          <w:sz w:val="24"/>
          <w:szCs w:val="24"/>
        </w:rPr>
        <w:t xml:space="preserve"> critical tacit knowledge is lost. Mentors often leave new hires to fend for themselves with their caseloads. A formal mentoring network would be a dedicated sounding board. It would take the street-level knowledge of veteran officers before they </w:t>
      </w:r>
      <w:r w:rsidRPr="003F0114">
        <w:rPr>
          <w:rFonts w:ascii="Arial" w:eastAsiaTheme="majorEastAsia" w:hAnsi="Arial" w:cs="Arial"/>
          <w:sz w:val="24"/>
          <w:szCs w:val="24"/>
        </w:rPr>
        <w:lastRenderedPageBreak/>
        <w:t xml:space="preserve">walk out the door and turn that into clear recommendations. This is a direct application of the SECI model’s knowledge conversion processes (Nonaka &amp; Takeuchi, 1995). Line managers have often been preoccupied with compliance </w:t>
      </w:r>
      <w:proofErr w:type="gramStart"/>
      <w:r w:rsidRPr="003F0114">
        <w:rPr>
          <w:rFonts w:ascii="Arial" w:eastAsiaTheme="majorEastAsia" w:hAnsi="Arial" w:cs="Arial"/>
          <w:sz w:val="24"/>
          <w:szCs w:val="24"/>
        </w:rPr>
        <w:t>directives, and</w:t>
      </w:r>
      <w:proofErr w:type="gramEnd"/>
      <w:r w:rsidRPr="003F0114">
        <w:rPr>
          <w:rFonts w:ascii="Arial" w:eastAsiaTheme="majorEastAsia" w:hAnsi="Arial" w:cs="Arial"/>
          <w:sz w:val="24"/>
          <w:szCs w:val="24"/>
        </w:rPr>
        <w:t xml:space="preserve"> historically have reacted hostilely to being challenged. Instead, independent mentors would provide the "supervisory encouragement" to increase intrinsic motivation (Amabile, 1998). Bypassing the normal chain of command gives a safe outlet for the creativity of employees without disturbing the ordinary business of governing.</w:t>
      </w:r>
    </w:p>
    <w:p w14:paraId="25F296E1" w14:textId="77777777" w:rsidR="00EF0131" w:rsidRPr="003F0114" w:rsidRDefault="00EF0131" w:rsidP="00EF0131">
      <w:pPr>
        <w:rPr>
          <w:rFonts w:ascii="Arial" w:eastAsiaTheme="majorEastAsia" w:hAnsi="Arial" w:cs="Arial"/>
          <w:sz w:val="24"/>
          <w:szCs w:val="24"/>
        </w:rPr>
      </w:pPr>
    </w:p>
    <w:p w14:paraId="6692EAA3" w14:textId="77777777"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 xml:space="preserve">To overcome the cultural misalignment that thwarts the emergence of higher-order capabilities,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should tie 20% of the executive directors’ long-term bonuses to defined innovation metrics. This structural change is based on Whirlpool, which links the compensation of top management directly to innovation outputs and not just baseline targets (Rivkin et al., 2005). Today, the only financial incentives for leadership are to stay compliant and stay out of the regulator’s sight. Management deliberately stays away from the front line because its rewards are based on not taking risks. The board is structurally aligned to accept calculated risk and actively promote employee initiative by linking financial incentives to successful community innovation (Hamel, 2007). Changing executive pay is a financial incentive to help break down the fear-based shadow culture. It shifts the underlying fundamental assumptions from blame avoidance to proactive problem-solving (Schein, 2010). This structural change helps drive cultural change from the top down. It means that innovation is a real priority and not only one of the corporate values.</w:t>
      </w:r>
    </w:p>
    <w:p w14:paraId="2D405232" w14:textId="77777777" w:rsidR="00EF0131" w:rsidRPr="003F0114" w:rsidRDefault="00EF0131" w:rsidP="00EF0131">
      <w:pPr>
        <w:rPr>
          <w:rFonts w:ascii="Arial" w:eastAsiaTheme="majorEastAsia" w:hAnsi="Arial" w:cs="Arial"/>
          <w:sz w:val="24"/>
          <w:szCs w:val="24"/>
        </w:rPr>
      </w:pPr>
    </w:p>
    <w:p w14:paraId="179E1FFC" w14:textId="77777777" w:rsidR="00EF0131" w:rsidRPr="003F0114" w:rsidRDefault="00EF0131" w:rsidP="00EF0131">
      <w:pPr>
        <w:rPr>
          <w:rFonts w:ascii="Arial" w:eastAsiaTheme="majorEastAsia" w:hAnsi="Arial" w:cs="Arial"/>
          <w:sz w:val="24"/>
          <w:szCs w:val="24"/>
        </w:rPr>
      </w:pP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should set up a ring-fenced exploratory fund for high-uncertainty pilot projects to cut through the bureaucratic bottlenecks that slow early-stage ideas. In the spirit of the Whirlpool benchmark of reserving capital only for highly innovative concepts (Rivkin et al., 2005),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could reserve a micro-budget only for exploratory frontline initiatives. The money protects fuzzy, ambiguous ideas (Quadrant 1 of the Ends/Means Matrix) from the immediate ROI requirements of linear pipelines (Pearson, 1990). Eliminating the need for numerical financial proof from the start provides a safe sandbox for frontline staff to test community prototypes without the paralysing fear of an audit failure. Once they have worked out initial uncertainties and have been demonstrated to work, local pilot projects can then be channelled into the rigorous financial governance of the Stage-Gate process for compliant roll-out (Cooper, 2011).</w:t>
      </w:r>
    </w:p>
    <w:p w14:paraId="283DB587" w14:textId="77777777" w:rsidR="00EF0131" w:rsidRPr="003F0114" w:rsidRDefault="00EF0131" w:rsidP="00EF0131">
      <w:pPr>
        <w:rPr>
          <w:rFonts w:ascii="Arial" w:eastAsiaTheme="majorEastAsia" w:hAnsi="Arial" w:cs="Arial"/>
          <w:sz w:val="24"/>
          <w:szCs w:val="24"/>
        </w:rPr>
      </w:pPr>
    </w:p>
    <w:p w14:paraId="5B362BA3" w14:textId="322E6CAA" w:rsidR="00EF0131" w:rsidRPr="003F0114" w:rsidRDefault="00EF0131" w:rsidP="00EF0131">
      <w:pPr>
        <w:rPr>
          <w:rFonts w:ascii="Arial" w:eastAsiaTheme="majorEastAsia" w:hAnsi="Arial" w:cs="Arial"/>
          <w:sz w:val="24"/>
          <w:szCs w:val="24"/>
        </w:rPr>
      </w:pPr>
      <w:r w:rsidRPr="003F0114">
        <w:rPr>
          <w:rFonts w:ascii="Arial" w:eastAsiaTheme="majorEastAsia" w:hAnsi="Arial" w:cs="Arial"/>
          <w:sz w:val="24"/>
          <w:szCs w:val="24"/>
        </w:rPr>
        <w:t xml:space="preserve">All three recommendations must be done together. Isolated interventions will be difficult. Without mentors, an exploratory fund is of little use, and mentors will fail if the executive bonus structure still penalises risk-taking. It is through the combination of cultural realignment and structural financial protection that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can succeed in decentralising decision-making and bringing autonomy closer to the front line (Hamel &amp; </w:t>
      </w:r>
      <w:r w:rsidRPr="003F0114">
        <w:rPr>
          <w:rFonts w:ascii="Arial" w:eastAsiaTheme="majorEastAsia" w:hAnsi="Arial" w:cs="Arial"/>
          <w:sz w:val="24"/>
          <w:szCs w:val="24"/>
        </w:rPr>
        <w:lastRenderedPageBreak/>
        <w:t>Zanini, 2018). The hybrid approach balances statutory compliance and strategic agility to deploy innovative community solutions</w:t>
      </w:r>
      <w:r w:rsidRPr="003F0114">
        <w:rPr>
          <w:rFonts w:ascii="Arial" w:eastAsiaTheme="majorEastAsia" w:hAnsi="Arial" w:cs="Arial"/>
          <w:sz w:val="24"/>
          <w:szCs w:val="24"/>
        </w:rPr>
        <w:t>.</w:t>
      </w:r>
    </w:p>
    <w:p w14:paraId="62E1D82E" w14:textId="77777777" w:rsidR="006469FA" w:rsidRPr="003F0114" w:rsidRDefault="006469FA" w:rsidP="006469FA">
      <w:pPr>
        <w:pStyle w:val="Heading2"/>
        <w:rPr>
          <w:rFonts w:cs="Arial"/>
          <w:sz w:val="24"/>
          <w:szCs w:val="24"/>
        </w:rPr>
      </w:pPr>
      <w:bookmarkStart w:id="8" w:name="_Toc239630393"/>
      <w:r w:rsidRPr="003F0114">
        <w:rPr>
          <w:rFonts w:cs="Arial"/>
          <w:sz w:val="24"/>
          <w:szCs w:val="24"/>
        </w:rPr>
        <w:t>5.0 Conclusion</w:t>
      </w:r>
      <w:bookmarkEnd w:id="8"/>
    </w:p>
    <w:p w14:paraId="0D2F5799" w14:textId="77777777" w:rsidR="006469FA" w:rsidRPr="003F0114" w:rsidRDefault="006469FA" w:rsidP="006469FA">
      <w:pPr>
        <w:rPr>
          <w:rFonts w:ascii="Arial" w:eastAsiaTheme="majorEastAsia" w:hAnsi="Arial" w:cs="Arial"/>
          <w:sz w:val="24"/>
          <w:szCs w:val="24"/>
        </w:rPr>
      </w:pPr>
    </w:p>
    <w:p w14:paraId="65C7D253" w14:textId="6C4037DC" w:rsidR="00EF0131" w:rsidRPr="003F0114" w:rsidRDefault="006469FA" w:rsidP="006469FA">
      <w:pPr>
        <w:rPr>
          <w:rFonts w:ascii="Arial" w:eastAsiaTheme="majorEastAsia" w:hAnsi="Arial" w:cs="Arial"/>
          <w:sz w:val="24"/>
          <w:szCs w:val="24"/>
        </w:rPr>
      </w:pP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has the structural scale to innovate, but its strategic agility is constrained by cultural and process constraints. The organisation culturally constrains the contribution of the employee to basic obedience and diligence (Hamel, 2007). This is driven by a fear-based shadow culture (Schein, 2010). It erodes the intrinsic motivation that is needed for creative work on the front line (Amabile, 1988). The association is, in process, starved of the exploratory flexibility required to deal with community issues that are complex and high in uncertainty (Pearson, 1990) by the heavy use of rigid financial gating (Cooper, 1990). Real innovation in the heavily regulated social housing sector cannot be like unregulated industries and must remain statutorily compliant. But this current defensive operating model is not sustainable. The new operational pipelines cannot work if the underlying cultural fears about regulatory risk are not addressed. To succeed in navigating the pressures of a growing sector and addressing complex tenant crises,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must be committed to structural and cultural change concurrently. This will prevent mandatory compliance from killing strategic progress.</w:t>
      </w:r>
    </w:p>
    <w:p w14:paraId="017A77EB" w14:textId="77777777" w:rsidR="006469FA" w:rsidRPr="003F0114" w:rsidRDefault="006469FA" w:rsidP="006469FA">
      <w:pPr>
        <w:pStyle w:val="Heading2"/>
        <w:rPr>
          <w:rFonts w:cs="Arial"/>
        </w:rPr>
      </w:pPr>
      <w:bookmarkStart w:id="9" w:name="_Toc239630394"/>
      <w:r w:rsidRPr="003F0114">
        <w:rPr>
          <w:rFonts w:cs="Arial"/>
        </w:rPr>
        <w:t>6.0 References</w:t>
      </w:r>
      <w:bookmarkEnd w:id="9"/>
    </w:p>
    <w:p w14:paraId="177C9C81" w14:textId="77777777" w:rsidR="006469FA" w:rsidRPr="003F0114" w:rsidRDefault="006469FA" w:rsidP="006469FA">
      <w:pPr>
        <w:rPr>
          <w:rFonts w:ascii="Arial" w:hAnsi="Arial" w:cs="Arial"/>
        </w:rPr>
      </w:pPr>
    </w:p>
    <w:p w14:paraId="52571A28"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 xml:space="preserve">Amabile, T. M. (1988). A model of creativity and innovation in organizations. Research in Organizational </w:t>
      </w:r>
      <w:proofErr w:type="spellStart"/>
      <w:r w:rsidRPr="003F0114">
        <w:rPr>
          <w:rFonts w:ascii="Arial" w:eastAsiaTheme="majorEastAsia" w:hAnsi="Arial" w:cs="Arial"/>
          <w:sz w:val="24"/>
          <w:szCs w:val="24"/>
        </w:rPr>
        <w:t>Behavior</w:t>
      </w:r>
      <w:proofErr w:type="spellEnd"/>
      <w:r w:rsidRPr="003F0114">
        <w:rPr>
          <w:rFonts w:ascii="Arial" w:eastAsiaTheme="majorEastAsia" w:hAnsi="Arial" w:cs="Arial"/>
          <w:sz w:val="24"/>
          <w:szCs w:val="24"/>
        </w:rPr>
        <w:t>, 10, 123–167.</w:t>
      </w:r>
    </w:p>
    <w:p w14:paraId="72935BAD"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Amabile, T. M. (1998). How to kill creativity. Harvard Business Review, 76(5), 76–87.</w:t>
      </w:r>
    </w:p>
    <w:p w14:paraId="1A30FDC7"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Cooper, R. G. (1990). Stage-gate systems: A new tool for managing new products. Business Horizons, 33(3), 44–54.</w:t>
      </w:r>
    </w:p>
    <w:p w14:paraId="64846D6B"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Cooper, R. G. (2011). Winning at new products: Creating value through innovation (4th ed.). Basic Books.</w:t>
      </w:r>
    </w:p>
    <w:p w14:paraId="47668F91"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De Bono, E. (2017). Six thinking hats. Penguin Books. (Original work published 1985).</w:t>
      </w:r>
    </w:p>
    <w:p w14:paraId="449E8485"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Drucker, P. F. (1994). The theory of the business. Harvard Business Review, 72(5), 95–104.</w:t>
      </w:r>
    </w:p>
    <w:p w14:paraId="104EA9CD"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 xml:space="preserve">Funk, A. (2025, November 10). Welsh landlord </w:t>
      </w: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xml:space="preserve"> told to compensate residents over damp and mould failings. Housing Today. https://www.housingtoday.co.uk/news/welsh-landlord-trivallis-told-to-compensate-residents-over-damp-and-mould-failings/5139183.article</w:t>
      </w:r>
    </w:p>
    <w:p w14:paraId="34D4DBE4"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Hamel, G. (2007). The future of management. Harvard Business School Press.</w:t>
      </w:r>
    </w:p>
    <w:p w14:paraId="65047911"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Hamel, G. (2012). What matters now: How to win in a world of relentless change, ferocious competition, and unstoppable innovation. Jossey-Bass.</w:t>
      </w:r>
    </w:p>
    <w:p w14:paraId="77A566B3"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lastRenderedPageBreak/>
        <w:t>Hamel, G., &amp; Zanini, M. (2018). The end of bureaucracy. Harvard Business Review, 96(6), 50–59.</w:t>
      </w:r>
    </w:p>
    <w:p w14:paraId="1F61E5F4"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Lewis, F. (2024, March 12). Homes in Welsh village evacuated due to 'critical' bubbly concrete fears. North Wales Live. https://www.dailypost.co.uk/news/homes-welsh-village-evacuated-due-28802013</w:t>
      </w:r>
    </w:p>
    <w:p w14:paraId="09BF7DF6"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Nonaka, I., &amp; Takeuchi, H. (1995). The knowledge-creating company: How Japanese companies create the dynamics of innovation. Oxford University Press.</w:t>
      </w:r>
    </w:p>
    <w:p w14:paraId="12500250"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 xml:space="preserve">Pearson, A. W. (1990). Innovation strategy. </w:t>
      </w:r>
      <w:proofErr w:type="spellStart"/>
      <w:r w:rsidRPr="003F0114">
        <w:rPr>
          <w:rFonts w:ascii="Arial" w:eastAsiaTheme="majorEastAsia" w:hAnsi="Arial" w:cs="Arial"/>
          <w:sz w:val="24"/>
          <w:szCs w:val="24"/>
        </w:rPr>
        <w:t>Technovation</w:t>
      </w:r>
      <w:proofErr w:type="spellEnd"/>
      <w:r w:rsidRPr="003F0114">
        <w:rPr>
          <w:rFonts w:ascii="Arial" w:eastAsiaTheme="majorEastAsia" w:hAnsi="Arial" w:cs="Arial"/>
          <w:sz w:val="24"/>
          <w:szCs w:val="24"/>
        </w:rPr>
        <w:t>, 10(3), 185–192.</w:t>
      </w:r>
    </w:p>
    <w:p w14:paraId="22757687"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Rivkin, J. W., Leonard, D., &amp; Hamel, G. (2005). Change at Whirlpool Corporation (A). Harvard Business School Case 705-462.</w:t>
      </w:r>
    </w:p>
    <w:p w14:paraId="0F50ED1E"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Runco, M. A., &amp; Jaeger, G. J. (2012). The standard definition of creativity. Creativity Research Journal, 24(1), 92–96. https://doi.org/10.1080/10400419.2012.650092</w:t>
      </w:r>
    </w:p>
    <w:p w14:paraId="2EA543BC"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Schein, E. H. (2010). Organizational culture and leadership (4th ed.). Jossey-Bass.</w:t>
      </w:r>
    </w:p>
    <w:p w14:paraId="152440BE"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Senge, P. M. (1990). The fifth discipline: The art and practice of the learning organization. Doubleday.</w:t>
      </w:r>
    </w:p>
    <w:p w14:paraId="2AD46A67" w14:textId="77777777" w:rsidR="006469FA"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Tidd, J., &amp; Bessant, J. R. (2018). Managing innovation: Integrating technological, market and organizational change (6th ed.). John Wiley &amp; Sons.</w:t>
      </w:r>
    </w:p>
    <w:p w14:paraId="3202BFCB" w14:textId="77777777" w:rsidR="006469FA" w:rsidRPr="003F0114" w:rsidRDefault="006469FA" w:rsidP="006469FA">
      <w:pPr>
        <w:rPr>
          <w:rFonts w:ascii="Arial" w:eastAsiaTheme="majorEastAsia" w:hAnsi="Arial" w:cs="Arial"/>
          <w:sz w:val="24"/>
          <w:szCs w:val="24"/>
        </w:rPr>
      </w:pPr>
      <w:proofErr w:type="spellStart"/>
      <w:r w:rsidRPr="003F0114">
        <w:rPr>
          <w:rFonts w:ascii="Arial" w:eastAsiaTheme="majorEastAsia" w:hAnsi="Arial" w:cs="Arial"/>
          <w:sz w:val="24"/>
          <w:szCs w:val="24"/>
        </w:rPr>
        <w:t>Trivallis</w:t>
      </w:r>
      <w:proofErr w:type="spellEnd"/>
      <w:r w:rsidRPr="003F0114">
        <w:rPr>
          <w:rFonts w:ascii="Arial" w:eastAsiaTheme="majorEastAsia" w:hAnsi="Arial" w:cs="Arial"/>
          <w:sz w:val="24"/>
          <w:szCs w:val="24"/>
        </w:rPr>
        <w:t>. (n.d.). About us. Retrieved August 26, 2026, from https://trivallis.co.uk/about-us/</w:t>
      </w:r>
    </w:p>
    <w:p w14:paraId="7766DD1E" w14:textId="5A8D0637" w:rsidR="002049FE" w:rsidRPr="003F0114" w:rsidRDefault="006469FA" w:rsidP="006469FA">
      <w:pPr>
        <w:rPr>
          <w:rFonts w:ascii="Arial" w:eastAsiaTheme="majorEastAsia" w:hAnsi="Arial" w:cs="Arial"/>
          <w:sz w:val="24"/>
          <w:szCs w:val="24"/>
        </w:rPr>
      </w:pPr>
      <w:r w:rsidRPr="003F0114">
        <w:rPr>
          <w:rFonts w:ascii="Arial" w:eastAsiaTheme="majorEastAsia" w:hAnsi="Arial" w:cs="Arial"/>
          <w:sz w:val="24"/>
          <w:szCs w:val="24"/>
        </w:rPr>
        <w:t>Welsh Housing Quarterly. (n.d.). Regulation update. Retrieved August 26, 2026, from https://whq.org.uk/the-magazine/issue/126/regulation-update-17/</w:t>
      </w:r>
    </w:p>
    <w:sectPr w:rsidR="002049FE" w:rsidRPr="003F0114" w:rsidSect="008C64BC">
      <w:headerReference w:type="default" r:id="rId12"/>
      <w:footerReference w:type="default" r:id="rId1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7D503B" w14:textId="77777777" w:rsidR="00474FE3" w:rsidRDefault="00474FE3" w:rsidP="008C64BC">
      <w:pPr>
        <w:spacing w:after="0" w:line="240" w:lineRule="auto"/>
      </w:pPr>
      <w:r>
        <w:separator/>
      </w:r>
    </w:p>
  </w:endnote>
  <w:endnote w:type="continuationSeparator" w:id="0">
    <w:p w14:paraId="0EAF3537" w14:textId="77777777" w:rsidR="00474FE3" w:rsidRDefault="00474FE3" w:rsidP="008C6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C89BBD" w14:textId="5A405050" w:rsidR="0064358A" w:rsidRDefault="0064358A" w:rsidP="0064358A">
    <w:pPr>
      <w:pStyle w:val="Footer"/>
      <w:tabs>
        <w:tab w:val="clear" w:pos="4513"/>
        <w:tab w:val="clear" w:pos="9026"/>
        <w:tab w:val="left" w:pos="922"/>
      </w:tabs>
    </w:pPr>
    <w:r>
      <w:t>C Rees</w:t>
    </w:r>
    <w:r>
      <w:tab/>
    </w:r>
    <w:r>
      <w:tab/>
    </w:r>
    <w:r>
      <w:tab/>
    </w:r>
    <w:r>
      <w:tab/>
    </w:r>
    <w:r>
      <w:tab/>
    </w:r>
    <w:r>
      <w:tab/>
    </w:r>
    <w:r>
      <w:tab/>
    </w:r>
    <w:r>
      <w:tab/>
    </w:r>
    <w:r>
      <w:tab/>
    </w:r>
    <w:r>
      <w:tab/>
    </w:r>
    <w:r>
      <w:tab/>
      <w:t xml:space="preserve">             1708875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A4AB70" w14:textId="77777777" w:rsidR="00474FE3" w:rsidRDefault="00474FE3" w:rsidP="008C64BC">
      <w:pPr>
        <w:spacing w:after="0" w:line="240" w:lineRule="auto"/>
      </w:pPr>
      <w:r>
        <w:separator/>
      </w:r>
    </w:p>
  </w:footnote>
  <w:footnote w:type="continuationSeparator" w:id="0">
    <w:p w14:paraId="7F35AF58" w14:textId="77777777" w:rsidR="00474FE3" w:rsidRDefault="00474FE3" w:rsidP="008C6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19734856"/>
      <w:docPartObj>
        <w:docPartGallery w:val="Page Numbers (Top of Page)"/>
        <w:docPartUnique/>
      </w:docPartObj>
    </w:sdtPr>
    <w:sdtEndPr>
      <w:rPr>
        <w:noProof/>
      </w:rPr>
    </w:sdtEndPr>
    <w:sdtContent>
      <w:p w14:paraId="5A17AAC6" w14:textId="309A1ED7" w:rsidR="008C64BC" w:rsidRDefault="008C64B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CA0721" w14:textId="77777777" w:rsidR="008C64BC" w:rsidRDefault="008C6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5C7BE0"/>
    <w:multiLevelType w:val="multilevel"/>
    <w:tmpl w:val="23EEB38C"/>
    <w:lvl w:ilvl="0">
      <w:start w:val="1"/>
      <w:numFmt w:val="decimal"/>
      <w:lvlText w:val="%1.0"/>
      <w:lvlJc w:val="left"/>
      <w:pPr>
        <w:ind w:left="440" w:hanging="440"/>
      </w:pPr>
      <w:rPr>
        <w:rFonts w:hint="default"/>
      </w:rPr>
    </w:lvl>
    <w:lvl w:ilvl="1">
      <w:start w:val="1"/>
      <w:numFmt w:val="decimal"/>
      <w:lvlText w:val="%1.%2"/>
      <w:lvlJc w:val="left"/>
      <w:pPr>
        <w:ind w:left="1160" w:hanging="4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54377385">
    <w:abstractNumId w:val="5"/>
  </w:num>
  <w:num w:numId="2" w16cid:durableId="894202091">
    <w:abstractNumId w:val="9"/>
  </w:num>
  <w:num w:numId="3" w16cid:durableId="1831363317">
    <w:abstractNumId w:val="3"/>
  </w:num>
  <w:num w:numId="4" w16cid:durableId="735324236">
    <w:abstractNumId w:val="7"/>
  </w:num>
  <w:num w:numId="5" w16cid:durableId="563567238">
    <w:abstractNumId w:val="1"/>
  </w:num>
  <w:num w:numId="6" w16cid:durableId="810057554">
    <w:abstractNumId w:val="4"/>
  </w:num>
  <w:num w:numId="7" w16cid:durableId="1972244971">
    <w:abstractNumId w:val="0"/>
  </w:num>
  <w:num w:numId="8" w16cid:durableId="968125061">
    <w:abstractNumId w:val="12"/>
  </w:num>
  <w:num w:numId="9" w16cid:durableId="2117287988">
    <w:abstractNumId w:val="6"/>
  </w:num>
  <w:num w:numId="10" w16cid:durableId="1374308502">
    <w:abstractNumId w:val="10"/>
  </w:num>
  <w:num w:numId="11" w16cid:durableId="101147628">
    <w:abstractNumId w:val="8"/>
  </w:num>
  <w:num w:numId="12" w16cid:durableId="2080469824">
    <w:abstractNumId w:val="2"/>
  </w:num>
  <w:num w:numId="13" w16cid:durableId="1361973596">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45C47"/>
    <w:rsid w:val="000470E9"/>
    <w:rsid w:val="000578CE"/>
    <w:rsid w:val="0006008A"/>
    <w:rsid w:val="000A0015"/>
    <w:rsid w:val="000A61C9"/>
    <w:rsid w:val="000C5E1B"/>
    <w:rsid w:val="000D2086"/>
    <w:rsid w:val="00102B62"/>
    <w:rsid w:val="0011003E"/>
    <w:rsid w:val="001130F2"/>
    <w:rsid w:val="0015027C"/>
    <w:rsid w:val="00171357"/>
    <w:rsid w:val="001828EE"/>
    <w:rsid w:val="001836B1"/>
    <w:rsid w:val="001E6A6C"/>
    <w:rsid w:val="001F5437"/>
    <w:rsid w:val="002049FE"/>
    <w:rsid w:val="0021380A"/>
    <w:rsid w:val="00252E68"/>
    <w:rsid w:val="00255FC4"/>
    <w:rsid w:val="00276A31"/>
    <w:rsid w:val="00284720"/>
    <w:rsid w:val="00285D09"/>
    <w:rsid w:val="0029465D"/>
    <w:rsid w:val="00296FAF"/>
    <w:rsid w:val="002C4CAC"/>
    <w:rsid w:val="0030173B"/>
    <w:rsid w:val="0030202B"/>
    <w:rsid w:val="00322C2E"/>
    <w:rsid w:val="00331B7F"/>
    <w:rsid w:val="003860FB"/>
    <w:rsid w:val="00391011"/>
    <w:rsid w:val="003B602D"/>
    <w:rsid w:val="003C3B33"/>
    <w:rsid w:val="003C4A80"/>
    <w:rsid w:val="003D34E8"/>
    <w:rsid w:val="003F0114"/>
    <w:rsid w:val="003F64EA"/>
    <w:rsid w:val="003F69D6"/>
    <w:rsid w:val="0046229B"/>
    <w:rsid w:val="00474FE3"/>
    <w:rsid w:val="00481CB5"/>
    <w:rsid w:val="004F03CD"/>
    <w:rsid w:val="0051013F"/>
    <w:rsid w:val="00513050"/>
    <w:rsid w:val="005225BF"/>
    <w:rsid w:val="00556364"/>
    <w:rsid w:val="00586056"/>
    <w:rsid w:val="0059562E"/>
    <w:rsid w:val="005D5E30"/>
    <w:rsid w:val="00611CDB"/>
    <w:rsid w:val="0062657F"/>
    <w:rsid w:val="00634AE8"/>
    <w:rsid w:val="0064358A"/>
    <w:rsid w:val="006469FA"/>
    <w:rsid w:val="00670D2E"/>
    <w:rsid w:val="00671CBC"/>
    <w:rsid w:val="006B2157"/>
    <w:rsid w:val="006E6FE8"/>
    <w:rsid w:val="00715A8B"/>
    <w:rsid w:val="0074098E"/>
    <w:rsid w:val="0075131B"/>
    <w:rsid w:val="007A0F0B"/>
    <w:rsid w:val="007A7DB8"/>
    <w:rsid w:val="007E734B"/>
    <w:rsid w:val="007F6D91"/>
    <w:rsid w:val="008138EC"/>
    <w:rsid w:val="008346D5"/>
    <w:rsid w:val="00885114"/>
    <w:rsid w:val="008909A1"/>
    <w:rsid w:val="008A1155"/>
    <w:rsid w:val="008B498D"/>
    <w:rsid w:val="008C2930"/>
    <w:rsid w:val="008C64BC"/>
    <w:rsid w:val="008E29F3"/>
    <w:rsid w:val="008F2B5B"/>
    <w:rsid w:val="008F51C2"/>
    <w:rsid w:val="009556EE"/>
    <w:rsid w:val="00964538"/>
    <w:rsid w:val="009A01DB"/>
    <w:rsid w:val="009D0524"/>
    <w:rsid w:val="00A3471E"/>
    <w:rsid w:val="00A4397C"/>
    <w:rsid w:val="00A43CC0"/>
    <w:rsid w:val="00A45277"/>
    <w:rsid w:val="00A51F56"/>
    <w:rsid w:val="00A90A1F"/>
    <w:rsid w:val="00A91384"/>
    <w:rsid w:val="00A930CB"/>
    <w:rsid w:val="00A976D8"/>
    <w:rsid w:val="00AA0E12"/>
    <w:rsid w:val="00AB2338"/>
    <w:rsid w:val="00AB4149"/>
    <w:rsid w:val="00AE79EE"/>
    <w:rsid w:val="00B02818"/>
    <w:rsid w:val="00B220CB"/>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E0498E"/>
    <w:rsid w:val="00E24560"/>
    <w:rsid w:val="00E642D3"/>
    <w:rsid w:val="00E750E6"/>
    <w:rsid w:val="00E82EAC"/>
    <w:rsid w:val="00E9394F"/>
    <w:rsid w:val="00EB1FDF"/>
    <w:rsid w:val="00EC64A7"/>
    <w:rsid w:val="00EC674C"/>
    <w:rsid w:val="00EF0131"/>
    <w:rsid w:val="00EF3ED4"/>
    <w:rsid w:val="00F25094"/>
    <w:rsid w:val="00F334D8"/>
    <w:rsid w:val="00F53EF8"/>
    <w:rsid w:val="00F75D71"/>
    <w:rsid w:val="00F91F18"/>
    <w:rsid w:val="00FA3DD1"/>
    <w:rsid w:val="00FA3F78"/>
    <w:rsid w:val="00FA5D69"/>
    <w:rsid w:val="00FB1C91"/>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03E"/>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11003E"/>
    <w:pPr>
      <w:keepNext/>
      <w:keepLines/>
      <w:spacing w:before="40" w:after="0"/>
      <w:outlineLvl w:val="1"/>
    </w:pPr>
    <w:rPr>
      <w:rFonts w:ascii="Arial" w:eastAsiaTheme="majorEastAsia" w:hAnsi="Arial" w:cstheme="majorBidi"/>
      <w:sz w:val="26"/>
      <w:szCs w:val="26"/>
    </w:rPr>
  </w:style>
  <w:style w:type="paragraph" w:styleId="Heading3">
    <w:name w:val="heading 3"/>
    <w:basedOn w:val="Normal"/>
    <w:next w:val="Normal"/>
    <w:link w:val="Heading3Char"/>
    <w:uiPriority w:val="9"/>
    <w:unhideWhenUsed/>
    <w:qFormat/>
    <w:rsid w:val="0011003E"/>
    <w:pPr>
      <w:keepNext/>
      <w:keepLines/>
      <w:spacing w:before="40" w:after="0"/>
      <w:outlineLvl w:val="2"/>
    </w:pPr>
    <w:rPr>
      <w:rFonts w:ascii="Arial" w:eastAsiaTheme="majorEastAsia" w:hAnsi="Arial"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1003E"/>
    <w:rPr>
      <w:rFonts w:ascii="Arial" w:eastAsiaTheme="majorEastAsia" w:hAnsi="Arial" w:cstheme="majorBidi"/>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11003E"/>
    <w:rPr>
      <w:rFonts w:ascii="Arial" w:eastAsiaTheme="majorEastAsia" w:hAnsi="Arial" w:cstheme="majorBidi"/>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Spacing">
    <w:name w:val="No Spacing"/>
    <w:uiPriority w:val="1"/>
    <w:qFormat/>
    <w:rsid w:val="0011003E"/>
    <w:pPr>
      <w:spacing w:after="0" w:line="240" w:lineRule="auto"/>
    </w:pPr>
    <w:rPr>
      <w:rFonts w:ascii="Arial" w:hAnsi="Arial"/>
    </w:rPr>
  </w:style>
  <w:style w:type="character" w:customStyle="1" w:styleId="Heading3Char">
    <w:name w:val="Heading 3 Char"/>
    <w:basedOn w:val="DefaultParagraphFont"/>
    <w:link w:val="Heading3"/>
    <w:uiPriority w:val="9"/>
    <w:rsid w:val="0011003E"/>
    <w:rPr>
      <w:rFonts w:ascii="Arial" w:eastAsiaTheme="majorEastAsia" w:hAnsi="Arial" w:cstheme="majorBidi"/>
      <w:sz w:val="24"/>
      <w:szCs w:val="24"/>
    </w:rPr>
  </w:style>
  <w:style w:type="paragraph" w:styleId="Footer">
    <w:name w:val="footer"/>
    <w:basedOn w:val="Normal"/>
    <w:link w:val="FooterChar"/>
    <w:uiPriority w:val="99"/>
    <w:unhideWhenUsed/>
    <w:rsid w:val="008C6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4BC"/>
  </w:style>
  <w:style w:type="character" w:styleId="CommentReference">
    <w:name w:val="annotation reference"/>
    <w:basedOn w:val="DefaultParagraphFont"/>
    <w:uiPriority w:val="99"/>
    <w:semiHidden/>
    <w:unhideWhenUsed/>
    <w:rsid w:val="000A0015"/>
    <w:rPr>
      <w:sz w:val="16"/>
      <w:szCs w:val="16"/>
    </w:rPr>
  </w:style>
  <w:style w:type="paragraph" w:styleId="CommentText">
    <w:name w:val="annotation text"/>
    <w:basedOn w:val="Normal"/>
    <w:link w:val="CommentTextChar"/>
    <w:uiPriority w:val="99"/>
    <w:semiHidden/>
    <w:unhideWhenUsed/>
    <w:rsid w:val="000A0015"/>
    <w:pPr>
      <w:spacing w:line="240" w:lineRule="auto"/>
    </w:pPr>
    <w:rPr>
      <w:sz w:val="20"/>
      <w:szCs w:val="20"/>
    </w:rPr>
  </w:style>
  <w:style w:type="character" w:customStyle="1" w:styleId="CommentTextChar">
    <w:name w:val="Comment Text Char"/>
    <w:basedOn w:val="DefaultParagraphFont"/>
    <w:link w:val="CommentText"/>
    <w:uiPriority w:val="99"/>
    <w:semiHidden/>
    <w:rsid w:val="000A0015"/>
    <w:rPr>
      <w:sz w:val="20"/>
      <w:szCs w:val="20"/>
    </w:rPr>
  </w:style>
  <w:style w:type="paragraph" w:styleId="CommentSubject">
    <w:name w:val="annotation subject"/>
    <w:basedOn w:val="CommentText"/>
    <w:next w:val="CommentText"/>
    <w:link w:val="CommentSubjectChar"/>
    <w:uiPriority w:val="99"/>
    <w:semiHidden/>
    <w:unhideWhenUsed/>
    <w:rsid w:val="000A0015"/>
    <w:rPr>
      <w:b/>
      <w:bCs/>
    </w:rPr>
  </w:style>
  <w:style w:type="character" w:customStyle="1" w:styleId="CommentSubjectChar">
    <w:name w:val="Comment Subject Char"/>
    <w:basedOn w:val="CommentTextChar"/>
    <w:link w:val="CommentSubject"/>
    <w:uiPriority w:val="99"/>
    <w:semiHidden/>
    <w:rsid w:val="000A0015"/>
    <w:rPr>
      <w:b/>
      <w:bCs/>
      <w:sz w:val="20"/>
      <w:szCs w:val="20"/>
    </w:rPr>
  </w:style>
  <w:style w:type="paragraph" w:styleId="TOC3">
    <w:name w:val="toc 3"/>
    <w:basedOn w:val="Normal"/>
    <w:next w:val="Normal"/>
    <w:autoRedefine/>
    <w:uiPriority w:val="39"/>
    <w:unhideWhenUsed/>
    <w:rsid w:val="006469F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0da293a-0dbd-4904-82a6-8d6fcb176a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CAFEF08826C64EBE54FD43692B34CD" ma:contentTypeVersion="8" ma:contentTypeDescription="Create a new document." ma:contentTypeScope="" ma:versionID="8b97c4a56f1500ba1c0191099d1369b9">
  <xsd:schema xmlns:xsd="http://www.w3.org/2001/XMLSchema" xmlns:xs="http://www.w3.org/2001/XMLSchema" xmlns:p="http://schemas.microsoft.com/office/2006/metadata/properties" xmlns:ns2="c0da293a-0dbd-4904-82a6-8d6fcb176aaa" xmlns:ns3="cc769acd-a1d8-41cb-a717-92876a9cc82e" targetNamespace="http://schemas.microsoft.com/office/2006/metadata/properties" ma:root="true" ma:fieldsID="26698bd5b7e28626367b0f6c8b7f6eaa" ns2:_="" ns3:_="">
    <xsd:import namespace="c0da293a-0dbd-4904-82a6-8d6fcb176aaa"/>
    <xsd:import namespace="cc769acd-a1d8-41cb-a717-92876a9cc82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a293a-0dbd-4904-82a6-8d6fcb176a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0b99b24-d381-4d52-8b11-1a49c84e66fb}"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cc769acd-a1d8-41cb-a717-92876a9cc82e"/>
    <ds:schemaRef ds:uri="c0da293a-0dbd-4904-82a6-8d6fcb176aaa"/>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49F2672-1534-4396-A158-05BF60A77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a293a-0dbd-4904-82a6-8d6fcb176aaa"/>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4897</Words>
  <Characters>27914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32746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Assignmant template 2022</dc:subject>
  <dc:creator>Julia Ault</dc:creator>
  <cp:keywords/>
  <dc:description/>
  <cp:lastModifiedBy>Christopher Rees (1708875)</cp:lastModifiedBy>
  <cp:revision>5</cp:revision>
  <dcterms:created xsi:type="dcterms:W3CDTF">2026-09-06T22:40:00Z</dcterms:created>
  <dcterms:modified xsi:type="dcterms:W3CDTF">2026-09-06T22:46:00Z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0x0101005BCAFEF08826C64EBE54FD43692B34CD</vt:lpwstr>
  </property>
</Properties>
</file>