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7324" w:rsidRDefault="0029553B" w:rsidP="0029553B">
      <w:pPr>
        <w:jc w:val="center"/>
        <w:rPr>
          <w:b/>
          <w:sz w:val="28"/>
          <w:szCs w:val="28"/>
        </w:rPr>
      </w:pPr>
      <w:r>
        <w:rPr>
          <w:b/>
          <w:noProof/>
          <w:sz w:val="28"/>
          <w:szCs w:val="28"/>
          <w:lang w:eastAsia="en-GB"/>
        </w:rPr>
        <w:drawing>
          <wp:inline distT="0" distB="0" distL="0" distR="0">
            <wp:extent cx="5731510" cy="28105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new-feb.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810510"/>
                    </a:xfrm>
                    <a:prstGeom prst="rect">
                      <a:avLst/>
                    </a:prstGeom>
                  </pic:spPr>
                </pic:pic>
              </a:graphicData>
            </a:graphic>
          </wp:inline>
        </w:drawing>
      </w:r>
    </w:p>
    <w:p w:rsidR="00757324" w:rsidRDefault="00757324" w:rsidP="00ED4660">
      <w:pPr>
        <w:jc w:val="center"/>
        <w:rPr>
          <w:b/>
          <w:sz w:val="28"/>
          <w:szCs w:val="28"/>
        </w:rPr>
      </w:pPr>
    </w:p>
    <w:p w:rsidR="00ED4660" w:rsidRPr="00C83A82" w:rsidRDefault="00ED4660" w:rsidP="00ED4660">
      <w:pPr>
        <w:tabs>
          <w:tab w:val="left" w:pos="6540"/>
        </w:tabs>
        <w:spacing w:line="360" w:lineRule="auto"/>
        <w:jc w:val="center"/>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proofErr w:type="spellStart"/>
      <w:r w:rsidRPr="00C572DA">
        <w:rPr>
          <w:rFonts w:ascii="Arial" w:hAnsi="Arial" w:cs="Arial"/>
          <w:sz w:val="28"/>
          <w:szCs w:val="28"/>
        </w:rPr>
        <w:t>Rupa</w:t>
      </w:r>
      <w:proofErr w:type="spellEnd"/>
      <w:r w:rsidRPr="00C572DA">
        <w:rPr>
          <w:rFonts w:ascii="Arial" w:hAnsi="Arial" w:cs="Arial"/>
          <w:sz w:val="28"/>
          <w:szCs w:val="28"/>
        </w:rPr>
        <w:t xml:space="preserve"> </w:t>
      </w:r>
      <w:proofErr w:type="spellStart"/>
      <w:r w:rsidRPr="00C572DA">
        <w:rPr>
          <w:rFonts w:ascii="Arial" w:hAnsi="Arial" w:cs="Arial"/>
          <w:sz w:val="28"/>
          <w:szCs w:val="28"/>
        </w:rPr>
        <w:t>Mondal</w:t>
      </w:r>
      <w:proofErr w:type="spellEnd"/>
    </w:p>
    <w:p w:rsidR="00ED4660" w:rsidRPr="00C83A82" w:rsidRDefault="00ED4660" w:rsidP="00ED4660">
      <w:pPr>
        <w:tabs>
          <w:tab w:val="left" w:pos="6540"/>
        </w:tabs>
        <w:spacing w:line="360" w:lineRule="auto"/>
        <w:jc w:val="center"/>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w:t>
      </w:r>
      <w:r w:rsidRPr="00C572DA">
        <w:rPr>
          <w:rFonts w:ascii="Arial" w:hAnsi="Arial" w:cs="Arial"/>
          <w:sz w:val="28"/>
          <w:szCs w:val="28"/>
          <w:lang w:val="nl-NL"/>
        </w:rPr>
        <w:t>2530821</w:t>
      </w:r>
    </w:p>
    <w:p w:rsidR="00ED4660" w:rsidRPr="00C83A82" w:rsidRDefault="00ED4660" w:rsidP="00ED4660">
      <w:pPr>
        <w:tabs>
          <w:tab w:val="left" w:pos="6540"/>
        </w:tabs>
        <w:spacing w:line="360" w:lineRule="auto"/>
        <w:jc w:val="center"/>
        <w:rPr>
          <w:rFonts w:ascii="Arial" w:hAnsi="Arial" w:cs="Arial"/>
          <w:sz w:val="28"/>
          <w:szCs w:val="28"/>
          <w:lang w:val="nl-NL"/>
        </w:rPr>
      </w:pPr>
    </w:p>
    <w:p w:rsidR="00ED4660" w:rsidRPr="00C83A82" w:rsidRDefault="00ED4660" w:rsidP="00ED4660">
      <w:pPr>
        <w:tabs>
          <w:tab w:val="left" w:pos="6540"/>
        </w:tabs>
        <w:spacing w:line="360" w:lineRule="auto"/>
        <w:jc w:val="center"/>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Pr="00C572DA">
        <w:rPr>
          <w:rFonts w:ascii="Arial" w:hAnsi="Arial" w:cs="Arial"/>
          <w:sz w:val="28"/>
          <w:szCs w:val="28"/>
          <w:lang w:val="nl-NL"/>
        </w:rPr>
        <w:t>Introduction to Health and Social Care</w:t>
      </w:r>
    </w:p>
    <w:p w:rsidR="00ED4660" w:rsidRPr="0020413D" w:rsidRDefault="00ED4660" w:rsidP="00ED4660">
      <w:pPr>
        <w:tabs>
          <w:tab w:val="left" w:pos="6540"/>
        </w:tabs>
        <w:spacing w:line="360" w:lineRule="auto"/>
        <w:jc w:val="center"/>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w:t>
      </w:r>
      <w:r w:rsidRPr="00C572DA">
        <w:rPr>
          <w:rFonts w:ascii="Arial" w:hAnsi="Arial" w:cs="Arial"/>
          <w:sz w:val="28"/>
          <w:szCs w:val="28"/>
        </w:rPr>
        <w:t>LCHS4003</w:t>
      </w:r>
    </w:p>
    <w:p w:rsidR="00ED4660" w:rsidRDefault="00ED4660" w:rsidP="00ED4660">
      <w:pPr>
        <w:jc w:val="center"/>
        <w:rPr>
          <w:rFonts w:ascii="Arial" w:hAnsi="Arial" w:cs="Arial"/>
          <w:sz w:val="28"/>
          <w:szCs w:val="28"/>
        </w:rPr>
      </w:pPr>
      <w:r w:rsidRPr="0020413D">
        <w:rPr>
          <w:rFonts w:ascii="Arial" w:hAnsi="Arial" w:cs="Arial"/>
          <w:b/>
          <w:bCs/>
          <w:sz w:val="28"/>
          <w:szCs w:val="28"/>
        </w:rPr>
        <w:t>Lecturer name</w:t>
      </w:r>
      <w:r>
        <w:t xml:space="preserve">: </w:t>
      </w:r>
      <w:r w:rsidRPr="00695278">
        <w:rPr>
          <w:rFonts w:ascii="Helvetica" w:hAnsi="Helvetica"/>
          <w:b/>
          <w:color w:val="242130"/>
          <w:sz w:val="28"/>
          <w:szCs w:val="28"/>
          <w:shd w:val="clear" w:color="auto" w:fill="FFFFFF"/>
        </w:rPr>
        <w:t>Sam Parker</w:t>
      </w:r>
      <w:r w:rsidRPr="00C572DA">
        <w:rPr>
          <w:rFonts w:ascii="Arial" w:hAnsi="Arial" w:cs="Arial"/>
          <w:sz w:val="28"/>
          <w:szCs w:val="28"/>
        </w:rPr>
        <w:t xml:space="preserve"> (Module Leader)</w:t>
      </w:r>
    </w:p>
    <w:p w:rsidR="00DF353A" w:rsidRPr="00DF353A" w:rsidRDefault="00DF353A" w:rsidP="00ED4660">
      <w:pPr>
        <w:jc w:val="center"/>
        <w:rPr>
          <w:rFonts w:ascii="Arial" w:hAnsi="Arial" w:cs="Arial"/>
          <w:sz w:val="28"/>
          <w:szCs w:val="28"/>
        </w:rPr>
      </w:pPr>
      <w:r w:rsidRPr="00DF353A">
        <w:rPr>
          <w:rFonts w:ascii="Arial" w:hAnsi="Arial" w:cs="Arial"/>
          <w:b/>
          <w:sz w:val="28"/>
          <w:szCs w:val="28"/>
        </w:rPr>
        <w:t>Case Study:</w:t>
      </w:r>
      <w:r>
        <w:rPr>
          <w:rFonts w:ascii="Arial" w:hAnsi="Arial" w:cs="Arial"/>
          <w:b/>
          <w:sz w:val="28"/>
          <w:szCs w:val="28"/>
        </w:rPr>
        <w:t xml:space="preserve"> Mrs Tho</w:t>
      </w:r>
      <w:bookmarkStart w:id="0" w:name="_GoBack"/>
      <w:bookmarkEnd w:id="0"/>
      <w:r>
        <w:rPr>
          <w:rFonts w:ascii="Arial" w:hAnsi="Arial" w:cs="Arial"/>
          <w:b/>
          <w:sz w:val="28"/>
          <w:szCs w:val="28"/>
        </w:rPr>
        <w:t>mpson</w:t>
      </w:r>
    </w:p>
    <w:p w:rsidR="00ED4660" w:rsidRDefault="00ED4660" w:rsidP="00ED4660">
      <w:pPr>
        <w:rPr>
          <w:rFonts w:ascii="Arial" w:hAnsi="Arial" w:cs="Arial"/>
          <w:sz w:val="28"/>
          <w:szCs w:val="28"/>
        </w:rPr>
      </w:pPr>
    </w:p>
    <w:p w:rsidR="00757324" w:rsidRDefault="00757324" w:rsidP="004610FB">
      <w:pPr>
        <w:jc w:val="both"/>
        <w:rPr>
          <w:b/>
          <w:sz w:val="28"/>
          <w:szCs w:val="28"/>
        </w:rPr>
      </w:pPr>
    </w:p>
    <w:p w:rsidR="00757324" w:rsidRDefault="00757324" w:rsidP="004610FB">
      <w:pPr>
        <w:jc w:val="both"/>
        <w:rPr>
          <w:b/>
          <w:sz w:val="28"/>
          <w:szCs w:val="28"/>
        </w:rPr>
      </w:pPr>
    </w:p>
    <w:p w:rsidR="00757324" w:rsidRDefault="00757324" w:rsidP="004610FB">
      <w:pPr>
        <w:jc w:val="both"/>
        <w:rPr>
          <w:b/>
          <w:sz w:val="28"/>
          <w:szCs w:val="28"/>
        </w:rPr>
      </w:pPr>
    </w:p>
    <w:p w:rsidR="00757324" w:rsidRDefault="00757324" w:rsidP="004610FB">
      <w:pPr>
        <w:jc w:val="both"/>
        <w:rPr>
          <w:b/>
          <w:sz w:val="28"/>
          <w:szCs w:val="28"/>
        </w:rPr>
      </w:pPr>
    </w:p>
    <w:p w:rsidR="00757324" w:rsidRDefault="00757324" w:rsidP="004610FB">
      <w:pPr>
        <w:jc w:val="both"/>
        <w:rPr>
          <w:b/>
          <w:sz w:val="28"/>
          <w:szCs w:val="28"/>
        </w:rPr>
      </w:pPr>
    </w:p>
    <w:p w:rsidR="0029553B" w:rsidRDefault="0029553B" w:rsidP="004610FB">
      <w:pPr>
        <w:jc w:val="both"/>
        <w:rPr>
          <w:b/>
          <w:sz w:val="28"/>
          <w:szCs w:val="28"/>
        </w:rPr>
      </w:pPr>
    </w:p>
    <w:p w:rsidR="00E10193" w:rsidRDefault="00E10193" w:rsidP="004610FB">
      <w:pPr>
        <w:jc w:val="both"/>
        <w:rPr>
          <w:b/>
          <w:sz w:val="28"/>
          <w:szCs w:val="28"/>
        </w:rPr>
      </w:pPr>
    </w:p>
    <w:p w:rsidR="00E10193" w:rsidRDefault="00E10193" w:rsidP="004610FB">
      <w:pPr>
        <w:jc w:val="both"/>
        <w:rPr>
          <w:b/>
          <w:sz w:val="28"/>
          <w:szCs w:val="28"/>
        </w:rPr>
      </w:pPr>
    </w:p>
    <w:p w:rsidR="00E10193" w:rsidRDefault="00E10193" w:rsidP="004610FB">
      <w:pPr>
        <w:jc w:val="both"/>
        <w:rPr>
          <w:b/>
          <w:sz w:val="28"/>
          <w:szCs w:val="28"/>
        </w:rPr>
      </w:pPr>
    </w:p>
    <w:p w:rsidR="00E10193" w:rsidRDefault="00E10193" w:rsidP="004610FB">
      <w:pPr>
        <w:jc w:val="both"/>
        <w:rPr>
          <w:b/>
          <w:sz w:val="28"/>
          <w:szCs w:val="28"/>
        </w:rPr>
      </w:pPr>
    </w:p>
    <w:p w:rsidR="00E10193" w:rsidRDefault="00E10193" w:rsidP="004610FB">
      <w:pPr>
        <w:jc w:val="both"/>
        <w:rPr>
          <w:b/>
          <w:sz w:val="28"/>
          <w:szCs w:val="28"/>
        </w:rPr>
      </w:pPr>
    </w:p>
    <w:p w:rsidR="0029553B" w:rsidRDefault="0029553B" w:rsidP="004610FB">
      <w:pPr>
        <w:jc w:val="both"/>
        <w:rPr>
          <w:b/>
          <w:sz w:val="28"/>
          <w:szCs w:val="28"/>
        </w:rPr>
      </w:pPr>
    </w:p>
    <w:p w:rsidR="0029553B" w:rsidRDefault="001417D1" w:rsidP="004610FB">
      <w:pPr>
        <w:jc w:val="both"/>
        <w:rPr>
          <w:rFonts w:ascii="Arial" w:eastAsiaTheme="majorEastAsia" w:hAnsi="Arial" w:cs="Arial"/>
          <w:b/>
          <w:bCs/>
          <w:color w:val="000000" w:themeColor="text1"/>
          <w:sz w:val="28"/>
          <w:szCs w:val="28"/>
          <w:lang w:val="en-US"/>
        </w:rPr>
      </w:pPr>
      <w:r>
        <w:rPr>
          <w:rFonts w:ascii="Arial" w:eastAsiaTheme="majorEastAsia" w:hAnsi="Arial" w:cs="Arial"/>
          <w:b/>
          <w:bCs/>
          <w:color w:val="000000" w:themeColor="text1"/>
          <w:sz w:val="28"/>
          <w:szCs w:val="28"/>
          <w:lang w:val="en-US"/>
        </w:rPr>
        <w:t>Table of Content</w:t>
      </w:r>
    </w:p>
    <w:p w:rsidR="00435151" w:rsidRPr="002112AE" w:rsidRDefault="00435151" w:rsidP="002112AE">
      <w:pPr>
        <w:spacing w:line="360" w:lineRule="auto"/>
        <w:jc w:val="both"/>
        <w:rPr>
          <w:rFonts w:ascii="Arial" w:eastAsiaTheme="majorEastAsia" w:hAnsi="Arial" w:cs="Arial"/>
          <w:b/>
          <w:bCs/>
          <w:color w:val="000000" w:themeColor="text1"/>
          <w:lang w:val="en-US"/>
        </w:rPr>
      </w:pPr>
    </w:p>
    <w:p w:rsidR="0029553B" w:rsidRPr="002112AE" w:rsidRDefault="00435151" w:rsidP="002112AE">
      <w:pPr>
        <w:spacing w:line="360" w:lineRule="auto"/>
        <w:jc w:val="both"/>
        <w:rPr>
          <w:rFonts w:ascii="Arial" w:hAnsi="Arial" w:cs="Arial"/>
        </w:rPr>
      </w:pPr>
      <w:r w:rsidRPr="002112AE">
        <w:rPr>
          <w:rFonts w:ascii="Arial" w:hAnsi="Arial" w:cs="Arial"/>
        </w:rPr>
        <w:t xml:space="preserve">Introduction ………….………………………………………………………………………….3 </w:t>
      </w:r>
      <w:r w:rsidR="001417D1" w:rsidRPr="002112AE">
        <w:rPr>
          <w:rFonts w:ascii="Arial" w:hAnsi="Arial" w:cs="Arial"/>
        </w:rPr>
        <w:t xml:space="preserve">Effective </w:t>
      </w:r>
      <w:proofErr w:type="gramStart"/>
      <w:r w:rsidR="001417D1" w:rsidRPr="002112AE">
        <w:rPr>
          <w:rFonts w:ascii="Arial" w:hAnsi="Arial" w:cs="Arial"/>
        </w:rPr>
        <w:t>Communication</w:t>
      </w:r>
      <w:r w:rsidRPr="002112AE">
        <w:rPr>
          <w:rFonts w:ascii="Arial" w:hAnsi="Arial" w:cs="Arial"/>
        </w:rPr>
        <w:t xml:space="preserve">  …</w:t>
      </w:r>
      <w:proofErr w:type="gramEnd"/>
      <w:r w:rsidRPr="002112AE">
        <w:rPr>
          <w:rFonts w:ascii="Arial" w:hAnsi="Arial" w:cs="Arial"/>
        </w:rPr>
        <w:t>.………………………………</w:t>
      </w:r>
      <w:r w:rsidR="002112AE">
        <w:rPr>
          <w:rFonts w:ascii="Arial" w:hAnsi="Arial" w:cs="Arial"/>
        </w:rPr>
        <w:t>…..</w:t>
      </w:r>
      <w:r w:rsidR="001417D1" w:rsidRPr="002112AE">
        <w:rPr>
          <w:rFonts w:ascii="Arial" w:hAnsi="Arial" w:cs="Arial"/>
        </w:rPr>
        <w:t>…………………………………….3</w:t>
      </w:r>
    </w:p>
    <w:p w:rsidR="001417D1" w:rsidRPr="002112AE" w:rsidRDefault="001417D1" w:rsidP="002112AE">
      <w:pPr>
        <w:spacing w:line="360" w:lineRule="auto"/>
        <w:jc w:val="both"/>
        <w:rPr>
          <w:rFonts w:ascii="Arial" w:hAnsi="Arial" w:cs="Arial"/>
        </w:rPr>
      </w:pPr>
      <w:r w:rsidRPr="002112AE">
        <w:rPr>
          <w:rFonts w:ascii="Arial" w:hAnsi="Arial" w:cs="Arial"/>
        </w:rPr>
        <w:t xml:space="preserve">Good Administrative Skills and Record Keeping </w:t>
      </w:r>
      <w:r w:rsidR="00435151" w:rsidRPr="002112AE">
        <w:rPr>
          <w:rFonts w:ascii="Arial" w:hAnsi="Arial" w:cs="Arial"/>
        </w:rPr>
        <w:t>……………</w:t>
      </w:r>
      <w:r w:rsidR="002112AE">
        <w:rPr>
          <w:rFonts w:ascii="Arial" w:hAnsi="Arial" w:cs="Arial"/>
        </w:rPr>
        <w:t>…….</w:t>
      </w:r>
      <w:r w:rsidR="00435151" w:rsidRPr="002112AE">
        <w:rPr>
          <w:rFonts w:ascii="Arial" w:hAnsi="Arial" w:cs="Arial"/>
        </w:rPr>
        <w:t>…………………………</w:t>
      </w:r>
      <w:r w:rsidRPr="002112AE">
        <w:rPr>
          <w:rFonts w:ascii="Arial" w:hAnsi="Arial" w:cs="Arial"/>
        </w:rPr>
        <w:t>…….5</w:t>
      </w:r>
    </w:p>
    <w:p w:rsidR="00435151" w:rsidRPr="002112AE" w:rsidRDefault="00435151" w:rsidP="002112AE">
      <w:pPr>
        <w:spacing w:line="360" w:lineRule="auto"/>
        <w:jc w:val="both"/>
        <w:rPr>
          <w:rFonts w:ascii="Arial" w:hAnsi="Arial" w:cs="Arial"/>
        </w:rPr>
      </w:pPr>
      <w:r w:rsidRPr="002112AE">
        <w:rPr>
          <w:rFonts w:ascii="Arial" w:hAnsi="Arial" w:cs="Arial"/>
        </w:rPr>
        <w:t xml:space="preserve">Working </w:t>
      </w:r>
      <w:proofErr w:type="gramStart"/>
      <w:r w:rsidRPr="002112AE">
        <w:rPr>
          <w:rFonts w:ascii="Arial" w:hAnsi="Arial" w:cs="Arial"/>
        </w:rPr>
        <w:t>Collaboratively .</w:t>
      </w:r>
      <w:proofErr w:type="gramEnd"/>
      <w:r w:rsidRPr="002112AE">
        <w:rPr>
          <w:rFonts w:ascii="Arial" w:hAnsi="Arial" w:cs="Arial"/>
        </w:rPr>
        <w:t>…………………………………………………</w:t>
      </w:r>
      <w:r w:rsidR="002112AE">
        <w:rPr>
          <w:rFonts w:ascii="Arial" w:hAnsi="Arial" w:cs="Arial"/>
        </w:rPr>
        <w:t>..</w:t>
      </w:r>
      <w:r w:rsidRPr="002112AE">
        <w:rPr>
          <w:rFonts w:ascii="Arial" w:hAnsi="Arial" w:cs="Arial"/>
        </w:rPr>
        <w:t>…………………………6</w:t>
      </w:r>
    </w:p>
    <w:p w:rsidR="00435151" w:rsidRPr="002112AE" w:rsidRDefault="00435151" w:rsidP="002112AE">
      <w:pPr>
        <w:spacing w:line="360" w:lineRule="auto"/>
        <w:jc w:val="both"/>
        <w:rPr>
          <w:rFonts w:ascii="Arial" w:hAnsi="Arial" w:cs="Arial"/>
        </w:rPr>
      </w:pPr>
      <w:r w:rsidRPr="002112AE">
        <w:rPr>
          <w:rFonts w:ascii="Arial" w:hAnsi="Arial" w:cs="Arial"/>
        </w:rPr>
        <w:t>Conclusion …………………………………………………………</w:t>
      </w:r>
      <w:r w:rsidR="002112AE">
        <w:rPr>
          <w:rFonts w:ascii="Arial" w:hAnsi="Arial" w:cs="Arial"/>
        </w:rPr>
        <w:t>.</w:t>
      </w:r>
      <w:r w:rsidRPr="002112AE">
        <w:rPr>
          <w:rFonts w:ascii="Arial" w:hAnsi="Arial" w:cs="Arial"/>
        </w:rPr>
        <w:t>…………………………………7</w:t>
      </w:r>
    </w:p>
    <w:p w:rsidR="00435151" w:rsidRPr="002112AE" w:rsidRDefault="00435151" w:rsidP="002112AE">
      <w:pPr>
        <w:spacing w:line="360" w:lineRule="auto"/>
        <w:jc w:val="both"/>
        <w:rPr>
          <w:rFonts w:ascii="Arial" w:hAnsi="Arial" w:cs="Arial"/>
        </w:rPr>
      </w:pPr>
      <w:proofErr w:type="spellStart"/>
      <w:r w:rsidRPr="002112AE">
        <w:rPr>
          <w:rFonts w:ascii="Arial" w:hAnsi="Arial" w:cs="Arial"/>
        </w:rPr>
        <w:t>Referance</w:t>
      </w:r>
      <w:proofErr w:type="spellEnd"/>
      <w:r w:rsidRPr="002112AE">
        <w:rPr>
          <w:rFonts w:ascii="Arial" w:hAnsi="Arial" w:cs="Arial"/>
        </w:rPr>
        <w:t xml:space="preserve"> …..</w:t>
      </w:r>
      <w:proofErr w:type="gramStart"/>
      <w:r w:rsidRPr="002112AE">
        <w:rPr>
          <w:rFonts w:ascii="Arial" w:hAnsi="Arial" w:cs="Arial"/>
        </w:rPr>
        <w:t>………………………………………</w:t>
      </w:r>
      <w:r w:rsidR="002112AE">
        <w:rPr>
          <w:rFonts w:ascii="Arial" w:hAnsi="Arial" w:cs="Arial"/>
        </w:rPr>
        <w:t>..</w:t>
      </w:r>
      <w:r w:rsidRPr="002112AE">
        <w:rPr>
          <w:rFonts w:ascii="Arial" w:hAnsi="Arial" w:cs="Arial"/>
        </w:rPr>
        <w:t>………………………………………………</w:t>
      </w:r>
      <w:proofErr w:type="gramEnd"/>
      <w:r w:rsidRPr="002112AE">
        <w:rPr>
          <w:rFonts w:ascii="Arial" w:hAnsi="Arial" w:cs="Arial"/>
        </w:rPr>
        <w:t>..8</w:t>
      </w:r>
    </w:p>
    <w:p w:rsidR="00ED4660" w:rsidRPr="002112AE" w:rsidRDefault="00ED4660" w:rsidP="004610FB">
      <w:pPr>
        <w:jc w:val="both"/>
        <w:rPr>
          <w:rFonts w:ascii="Arial" w:hAnsi="Arial" w:cs="Arial"/>
        </w:rPr>
      </w:pPr>
    </w:p>
    <w:p w:rsidR="00ED4660" w:rsidRDefault="00ED4660" w:rsidP="004610FB">
      <w:pPr>
        <w:jc w:val="both"/>
        <w:rPr>
          <w:b/>
          <w:sz w:val="28"/>
          <w:szCs w:val="28"/>
        </w:rPr>
      </w:pPr>
    </w:p>
    <w:p w:rsidR="00ED4660" w:rsidRDefault="00ED4660" w:rsidP="004610FB">
      <w:pPr>
        <w:jc w:val="both"/>
        <w:rPr>
          <w:b/>
          <w:sz w:val="28"/>
          <w:szCs w:val="28"/>
        </w:rPr>
      </w:pPr>
    </w:p>
    <w:p w:rsidR="00ED4660" w:rsidRDefault="00ED4660" w:rsidP="004610FB">
      <w:pPr>
        <w:jc w:val="both"/>
        <w:rPr>
          <w:b/>
          <w:sz w:val="28"/>
          <w:szCs w:val="28"/>
        </w:rPr>
      </w:pPr>
    </w:p>
    <w:p w:rsidR="0029553B" w:rsidRDefault="0029553B" w:rsidP="004610FB">
      <w:pPr>
        <w:jc w:val="both"/>
        <w:rPr>
          <w:b/>
          <w:sz w:val="28"/>
          <w:szCs w:val="28"/>
        </w:rPr>
      </w:pPr>
    </w:p>
    <w:p w:rsidR="0029553B" w:rsidRDefault="0029553B" w:rsidP="004610FB">
      <w:pPr>
        <w:jc w:val="both"/>
        <w:rPr>
          <w:b/>
          <w:sz w:val="28"/>
          <w:szCs w:val="28"/>
        </w:rPr>
      </w:pPr>
    </w:p>
    <w:p w:rsidR="0029553B" w:rsidRDefault="0029553B" w:rsidP="004610FB">
      <w:pPr>
        <w:jc w:val="both"/>
        <w:rPr>
          <w:b/>
          <w:sz w:val="28"/>
          <w:szCs w:val="28"/>
        </w:rPr>
      </w:pPr>
    </w:p>
    <w:p w:rsidR="0029553B" w:rsidRDefault="0029553B" w:rsidP="004610FB">
      <w:pPr>
        <w:jc w:val="both"/>
        <w:rPr>
          <w:b/>
          <w:sz w:val="28"/>
          <w:szCs w:val="28"/>
        </w:rPr>
      </w:pPr>
    </w:p>
    <w:p w:rsidR="0029553B" w:rsidRDefault="0029553B" w:rsidP="001417D1">
      <w:pPr>
        <w:jc w:val="center"/>
        <w:rPr>
          <w:b/>
          <w:sz w:val="28"/>
          <w:szCs w:val="28"/>
        </w:rPr>
      </w:pPr>
    </w:p>
    <w:p w:rsidR="0029553B" w:rsidRDefault="0029553B" w:rsidP="004610FB">
      <w:pPr>
        <w:jc w:val="both"/>
        <w:rPr>
          <w:b/>
          <w:sz w:val="28"/>
          <w:szCs w:val="28"/>
        </w:rPr>
      </w:pPr>
    </w:p>
    <w:p w:rsidR="0029553B" w:rsidRDefault="0029553B" w:rsidP="004610FB">
      <w:pPr>
        <w:jc w:val="both"/>
        <w:rPr>
          <w:b/>
          <w:sz w:val="28"/>
          <w:szCs w:val="28"/>
        </w:rPr>
      </w:pPr>
    </w:p>
    <w:p w:rsidR="0029553B" w:rsidRDefault="0029553B" w:rsidP="004610FB">
      <w:pPr>
        <w:jc w:val="both"/>
        <w:rPr>
          <w:b/>
          <w:sz w:val="28"/>
          <w:szCs w:val="28"/>
        </w:rPr>
      </w:pPr>
    </w:p>
    <w:p w:rsidR="0029553B" w:rsidRDefault="0029553B" w:rsidP="004610FB">
      <w:pPr>
        <w:jc w:val="both"/>
        <w:rPr>
          <w:b/>
          <w:sz w:val="28"/>
          <w:szCs w:val="28"/>
        </w:rPr>
      </w:pPr>
    </w:p>
    <w:p w:rsidR="0029553B" w:rsidRDefault="0029553B" w:rsidP="004610FB">
      <w:pPr>
        <w:jc w:val="both"/>
        <w:rPr>
          <w:b/>
          <w:sz w:val="28"/>
          <w:szCs w:val="28"/>
        </w:rPr>
      </w:pPr>
    </w:p>
    <w:p w:rsidR="0029553B" w:rsidRDefault="0029553B" w:rsidP="004610FB">
      <w:pPr>
        <w:jc w:val="both"/>
        <w:rPr>
          <w:b/>
          <w:sz w:val="28"/>
          <w:szCs w:val="28"/>
        </w:rPr>
      </w:pPr>
    </w:p>
    <w:p w:rsidR="0029553B" w:rsidRDefault="0029553B" w:rsidP="004610FB">
      <w:pPr>
        <w:jc w:val="both"/>
        <w:rPr>
          <w:b/>
          <w:sz w:val="28"/>
          <w:szCs w:val="28"/>
        </w:rPr>
      </w:pPr>
    </w:p>
    <w:p w:rsidR="00757324" w:rsidRDefault="00757324" w:rsidP="004610FB">
      <w:pPr>
        <w:jc w:val="both"/>
        <w:rPr>
          <w:b/>
          <w:sz w:val="28"/>
          <w:szCs w:val="28"/>
        </w:rPr>
      </w:pPr>
    </w:p>
    <w:p w:rsidR="00757324" w:rsidRDefault="00757324" w:rsidP="004610FB">
      <w:pPr>
        <w:jc w:val="both"/>
        <w:rPr>
          <w:b/>
          <w:sz w:val="28"/>
          <w:szCs w:val="28"/>
        </w:rPr>
      </w:pPr>
    </w:p>
    <w:p w:rsidR="00757324" w:rsidRDefault="00757324" w:rsidP="004610FB">
      <w:pPr>
        <w:jc w:val="both"/>
        <w:rPr>
          <w:b/>
          <w:sz w:val="28"/>
          <w:szCs w:val="28"/>
        </w:rPr>
      </w:pPr>
    </w:p>
    <w:p w:rsidR="001417D1" w:rsidRDefault="001417D1" w:rsidP="004610FB">
      <w:pPr>
        <w:jc w:val="both"/>
        <w:rPr>
          <w:b/>
          <w:sz w:val="28"/>
          <w:szCs w:val="28"/>
        </w:rPr>
      </w:pPr>
    </w:p>
    <w:p w:rsidR="001417D1" w:rsidRDefault="001417D1" w:rsidP="004610FB">
      <w:pPr>
        <w:jc w:val="both"/>
        <w:rPr>
          <w:b/>
          <w:sz w:val="28"/>
          <w:szCs w:val="28"/>
        </w:rPr>
      </w:pPr>
    </w:p>
    <w:p w:rsidR="001417D1" w:rsidRDefault="001417D1" w:rsidP="004610FB">
      <w:pPr>
        <w:jc w:val="both"/>
        <w:rPr>
          <w:b/>
          <w:sz w:val="28"/>
          <w:szCs w:val="28"/>
        </w:rPr>
      </w:pPr>
    </w:p>
    <w:p w:rsidR="00E10193" w:rsidRDefault="00E10193" w:rsidP="004610FB">
      <w:pPr>
        <w:jc w:val="both"/>
        <w:rPr>
          <w:b/>
          <w:sz w:val="28"/>
          <w:szCs w:val="28"/>
        </w:rPr>
      </w:pPr>
    </w:p>
    <w:p w:rsidR="004610FB" w:rsidRPr="001417D1" w:rsidRDefault="004C2791" w:rsidP="001417D1">
      <w:pPr>
        <w:rPr>
          <w:b/>
          <w:sz w:val="28"/>
          <w:szCs w:val="28"/>
        </w:rPr>
      </w:pPr>
      <w:r w:rsidRPr="001417D1">
        <w:rPr>
          <w:b/>
          <w:sz w:val="28"/>
          <w:szCs w:val="28"/>
        </w:rPr>
        <w:t>Introduction</w:t>
      </w:r>
    </w:p>
    <w:p w:rsidR="004C2791" w:rsidRPr="004610FB" w:rsidRDefault="004C2791" w:rsidP="004610FB">
      <w:pPr>
        <w:spacing w:line="360" w:lineRule="auto"/>
        <w:jc w:val="both"/>
        <w:rPr>
          <w:rFonts w:ascii="Arial" w:hAnsi="Arial" w:cs="Arial"/>
        </w:rPr>
      </w:pPr>
      <w:r w:rsidRPr="004610FB">
        <w:rPr>
          <w:rFonts w:ascii="Arial" w:hAnsi="Arial" w:cs="Arial"/>
        </w:rPr>
        <w:t xml:space="preserve">The care of </w:t>
      </w:r>
      <w:proofErr w:type="spellStart"/>
      <w:r w:rsidRPr="004610FB">
        <w:rPr>
          <w:rFonts w:ascii="Arial" w:hAnsi="Arial" w:cs="Arial"/>
        </w:rPr>
        <w:t>Mrs.</w:t>
      </w:r>
      <w:proofErr w:type="spellEnd"/>
      <w:r w:rsidRPr="004610FB">
        <w:rPr>
          <w:rFonts w:ascii="Arial" w:hAnsi="Arial" w:cs="Arial"/>
        </w:rPr>
        <w:t xml:space="preserve"> Thompson, an 84-year-old woman with moderate dementia who lives alone and receives daily care assistance, is examined in this study. She was just released from the hospital after contracting pneumonia. She has had trouble remembering her medicine, missing doses and getting disoriented. She was also discovered outside in inappropriate clothing in cold weather. The local council is currently reviewing her situation, which raises significant issues about the planning, sharing, and documentation of care.</w:t>
      </w:r>
    </w:p>
    <w:p w:rsidR="004C2791" w:rsidRDefault="004C2791" w:rsidP="004610FB">
      <w:pPr>
        <w:spacing w:line="360" w:lineRule="auto"/>
        <w:jc w:val="both"/>
        <w:rPr>
          <w:rFonts w:ascii="Arial" w:hAnsi="Arial" w:cs="Arial"/>
        </w:rPr>
      </w:pPr>
      <w:r w:rsidRPr="004610FB">
        <w:rPr>
          <w:rFonts w:ascii="Arial" w:hAnsi="Arial" w:cs="Arial"/>
        </w:rPr>
        <w:t xml:space="preserve">The report examines a number of important topics, including how effective communication keeps </w:t>
      </w:r>
      <w:proofErr w:type="spellStart"/>
      <w:r w:rsidRPr="004610FB">
        <w:rPr>
          <w:rFonts w:ascii="Arial" w:hAnsi="Arial" w:cs="Arial"/>
        </w:rPr>
        <w:t>Mrs.</w:t>
      </w:r>
      <w:proofErr w:type="spellEnd"/>
      <w:r w:rsidRPr="004610FB">
        <w:rPr>
          <w:rFonts w:ascii="Arial" w:hAnsi="Arial" w:cs="Arial"/>
        </w:rPr>
        <w:t xml:space="preserve"> Thompson and her family informed and involved, why meticulous documentation and legal protections, like the Data Protection Act of 2018, are crucial for her safety and privacy, and how collaboration amongst various professionals, including carers, general practitioners, and community nurses, keeps crucial details from being overlooked. It makes use of laws, regulations, and best practices to highlight areas that require improvement as well as strategies for ensuring </w:t>
      </w:r>
      <w:proofErr w:type="spellStart"/>
      <w:r w:rsidRPr="004610FB">
        <w:rPr>
          <w:rFonts w:ascii="Arial" w:hAnsi="Arial" w:cs="Arial"/>
        </w:rPr>
        <w:t>Mrs.</w:t>
      </w:r>
      <w:proofErr w:type="spellEnd"/>
      <w:r w:rsidRPr="004610FB">
        <w:rPr>
          <w:rFonts w:ascii="Arial" w:hAnsi="Arial" w:cs="Arial"/>
        </w:rPr>
        <w:t xml:space="preserve"> Thompson is respected, safe, and supported going forward.</w:t>
      </w:r>
    </w:p>
    <w:p w:rsidR="004610FB" w:rsidRPr="004610FB" w:rsidRDefault="004610FB" w:rsidP="004610FB">
      <w:pPr>
        <w:spacing w:line="360" w:lineRule="auto"/>
        <w:jc w:val="both"/>
        <w:rPr>
          <w:rFonts w:ascii="Arial" w:hAnsi="Arial" w:cs="Arial"/>
        </w:rPr>
      </w:pPr>
    </w:p>
    <w:p w:rsidR="00372EE8" w:rsidRPr="001417D1" w:rsidRDefault="00372EE8" w:rsidP="001417D1">
      <w:pPr>
        <w:jc w:val="both"/>
        <w:rPr>
          <w:b/>
          <w:sz w:val="28"/>
          <w:szCs w:val="28"/>
        </w:rPr>
      </w:pPr>
      <w:r w:rsidRPr="001417D1">
        <w:rPr>
          <w:b/>
          <w:sz w:val="28"/>
          <w:szCs w:val="28"/>
        </w:rPr>
        <w:t>Effective Communication in Mrs Thompson’s Care</w:t>
      </w:r>
    </w:p>
    <w:p w:rsidR="004610FB" w:rsidRPr="003825B5" w:rsidRDefault="004610FB" w:rsidP="004610FB">
      <w:pPr>
        <w:jc w:val="both"/>
        <w:rPr>
          <w:b/>
          <w:sz w:val="28"/>
          <w:szCs w:val="28"/>
        </w:rPr>
      </w:pPr>
    </w:p>
    <w:p w:rsidR="000275A7" w:rsidRPr="004610FB" w:rsidRDefault="007A4F48" w:rsidP="004610FB">
      <w:pPr>
        <w:spacing w:line="360" w:lineRule="auto"/>
        <w:jc w:val="both"/>
        <w:rPr>
          <w:rFonts w:ascii="Arial" w:hAnsi="Arial" w:cs="Arial"/>
        </w:rPr>
      </w:pPr>
      <w:r w:rsidRPr="004610FB">
        <w:rPr>
          <w:rFonts w:ascii="Arial" w:hAnsi="Arial" w:cs="Arial"/>
        </w:rPr>
        <w:t xml:space="preserve">Effective communication is the cornerstone of person-centred, safe care. In order to guarantee that </w:t>
      </w:r>
      <w:proofErr w:type="spellStart"/>
      <w:r w:rsidRPr="004610FB">
        <w:rPr>
          <w:rFonts w:ascii="Arial" w:hAnsi="Arial" w:cs="Arial"/>
        </w:rPr>
        <w:t>Mrs.</w:t>
      </w:r>
      <w:proofErr w:type="spellEnd"/>
      <w:r w:rsidRPr="004610FB">
        <w:rPr>
          <w:rFonts w:ascii="Arial" w:hAnsi="Arial" w:cs="Arial"/>
        </w:rPr>
        <w:t xml:space="preserve"> Thompson, an 84-year-old woman with moderate dementia who is recuperating from pneumonia, knows her medication regimen, stays secure, and maintains her dignity and choice, it is crucial to have clear and tailored communication. Misunderstandings can result in missed medicine, uncertainty, and avoidable hazards in the absence of clear communication, as seen when she was discovered outside in inappropriate clothing in cold weather after missing two days of medication. Additionally, correct sharing between care providers, the general practitioner, personnel in sheltered housing, families, and council reviewers is made possible by good communication, guaranteeing constant coordinated assistance (Moonie, 2021).</w:t>
      </w:r>
    </w:p>
    <w:p w:rsidR="004610FB" w:rsidRPr="004610FB" w:rsidRDefault="00375B41" w:rsidP="004610FB">
      <w:pPr>
        <w:spacing w:line="360" w:lineRule="auto"/>
        <w:jc w:val="both"/>
        <w:rPr>
          <w:rFonts w:ascii="Arial" w:hAnsi="Arial" w:cs="Arial"/>
        </w:rPr>
      </w:pPr>
      <w:r w:rsidRPr="004610FB">
        <w:rPr>
          <w:rFonts w:ascii="Arial" w:hAnsi="Arial" w:cs="Arial"/>
        </w:rPr>
        <w:t xml:space="preserve">According to the Equality Act 2010, which acknowledges disability as a protected feature and mandates reasonable accommodations to ensure she is not disadvantaged, practitioners must </w:t>
      </w:r>
      <w:r w:rsidRPr="004610FB">
        <w:rPr>
          <w:rFonts w:ascii="Arial" w:hAnsi="Arial" w:cs="Arial"/>
        </w:rPr>
        <w:lastRenderedPageBreak/>
        <w:t xml:space="preserve">modify their approach to </w:t>
      </w:r>
      <w:proofErr w:type="spellStart"/>
      <w:r w:rsidRPr="004610FB">
        <w:rPr>
          <w:rFonts w:ascii="Arial" w:hAnsi="Arial" w:cs="Arial"/>
        </w:rPr>
        <w:t>Mrs.</w:t>
      </w:r>
      <w:proofErr w:type="spellEnd"/>
      <w:r w:rsidRPr="004610FB">
        <w:rPr>
          <w:rFonts w:ascii="Arial" w:hAnsi="Arial" w:cs="Arial"/>
        </w:rPr>
        <w:t xml:space="preserve"> Thompson's needs while speaking with her. In order to assist her remember her prescription, it is important to talk clearly, use simple language, keep sentences brief, give her time to assimilate information, and provide visual aids or reminders. In order to minimise worry, which exacerbates uncertainty, communication should occur in a peaceful setting free from interruptions, use a comforting tone and encouraging body language. In order to protect her right to participate in decision-making despite cognitive disability, practitioners should listen to her attentively, assess understanding frequently, and always communicate with her, not just about her (Gleeson, 2022). Because her memory could change, information should be kept straightforward and repeated frequently.</w:t>
      </w:r>
    </w:p>
    <w:p w:rsidR="00B851F6" w:rsidRDefault="00B851F6" w:rsidP="004610FB">
      <w:pPr>
        <w:jc w:val="center"/>
      </w:pPr>
      <w:r>
        <w:rPr>
          <w:noProof/>
          <w:lang w:eastAsia="en-GB"/>
        </w:rPr>
        <w:drawing>
          <wp:inline distT="0" distB="0" distL="0" distR="0">
            <wp:extent cx="3330213" cy="320218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gyles-communication-cycle.jpg"/>
                    <pic:cNvPicPr/>
                  </pic:nvPicPr>
                  <pic:blipFill>
                    <a:blip r:embed="rId9">
                      <a:extLst>
                        <a:ext uri="{28A0092B-C50C-407E-A947-70E740481C1C}">
                          <a14:useLocalDpi xmlns:a14="http://schemas.microsoft.com/office/drawing/2010/main" val="0"/>
                        </a:ext>
                      </a:extLst>
                    </a:blip>
                    <a:stretch>
                      <a:fillRect/>
                    </a:stretch>
                  </pic:blipFill>
                  <pic:spPr>
                    <a:xfrm>
                      <a:off x="0" y="0"/>
                      <a:ext cx="3354894" cy="3225918"/>
                    </a:xfrm>
                    <a:prstGeom prst="rect">
                      <a:avLst/>
                    </a:prstGeom>
                  </pic:spPr>
                </pic:pic>
              </a:graphicData>
            </a:graphic>
          </wp:inline>
        </w:drawing>
      </w:r>
    </w:p>
    <w:p w:rsidR="00B851F6" w:rsidRDefault="00B851F6" w:rsidP="004610FB">
      <w:pPr>
        <w:jc w:val="center"/>
        <w:rPr>
          <w:b/>
        </w:rPr>
      </w:pPr>
      <w:r w:rsidRPr="00B851F6">
        <w:rPr>
          <w:b/>
        </w:rPr>
        <w:t>Argyle's Communication Cycle</w:t>
      </w:r>
    </w:p>
    <w:p w:rsidR="003825B5" w:rsidRPr="004610FB" w:rsidRDefault="003825B5" w:rsidP="004610FB">
      <w:pPr>
        <w:spacing w:line="360" w:lineRule="auto"/>
        <w:jc w:val="both"/>
        <w:rPr>
          <w:rFonts w:ascii="Arial" w:hAnsi="Arial" w:cs="Arial"/>
          <w:b/>
        </w:rPr>
      </w:pPr>
    </w:p>
    <w:p w:rsidR="00375B41" w:rsidRDefault="00375B41" w:rsidP="004610FB">
      <w:pPr>
        <w:spacing w:line="360" w:lineRule="auto"/>
        <w:jc w:val="both"/>
        <w:rPr>
          <w:rFonts w:ascii="Arial" w:hAnsi="Arial" w:cs="Arial"/>
        </w:rPr>
      </w:pPr>
      <w:r w:rsidRPr="004610FB">
        <w:rPr>
          <w:rFonts w:ascii="Arial" w:hAnsi="Arial" w:cs="Arial"/>
        </w:rPr>
        <w:t xml:space="preserve">Argyle's Communication Cycle, which outlines six stages—having an idea, coding the message, sending it, receiving it, decoding it, and offering feedback—is one useful framework (Argyle, 1972; referenced in Moonie, 2021). The message, "please take this medication twice a day," needs to be coded in a language that </w:t>
      </w:r>
      <w:proofErr w:type="spellStart"/>
      <w:r w:rsidRPr="004610FB">
        <w:rPr>
          <w:rFonts w:ascii="Arial" w:hAnsi="Arial" w:cs="Arial"/>
        </w:rPr>
        <w:t>Mrs.</w:t>
      </w:r>
      <w:proofErr w:type="spellEnd"/>
      <w:r w:rsidRPr="004610FB">
        <w:rPr>
          <w:rFonts w:ascii="Arial" w:hAnsi="Arial" w:cs="Arial"/>
        </w:rPr>
        <w:t xml:space="preserve"> Thompson can comprehend, devoid of technical terms, and accompanied by visual cues. Practitioners must aggressively seek feedback, such as asking her to repeat what she knows, to ensure the information has landed because she may have trouble remembering or decoding it due to her dementia.</w:t>
      </w:r>
      <w:r w:rsidR="003825B5" w:rsidRPr="004610FB">
        <w:rPr>
          <w:rFonts w:ascii="Arial" w:hAnsi="Arial" w:cs="Arial"/>
        </w:rPr>
        <w:t xml:space="preserve"> In the absence of this feedback loop, it is possible to assume that she knows when she doesn't, which can lead to misunderstanding and missed dosages. In order to ensure that communication is productive rather than one-way and to directly address the hurdles dementia imposes, it is important to check understanding, modify the message if required, and reaffirm agreement before ending the conversation.</w:t>
      </w: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Pr="004610FB" w:rsidRDefault="001417D1" w:rsidP="004610FB">
      <w:pPr>
        <w:spacing w:line="360" w:lineRule="auto"/>
        <w:jc w:val="both"/>
        <w:rPr>
          <w:rFonts w:ascii="Arial" w:hAnsi="Arial" w:cs="Arial"/>
        </w:rPr>
      </w:pPr>
    </w:p>
    <w:p w:rsidR="00F3792A" w:rsidRDefault="00F3792A" w:rsidP="004610FB">
      <w:pPr>
        <w:jc w:val="both"/>
      </w:pPr>
    </w:p>
    <w:p w:rsidR="003825B5" w:rsidRDefault="00F3792A" w:rsidP="004610FB">
      <w:pPr>
        <w:jc w:val="both"/>
        <w:rPr>
          <w:b/>
          <w:sz w:val="28"/>
          <w:szCs w:val="28"/>
        </w:rPr>
      </w:pPr>
      <w:r w:rsidRPr="00F3792A">
        <w:rPr>
          <w:b/>
          <w:sz w:val="28"/>
          <w:szCs w:val="28"/>
        </w:rPr>
        <w:t>Good Administrative Skills and Record Keeping in Mrs Thompson’s Care</w:t>
      </w:r>
    </w:p>
    <w:p w:rsidR="004610FB" w:rsidRPr="00F3792A" w:rsidRDefault="004610FB" w:rsidP="004610FB">
      <w:pPr>
        <w:jc w:val="both"/>
        <w:rPr>
          <w:b/>
          <w:sz w:val="28"/>
          <w:szCs w:val="28"/>
        </w:rPr>
      </w:pPr>
    </w:p>
    <w:p w:rsidR="003825B5" w:rsidRPr="004610FB" w:rsidRDefault="003825B5" w:rsidP="004610FB">
      <w:pPr>
        <w:spacing w:line="360" w:lineRule="auto"/>
        <w:jc w:val="both"/>
        <w:rPr>
          <w:rFonts w:ascii="Arial" w:hAnsi="Arial" w:cs="Arial"/>
        </w:rPr>
      </w:pPr>
      <w:r w:rsidRPr="004610FB">
        <w:rPr>
          <w:rFonts w:ascii="Arial" w:hAnsi="Arial" w:cs="Arial"/>
        </w:rPr>
        <w:t xml:space="preserve">Accurate record keeping and strong administrative abilities are essential for providing safe, efficient care. Regular recording guarantees consistency between twice-daily care visits, monitors medication adherence, and offers an audit trail should issues emerge for </w:t>
      </w:r>
      <w:proofErr w:type="spellStart"/>
      <w:r w:rsidRPr="004610FB">
        <w:rPr>
          <w:rFonts w:ascii="Arial" w:hAnsi="Arial" w:cs="Arial"/>
        </w:rPr>
        <w:t>Mrs.</w:t>
      </w:r>
      <w:proofErr w:type="spellEnd"/>
      <w:r w:rsidRPr="004610FB">
        <w:rPr>
          <w:rFonts w:ascii="Arial" w:hAnsi="Arial" w:cs="Arial"/>
        </w:rPr>
        <w:t xml:space="preserve"> Thompson, an 84-year-old with moderate dementia recuperating from pneumonia. Her failure to take her medicine and the fact that she was discovered wearing unsuitable clothing serve as examples of how timely and accurate documentation may have identified hazards earlier. In order to support person-centred care, minimise errors, and safeguard </w:t>
      </w:r>
      <w:proofErr w:type="spellStart"/>
      <w:r w:rsidRPr="004610FB">
        <w:rPr>
          <w:rFonts w:ascii="Arial" w:hAnsi="Arial" w:cs="Arial"/>
        </w:rPr>
        <w:t>Mrs.</w:t>
      </w:r>
      <w:proofErr w:type="spellEnd"/>
      <w:r w:rsidRPr="004610FB">
        <w:rPr>
          <w:rFonts w:ascii="Arial" w:hAnsi="Arial" w:cs="Arial"/>
        </w:rPr>
        <w:t xml:space="preserve"> Thompson and the professionals assisting her, good administration entails writing concisely, accurately, and clearly; storing information securely; sharing it appropriately; and keeping it current (Moonie, 2021).</w:t>
      </w:r>
    </w:p>
    <w:p w:rsidR="00F3792A" w:rsidRPr="004610FB" w:rsidRDefault="00F3792A" w:rsidP="004610FB">
      <w:pPr>
        <w:spacing w:line="360" w:lineRule="auto"/>
        <w:jc w:val="both"/>
        <w:rPr>
          <w:rFonts w:ascii="Arial" w:hAnsi="Arial" w:cs="Arial"/>
        </w:rPr>
      </w:pPr>
      <w:r w:rsidRPr="004610FB">
        <w:rPr>
          <w:rFonts w:ascii="Arial" w:hAnsi="Arial" w:cs="Arial"/>
        </w:rPr>
        <w:t xml:space="preserve">Not only paperwork, record keeping is required by law and regulation. Providers are required under Regulation 17 of the Health and Social Care Act 2008 (Regulated Activities) Regulations 2014 to securely retain a contemporaneous, accurate, and full record for every service user, including the choices made and the care given (CQC, 2025). In order for the GP and review team to see trends, verify the medication review, and comprehend why misunderstanding arose, </w:t>
      </w:r>
      <w:proofErr w:type="spellStart"/>
      <w:r w:rsidRPr="004610FB">
        <w:rPr>
          <w:rFonts w:ascii="Arial" w:hAnsi="Arial" w:cs="Arial"/>
        </w:rPr>
        <w:t>Mrs.</w:t>
      </w:r>
      <w:proofErr w:type="spellEnd"/>
      <w:r w:rsidRPr="004610FB">
        <w:rPr>
          <w:rFonts w:ascii="Arial" w:hAnsi="Arial" w:cs="Arial"/>
        </w:rPr>
        <w:t xml:space="preserve"> Thompson's medication administration record must explicitly document doses administered, missed, and any measures taken. Local authorities are required under the Care Act 2014 to maintain written records of evaluations and decisions, guaranteeing openness and keeping her welfare at the forefront of the council review (SCIE, 2024).</w:t>
      </w:r>
    </w:p>
    <w:p w:rsidR="00F3792A" w:rsidRDefault="00F3792A" w:rsidP="004610FB">
      <w:pPr>
        <w:spacing w:line="360" w:lineRule="auto"/>
        <w:jc w:val="both"/>
        <w:rPr>
          <w:rFonts w:ascii="Arial" w:hAnsi="Arial" w:cs="Arial"/>
        </w:rPr>
      </w:pPr>
      <w:r w:rsidRPr="004610FB">
        <w:rPr>
          <w:rFonts w:ascii="Arial" w:hAnsi="Arial" w:cs="Arial"/>
        </w:rPr>
        <w:t xml:space="preserve">The Data Protection Act of 2018 establishes six legally binding criteria that must be followed while maintaining records: processing must be legitimate, fair, and transparent; for specific objectives; adequate and relevant; accurate; stored no longer than required; and maintained securely (legislation.gov.uk, 2018). Because </w:t>
      </w:r>
      <w:proofErr w:type="spellStart"/>
      <w:r w:rsidRPr="004610FB">
        <w:rPr>
          <w:rFonts w:ascii="Arial" w:hAnsi="Arial" w:cs="Arial"/>
        </w:rPr>
        <w:t>Mrs.</w:t>
      </w:r>
      <w:proofErr w:type="spellEnd"/>
      <w:r w:rsidRPr="004610FB">
        <w:rPr>
          <w:rFonts w:ascii="Arial" w:hAnsi="Arial" w:cs="Arial"/>
        </w:rPr>
        <w:t xml:space="preserve"> Thompson's information is "special category data," it has to be handled with particular caution. Only those who are helping her should have access, confidentiality must be upheld, and the data must be preserved safely. Concerns like her stepping outdoors in inappropriate clothing should be noted in the records as factual observations, avoiding assumptions, and shared only with authorised specialists including her GP, social worker, and reviewing council officials. Family updates should be weighed against </w:t>
      </w:r>
      <w:r w:rsidRPr="004610FB">
        <w:rPr>
          <w:rFonts w:ascii="Arial" w:hAnsi="Arial" w:cs="Arial"/>
        </w:rPr>
        <w:lastRenderedPageBreak/>
        <w:t xml:space="preserve">her right to privacy. The </w:t>
      </w:r>
      <w:proofErr w:type="spellStart"/>
      <w:r w:rsidRPr="004610FB">
        <w:rPr>
          <w:rFonts w:ascii="Arial" w:hAnsi="Arial" w:cs="Arial"/>
        </w:rPr>
        <w:t>Caldicott</w:t>
      </w:r>
      <w:proofErr w:type="spellEnd"/>
      <w:r w:rsidRPr="004610FB">
        <w:rPr>
          <w:rFonts w:ascii="Arial" w:hAnsi="Arial" w:cs="Arial"/>
        </w:rPr>
        <w:t xml:space="preserve"> Principles, which mandate that information be provided only when required, reasonable, and legal—ensuring that her private information is not revealed without appropriate justification—provide further guidelines (NHS England, 2020).</w:t>
      </w:r>
    </w:p>
    <w:p w:rsidR="001417D1" w:rsidRPr="004610FB" w:rsidRDefault="001417D1" w:rsidP="004610FB">
      <w:pPr>
        <w:spacing w:line="360" w:lineRule="auto"/>
        <w:jc w:val="both"/>
        <w:rPr>
          <w:rFonts w:ascii="Arial" w:hAnsi="Arial" w:cs="Arial"/>
        </w:rPr>
      </w:pPr>
    </w:p>
    <w:p w:rsidR="00B5447B" w:rsidRDefault="00B5447B" w:rsidP="004610FB">
      <w:pPr>
        <w:jc w:val="both"/>
      </w:pPr>
    </w:p>
    <w:p w:rsidR="004610FB" w:rsidRDefault="004610FB" w:rsidP="004610FB">
      <w:pPr>
        <w:jc w:val="both"/>
      </w:pPr>
    </w:p>
    <w:p w:rsidR="00B5447B" w:rsidRDefault="00B5447B" w:rsidP="004610FB">
      <w:pPr>
        <w:jc w:val="both"/>
        <w:rPr>
          <w:b/>
          <w:sz w:val="28"/>
          <w:szCs w:val="28"/>
        </w:rPr>
      </w:pPr>
      <w:r w:rsidRPr="00B5447B">
        <w:rPr>
          <w:b/>
          <w:sz w:val="28"/>
          <w:szCs w:val="28"/>
        </w:rPr>
        <w:t>Working Collaboratively in Mrs Thompson’s Care</w:t>
      </w:r>
    </w:p>
    <w:p w:rsidR="00B5447B" w:rsidRPr="004610FB" w:rsidRDefault="00B5447B" w:rsidP="004610FB">
      <w:pPr>
        <w:spacing w:line="360" w:lineRule="auto"/>
        <w:jc w:val="both"/>
        <w:rPr>
          <w:b/>
        </w:rPr>
      </w:pPr>
    </w:p>
    <w:p w:rsidR="00B5447B" w:rsidRPr="004610FB" w:rsidRDefault="00B5447B" w:rsidP="004610FB">
      <w:pPr>
        <w:spacing w:line="360" w:lineRule="auto"/>
        <w:jc w:val="both"/>
        <w:rPr>
          <w:rFonts w:ascii="Arial" w:hAnsi="Arial" w:cs="Arial"/>
        </w:rPr>
      </w:pPr>
      <w:r w:rsidRPr="004610FB">
        <w:rPr>
          <w:rFonts w:ascii="Arial" w:hAnsi="Arial" w:cs="Arial"/>
        </w:rPr>
        <w:t xml:space="preserve">Since no single expert can provide </w:t>
      </w:r>
      <w:proofErr w:type="spellStart"/>
      <w:r w:rsidRPr="004610FB">
        <w:rPr>
          <w:rFonts w:ascii="Arial" w:hAnsi="Arial" w:cs="Arial"/>
        </w:rPr>
        <w:t>Mrs.</w:t>
      </w:r>
      <w:proofErr w:type="spellEnd"/>
      <w:r w:rsidRPr="004610FB">
        <w:rPr>
          <w:rFonts w:ascii="Arial" w:hAnsi="Arial" w:cs="Arial"/>
        </w:rPr>
        <w:t xml:space="preserve"> Thompson with what she requires, teamwork is crucial. Every member of her care team, including the community nurse, GP, domiciliary care workers, and council reviewers, has a distinct perspective. The GP oversees her prescriptions and medication review; the nurse may routinely assess her health; the council considers her broader safety and housing requirements; and the caretakers observe daily changes such as missing medicine or her stepping outside in inappropriate clothing. Instead of everyone working in the dark, when these voices unite, we may identify hazards earlier, prevent duplication, and develop a comprehensive picture of what she truly needs (SCIE, 2024)</w:t>
      </w:r>
      <w:proofErr w:type="gramStart"/>
      <w:r w:rsidRPr="004610FB">
        <w:rPr>
          <w:rFonts w:ascii="Arial" w:hAnsi="Arial" w:cs="Arial"/>
        </w:rPr>
        <w:t>.</w:t>
      </w:r>
      <w:proofErr w:type="gramEnd"/>
      <w:r w:rsidRPr="004610FB">
        <w:rPr>
          <w:rFonts w:ascii="Arial" w:hAnsi="Arial" w:cs="Arial"/>
        </w:rPr>
        <w:t xml:space="preserve"> Health and care organisations are legally required by the Care Act 2014 to collaborate and exchange information in order to advance the wellness of the individual; this is not only a good practice, but the law (legislation.gov.uk, 2014).</w:t>
      </w:r>
    </w:p>
    <w:p w:rsidR="004C2791" w:rsidRPr="004610FB" w:rsidRDefault="004C2791" w:rsidP="004610FB">
      <w:pPr>
        <w:spacing w:line="360" w:lineRule="auto"/>
        <w:jc w:val="both"/>
        <w:rPr>
          <w:rFonts w:ascii="Arial" w:hAnsi="Arial" w:cs="Arial"/>
        </w:rPr>
      </w:pPr>
    </w:p>
    <w:p w:rsidR="004C2791" w:rsidRPr="004610FB" w:rsidRDefault="004C2791" w:rsidP="004610FB">
      <w:pPr>
        <w:spacing w:line="360" w:lineRule="auto"/>
        <w:jc w:val="both"/>
        <w:rPr>
          <w:rFonts w:ascii="Arial" w:hAnsi="Arial" w:cs="Arial"/>
        </w:rPr>
      </w:pPr>
      <w:r w:rsidRPr="004610FB">
        <w:rPr>
          <w:rFonts w:ascii="Arial" w:hAnsi="Arial" w:cs="Arial"/>
        </w:rPr>
        <w:t>Everyone must be clear about their responsibilities, communicate in an honest and courteous manner, and swiftly share information in order for cooperation to be successful, particularly when anything changes, such as missing medicine doses. Everyone is kept in sync via frequent, transparent handovers, shared care plans, and established methods of returning information to the appropriate parties. According to NHS England (2023), it also entails respecting all contributions equally and listening respectfully to differing viewpoints. For example, a care worker may observe things that a general practitioner would never know.</w:t>
      </w:r>
    </w:p>
    <w:p w:rsidR="004C2791" w:rsidRPr="004610FB" w:rsidRDefault="004C2791" w:rsidP="004610FB">
      <w:pPr>
        <w:spacing w:line="360" w:lineRule="auto"/>
        <w:jc w:val="both"/>
        <w:rPr>
          <w:rFonts w:ascii="Arial" w:hAnsi="Arial" w:cs="Arial"/>
        </w:rPr>
      </w:pPr>
    </w:p>
    <w:p w:rsidR="004C2791" w:rsidRDefault="004C2791" w:rsidP="004610FB">
      <w:pPr>
        <w:spacing w:line="360" w:lineRule="auto"/>
        <w:jc w:val="both"/>
        <w:rPr>
          <w:rFonts w:ascii="Arial" w:hAnsi="Arial" w:cs="Arial"/>
        </w:rPr>
      </w:pPr>
      <w:r w:rsidRPr="004610FB">
        <w:rPr>
          <w:rFonts w:ascii="Arial" w:hAnsi="Arial" w:cs="Arial"/>
        </w:rPr>
        <w:t xml:space="preserve">Naturally, there are difficulties when working across many providers. Because everyone uses different vocabulary, maintains data in various systems, or works different hours, communication might break down and communications are delayed. People may feel their contribution is being ignored or be unclear about what information they are permitted to provide. To get around this, we should decide on clear pathways for keeping each other informed, specify exactly what information is required and why, and develop mutual respect in order to foster confidence. Gaps are filled via established procedures, designated lead </w:t>
      </w:r>
      <w:r w:rsidRPr="004610FB">
        <w:rPr>
          <w:rFonts w:ascii="Arial" w:hAnsi="Arial" w:cs="Arial"/>
        </w:rPr>
        <w:lastRenderedPageBreak/>
        <w:t xml:space="preserve">contacts, and frequent review sessions. Crucially, the Data Protection Act of 2018 requires that information be disclosed legally and correctly in order to protect </w:t>
      </w:r>
      <w:proofErr w:type="spellStart"/>
      <w:r w:rsidRPr="004610FB">
        <w:rPr>
          <w:rFonts w:ascii="Arial" w:hAnsi="Arial" w:cs="Arial"/>
        </w:rPr>
        <w:t>Mrs.</w:t>
      </w:r>
      <w:proofErr w:type="spellEnd"/>
      <w:r w:rsidRPr="004610FB">
        <w:rPr>
          <w:rFonts w:ascii="Arial" w:hAnsi="Arial" w:cs="Arial"/>
        </w:rPr>
        <w:t xml:space="preserve"> Thompson's privacy and ensure her safety (legislation.gov.uk, 2018).</w:t>
      </w: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Pr="004610FB" w:rsidRDefault="001417D1" w:rsidP="004610FB">
      <w:pPr>
        <w:spacing w:line="360" w:lineRule="auto"/>
        <w:jc w:val="both"/>
        <w:rPr>
          <w:rFonts w:ascii="Arial" w:hAnsi="Arial" w:cs="Arial"/>
        </w:rPr>
      </w:pPr>
    </w:p>
    <w:p w:rsidR="004C2791" w:rsidRDefault="004C2791" w:rsidP="004610FB">
      <w:pPr>
        <w:jc w:val="both"/>
        <w:rPr>
          <w:b/>
          <w:sz w:val="28"/>
          <w:szCs w:val="28"/>
        </w:rPr>
      </w:pPr>
      <w:r w:rsidRPr="004C2791">
        <w:rPr>
          <w:b/>
          <w:sz w:val="28"/>
          <w:szCs w:val="28"/>
        </w:rPr>
        <w:t>Conclusion</w:t>
      </w:r>
    </w:p>
    <w:p w:rsidR="004610FB" w:rsidRPr="004C2791" w:rsidRDefault="004610FB" w:rsidP="004610FB">
      <w:pPr>
        <w:jc w:val="both"/>
        <w:rPr>
          <w:b/>
          <w:sz w:val="28"/>
          <w:szCs w:val="28"/>
        </w:rPr>
      </w:pPr>
    </w:p>
    <w:p w:rsidR="004C2791" w:rsidRPr="004610FB" w:rsidRDefault="004C2791" w:rsidP="004610FB">
      <w:pPr>
        <w:spacing w:line="360" w:lineRule="auto"/>
        <w:jc w:val="both"/>
        <w:rPr>
          <w:rFonts w:ascii="Arial" w:hAnsi="Arial" w:cs="Arial"/>
        </w:rPr>
      </w:pPr>
      <w:r w:rsidRPr="004610FB">
        <w:rPr>
          <w:rFonts w:ascii="Arial" w:hAnsi="Arial" w:cs="Arial"/>
        </w:rPr>
        <w:t xml:space="preserve">All things considered, </w:t>
      </w:r>
      <w:proofErr w:type="spellStart"/>
      <w:r w:rsidRPr="004610FB">
        <w:rPr>
          <w:rFonts w:ascii="Arial" w:hAnsi="Arial" w:cs="Arial"/>
        </w:rPr>
        <w:t>Mrs.</w:t>
      </w:r>
      <w:proofErr w:type="spellEnd"/>
      <w:r w:rsidRPr="004610FB">
        <w:rPr>
          <w:rFonts w:ascii="Arial" w:hAnsi="Arial" w:cs="Arial"/>
        </w:rPr>
        <w:t xml:space="preserve"> Thompson's case demonstrates how crucial the fundamentals of quality care are. Simple measures like writing things down precisely and on time, speaking clearly and at her pace, and ensuring that everyone caring for her communicates with one another can make the difference between remaining safe and healthy and getting confused and in danger. The rules and guidelines discussed here are in place to safeguard her rights, maintain the privacy of her information, and ensure that services cooperate for her benefit.</w:t>
      </w:r>
    </w:p>
    <w:p w:rsidR="004C2791" w:rsidRDefault="004C2791" w:rsidP="004610FB">
      <w:pPr>
        <w:spacing w:line="360" w:lineRule="auto"/>
        <w:jc w:val="both"/>
        <w:rPr>
          <w:rFonts w:ascii="Arial" w:hAnsi="Arial" w:cs="Arial"/>
        </w:rPr>
      </w:pPr>
      <w:r w:rsidRPr="004610FB">
        <w:rPr>
          <w:rFonts w:ascii="Arial" w:hAnsi="Arial" w:cs="Arial"/>
        </w:rPr>
        <w:t xml:space="preserve">In the future, unambiguous collaboration among all the specialists engaged, regular and honest record-keeping, and more joined-up communication should help prevent more occurrences. Every alteration must include </w:t>
      </w:r>
      <w:proofErr w:type="spellStart"/>
      <w:r w:rsidRPr="004610FB">
        <w:rPr>
          <w:rFonts w:ascii="Arial" w:hAnsi="Arial" w:cs="Arial"/>
        </w:rPr>
        <w:t>Mrs.</w:t>
      </w:r>
      <w:proofErr w:type="spellEnd"/>
      <w:r w:rsidRPr="004610FB">
        <w:rPr>
          <w:rFonts w:ascii="Arial" w:hAnsi="Arial" w:cs="Arial"/>
        </w:rPr>
        <w:t xml:space="preserve"> Thompson at its core: her safety, her desires, and her entitlement to a dignified and supportive life, even if her memory makes things more difficult. In addition to aiding in her complete recovery, laying these foundations correctly will help her steer clear of future dangers.</w:t>
      </w: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417D1" w:rsidRDefault="001417D1" w:rsidP="004610FB">
      <w:pPr>
        <w:spacing w:line="360" w:lineRule="auto"/>
        <w:jc w:val="both"/>
        <w:rPr>
          <w:rFonts w:ascii="Arial" w:hAnsi="Arial" w:cs="Arial"/>
        </w:rPr>
      </w:pPr>
    </w:p>
    <w:p w:rsidR="001977A4" w:rsidRDefault="001977A4" w:rsidP="004610FB">
      <w:pPr>
        <w:spacing w:line="360" w:lineRule="auto"/>
        <w:jc w:val="both"/>
        <w:rPr>
          <w:rFonts w:ascii="Arial" w:hAnsi="Arial" w:cs="Arial"/>
        </w:rPr>
      </w:pPr>
    </w:p>
    <w:p w:rsidR="001417D1" w:rsidRPr="001417D1" w:rsidRDefault="001417D1" w:rsidP="004610FB">
      <w:pPr>
        <w:spacing w:line="360" w:lineRule="auto"/>
        <w:jc w:val="both"/>
        <w:rPr>
          <w:rFonts w:ascii="Arial" w:hAnsi="Arial" w:cs="Arial"/>
          <w:b/>
          <w:sz w:val="28"/>
          <w:szCs w:val="28"/>
        </w:rPr>
      </w:pPr>
      <w:proofErr w:type="spellStart"/>
      <w:r w:rsidRPr="001417D1">
        <w:rPr>
          <w:rFonts w:ascii="Arial" w:hAnsi="Arial" w:cs="Arial"/>
          <w:b/>
          <w:sz w:val="28"/>
          <w:szCs w:val="28"/>
        </w:rPr>
        <w:t>Referances</w:t>
      </w:r>
      <w:proofErr w:type="spellEnd"/>
    </w:p>
    <w:p w:rsidR="000E36BE" w:rsidRPr="000E36BE" w:rsidRDefault="000E36BE" w:rsidP="001977A4">
      <w:pPr>
        <w:spacing w:after="0" w:line="360" w:lineRule="auto"/>
        <w:rPr>
          <w:rFonts w:ascii="Arial" w:eastAsia="Times New Roman" w:hAnsi="Arial" w:cs="Arial"/>
          <w:color w:val="000000"/>
          <w:sz w:val="24"/>
          <w:szCs w:val="24"/>
          <w:lang w:eastAsia="en-GB"/>
        </w:rPr>
      </w:pPr>
      <w:r w:rsidRPr="000E36BE">
        <w:rPr>
          <w:rFonts w:ascii="Arial" w:eastAsia="Times New Roman" w:hAnsi="Arial" w:cs="Arial"/>
          <w:color w:val="000000"/>
          <w:sz w:val="24"/>
          <w:szCs w:val="24"/>
          <w:lang w:eastAsia="en-GB"/>
        </w:rPr>
        <w:t xml:space="preserve">Equality Act 2010, c. 15. London: The Stationery Office. Available at: </w:t>
      </w:r>
      <w:hyperlink r:id="rId10" w:tgtFrame="_blank" w:tooltip="autolink" w:history="1">
        <w:r w:rsidRPr="000E36BE">
          <w:rPr>
            <w:rFonts w:ascii="Arial" w:eastAsia="Times New Roman" w:hAnsi="Arial" w:cs="Arial"/>
            <w:color w:val="0057FF"/>
            <w:sz w:val="24"/>
            <w:szCs w:val="24"/>
            <w:u w:val="single"/>
            <w:lang w:eastAsia="en-GB"/>
          </w:rPr>
          <w:t>https://www.legislation.gov.uk/ukpga/2010/15/contents</w:t>
        </w:r>
      </w:hyperlink>
      <w:r w:rsidR="00DF353A">
        <w:rPr>
          <w:rFonts w:ascii="Arial" w:eastAsia="Times New Roman" w:hAnsi="Arial" w:cs="Arial"/>
          <w:color w:val="000000"/>
          <w:sz w:val="24"/>
          <w:szCs w:val="24"/>
          <w:lang w:eastAsia="en-GB"/>
        </w:rPr>
        <w:t xml:space="preserve"> (Accessed: 1</w:t>
      </w:r>
      <w:r w:rsidRPr="000E36BE">
        <w:rPr>
          <w:rFonts w:ascii="Arial" w:eastAsia="Times New Roman" w:hAnsi="Arial" w:cs="Arial"/>
          <w:color w:val="000000"/>
          <w:sz w:val="24"/>
          <w:szCs w:val="24"/>
          <w:lang w:eastAsia="en-GB"/>
        </w:rPr>
        <w:t xml:space="preserve"> August 2026).</w:t>
      </w:r>
    </w:p>
    <w:p w:rsidR="000E36BE" w:rsidRDefault="000E36BE" w:rsidP="001977A4">
      <w:pPr>
        <w:spacing w:after="0" w:line="360" w:lineRule="auto"/>
        <w:rPr>
          <w:rFonts w:ascii="Arial" w:eastAsia="Times New Roman" w:hAnsi="Arial" w:cs="Arial"/>
          <w:color w:val="000000"/>
          <w:sz w:val="24"/>
          <w:szCs w:val="24"/>
          <w:lang w:eastAsia="en-GB"/>
        </w:rPr>
      </w:pPr>
      <w:r w:rsidRPr="000E36BE">
        <w:rPr>
          <w:rFonts w:ascii="Arial" w:eastAsia="Times New Roman" w:hAnsi="Arial" w:cs="Arial"/>
          <w:color w:val="000000"/>
          <w:sz w:val="24"/>
          <w:szCs w:val="24"/>
          <w:lang w:eastAsia="en-GB"/>
        </w:rPr>
        <w:t xml:space="preserve">Care Act 2014, c. 23. London: The Stationery Office. Available at: </w:t>
      </w:r>
      <w:hyperlink r:id="rId11" w:tgtFrame="_blank" w:tooltip="autolink" w:history="1">
        <w:r w:rsidRPr="000E36BE">
          <w:rPr>
            <w:rFonts w:ascii="Arial" w:eastAsia="Times New Roman" w:hAnsi="Arial" w:cs="Arial"/>
            <w:color w:val="0057FF"/>
            <w:sz w:val="24"/>
            <w:szCs w:val="24"/>
            <w:u w:val="single"/>
            <w:lang w:eastAsia="en-GB"/>
          </w:rPr>
          <w:t>https://www.legislation.gov.uk/ukpga/2014/23/contents</w:t>
        </w:r>
      </w:hyperlink>
      <w:r w:rsidR="00DF353A">
        <w:rPr>
          <w:rFonts w:ascii="Arial" w:eastAsia="Times New Roman" w:hAnsi="Arial" w:cs="Arial"/>
          <w:color w:val="000000"/>
          <w:sz w:val="24"/>
          <w:szCs w:val="24"/>
          <w:lang w:eastAsia="en-GB"/>
        </w:rPr>
        <w:t xml:space="preserve"> (Accessed: 1</w:t>
      </w:r>
      <w:r w:rsidRPr="000E36BE">
        <w:rPr>
          <w:rFonts w:ascii="Arial" w:eastAsia="Times New Roman" w:hAnsi="Arial" w:cs="Arial"/>
          <w:color w:val="000000"/>
          <w:sz w:val="24"/>
          <w:szCs w:val="24"/>
          <w:lang w:eastAsia="en-GB"/>
        </w:rPr>
        <w:t xml:space="preserve"> August 2026).</w:t>
      </w:r>
    </w:p>
    <w:p w:rsidR="001977A4" w:rsidRPr="000E36BE" w:rsidRDefault="001977A4" w:rsidP="001977A4">
      <w:pPr>
        <w:spacing w:after="0" w:line="360" w:lineRule="auto"/>
        <w:rPr>
          <w:rFonts w:ascii="Arial" w:eastAsia="Times New Roman" w:hAnsi="Arial" w:cs="Arial"/>
          <w:color w:val="000000"/>
          <w:sz w:val="24"/>
          <w:szCs w:val="24"/>
          <w:lang w:eastAsia="en-GB"/>
        </w:rPr>
      </w:pPr>
    </w:p>
    <w:p w:rsidR="000E36BE" w:rsidRDefault="000E36BE" w:rsidP="001977A4">
      <w:pPr>
        <w:spacing w:after="0" w:line="360" w:lineRule="auto"/>
        <w:rPr>
          <w:rFonts w:ascii="Arial" w:eastAsia="Times New Roman" w:hAnsi="Arial" w:cs="Arial"/>
          <w:color w:val="000000"/>
          <w:sz w:val="24"/>
          <w:szCs w:val="24"/>
          <w:lang w:eastAsia="en-GB"/>
        </w:rPr>
      </w:pPr>
      <w:r w:rsidRPr="000E36BE">
        <w:rPr>
          <w:rFonts w:ascii="Arial" w:eastAsia="Times New Roman" w:hAnsi="Arial" w:cs="Arial"/>
          <w:color w:val="000000"/>
          <w:sz w:val="24"/>
          <w:szCs w:val="24"/>
          <w:lang w:eastAsia="en-GB"/>
        </w:rPr>
        <w:t xml:space="preserve">Gleeson, S. (2022) </w:t>
      </w:r>
      <w:proofErr w:type="gramStart"/>
      <w:r w:rsidRPr="000E36BE">
        <w:rPr>
          <w:rFonts w:ascii="Arial" w:eastAsia="Times New Roman" w:hAnsi="Arial" w:cs="Arial"/>
          <w:i/>
          <w:iCs/>
          <w:color w:val="000000"/>
          <w:sz w:val="24"/>
          <w:szCs w:val="24"/>
          <w:lang w:eastAsia="en-GB"/>
        </w:rPr>
        <w:t>An</w:t>
      </w:r>
      <w:proofErr w:type="gramEnd"/>
      <w:r w:rsidRPr="000E36BE">
        <w:rPr>
          <w:rFonts w:ascii="Arial" w:eastAsia="Times New Roman" w:hAnsi="Arial" w:cs="Arial"/>
          <w:i/>
          <w:iCs/>
          <w:color w:val="000000"/>
          <w:sz w:val="24"/>
          <w:szCs w:val="24"/>
          <w:lang w:eastAsia="en-GB"/>
        </w:rPr>
        <w:t xml:space="preserve"> introduction to health and social care</w:t>
      </w:r>
      <w:r w:rsidRPr="000E36BE">
        <w:rPr>
          <w:rFonts w:ascii="Arial" w:eastAsia="Times New Roman" w:hAnsi="Arial" w:cs="Arial"/>
          <w:color w:val="000000"/>
          <w:sz w:val="24"/>
          <w:szCs w:val="24"/>
          <w:lang w:eastAsia="en-GB"/>
        </w:rPr>
        <w:t xml:space="preserve">. 3rd ed. London: Hodder Education. Available at: </w:t>
      </w:r>
      <w:hyperlink r:id="rId12" w:tgtFrame="_blank" w:tooltip="autolink" w:history="1">
        <w:r w:rsidRPr="000E36BE">
          <w:rPr>
            <w:rFonts w:ascii="Arial" w:eastAsia="Times New Roman" w:hAnsi="Arial" w:cs="Arial"/>
            <w:color w:val="0057FF"/>
            <w:sz w:val="24"/>
            <w:szCs w:val="24"/>
            <w:u w:val="single"/>
            <w:lang w:eastAsia="en-GB"/>
          </w:rPr>
          <w:t>https://www.hoddereducation.co.uk/Product/9781398312672</w:t>
        </w:r>
      </w:hyperlink>
      <w:r w:rsidRPr="000E36BE">
        <w:rPr>
          <w:rFonts w:ascii="Arial" w:eastAsia="Times New Roman" w:hAnsi="Arial" w:cs="Arial"/>
          <w:color w:val="000000"/>
          <w:sz w:val="24"/>
          <w:szCs w:val="24"/>
          <w:lang w:eastAsia="en-GB"/>
        </w:rPr>
        <w:t xml:space="preserve"> (Acc</w:t>
      </w:r>
      <w:r w:rsidR="00DF353A">
        <w:rPr>
          <w:rFonts w:ascii="Arial" w:eastAsia="Times New Roman" w:hAnsi="Arial" w:cs="Arial"/>
          <w:color w:val="000000"/>
          <w:sz w:val="24"/>
          <w:szCs w:val="24"/>
          <w:lang w:eastAsia="en-GB"/>
        </w:rPr>
        <w:t>essed: 1</w:t>
      </w:r>
      <w:r w:rsidRPr="000E36BE">
        <w:rPr>
          <w:rFonts w:ascii="Arial" w:eastAsia="Times New Roman" w:hAnsi="Arial" w:cs="Arial"/>
          <w:color w:val="000000"/>
          <w:sz w:val="24"/>
          <w:szCs w:val="24"/>
          <w:lang w:eastAsia="en-GB"/>
        </w:rPr>
        <w:t xml:space="preserve"> August 2026).</w:t>
      </w:r>
    </w:p>
    <w:p w:rsidR="00DF353A" w:rsidRPr="000E36BE" w:rsidRDefault="00DF353A" w:rsidP="001977A4">
      <w:pPr>
        <w:spacing w:after="0" w:line="360" w:lineRule="auto"/>
        <w:rPr>
          <w:rFonts w:ascii="Arial" w:eastAsia="Times New Roman" w:hAnsi="Arial" w:cs="Arial"/>
          <w:color w:val="000000"/>
          <w:sz w:val="24"/>
          <w:szCs w:val="24"/>
          <w:lang w:eastAsia="en-GB"/>
        </w:rPr>
      </w:pPr>
    </w:p>
    <w:p w:rsidR="000E36BE" w:rsidRDefault="000E36BE" w:rsidP="001977A4">
      <w:pPr>
        <w:spacing w:after="0" w:line="360" w:lineRule="auto"/>
        <w:rPr>
          <w:rFonts w:ascii="Arial" w:eastAsia="Times New Roman" w:hAnsi="Arial" w:cs="Arial"/>
          <w:color w:val="000000"/>
          <w:sz w:val="24"/>
          <w:szCs w:val="24"/>
          <w:lang w:eastAsia="en-GB"/>
        </w:rPr>
      </w:pPr>
      <w:r w:rsidRPr="000E36BE">
        <w:rPr>
          <w:rFonts w:ascii="Arial" w:eastAsia="Times New Roman" w:hAnsi="Arial" w:cs="Arial"/>
          <w:color w:val="000000"/>
          <w:sz w:val="24"/>
          <w:szCs w:val="24"/>
          <w:lang w:eastAsia="en-GB"/>
        </w:rPr>
        <w:t xml:space="preserve">Moonie, N. (2005) </w:t>
      </w:r>
      <w:r w:rsidRPr="000E36BE">
        <w:rPr>
          <w:rFonts w:ascii="Arial" w:eastAsia="Times New Roman" w:hAnsi="Arial" w:cs="Arial"/>
          <w:i/>
          <w:iCs/>
          <w:color w:val="000000"/>
          <w:sz w:val="24"/>
          <w:szCs w:val="24"/>
          <w:lang w:eastAsia="en-GB"/>
        </w:rPr>
        <w:t>Health and social care</w:t>
      </w:r>
      <w:r w:rsidRPr="000E36BE">
        <w:rPr>
          <w:rFonts w:ascii="Arial" w:eastAsia="Times New Roman" w:hAnsi="Arial" w:cs="Arial"/>
          <w:color w:val="000000"/>
          <w:sz w:val="24"/>
          <w:szCs w:val="24"/>
          <w:lang w:eastAsia="en-GB"/>
        </w:rPr>
        <w:t xml:space="preserve">. Oxford: Heinemann/Pearson. Available at: </w:t>
      </w:r>
      <w:hyperlink r:id="rId13" w:tgtFrame="_blank" w:tooltip="autolink" w:history="1">
        <w:r w:rsidRPr="000E36BE">
          <w:rPr>
            <w:rFonts w:ascii="Arial" w:eastAsia="Times New Roman" w:hAnsi="Arial" w:cs="Arial"/>
            <w:color w:val="0057FF"/>
            <w:sz w:val="24"/>
            <w:szCs w:val="24"/>
            <w:u w:val="single"/>
            <w:lang w:eastAsia="en-GB"/>
          </w:rPr>
          <w:t>https://www.pearson.com/uk/subject-area/health-and-social-care.html</w:t>
        </w:r>
      </w:hyperlink>
      <w:r w:rsidR="00DF353A">
        <w:rPr>
          <w:rFonts w:ascii="Arial" w:eastAsia="Times New Roman" w:hAnsi="Arial" w:cs="Arial"/>
          <w:color w:val="000000"/>
          <w:sz w:val="24"/>
          <w:szCs w:val="24"/>
          <w:lang w:eastAsia="en-GB"/>
        </w:rPr>
        <w:t xml:space="preserve"> (Accessed: 1</w:t>
      </w:r>
      <w:r w:rsidRPr="000E36BE">
        <w:rPr>
          <w:rFonts w:ascii="Arial" w:eastAsia="Times New Roman" w:hAnsi="Arial" w:cs="Arial"/>
          <w:color w:val="000000"/>
          <w:sz w:val="24"/>
          <w:szCs w:val="24"/>
          <w:lang w:eastAsia="en-GB"/>
        </w:rPr>
        <w:t xml:space="preserve"> August 2026).</w:t>
      </w:r>
    </w:p>
    <w:p w:rsidR="00DF353A" w:rsidRPr="000E36BE" w:rsidRDefault="00DF353A" w:rsidP="001977A4">
      <w:pPr>
        <w:spacing w:after="0" w:line="360" w:lineRule="auto"/>
        <w:rPr>
          <w:rFonts w:ascii="Arial" w:eastAsia="Times New Roman" w:hAnsi="Arial" w:cs="Arial"/>
          <w:color w:val="000000"/>
          <w:sz w:val="24"/>
          <w:szCs w:val="24"/>
          <w:lang w:eastAsia="en-GB"/>
        </w:rPr>
      </w:pPr>
    </w:p>
    <w:p w:rsidR="000E36BE" w:rsidRDefault="000E36BE" w:rsidP="001977A4">
      <w:pPr>
        <w:spacing w:after="0" w:line="360" w:lineRule="auto"/>
        <w:rPr>
          <w:rFonts w:ascii="Arial" w:eastAsia="Times New Roman" w:hAnsi="Arial" w:cs="Arial"/>
          <w:color w:val="000000"/>
          <w:sz w:val="24"/>
          <w:szCs w:val="24"/>
          <w:lang w:eastAsia="en-GB"/>
        </w:rPr>
      </w:pPr>
      <w:hyperlink r:id="rId14" w:tgtFrame="_blank" w:tooltip="autolink" w:history="1">
        <w:r w:rsidRPr="000E36BE">
          <w:rPr>
            <w:rFonts w:ascii="Arial" w:eastAsia="Times New Roman" w:hAnsi="Arial" w:cs="Arial"/>
            <w:color w:val="0057FF"/>
            <w:sz w:val="24"/>
            <w:szCs w:val="24"/>
            <w:u w:val="single"/>
            <w:lang w:eastAsia="en-GB"/>
          </w:rPr>
          <w:t>GOV.UK</w:t>
        </w:r>
      </w:hyperlink>
      <w:r w:rsidRPr="000E36BE">
        <w:rPr>
          <w:rFonts w:ascii="Arial" w:eastAsia="Times New Roman" w:hAnsi="Arial" w:cs="Arial"/>
          <w:color w:val="000000"/>
          <w:sz w:val="24"/>
          <w:szCs w:val="24"/>
          <w:lang w:eastAsia="en-GB"/>
        </w:rPr>
        <w:t xml:space="preserve"> (2026) </w:t>
      </w:r>
      <w:r w:rsidRPr="000E36BE">
        <w:rPr>
          <w:rFonts w:ascii="Arial" w:eastAsia="Times New Roman" w:hAnsi="Arial" w:cs="Arial"/>
          <w:i/>
          <w:iCs/>
          <w:color w:val="000000"/>
          <w:sz w:val="24"/>
          <w:szCs w:val="24"/>
          <w:lang w:eastAsia="en-GB"/>
        </w:rPr>
        <w:t>Equality Act 2010: guidance</w:t>
      </w:r>
      <w:r w:rsidRPr="000E36BE">
        <w:rPr>
          <w:rFonts w:ascii="Arial" w:eastAsia="Times New Roman" w:hAnsi="Arial" w:cs="Arial"/>
          <w:color w:val="000000"/>
          <w:sz w:val="24"/>
          <w:szCs w:val="24"/>
          <w:lang w:eastAsia="en-GB"/>
        </w:rPr>
        <w:t xml:space="preserve">. Available at: </w:t>
      </w:r>
      <w:hyperlink r:id="rId15" w:tgtFrame="_blank" w:tooltip="autolink" w:history="1">
        <w:r w:rsidRPr="000E36BE">
          <w:rPr>
            <w:rFonts w:ascii="Arial" w:eastAsia="Times New Roman" w:hAnsi="Arial" w:cs="Arial"/>
            <w:color w:val="0057FF"/>
            <w:sz w:val="24"/>
            <w:szCs w:val="24"/>
            <w:u w:val="single"/>
            <w:lang w:eastAsia="en-GB"/>
          </w:rPr>
          <w:t>https://www.gov.uk/guidance/equality-act-2010-guidance</w:t>
        </w:r>
      </w:hyperlink>
      <w:r w:rsidR="00DF353A">
        <w:rPr>
          <w:rFonts w:ascii="Arial" w:eastAsia="Times New Roman" w:hAnsi="Arial" w:cs="Arial"/>
          <w:color w:val="000000"/>
          <w:sz w:val="24"/>
          <w:szCs w:val="24"/>
          <w:lang w:eastAsia="en-GB"/>
        </w:rPr>
        <w:t xml:space="preserve"> (Accessed: 1</w:t>
      </w:r>
      <w:r w:rsidRPr="000E36BE">
        <w:rPr>
          <w:rFonts w:ascii="Arial" w:eastAsia="Times New Roman" w:hAnsi="Arial" w:cs="Arial"/>
          <w:color w:val="000000"/>
          <w:sz w:val="24"/>
          <w:szCs w:val="24"/>
          <w:lang w:eastAsia="en-GB"/>
        </w:rPr>
        <w:t xml:space="preserve"> August 2026).</w:t>
      </w:r>
    </w:p>
    <w:p w:rsidR="00DF353A" w:rsidRPr="000E36BE" w:rsidRDefault="00DF353A" w:rsidP="001977A4">
      <w:pPr>
        <w:spacing w:after="0" w:line="360" w:lineRule="auto"/>
        <w:rPr>
          <w:rFonts w:ascii="Arial" w:eastAsia="Times New Roman" w:hAnsi="Arial" w:cs="Arial"/>
          <w:color w:val="000000"/>
          <w:sz w:val="24"/>
          <w:szCs w:val="24"/>
          <w:lang w:eastAsia="en-GB"/>
        </w:rPr>
      </w:pPr>
    </w:p>
    <w:p w:rsidR="00DF353A" w:rsidRDefault="000E36BE" w:rsidP="00DF353A">
      <w:pPr>
        <w:spacing w:after="0" w:line="360" w:lineRule="auto"/>
        <w:rPr>
          <w:rFonts w:ascii="Arial" w:eastAsia="Times New Roman" w:hAnsi="Arial" w:cs="Arial"/>
          <w:color w:val="000000"/>
          <w:sz w:val="24"/>
          <w:szCs w:val="24"/>
          <w:lang w:eastAsia="en-GB"/>
        </w:rPr>
      </w:pPr>
      <w:hyperlink r:id="rId16" w:tgtFrame="_blank" w:tooltip="autolink" w:history="1">
        <w:r w:rsidRPr="000E36BE">
          <w:rPr>
            <w:rFonts w:ascii="Arial" w:eastAsia="Times New Roman" w:hAnsi="Arial" w:cs="Arial"/>
            <w:color w:val="0057FF"/>
            <w:sz w:val="24"/>
            <w:szCs w:val="24"/>
            <w:u w:val="single"/>
            <w:lang w:eastAsia="en-GB"/>
          </w:rPr>
          <w:t>GOV.UK</w:t>
        </w:r>
      </w:hyperlink>
      <w:r w:rsidRPr="000E36BE">
        <w:rPr>
          <w:rFonts w:ascii="Arial" w:eastAsia="Times New Roman" w:hAnsi="Arial" w:cs="Arial"/>
          <w:color w:val="000000"/>
          <w:sz w:val="24"/>
          <w:szCs w:val="24"/>
          <w:lang w:eastAsia="en-GB"/>
        </w:rPr>
        <w:t xml:space="preserve"> (2024) </w:t>
      </w:r>
      <w:r w:rsidRPr="000E36BE">
        <w:rPr>
          <w:rFonts w:ascii="Arial" w:eastAsia="Times New Roman" w:hAnsi="Arial" w:cs="Arial"/>
          <w:i/>
          <w:iCs/>
          <w:color w:val="000000"/>
          <w:sz w:val="24"/>
          <w:szCs w:val="24"/>
          <w:lang w:eastAsia="en-GB"/>
        </w:rPr>
        <w:t>Care Act 2014: statutory guidance</w:t>
      </w:r>
      <w:r w:rsidRPr="000E36BE">
        <w:rPr>
          <w:rFonts w:ascii="Arial" w:eastAsia="Times New Roman" w:hAnsi="Arial" w:cs="Arial"/>
          <w:color w:val="000000"/>
          <w:sz w:val="24"/>
          <w:szCs w:val="24"/>
          <w:lang w:eastAsia="en-GB"/>
        </w:rPr>
        <w:t xml:space="preserve">. Available at: </w:t>
      </w:r>
      <w:hyperlink r:id="rId17" w:tgtFrame="_blank" w:tooltip="autolink" w:history="1">
        <w:r w:rsidRPr="000E36BE">
          <w:rPr>
            <w:rFonts w:ascii="Arial" w:eastAsia="Times New Roman" w:hAnsi="Arial" w:cs="Arial"/>
            <w:color w:val="0057FF"/>
            <w:sz w:val="24"/>
            <w:szCs w:val="24"/>
            <w:u w:val="single"/>
            <w:lang w:eastAsia="en-GB"/>
          </w:rPr>
          <w:t>https://www.gov.uk/government/publications/care-act-statutory-guidance</w:t>
        </w:r>
      </w:hyperlink>
      <w:r w:rsidR="00DF353A">
        <w:rPr>
          <w:rFonts w:ascii="Arial" w:eastAsia="Times New Roman" w:hAnsi="Arial" w:cs="Arial"/>
          <w:color w:val="000000"/>
          <w:sz w:val="24"/>
          <w:szCs w:val="24"/>
          <w:lang w:eastAsia="en-GB"/>
        </w:rPr>
        <w:t xml:space="preserve"> (Accessed: 10 August 2026).</w:t>
      </w:r>
    </w:p>
    <w:p w:rsidR="00DF353A" w:rsidRDefault="00DF353A" w:rsidP="00DF353A">
      <w:pPr>
        <w:spacing w:after="0" w:line="360" w:lineRule="auto"/>
        <w:rPr>
          <w:rFonts w:ascii="Arial" w:eastAsia="Times New Roman" w:hAnsi="Arial" w:cs="Arial"/>
          <w:color w:val="000000"/>
          <w:sz w:val="24"/>
          <w:szCs w:val="24"/>
          <w:lang w:eastAsia="en-GB"/>
        </w:rPr>
      </w:pPr>
    </w:p>
    <w:p w:rsidR="000E36BE" w:rsidRDefault="000E36BE" w:rsidP="00DF353A">
      <w:pPr>
        <w:spacing w:after="0" w:line="360" w:lineRule="auto"/>
        <w:rPr>
          <w:rFonts w:ascii="Arial" w:eastAsia="Times New Roman" w:hAnsi="Arial" w:cs="Arial"/>
          <w:color w:val="000000"/>
          <w:sz w:val="24"/>
          <w:szCs w:val="24"/>
          <w:lang w:eastAsia="en-GB"/>
        </w:rPr>
      </w:pPr>
      <w:r w:rsidRPr="000E36BE">
        <w:rPr>
          <w:rFonts w:ascii="Arial" w:eastAsia="Times New Roman" w:hAnsi="Arial" w:cs="Arial"/>
          <w:color w:val="000000"/>
          <w:sz w:val="24"/>
          <w:szCs w:val="24"/>
          <w:lang w:eastAsia="en-GB"/>
        </w:rPr>
        <w:t>Communication Model (Argyle)</w:t>
      </w:r>
      <w:r w:rsidR="00DF353A">
        <w:rPr>
          <w:rFonts w:ascii="Arial" w:eastAsia="Times New Roman" w:hAnsi="Arial" w:cs="Arial"/>
          <w:color w:val="000000"/>
          <w:sz w:val="24"/>
          <w:szCs w:val="24"/>
          <w:lang w:eastAsia="en-GB"/>
        </w:rPr>
        <w:t xml:space="preserve"> </w:t>
      </w:r>
      <w:r w:rsidRPr="000E36BE">
        <w:rPr>
          <w:rFonts w:ascii="Arial" w:eastAsia="Times New Roman" w:hAnsi="Arial" w:cs="Arial"/>
          <w:color w:val="000000"/>
          <w:sz w:val="24"/>
          <w:szCs w:val="24"/>
          <w:lang w:eastAsia="en-GB"/>
        </w:rPr>
        <w:t xml:space="preserve">Argyle, M. (1972) </w:t>
      </w:r>
      <w:proofErr w:type="gramStart"/>
      <w:r w:rsidRPr="000E36BE">
        <w:rPr>
          <w:rFonts w:ascii="Arial" w:eastAsia="Times New Roman" w:hAnsi="Arial" w:cs="Arial"/>
          <w:i/>
          <w:iCs/>
          <w:color w:val="000000"/>
          <w:sz w:val="24"/>
          <w:szCs w:val="24"/>
          <w:lang w:eastAsia="en-GB"/>
        </w:rPr>
        <w:t>The</w:t>
      </w:r>
      <w:proofErr w:type="gramEnd"/>
      <w:r w:rsidRPr="000E36BE">
        <w:rPr>
          <w:rFonts w:ascii="Arial" w:eastAsia="Times New Roman" w:hAnsi="Arial" w:cs="Arial"/>
          <w:i/>
          <w:iCs/>
          <w:color w:val="000000"/>
          <w:sz w:val="24"/>
          <w:szCs w:val="24"/>
          <w:lang w:eastAsia="en-GB"/>
        </w:rPr>
        <w:t xml:space="preserve"> social psychology of interpersonal behaviour</w:t>
      </w:r>
      <w:r w:rsidRPr="000E36BE">
        <w:rPr>
          <w:rFonts w:ascii="Arial" w:eastAsia="Times New Roman" w:hAnsi="Arial" w:cs="Arial"/>
          <w:color w:val="000000"/>
          <w:sz w:val="24"/>
          <w:szCs w:val="24"/>
          <w:lang w:eastAsia="en-GB"/>
        </w:rPr>
        <w:t xml:space="preserve">. </w:t>
      </w:r>
      <w:proofErr w:type="spellStart"/>
      <w:r w:rsidRPr="000E36BE">
        <w:rPr>
          <w:rFonts w:ascii="Arial" w:eastAsia="Times New Roman" w:hAnsi="Arial" w:cs="Arial"/>
          <w:color w:val="000000"/>
          <w:sz w:val="24"/>
          <w:szCs w:val="24"/>
          <w:lang w:eastAsia="en-GB"/>
        </w:rPr>
        <w:t>Harmondsworth</w:t>
      </w:r>
      <w:proofErr w:type="spellEnd"/>
      <w:r w:rsidRPr="000E36BE">
        <w:rPr>
          <w:rFonts w:ascii="Arial" w:eastAsia="Times New Roman" w:hAnsi="Arial" w:cs="Arial"/>
          <w:color w:val="000000"/>
          <w:sz w:val="24"/>
          <w:szCs w:val="24"/>
          <w:lang w:eastAsia="en-GB"/>
        </w:rPr>
        <w:t xml:space="preserve">: Penguin. Explained at: </w:t>
      </w:r>
      <w:hyperlink r:id="rId18" w:tgtFrame="_blank" w:tooltip="autolink" w:history="1">
        <w:r w:rsidRPr="000E36BE">
          <w:rPr>
            <w:rFonts w:ascii="Arial" w:eastAsia="Times New Roman" w:hAnsi="Arial" w:cs="Arial"/>
            <w:color w:val="0057FF"/>
            <w:sz w:val="24"/>
            <w:szCs w:val="24"/>
            <w:u w:val="single"/>
            <w:lang w:eastAsia="en-GB"/>
          </w:rPr>
          <w:t>https://www.gov.uk/government/publications/argyles-communication-cycle-summary-guide</w:t>
        </w:r>
      </w:hyperlink>
      <w:r w:rsidRPr="000E36BE">
        <w:rPr>
          <w:rFonts w:ascii="Arial" w:eastAsia="Times New Roman" w:hAnsi="Arial" w:cs="Arial"/>
          <w:color w:val="000000"/>
          <w:sz w:val="24"/>
          <w:szCs w:val="24"/>
          <w:lang w:eastAsia="en-GB"/>
        </w:rPr>
        <w:t xml:space="preserve"> (Accessed: 10 August 2026).</w:t>
      </w:r>
    </w:p>
    <w:p w:rsidR="000716F1" w:rsidRDefault="000716F1" w:rsidP="001977A4">
      <w:pPr>
        <w:spacing w:after="0" w:line="360" w:lineRule="auto"/>
        <w:rPr>
          <w:rFonts w:ascii="Arial" w:eastAsia="Times New Roman" w:hAnsi="Arial" w:cs="Arial"/>
          <w:color w:val="000000"/>
          <w:sz w:val="24"/>
          <w:szCs w:val="24"/>
          <w:lang w:eastAsia="en-GB"/>
        </w:rPr>
      </w:pPr>
    </w:p>
    <w:p w:rsidR="000716F1" w:rsidRDefault="000716F1" w:rsidP="001977A4">
      <w:pPr>
        <w:spacing w:after="0" w:line="360" w:lineRule="auto"/>
        <w:rPr>
          <w:rFonts w:ascii="Arial" w:eastAsia="Times New Roman" w:hAnsi="Arial" w:cs="Arial"/>
          <w:color w:val="000000"/>
          <w:sz w:val="24"/>
          <w:szCs w:val="24"/>
          <w:lang w:eastAsia="en-GB"/>
        </w:rPr>
      </w:pPr>
      <w:r w:rsidRPr="000716F1">
        <w:rPr>
          <w:rFonts w:ascii="Arial" w:eastAsia="Times New Roman" w:hAnsi="Arial" w:cs="Arial"/>
          <w:color w:val="000000"/>
          <w:sz w:val="24"/>
          <w:szCs w:val="24"/>
          <w:lang w:eastAsia="en-GB"/>
        </w:rPr>
        <w:t xml:space="preserve">Care Quality Commission (2025) </w:t>
      </w:r>
      <w:r w:rsidRPr="000716F1">
        <w:rPr>
          <w:rFonts w:ascii="Arial" w:eastAsia="Times New Roman" w:hAnsi="Arial" w:cs="Arial"/>
          <w:i/>
          <w:iCs/>
          <w:color w:val="000000"/>
          <w:sz w:val="24"/>
          <w:szCs w:val="24"/>
          <w:lang w:eastAsia="en-GB"/>
        </w:rPr>
        <w:t>Regulation 17: Good governance</w:t>
      </w:r>
      <w:r w:rsidRPr="000716F1">
        <w:rPr>
          <w:rFonts w:ascii="Arial" w:eastAsia="Times New Roman" w:hAnsi="Arial" w:cs="Arial"/>
          <w:color w:val="000000"/>
          <w:sz w:val="24"/>
          <w:szCs w:val="24"/>
          <w:lang w:eastAsia="en-GB"/>
        </w:rPr>
        <w:t xml:space="preserve">. Available at: </w:t>
      </w:r>
      <w:hyperlink r:id="rId19" w:tgtFrame="_blank" w:tooltip="autolink" w:history="1">
        <w:r w:rsidRPr="000716F1">
          <w:rPr>
            <w:rFonts w:ascii="Arial" w:eastAsia="Times New Roman" w:hAnsi="Arial" w:cs="Arial"/>
            <w:color w:val="0057FF"/>
            <w:sz w:val="24"/>
            <w:szCs w:val="24"/>
            <w:u w:val="single"/>
            <w:lang w:eastAsia="en-GB"/>
          </w:rPr>
          <w:t>https://www.cqc.org.uk/guidance-regulation/providers/regulations-service-providers-and-managers/health-social-care-act/regulation-17</w:t>
        </w:r>
      </w:hyperlink>
      <w:r w:rsidRPr="000716F1">
        <w:rPr>
          <w:rFonts w:ascii="Arial" w:eastAsia="Times New Roman" w:hAnsi="Arial" w:cs="Arial"/>
          <w:color w:val="000000"/>
          <w:sz w:val="24"/>
          <w:szCs w:val="24"/>
          <w:lang w:eastAsia="en-GB"/>
        </w:rPr>
        <w:t xml:space="preserve"> (Accessed: 10 August 2026).</w:t>
      </w:r>
    </w:p>
    <w:p w:rsidR="00DF353A" w:rsidRPr="000716F1" w:rsidRDefault="00DF353A" w:rsidP="001977A4">
      <w:pPr>
        <w:spacing w:after="0" w:line="360" w:lineRule="auto"/>
        <w:rPr>
          <w:rFonts w:ascii="Arial" w:eastAsia="Times New Roman" w:hAnsi="Arial" w:cs="Arial"/>
          <w:color w:val="000000"/>
          <w:sz w:val="24"/>
          <w:szCs w:val="24"/>
          <w:lang w:eastAsia="en-GB"/>
        </w:rPr>
      </w:pPr>
    </w:p>
    <w:p w:rsidR="000716F1" w:rsidRPr="000716F1" w:rsidRDefault="000716F1" w:rsidP="001977A4">
      <w:pPr>
        <w:spacing w:after="0" w:line="360" w:lineRule="auto"/>
        <w:rPr>
          <w:rFonts w:ascii="Arial" w:eastAsia="Times New Roman" w:hAnsi="Arial" w:cs="Arial"/>
          <w:color w:val="000000"/>
          <w:sz w:val="24"/>
          <w:szCs w:val="24"/>
          <w:lang w:eastAsia="en-GB"/>
        </w:rPr>
      </w:pPr>
      <w:r w:rsidRPr="000716F1">
        <w:rPr>
          <w:rFonts w:ascii="Arial" w:eastAsia="Times New Roman" w:hAnsi="Arial" w:cs="Arial"/>
          <w:i/>
          <w:iCs/>
          <w:color w:val="000000"/>
          <w:sz w:val="24"/>
          <w:szCs w:val="24"/>
          <w:lang w:eastAsia="en-GB"/>
        </w:rPr>
        <w:lastRenderedPageBreak/>
        <w:t>Data Protection Act 2018</w:t>
      </w:r>
      <w:r w:rsidRPr="000716F1">
        <w:rPr>
          <w:rFonts w:ascii="Arial" w:eastAsia="Times New Roman" w:hAnsi="Arial" w:cs="Arial"/>
          <w:color w:val="000000"/>
          <w:sz w:val="24"/>
          <w:szCs w:val="24"/>
          <w:lang w:eastAsia="en-GB"/>
        </w:rPr>
        <w:t xml:space="preserve">, c. 12. London: The Stationery Office. Available at: </w:t>
      </w:r>
      <w:hyperlink r:id="rId20" w:tgtFrame="_blank" w:tooltip="autolink" w:history="1">
        <w:r w:rsidRPr="000716F1">
          <w:rPr>
            <w:rFonts w:ascii="Arial" w:eastAsia="Times New Roman" w:hAnsi="Arial" w:cs="Arial"/>
            <w:color w:val="0057FF"/>
            <w:sz w:val="24"/>
            <w:szCs w:val="24"/>
            <w:u w:val="single"/>
            <w:lang w:eastAsia="en-GB"/>
          </w:rPr>
          <w:t>https://www.legislation.gov.uk/ukpga/2018/12/part/3/chapter/2</w:t>
        </w:r>
      </w:hyperlink>
      <w:r w:rsidRPr="000716F1">
        <w:rPr>
          <w:rFonts w:ascii="Arial" w:eastAsia="Times New Roman" w:hAnsi="Arial" w:cs="Arial"/>
          <w:color w:val="000000"/>
          <w:sz w:val="24"/>
          <w:szCs w:val="24"/>
          <w:lang w:eastAsia="en-GB"/>
        </w:rPr>
        <w:t xml:space="preserve"> (Accessed: 10 August 2026).</w:t>
      </w:r>
    </w:p>
    <w:p w:rsidR="000716F1" w:rsidRPr="000716F1" w:rsidRDefault="000716F1" w:rsidP="001977A4">
      <w:pPr>
        <w:spacing w:after="0" w:line="360" w:lineRule="auto"/>
        <w:rPr>
          <w:rFonts w:ascii="Arial" w:eastAsia="Times New Roman" w:hAnsi="Arial" w:cs="Arial"/>
          <w:color w:val="000000"/>
          <w:sz w:val="24"/>
          <w:szCs w:val="24"/>
          <w:lang w:eastAsia="en-GB"/>
        </w:rPr>
      </w:pPr>
      <w:r w:rsidRPr="000716F1">
        <w:rPr>
          <w:rFonts w:ascii="Arial" w:eastAsia="Times New Roman" w:hAnsi="Arial" w:cs="Arial"/>
          <w:color w:val="000000"/>
          <w:sz w:val="24"/>
          <w:szCs w:val="24"/>
          <w:lang w:eastAsia="en-GB"/>
        </w:rPr>
        <w:t xml:space="preserve">Moonie, N. (2021) </w:t>
      </w:r>
      <w:r w:rsidRPr="000716F1">
        <w:rPr>
          <w:rFonts w:ascii="Arial" w:eastAsia="Times New Roman" w:hAnsi="Arial" w:cs="Arial"/>
          <w:i/>
          <w:iCs/>
          <w:color w:val="000000"/>
          <w:sz w:val="24"/>
          <w:szCs w:val="24"/>
          <w:lang w:eastAsia="en-GB"/>
        </w:rPr>
        <w:t>Health and social care</w:t>
      </w:r>
      <w:r w:rsidRPr="000716F1">
        <w:rPr>
          <w:rFonts w:ascii="Arial" w:eastAsia="Times New Roman" w:hAnsi="Arial" w:cs="Arial"/>
          <w:color w:val="000000"/>
          <w:sz w:val="24"/>
          <w:szCs w:val="24"/>
          <w:lang w:eastAsia="en-GB"/>
        </w:rPr>
        <w:t xml:space="preserve">. 4th ed. Oxford: Heinemann. Available at: </w:t>
      </w:r>
      <w:hyperlink r:id="rId21" w:tgtFrame="_blank" w:tooltip="autolink" w:history="1">
        <w:r w:rsidRPr="000716F1">
          <w:rPr>
            <w:rFonts w:ascii="Arial" w:eastAsia="Times New Roman" w:hAnsi="Arial" w:cs="Arial"/>
            <w:color w:val="0057FF"/>
            <w:sz w:val="24"/>
            <w:szCs w:val="24"/>
            <w:u w:val="single"/>
            <w:lang w:eastAsia="en-GB"/>
          </w:rPr>
          <w:t>https://www.pearson.com/uk/subject-area/health-and-social-care.html</w:t>
        </w:r>
      </w:hyperlink>
      <w:r w:rsidRPr="000716F1">
        <w:rPr>
          <w:rFonts w:ascii="Arial" w:eastAsia="Times New Roman" w:hAnsi="Arial" w:cs="Arial"/>
          <w:color w:val="000000"/>
          <w:sz w:val="24"/>
          <w:szCs w:val="24"/>
          <w:lang w:eastAsia="en-GB"/>
        </w:rPr>
        <w:t xml:space="preserve"> (Accessed: 10 August 2026).</w:t>
      </w:r>
    </w:p>
    <w:p w:rsidR="000716F1" w:rsidRDefault="000716F1" w:rsidP="001977A4">
      <w:pPr>
        <w:spacing w:after="0" w:line="360" w:lineRule="auto"/>
        <w:rPr>
          <w:rFonts w:ascii="Arial" w:eastAsia="Times New Roman" w:hAnsi="Arial" w:cs="Arial"/>
          <w:color w:val="000000"/>
          <w:sz w:val="24"/>
          <w:szCs w:val="24"/>
          <w:lang w:eastAsia="en-GB"/>
        </w:rPr>
      </w:pPr>
      <w:r w:rsidRPr="000716F1">
        <w:rPr>
          <w:rFonts w:ascii="Arial" w:eastAsia="Times New Roman" w:hAnsi="Arial" w:cs="Arial"/>
          <w:color w:val="000000"/>
          <w:sz w:val="24"/>
          <w:szCs w:val="24"/>
          <w:lang w:eastAsia="en-GB"/>
        </w:rPr>
        <w:t xml:space="preserve">NHS England (2020) </w:t>
      </w:r>
      <w:proofErr w:type="spellStart"/>
      <w:r w:rsidRPr="000716F1">
        <w:rPr>
          <w:rFonts w:ascii="Arial" w:eastAsia="Times New Roman" w:hAnsi="Arial" w:cs="Arial"/>
          <w:i/>
          <w:iCs/>
          <w:color w:val="000000"/>
          <w:sz w:val="24"/>
          <w:szCs w:val="24"/>
          <w:lang w:eastAsia="en-GB"/>
        </w:rPr>
        <w:t>Caldicott</w:t>
      </w:r>
      <w:proofErr w:type="spellEnd"/>
      <w:r w:rsidRPr="000716F1">
        <w:rPr>
          <w:rFonts w:ascii="Arial" w:eastAsia="Times New Roman" w:hAnsi="Arial" w:cs="Arial"/>
          <w:i/>
          <w:iCs/>
          <w:color w:val="000000"/>
          <w:sz w:val="24"/>
          <w:szCs w:val="24"/>
          <w:lang w:eastAsia="en-GB"/>
        </w:rPr>
        <w:t xml:space="preserve"> principles (revised)</w:t>
      </w:r>
      <w:r w:rsidRPr="000716F1">
        <w:rPr>
          <w:rFonts w:ascii="Arial" w:eastAsia="Times New Roman" w:hAnsi="Arial" w:cs="Arial"/>
          <w:color w:val="000000"/>
          <w:sz w:val="24"/>
          <w:szCs w:val="24"/>
          <w:lang w:eastAsia="en-GB"/>
        </w:rPr>
        <w:t xml:space="preserve">. Available at: </w:t>
      </w:r>
      <w:hyperlink r:id="rId22" w:tgtFrame="_blank" w:tooltip="autolink" w:history="1">
        <w:r w:rsidRPr="000716F1">
          <w:rPr>
            <w:rFonts w:ascii="Arial" w:eastAsia="Times New Roman" w:hAnsi="Arial" w:cs="Arial"/>
            <w:color w:val="0057FF"/>
            <w:sz w:val="24"/>
            <w:szCs w:val="24"/>
            <w:u w:val="single"/>
            <w:lang w:eastAsia="en-GB"/>
          </w:rPr>
          <w:t>https://digital.nhs.uk/information-governance/caldicott-principles</w:t>
        </w:r>
      </w:hyperlink>
      <w:r w:rsidRPr="000716F1">
        <w:rPr>
          <w:rFonts w:ascii="Arial" w:eastAsia="Times New Roman" w:hAnsi="Arial" w:cs="Arial"/>
          <w:color w:val="000000"/>
          <w:sz w:val="24"/>
          <w:szCs w:val="24"/>
          <w:lang w:eastAsia="en-GB"/>
        </w:rPr>
        <w:t xml:space="preserve"> (Accessed: 10 August 2026).</w:t>
      </w:r>
    </w:p>
    <w:p w:rsidR="00DF353A" w:rsidRPr="000716F1" w:rsidRDefault="00DF353A" w:rsidP="001977A4">
      <w:pPr>
        <w:spacing w:after="0" w:line="360" w:lineRule="auto"/>
        <w:rPr>
          <w:rFonts w:ascii="Arial" w:eastAsia="Times New Roman" w:hAnsi="Arial" w:cs="Arial"/>
          <w:color w:val="000000"/>
          <w:sz w:val="24"/>
          <w:szCs w:val="24"/>
          <w:lang w:eastAsia="en-GB"/>
        </w:rPr>
      </w:pPr>
    </w:p>
    <w:p w:rsidR="00DF353A" w:rsidRDefault="000716F1" w:rsidP="001977A4">
      <w:pPr>
        <w:spacing w:after="0" w:line="360" w:lineRule="auto"/>
        <w:rPr>
          <w:rFonts w:ascii="Arial" w:eastAsia="Times New Roman" w:hAnsi="Arial" w:cs="Arial"/>
          <w:color w:val="000000"/>
          <w:sz w:val="24"/>
          <w:szCs w:val="24"/>
          <w:lang w:eastAsia="en-GB"/>
        </w:rPr>
      </w:pPr>
      <w:r w:rsidRPr="000716F1">
        <w:rPr>
          <w:rFonts w:ascii="Arial" w:eastAsia="Times New Roman" w:hAnsi="Arial" w:cs="Arial"/>
          <w:color w:val="000000"/>
          <w:sz w:val="24"/>
          <w:szCs w:val="24"/>
          <w:lang w:eastAsia="en-GB"/>
        </w:rPr>
        <w:t xml:space="preserve">Social Care Institute for Excellence (2024) </w:t>
      </w:r>
      <w:r w:rsidRPr="000716F1">
        <w:rPr>
          <w:rFonts w:ascii="Arial" w:eastAsia="Times New Roman" w:hAnsi="Arial" w:cs="Arial"/>
          <w:i/>
          <w:iCs/>
          <w:color w:val="000000"/>
          <w:sz w:val="24"/>
          <w:szCs w:val="24"/>
          <w:lang w:eastAsia="en-GB"/>
        </w:rPr>
        <w:t>Care Act factsheet 3: legal duties for recording an assessment of needs</w:t>
      </w:r>
      <w:r w:rsidRPr="000716F1">
        <w:rPr>
          <w:rFonts w:ascii="Arial" w:eastAsia="Times New Roman" w:hAnsi="Arial" w:cs="Arial"/>
          <w:color w:val="000000"/>
          <w:sz w:val="24"/>
          <w:szCs w:val="24"/>
          <w:lang w:eastAsia="en-GB"/>
        </w:rPr>
        <w:t xml:space="preserve">. Available at: </w:t>
      </w:r>
      <w:hyperlink r:id="rId23" w:tgtFrame="_blank" w:tooltip="autolink" w:history="1">
        <w:r w:rsidRPr="000716F1">
          <w:rPr>
            <w:rFonts w:ascii="Arial" w:eastAsia="Times New Roman" w:hAnsi="Arial" w:cs="Arial"/>
            <w:color w:val="0057FF"/>
            <w:sz w:val="24"/>
            <w:szCs w:val="24"/>
            <w:u w:val="single"/>
            <w:lang w:eastAsia="en-GB"/>
          </w:rPr>
          <w:t>https://www.scie.org.uk/care-act-2014/factsheets/care-act-factsheet-3-legal-duties-for-recording-an-assessment-of-needs-for-care-and-support</w:t>
        </w:r>
      </w:hyperlink>
      <w:r w:rsidR="00DF353A">
        <w:rPr>
          <w:rFonts w:ascii="Arial" w:eastAsia="Times New Roman" w:hAnsi="Arial" w:cs="Arial"/>
          <w:color w:val="000000"/>
          <w:sz w:val="24"/>
          <w:szCs w:val="24"/>
          <w:lang w:eastAsia="en-GB"/>
        </w:rPr>
        <w:t xml:space="preserve"> (Accessed: 10 August 2026).</w:t>
      </w:r>
    </w:p>
    <w:p w:rsidR="00DF353A" w:rsidRPr="001977A4" w:rsidRDefault="00DF353A" w:rsidP="001977A4">
      <w:pPr>
        <w:spacing w:after="0" w:line="360" w:lineRule="auto"/>
        <w:rPr>
          <w:rFonts w:ascii="Arial" w:eastAsia="Times New Roman" w:hAnsi="Arial" w:cs="Arial"/>
          <w:color w:val="000000"/>
          <w:sz w:val="24"/>
          <w:szCs w:val="24"/>
          <w:lang w:eastAsia="en-GB"/>
        </w:rPr>
      </w:pPr>
    </w:p>
    <w:p w:rsidR="001977A4" w:rsidRDefault="001977A4" w:rsidP="001977A4">
      <w:pPr>
        <w:spacing w:after="0" w:line="360" w:lineRule="auto"/>
        <w:rPr>
          <w:rFonts w:ascii="Arial" w:eastAsia="Times New Roman" w:hAnsi="Arial" w:cs="Arial"/>
          <w:color w:val="000000"/>
          <w:sz w:val="24"/>
          <w:szCs w:val="24"/>
          <w:lang w:eastAsia="en-GB"/>
        </w:rPr>
      </w:pPr>
      <w:r w:rsidRPr="001977A4">
        <w:rPr>
          <w:rFonts w:ascii="Arial" w:eastAsia="Times New Roman" w:hAnsi="Arial" w:cs="Arial"/>
          <w:i/>
          <w:iCs/>
          <w:color w:val="000000"/>
          <w:sz w:val="24"/>
          <w:szCs w:val="24"/>
          <w:lang w:eastAsia="en-GB"/>
        </w:rPr>
        <w:t>Equality Act 2010</w:t>
      </w:r>
      <w:r w:rsidRPr="001977A4">
        <w:rPr>
          <w:rFonts w:ascii="Arial" w:eastAsia="Times New Roman" w:hAnsi="Arial" w:cs="Arial"/>
          <w:color w:val="000000"/>
          <w:sz w:val="24"/>
          <w:szCs w:val="24"/>
          <w:lang w:eastAsia="en-GB"/>
        </w:rPr>
        <w:t xml:space="preserve">, c. 15. London: The Stationery Office. Available at: </w:t>
      </w:r>
      <w:hyperlink r:id="rId24" w:tgtFrame="_blank" w:tooltip="autolink" w:history="1">
        <w:r w:rsidRPr="001977A4">
          <w:rPr>
            <w:rFonts w:ascii="Arial" w:eastAsia="Times New Roman" w:hAnsi="Arial" w:cs="Arial"/>
            <w:color w:val="0057FF"/>
            <w:sz w:val="24"/>
            <w:szCs w:val="24"/>
            <w:u w:val="single"/>
            <w:lang w:eastAsia="en-GB"/>
          </w:rPr>
          <w:t>https://www.legislation.gov.uk/ukpga/2010/15/contents</w:t>
        </w:r>
      </w:hyperlink>
      <w:r w:rsidRPr="001977A4">
        <w:rPr>
          <w:rFonts w:ascii="Arial" w:eastAsia="Times New Roman" w:hAnsi="Arial" w:cs="Arial"/>
          <w:color w:val="000000"/>
          <w:sz w:val="24"/>
          <w:szCs w:val="24"/>
          <w:lang w:eastAsia="en-GB"/>
        </w:rPr>
        <w:t xml:space="preserve"> (Accessed: 10 August 2026).</w:t>
      </w:r>
    </w:p>
    <w:p w:rsidR="00DF353A" w:rsidRPr="001977A4" w:rsidRDefault="00DF353A" w:rsidP="001977A4">
      <w:pPr>
        <w:spacing w:after="0" w:line="360" w:lineRule="auto"/>
        <w:rPr>
          <w:rFonts w:ascii="Arial" w:eastAsia="Times New Roman" w:hAnsi="Arial" w:cs="Arial"/>
          <w:color w:val="000000"/>
          <w:sz w:val="24"/>
          <w:szCs w:val="24"/>
          <w:lang w:eastAsia="en-GB"/>
        </w:rPr>
      </w:pPr>
    </w:p>
    <w:p w:rsidR="001977A4" w:rsidRDefault="001977A4" w:rsidP="001977A4">
      <w:pPr>
        <w:spacing w:after="0" w:line="360" w:lineRule="auto"/>
        <w:rPr>
          <w:rFonts w:ascii="Arial" w:eastAsia="Times New Roman" w:hAnsi="Arial" w:cs="Arial"/>
          <w:color w:val="000000"/>
          <w:sz w:val="24"/>
          <w:szCs w:val="24"/>
          <w:lang w:eastAsia="en-GB"/>
        </w:rPr>
      </w:pPr>
      <w:r w:rsidRPr="001977A4">
        <w:rPr>
          <w:rFonts w:ascii="Arial" w:eastAsia="Times New Roman" w:hAnsi="Arial" w:cs="Arial"/>
          <w:color w:val="000000"/>
          <w:sz w:val="24"/>
          <w:szCs w:val="24"/>
          <w:lang w:eastAsia="en-GB"/>
        </w:rPr>
        <w:t xml:space="preserve">Gleeson, S. (2022) </w:t>
      </w:r>
      <w:proofErr w:type="gramStart"/>
      <w:r w:rsidRPr="001977A4">
        <w:rPr>
          <w:rFonts w:ascii="Arial" w:eastAsia="Times New Roman" w:hAnsi="Arial" w:cs="Arial"/>
          <w:i/>
          <w:iCs/>
          <w:color w:val="000000"/>
          <w:sz w:val="24"/>
          <w:szCs w:val="24"/>
          <w:lang w:eastAsia="en-GB"/>
        </w:rPr>
        <w:t>An</w:t>
      </w:r>
      <w:proofErr w:type="gramEnd"/>
      <w:r w:rsidRPr="001977A4">
        <w:rPr>
          <w:rFonts w:ascii="Arial" w:eastAsia="Times New Roman" w:hAnsi="Arial" w:cs="Arial"/>
          <w:i/>
          <w:iCs/>
          <w:color w:val="000000"/>
          <w:sz w:val="24"/>
          <w:szCs w:val="24"/>
          <w:lang w:eastAsia="en-GB"/>
        </w:rPr>
        <w:t xml:space="preserve"> introduction to health and social care</w:t>
      </w:r>
      <w:r w:rsidRPr="001977A4">
        <w:rPr>
          <w:rFonts w:ascii="Arial" w:eastAsia="Times New Roman" w:hAnsi="Arial" w:cs="Arial"/>
          <w:color w:val="000000"/>
          <w:sz w:val="24"/>
          <w:szCs w:val="24"/>
          <w:lang w:eastAsia="en-GB"/>
        </w:rPr>
        <w:t xml:space="preserve">. 3rd ed. London: Hodder Education. Available at: </w:t>
      </w:r>
      <w:hyperlink r:id="rId25" w:tgtFrame="_blank" w:tooltip="autolink" w:history="1">
        <w:r w:rsidRPr="001977A4">
          <w:rPr>
            <w:rFonts w:ascii="Arial" w:eastAsia="Times New Roman" w:hAnsi="Arial" w:cs="Arial"/>
            <w:color w:val="0057FF"/>
            <w:sz w:val="24"/>
            <w:szCs w:val="24"/>
            <w:u w:val="single"/>
            <w:lang w:eastAsia="en-GB"/>
          </w:rPr>
          <w:t>https://www.hoddereducation.co.uk/Product/9781398312672</w:t>
        </w:r>
      </w:hyperlink>
      <w:r w:rsidRPr="001977A4">
        <w:rPr>
          <w:rFonts w:ascii="Arial" w:eastAsia="Times New Roman" w:hAnsi="Arial" w:cs="Arial"/>
          <w:color w:val="000000"/>
          <w:sz w:val="24"/>
          <w:szCs w:val="24"/>
          <w:lang w:eastAsia="en-GB"/>
        </w:rPr>
        <w:t xml:space="preserve"> (Accessed: 10 August 2026).</w:t>
      </w:r>
    </w:p>
    <w:p w:rsidR="00DF353A" w:rsidRPr="001977A4" w:rsidRDefault="00DF353A" w:rsidP="001977A4">
      <w:pPr>
        <w:spacing w:after="0" w:line="360" w:lineRule="auto"/>
        <w:rPr>
          <w:rFonts w:ascii="Arial" w:eastAsia="Times New Roman" w:hAnsi="Arial" w:cs="Arial"/>
          <w:color w:val="000000"/>
          <w:sz w:val="24"/>
          <w:szCs w:val="24"/>
          <w:lang w:eastAsia="en-GB"/>
        </w:rPr>
      </w:pPr>
    </w:p>
    <w:p w:rsidR="00B5447B" w:rsidRPr="004610FB" w:rsidRDefault="00B5447B" w:rsidP="001977A4">
      <w:pPr>
        <w:spacing w:line="360" w:lineRule="auto"/>
        <w:jc w:val="both"/>
        <w:rPr>
          <w:rFonts w:ascii="Arial" w:hAnsi="Arial" w:cs="Arial"/>
        </w:rPr>
      </w:pPr>
    </w:p>
    <w:sectPr w:rsidR="00B5447B" w:rsidRPr="004610FB" w:rsidSect="001417D1">
      <w:footerReference w:type="default" r:id="rId26"/>
      <w:pgSz w:w="11906" w:h="16838"/>
      <w:pgMar w:top="851" w:right="1418" w:bottom="851" w:left="1418" w:header="709" w:footer="709"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3246" w:rsidRDefault="00203246" w:rsidP="007C639E">
      <w:pPr>
        <w:spacing w:after="0" w:line="240" w:lineRule="auto"/>
      </w:pPr>
      <w:r>
        <w:separator/>
      </w:r>
    </w:p>
  </w:endnote>
  <w:endnote w:type="continuationSeparator" w:id="0">
    <w:p w:rsidR="00203246" w:rsidRDefault="00203246" w:rsidP="007C6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2753554"/>
      <w:docPartObj>
        <w:docPartGallery w:val="Page Numbers (Bottom of Page)"/>
        <w:docPartUnique/>
      </w:docPartObj>
    </w:sdtPr>
    <w:sdtEndPr>
      <w:rPr>
        <w:noProof/>
      </w:rPr>
    </w:sdtEndPr>
    <w:sdtContent>
      <w:p w:rsidR="007C639E" w:rsidRDefault="007C639E">
        <w:pPr>
          <w:pStyle w:val="Footer"/>
          <w:jc w:val="right"/>
        </w:pPr>
        <w:r>
          <w:fldChar w:fldCharType="begin"/>
        </w:r>
        <w:r>
          <w:instrText xml:space="preserve"> PAGE   \* MERGEFORMAT </w:instrText>
        </w:r>
        <w:r>
          <w:fldChar w:fldCharType="separate"/>
        </w:r>
        <w:r w:rsidR="00DF353A">
          <w:rPr>
            <w:noProof/>
          </w:rPr>
          <w:t>8</w:t>
        </w:r>
        <w:r>
          <w:rPr>
            <w:noProof/>
          </w:rPr>
          <w:fldChar w:fldCharType="end"/>
        </w:r>
      </w:p>
    </w:sdtContent>
  </w:sdt>
  <w:p w:rsidR="007C639E" w:rsidRDefault="007C63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3246" w:rsidRDefault="00203246" w:rsidP="007C639E">
      <w:pPr>
        <w:spacing w:after="0" w:line="240" w:lineRule="auto"/>
      </w:pPr>
      <w:r>
        <w:separator/>
      </w:r>
    </w:p>
  </w:footnote>
  <w:footnote w:type="continuationSeparator" w:id="0">
    <w:p w:rsidR="00203246" w:rsidRDefault="00203246" w:rsidP="007C639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9A05BA"/>
    <w:multiLevelType w:val="hybridMultilevel"/>
    <w:tmpl w:val="901C1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50D251B"/>
    <w:multiLevelType w:val="hybridMultilevel"/>
    <w:tmpl w:val="84CCE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75A7"/>
    <w:rsid w:val="000275A7"/>
    <w:rsid w:val="000716F1"/>
    <w:rsid w:val="000E36BE"/>
    <w:rsid w:val="001417D1"/>
    <w:rsid w:val="001977A4"/>
    <w:rsid w:val="00203246"/>
    <w:rsid w:val="002112AE"/>
    <w:rsid w:val="0024151E"/>
    <w:rsid w:val="0029553B"/>
    <w:rsid w:val="00372EE8"/>
    <w:rsid w:val="00375B41"/>
    <w:rsid w:val="003825B5"/>
    <w:rsid w:val="00435151"/>
    <w:rsid w:val="004610FB"/>
    <w:rsid w:val="004C2791"/>
    <w:rsid w:val="00757324"/>
    <w:rsid w:val="007A4F48"/>
    <w:rsid w:val="007C639E"/>
    <w:rsid w:val="00A1472B"/>
    <w:rsid w:val="00B5447B"/>
    <w:rsid w:val="00B851F6"/>
    <w:rsid w:val="00DF353A"/>
    <w:rsid w:val="00E10193"/>
    <w:rsid w:val="00ED4660"/>
    <w:rsid w:val="00F3792A"/>
    <w:rsid w:val="00F725C6"/>
    <w:rsid w:val="00FF4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F3CCD6-3F90-4036-A478-DF0DABBA6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D466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75A7"/>
    <w:pPr>
      <w:ind w:left="720"/>
      <w:contextualSpacing/>
    </w:pPr>
  </w:style>
  <w:style w:type="character" w:styleId="Hyperlink">
    <w:name w:val="Hyperlink"/>
    <w:basedOn w:val="DefaultParagraphFont"/>
    <w:uiPriority w:val="99"/>
    <w:unhideWhenUsed/>
    <w:rsid w:val="00ED4660"/>
    <w:rPr>
      <w:color w:val="0563C1" w:themeColor="hyperlink"/>
      <w:u w:val="single"/>
    </w:rPr>
  </w:style>
  <w:style w:type="character" w:customStyle="1" w:styleId="Heading1Char">
    <w:name w:val="Heading 1 Char"/>
    <w:basedOn w:val="DefaultParagraphFont"/>
    <w:link w:val="Heading1"/>
    <w:uiPriority w:val="9"/>
    <w:rsid w:val="00ED466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D4660"/>
    <w:pPr>
      <w:outlineLvl w:val="9"/>
    </w:pPr>
    <w:rPr>
      <w:lang w:val="en-US"/>
    </w:rPr>
  </w:style>
  <w:style w:type="paragraph" w:styleId="TOC1">
    <w:name w:val="toc 1"/>
    <w:basedOn w:val="Normal"/>
    <w:next w:val="Normal"/>
    <w:autoRedefine/>
    <w:uiPriority w:val="39"/>
    <w:unhideWhenUsed/>
    <w:rsid w:val="00ED4660"/>
    <w:pPr>
      <w:spacing w:after="100"/>
    </w:pPr>
    <w:rPr>
      <w:rFonts w:eastAsiaTheme="minorEastAsia"/>
      <w:lang w:eastAsia="zh-CN"/>
    </w:rPr>
  </w:style>
  <w:style w:type="paragraph" w:styleId="Header">
    <w:name w:val="header"/>
    <w:basedOn w:val="Normal"/>
    <w:link w:val="HeaderChar"/>
    <w:uiPriority w:val="99"/>
    <w:unhideWhenUsed/>
    <w:rsid w:val="007C6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39E"/>
  </w:style>
  <w:style w:type="paragraph" w:styleId="Footer">
    <w:name w:val="footer"/>
    <w:basedOn w:val="Normal"/>
    <w:link w:val="FooterChar"/>
    <w:uiPriority w:val="99"/>
    <w:unhideWhenUsed/>
    <w:rsid w:val="007C6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3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442135">
      <w:bodyDiv w:val="1"/>
      <w:marLeft w:val="0"/>
      <w:marRight w:val="0"/>
      <w:marTop w:val="0"/>
      <w:marBottom w:val="0"/>
      <w:divBdr>
        <w:top w:val="none" w:sz="0" w:space="0" w:color="auto"/>
        <w:left w:val="none" w:sz="0" w:space="0" w:color="auto"/>
        <w:bottom w:val="none" w:sz="0" w:space="0" w:color="auto"/>
        <w:right w:val="none" w:sz="0" w:space="0" w:color="auto"/>
      </w:divBdr>
      <w:divsChild>
        <w:div w:id="113333832">
          <w:marLeft w:val="0"/>
          <w:marRight w:val="0"/>
          <w:marTop w:val="0"/>
          <w:marBottom w:val="0"/>
          <w:divBdr>
            <w:top w:val="none" w:sz="0" w:space="0" w:color="auto"/>
            <w:left w:val="none" w:sz="0" w:space="0" w:color="auto"/>
            <w:bottom w:val="none" w:sz="0" w:space="0" w:color="auto"/>
            <w:right w:val="none" w:sz="0" w:space="0" w:color="auto"/>
          </w:divBdr>
        </w:div>
        <w:div w:id="168449552">
          <w:marLeft w:val="0"/>
          <w:marRight w:val="0"/>
          <w:marTop w:val="0"/>
          <w:marBottom w:val="0"/>
          <w:divBdr>
            <w:top w:val="none" w:sz="0" w:space="0" w:color="auto"/>
            <w:left w:val="none" w:sz="0" w:space="0" w:color="auto"/>
            <w:bottom w:val="none" w:sz="0" w:space="0" w:color="auto"/>
            <w:right w:val="none" w:sz="0" w:space="0" w:color="auto"/>
          </w:divBdr>
          <w:divsChild>
            <w:div w:id="143278842">
              <w:marLeft w:val="0"/>
              <w:marRight w:val="0"/>
              <w:marTop w:val="0"/>
              <w:marBottom w:val="0"/>
              <w:divBdr>
                <w:top w:val="none" w:sz="0" w:space="0" w:color="auto"/>
                <w:left w:val="none" w:sz="0" w:space="0" w:color="auto"/>
                <w:bottom w:val="none" w:sz="0" w:space="0" w:color="auto"/>
                <w:right w:val="none" w:sz="0" w:space="0" w:color="auto"/>
              </w:divBdr>
            </w:div>
          </w:divsChild>
        </w:div>
        <w:div w:id="197162009">
          <w:marLeft w:val="0"/>
          <w:marRight w:val="0"/>
          <w:marTop w:val="0"/>
          <w:marBottom w:val="0"/>
          <w:divBdr>
            <w:top w:val="none" w:sz="0" w:space="0" w:color="auto"/>
            <w:left w:val="none" w:sz="0" w:space="0" w:color="auto"/>
            <w:bottom w:val="none" w:sz="0" w:space="0" w:color="auto"/>
            <w:right w:val="none" w:sz="0" w:space="0" w:color="auto"/>
          </w:divBdr>
          <w:divsChild>
            <w:div w:id="391580156">
              <w:marLeft w:val="0"/>
              <w:marRight w:val="0"/>
              <w:marTop w:val="0"/>
              <w:marBottom w:val="0"/>
              <w:divBdr>
                <w:top w:val="none" w:sz="0" w:space="0" w:color="auto"/>
                <w:left w:val="none" w:sz="0" w:space="0" w:color="auto"/>
                <w:bottom w:val="none" w:sz="0" w:space="0" w:color="auto"/>
                <w:right w:val="none" w:sz="0" w:space="0" w:color="auto"/>
              </w:divBdr>
            </w:div>
          </w:divsChild>
        </w:div>
        <w:div w:id="303782768">
          <w:marLeft w:val="0"/>
          <w:marRight w:val="0"/>
          <w:marTop w:val="0"/>
          <w:marBottom w:val="0"/>
          <w:divBdr>
            <w:top w:val="none" w:sz="0" w:space="0" w:color="auto"/>
            <w:left w:val="none" w:sz="0" w:space="0" w:color="auto"/>
            <w:bottom w:val="none" w:sz="0" w:space="0" w:color="auto"/>
            <w:right w:val="none" w:sz="0" w:space="0" w:color="auto"/>
          </w:divBdr>
          <w:divsChild>
            <w:div w:id="226769331">
              <w:marLeft w:val="0"/>
              <w:marRight w:val="0"/>
              <w:marTop w:val="0"/>
              <w:marBottom w:val="0"/>
              <w:divBdr>
                <w:top w:val="none" w:sz="0" w:space="0" w:color="auto"/>
                <w:left w:val="none" w:sz="0" w:space="0" w:color="auto"/>
                <w:bottom w:val="none" w:sz="0" w:space="0" w:color="auto"/>
                <w:right w:val="none" w:sz="0" w:space="0" w:color="auto"/>
              </w:divBdr>
            </w:div>
          </w:divsChild>
        </w:div>
        <w:div w:id="368845686">
          <w:marLeft w:val="0"/>
          <w:marRight w:val="0"/>
          <w:marTop w:val="0"/>
          <w:marBottom w:val="0"/>
          <w:divBdr>
            <w:top w:val="none" w:sz="0" w:space="0" w:color="auto"/>
            <w:left w:val="none" w:sz="0" w:space="0" w:color="auto"/>
            <w:bottom w:val="none" w:sz="0" w:space="0" w:color="auto"/>
            <w:right w:val="none" w:sz="0" w:space="0" w:color="auto"/>
          </w:divBdr>
          <w:divsChild>
            <w:div w:id="994142529">
              <w:marLeft w:val="0"/>
              <w:marRight w:val="0"/>
              <w:marTop w:val="0"/>
              <w:marBottom w:val="0"/>
              <w:divBdr>
                <w:top w:val="none" w:sz="0" w:space="0" w:color="auto"/>
                <w:left w:val="none" w:sz="0" w:space="0" w:color="auto"/>
                <w:bottom w:val="none" w:sz="0" w:space="0" w:color="auto"/>
                <w:right w:val="none" w:sz="0" w:space="0" w:color="auto"/>
              </w:divBdr>
            </w:div>
          </w:divsChild>
        </w:div>
        <w:div w:id="400714142">
          <w:marLeft w:val="0"/>
          <w:marRight w:val="0"/>
          <w:marTop w:val="0"/>
          <w:marBottom w:val="0"/>
          <w:divBdr>
            <w:top w:val="none" w:sz="0" w:space="0" w:color="auto"/>
            <w:left w:val="none" w:sz="0" w:space="0" w:color="auto"/>
            <w:bottom w:val="none" w:sz="0" w:space="0" w:color="auto"/>
            <w:right w:val="none" w:sz="0" w:space="0" w:color="auto"/>
          </w:divBdr>
          <w:divsChild>
            <w:div w:id="750195884">
              <w:marLeft w:val="0"/>
              <w:marRight w:val="0"/>
              <w:marTop w:val="0"/>
              <w:marBottom w:val="0"/>
              <w:divBdr>
                <w:top w:val="none" w:sz="0" w:space="0" w:color="auto"/>
                <w:left w:val="none" w:sz="0" w:space="0" w:color="auto"/>
                <w:bottom w:val="none" w:sz="0" w:space="0" w:color="auto"/>
                <w:right w:val="none" w:sz="0" w:space="0" w:color="auto"/>
              </w:divBdr>
            </w:div>
          </w:divsChild>
        </w:div>
        <w:div w:id="552082409">
          <w:marLeft w:val="0"/>
          <w:marRight w:val="0"/>
          <w:marTop w:val="0"/>
          <w:marBottom w:val="0"/>
          <w:divBdr>
            <w:top w:val="none" w:sz="0" w:space="0" w:color="auto"/>
            <w:left w:val="none" w:sz="0" w:space="0" w:color="auto"/>
            <w:bottom w:val="none" w:sz="0" w:space="0" w:color="auto"/>
            <w:right w:val="none" w:sz="0" w:space="0" w:color="auto"/>
          </w:divBdr>
          <w:divsChild>
            <w:div w:id="438532242">
              <w:marLeft w:val="0"/>
              <w:marRight w:val="0"/>
              <w:marTop w:val="0"/>
              <w:marBottom w:val="0"/>
              <w:divBdr>
                <w:top w:val="none" w:sz="0" w:space="0" w:color="auto"/>
                <w:left w:val="none" w:sz="0" w:space="0" w:color="auto"/>
                <w:bottom w:val="none" w:sz="0" w:space="0" w:color="auto"/>
                <w:right w:val="none" w:sz="0" w:space="0" w:color="auto"/>
              </w:divBdr>
            </w:div>
          </w:divsChild>
        </w:div>
        <w:div w:id="1780635321">
          <w:marLeft w:val="0"/>
          <w:marRight w:val="0"/>
          <w:marTop w:val="0"/>
          <w:marBottom w:val="0"/>
          <w:divBdr>
            <w:top w:val="none" w:sz="0" w:space="0" w:color="auto"/>
            <w:left w:val="none" w:sz="0" w:space="0" w:color="auto"/>
            <w:bottom w:val="none" w:sz="0" w:space="0" w:color="auto"/>
            <w:right w:val="none" w:sz="0" w:space="0" w:color="auto"/>
          </w:divBdr>
        </w:div>
        <w:div w:id="1887643063">
          <w:marLeft w:val="0"/>
          <w:marRight w:val="0"/>
          <w:marTop w:val="0"/>
          <w:marBottom w:val="0"/>
          <w:divBdr>
            <w:top w:val="none" w:sz="0" w:space="0" w:color="auto"/>
            <w:left w:val="none" w:sz="0" w:space="0" w:color="auto"/>
            <w:bottom w:val="none" w:sz="0" w:space="0" w:color="auto"/>
            <w:right w:val="none" w:sz="0" w:space="0" w:color="auto"/>
          </w:divBdr>
          <w:divsChild>
            <w:div w:id="1030758482">
              <w:marLeft w:val="0"/>
              <w:marRight w:val="0"/>
              <w:marTop w:val="0"/>
              <w:marBottom w:val="0"/>
              <w:divBdr>
                <w:top w:val="none" w:sz="0" w:space="0" w:color="auto"/>
                <w:left w:val="none" w:sz="0" w:space="0" w:color="auto"/>
                <w:bottom w:val="none" w:sz="0" w:space="0" w:color="auto"/>
                <w:right w:val="none" w:sz="0" w:space="0" w:color="auto"/>
              </w:divBdr>
            </w:div>
          </w:divsChild>
        </w:div>
        <w:div w:id="2051804168">
          <w:marLeft w:val="0"/>
          <w:marRight w:val="0"/>
          <w:marTop w:val="0"/>
          <w:marBottom w:val="0"/>
          <w:divBdr>
            <w:top w:val="none" w:sz="0" w:space="0" w:color="auto"/>
            <w:left w:val="none" w:sz="0" w:space="0" w:color="auto"/>
            <w:bottom w:val="none" w:sz="0" w:space="0" w:color="auto"/>
            <w:right w:val="none" w:sz="0" w:space="0" w:color="auto"/>
          </w:divBdr>
        </w:div>
      </w:divsChild>
    </w:div>
    <w:div w:id="543981551">
      <w:bodyDiv w:val="1"/>
      <w:marLeft w:val="0"/>
      <w:marRight w:val="0"/>
      <w:marTop w:val="0"/>
      <w:marBottom w:val="0"/>
      <w:divBdr>
        <w:top w:val="none" w:sz="0" w:space="0" w:color="auto"/>
        <w:left w:val="none" w:sz="0" w:space="0" w:color="auto"/>
        <w:bottom w:val="none" w:sz="0" w:space="0" w:color="auto"/>
        <w:right w:val="none" w:sz="0" w:space="0" w:color="auto"/>
      </w:divBdr>
      <w:divsChild>
        <w:div w:id="1090002469">
          <w:marLeft w:val="0"/>
          <w:marRight w:val="0"/>
          <w:marTop w:val="0"/>
          <w:marBottom w:val="0"/>
          <w:divBdr>
            <w:top w:val="none" w:sz="0" w:space="0" w:color="auto"/>
            <w:left w:val="none" w:sz="0" w:space="0" w:color="auto"/>
            <w:bottom w:val="none" w:sz="0" w:space="0" w:color="auto"/>
            <w:right w:val="none" w:sz="0" w:space="0" w:color="auto"/>
          </w:divBdr>
          <w:divsChild>
            <w:div w:id="1109273695">
              <w:marLeft w:val="0"/>
              <w:marRight w:val="0"/>
              <w:marTop w:val="0"/>
              <w:marBottom w:val="0"/>
              <w:divBdr>
                <w:top w:val="none" w:sz="0" w:space="0" w:color="auto"/>
                <w:left w:val="none" w:sz="0" w:space="0" w:color="auto"/>
                <w:bottom w:val="none" w:sz="0" w:space="0" w:color="auto"/>
                <w:right w:val="none" w:sz="0" w:space="0" w:color="auto"/>
              </w:divBdr>
            </w:div>
          </w:divsChild>
        </w:div>
        <w:div w:id="2078042688">
          <w:marLeft w:val="0"/>
          <w:marRight w:val="0"/>
          <w:marTop w:val="0"/>
          <w:marBottom w:val="0"/>
          <w:divBdr>
            <w:top w:val="none" w:sz="0" w:space="0" w:color="auto"/>
            <w:left w:val="none" w:sz="0" w:space="0" w:color="auto"/>
            <w:bottom w:val="none" w:sz="0" w:space="0" w:color="auto"/>
            <w:right w:val="none" w:sz="0" w:space="0" w:color="auto"/>
          </w:divBdr>
          <w:divsChild>
            <w:div w:id="2019690977">
              <w:marLeft w:val="0"/>
              <w:marRight w:val="0"/>
              <w:marTop w:val="0"/>
              <w:marBottom w:val="0"/>
              <w:divBdr>
                <w:top w:val="none" w:sz="0" w:space="0" w:color="auto"/>
                <w:left w:val="none" w:sz="0" w:space="0" w:color="auto"/>
                <w:bottom w:val="none" w:sz="0" w:space="0" w:color="auto"/>
                <w:right w:val="none" w:sz="0" w:space="0" w:color="auto"/>
              </w:divBdr>
            </w:div>
          </w:divsChild>
        </w:div>
        <w:div w:id="257911454">
          <w:marLeft w:val="0"/>
          <w:marRight w:val="0"/>
          <w:marTop w:val="0"/>
          <w:marBottom w:val="0"/>
          <w:divBdr>
            <w:top w:val="none" w:sz="0" w:space="0" w:color="auto"/>
            <w:left w:val="none" w:sz="0" w:space="0" w:color="auto"/>
            <w:bottom w:val="none" w:sz="0" w:space="0" w:color="auto"/>
            <w:right w:val="none" w:sz="0" w:space="0" w:color="auto"/>
          </w:divBdr>
          <w:divsChild>
            <w:div w:id="985085145">
              <w:marLeft w:val="0"/>
              <w:marRight w:val="0"/>
              <w:marTop w:val="0"/>
              <w:marBottom w:val="0"/>
              <w:divBdr>
                <w:top w:val="none" w:sz="0" w:space="0" w:color="auto"/>
                <w:left w:val="none" w:sz="0" w:space="0" w:color="auto"/>
                <w:bottom w:val="none" w:sz="0" w:space="0" w:color="auto"/>
                <w:right w:val="none" w:sz="0" w:space="0" w:color="auto"/>
              </w:divBdr>
            </w:div>
          </w:divsChild>
        </w:div>
        <w:div w:id="238444321">
          <w:marLeft w:val="0"/>
          <w:marRight w:val="0"/>
          <w:marTop w:val="0"/>
          <w:marBottom w:val="0"/>
          <w:divBdr>
            <w:top w:val="none" w:sz="0" w:space="0" w:color="auto"/>
            <w:left w:val="none" w:sz="0" w:space="0" w:color="auto"/>
            <w:bottom w:val="none" w:sz="0" w:space="0" w:color="auto"/>
            <w:right w:val="none" w:sz="0" w:space="0" w:color="auto"/>
          </w:divBdr>
          <w:divsChild>
            <w:div w:id="1743523758">
              <w:marLeft w:val="0"/>
              <w:marRight w:val="0"/>
              <w:marTop w:val="0"/>
              <w:marBottom w:val="0"/>
              <w:divBdr>
                <w:top w:val="none" w:sz="0" w:space="0" w:color="auto"/>
                <w:left w:val="none" w:sz="0" w:space="0" w:color="auto"/>
                <w:bottom w:val="none" w:sz="0" w:space="0" w:color="auto"/>
                <w:right w:val="none" w:sz="0" w:space="0" w:color="auto"/>
              </w:divBdr>
            </w:div>
          </w:divsChild>
        </w:div>
        <w:div w:id="295187037">
          <w:marLeft w:val="0"/>
          <w:marRight w:val="0"/>
          <w:marTop w:val="0"/>
          <w:marBottom w:val="0"/>
          <w:divBdr>
            <w:top w:val="none" w:sz="0" w:space="0" w:color="auto"/>
            <w:left w:val="none" w:sz="0" w:space="0" w:color="auto"/>
            <w:bottom w:val="none" w:sz="0" w:space="0" w:color="auto"/>
            <w:right w:val="none" w:sz="0" w:space="0" w:color="auto"/>
          </w:divBdr>
          <w:divsChild>
            <w:div w:id="61105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676297">
      <w:bodyDiv w:val="1"/>
      <w:marLeft w:val="0"/>
      <w:marRight w:val="0"/>
      <w:marTop w:val="0"/>
      <w:marBottom w:val="0"/>
      <w:divBdr>
        <w:top w:val="none" w:sz="0" w:space="0" w:color="auto"/>
        <w:left w:val="none" w:sz="0" w:space="0" w:color="auto"/>
        <w:bottom w:val="none" w:sz="0" w:space="0" w:color="auto"/>
        <w:right w:val="none" w:sz="0" w:space="0" w:color="auto"/>
      </w:divBdr>
      <w:divsChild>
        <w:div w:id="43453070">
          <w:marLeft w:val="0"/>
          <w:marRight w:val="0"/>
          <w:marTop w:val="0"/>
          <w:marBottom w:val="0"/>
          <w:divBdr>
            <w:top w:val="none" w:sz="0" w:space="0" w:color="auto"/>
            <w:left w:val="none" w:sz="0" w:space="0" w:color="auto"/>
            <w:bottom w:val="none" w:sz="0" w:space="0" w:color="auto"/>
            <w:right w:val="none" w:sz="0" w:space="0" w:color="auto"/>
          </w:divBdr>
          <w:divsChild>
            <w:div w:id="616522308">
              <w:marLeft w:val="0"/>
              <w:marRight w:val="0"/>
              <w:marTop w:val="0"/>
              <w:marBottom w:val="0"/>
              <w:divBdr>
                <w:top w:val="none" w:sz="0" w:space="0" w:color="auto"/>
                <w:left w:val="none" w:sz="0" w:space="0" w:color="auto"/>
                <w:bottom w:val="none" w:sz="0" w:space="0" w:color="auto"/>
                <w:right w:val="none" w:sz="0" w:space="0" w:color="auto"/>
              </w:divBdr>
            </w:div>
          </w:divsChild>
        </w:div>
        <w:div w:id="66457819">
          <w:marLeft w:val="0"/>
          <w:marRight w:val="0"/>
          <w:marTop w:val="0"/>
          <w:marBottom w:val="0"/>
          <w:divBdr>
            <w:top w:val="none" w:sz="0" w:space="0" w:color="auto"/>
            <w:left w:val="none" w:sz="0" w:space="0" w:color="auto"/>
            <w:bottom w:val="none" w:sz="0" w:space="0" w:color="auto"/>
            <w:right w:val="none" w:sz="0" w:space="0" w:color="auto"/>
          </w:divBdr>
          <w:divsChild>
            <w:div w:id="1256403625">
              <w:marLeft w:val="0"/>
              <w:marRight w:val="0"/>
              <w:marTop w:val="0"/>
              <w:marBottom w:val="0"/>
              <w:divBdr>
                <w:top w:val="none" w:sz="0" w:space="0" w:color="auto"/>
                <w:left w:val="none" w:sz="0" w:space="0" w:color="auto"/>
                <w:bottom w:val="none" w:sz="0" w:space="0" w:color="auto"/>
                <w:right w:val="none" w:sz="0" w:space="0" w:color="auto"/>
              </w:divBdr>
            </w:div>
          </w:divsChild>
        </w:div>
        <w:div w:id="287976765">
          <w:marLeft w:val="0"/>
          <w:marRight w:val="0"/>
          <w:marTop w:val="0"/>
          <w:marBottom w:val="0"/>
          <w:divBdr>
            <w:top w:val="none" w:sz="0" w:space="0" w:color="auto"/>
            <w:left w:val="none" w:sz="0" w:space="0" w:color="auto"/>
            <w:bottom w:val="none" w:sz="0" w:space="0" w:color="auto"/>
            <w:right w:val="none" w:sz="0" w:space="0" w:color="auto"/>
          </w:divBdr>
          <w:divsChild>
            <w:div w:id="1412121889">
              <w:marLeft w:val="0"/>
              <w:marRight w:val="0"/>
              <w:marTop w:val="0"/>
              <w:marBottom w:val="0"/>
              <w:divBdr>
                <w:top w:val="none" w:sz="0" w:space="0" w:color="auto"/>
                <w:left w:val="none" w:sz="0" w:space="0" w:color="auto"/>
                <w:bottom w:val="none" w:sz="0" w:space="0" w:color="auto"/>
                <w:right w:val="none" w:sz="0" w:space="0" w:color="auto"/>
              </w:divBdr>
            </w:div>
          </w:divsChild>
        </w:div>
        <w:div w:id="753749190">
          <w:marLeft w:val="0"/>
          <w:marRight w:val="0"/>
          <w:marTop w:val="0"/>
          <w:marBottom w:val="0"/>
          <w:divBdr>
            <w:top w:val="none" w:sz="0" w:space="0" w:color="auto"/>
            <w:left w:val="none" w:sz="0" w:space="0" w:color="auto"/>
            <w:bottom w:val="none" w:sz="0" w:space="0" w:color="auto"/>
            <w:right w:val="none" w:sz="0" w:space="0" w:color="auto"/>
          </w:divBdr>
          <w:divsChild>
            <w:div w:id="6947674">
              <w:marLeft w:val="0"/>
              <w:marRight w:val="0"/>
              <w:marTop w:val="0"/>
              <w:marBottom w:val="0"/>
              <w:divBdr>
                <w:top w:val="none" w:sz="0" w:space="0" w:color="auto"/>
                <w:left w:val="none" w:sz="0" w:space="0" w:color="auto"/>
                <w:bottom w:val="none" w:sz="0" w:space="0" w:color="auto"/>
                <w:right w:val="none" w:sz="0" w:space="0" w:color="auto"/>
              </w:divBdr>
            </w:div>
          </w:divsChild>
        </w:div>
        <w:div w:id="1443769083">
          <w:marLeft w:val="0"/>
          <w:marRight w:val="0"/>
          <w:marTop w:val="0"/>
          <w:marBottom w:val="0"/>
          <w:divBdr>
            <w:top w:val="none" w:sz="0" w:space="0" w:color="auto"/>
            <w:left w:val="none" w:sz="0" w:space="0" w:color="auto"/>
            <w:bottom w:val="none" w:sz="0" w:space="0" w:color="auto"/>
            <w:right w:val="none" w:sz="0" w:space="0" w:color="auto"/>
          </w:divBdr>
          <w:divsChild>
            <w:div w:id="722489158">
              <w:marLeft w:val="0"/>
              <w:marRight w:val="0"/>
              <w:marTop w:val="0"/>
              <w:marBottom w:val="0"/>
              <w:divBdr>
                <w:top w:val="none" w:sz="0" w:space="0" w:color="auto"/>
                <w:left w:val="none" w:sz="0" w:space="0" w:color="auto"/>
                <w:bottom w:val="none" w:sz="0" w:space="0" w:color="auto"/>
                <w:right w:val="none" w:sz="0" w:space="0" w:color="auto"/>
              </w:divBdr>
            </w:div>
          </w:divsChild>
        </w:div>
        <w:div w:id="2006585497">
          <w:marLeft w:val="0"/>
          <w:marRight w:val="0"/>
          <w:marTop w:val="0"/>
          <w:marBottom w:val="0"/>
          <w:divBdr>
            <w:top w:val="none" w:sz="0" w:space="0" w:color="auto"/>
            <w:left w:val="none" w:sz="0" w:space="0" w:color="auto"/>
            <w:bottom w:val="none" w:sz="0" w:space="0" w:color="auto"/>
            <w:right w:val="none" w:sz="0" w:space="0" w:color="auto"/>
          </w:divBdr>
          <w:divsChild>
            <w:div w:id="474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925403">
      <w:bodyDiv w:val="1"/>
      <w:marLeft w:val="0"/>
      <w:marRight w:val="0"/>
      <w:marTop w:val="0"/>
      <w:marBottom w:val="0"/>
      <w:divBdr>
        <w:top w:val="none" w:sz="0" w:space="0" w:color="auto"/>
        <w:left w:val="none" w:sz="0" w:space="0" w:color="auto"/>
        <w:bottom w:val="none" w:sz="0" w:space="0" w:color="auto"/>
        <w:right w:val="none" w:sz="0" w:space="0" w:color="auto"/>
      </w:divBdr>
      <w:divsChild>
        <w:div w:id="216287257">
          <w:marLeft w:val="0"/>
          <w:marRight w:val="0"/>
          <w:marTop w:val="0"/>
          <w:marBottom w:val="0"/>
          <w:divBdr>
            <w:top w:val="none" w:sz="0" w:space="0" w:color="auto"/>
            <w:left w:val="none" w:sz="0" w:space="0" w:color="auto"/>
            <w:bottom w:val="none" w:sz="0" w:space="0" w:color="auto"/>
            <w:right w:val="none" w:sz="0" w:space="0" w:color="auto"/>
          </w:divBdr>
          <w:divsChild>
            <w:div w:id="890729997">
              <w:marLeft w:val="0"/>
              <w:marRight w:val="0"/>
              <w:marTop w:val="0"/>
              <w:marBottom w:val="0"/>
              <w:divBdr>
                <w:top w:val="none" w:sz="0" w:space="0" w:color="auto"/>
                <w:left w:val="none" w:sz="0" w:space="0" w:color="auto"/>
                <w:bottom w:val="none" w:sz="0" w:space="0" w:color="auto"/>
                <w:right w:val="none" w:sz="0" w:space="0" w:color="auto"/>
              </w:divBdr>
            </w:div>
          </w:divsChild>
        </w:div>
        <w:div w:id="1561089892">
          <w:marLeft w:val="0"/>
          <w:marRight w:val="0"/>
          <w:marTop w:val="0"/>
          <w:marBottom w:val="0"/>
          <w:divBdr>
            <w:top w:val="none" w:sz="0" w:space="0" w:color="auto"/>
            <w:left w:val="none" w:sz="0" w:space="0" w:color="auto"/>
            <w:bottom w:val="none" w:sz="0" w:space="0" w:color="auto"/>
            <w:right w:val="none" w:sz="0" w:space="0" w:color="auto"/>
          </w:divBdr>
          <w:divsChild>
            <w:div w:id="48724819">
              <w:marLeft w:val="0"/>
              <w:marRight w:val="0"/>
              <w:marTop w:val="0"/>
              <w:marBottom w:val="0"/>
              <w:divBdr>
                <w:top w:val="none" w:sz="0" w:space="0" w:color="auto"/>
                <w:left w:val="none" w:sz="0" w:space="0" w:color="auto"/>
                <w:bottom w:val="none" w:sz="0" w:space="0" w:color="auto"/>
                <w:right w:val="none" w:sz="0" w:space="0" w:color="auto"/>
              </w:divBdr>
            </w:div>
          </w:divsChild>
        </w:div>
        <w:div w:id="1603873254">
          <w:marLeft w:val="0"/>
          <w:marRight w:val="0"/>
          <w:marTop w:val="0"/>
          <w:marBottom w:val="0"/>
          <w:divBdr>
            <w:top w:val="none" w:sz="0" w:space="0" w:color="auto"/>
            <w:left w:val="none" w:sz="0" w:space="0" w:color="auto"/>
            <w:bottom w:val="none" w:sz="0" w:space="0" w:color="auto"/>
            <w:right w:val="none" w:sz="0" w:space="0" w:color="auto"/>
          </w:divBdr>
          <w:divsChild>
            <w:div w:id="1896240477">
              <w:marLeft w:val="0"/>
              <w:marRight w:val="0"/>
              <w:marTop w:val="0"/>
              <w:marBottom w:val="0"/>
              <w:divBdr>
                <w:top w:val="none" w:sz="0" w:space="0" w:color="auto"/>
                <w:left w:val="none" w:sz="0" w:space="0" w:color="auto"/>
                <w:bottom w:val="none" w:sz="0" w:space="0" w:color="auto"/>
                <w:right w:val="none" w:sz="0" w:space="0" w:color="auto"/>
              </w:divBdr>
            </w:div>
          </w:divsChild>
        </w:div>
        <w:div w:id="1670401562">
          <w:marLeft w:val="0"/>
          <w:marRight w:val="0"/>
          <w:marTop w:val="0"/>
          <w:marBottom w:val="0"/>
          <w:divBdr>
            <w:top w:val="none" w:sz="0" w:space="0" w:color="auto"/>
            <w:left w:val="none" w:sz="0" w:space="0" w:color="auto"/>
            <w:bottom w:val="none" w:sz="0" w:space="0" w:color="auto"/>
            <w:right w:val="none" w:sz="0" w:space="0" w:color="auto"/>
          </w:divBdr>
          <w:divsChild>
            <w:div w:id="1344429322">
              <w:marLeft w:val="0"/>
              <w:marRight w:val="0"/>
              <w:marTop w:val="0"/>
              <w:marBottom w:val="0"/>
              <w:divBdr>
                <w:top w:val="none" w:sz="0" w:space="0" w:color="auto"/>
                <w:left w:val="none" w:sz="0" w:space="0" w:color="auto"/>
                <w:bottom w:val="none" w:sz="0" w:space="0" w:color="auto"/>
                <w:right w:val="none" w:sz="0" w:space="0" w:color="auto"/>
              </w:divBdr>
            </w:div>
          </w:divsChild>
        </w:div>
        <w:div w:id="2115589772">
          <w:marLeft w:val="0"/>
          <w:marRight w:val="0"/>
          <w:marTop w:val="0"/>
          <w:marBottom w:val="0"/>
          <w:divBdr>
            <w:top w:val="none" w:sz="0" w:space="0" w:color="auto"/>
            <w:left w:val="none" w:sz="0" w:space="0" w:color="auto"/>
            <w:bottom w:val="none" w:sz="0" w:space="0" w:color="auto"/>
            <w:right w:val="none" w:sz="0" w:space="0" w:color="auto"/>
          </w:divBdr>
          <w:divsChild>
            <w:div w:id="37724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sg-link.byteoversea.com/?target=https%3A%2F%2Fwww.pearson.com%2Fuk%2Fsubject-area%2Fhealth-and-social-care.html&amp;scene=im&amp;aid=495671&amp;lang=en-GB" TargetMode="External"/><Relationship Id="rId18" Type="http://schemas.openxmlformats.org/officeDocument/2006/relationships/hyperlink" Target="https://sg-link.byteoversea.com/?target=https%3A%2F%2Fwww.gov.uk%2Fgovernment%2Fpublications%2Fargyles-communication-cycle-summary-guide&amp;scene=im&amp;aid=495671&amp;lang=en-GB"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sg-link.byteoversea.com/?target=https%3A%2F%2Fwww.pearson.com%2Fuk%2Fsubject-area%2Fhealth-and-social-care.html&amp;scene=im&amp;aid=495671&amp;lang=en-GB" TargetMode="External"/><Relationship Id="rId7" Type="http://schemas.openxmlformats.org/officeDocument/2006/relationships/endnotes" Target="endnotes.xml"/><Relationship Id="rId12" Type="http://schemas.openxmlformats.org/officeDocument/2006/relationships/hyperlink" Target="https://sg-link.byteoversea.com/?target=https%3A%2F%2Fwww.hoddereducation.co.uk%2FProduct%2F9781398312672&amp;scene=im&amp;aid=495671&amp;lang=en-GB" TargetMode="External"/><Relationship Id="rId17" Type="http://schemas.openxmlformats.org/officeDocument/2006/relationships/hyperlink" Target="https://sg-link.byteoversea.com/?target=https%3A%2F%2Fwww.gov.uk%2Fgovernment%2Fpublications%2Fcare-act-statutory-guidance&amp;scene=im&amp;aid=495671&amp;lang=en-GB" TargetMode="External"/><Relationship Id="rId25" Type="http://schemas.openxmlformats.org/officeDocument/2006/relationships/hyperlink" Target="https://sg-link.byteoversea.com/?target=https%3A%2F%2Fwww.hoddereducation.co.uk%2FProduct%2F9781398312672&amp;scene=im&amp;aid=495671&amp;lang=en-GB" TargetMode="External"/><Relationship Id="rId2" Type="http://schemas.openxmlformats.org/officeDocument/2006/relationships/numbering" Target="numbering.xml"/><Relationship Id="rId16" Type="http://schemas.openxmlformats.org/officeDocument/2006/relationships/hyperlink" Target="https://sg-link.byteoversea.com/?target=https%3A%2F%2FGOV.UK&amp;scene=im&amp;aid=495671&amp;lang=en-GB" TargetMode="External"/><Relationship Id="rId20" Type="http://schemas.openxmlformats.org/officeDocument/2006/relationships/hyperlink" Target="https://sg-link.byteoversea.com/?target=https%3A%2F%2Fwww.legislation.gov.uk%2Fukpga%2F2018%2F12%2Fpart%2F3%2Fchapter%2F2&amp;scene=im&amp;aid=495671&amp;lang=en-G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g-link.byteoversea.com/?target=https%3A%2F%2Fwww.legislation.gov.uk%2Fukpga%2F2014%2F23%2Fcontents&amp;scene=im&amp;aid=495671&amp;lang=en-GB" TargetMode="External"/><Relationship Id="rId24" Type="http://schemas.openxmlformats.org/officeDocument/2006/relationships/hyperlink" Target="https://sg-link.byteoversea.com/?target=https%3A%2F%2Fwww.legislation.gov.uk%2Fukpga%2F2010%2F15%2Fcontents&amp;scene=im&amp;aid=495671&amp;lang=en-GB" TargetMode="External"/><Relationship Id="rId5" Type="http://schemas.openxmlformats.org/officeDocument/2006/relationships/webSettings" Target="webSettings.xml"/><Relationship Id="rId15" Type="http://schemas.openxmlformats.org/officeDocument/2006/relationships/hyperlink" Target="https://sg-link.byteoversea.com/?target=https%3A%2F%2Fwww.gov.uk%2Fguidance%2Fequality-act-2010-guidance&amp;scene=im&amp;aid=495671&amp;lang=en-GB" TargetMode="External"/><Relationship Id="rId23" Type="http://schemas.openxmlformats.org/officeDocument/2006/relationships/hyperlink" Target="https://sg-link.byteoversea.com/?target=https%3A%2F%2Fwww.scie.org.uk%2Fcare-act-2014%2Ffactsheets%2Fcare-act-factsheet-3-legal-duties-for-recording-an-assessment-of-needs-for-care-and-support&amp;scene=im&amp;aid=495671&amp;lang=en-GB" TargetMode="External"/><Relationship Id="rId28" Type="http://schemas.openxmlformats.org/officeDocument/2006/relationships/theme" Target="theme/theme1.xml"/><Relationship Id="rId10" Type="http://schemas.openxmlformats.org/officeDocument/2006/relationships/hyperlink" Target="https://sg-link.byteoversea.com/?target=https%3A%2F%2Fwww.legislation.gov.uk%2Fukpga%2F2010%2F15%2Fcontents&amp;scene=im&amp;aid=495671&amp;lang=en-GB" TargetMode="External"/><Relationship Id="rId19" Type="http://schemas.openxmlformats.org/officeDocument/2006/relationships/hyperlink" Target="https://sg-link.byteoversea.com/?target=https%3A%2F%2Fwww.cqc.org.uk%2Fguidance-regulation%2Fproviders%2Fregulations-service-providers-and-managers%2Fhealth-social-care-act%2Fregulation-17&amp;scene=im&amp;aid=495671&amp;lang=en-GB"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sg-link.byteoversea.com/?target=https%3A%2F%2FGOV.UK&amp;scene=im&amp;aid=495671&amp;lang=en-GB" TargetMode="External"/><Relationship Id="rId22" Type="http://schemas.openxmlformats.org/officeDocument/2006/relationships/hyperlink" Target="https://sg-link.byteoversea.com/?target=https%3A%2F%2Fdigital.nhs.uk%2Finformation-governance%2Fcaldicott-principles&amp;scene=im&amp;aid=495671&amp;lang=en-GB"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D3D0B2-BC82-4467-BEC0-778AB215E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10004</TotalTime>
  <Pages>9</Pages>
  <Words>2495</Words>
  <Characters>14224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cp:revision>
  <dcterms:created xsi:type="dcterms:W3CDTF">2026-08-10T13:19:00Z</dcterms:created>
  <dcterms:modified xsi:type="dcterms:W3CDTF">2026-08-17T12:14:00Z</dcterms:modified>
</cp:coreProperties>
</file>