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6103A3"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408091C3" w:rsidR="00CD33A8" w:rsidRPr="00496EB7" w:rsidRDefault="00CD33A8" w:rsidP="00CD33A8">
      <w:pPr>
        <w:tabs>
          <w:tab w:val="left" w:pos="6540"/>
        </w:tabs>
        <w:spacing w:line="360" w:lineRule="auto"/>
        <w:rPr>
          <w:rFonts w:ascii="Arial" w:hAnsi="Arial" w:cs="Arial"/>
          <w:sz w:val="28"/>
          <w:szCs w:val="28"/>
        </w:rPr>
      </w:pPr>
      <w:r w:rsidRPr="00496EB7">
        <w:rPr>
          <w:rFonts w:ascii="Arial" w:hAnsi="Arial" w:cs="Arial"/>
          <w:b/>
          <w:bCs/>
          <w:sz w:val="28"/>
          <w:szCs w:val="28"/>
        </w:rPr>
        <w:t>Module name</w:t>
      </w:r>
      <w:r w:rsidRPr="00496EB7">
        <w:rPr>
          <w:rFonts w:ascii="Arial" w:hAnsi="Arial" w:cs="Arial"/>
          <w:sz w:val="28"/>
          <w:szCs w:val="28"/>
        </w:rPr>
        <w:t xml:space="preserve">: </w:t>
      </w:r>
      <w:r w:rsidR="003C2561" w:rsidRPr="00496EB7">
        <w:rPr>
          <w:rFonts w:ascii="Arial" w:hAnsi="Arial" w:cs="Arial"/>
          <w:sz w:val="28"/>
          <w:szCs w:val="28"/>
        </w:rPr>
        <w:t xml:space="preserve">Introduction to Health and Social Care </w:t>
      </w:r>
    </w:p>
    <w:p w14:paraId="537571AF" w14:textId="7310C4C5"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3C2561">
        <w:rPr>
          <w:rFonts w:ascii="Arial" w:hAnsi="Arial" w:cs="Arial"/>
          <w:sz w:val="28"/>
          <w:szCs w:val="28"/>
        </w:rPr>
        <w:t xml:space="preserve"> </w:t>
      </w:r>
      <w:r w:rsidR="003C2561" w:rsidRPr="003C2561">
        <w:rPr>
          <w:rFonts w:ascii="Arial" w:hAnsi="Arial" w:cs="Arial"/>
          <w:sz w:val="28"/>
          <w:szCs w:val="28"/>
        </w:rPr>
        <w:t>LCHS4003</w:t>
      </w:r>
    </w:p>
    <w:p w14:paraId="529D7354" w14:textId="77777777" w:rsidR="00CD33A8" w:rsidRPr="00496EB7" w:rsidRDefault="00CD33A8" w:rsidP="00CD33A8">
      <w:pPr>
        <w:tabs>
          <w:tab w:val="left" w:pos="6540"/>
        </w:tabs>
        <w:spacing w:line="360" w:lineRule="auto"/>
        <w:rPr>
          <w:rFonts w:ascii="Arial" w:hAnsi="Arial" w:cs="Arial"/>
          <w:b/>
          <w:bCs/>
          <w:sz w:val="28"/>
          <w:szCs w:val="28"/>
        </w:rPr>
      </w:pPr>
    </w:p>
    <w:p w14:paraId="0A48766D" w14:textId="7629ACA7" w:rsidR="00074402" w:rsidRPr="00496EB7" w:rsidRDefault="00074402" w:rsidP="00CD33A8">
      <w:pPr>
        <w:tabs>
          <w:tab w:val="left" w:pos="6540"/>
        </w:tabs>
        <w:spacing w:line="360" w:lineRule="auto"/>
        <w:rPr>
          <w:rFonts w:ascii="Arial" w:hAnsi="Arial" w:cs="Arial"/>
          <w:sz w:val="28"/>
          <w:szCs w:val="28"/>
        </w:rPr>
      </w:pPr>
      <w:r w:rsidRPr="00496EB7">
        <w:rPr>
          <w:rFonts w:ascii="Arial" w:hAnsi="Arial" w:cs="Arial"/>
          <w:b/>
          <w:bCs/>
          <w:sz w:val="28"/>
          <w:szCs w:val="28"/>
        </w:rPr>
        <w:t>Student name</w:t>
      </w:r>
      <w:r w:rsidRPr="00496EB7">
        <w:rPr>
          <w:rFonts w:ascii="Arial" w:hAnsi="Arial" w:cs="Arial"/>
          <w:sz w:val="28"/>
          <w:szCs w:val="28"/>
        </w:rPr>
        <w:t>:</w:t>
      </w:r>
      <w:r w:rsidR="003C2561" w:rsidRPr="00496EB7">
        <w:rPr>
          <w:rFonts w:ascii="Arial" w:hAnsi="Arial" w:cs="Arial"/>
          <w:sz w:val="28"/>
          <w:szCs w:val="28"/>
        </w:rPr>
        <w:t xml:space="preserve"> Ejiroghene Barbara Onyeme Campbell</w:t>
      </w:r>
    </w:p>
    <w:p w14:paraId="39AA4413" w14:textId="74723E79" w:rsidR="00074402" w:rsidRPr="00496EB7" w:rsidRDefault="00074402" w:rsidP="00CD33A8">
      <w:pPr>
        <w:tabs>
          <w:tab w:val="left" w:pos="6540"/>
        </w:tabs>
        <w:spacing w:line="360" w:lineRule="auto"/>
        <w:rPr>
          <w:rFonts w:ascii="Arial" w:hAnsi="Arial" w:cs="Arial"/>
          <w:sz w:val="28"/>
          <w:szCs w:val="28"/>
        </w:rPr>
      </w:pPr>
      <w:r w:rsidRPr="00496EB7">
        <w:rPr>
          <w:rFonts w:ascii="Arial" w:hAnsi="Arial" w:cs="Arial"/>
          <w:b/>
          <w:bCs/>
          <w:sz w:val="28"/>
          <w:szCs w:val="28"/>
        </w:rPr>
        <w:t>Student ID</w:t>
      </w:r>
      <w:r w:rsidRPr="00496EB7">
        <w:rPr>
          <w:rFonts w:ascii="Arial" w:hAnsi="Arial" w:cs="Arial"/>
          <w:sz w:val="28"/>
          <w:szCs w:val="28"/>
        </w:rPr>
        <w:t>:</w:t>
      </w:r>
      <w:r w:rsidR="003C2561" w:rsidRPr="00496EB7">
        <w:rPr>
          <w:rFonts w:ascii="Arial" w:hAnsi="Arial" w:cs="Arial"/>
          <w:sz w:val="28"/>
          <w:szCs w:val="28"/>
        </w:rPr>
        <w:t xml:space="preserve"> 2516659</w:t>
      </w:r>
    </w:p>
    <w:p w14:paraId="5E81F6AD" w14:textId="77777777" w:rsidR="00074402" w:rsidRPr="00496EB7" w:rsidRDefault="00074402" w:rsidP="00CD33A8">
      <w:pPr>
        <w:tabs>
          <w:tab w:val="left" w:pos="6540"/>
        </w:tabs>
        <w:spacing w:line="360" w:lineRule="auto"/>
        <w:rPr>
          <w:rFonts w:ascii="Arial" w:hAnsi="Arial" w:cs="Arial"/>
          <w:sz w:val="28"/>
          <w:szCs w:val="28"/>
        </w:rPr>
      </w:pPr>
    </w:p>
    <w:p w14:paraId="1A0B2D2B" w14:textId="58B52DF6"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3C2561">
        <w:rPr>
          <w:rFonts w:ascii="Arial" w:hAnsi="Arial" w:cs="Arial"/>
          <w:sz w:val="28"/>
          <w:szCs w:val="28"/>
        </w:rPr>
        <w:t xml:space="preserve"> Mark Kane</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4D2C1F1C" w:rsidR="00B87E75" w:rsidRDefault="00B87E75" w:rsidP="00571E54">
      <w:pPr>
        <w:pStyle w:val="Heading1"/>
      </w:pPr>
      <w:r w:rsidRPr="00CD33A8">
        <w:lastRenderedPageBreak/>
        <w:t>Table of contents</w:t>
      </w:r>
    </w:p>
    <w:p w14:paraId="79E38852" w14:textId="77777777" w:rsidR="002B0314" w:rsidRDefault="002B0314" w:rsidP="003E7E71"/>
    <w:p w14:paraId="637BE3CA" w14:textId="3DAB90EC" w:rsidR="007E524E" w:rsidRPr="002B0314" w:rsidRDefault="007E524E" w:rsidP="003E7E71">
      <w:pPr>
        <w:rPr>
          <w:rFonts w:ascii="Arial" w:hAnsi="Arial" w:cs="Arial"/>
          <w:sz w:val="22"/>
        </w:rPr>
      </w:pPr>
      <w:r w:rsidRPr="002B0314">
        <w:rPr>
          <w:rFonts w:ascii="Arial" w:hAnsi="Arial" w:cs="Arial"/>
          <w:sz w:val="22"/>
        </w:rPr>
        <w:t xml:space="preserve">Case </w:t>
      </w:r>
      <w:r w:rsidR="002B0314" w:rsidRPr="002B0314">
        <w:rPr>
          <w:rFonts w:ascii="Arial" w:hAnsi="Arial" w:cs="Arial"/>
          <w:sz w:val="22"/>
        </w:rPr>
        <w:t>Study Overview</w:t>
      </w:r>
    </w:p>
    <w:p w14:paraId="06C33FD6" w14:textId="006ACC1D" w:rsidR="00571E54" w:rsidRPr="00571E54" w:rsidRDefault="00571E54" w:rsidP="003E7E71">
      <w:pPr>
        <w:pStyle w:val="ListParagraph"/>
        <w:numPr>
          <w:ilvl w:val="0"/>
          <w:numId w:val="1"/>
        </w:numPr>
        <w:spacing w:line="360" w:lineRule="auto"/>
        <w:rPr>
          <w:rFonts w:asciiTheme="minorBidi" w:hAnsiTheme="minorBidi"/>
          <w:sz w:val="22"/>
        </w:rPr>
      </w:pPr>
      <w:r w:rsidRPr="00571E54">
        <w:rPr>
          <w:rFonts w:asciiTheme="minorBidi" w:hAnsiTheme="minorBidi"/>
          <w:sz w:val="22"/>
        </w:rPr>
        <w:t>Introduction</w:t>
      </w:r>
      <w:r w:rsidR="003D35BE">
        <w:rPr>
          <w:rFonts w:asciiTheme="minorBidi" w:hAnsiTheme="minorBidi"/>
          <w:sz w:val="22"/>
        </w:rPr>
        <w:t>…………………………………………………………………………………</w:t>
      </w:r>
    </w:p>
    <w:p w14:paraId="0B74B9C1" w14:textId="337AF2AC" w:rsidR="00571E54" w:rsidRPr="00571E54" w:rsidRDefault="00571E54" w:rsidP="003E7E71">
      <w:pPr>
        <w:pStyle w:val="ListParagraph"/>
        <w:numPr>
          <w:ilvl w:val="0"/>
          <w:numId w:val="1"/>
        </w:numPr>
        <w:spacing w:line="360" w:lineRule="auto"/>
        <w:rPr>
          <w:rFonts w:asciiTheme="minorBidi" w:hAnsiTheme="minorBidi"/>
          <w:sz w:val="22"/>
        </w:rPr>
      </w:pPr>
      <w:r w:rsidRPr="00571E54">
        <w:rPr>
          <w:rFonts w:asciiTheme="minorBidi" w:hAnsiTheme="minorBidi"/>
          <w:sz w:val="22"/>
        </w:rPr>
        <w:t>Importance of Effective Communication</w:t>
      </w:r>
      <w:r w:rsidR="003D35BE">
        <w:rPr>
          <w:rFonts w:asciiTheme="minorBidi" w:hAnsiTheme="minorBidi"/>
          <w:sz w:val="22"/>
        </w:rPr>
        <w:t>………………………………………………</w:t>
      </w:r>
      <w:r w:rsidR="004D45BD">
        <w:rPr>
          <w:rFonts w:asciiTheme="minorBidi" w:hAnsiTheme="minorBidi"/>
          <w:sz w:val="22"/>
        </w:rPr>
        <w:t>…</w:t>
      </w:r>
    </w:p>
    <w:p w14:paraId="1806DFC2" w14:textId="6B39A66C" w:rsidR="00571E54" w:rsidRPr="00571E54" w:rsidRDefault="00571E54" w:rsidP="003E7E71">
      <w:pPr>
        <w:pStyle w:val="ListParagraph"/>
        <w:numPr>
          <w:ilvl w:val="0"/>
          <w:numId w:val="1"/>
        </w:numPr>
        <w:spacing w:line="360" w:lineRule="auto"/>
        <w:rPr>
          <w:rFonts w:asciiTheme="minorBidi" w:hAnsiTheme="minorBidi"/>
          <w:sz w:val="22"/>
        </w:rPr>
      </w:pPr>
      <w:r w:rsidRPr="00571E54">
        <w:rPr>
          <w:rFonts w:asciiTheme="minorBidi" w:hAnsiTheme="minorBidi"/>
          <w:sz w:val="22"/>
        </w:rPr>
        <w:t xml:space="preserve">Importance of Good Administrative </w:t>
      </w:r>
      <w:r w:rsidR="00EC5AB9">
        <w:rPr>
          <w:rFonts w:asciiTheme="minorBidi" w:hAnsiTheme="minorBidi"/>
          <w:sz w:val="22"/>
        </w:rPr>
        <w:t>Practice</w:t>
      </w:r>
      <w:r w:rsidR="003D35BE">
        <w:rPr>
          <w:rFonts w:asciiTheme="minorBidi" w:hAnsiTheme="minorBidi"/>
          <w:sz w:val="22"/>
        </w:rPr>
        <w:t>………………………………………………</w:t>
      </w:r>
      <w:r w:rsidR="004D45BD">
        <w:rPr>
          <w:rFonts w:asciiTheme="minorBidi" w:hAnsiTheme="minorBidi"/>
          <w:sz w:val="22"/>
        </w:rPr>
        <w:t>.</w:t>
      </w:r>
    </w:p>
    <w:p w14:paraId="5AC2C342" w14:textId="75521659" w:rsidR="00571E54" w:rsidRPr="00571E54" w:rsidRDefault="00571E54" w:rsidP="003E7E71">
      <w:pPr>
        <w:pStyle w:val="ListParagraph"/>
        <w:numPr>
          <w:ilvl w:val="0"/>
          <w:numId w:val="1"/>
        </w:numPr>
        <w:spacing w:line="360" w:lineRule="auto"/>
        <w:rPr>
          <w:rFonts w:asciiTheme="minorBidi" w:hAnsiTheme="minorBidi"/>
          <w:sz w:val="22"/>
        </w:rPr>
      </w:pPr>
      <w:r w:rsidRPr="00571E54">
        <w:rPr>
          <w:rFonts w:asciiTheme="minorBidi" w:hAnsiTheme="minorBidi"/>
          <w:sz w:val="22"/>
        </w:rPr>
        <w:t>Imp</w:t>
      </w:r>
      <w:r w:rsidR="00EC5AB9">
        <w:rPr>
          <w:rFonts w:asciiTheme="minorBidi" w:hAnsiTheme="minorBidi"/>
          <w:sz w:val="22"/>
        </w:rPr>
        <w:t>act</w:t>
      </w:r>
      <w:r w:rsidRPr="00571E54">
        <w:rPr>
          <w:rFonts w:asciiTheme="minorBidi" w:hAnsiTheme="minorBidi"/>
          <w:sz w:val="22"/>
        </w:rPr>
        <w:t xml:space="preserve"> of</w:t>
      </w:r>
      <w:r w:rsidR="00EC5AB9">
        <w:rPr>
          <w:rFonts w:asciiTheme="minorBidi" w:hAnsiTheme="minorBidi"/>
          <w:sz w:val="22"/>
        </w:rPr>
        <w:t xml:space="preserve"> Multidisciplinary</w:t>
      </w:r>
      <w:r w:rsidR="006C1D41">
        <w:rPr>
          <w:rFonts w:asciiTheme="minorBidi" w:hAnsiTheme="minorBidi"/>
          <w:sz w:val="22"/>
        </w:rPr>
        <w:t xml:space="preserve"> </w:t>
      </w:r>
      <w:r w:rsidR="001F7960">
        <w:rPr>
          <w:rFonts w:asciiTheme="minorBidi" w:hAnsiTheme="minorBidi"/>
          <w:sz w:val="22"/>
        </w:rPr>
        <w:t>C</w:t>
      </w:r>
      <w:r w:rsidR="006C1D41">
        <w:rPr>
          <w:rFonts w:asciiTheme="minorBidi" w:hAnsiTheme="minorBidi"/>
          <w:sz w:val="22"/>
        </w:rPr>
        <w:t xml:space="preserve">ollaboration on </w:t>
      </w:r>
      <w:r w:rsidR="001F7960">
        <w:rPr>
          <w:rFonts w:asciiTheme="minorBidi" w:hAnsiTheme="minorBidi"/>
          <w:sz w:val="22"/>
        </w:rPr>
        <w:t>Patient</w:t>
      </w:r>
      <w:r w:rsidR="006C1D41">
        <w:rPr>
          <w:rFonts w:asciiTheme="minorBidi" w:hAnsiTheme="minorBidi"/>
          <w:sz w:val="22"/>
        </w:rPr>
        <w:t xml:space="preserve"> </w:t>
      </w:r>
      <w:r w:rsidR="001F7960">
        <w:rPr>
          <w:rFonts w:asciiTheme="minorBidi" w:hAnsiTheme="minorBidi"/>
          <w:sz w:val="22"/>
        </w:rPr>
        <w:t>Care</w:t>
      </w:r>
      <w:r w:rsidR="004D45BD">
        <w:rPr>
          <w:rFonts w:asciiTheme="minorBidi" w:hAnsiTheme="minorBidi"/>
          <w:sz w:val="22"/>
        </w:rPr>
        <w:t>…………………………………</w:t>
      </w:r>
    </w:p>
    <w:p w14:paraId="7CC99423" w14:textId="7332D6E4" w:rsidR="00571E54" w:rsidRPr="00571E54" w:rsidRDefault="00571E54" w:rsidP="003E7E71">
      <w:pPr>
        <w:pStyle w:val="ListParagraph"/>
        <w:numPr>
          <w:ilvl w:val="0"/>
          <w:numId w:val="1"/>
        </w:numPr>
        <w:spacing w:line="360" w:lineRule="auto"/>
        <w:rPr>
          <w:rFonts w:asciiTheme="minorBidi" w:hAnsiTheme="minorBidi"/>
          <w:sz w:val="22"/>
        </w:rPr>
      </w:pPr>
      <w:r w:rsidRPr="00571E54">
        <w:rPr>
          <w:rFonts w:asciiTheme="minorBidi" w:hAnsiTheme="minorBidi"/>
          <w:sz w:val="22"/>
        </w:rPr>
        <w:t>Conclusion</w:t>
      </w:r>
      <w:r w:rsidR="004D45BD">
        <w:rPr>
          <w:rFonts w:asciiTheme="minorBidi" w:hAnsiTheme="minorBidi"/>
          <w:sz w:val="22"/>
        </w:rPr>
        <w:t>………………………………………………………………………………….</w:t>
      </w:r>
    </w:p>
    <w:p w14:paraId="13E00080" w14:textId="5D355739" w:rsidR="00B87E75" w:rsidRPr="001F7960" w:rsidRDefault="00571E54" w:rsidP="001F7960">
      <w:pPr>
        <w:spacing w:line="360" w:lineRule="auto"/>
        <w:rPr>
          <w:rFonts w:asciiTheme="minorBidi" w:hAnsiTheme="minorBidi"/>
          <w:sz w:val="22"/>
        </w:rPr>
      </w:pPr>
      <w:r w:rsidRPr="001F7960">
        <w:rPr>
          <w:rFonts w:asciiTheme="minorBidi" w:hAnsiTheme="minorBidi"/>
          <w:sz w:val="22"/>
        </w:rPr>
        <w:t>Reference</w:t>
      </w:r>
      <w:r w:rsidR="001F7960" w:rsidRPr="001F7960">
        <w:rPr>
          <w:rFonts w:asciiTheme="minorBidi" w:hAnsiTheme="minorBidi"/>
          <w:sz w:val="22"/>
        </w:rPr>
        <w:t xml:space="preserve"> List</w:t>
      </w:r>
      <w:r w:rsidR="004D45BD" w:rsidRPr="001F7960">
        <w:rPr>
          <w:rFonts w:asciiTheme="minorBidi" w:hAnsiTheme="minorBidi"/>
          <w:sz w:val="22"/>
        </w:rPr>
        <w:t>………………………………………………………………………………….</w:t>
      </w: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4DEF816" w14:textId="5D7D800A" w:rsidR="00571E54" w:rsidRPr="00571E54" w:rsidRDefault="00B87E75" w:rsidP="00571E54">
      <w:pPr>
        <w:spacing w:line="360" w:lineRule="auto"/>
        <w:rPr>
          <w:rFonts w:asciiTheme="minorBidi" w:hAnsiTheme="minorBidi"/>
          <w:sz w:val="22"/>
        </w:rPr>
      </w:pPr>
      <w:r w:rsidRPr="00CD33A8">
        <w:rPr>
          <w:rFonts w:asciiTheme="minorBidi" w:hAnsiTheme="minorBidi"/>
          <w:sz w:val="22"/>
        </w:rPr>
        <w:br w:type="page"/>
      </w:r>
    </w:p>
    <w:p w14:paraId="17A00B73" w14:textId="77777777" w:rsidR="00496EB7" w:rsidRPr="00F94BE6" w:rsidRDefault="00496EB7" w:rsidP="00F94BE6">
      <w:pPr>
        <w:spacing w:line="360" w:lineRule="auto"/>
        <w:rPr>
          <w:rFonts w:ascii="Arial" w:hAnsi="Arial" w:cs="Arial"/>
          <w:b/>
          <w:bCs/>
          <w:sz w:val="22"/>
        </w:rPr>
      </w:pPr>
      <w:r w:rsidRPr="00F94BE6">
        <w:rPr>
          <w:rFonts w:ascii="Arial" w:hAnsi="Arial" w:cs="Arial"/>
          <w:b/>
          <w:bCs/>
          <w:sz w:val="22"/>
        </w:rPr>
        <w:lastRenderedPageBreak/>
        <w:t>A Critical Analysis of Communication, Administrative Practice and Multidisciplinary Collaboration in the Care of Mr Ahmed</w:t>
      </w:r>
    </w:p>
    <w:p w14:paraId="46FF5542" w14:textId="77777777" w:rsidR="00496EB7" w:rsidRPr="00F94BE6" w:rsidRDefault="00496EB7" w:rsidP="00F94BE6">
      <w:pPr>
        <w:spacing w:line="360" w:lineRule="auto"/>
        <w:rPr>
          <w:rFonts w:ascii="Arial" w:hAnsi="Arial" w:cs="Arial"/>
          <w:b/>
          <w:bCs/>
          <w:sz w:val="22"/>
        </w:rPr>
      </w:pPr>
    </w:p>
    <w:p w14:paraId="64CFDD28" w14:textId="77777777" w:rsidR="00D25B85" w:rsidRPr="00F94BE6" w:rsidRDefault="00496EB7" w:rsidP="00F94BE6">
      <w:pPr>
        <w:spacing w:line="360" w:lineRule="auto"/>
        <w:rPr>
          <w:rFonts w:ascii="Arial" w:hAnsi="Arial" w:cs="Arial"/>
          <w:b/>
          <w:bCs/>
          <w:sz w:val="22"/>
        </w:rPr>
      </w:pPr>
      <w:r w:rsidRPr="00F94BE6">
        <w:rPr>
          <w:rFonts w:ascii="Arial" w:hAnsi="Arial" w:cs="Arial"/>
          <w:b/>
          <w:bCs/>
          <w:sz w:val="22"/>
        </w:rPr>
        <w:t>Case Study Overview</w:t>
      </w:r>
    </w:p>
    <w:p w14:paraId="6A353B60" w14:textId="77777777" w:rsidR="007E1296" w:rsidRPr="00F94BE6" w:rsidRDefault="00D25B85" w:rsidP="00F94BE6">
      <w:pPr>
        <w:spacing w:line="360" w:lineRule="auto"/>
        <w:rPr>
          <w:rFonts w:ascii="Arial" w:hAnsi="Arial" w:cs="Arial"/>
          <w:bCs/>
          <w:sz w:val="22"/>
        </w:rPr>
      </w:pPr>
      <w:r w:rsidRPr="00F94BE6">
        <w:rPr>
          <w:rFonts w:ascii="Arial" w:hAnsi="Arial" w:cs="Arial"/>
          <w:bCs/>
          <w:sz w:val="22"/>
        </w:rPr>
        <w:t>Mr Ahmed is a 68-year-old man recovering from a recent stroke, which has affected both his physical functioning and his ability to communicate effectively. As a result, he requires support with daily activities and currently receives domiciliary care three times a day for assistance with personal care, medication, and meals. While this structured support is intended to maintain his independence, his ongoing health needs make him highly reliant on consistent and coordinated care delivery.</w:t>
      </w:r>
      <w:r w:rsidR="007E1296" w:rsidRPr="00F94BE6">
        <w:rPr>
          <w:rFonts w:ascii="Arial" w:hAnsi="Arial" w:cs="Arial"/>
          <w:bCs/>
          <w:sz w:val="22"/>
        </w:rPr>
        <w:t xml:space="preserve"> </w:t>
      </w:r>
    </w:p>
    <w:p w14:paraId="29E87309" w14:textId="77777777" w:rsidR="007E1296" w:rsidRPr="00F94BE6" w:rsidRDefault="00D25B85" w:rsidP="00F94BE6">
      <w:pPr>
        <w:spacing w:line="360" w:lineRule="auto"/>
        <w:rPr>
          <w:rFonts w:ascii="Arial" w:hAnsi="Arial" w:cs="Arial"/>
          <w:bCs/>
          <w:sz w:val="22"/>
        </w:rPr>
      </w:pPr>
      <w:r w:rsidRPr="00F94BE6">
        <w:rPr>
          <w:rFonts w:ascii="Arial" w:hAnsi="Arial" w:cs="Arial"/>
          <w:bCs/>
          <w:sz w:val="22"/>
        </w:rPr>
        <w:t>A key complexity in Mr Ahmed’s situation is the presence of a language barrier, as English is not his first language. Although his wife frequently communicates with healthcare professionals on his behalf, this arrangement may unintentionally reduce his direct involvement in decision-making and limit how accurately his needs and preferences are understood. This raises concerns regarding autonomy, person-centred care, and the potential for miscommunication within care interactions.</w:t>
      </w:r>
    </w:p>
    <w:p w14:paraId="3E6ABA33" w14:textId="77FC6CD7" w:rsidR="00D25B85" w:rsidRDefault="00D25B85" w:rsidP="00F94BE6">
      <w:pPr>
        <w:spacing w:line="360" w:lineRule="auto"/>
        <w:rPr>
          <w:rFonts w:ascii="Arial" w:hAnsi="Arial" w:cs="Arial"/>
          <w:bCs/>
          <w:sz w:val="22"/>
        </w:rPr>
      </w:pPr>
      <w:r w:rsidRPr="00F94BE6">
        <w:rPr>
          <w:rFonts w:ascii="Arial" w:hAnsi="Arial" w:cs="Arial"/>
          <w:bCs/>
          <w:sz w:val="22"/>
        </w:rPr>
        <w:t>Mr Ahmed’s care involves input from multiple professionals, including his GP, a district nurse, and a speech and language therapist, meaning effective coordination is essential. However, a recent missed domiciliary care visit resulted in him not receiving his medication as scheduled. Rather than representing a single isolated mistake, this incident suggests a breakdown across several aspects of care delivery, including communication, administrative systems, and team coordination. It therefore provides a useful context for critically examining how these interconnected factors influence patient safety and quality of care.</w:t>
      </w:r>
    </w:p>
    <w:p w14:paraId="46D96A25" w14:textId="77777777" w:rsidR="00F94BE6" w:rsidRPr="00F94BE6" w:rsidRDefault="00F94BE6" w:rsidP="00F94BE6">
      <w:pPr>
        <w:spacing w:line="360" w:lineRule="auto"/>
        <w:rPr>
          <w:rFonts w:ascii="Arial" w:hAnsi="Arial" w:cs="Arial"/>
          <w:bCs/>
          <w:sz w:val="22"/>
        </w:rPr>
      </w:pPr>
    </w:p>
    <w:p w14:paraId="1F7606A1" w14:textId="77777777" w:rsidR="00D25B85" w:rsidRPr="00F94BE6" w:rsidRDefault="00D25B85" w:rsidP="00F94BE6">
      <w:pPr>
        <w:spacing w:line="360" w:lineRule="auto"/>
        <w:rPr>
          <w:rFonts w:ascii="Arial" w:hAnsi="Arial" w:cs="Arial"/>
          <w:b/>
          <w:bCs/>
          <w:sz w:val="22"/>
        </w:rPr>
      </w:pPr>
      <w:r w:rsidRPr="00F94BE6">
        <w:rPr>
          <w:rFonts w:ascii="Arial" w:hAnsi="Arial" w:cs="Arial"/>
          <w:b/>
          <w:bCs/>
          <w:sz w:val="22"/>
        </w:rPr>
        <w:t>1. Introduction</w:t>
      </w:r>
    </w:p>
    <w:p w14:paraId="0DE908A3" w14:textId="77777777" w:rsidR="00D25B85" w:rsidRPr="00F94BE6" w:rsidRDefault="00D25B85" w:rsidP="00F94BE6">
      <w:pPr>
        <w:spacing w:line="360" w:lineRule="auto"/>
        <w:rPr>
          <w:rFonts w:ascii="Arial" w:hAnsi="Arial" w:cs="Arial"/>
          <w:bCs/>
          <w:sz w:val="22"/>
        </w:rPr>
      </w:pPr>
      <w:r w:rsidRPr="00F94BE6">
        <w:rPr>
          <w:rFonts w:ascii="Arial" w:hAnsi="Arial" w:cs="Arial"/>
          <w:bCs/>
          <w:sz w:val="22"/>
        </w:rPr>
        <w:t>Effective and adaptable communication, reliable administrative systems, and coordinated multidisciplinary collaboration are fundamental to ensuring safe and high-quality care. Research in patient safety consistently identifies that harm rarely arises from a single error; instead, it develops through a combination of system weaknesses.</w:t>
      </w:r>
    </w:p>
    <w:p w14:paraId="3FFD06E5" w14:textId="77777777" w:rsidR="00D25B85" w:rsidRPr="00F94BE6" w:rsidRDefault="00D25B85" w:rsidP="00F94BE6">
      <w:pPr>
        <w:spacing w:line="360" w:lineRule="auto"/>
        <w:rPr>
          <w:rFonts w:ascii="Arial" w:hAnsi="Arial" w:cs="Arial"/>
          <w:bCs/>
          <w:sz w:val="22"/>
        </w:rPr>
      </w:pPr>
      <w:r w:rsidRPr="00F94BE6">
        <w:rPr>
          <w:rFonts w:ascii="Arial" w:hAnsi="Arial" w:cs="Arial"/>
          <w:bCs/>
          <w:sz w:val="22"/>
        </w:rPr>
        <w:t>Within Mr Ahmed’s situation, communication barriers increased his vulnerability, administrative systems failed to ensure continuity of care, and team coordination did not identify or correct the missed visit. Of these factors, the administrative failure had the most immediate impact and was the most preventable, as it directly resulted in missed medication.</w:t>
      </w:r>
    </w:p>
    <w:p w14:paraId="3340F1BD" w14:textId="42126DC9" w:rsidR="007E1296" w:rsidRDefault="00D25B85" w:rsidP="00F94BE6">
      <w:pPr>
        <w:spacing w:line="360" w:lineRule="auto"/>
        <w:rPr>
          <w:rFonts w:ascii="Arial" w:hAnsi="Arial" w:cs="Arial"/>
          <w:bCs/>
          <w:sz w:val="22"/>
        </w:rPr>
      </w:pPr>
      <w:r w:rsidRPr="00F94BE6">
        <w:rPr>
          <w:rFonts w:ascii="Arial" w:hAnsi="Arial" w:cs="Arial"/>
          <w:bCs/>
          <w:sz w:val="22"/>
        </w:rPr>
        <w:lastRenderedPageBreak/>
        <w:t>This report critically examines how communication, administrative practice, and multidisciplinary working influence the safety and quality of care delivered to Mr Ahmed. It draws on theoretical, legal, and patient safety frameworks to evaluate how system-level factors shape outcomes in practice.</w:t>
      </w:r>
    </w:p>
    <w:p w14:paraId="63A6BEC0" w14:textId="77777777" w:rsidR="00F94BE6" w:rsidRPr="00F94BE6" w:rsidRDefault="00F94BE6" w:rsidP="00F94BE6">
      <w:pPr>
        <w:spacing w:line="360" w:lineRule="auto"/>
        <w:rPr>
          <w:rFonts w:ascii="Arial" w:hAnsi="Arial" w:cs="Arial"/>
          <w:bCs/>
          <w:sz w:val="22"/>
        </w:rPr>
      </w:pPr>
    </w:p>
    <w:p w14:paraId="7D601F78" w14:textId="77777777" w:rsidR="00D25B85" w:rsidRPr="00F94BE6" w:rsidRDefault="00D25B85" w:rsidP="00F94BE6">
      <w:pPr>
        <w:spacing w:line="360" w:lineRule="auto"/>
        <w:rPr>
          <w:rFonts w:ascii="Arial" w:hAnsi="Arial" w:cs="Arial"/>
          <w:b/>
          <w:bCs/>
          <w:sz w:val="22"/>
        </w:rPr>
      </w:pPr>
      <w:r w:rsidRPr="00F94BE6">
        <w:rPr>
          <w:rFonts w:ascii="Arial" w:hAnsi="Arial" w:cs="Arial"/>
          <w:b/>
          <w:bCs/>
          <w:sz w:val="22"/>
        </w:rPr>
        <w:t>2. Importance of Effective Communication</w:t>
      </w:r>
    </w:p>
    <w:p w14:paraId="6BA42A30" w14:textId="77777777" w:rsidR="00D25B85" w:rsidRPr="00F94BE6" w:rsidRDefault="00D25B85" w:rsidP="00F94BE6">
      <w:pPr>
        <w:spacing w:line="360" w:lineRule="auto"/>
        <w:rPr>
          <w:rFonts w:ascii="Arial" w:hAnsi="Arial" w:cs="Arial"/>
          <w:bCs/>
          <w:sz w:val="22"/>
        </w:rPr>
      </w:pPr>
      <w:r w:rsidRPr="00F94BE6">
        <w:rPr>
          <w:rFonts w:ascii="Arial" w:hAnsi="Arial" w:cs="Arial"/>
          <w:bCs/>
          <w:sz w:val="22"/>
        </w:rPr>
        <w:t>Effective and adaptable communication plays a key role in ensuring care is both safe and tailored to individual needs, as it enables understanding, supports shared decision-making, and influences health outcomes (National Institute for Health and Care Excellence, 2021). In Mr Ahmed’s situation, communication is affected by both stroke-related impairment and limited English proficiency, creating layered barriers.</w:t>
      </w:r>
    </w:p>
    <w:p w14:paraId="13F36D59" w14:textId="77777777" w:rsidR="00D25B85" w:rsidRPr="00F94BE6" w:rsidRDefault="00D25B85" w:rsidP="00F94BE6">
      <w:pPr>
        <w:spacing w:line="360" w:lineRule="auto"/>
        <w:rPr>
          <w:rFonts w:ascii="Arial" w:hAnsi="Arial" w:cs="Arial"/>
          <w:bCs/>
          <w:sz w:val="22"/>
        </w:rPr>
      </w:pPr>
      <w:r w:rsidRPr="00F94BE6">
        <w:rPr>
          <w:rFonts w:ascii="Arial" w:hAnsi="Arial" w:cs="Arial"/>
          <w:bCs/>
          <w:sz w:val="22"/>
        </w:rPr>
        <w:t>Although professional interpreter services represent best practice, availability varies significantly between settings. As a result, healthcare providers often rely on relatives to facilitate communication (Flores, 2005). While this may seem practical, it can reduce accuracy, compromise confidentiality, and limit patient autonomy. It may also prevent patients from fully participating in decisions about their care, raising ethical concerns around consent. The Equality Act 2010 requires reasonable adjustments; however, inconsistency in implementation reflects organisational constraints rather than patient need (UK Government, 2010).</w:t>
      </w:r>
    </w:p>
    <w:p w14:paraId="7CB6B72F" w14:textId="77777777" w:rsidR="00D25B85" w:rsidRPr="00F94BE6" w:rsidRDefault="00D25B85" w:rsidP="00F94BE6">
      <w:pPr>
        <w:spacing w:line="360" w:lineRule="auto"/>
        <w:rPr>
          <w:rFonts w:ascii="Arial" w:hAnsi="Arial" w:cs="Arial"/>
          <w:bCs/>
          <w:sz w:val="22"/>
        </w:rPr>
      </w:pPr>
      <w:r w:rsidRPr="00F94BE6">
        <w:rPr>
          <w:rFonts w:ascii="Arial" w:hAnsi="Arial" w:cs="Arial"/>
          <w:bCs/>
          <w:sz w:val="22"/>
        </w:rPr>
        <w:t>Evidence from UK-based research indicates that limited access to professional interpreters in community care continues to affect patient safety, particularly for older adults with complex needs (NHS England, 2018). Where interpreter provision is inconsistent, communication relies on informal methods, increasing the likelihood of misunderstanding and reducing patient involvement. This reinforces the need for services to adapt to linguistic diversity rather than expecting patients to adjust to existing systems.</w:t>
      </w:r>
    </w:p>
    <w:p w14:paraId="089E8DB3" w14:textId="77777777" w:rsidR="00D25B85" w:rsidRPr="00F94BE6" w:rsidRDefault="00D25B85" w:rsidP="00F94BE6">
      <w:pPr>
        <w:spacing w:line="360" w:lineRule="auto"/>
        <w:rPr>
          <w:rFonts w:ascii="Arial" w:hAnsi="Arial" w:cs="Arial"/>
          <w:bCs/>
          <w:sz w:val="22"/>
        </w:rPr>
      </w:pPr>
      <w:r w:rsidRPr="00F94BE6">
        <w:rPr>
          <w:rFonts w:ascii="Arial" w:hAnsi="Arial" w:cs="Arial"/>
          <w:bCs/>
          <w:sz w:val="22"/>
        </w:rPr>
        <w:t xml:space="preserve">The Shannon and Weaver model shows how interference within communication can disrupt understanding (Shannon and Weaver, 1949), although its linear structure does not fully account for cultural and contextual complexity. The Transactional Model provides a more dynamic </w:t>
      </w:r>
      <w:proofErr w:type="gramStart"/>
      <w:r w:rsidRPr="00F94BE6">
        <w:rPr>
          <w:rFonts w:ascii="Arial" w:hAnsi="Arial" w:cs="Arial"/>
          <w:bCs/>
          <w:sz w:val="22"/>
        </w:rPr>
        <w:t>perspective, yet</w:t>
      </w:r>
      <w:proofErr w:type="gramEnd"/>
      <w:r w:rsidRPr="00F94BE6">
        <w:rPr>
          <w:rFonts w:ascii="Arial" w:hAnsi="Arial" w:cs="Arial"/>
          <w:bCs/>
          <w:sz w:val="22"/>
        </w:rPr>
        <w:t xml:space="preserve"> still underrepresents structural pressures such as time constraints and staffing limitations (McCabe and Timmins, 2013).</w:t>
      </w:r>
    </w:p>
    <w:p w14:paraId="45AEB6D0" w14:textId="77777777" w:rsidR="00D25B85" w:rsidRDefault="00D25B85" w:rsidP="00F94BE6">
      <w:pPr>
        <w:spacing w:line="360" w:lineRule="auto"/>
        <w:rPr>
          <w:rFonts w:ascii="Arial" w:hAnsi="Arial" w:cs="Arial"/>
          <w:bCs/>
          <w:sz w:val="22"/>
        </w:rPr>
      </w:pPr>
      <w:r w:rsidRPr="00F94BE6">
        <w:rPr>
          <w:rFonts w:ascii="Arial" w:hAnsi="Arial" w:cs="Arial"/>
          <w:bCs/>
          <w:sz w:val="22"/>
        </w:rPr>
        <w:t xml:space="preserve">From a Human Factors perspective, communication breakdown is highly significant but less directly preventable than administrative failure. Addressing it requires system-level adaptation rather than isolated interventions. Person-centred approaches, including the use </w:t>
      </w:r>
      <w:r w:rsidRPr="00F94BE6">
        <w:rPr>
          <w:rFonts w:ascii="Arial" w:hAnsi="Arial" w:cs="Arial"/>
          <w:bCs/>
          <w:sz w:val="22"/>
        </w:rPr>
        <w:lastRenderedPageBreak/>
        <w:t>of alternative communication methods and checking understanding, are therefore essential (McCormack and McCance, 2017).</w:t>
      </w:r>
    </w:p>
    <w:p w14:paraId="46010A7F" w14:textId="77777777" w:rsidR="00F94BE6" w:rsidRPr="00F94BE6" w:rsidRDefault="00F94BE6" w:rsidP="00F94BE6">
      <w:pPr>
        <w:spacing w:line="360" w:lineRule="auto"/>
        <w:rPr>
          <w:rFonts w:ascii="Arial" w:hAnsi="Arial" w:cs="Arial"/>
          <w:bCs/>
          <w:sz w:val="22"/>
        </w:rPr>
      </w:pPr>
    </w:p>
    <w:p w14:paraId="5AA81889" w14:textId="77777777" w:rsidR="00D25B85" w:rsidRPr="00F94BE6" w:rsidRDefault="00D25B85" w:rsidP="00F94BE6">
      <w:pPr>
        <w:spacing w:line="360" w:lineRule="auto"/>
        <w:rPr>
          <w:rFonts w:ascii="Arial" w:hAnsi="Arial" w:cs="Arial"/>
          <w:b/>
          <w:sz w:val="22"/>
        </w:rPr>
      </w:pPr>
      <w:r w:rsidRPr="00F94BE6">
        <w:rPr>
          <w:rFonts w:ascii="Arial" w:hAnsi="Arial" w:cs="Arial"/>
          <w:b/>
          <w:sz w:val="22"/>
        </w:rPr>
        <w:t>3. Importance of Good Administrative Practice</w:t>
      </w:r>
    </w:p>
    <w:p w14:paraId="7DC22AD7" w14:textId="77777777" w:rsidR="00D25B85" w:rsidRPr="00F94BE6" w:rsidRDefault="00D25B85" w:rsidP="00F94BE6">
      <w:pPr>
        <w:spacing w:line="360" w:lineRule="auto"/>
        <w:rPr>
          <w:rFonts w:ascii="Arial" w:hAnsi="Arial" w:cs="Arial"/>
          <w:bCs/>
          <w:sz w:val="22"/>
        </w:rPr>
      </w:pPr>
      <w:r w:rsidRPr="00F94BE6">
        <w:rPr>
          <w:rFonts w:ascii="Arial" w:hAnsi="Arial" w:cs="Arial"/>
          <w:bCs/>
          <w:sz w:val="22"/>
        </w:rPr>
        <w:t>Safe care delivery depends heavily on the effectiveness of underlying administrative systems. In Mr Ahmed’s situation, the missed visit represents the most direct and preventable failure.</w:t>
      </w:r>
    </w:p>
    <w:p w14:paraId="1CF2699A" w14:textId="77777777" w:rsidR="00D25B85" w:rsidRPr="00F94BE6" w:rsidRDefault="00D25B85" w:rsidP="00F94BE6">
      <w:pPr>
        <w:spacing w:line="360" w:lineRule="auto"/>
        <w:rPr>
          <w:rFonts w:ascii="Arial" w:hAnsi="Arial" w:cs="Arial"/>
          <w:bCs/>
          <w:sz w:val="22"/>
        </w:rPr>
      </w:pPr>
      <w:r w:rsidRPr="00F94BE6">
        <w:rPr>
          <w:rFonts w:ascii="Arial" w:hAnsi="Arial" w:cs="Arial"/>
          <w:bCs/>
          <w:sz w:val="22"/>
        </w:rPr>
        <w:t>Reason’s model illustrates how gaps across different layers of a system can combine in ways that allow errors to pass through and result in harm (Reason, 2000). In community care settings, safeguards are often less robust due to fragmented structures, increasing reliance on individual responsibility.</w:t>
      </w:r>
    </w:p>
    <w:p w14:paraId="1AC9F737" w14:textId="77777777" w:rsidR="00D25B85" w:rsidRPr="00F94BE6" w:rsidRDefault="00D25B85" w:rsidP="00F94BE6">
      <w:pPr>
        <w:spacing w:line="360" w:lineRule="auto"/>
        <w:rPr>
          <w:rFonts w:ascii="Arial" w:hAnsi="Arial" w:cs="Arial"/>
          <w:bCs/>
          <w:sz w:val="22"/>
        </w:rPr>
      </w:pPr>
      <w:r w:rsidRPr="00F94BE6">
        <w:rPr>
          <w:rFonts w:ascii="Arial" w:hAnsi="Arial" w:cs="Arial"/>
          <w:bCs/>
          <w:sz w:val="22"/>
        </w:rPr>
        <w:t>From a Human Factors perspective, this incident reflects system design failure rather than individual negligence. Processes such as scheduling, record-keeping, and escalation procedures are intended to reduce the likelihood of missed visits. The Care Quality Commission (2022) identifies missed visits as a recurring safety issue in domiciliary care, indicating a disconnect between policy expectations and what happens in practice.</w:t>
      </w:r>
    </w:p>
    <w:p w14:paraId="511DAA48" w14:textId="77777777" w:rsidR="00D25B85" w:rsidRPr="00F94BE6" w:rsidRDefault="00D25B85" w:rsidP="00F94BE6">
      <w:pPr>
        <w:spacing w:line="360" w:lineRule="auto"/>
        <w:rPr>
          <w:rFonts w:ascii="Arial" w:hAnsi="Arial" w:cs="Arial"/>
          <w:bCs/>
          <w:sz w:val="22"/>
        </w:rPr>
      </w:pPr>
      <w:r w:rsidRPr="00F94BE6">
        <w:rPr>
          <w:rFonts w:ascii="Arial" w:hAnsi="Arial" w:cs="Arial"/>
          <w:bCs/>
          <w:sz w:val="22"/>
        </w:rPr>
        <w:t>The Nursing and Midwifery Council (2018) emphasises the importance of accurate and timely documentation, while the Data Protection Act 2018 sets out the legal framework for how personal information should be collected, used, and protected in practice (UK Government, 2018). However, uncertainty around information sharing can disrupt coordination between professionals.</w:t>
      </w:r>
    </w:p>
    <w:p w14:paraId="7A1A79EC" w14:textId="77777777" w:rsidR="00D25B85" w:rsidRPr="00F94BE6" w:rsidRDefault="00D25B85" w:rsidP="00F94BE6">
      <w:pPr>
        <w:spacing w:line="360" w:lineRule="auto"/>
        <w:rPr>
          <w:rFonts w:ascii="Arial" w:hAnsi="Arial" w:cs="Arial"/>
          <w:bCs/>
          <w:sz w:val="22"/>
        </w:rPr>
      </w:pPr>
      <w:r w:rsidRPr="00F94BE6">
        <w:rPr>
          <w:rFonts w:ascii="Arial" w:hAnsi="Arial" w:cs="Arial"/>
          <w:bCs/>
          <w:sz w:val="22"/>
        </w:rPr>
        <w:t>The NHS Patient Safety Strategy promotes system-based approaches to reducing harm (NHS England, 2019). Despite this, incidents such as missed visits continue to occur, suggesting that implementation remains inconsistent.</w:t>
      </w:r>
    </w:p>
    <w:p w14:paraId="6AB830A4" w14:textId="36DE41B4" w:rsidR="007E1296" w:rsidRDefault="00D25B85" w:rsidP="00F94BE6">
      <w:pPr>
        <w:spacing w:line="360" w:lineRule="auto"/>
        <w:rPr>
          <w:rFonts w:ascii="Arial" w:hAnsi="Arial" w:cs="Arial"/>
          <w:bCs/>
          <w:sz w:val="22"/>
        </w:rPr>
      </w:pPr>
      <w:r w:rsidRPr="00F94BE6">
        <w:rPr>
          <w:rFonts w:ascii="Arial" w:hAnsi="Arial" w:cs="Arial"/>
          <w:bCs/>
          <w:sz w:val="22"/>
        </w:rPr>
        <w:t>Crucially, preventing harm depends less on individual performance and more on how consistently systems are designed to anticipate and mitigate failure. Among all contributing factors, administrative failure had the greatest immediate impact and was the most preventable.</w:t>
      </w:r>
    </w:p>
    <w:p w14:paraId="0A0FE81C" w14:textId="77777777" w:rsidR="00F94BE6" w:rsidRDefault="00F94BE6" w:rsidP="00F94BE6">
      <w:pPr>
        <w:spacing w:line="360" w:lineRule="auto"/>
        <w:rPr>
          <w:rFonts w:ascii="Arial" w:hAnsi="Arial" w:cs="Arial"/>
          <w:bCs/>
          <w:sz w:val="22"/>
        </w:rPr>
      </w:pPr>
    </w:p>
    <w:p w14:paraId="31A12D3C" w14:textId="77777777" w:rsidR="00F94BE6" w:rsidRDefault="00F94BE6" w:rsidP="00F94BE6">
      <w:pPr>
        <w:spacing w:line="360" w:lineRule="auto"/>
        <w:rPr>
          <w:rFonts w:ascii="Arial" w:hAnsi="Arial" w:cs="Arial"/>
          <w:bCs/>
          <w:sz w:val="22"/>
        </w:rPr>
      </w:pPr>
    </w:p>
    <w:p w14:paraId="34A1DE7B" w14:textId="77777777" w:rsidR="00F94BE6" w:rsidRDefault="00F94BE6" w:rsidP="00F94BE6">
      <w:pPr>
        <w:spacing w:line="360" w:lineRule="auto"/>
        <w:rPr>
          <w:rFonts w:ascii="Arial" w:hAnsi="Arial" w:cs="Arial"/>
          <w:bCs/>
          <w:sz w:val="22"/>
        </w:rPr>
      </w:pPr>
    </w:p>
    <w:p w14:paraId="0D683C2B" w14:textId="77777777" w:rsidR="00F94BE6" w:rsidRPr="00F94BE6" w:rsidRDefault="00F94BE6" w:rsidP="00F94BE6">
      <w:pPr>
        <w:spacing w:line="360" w:lineRule="auto"/>
        <w:rPr>
          <w:rFonts w:ascii="Arial" w:hAnsi="Arial" w:cs="Arial"/>
          <w:bCs/>
          <w:sz w:val="22"/>
        </w:rPr>
      </w:pPr>
    </w:p>
    <w:p w14:paraId="5B46EC01" w14:textId="77777777" w:rsidR="00D25B85" w:rsidRPr="00F94BE6" w:rsidRDefault="00D25B85" w:rsidP="00F94BE6">
      <w:pPr>
        <w:spacing w:line="360" w:lineRule="auto"/>
        <w:rPr>
          <w:rFonts w:ascii="Arial" w:hAnsi="Arial" w:cs="Arial"/>
          <w:b/>
          <w:sz w:val="22"/>
        </w:rPr>
      </w:pPr>
      <w:r w:rsidRPr="00F94BE6">
        <w:rPr>
          <w:rFonts w:ascii="Arial" w:hAnsi="Arial" w:cs="Arial"/>
          <w:b/>
          <w:sz w:val="22"/>
        </w:rPr>
        <w:lastRenderedPageBreak/>
        <w:t>4. Impact of Multidisciplinary Collaboration on Patient Care</w:t>
      </w:r>
    </w:p>
    <w:p w14:paraId="4AD8C784" w14:textId="77777777" w:rsidR="00D25B85" w:rsidRPr="00F94BE6" w:rsidRDefault="00D25B85" w:rsidP="00F94BE6">
      <w:pPr>
        <w:spacing w:line="360" w:lineRule="auto"/>
        <w:rPr>
          <w:rFonts w:ascii="Arial" w:hAnsi="Arial" w:cs="Arial"/>
          <w:bCs/>
          <w:sz w:val="22"/>
        </w:rPr>
      </w:pPr>
      <w:r w:rsidRPr="00F94BE6">
        <w:rPr>
          <w:rFonts w:ascii="Arial" w:hAnsi="Arial" w:cs="Arial"/>
          <w:bCs/>
          <w:sz w:val="22"/>
        </w:rPr>
        <w:t>Managing complex care relies heavily on effective multidisciplinary collaboration. When functioning well, teams enable coordinated care, shared responsibility, and early identification of risk.</w:t>
      </w:r>
    </w:p>
    <w:p w14:paraId="796AF508" w14:textId="77777777" w:rsidR="00D25B85" w:rsidRPr="00F94BE6" w:rsidRDefault="00D25B85" w:rsidP="00F94BE6">
      <w:pPr>
        <w:spacing w:line="360" w:lineRule="auto"/>
        <w:rPr>
          <w:rFonts w:ascii="Arial" w:hAnsi="Arial" w:cs="Arial"/>
          <w:bCs/>
          <w:sz w:val="22"/>
        </w:rPr>
      </w:pPr>
      <w:r w:rsidRPr="00F94BE6">
        <w:rPr>
          <w:rFonts w:ascii="Arial" w:hAnsi="Arial" w:cs="Arial"/>
          <w:bCs/>
          <w:sz w:val="22"/>
        </w:rPr>
        <w:t>However, teamwork can be compromised when communication systems are weak or roles are unclear. In complex care environments, responsibility may become diffused, increasing the likelihood of missed actions.</w:t>
      </w:r>
    </w:p>
    <w:p w14:paraId="17472B32" w14:textId="77777777" w:rsidR="00D25B85" w:rsidRPr="00F94BE6" w:rsidRDefault="00D25B85" w:rsidP="00F94BE6">
      <w:pPr>
        <w:spacing w:line="360" w:lineRule="auto"/>
        <w:rPr>
          <w:rFonts w:ascii="Arial" w:hAnsi="Arial" w:cs="Arial"/>
          <w:bCs/>
          <w:sz w:val="22"/>
        </w:rPr>
      </w:pPr>
      <w:r w:rsidRPr="00F94BE6">
        <w:rPr>
          <w:rFonts w:ascii="Arial" w:hAnsi="Arial" w:cs="Arial"/>
          <w:bCs/>
          <w:sz w:val="22"/>
        </w:rPr>
        <w:t>Research in patient safety consistently identifies communication breakdowns within teams as a leading cause of adverse events (Vincent, 2010). From a Human Factors perspective, errors are rarely the result of individual negligence but arise from systems that fail to support effective coordination. In Mr Ahmed’s situation, the absence of a clear escalation or checking process allowed the missed visit to go unnoticed, showing how system design directly influences team performance.</w:t>
      </w:r>
    </w:p>
    <w:p w14:paraId="2050D73C" w14:textId="77777777" w:rsidR="00D25B85" w:rsidRPr="00F94BE6" w:rsidRDefault="00D25B85" w:rsidP="00F94BE6">
      <w:pPr>
        <w:spacing w:line="360" w:lineRule="auto"/>
        <w:rPr>
          <w:rFonts w:ascii="Arial" w:hAnsi="Arial" w:cs="Arial"/>
          <w:bCs/>
          <w:sz w:val="22"/>
        </w:rPr>
      </w:pPr>
      <w:r w:rsidRPr="00F94BE6">
        <w:rPr>
          <w:rFonts w:ascii="Arial" w:hAnsi="Arial" w:cs="Arial"/>
          <w:bCs/>
          <w:sz w:val="22"/>
        </w:rPr>
        <w:t xml:space="preserve">Looking across the </w:t>
      </w:r>
      <w:proofErr w:type="gramStart"/>
      <w:r w:rsidRPr="00F94BE6">
        <w:rPr>
          <w:rFonts w:ascii="Arial" w:hAnsi="Arial" w:cs="Arial"/>
          <w:bCs/>
          <w:sz w:val="22"/>
        </w:rPr>
        <w:t>case as a whole, it</w:t>
      </w:r>
      <w:proofErr w:type="gramEnd"/>
      <w:r w:rsidRPr="00F94BE6">
        <w:rPr>
          <w:rFonts w:ascii="Arial" w:hAnsi="Arial" w:cs="Arial"/>
          <w:bCs/>
          <w:sz w:val="22"/>
        </w:rPr>
        <w:t xml:space="preserve"> becomes evident that administrative failures, communication barriers, and teamwork gaps are interdependent rather than isolated issues. Administrative systems created the initial risk, communication barriers increased vulnerability, and multidisciplinary failures allowed harm to occur.</w:t>
      </w:r>
    </w:p>
    <w:p w14:paraId="585DE9DE" w14:textId="77777777" w:rsidR="00D25B85" w:rsidRDefault="00D25B85" w:rsidP="00F94BE6">
      <w:pPr>
        <w:spacing w:line="360" w:lineRule="auto"/>
        <w:rPr>
          <w:rFonts w:ascii="Arial" w:hAnsi="Arial" w:cs="Arial"/>
          <w:bCs/>
          <w:sz w:val="22"/>
        </w:rPr>
      </w:pPr>
      <w:r w:rsidRPr="00F94BE6">
        <w:rPr>
          <w:rFonts w:ascii="Arial" w:hAnsi="Arial" w:cs="Arial"/>
          <w:bCs/>
          <w:sz w:val="22"/>
        </w:rPr>
        <w:t>A key insight from this is that even well-intentioned professionals cannot compensate for poorly designed systems, reinforcing the need to prioritise organisational reliability over individual vigilance.</w:t>
      </w:r>
    </w:p>
    <w:p w14:paraId="0A078257" w14:textId="77777777" w:rsidR="00F94BE6" w:rsidRPr="00F94BE6" w:rsidRDefault="00F94BE6" w:rsidP="00F94BE6">
      <w:pPr>
        <w:spacing w:line="360" w:lineRule="auto"/>
        <w:rPr>
          <w:rFonts w:ascii="Arial" w:hAnsi="Arial" w:cs="Arial"/>
          <w:bCs/>
          <w:sz w:val="22"/>
        </w:rPr>
      </w:pPr>
    </w:p>
    <w:p w14:paraId="25E1D805" w14:textId="77777777" w:rsidR="00D25B85" w:rsidRPr="00F94BE6" w:rsidRDefault="00D25B85" w:rsidP="00F94BE6">
      <w:pPr>
        <w:spacing w:line="360" w:lineRule="auto"/>
        <w:rPr>
          <w:rFonts w:ascii="Arial" w:hAnsi="Arial" w:cs="Arial"/>
          <w:b/>
          <w:sz w:val="22"/>
        </w:rPr>
      </w:pPr>
      <w:r w:rsidRPr="00F94BE6">
        <w:rPr>
          <w:rFonts w:ascii="Arial" w:hAnsi="Arial" w:cs="Arial"/>
          <w:b/>
          <w:sz w:val="22"/>
        </w:rPr>
        <w:t>5. Conclusion</w:t>
      </w:r>
    </w:p>
    <w:p w14:paraId="642900A5" w14:textId="77777777" w:rsidR="00D25B85" w:rsidRPr="00F94BE6" w:rsidRDefault="00D25B85" w:rsidP="00F94BE6">
      <w:pPr>
        <w:spacing w:line="360" w:lineRule="auto"/>
        <w:rPr>
          <w:rFonts w:ascii="Arial" w:hAnsi="Arial" w:cs="Arial"/>
          <w:bCs/>
          <w:sz w:val="22"/>
        </w:rPr>
      </w:pPr>
      <w:r w:rsidRPr="00F94BE6">
        <w:rPr>
          <w:rFonts w:ascii="Arial" w:hAnsi="Arial" w:cs="Arial"/>
          <w:bCs/>
          <w:sz w:val="22"/>
        </w:rPr>
        <w:t>Overall, the findings indicate that communication, administrative practice, and multidisciplinary collaboration are closely interconnected and collectively influence patient safety. However, their impact is not equal.</w:t>
      </w:r>
    </w:p>
    <w:p w14:paraId="140AA910" w14:textId="77777777" w:rsidR="00D25B85" w:rsidRPr="00F94BE6" w:rsidRDefault="00D25B85" w:rsidP="00F94BE6">
      <w:pPr>
        <w:spacing w:line="360" w:lineRule="auto"/>
        <w:rPr>
          <w:rFonts w:ascii="Arial" w:hAnsi="Arial" w:cs="Arial"/>
          <w:bCs/>
          <w:sz w:val="22"/>
        </w:rPr>
      </w:pPr>
      <w:r w:rsidRPr="00F94BE6">
        <w:rPr>
          <w:rFonts w:ascii="Arial" w:hAnsi="Arial" w:cs="Arial"/>
          <w:bCs/>
          <w:sz w:val="22"/>
        </w:rPr>
        <w:t>The most significant and preventable failure in Mr Ahmed’s situation was administrative, as it directly resulted in missed medication. Communication barriers increased vulnerability, while multidisciplinary weaknesses allowed the error to remain undetected.</w:t>
      </w:r>
    </w:p>
    <w:p w14:paraId="78048C99" w14:textId="77777777" w:rsidR="00D25B85" w:rsidRPr="00F94BE6" w:rsidRDefault="00D25B85" w:rsidP="00F94BE6">
      <w:pPr>
        <w:spacing w:line="360" w:lineRule="auto"/>
        <w:rPr>
          <w:rFonts w:ascii="Arial" w:hAnsi="Arial" w:cs="Arial"/>
          <w:bCs/>
          <w:sz w:val="22"/>
        </w:rPr>
      </w:pPr>
      <w:r w:rsidRPr="00F94BE6">
        <w:rPr>
          <w:rFonts w:ascii="Arial" w:hAnsi="Arial" w:cs="Arial"/>
          <w:bCs/>
          <w:sz w:val="22"/>
        </w:rPr>
        <w:t>This reflects widely recognised principles within patient safety literature, which emphasise that harm arises from interacting system failures rather than isolated mistakes.</w:t>
      </w:r>
    </w:p>
    <w:p w14:paraId="6192B5DA" w14:textId="77777777" w:rsidR="00D25B85" w:rsidRPr="00F94BE6" w:rsidRDefault="00D25B85" w:rsidP="00F94BE6">
      <w:pPr>
        <w:spacing w:line="360" w:lineRule="auto"/>
        <w:rPr>
          <w:rFonts w:ascii="Arial" w:hAnsi="Arial" w:cs="Arial"/>
          <w:bCs/>
          <w:sz w:val="22"/>
        </w:rPr>
      </w:pPr>
      <w:r w:rsidRPr="00F94BE6">
        <w:rPr>
          <w:rFonts w:ascii="Arial" w:hAnsi="Arial" w:cs="Arial"/>
          <w:bCs/>
          <w:sz w:val="22"/>
        </w:rPr>
        <w:t xml:space="preserve">Three priorities emerge. First, strengthening administrative systems would have the greatest immediate impact on safety. Second, improving access to professional interpreter services </w:t>
      </w:r>
      <w:r w:rsidRPr="00F94BE6">
        <w:rPr>
          <w:rFonts w:ascii="Arial" w:hAnsi="Arial" w:cs="Arial"/>
          <w:bCs/>
          <w:sz w:val="22"/>
        </w:rPr>
        <w:lastRenderedPageBreak/>
        <w:t>would enhance communication and support patient autonomy. Third, strengthening multidisciplinary coordination would provide an additional safeguard against error.</w:t>
      </w:r>
    </w:p>
    <w:p w14:paraId="5457582B" w14:textId="77777777" w:rsidR="00D25B85" w:rsidRPr="00F94BE6" w:rsidRDefault="00D25B85" w:rsidP="00F94BE6">
      <w:pPr>
        <w:spacing w:line="360" w:lineRule="auto"/>
        <w:rPr>
          <w:rFonts w:ascii="Arial" w:hAnsi="Arial" w:cs="Arial"/>
          <w:bCs/>
          <w:sz w:val="22"/>
        </w:rPr>
      </w:pPr>
      <w:r w:rsidRPr="00F94BE6">
        <w:rPr>
          <w:rFonts w:ascii="Arial" w:hAnsi="Arial" w:cs="Arial"/>
          <w:bCs/>
          <w:sz w:val="22"/>
        </w:rPr>
        <w:t>At a broader system level, applying Human Factors principles and system-based approaches is essential to improving care quality. Unless underlying system issues are addressed, improvements are likely to remain constrained.</w:t>
      </w:r>
    </w:p>
    <w:p w14:paraId="48D15C1C" w14:textId="35DE39A5" w:rsidR="007A7310" w:rsidRPr="00F94BE6" w:rsidRDefault="00D25B85" w:rsidP="00F94BE6">
      <w:pPr>
        <w:spacing w:line="360" w:lineRule="auto"/>
        <w:rPr>
          <w:rFonts w:ascii="Arial" w:hAnsi="Arial" w:cs="Arial"/>
          <w:sz w:val="22"/>
        </w:rPr>
      </w:pPr>
      <w:r w:rsidRPr="00F94BE6">
        <w:rPr>
          <w:rFonts w:ascii="Arial" w:hAnsi="Arial" w:cs="Arial"/>
          <w:bCs/>
          <w:sz w:val="22"/>
        </w:rPr>
        <w:t>This case also highlights the importance of adapting my own communication approach in practice, recognising that effective care requires flexibility, cultural awareness, and active efforts to ensure that all patients can participate meaningfully in decisions about their care.</w:t>
      </w:r>
    </w:p>
    <w:p w14:paraId="6CAA12A0" w14:textId="77777777" w:rsidR="00F94BE6" w:rsidRDefault="00F94BE6" w:rsidP="00F94BE6">
      <w:pPr>
        <w:spacing w:line="360" w:lineRule="auto"/>
        <w:rPr>
          <w:rFonts w:ascii="Arial" w:hAnsi="Arial" w:cs="Arial"/>
          <w:b/>
          <w:bCs/>
          <w:sz w:val="22"/>
        </w:rPr>
      </w:pPr>
    </w:p>
    <w:p w14:paraId="417F52D2" w14:textId="77777777" w:rsidR="00F94BE6" w:rsidRDefault="00F94BE6" w:rsidP="00F94BE6">
      <w:pPr>
        <w:spacing w:line="360" w:lineRule="auto"/>
        <w:rPr>
          <w:rFonts w:ascii="Arial" w:hAnsi="Arial" w:cs="Arial"/>
          <w:b/>
          <w:bCs/>
          <w:sz w:val="22"/>
        </w:rPr>
      </w:pPr>
    </w:p>
    <w:p w14:paraId="279F9DC2" w14:textId="77777777" w:rsidR="00F94BE6" w:rsidRDefault="00F94BE6" w:rsidP="00F94BE6">
      <w:pPr>
        <w:spacing w:line="360" w:lineRule="auto"/>
        <w:rPr>
          <w:rFonts w:ascii="Arial" w:hAnsi="Arial" w:cs="Arial"/>
          <w:b/>
          <w:bCs/>
          <w:sz w:val="22"/>
        </w:rPr>
      </w:pPr>
    </w:p>
    <w:p w14:paraId="2F98A3D1" w14:textId="77777777" w:rsidR="00F94BE6" w:rsidRDefault="00F94BE6" w:rsidP="00F94BE6">
      <w:pPr>
        <w:spacing w:line="360" w:lineRule="auto"/>
        <w:rPr>
          <w:rFonts w:ascii="Arial" w:hAnsi="Arial" w:cs="Arial"/>
          <w:b/>
          <w:bCs/>
          <w:sz w:val="22"/>
        </w:rPr>
      </w:pPr>
    </w:p>
    <w:p w14:paraId="34878DB9" w14:textId="77777777" w:rsidR="00F94BE6" w:rsidRDefault="00F94BE6" w:rsidP="00F94BE6">
      <w:pPr>
        <w:spacing w:line="360" w:lineRule="auto"/>
        <w:rPr>
          <w:rFonts w:ascii="Arial" w:hAnsi="Arial" w:cs="Arial"/>
          <w:b/>
          <w:bCs/>
          <w:sz w:val="22"/>
        </w:rPr>
      </w:pPr>
    </w:p>
    <w:p w14:paraId="7F6A64F7" w14:textId="77777777" w:rsidR="00F94BE6" w:rsidRDefault="00F94BE6" w:rsidP="00F94BE6">
      <w:pPr>
        <w:spacing w:line="360" w:lineRule="auto"/>
        <w:rPr>
          <w:rFonts w:ascii="Arial" w:hAnsi="Arial" w:cs="Arial"/>
          <w:b/>
          <w:bCs/>
          <w:sz w:val="22"/>
        </w:rPr>
      </w:pPr>
    </w:p>
    <w:p w14:paraId="192A9498" w14:textId="77777777" w:rsidR="00F94BE6" w:rsidRDefault="00F94BE6" w:rsidP="00F94BE6">
      <w:pPr>
        <w:spacing w:line="360" w:lineRule="auto"/>
        <w:rPr>
          <w:rFonts w:ascii="Arial" w:hAnsi="Arial" w:cs="Arial"/>
          <w:b/>
          <w:bCs/>
          <w:sz w:val="22"/>
        </w:rPr>
      </w:pPr>
    </w:p>
    <w:p w14:paraId="5A855111" w14:textId="77777777" w:rsidR="00F94BE6" w:rsidRDefault="00F94BE6" w:rsidP="00F94BE6">
      <w:pPr>
        <w:spacing w:line="360" w:lineRule="auto"/>
        <w:rPr>
          <w:rFonts w:ascii="Arial" w:hAnsi="Arial" w:cs="Arial"/>
          <w:b/>
          <w:bCs/>
          <w:sz w:val="22"/>
        </w:rPr>
      </w:pPr>
    </w:p>
    <w:p w14:paraId="2729334A" w14:textId="77777777" w:rsidR="00F94BE6" w:rsidRDefault="00F94BE6" w:rsidP="00F94BE6">
      <w:pPr>
        <w:spacing w:line="360" w:lineRule="auto"/>
        <w:rPr>
          <w:rFonts w:ascii="Arial" w:hAnsi="Arial" w:cs="Arial"/>
          <w:b/>
          <w:bCs/>
          <w:sz w:val="22"/>
        </w:rPr>
      </w:pPr>
    </w:p>
    <w:p w14:paraId="3738A8DB" w14:textId="77777777" w:rsidR="00F94BE6" w:rsidRDefault="00F94BE6" w:rsidP="00F94BE6">
      <w:pPr>
        <w:spacing w:line="360" w:lineRule="auto"/>
        <w:rPr>
          <w:rFonts w:ascii="Arial" w:hAnsi="Arial" w:cs="Arial"/>
          <w:b/>
          <w:bCs/>
          <w:sz w:val="22"/>
        </w:rPr>
      </w:pPr>
    </w:p>
    <w:p w14:paraId="467FC56C" w14:textId="77777777" w:rsidR="00F94BE6" w:rsidRDefault="00F94BE6" w:rsidP="00F94BE6">
      <w:pPr>
        <w:spacing w:line="360" w:lineRule="auto"/>
        <w:rPr>
          <w:rFonts w:ascii="Arial" w:hAnsi="Arial" w:cs="Arial"/>
          <w:b/>
          <w:bCs/>
          <w:sz w:val="22"/>
        </w:rPr>
      </w:pPr>
    </w:p>
    <w:p w14:paraId="6B9DF4A0" w14:textId="77777777" w:rsidR="00F94BE6" w:rsidRDefault="00F94BE6" w:rsidP="00F94BE6">
      <w:pPr>
        <w:spacing w:line="360" w:lineRule="auto"/>
        <w:rPr>
          <w:rFonts w:ascii="Arial" w:hAnsi="Arial" w:cs="Arial"/>
          <w:b/>
          <w:bCs/>
          <w:sz w:val="22"/>
        </w:rPr>
      </w:pPr>
    </w:p>
    <w:p w14:paraId="1C9ED056" w14:textId="77777777" w:rsidR="00F94BE6" w:rsidRDefault="00F94BE6" w:rsidP="00F94BE6">
      <w:pPr>
        <w:spacing w:line="360" w:lineRule="auto"/>
        <w:rPr>
          <w:rFonts w:ascii="Arial" w:hAnsi="Arial" w:cs="Arial"/>
          <w:b/>
          <w:bCs/>
          <w:sz w:val="22"/>
        </w:rPr>
      </w:pPr>
    </w:p>
    <w:p w14:paraId="275559E4" w14:textId="77777777" w:rsidR="00F94BE6" w:rsidRDefault="00F94BE6" w:rsidP="00F94BE6">
      <w:pPr>
        <w:spacing w:line="360" w:lineRule="auto"/>
        <w:rPr>
          <w:rFonts w:ascii="Arial" w:hAnsi="Arial" w:cs="Arial"/>
          <w:b/>
          <w:bCs/>
          <w:sz w:val="22"/>
        </w:rPr>
      </w:pPr>
    </w:p>
    <w:p w14:paraId="3C6EE1A3" w14:textId="77777777" w:rsidR="00F94BE6" w:rsidRDefault="00F94BE6" w:rsidP="00F94BE6">
      <w:pPr>
        <w:spacing w:line="360" w:lineRule="auto"/>
        <w:rPr>
          <w:rFonts w:ascii="Arial" w:hAnsi="Arial" w:cs="Arial"/>
          <w:b/>
          <w:bCs/>
          <w:sz w:val="22"/>
        </w:rPr>
      </w:pPr>
    </w:p>
    <w:p w14:paraId="2D8907AF" w14:textId="77777777" w:rsidR="00F94BE6" w:rsidRDefault="00F94BE6" w:rsidP="00F94BE6">
      <w:pPr>
        <w:spacing w:line="360" w:lineRule="auto"/>
        <w:rPr>
          <w:rFonts w:ascii="Arial" w:hAnsi="Arial" w:cs="Arial"/>
          <w:b/>
          <w:bCs/>
          <w:sz w:val="22"/>
        </w:rPr>
      </w:pPr>
    </w:p>
    <w:p w14:paraId="656FA1E1" w14:textId="77777777" w:rsidR="00F94BE6" w:rsidRDefault="00F94BE6" w:rsidP="00F94BE6">
      <w:pPr>
        <w:spacing w:line="360" w:lineRule="auto"/>
        <w:rPr>
          <w:rFonts w:ascii="Arial" w:hAnsi="Arial" w:cs="Arial"/>
          <w:b/>
          <w:bCs/>
          <w:sz w:val="22"/>
        </w:rPr>
      </w:pPr>
    </w:p>
    <w:p w14:paraId="17A7D54B" w14:textId="77777777" w:rsidR="00F94BE6" w:rsidRDefault="00F94BE6" w:rsidP="00F94BE6">
      <w:pPr>
        <w:spacing w:line="360" w:lineRule="auto"/>
        <w:rPr>
          <w:rFonts w:ascii="Arial" w:hAnsi="Arial" w:cs="Arial"/>
          <w:b/>
          <w:bCs/>
          <w:sz w:val="22"/>
        </w:rPr>
      </w:pPr>
    </w:p>
    <w:p w14:paraId="6A928910" w14:textId="77777777" w:rsidR="00F94BE6" w:rsidRDefault="00F94BE6" w:rsidP="00F94BE6">
      <w:pPr>
        <w:spacing w:line="360" w:lineRule="auto"/>
        <w:rPr>
          <w:rFonts w:ascii="Arial" w:hAnsi="Arial" w:cs="Arial"/>
          <w:b/>
          <w:bCs/>
          <w:sz w:val="22"/>
        </w:rPr>
      </w:pPr>
    </w:p>
    <w:p w14:paraId="55989F4E" w14:textId="4C9913F6" w:rsidR="00D52CAA" w:rsidRPr="00F94BE6" w:rsidRDefault="00B87E75" w:rsidP="00F94BE6">
      <w:pPr>
        <w:spacing w:line="360" w:lineRule="auto"/>
        <w:rPr>
          <w:rFonts w:ascii="Arial" w:hAnsi="Arial" w:cs="Arial"/>
          <w:b/>
          <w:bCs/>
          <w:sz w:val="22"/>
        </w:rPr>
      </w:pPr>
      <w:r w:rsidRPr="00F94BE6">
        <w:rPr>
          <w:rFonts w:ascii="Arial" w:hAnsi="Arial" w:cs="Arial"/>
          <w:b/>
          <w:bCs/>
          <w:sz w:val="22"/>
        </w:rPr>
        <w:lastRenderedPageBreak/>
        <w:t>References</w:t>
      </w:r>
    </w:p>
    <w:p w14:paraId="261CDB59" w14:textId="77777777" w:rsidR="007B6A9C" w:rsidRPr="00F94BE6" w:rsidRDefault="007B6A9C" w:rsidP="00F94BE6">
      <w:pPr>
        <w:spacing w:line="360" w:lineRule="auto"/>
        <w:rPr>
          <w:rFonts w:ascii="Arial" w:hAnsi="Arial" w:cs="Arial"/>
          <w:sz w:val="22"/>
        </w:rPr>
      </w:pPr>
    </w:p>
    <w:p w14:paraId="105B9F46" w14:textId="21F588E6" w:rsidR="00437085" w:rsidRPr="00F94BE6" w:rsidRDefault="00437085" w:rsidP="00F94BE6">
      <w:pPr>
        <w:spacing w:line="360" w:lineRule="auto"/>
        <w:rPr>
          <w:rFonts w:ascii="Arial" w:hAnsi="Arial" w:cs="Arial"/>
          <w:sz w:val="22"/>
        </w:rPr>
      </w:pPr>
      <w:r w:rsidRPr="00F94BE6">
        <w:rPr>
          <w:rFonts w:ascii="Arial" w:hAnsi="Arial" w:cs="Arial"/>
          <w:sz w:val="22"/>
        </w:rPr>
        <w:t xml:space="preserve">Care Quality Commission (2022) </w:t>
      </w:r>
      <w:r w:rsidRPr="00F94BE6">
        <w:rPr>
          <w:rFonts w:ascii="Arial" w:hAnsi="Arial" w:cs="Arial"/>
          <w:i/>
          <w:iCs/>
          <w:sz w:val="22"/>
        </w:rPr>
        <w:t>Statutory notifications: guidance for providers</w:t>
      </w:r>
      <w:r w:rsidRPr="00F94BE6">
        <w:rPr>
          <w:rFonts w:ascii="Arial" w:hAnsi="Arial" w:cs="Arial"/>
          <w:sz w:val="22"/>
        </w:rPr>
        <w:t xml:space="preserve">. Available at: </w:t>
      </w:r>
      <w:hyperlink r:id="rId9" w:history="1">
        <w:r w:rsidR="00F6376A" w:rsidRPr="00F94BE6">
          <w:rPr>
            <w:rStyle w:val="Hyperlink"/>
            <w:rFonts w:ascii="Arial" w:hAnsi="Arial" w:cs="Arial"/>
            <w:sz w:val="22"/>
          </w:rPr>
          <w:t>https://www.cqc.org.uk/guidance-providers/notifications</w:t>
        </w:r>
      </w:hyperlink>
      <w:r w:rsidR="00F6376A" w:rsidRPr="00F94BE6">
        <w:rPr>
          <w:rFonts w:ascii="Arial" w:hAnsi="Arial" w:cs="Arial"/>
          <w:sz w:val="22"/>
        </w:rPr>
        <w:t xml:space="preserve"> </w:t>
      </w:r>
      <w:r w:rsidRPr="00F94BE6">
        <w:rPr>
          <w:rFonts w:ascii="Arial" w:hAnsi="Arial" w:cs="Arial"/>
          <w:sz w:val="22"/>
        </w:rPr>
        <w:t>(Accessed: 9 April 2026).</w:t>
      </w:r>
    </w:p>
    <w:p w14:paraId="65E4677F" w14:textId="0D2397D8" w:rsidR="00C65803" w:rsidRPr="00F94BE6" w:rsidRDefault="006206A8" w:rsidP="00F94BE6">
      <w:pPr>
        <w:spacing w:line="360" w:lineRule="auto"/>
        <w:rPr>
          <w:rFonts w:ascii="Arial" w:hAnsi="Arial" w:cs="Arial"/>
          <w:sz w:val="22"/>
        </w:rPr>
      </w:pPr>
      <w:r w:rsidRPr="00F94BE6">
        <w:rPr>
          <w:rFonts w:ascii="Arial" w:hAnsi="Arial" w:cs="Arial"/>
          <w:sz w:val="22"/>
        </w:rPr>
        <w:t xml:space="preserve"> </w:t>
      </w:r>
    </w:p>
    <w:p w14:paraId="25F9E812" w14:textId="332F2A67" w:rsidR="00437085" w:rsidRPr="00F94BE6" w:rsidRDefault="00437085" w:rsidP="00F94BE6">
      <w:pPr>
        <w:spacing w:line="360" w:lineRule="auto"/>
        <w:rPr>
          <w:rFonts w:ascii="Arial" w:hAnsi="Arial" w:cs="Arial"/>
          <w:sz w:val="22"/>
        </w:rPr>
      </w:pPr>
      <w:r w:rsidRPr="00F94BE6">
        <w:rPr>
          <w:rFonts w:ascii="Arial" w:hAnsi="Arial" w:cs="Arial"/>
          <w:sz w:val="22"/>
        </w:rPr>
        <w:t xml:space="preserve">Flores, G. (2005) ‘The impact of medical interpreter services on the quality of health care: a systematic review’, </w:t>
      </w:r>
      <w:r w:rsidRPr="00F94BE6">
        <w:rPr>
          <w:rFonts w:ascii="Arial" w:hAnsi="Arial" w:cs="Arial"/>
          <w:i/>
          <w:iCs/>
          <w:sz w:val="22"/>
        </w:rPr>
        <w:t>Medical Care</w:t>
      </w:r>
      <w:r w:rsidRPr="00F94BE6">
        <w:rPr>
          <w:rFonts w:ascii="Arial" w:hAnsi="Arial" w:cs="Arial"/>
          <w:sz w:val="22"/>
        </w:rPr>
        <w:t xml:space="preserve">, 43(5), pp. 356–369. Available at: </w:t>
      </w:r>
      <w:hyperlink r:id="rId10" w:history="1">
        <w:r w:rsidR="00F6376A" w:rsidRPr="00F94BE6">
          <w:rPr>
            <w:rStyle w:val="Hyperlink"/>
            <w:rFonts w:ascii="Arial" w:hAnsi="Arial" w:cs="Arial"/>
            <w:sz w:val="22"/>
          </w:rPr>
          <w:t>https://pubmed.ncbi.nlm.nih.gov/15838400/</w:t>
        </w:r>
      </w:hyperlink>
      <w:r w:rsidR="00F6376A" w:rsidRPr="00F94BE6">
        <w:rPr>
          <w:rFonts w:ascii="Arial" w:hAnsi="Arial" w:cs="Arial"/>
          <w:sz w:val="22"/>
        </w:rPr>
        <w:t xml:space="preserve"> </w:t>
      </w:r>
      <w:r w:rsidRPr="00F94BE6">
        <w:rPr>
          <w:rFonts w:ascii="Arial" w:hAnsi="Arial" w:cs="Arial"/>
          <w:sz w:val="22"/>
        </w:rPr>
        <w:t>(Accessed: 9 April 2026).</w:t>
      </w:r>
    </w:p>
    <w:p w14:paraId="72C6AB5D" w14:textId="77777777" w:rsidR="00D97EBD" w:rsidRPr="00F94BE6" w:rsidRDefault="00D97EBD" w:rsidP="00F94BE6">
      <w:pPr>
        <w:spacing w:line="360" w:lineRule="auto"/>
        <w:rPr>
          <w:rFonts w:ascii="Arial" w:hAnsi="Arial" w:cs="Arial"/>
          <w:sz w:val="22"/>
        </w:rPr>
      </w:pPr>
    </w:p>
    <w:p w14:paraId="30BB93CF" w14:textId="1321787D" w:rsidR="006A6912" w:rsidRPr="00F94BE6" w:rsidRDefault="006A6912" w:rsidP="00F94BE6">
      <w:pPr>
        <w:spacing w:line="360" w:lineRule="auto"/>
        <w:rPr>
          <w:rFonts w:ascii="Arial" w:hAnsi="Arial" w:cs="Arial"/>
          <w:sz w:val="22"/>
        </w:rPr>
      </w:pPr>
      <w:r w:rsidRPr="00F94BE6">
        <w:rPr>
          <w:rFonts w:ascii="Arial" w:hAnsi="Arial" w:cs="Arial"/>
          <w:sz w:val="22"/>
        </w:rPr>
        <w:t xml:space="preserve">Langhorne, P., Bernhardt, J. and </w:t>
      </w:r>
      <w:proofErr w:type="spellStart"/>
      <w:r w:rsidRPr="00F94BE6">
        <w:rPr>
          <w:rFonts w:ascii="Arial" w:hAnsi="Arial" w:cs="Arial"/>
          <w:sz w:val="22"/>
        </w:rPr>
        <w:t>Kwakkel</w:t>
      </w:r>
      <w:proofErr w:type="spellEnd"/>
      <w:r w:rsidRPr="00F94BE6">
        <w:rPr>
          <w:rFonts w:ascii="Arial" w:hAnsi="Arial" w:cs="Arial"/>
          <w:sz w:val="22"/>
        </w:rPr>
        <w:t xml:space="preserve">, G. (2011) ‘Stroke rehabilitation’, </w:t>
      </w:r>
      <w:r w:rsidRPr="00F94BE6">
        <w:rPr>
          <w:rFonts w:ascii="Arial" w:hAnsi="Arial" w:cs="Arial"/>
          <w:i/>
          <w:iCs/>
          <w:sz w:val="22"/>
        </w:rPr>
        <w:t>The Lancet</w:t>
      </w:r>
      <w:r w:rsidRPr="00F94BE6">
        <w:rPr>
          <w:rFonts w:ascii="Arial" w:hAnsi="Arial" w:cs="Arial"/>
          <w:sz w:val="22"/>
        </w:rPr>
        <w:t>, 377(9778), pp. 1693–1702. Available at: https://doi.org/10.1016/S0140-6736(11)60325-5</w:t>
      </w:r>
      <w:r w:rsidRPr="00F94BE6">
        <w:rPr>
          <w:rFonts w:ascii="Segoe UI Symbol" w:hAnsi="Segoe UI Symbol" w:cs="Segoe UI Symbol"/>
          <w:sz w:val="22"/>
        </w:rPr>
        <w:t>⁠</w:t>
      </w:r>
      <w:r w:rsidR="00D97EBD" w:rsidRPr="00F94BE6">
        <w:rPr>
          <w:rFonts w:ascii="Arial" w:hAnsi="Arial" w:cs="Arial"/>
          <w:sz w:val="22"/>
        </w:rPr>
        <w:t xml:space="preserve"> </w:t>
      </w:r>
      <w:r w:rsidRPr="00F94BE6">
        <w:rPr>
          <w:rFonts w:ascii="Arial" w:hAnsi="Arial" w:cs="Arial"/>
          <w:sz w:val="22"/>
        </w:rPr>
        <w:t>(Accessed: 9 April 2026).</w:t>
      </w:r>
    </w:p>
    <w:p w14:paraId="629F0634" w14:textId="77777777" w:rsidR="00D97EBD" w:rsidRPr="00F94BE6" w:rsidRDefault="00D97EBD" w:rsidP="00F94BE6">
      <w:pPr>
        <w:spacing w:line="360" w:lineRule="auto"/>
        <w:rPr>
          <w:rFonts w:ascii="Arial" w:hAnsi="Arial" w:cs="Arial"/>
          <w:sz w:val="22"/>
        </w:rPr>
      </w:pPr>
    </w:p>
    <w:p w14:paraId="06FDE803" w14:textId="77777777" w:rsidR="004A5C18" w:rsidRPr="00F94BE6" w:rsidRDefault="004A5C18" w:rsidP="00F94BE6">
      <w:pPr>
        <w:spacing w:line="360" w:lineRule="auto"/>
        <w:rPr>
          <w:rFonts w:ascii="Arial" w:hAnsi="Arial" w:cs="Arial"/>
          <w:sz w:val="22"/>
        </w:rPr>
      </w:pPr>
      <w:r w:rsidRPr="00F94BE6">
        <w:rPr>
          <w:rFonts w:ascii="Arial" w:hAnsi="Arial" w:cs="Arial"/>
          <w:sz w:val="22"/>
        </w:rPr>
        <w:t xml:space="preserve">McCabe, C. and Timmins, F. (2013) </w:t>
      </w:r>
      <w:r w:rsidRPr="00F94BE6">
        <w:rPr>
          <w:rFonts w:ascii="Arial" w:hAnsi="Arial" w:cs="Arial"/>
          <w:i/>
          <w:iCs/>
          <w:sz w:val="22"/>
        </w:rPr>
        <w:t>Communication skills for nursing practice</w:t>
      </w:r>
      <w:r w:rsidRPr="00F94BE6">
        <w:rPr>
          <w:rFonts w:ascii="Arial" w:hAnsi="Arial" w:cs="Arial"/>
          <w:sz w:val="22"/>
        </w:rPr>
        <w:t xml:space="preserve">. Basingstoke: Palgrave Macmillan. Available at: </w:t>
      </w:r>
      <w:hyperlink r:id="rId11" w:history="1">
        <w:r w:rsidRPr="00F94BE6">
          <w:rPr>
            <w:rStyle w:val="Hyperlink"/>
            <w:rFonts w:ascii="Arial" w:hAnsi="Arial" w:cs="Arial"/>
            <w:sz w:val="22"/>
          </w:rPr>
          <w:t>https://www.macmillanlearning.co.uk/page/detail/Communication-Skills-for-Nursing-Practice/?K=9780230359190</w:t>
        </w:r>
      </w:hyperlink>
      <w:r w:rsidRPr="00F94BE6">
        <w:rPr>
          <w:rFonts w:ascii="Arial" w:hAnsi="Arial" w:cs="Arial"/>
          <w:sz w:val="22"/>
        </w:rPr>
        <w:t xml:space="preserve"> (Accessed: 9 April 2026).</w:t>
      </w:r>
    </w:p>
    <w:p w14:paraId="55BA6892" w14:textId="77777777" w:rsidR="004A5C18" w:rsidRPr="00F94BE6" w:rsidRDefault="004A5C18" w:rsidP="00F94BE6">
      <w:pPr>
        <w:spacing w:line="360" w:lineRule="auto"/>
        <w:rPr>
          <w:rFonts w:ascii="Arial" w:hAnsi="Arial" w:cs="Arial"/>
          <w:sz w:val="22"/>
        </w:rPr>
      </w:pPr>
    </w:p>
    <w:p w14:paraId="6B4A8CB1" w14:textId="77777777" w:rsidR="004A5C18" w:rsidRPr="00F94BE6" w:rsidRDefault="004A5C18" w:rsidP="00F94BE6">
      <w:pPr>
        <w:spacing w:line="360" w:lineRule="auto"/>
        <w:rPr>
          <w:rFonts w:ascii="Arial" w:hAnsi="Arial" w:cs="Arial"/>
          <w:sz w:val="22"/>
        </w:rPr>
      </w:pPr>
      <w:r w:rsidRPr="00F94BE6">
        <w:rPr>
          <w:rFonts w:ascii="Arial" w:hAnsi="Arial" w:cs="Arial"/>
          <w:sz w:val="22"/>
        </w:rPr>
        <w:t xml:space="preserve">McCormack, B. and McCance, T. (2017) </w:t>
      </w:r>
      <w:r w:rsidRPr="00F94BE6">
        <w:rPr>
          <w:rFonts w:ascii="Arial" w:hAnsi="Arial" w:cs="Arial"/>
          <w:i/>
          <w:iCs/>
          <w:sz w:val="22"/>
        </w:rPr>
        <w:t>Person-centred practice in nursing and health care: theory and practice</w:t>
      </w:r>
      <w:r w:rsidRPr="00F94BE6">
        <w:rPr>
          <w:rFonts w:ascii="Arial" w:hAnsi="Arial" w:cs="Arial"/>
          <w:sz w:val="22"/>
        </w:rPr>
        <w:t xml:space="preserve">. 2nd </w:t>
      </w:r>
      <w:proofErr w:type="spellStart"/>
      <w:r w:rsidRPr="00F94BE6">
        <w:rPr>
          <w:rFonts w:ascii="Arial" w:hAnsi="Arial" w:cs="Arial"/>
          <w:sz w:val="22"/>
        </w:rPr>
        <w:t>edn</w:t>
      </w:r>
      <w:proofErr w:type="spellEnd"/>
      <w:r w:rsidRPr="00F94BE6">
        <w:rPr>
          <w:rFonts w:ascii="Arial" w:hAnsi="Arial" w:cs="Arial"/>
          <w:sz w:val="22"/>
        </w:rPr>
        <w:t xml:space="preserve">. Oxford: Wiley-Blackwell. Available at: </w:t>
      </w:r>
      <w:hyperlink r:id="rId12" w:history="1">
        <w:r w:rsidRPr="00F94BE6">
          <w:rPr>
            <w:rStyle w:val="Hyperlink"/>
            <w:rFonts w:ascii="Arial" w:hAnsi="Arial" w:cs="Arial"/>
            <w:sz w:val="22"/>
          </w:rPr>
          <w:t>https://www.wiley.com/engb/Person+Centred+Practice+in+Nursing+and+Health+Care%3A+Theory+and+Practice%2C+2nd+Edition-p-9781118990579</w:t>
        </w:r>
      </w:hyperlink>
      <w:r w:rsidRPr="00F94BE6">
        <w:rPr>
          <w:rFonts w:ascii="Arial" w:hAnsi="Arial" w:cs="Arial"/>
          <w:sz w:val="22"/>
        </w:rPr>
        <w:t xml:space="preserve"> (Accessed: 9 April 2026).</w:t>
      </w:r>
    </w:p>
    <w:p w14:paraId="17505167" w14:textId="77777777" w:rsidR="006E1B1C" w:rsidRPr="00F94BE6" w:rsidRDefault="006E1B1C" w:rsidP="00F94BE6">
      <w:pPr>
        <w:spacing w:line="360" w:lineRule="auto"/>
        <w:rPr>
          <w:rFonts w:ascii="Arial" w:hAnsi="Arial" w:cs="Arial"/>
          <w:sz w:val="22"/>
        </w:rPr>
      </w:pPr>
    </w:p>
    <w:p w14:paraId="2A27D7AD" w14:textId="00AFAB8A" w:rsidR="006E1B1C" w:rsidRPr="00F94BE6" w:rsidRDefault="006E1B1C" w:rsidP="00F94BE6">
      <w:pPr>
        <w:spacing w:line="360" w:lineRule="auto"/>
        <w:rPr>
          <w:rFonts w:ascii="Arial" w:hAnsi="Arial" w:cs="Arial"/>
          <w:sz w:val="22"/>
        </w:rPr>
      </w:pPr>
      <w:r w:rsidRPr="00F94BE6">
        <w:rPr>
          <w:rFonts w:ascii="Arial" w:hAnsi="Arial" w:cs="Arial"/>
          <w:sz w:val="22"/>
        </w:rPr>
        <w:t xml:space="preserve">McKevitt, C. et al. (2011) ‘Self-reported long-term needs after stroke’, </w:t>
      </w:r>
      <w:r w:rsidRPr="00F94BE6">
        <w:rPr>
          <w:rFonts w:ascii="Arial" w:hAnsi="Arial" w:cs="Arial"/>
          <w:i/>
          <w:iCs/>
          <w:sz w:val="22"/>
        </w:rPr>
        <w:t>Stroke</w:t>
      </w:r>
      <w:r w:rsidRPr="00F94BE6">
        <w:rPr>
          <w:rFonts w:ascii="Arial" w:hAnsi="Arial" w:cs="Arial"/>
          <w:sz w:val="22"/>
        </w:rPr>
        <w:t>, 42(5), pp. 1398–1403. Available at: https://doi.org/10.1161/STROKEAHA.110.598839</w:t>
      </w:r>
      <w:r w:rsidRPr="00F94BE6">
        <w:rPr>
          <w:rFonts w:ascii="Segoe UI Symbol" w:hAnsi="Segoe UI Symbol" w:cs="Segoe UI Symbol"/>
          <w:sz w:val="22"/>
        </w:rPr>
        <w:t>⁠</w:t>
      </w:r>
      <w:r w:rsidR="00D81CD6" w:rsidRPr="00F94BE6">
        <w:rPr>
          <w:rFonts w:ascii="Arial" w:hAnsi="Arial" w:cs="Arial"/>
          <w:sz w:val="22"/>
        </w:rPr>
        <w:t xml:space="preserve"> </w:t>
      </w:r>
      <w:r w:rsidRPr="00F94BE6">
        <w:rPr>
          <w:rFonts w:ascii="Arial" w:hAnsi="Arial" w:cs="Arial"/>
          <w:sz w:val="22"/>
        </w:rPr>
        <w:t>(Accessed: 9 April 2026).</w:t>
      </w:r>
    </w:p>
    <w:p w14:paraId="26045278" w14:textId="77777777" w:rsidR="004A5C18" w:rsidRPr="00F94BE6" w:rsidRDefault="004A5C18" w:rsidP="00F94BE6">
      <w:pPr>
        <w:spacing w:line="360" w:lineRule="auto"/>
        <w:rPr>
          <w:rFonts w:ascii="Arial" w:hAnsi="Arial" w:cs="Arial"/>
          <w:sz w:val="22"/>
        </w:rPr>
      </w:pPr>
    </w:p>
    <w:p w14:paraId="0EDC9C4A" w14:textId="77777777" w:rsidR="004A5C18" w:rsidRPr="00F94BE6" w:rsidRDefault="004A5C18" w:rsidP="00F94BE6">
      <w:pPr>
        <w:spacing w:line="360" w:lineRule="auto"/>
        <w:rPr>
          <w:rFonts w:ascii="Arial" w:hAnsi="Arial" w:cs="Arial"/>
          <w:sz w:val="22"/>
        </w:rPr>
      </w:pPr>
      <w:r w:rsidRPr="00F94BE6">
        <w:rPr>
          <w:rFonts w:ascii="Arial" w:hAnsi="Arial" w:cs="Arial"/>
          <w:sz w:val="22"/>
        </w:rPr>
        <w:t xml:space="preserve">National Institute for Health and Care Excellence (2021) </w:t>
      </w:r>
      <w:r w:rsidRPr="00F94BE6">
        <w:rPr>
          <w:rFonts w:ascii="Arial" w:hAnsi="Arial" w:cs="Arial"/>
          <w:i/>
          <w:iCs/>
          <w:sz w:val="22"/>
        </w:rPr>
        <w:t>Shared decision making</w:t>
      </w:r>
      <w:r w:rsidRPr="00F94BE6">
        <w:rPr>
          <w:rFonts w:ascii="Arial" w:hAnsi="Arial" w:cs="Arial"/>
          <w:sz w:val="22"/>
        </w:rPr>
        <w:t xml:space="preserve">. Available at: </w:t>
      </w:r>
      <w:hyperlink r:id="rId13" w:history="1">
        <w:r w:rsidRPr="00F94BE6">
          <w:rPr>
            <w:rStyle w:val="Hyperlink"/>
            <w:rFonts w:ascii="Arial" w:hAnsi="Arial" w:cs="Arial"/>
            <w:sz w:val="22"/>
          </w:rPr>
          <w:t>https://www.nice.org.uk/guidance/ng197</w:t>
        </w:r>
      </w:hyperlink>
      <w:r w:rsidRPr="00F94BE6">
        <w:rPr>
          <w:rFonts w:ascii="Arial" w:hAnsi="Arial" w:cs="Arial"/>
          <w:sz w:val="22"/>
        </w:rPr>
        <w:t xml:space="preserve"> (Accessed: 9 April 2026).</w:t>
      </w:r>
    </w:p>
    <w:p w14:paraId="03B9D9FA" w14:textId="77777777" w:rsidR="00D97EBD" w:rsidRPr="00F94BE6" w:rsidRDefault="00D97EBD" w:rsidP="00F94BE6">
      <w:pPr>
        <w:spacing w:line="360" w:lineRule="auto"/>
        <w:rPr>
          <w:rFonts w:ascii="Arial" w:hAnsi="Arial" w:cs="Arial"/>
          <w:sz w:val="22"/>
        </w:rPr>
      </w:pPr>
    </w:p>
    <w:p w14:paraId="5B751D45" w14:textId="5BE04CAE" w:rsidR="00964FDE" w:rsidRPr="00F94BE6" w:rsidRDefault="00964FDE" w:rsidP="00F94BE6">
      <w:pPr>
        <w:spacing w:line="360" w:lineRule="auto"/>
        <w:rPr>
          <w:rFonts w:ascii="Arial" w:hAnsi="Arial" w:cs="Arial"/>
          <w:sz w:val="22"/>
        </w:rPr>
      </w:pPr>
      <w:r w:rsidRPr="00F94BE6">
        <w:rPr>
          <w:rFonts w:ascii="Arial" w:hAnsi="Arial" w:cs="Arial"/>
          <w:sz w:val="22"/>
        </w:rPr>
        <w:lastRenderedPageBreak/>
        <w:t xml:space="preserve">NHS England (2018) </w:t>
      </w:r>
      <w:r w:rsidRPr="00F94BE6">
        <w:rPr>
          <w:rFonts w:ascii="Arial" w:hAnsi="Arial" w:cs="Arial"/>
          <w:i/>
          <w:iCs/>
          <w:sz w:val="22"/>
        </w:rPr>
        <w:t>Improving language access in the NHS</w:t>
      </w:r>
      <w:r w:rsidRPr="00F94BE6">
        <w:rPr>
          <w:rFonts w:ascii="Arial" w:hAnsi="Arial" w:cs="Arial"/>
          <w:sz w:val="22"/>
        </w:rPr>
        <w:t>. Available at: https://www.england.nhs.uk/publication/guidance-for-commissioners-interpreting-and-translation-services-in-primary-care/</w:t>
      </w:r>
      <w:r w:rsidRPr="00F94BE6">
        <w:rPr>
          <w:rFonts w:ascii="Segoe UI Symbol" w:hAnsi="Segoe UI Symbol" w:cs="Segoe UI Symbol"/>
          <w:sz w:val="22"/>
        </w:rPr>
        <w:t>⁠</w:t>
      </w:r>
      <w:r w:rsidRPr="00F94BE6">
        <w:rPr>
          <w:rFonts w:ascii="Arial" w:hAnsi="Arial" w:cs="Arial"/>
          <w:sz w:val="22"/>
        </w:rPr>
        <w:t xml:space="preserve"> (Accessed: 9 April 2026).</w:t>
      </w:r>
    </w:p>
    <w:p w14:paraId="12127DB5" w14:textId="77777777" w:rsidR="00964FDE" w:rsidRPr="00F94BE6" w:rsidRDefault="00964FDE" w:rsidP="00F94BE6">
      <w:pPr>
        <w:spacing w:line="360" w:lineRule="auto"/>
        <w:rPr>
          <w:rFonts w:ascii="Arial" w:hAnsi="Arial" w:cs="Arial"/>
          <w:sz w:val="22"/>
        </w:rPr>
      </w:pPr>
    </w:p>
    <w:p w14:paraId="2F78649E" w14:textId="14BD509E" w:rsidR="00D97EBD" w:rsidRPr="00F94BE6" w:rsidRDefault="00964FDE" w:rsidP="00F94BE6">
      <w:pPr>
        <w:spacing w:line="360" w:lineRule="auto"/>
        <w:rPr>
          <w:rFonts w:ascii="Arial" w:hAnsi="Arial" w:cs="Arial"/>
          <w:sz w:val="22"/>
        </w:rPr>
      </w:pPr>
      <w:r w:rsidRPr="00F94BE6">
        <w:rPr>
          <w:rFonts w:ascii="Arial" w:hAnsi="Arial" w:cs="Arial"/>
          <w:sz w:val="22"/>
        </w:rPr>
        <w:t>NHS England (2019</w:t>
      </w:r>
      <w:r w:rsidRPr="00F94BE6">
        <w:rPr>
          <w:rFonts w:ascii="Arial" w:hAnsi="Arial" w:cs="Arial"/>
          <w:i/>
          <w:iCs/>
          <w:sz w:val="22"/>
        </w:rPr>
        <w:t>) The NHS Patient Safety Strategy: Safer culture, safer systems, safer patients</w:t>
      </w:r>
      <w:r w:rsidRPr="00F94BE6">
        <w:rPr>
          <w:rFonts w:ascii="Arial" w:hAnsi="Arial" w:cs="Arial"/>
          <w:sz w:val="22"/>
        </w:rPr>
        <w:t>. Available at: https://www.england.nhs.uk/patient-safety/the-nhs-patient-safety-strategy/</w:t>
      </w:r>
      <w:r w:rsidRPr="00F94BE6">
        <w:rPr>
          <w:rFonts w:ascii="Segoe UI Symbol" w:hAnsi="Segoe UI Symbol" w:cs="Segoe UI Symbol"/>
          <w:sz w:val="22"/>
        </w:rPr>
        <w:t>⁠</w:t>
      </w:r>
      <w:r w:rsidRPr="00F94BE6">
        <w:rPr>
          <w:rFonts w:ascii="Arial" w:hAnsi="Arial" w:cs="Arial"/>
          <w:sz w:val="22"/>
        </w:rPr>
        <w:t xml:space="preserve"> (Accessed: 9 April 2026).</w:t>
      </w:r>
    </w:p>
    <w:p w14:paraId="7C840B67" w14:textId="77777777" w:rsidR="00964FDE" w:rsidRPr="00F94BE6" w:rsidRDefault="00964FDE" w:rsidP="00F94BE6">
      <w:pPr>
        <w:spacing w:line="360" w:lineRule="auto"/>
        <w:rPr>
          <w:rFonts w:ascii="Arial" w:hAnsi="Arial" w:cs="Arial"/>
          <w:sz w:val="22"/>
        </w:rPr>
      </w:pPr>
    </w:p>
    <w:p w14:paraId="71F28128" w14:textId="77777777" w:rsidR="00CD0CAF" w:rsidRPr="00F94BE6" w:rsidRDefault="00CD0CAF" w:rsidP="00F94BE6">
      <w:pPr>
        <w:spacing w:line="360" w:lineRule="auto"/>
        <w:rPr>
          <w:rFonts w:ascii="Arial" w:hAnsi="Arial" w:cs="Arial"/>
          <w:sz w:val="22"/>
        </w:rPr>
      </w:pPr>
      <w:r w:rsidRPr="00F94BE6">
        <w:rPr>
          <w:rFonts w:ascii="Arial" w:hAnsi="Arial" w:cs="Arial"/>
          <w:sz w:val="22"/>
        </w:rPr>
        <w:t xml:space="preserve">Nursing and Midwifery Council (2018) </w:t>
      </w:r>
      <w:r w:rsidRPr="00F94BE6">
        <w:rPr>
          <w:rFonts w:ascii="Arial" w:hAnsi="Arial" w:cs="Arial"/>
          <w:i/>
          <w:iCs/>
          <w:sz w:val="22"/>
        </w:rPr>
        <w:t>The Code:</w:t>
      </w:r>
      <w:r w:rsidRPr="00F94BE6">
        <w:rPr>
          <w:rFonts w:ascii="Arial" w:hAnsi="Arial" w:cs="Arial"/>
          <w:sz w:val="22"/>
        </w:rPr>
        <w:t xml:space="preserve"> </w:t>
      </w:r>
      <w:r w:rsidRPr="00F94BE6">
        <w:rPr>
          <w:rFonts w:ascii="Arial" w:hAnsi="Arial" w:cs="Arial"/>
          <w:i/>
          <w:iCs/>
          <w:sz w:val="22"/>
        </w:rPr>
        <w:t>professional standards of practice and behaviour for nurses, midwives and nursing associates</w:t>
      </w:r>
      <w:r w:rsidRPr="00F94BE6">
        <w:rPr>
          <w:rFonts w:ascii="Arial" w:hAnsi="Arial" w:cs="Arial"/>
          <w:sz w:val="22"/>
        </w:rPr>
        <w:t xml:space="preserve">. Available at: </w:t>
      </w:r>
      <w:hyperlink r:id="rId14" w:history="1">
        <w:r w:rsidRPr="00F94BE6">
          <w:rPr>
            <w:rStyle w:val="Hyperlink"/>
            <w:rFonts w:ascii="Arial" w:hAnsi="Arial" w:cs="Arial"/>
            <w:sz w:val="22"/>
          </w:rPr>
          <w:t>https://www.nmc.org.uk/standards/code/</w:t>
        </w:r>
      </w:hyperlink>
      <w:r w:rsidRPr="00F94BE6">
        <w:rPr>
          <w:rFonts w:ascii="Arial" w:hAnsi="Arial" w:cs="Arial"/>
          <w:sz w:val="22"/>
        </w:rPr>
        <w:t xml:space="preserve"> (Accessed: 9 April 2026).</w:t>
      </w:r>
    </w:p>
    <w:p w14:paraId="7F51C028" w14:textId="77777777" w:rsidR="00CD0CAF" w:rsidRPr="00F94BE6" w:rsidRDefault="00CD0CAF" w:rsidP="00F94BE6">
      <w:pPr>
        <w:spacing w:line="360" w:lineRule="auto"/>
        <w:rPr>
          <w:rFonts w:ascii="Arial" w:hAnsi="Arial" w:cs="Arial"/>
          <w:sz w:val="22"/>
        </w:rPr>
      </w:pPr>
    </w:p>
    <w:p w14:paraId="7E45BCA2" w14:textId="77777777" w:rsidR="00CD0CAF" w:rsidRPr="00F94BE6" w:rsidRDefault="00CD0CAF" w:rsidP="00F94BE6">
      <w:pPr>
        <w:spacing w:line="360" w:lineRule="auto"/>
        <w:rPr>
          <w:rFonts w:ascii="Arial" w:hAnsi="Arial" w:cs="Arial"/>
          <w:sz w:val="22"/>
        </w:rPr>
      </w:pPr>
      <w:r w:rsidRPr="00F94BE6">
        <w:rPr>
          <w:rFonts w:ascii="Arial" w:hAnsi="Arial" w:cs="Arial"/>
          <w:sz w:val="22"/>
        </w:rPr>
        <w:t xml:space="preserve">Reason, J. (2000) ‘Human error: models and management’, </w:t>
      </w:r>
      <w:r w:rsidRPr="00F94BE6">
        <w:rPr>
          <w:rFonts w:ascii="Arial" w:hAnsi="Arial" w:cs="Arial"/>
          <w:i/>
          <w:iCs/>
          <w:sz w:val="22"/>
        </w:rPr>
        <w:t>BMJ</w:t>
      </w:r>
      <w:r w:rsidRPr="00F94BE6">
        <w:rPr>
          <w:rFonts w:ascii="Arial" w:hAnsi="Arial" w:cs="Arial"/>
          <w:sz w:val="22"/>
        </w:rPr>
        <w:t xml:space="preserve">, 320 (7237), pp. 768–770. </w:t>
      </w:r>
      <w:hyperlink r:id="rId15" w:history="1">
        <w:r w:rsidRPr="00F94BE6">
          <w:rPr>
            <w:rStyle w:val="Hyperlink"/>
            <w:rFonts w:ascii="Arial" w:hAnsi="Arial" w:cs="Arial"/>
            <w:sz w:val="22"/>
          </w:rPr>
          <w:t>https://doi.org/10.1136/bmj.320.7237.768</w:t>
        </w:r>
      </w:hyperlink>
    </w:p>
    <w:p w14:paraId="546287AA" w14:textId="77777777" w:rsidR="00CD0CAF" w:rsidRPr="00F94BE6" w:rsidRDefault="00CD0CAF" w:rsidP="00F94BE6">
      <w:pPr>
        <w:spacing w:line="360" w:lineRule="auto"/>
        <w:rPr>
          <w:rFonts w:ascii="Arial" w:hAnsi="Arial" w:cs="Arial"/>
          <w:sz w:val="22"/>
        </w:rPr>
      </w:pPr>
      <w:r w:rsidRPr="00F94BE6">
        <w:rPr>
          <w:rFonts w:ascii="Arial" w:hAnsi="Arial" w:cs="Arial"/>
          <w:sz w:val="22"/>
        </w:rPr>
        <w:t> </w:t>
      </w:r>
    </w:p>
    <w:p w14:paraId="62FB657D" w14:textId="77777777" w:rsidR="00CD0CAF" w:rsidRPr="00F94BE6" w:rsidRDefault="00CD0CAF" w:rsidP="00F94BE6">
      <w:pPr>
        <w:spacing w:line="360" w:lineRule="auto"/>
        <w:rPr>
          <w:rFonts w:ascii="Arial" w:hAnsi="Arial" w:cs="Arial"/>
          <w:sz w:val="22"/>
        </w:rPr>
      </w:pPr>
      <w:r w:rsidRPr="00F94BE6">
        <w:rPr>
          <w:rFonts w:ascii="Arial" w:hAnsi="Arial" w:cs="Arial"/>
          <w:sz w:val="22"/>
        </w:rPr>
        <w:t xml:space="preserve">Shannon, C.E. and Weaver, W. (1949) </w:t>
      </w:r>
      <w:r w:rsidRPr="00F94BE6">
        <w:rPr>
          <w:rFonts w:ascii="Arial" w:hAnsi="Arial" w:cs="Arial"/>
          <w:i/>
          <w:iCs/>
          <w:sz w:val="22"/>
        </w:rPr>
        <w:t>The mathematical theory of communication</w:t>
      </w:r>
      <w:r w:rsidRPr="00F94BE6">
        <w:rPr>
          <w:rFonts w:ascii="Arial" w:hAnsi="Arial" w:cs="Arial"/>
          <w:sz w:val="22"/>
        </w:rPr>
        <w:t xml:space="preserve">. Urbana: University of Illinois Press. Summary available at: </w:t>
      </w:r>
      <w:hyperlink r:id="rId16" w:history="1">
        <w:r w:rsidRPr="00F94BE6">
          <w:rPr>
            <w:rStyle w:val="Hyperlink"/>
            <w:rFonts w:ascii="Arial" w:hAnsi="Arial" w:cs="Arial"/>
            <w:sz w:val="22"/>
          </w:rPr>
          <w:t>https://plato.stanford.edu/entries/information/</w:t>
        </w:r>
      </w:hyperlink>
      <w:r w:rsidRPr="00F94BE6">
        <w:rPr>
          <w:rFonts w:ascii="Arial" w:hAnsi="Arial" w:cs="Arial"/>
          <w:sz w:val="22"/>
        </w:rPr>
        <w:t xml:space="preserve"> (Accessed: 9 April 2026).</w:t>
      </w:r>
    </w:p>
    <w:p w14:paraId="49E7661C" w14:textId="77777777" w:rsidR="00D97EBD" w:rsidRPr="00F94BE6" w:rsidRDefault="00D97EBD" w:rsidP="00F94BE6">
      <w:pPr>
        <w:spacing w:line="360" w:lineRule="auto"/>
        <w:rPr>
          <w:rFonts w:ascii="Arial" w:hAnsi="Arial" w:cs="Arial"/>
          <w:sz w:val="22"/>
        </w:rPr>
      </w:pPr>
    </w:p>
    <w:p w14:paraId="50F99F3F" w14:textId="77777777" w:rsidR="006A6912" w:rsidRPr="00F94BE6" w:rsidRDefault="006A6912" w:rsidP="00F94BE6">
      <w:pPr>
        <w:spacing w:line="360" w:lineRule="auto"/>
        <w:rPr>
          <w:rFonts w:ascii="Arial" w:hAnsi="Arial" w:cs="Arial"/>
          <w:sz w:val="22"/>
        </w:rPr>
      </w:pPr>
      <w:r w:rsidRPr="00F94BE6">
        <w:rPr>
          <w:rFonts w:ascii="Arial" w:hAnsi="Arial" w:cs="Arial"/>
          <w:sz w:val="22"/>
        </w:rPr>
        <w:t xml:space="preserve">Vincent, C. (2010) </w:t>
      </w:r>
      <w:r w:rsidRPr="00F94BE6">
        <w:rPr>
          <w:rFonts w:ascii="Arial" w:hAnsi="Arial" w:cs="Arial"/>
          <w:i/>
          <w:iCs/>
          <w:sz w:val="22"/>
        </w:rPr>
        <w:t>Patient safety</w:t>
      </w:r>
      <w:r w:rsidRPr="00F94BE6">
        <w:rPr>
          <w:rFonts w:ascii="Arial" w:hAnsi="Arial" w:cs="Arial"/>
          <w:sz w:val="22"/>
        </w:rPr>
        <w:t xml:space="preserve">. 2nd </w:t>
      </w:r>
      <w:proofErr w:type="spellStart"/>
      <w:r w:rsidRPr="00F94BE6">
        <w:rPr>
          <w:rFonts w:ascii="Arial" w:hAnsi="Arial" w:cs="Arial"/>
          <w:sz w:val="22"/>
        </w:rPr>
        <w:t>edn</w:t>
      </w:r>
      <w:proofErr w:type="spellEnd"/>
      <w:r w:rsidRPr="00F94BE6">
        <w:rPr>
          <w:rFonts w:ascii="Arial" w:hAnsi="Arial" w:cs="Arial"/>
          <w:sz w:val="22"/>
        </w:rPr>
        <w:t>. Oxford: Wiley-Blackwell.</w:t>
      </w:r>
    </w:p>
    <w:p w14:paraId="78531A8F" w14:textId="77777777" w:rsidR="00D97EBD" w:rsidRPr="00F94BE6" w:rsidRDefault="00D97EBD" w:rsidP="00F94BE6">
      <w:pPr>
        <w:spacing w:line="360" w:lineRule="auto"/>
        <w:rPr>
          <w:rFonts w:ascii="Arial" w:hAnsi="Arial" w:cs="Arial"/>
          <w:sz w:val="22"/>
        </w:rPr>
      </w:pPr>
    </w:p>
    <w:p w14:paraId="1041B5A3" w14:textId="77777777" w:rsidR="00E9149F" w:rsidRPr="00F94BE6" w:rsidRDefault="00E9149F" w:rsidP="00F94BE6">
      <w:pPr>
        <w:spacing w:line="360" w:lineRule="auto"/>
        <w:rPr>
          <w:rFonts w:ascii="Arial" w:hAnsi="Arial" w:cs="Arial"/>
          <w:sz w:val="22"/>
        </w:rPr>
      </w:pPr>
      <w:r w:rsidRPr="00F94BE6">
        <w:rPr>
          <w:rFonts w:ascii="Arial" w:hAnsi="Arial" w:cs="Arial"/>
          <w:sz w:val="22"/>
        </w:rPr>
        <w:t xml:space="preserve">UK Government (2010) </w:t>
      </w:r>
      <w:r w:rsidRPr="00F94BE6">
        <w:rPr>
          <w:rFonts w:ascii="Arial" w:hAnsi="Arial" w:cs="Arial"/>
          <w:i/>
          <w:iCs/>
          <w:sz w:val="22"/>
        </w:rPr>
        <w:t>Equality Act 2010</w:t>
      </w:r>
      <w:r w:rsidRPr="00F94BE6">
        <w:rPr>
          <w:rFonts w:ascii="Arial" w:hAnsi="Arial" w:cs="Arial"/>
          <w:sz w:val="22"/>
        </w:rPr>
        <w:t xml:space="preserve">. Available at: </w:t>
      </w:r>
      <w:hyperlink r:id="rId17" w:history="1">
        <w:r w:rsidRPr="00F94BE6">
          <w:rPr>
            <w:rStyle w:val="Hyperlink"/>
            <w:rFonts w:ascii="Arial" w:hAnsi="Arial" w:cs="Arial"/>
            <w:sz w:val="22"/>
          </w:rPr>
          <w:t>https://www.legislation.gov.uk/ukpga/2010/15/contents</w:t>
        </w:r>
      </w:hyperlink>
      <w:r w:rsidRPr="00F94BE6">
        <w:rPr>
          <w:rFonts w:ascii="Arial" w:hAnsi="Arial" w:cs="Arial"/>
          <w:sz w:val="22"/>
        </w:rPr>
        <w:t xml:space="preserve"> (Accessed: 9 April 2026).</w:t>
      </w:r>
    </w:p>
    <w:p w14:paraId="43E1F3E6" w14:textId="77777777" w:rsidR="00E9149F" w:rsidRPr="00F94BE6" w:rsidRDefault="00E9149F" w:rsidP="00F94BE6">
      <w:pPr>
        <w:spacing w:line="360" w:lineRule="auto"/>
        <w:rPr>
          <w:rFonts w:ascii="Arial" w:hAnsi="Arial" w:cs="Arial"/>
          <w:sz w:val="22"/>
        </w:rPr>
      </w:pPr>
    </w:p>
    <w:p w14:paraId="4E56958C" w14:textId="77777777" w:rsidR="00E9149F" w:rsidRPr="00F94BE6" w:rsidRDefault="00E9149F" w:rsidP="00F94BE6">
      <w:pPr>
        <w:spacing w:line="360" w:lineRule="auto"/>
        <w:rPr>
          <w:rFonts w:ascii="Arial" w:hAnsi="Arial" w:cs="Arial"/>
          <w:sz w:val="22"/>
        </w:rPr>
      </w:pPr>
      <w:r w:rsidRPr="00F94BE6">
        <w:rPr>
          <w:rFonts w:ascii="Arial" w:hAnsi="Arial" w:cs="Arial"/>
          <w:sz w:val="22"/>
        </w:rPr>
        <w:t xml:space="preserve">UK Government (2018) </w:t>
      </w:r>
      <w:r w:rsidRPr="00F94BE6">
        <w:rPr>
          <w:rFonts w:ascii="Arial" w:hAnsi="Arial" w:cs="Arial"/>
          <w:i/>
          <w:iCs/>
          <w:sz w:val="22"/>
        </w:rPr>
        <w:t>Data Protection Act 2018</w:t>
      </w:r>
      <w:r w:rsidRPr="00F94BE6">
        <w:rPr>
          <w:rFonts w:ascii="Arial" w:hAnsi="Arial" w:cs="Arial"/>
          <w:sz w:val="22"/>
        </w:rPr>
        <w:t xml:space="preserve">. Available at: </w:t>
      </w:r>
      <w:hyperlink r:id="rId18" w:history="1">
        <w:r w:rsidRPr="00F94BE6">
          <w:rPr>
            <w:rStyle w:val="Hyperlink"/>
            <w:rFonts w:ascii="Arial" w:hAnsi="Arial" w:cs="Arial"/>
            <w:sz w:val="22"/>
          </w:rPr>
          <w:t>https://www.legislation.gov.uk/ukpga/2018/12/contents</w:t>
        </w:r>
      </w:hyperlink>
      <w:r w:rsidRPr="00F94BE6">
        <w:rPr>
          <w:rFonts w:ascii="Arial" w:hAnsi="Arial" w:cs="Arial"/>
          <w:sz w:val="22"/>
        </w:rPr>
        <w:t xml:space="preserve"> (Accessed: 9 April 2026).</w:t>
      </w:r>
    </w:p>
    <w:p w14:paraId="3B5A54E8" w14:textId="256AE0E0" w:rsidR="006A6912" w:rsidRPr="00F94BE6" w:rsidRDefault="006A6912" w:rsidP="00F94BE6">
      <w:pPr>
        <w:spacing w:line="360" w:lineRule="auto"/>
        <w:rPr>
          <w:rFonts w:ascii="Arial" w:hAnsi="Arial" w:cs="Arial"/>
          <w:sz w:val="22"/>
        </w:rPr>
      </w:pPr>
    </w:p>
    <w:sectPr w:rsidR="006A6912" w:rsidRPr="00F94BE6" w:rsidSect="00E620E7">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B3E8C1" w14:textId="77777777" w:rsidR="00AD36ED" w:rsidRDefault="00AD36ED" w:rsidP="003E4ECF">
      <w:pPr>
        <w:spacing w:after="0" w:line="240" w:lineRule="auto"/>
      </w:pPr>
      <w:r>
        <w:separator/>
      </w:r>
    </w:p>
  </w:endnote>
  <w:endnote w:type="continuationSeparator" w:id="0">
    <w:p w14:paraId="178159B1" w14:textId="77777777" w:rsidR="00AD36ED" w:rsidRDefault="00AD36ED"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75BEFA" w14:textId="77777777" w:rsidR="00AD36ED" w:rsidRDefault="00AD36ED" w:rsidP="003E4ECF">
      <w:pPr>
        <w:spacing w:after="0" w:line="240" w:lineRule="auto"/>
      </w:pPr>
      <w:r>
        <w:separator/>
      </w:r>
    </w:p>
  </w:footnote>
  <w:footnote w:type="continuationSeparator" w:id="0">
    <w:p w14:paraId="723C009B" w14:textId="77777777" w:rsidR="00AD36ED" w:rsidRDefault="00AD36ED"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E3904BF"/>
    <w:multiLevelType w:val="hybridMultilevel"/>
    <w:tmpl w:val="04023B1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723519C6"/>
    <w:multiLevelType w:val="hybridMultilevel"/>
    <w:tmpl w:val="6888A5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039652">
    <w:abstractNumId w:val="0"/>
  </w:num>
  <w:num w:numId="2" w16cid:durableId="8479122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33907"/>
    <w:rsid w:val="00044E6A"/>
    <w:rsid w:val="000572BF"/>
    <w:rsid w:val="00074402"/>
    <w:rsid w:val="000A57FD"/>
    <w:rsid w:val="000A5BE9"/>
    <w:rsid w:val="001B7D77"/>
    <w:rsid w:val="001D7C03"/>
    <w:rsid w:val="001F01F4"/>
    <w:rsid w:val="001F519C"/>
    <w:rsid w:val="001F7960"/>
    <w:rsid w:val="00205397"/>
    <w:rsid w:val="00216C85"/>
    <w:rsid w:val="00232070"/>
    <w:rsid w:val="0026393A"/>
    <w:rsid w:val="0027113D"/>
    <w:rsid w:val="00273EDD"/>
    <w:rsid w:val="00283AC8"/>
    <w:rsid w:val="00295090"/>
    <w:rsid w:val="002B0314"/>
    <w:rsid w:val="002C3965"/>
    <w:rsid w:val="00321C4C"/>
    <w:rsid w:val="003914AF"/>
    <w:rsid w:val="00392BBC"/>
    <w:rsid w:val="003C2561"/>
    <w:rsid w:val="003D35BE"/>
    <w:rsid w:val="003D47CB"/>
    <w:rsid w:val="003E4ECF"/>
    <w:rsid w:val="003E7E71"/>
    <w:rsid w:val="004065BC"/>
    <w:rsid w:val="00425853"/>
    <w:rsid w:val="00426BBA"/>
    <w:rsid w:val="00436C27"/>
    <w:rsid w:val="00437085"/>
    <w:rsid w:val="00496EB7"/>
    <w:rsid w:val="004A5C18"/>
    <w:rsid w:val="004A736E"/>
    <w:rsid w:val="004C0946"/>
    <w:rsid w:val="004D45BD"/>
    <w:rsid w:val="004D761A"/>
    <w:rsid w:val="005042F0"/>
    <w:rsid w:val="00517A37"/>
    <w:rsid w:val="00521910"/>
    <w:rsid w:val="00571E54"/>
    <w:rsid w:val="0058235B"/>
    <w:rsid w:val="005B60FF"/>
    <w:rsid w:val="005C5D7F"/>
    <w:rsid w:val="005F0694"/>
    <w:rsid w:val="006103A3"/>
    <w:rsid w:val="006206A8"/>
    <w:rsid w:val="006925AA"/>
    <w:rsid w:val="006A6912"/>
    <w:rsid w:val="006C1D41"/>
    <w:rsid w:val="006E1B1C"/>
    <w:rsid w:val="006F04BF"/>
    <w:rsid w:val="00725177"/>
    <w:rsid w:val="00774716"/>
    <w:rsid w:val="00794400"/>
    <w:rsid w:val="007A1B8D"/>
    <w:rsid w:val="007A7310"/>
    <w:rsid w:val="007B6A9C"/>
    <w:rsid w:val="007E1296"/>
    <w:rsid w:val="007E524E"/>
    <w:rsid w:val="00800C3D"/>
    <w:rsid w:val="00805218"/>
    <w:rsid w:val="00814A9E"/>
    <w:rsid w:val="00857F48"/>
    <w:rsid w:val="008E3943"/>
    <w:rsid w:val="0090040D"/>
    <w:rsid w:val="00901020"/>
    <w:rsid w:val="00936A27"/>
    <w:rsid w:val="0095627C"/>
    <w:rsid w:val="00964FDE"/>
    <w:rsid w:val="009B54EC"/>
    <w:rsid w:val="009C4324"/>
    <w:rsid w:val="009D052C"/>
    <w:rsid w:val="009D1D1E"/>
    <w:rsid w:val="009E3622"/>
    <w:rsid w:val="009F0300"/>
    <w:rsid w:val="00A035FD"/>
    <w:rsid w:val="00A75788"/>
    <w:rsid w:val="00A936DD"/>
    <w:rsid w:val="00A958C1"/>
    <w:rsid w:val="00AD23A0"/>
    <w:rsid w:val="00AD36ED"/>
    <w:rsid w:val="00B77094"/>
    <w:rsid w:val="00B85BC7"/>
    <w:rsid w:val="00B87E75"/>
    <w:rsid w:val="00BC1442"/>
    <w:rsid w:val="00C35641"/>
    <w:rsid w:val="00C35B03"/>
    <w:rsid w:val="00C65803"/>
    <w:rsid w:val="00C84626"/>
    <w:rsid w:val="00CD0CAF"/>
    <w:rsid w:val="00CD33A8"/>
    <w:rsid w:val="00CE0094"/>
    <w:rsid w:val="00CE7163"/>
    <w:rsid w:val="00D1089A"/>
    <w:rsid w:val="00D1737E"/>
    <w:rsid w:val="00D25B85"/>
    <w:rsid w:val="00D47AEE"/>
    <w:rsid w:val="00D52CAA"/>
    <w:rsid w:val="00D81CD6"/>
    <w:rsid w:val="00D84B4A"/>
    <w:rsid w:val="00D97EBD"/>
    <w:rsid w:val="00DC0E57"/>
    <w:rsid w:val="00DD533F"/>
    <w:rsid w:val="00DE1ACD"/>
    <w:rsid w:val="00DF405B"/>
    <w:rsid w:val="00E259E9"/>
    <w:rsid w:val="00E569FD"/>
    <w:rsid w:val="00E620E7"/>
    <w:rsid w:val="00E9149F"/>
    <w:rsid w:val="00EC5AB9"/>
    <w:rsid w:val="00EE7729"/>
    <w:rsid w:val="00F00C1E"/>
    <w:rsid w:val="00F30F39"/>
    <w:rsid w:val="00F6376A"/>
    <w:rsid w:val="00F66E1B"/>
    <w:rsid w:val="00F7190B"/>
    <w:rsid w:val="00F94BE6"/>
    <w:rsid w:val="00F978A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571E54"/>
    <w:pPr>
      <w:keepNext/>
      <w:keepLines/>
      <w:spacing w:before="240" w:after="0" w:line="360" w:lineRule="auto"/>
      <w:outlineLvl w:val="0"/>
    </w:pPr>
    <w:rPr>
      <w:rFonts w:ascii="Arial" w:eastAsiaTheme="majorEastAsia" w:hAnsi="Arial"/>
      <w:b/>
      <w:sz w:val="2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1E54"/>
    <w:rPr>
      <w:rFonts w:ascii="Arial" w:eastAsiaTheme="majorEastAsia" w:hAnsi="Arial"/>
      <w:b/>
      <w:sz w:val="2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571E54"/>
    <w:pPr>
      <w:ind w:left="720"/>
      <w:contextualSpacing/>
    </w:pPr>
  </w:style>
  <w:style w:type="character" w:styleId="Hyperlink">
    <w:name w:val="Hyperlink"/>
    <w:basedOn w:val="DefaultParagraphFont"/>
    <w:uiPriority w:val="99"/>
    <w:unhideWhenUsed/>
    <w:rsid w:val="00F6376A"/>
    <w:rPr>
      <w:color w:val="0563C1" w:themeColor="hyperlink"/>
      <w:u w:val="single"/>
    </w:rPr>
  </w:style>
  <w:style w:type="character" w:styleId="UnresolvedMention">
    <w:name w:val="Unresolved Mention"/>
    <w:basedOn w:val="DefaultParagraphFont"/>
    <w:uiPriority w:val="99"/>
    <w:semiHidden/>
    <w:unhideWhenUsed/>
    <w:rsid w:val="00F637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nice.org.uk/guidance/ng197" TargetMode="External"/><Relationship Id="rId18" Type="http://schemas.openxmlformats.org/officeDocument/2006/relationships/hyperlink" Target="https://www.legislation.gov.uk/ukpga/2018/12/content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wiley.com/engb/Person+Centred+Practice+in+Nursing+and+Health+Care%3A+Theory+and+Practice%2C+2nd+Edition-p-9781118990579" TargetMode="External"/><Relationship Id="rId17" Type="http://schemas.openxmlformats.org/officeDocument/2006/relationships/hyperlink" Target="https://www.legislation.gov.uk/ukpga/2010/15/contents" TargetMode="External"/><Relationship Id="rId2" Type="http://schemas.openxmlformats.org/officeDocument/2006/relationships/styles" Target="styles.xml"/><Relationship Id="rId16" Type="http://schemas.openxmlformats.org/officeDocument/2006/relationships/hyperlink" Target="https://plato.stanford.edu/entries/information/"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cmillanlearning.co.uk/page/detail/Communication-Skills-for-Nursing-Practice/?K=9780230359190" TargetMode="External"/><Relationship Id="rId5" Type="http://schemas.openxmlformats.org/officeDocument/2006/relationships/footnotes" Target="footnotes.xml"/><Relationship Id="rId15" Type="http://schemas.openxmlformats.org/officeDocument/2006/relationships/hyperlink" Target="https://doi.org/10.1136/bmj.320.7237.768" TargetMode="External"/><Relationship Id="rId10" Type="http://schemas.openxmlformats.org/officeDocument/2006/relationships/hyperlink" Target="https://pubmed.ncbi.nlm.nih.gov/15838400/"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qc.org.uk/guidance-providers/notifications" TargetMode="External"/><Relationship Id="rId14" Type="http://schemas.openxmlformats.org/officeDocument/2006/relationships/hyperlink" Target="https://www.nmc.org.uk/standards/co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9</Pages>
  <Words>2121</Words>
  <Characters>12096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barbara campbell</cp:lastModifiedBy>
  <cp:revision>5</cp:revision>
  <dcterms:created xsi:type="dcterms:W3CDTF">2026-04-20T15:10:00Z</dcterms:created>
  <dcterms:modified xsi:type="dcterms:W3CDTF">2026-04-20T15:27:00Z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82220344-051f-4cb0-9048-5986b959c6da</vt:lpwstr>
  </property>
</Properties>
</file>