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BF39A" w14:textId="77777777" w:rsidR="001708BB" w:rsidRDefault="001708BB" w:rsidP="001708BB">
      <w:pPr>
        <w:rPr>
          <w:u w:val="single"/>
        </w:rPr>
      </w:pPr>
      <w:r>
        <w:rPr>
          <w:u w:val="single"/>
        </w:rPr>
        <w:t>Introduction</w:t>
      </w:r>
    </w:p>
    <w:p w14:paraId="747E6493" w14:textId="35FD97D9" w:rsidR="001708BB" w:rsidRDefault="001708BB" w:rsidP="001708BB">
      <w:pPr>
        <w:rPr>
          <w:u w:val="single"/>
        </w:rPr>
      </w:pPr>
      <w:r>
        <w:t>T</w:t>
      </w:r>
      <w:r w:rsidRPr="001708BB">
        <w:t xml:space="preserve">his poster </w:t>
      </w:r>
      <w:r>
        <w:t>examines</w:t>
      </w:r>
      <w:r>
        <w:t xml:space="preserve"> and gives definition to</w:t>
      </w:r>
      <w:r w:rsidRPr="001708BB">
        <w:t xml:space="preserve"> </w:t>
      </w:r>
      <w:r>
        <w:t>health, well-being</w:t>
      </w:r>
      <w:r w:rsidRPr="001708BB">
        <w:t xml:space="preserve"> and lifestyles</w:t>
      </w:r>
      <w:r>
        <w:t>. It</w:t>
      </w:r>
      <w:r w:rsidRPr="001708BB">
        <w:t xml:space="preserve"> explores the key factors affecting early years</w:t>
      </w:r>
      <w:r>
        <w:t xml:space="preserve"> and </w:t>
      </w:r>
      <w:r w:rsidRPr="001708BB">
        <w:t>how practitioners and policymakers can support children and their families</w:t>
      </w:r>
      <w:r>
        <w:t xml:space="preserve"> </w:t>
      </w:r>
      <w:r w:rsidR="00D1443A">
        <w:t xml:space="preserve">through </w:t>
      </w:r>
      <w:r>
        <w:t>promoting positive lifestyle choices</w:t>
      </w:r>
      <w:r w:rsidRPr="001708BB">
        <w:t xml:space="preserve"> for better health</w:t>
      </w:r>
      <w:r>
        <w:t xml:space="preserve"> and well-being</w:t>
      </w:r>
      <w:r w:rsidRPr="001708BB">
        <w:t xml:space="preserve"> </w:t>
      </w:r>
      <w:r>
        <w:t>outcomes.</w:t>
      </w:r>
    </w:p>
    <w:p w14:paraId="05F328E2" w14:textId="2C3D207B" w:rsidR="001708BB" w:rsidRPr="001708BB" w:rsidRDefault="001708BB" w:rsidP="001708BB">
      <w:pPr>
        <w:rPr>
          <w:u w:val="single"/>
        </w:rPr>
      </w:pPr>
      <w:r w:rsidRPr="001708BB">
        <w:rPr>
          <w:u w:val="single"/>
        </w:rPr>
        <w:t>Health</w:t>
      </w:r>
    </w:p>
    <w:p w14:paraId="42914DBB" w14:textId="616BB863" w:rsidR="001708BB" w:rsidRPr="001708BB" w:rsidRDefault="001708BB" w:rsidP="001708BB">
      <w:r w:rsidRPr="001708BB">
        <w:t xml:space="preserve">Musgrave (2017) suggests that health as a concept is difficult to explain as there is no universal definition of </w:t>
      </w:r>
      <w:r w:rsidR="00D1443A">
        <w:t xml:space="preserve">what it is, this </w:t>
      </w:r>
      <w:r w:rsidRPr="001708BB">
        <w:t>can lead to different definitions due to perspective such as</w:t>
      </w:r>
      <w:r w:rsidR="00D1443A">
        <w:t>;</w:t>
      </w:r>
      <w:r w:rsidRPr="001708BB">
        <w:t xml:space="preserve"> how the World Health Organisation (WHO), (2025) defines health as more than just the absence of disease or infirmity</w:t>
      </w:r>
      <w:r w:rsidR="00D1443A">
        <w:t>,</w:t>
      </w:r>
      <w:r w:rsidRPr="001708BB">
        <w:t xml:space="preserve"> but rather as a state of complete physical, mental and social well-being. However, Misslebrook (2014) points out as this definition clearly links health explicitly with wellbeing </w:t>
      </w:r>
      <w:r w:rsidR="00D1443A">
        <w:t xml:space="preserve">it implies </w:t>
      </w:r>
      <w:r w:rsidRPr="001708BB">
        <w:t xml:space="preserve">that health is a positive </w:t>
      </w:r>
      <w:r w:rsidR="00D1443A">
        <w:t xml:space="preserve">state </w:t>
      </w:r>
      <w:r w:rsidRPr="001708BB">
        <w:t xml:space="preserve">rather than neutral as previously implied in the medical term which defined health as an absence of illness or disease. Martino (2017) and Crinson (2007) </w:t>
      </w:r>
      <w:r w:rsidR="00D1443A">
        <w:t>disagree with the WHO’s definition as</w:t>
      </w:r>
      <w:r w:rsidRPr="001708BB">
        <w:t xml:space="preserve"> very few people have complete physical, mental and social well-being all the time it leaves the rest of the population as unhealthy. Furthermore</w:t>
      </w:r>
      <w:r w:rsidR="00D1443A">
        <w:t>,</w:t>
      </w:r>
      <w:r w:rsidRPr="001708BB">
        <w:t xml:space="preserve"> </w:t>
      </w:r>
      <w:proofErr w:type="spellStart"/>
      <w:r w:rsidRPr="001708BB">
        <w:t>Misslebrook</w:t>
      </w:r>
      <w:proofErr w:type="spellEnd"/>
      <w:r w:rsidRPr="001708BB">
        <w:t xml:space="preserve"> (2014) interprets that the WHO’s definition implies that anyone with imperfections is in need of medical intervention to achieve complete health and well-being. However, Schramme (2024) defending WHO’s definition claims critic such as Misslebrook (2014) Martino (2017) and Crinson (2007) have interpreted the word ‘complete’ as a quantitative term such as perfect rather than the qualitative meaning of a holistic account of health, featuring all three aspects of wellbeing - physical, mental, social</w:t>
      </w:r>
      <w:r w:rsidR="00D1443A">
        <w:t>,</w:t>
      </w:r>
      <w:r w:rsidRPr="001708BB">
        <w:t xml:space="preserve"> which he believes was the intention of the WHO. </w:t>
      </w:r>
    </w:p>
    <w:p w14:paraId="5B5FDAA5" w14:textId="403D8F02" w:rsidR="001708BB" w:rsidRPr="001708BB" w:rsidRDefault="001708BB" w:rsidP="001708BB">
      <w:r w:rsidRPr="001708BB">
        <w:t xml:space="preserve">Huber </w:t>
      </w:r>
      <w:r w:rsidRPr="001708BB">
        <w:rPr>
          <w:i/>
          <w:iCs/>
        </w:rPr>
        <w:t>et al</w:t>
      </w:r>
      <w:r w:rsidR="00D1443A">
        <w:rPr>
          <w:i/>
          <w:iCs/>
        </w:rPr>
        <w:t>.</w:t>
      </w:r>
      <w:r w:rsidRPr="001708BB">
        <w:t xml:space="preserve"> (2011) definition of health is the ability to adapt and to self-manage however this implies that health is an individual’s responsibility rather than a collective one. However, on this point, Martino (2017) and Crinson (2007) agree with </w:t>
      </w:r>
      <w:r w:rsidR="00D1443A">
        <w:t>t</w:t>
      </w:r>
      <w:r w:rsidRPr="001708BB">
        <w:t>he WHO’s belief that this responsible doesn’t just fall on the individual but to the community and government also. Public Health Wales (PHW), (2023) aim</w:t>
      </w:r>
      <w:r w:rsidR="00D1443A">
        <w:t>s</w:t>
      </w:r>
      <w:r w:rsidRPr="001708BB">
        <w:t xml:space="preserve"> for a healthy Wales</w:t>
      </w:r>
      <w:r w:rsidR="00D1443A">
        <w:t xml:space="preserve"> </w:t>
      </w:r>
      <w:r w:rsidRPr="001708BB">
        <w:t>where people live longer, healthy lives with equal and fair access to all things that promote good health and well-being. PHW’s long term strategy for a healthier Wales by 2035</w:t>
      </w:r>
      <w:r w:rsidR="00D1443A">
        <w:t>,</w:t>
      </w:r>
      <w:r w:rsidRPr="001708BB">
        <w:t xml:space="preserve"> consists of improving factors that are known to lead to ill health such as better education and a better homelife</w:t>
      </w:r>
      <w:r w:rsidR="00D1443A">
        <w:t xml:space="preserve">. PHW </w:t>
      </w:r>
      <w:r w:rsidRPr="001708BB">
        <w:t xml:space="preserve">statistics show </w:t>
      </w:r>
      <w:r w:rsidR="00D1443A">
        <w:t xml:space="preserve">that </w:t>
      </w:r>
      <w:r w:rsidRPr="001708BB">
        <w:t xml:space="preserve">people from the most disadvantaged areas of Wales can lose over a decade of life lived in good health </w:t>
      </w:r>
      <w:r w:rsidR="00D1443A">
        <w:t xml:space="preserve">compare to people from the least deprived areas. This, </w:t>
      </w:r>
      <w:r w:rsidRPr="001708BB">
        <w:t xml:space="preserve">if not addressed continues through generations. Other influences/ determinants of health as highlighted in </w:t>
      </w:r>
      <w:r>
        <w:t>t</w:t>
      </w:r>
      <w:r w:rsidRPr="001708BB">
        <w:t xml:space="preserve">he </w:t>
      </w:r>
      <w:r>
        <w:t xml:space="preserve"> ‘R</w:t>
      </w:r>
      <w:r w:rsidRPr="001708BB">
        <w:t>ainbow model</w:t>
      </w:r>
      <w:r>
        <w:t>’</w:t>
      </w:r>
      <w:r w:rsidRPr="001708BB">
        <w:t xml:space="preserve"> are housing, health care, unemployment, food production as well as other socio-economic, cultural and environment conditions - all of which young children have no control over</w:t>
      </w:r>
      <w:r w:rsidR="00D1443A">
        <w:t xml:space="preserve"> and rely on parents and caregivers for</w:t>
      </w:r>
      <w:r w:rsidRPr="001708BB">
        <w:t xml:space="preserve">. Rice &amp; Liamputtong (2023) identify one of the factors that can such as culture and community play a part in </w:t>
      </w:r>
      <w:r w:rsidRPr="001708BB">
        <w:lastRenderedPageBreak/>
        <w:t xml:space="preserve">an individual’s health beliefs, behaviours and how they access healthcare. Gov. uk agree stating that these factors can play a large roll in health outcomes for individuals for example; some communities and culture show preference to more traditional healing practices over modern medicines, diet habits may impact a person’s overall health and religious or spiritual belief may influence or restrict the procedures or treatment of an individual. Rice insists that understanding these factors and the impact they have is crucial for improving health equality and the outcomes for individuals. Welsh government also acknowledges that the financial cost of </w:t>
      </w:r>
      <w:r w:rsidR="00D1443A">
        <w:t xml:space="preserve">healthy food, equipment or payment for physical exercise services the cost </w:t>
      </w:r>
      <w:r w:rsidRPr="001708BB">
        <w:t>attending appointments, travel, time of work etc can also be a factor that needs to be considered for many.</w:t>
      </w:r>
      <w:r w:rsidR="00D1443A">
        <w:t xml:space="preserve"> This is confirmed by research that show life expectancy in areas of deprivation.</w:t>
      </w:r>
    </w:p>
    <w:p w14:paraId="0753D25F" w14:textId="77777777" w:rsidR="001708BB" w:rsidRPr="001708BB" w:rsidRDefault="001708BB" w:rsidP="001708BB">
      <w:r w:rsidRPr="001708BB">
        <w:t>The Rainbow model also known as the Dahlgren and Whitehead model replaced the traditional medical model for health as a framework for understanding the determinants of health. This model has been used for over 30 years and continues to be the most widely used model of its kind (Dahlgren and Whitehead, 2021). This may be due to the fact that the model shows the bigger picture of the factors that influence health rather than the traditional medical model which focused on the disease/ illness and treatment, whereas the Rainbow model holistic perspectives. It also supports and encourages multi-agency collaboration rather than the responsibility solely falling to the health sector. The rainbow model can be seen to have a common holistic approach as Bronfenbrenner’s ecological system (Dahlgren and Whitehead, 2021), which as seen in diagram includes several layers that influence a child’s development through direct and indirect interactions of relationships and environments. Dyar et al (2022) explains that both, the Rainbow model and Bronfenbrenner’s ecological system can be used by early years practitioners to better support children in a holistic manner, realising the impact that family and community have on children in their setting means that they can better involve parents /caregivers and build community engagement. (Care learning, 2024)</w:t>
      </w:r>
    </w:p>
    <w:p w14:paraId="35BA459A" w14:textId="611A1345" w:rsidR="001708BB" w:rsidRPr="001708BB" w:rsidRDefault="001708BB" w:rsidP="001708BB">
      <w:r w:rsidRPr="001708BB">
        <w:t>The Curriculum for Non-maintained Nursey Settings (Welsh government, 2024) is underpinned by the four purposes of the Curriculum for Wales, one of which is supporting children to develop as: Healthy, confident individuals who have the knowledge and skill to keep themselves physical and mentally healthy. The curriculum aims to do this through supporting holistic development</w:t>
      </w:r>
      <w:r w:rsidR="00D1443A">
        <w:t>.</w:t>
      </w:r>
    </w:p>
    <w:p w14:paraId="551FFFD0" w14:textId="507CA4C5" w:rsidR="001708BB" w:rsidRPr="001708BB" w:rsidRDefault="00D1443A" w:rsidP="001708BB">
      <w:r>
        <w:t xml:space="preserve">Under the United Nations Convention on the Rights of the Child (1989) in particular the government has a responsibility to provide basic health measures such as quality healthcare, </w:t>
      </w:r>
      <w:r w:rsidRPr="00D1443A">
        <w:t>clean water</w:t>
      </w:r>
      <w:r>
        <w:t>,</w:t>
      </w:r>
      <w:r w:rsidRPr="00D1443A">
        <w:t xml:space="preserve"> nutritious food </w:t>
      </w:r>
      <w:r>
        <w:t>and a</w:t>
      </w:r>
      <w:r w:rsidRPr="00D1443A">
        <w:t xml:space="preserve"> clean environment</w:t>
      </w:r>
      <w:r>
        <w:t xml:space="preserve"> </w:t>
      </w:r>
      <w:r w:rsidRPr="00D1443A">
        <w:t>so th</w:t>
      </w:r>
      <w:r>
        <w:t xml:space="preserve">at all </w:t>
      </w:r>
      <w:r w:rsidRPr="00D1443A">
        <w:t xml:space="preserve">children </w:t>
      </w:r>
      <w:r>
        <w:t>have the opportunity to be in</w:t>
      </w:r>
      <w:r w:rsidRPr="00D1443A">
        <w:t xml:space="preserve"> the best possible health</w:t>
      </w:r>
      <w:r>
        <w:t xml:space="preserve">. The </w:t>
      </w:r>
      <w:r w:rsidRPr="00D1443A">
        <w:t>article also insists on prenatal and post Natal care for mothers</w:t>
      </w:r>
      <w:r>
        <w:t xml:space="preserve"> and</w:t>
      </w:r>
      <w:r w:rsidRPr="00D1443A">
        <w:t xml:space="preserve"> </w:t>
      </w:r>
      <w:r>
        <w:t xml:space="preserve">to provide </w:t>
      </w:r>
      <w:r w:rsidRPr="00D1443A">
        <w:t xml:space="preserve">education </w:t>
      </w:r>
      <w:r>
        <w:t>on</w:t>
      </w:r>
      <w:r w:rsidRPr="00D1443A">
        <w:t xml:space="preserve"> health and well-being</w:t>
      </w:r>
      <w:r>
        <w:t>.</w:t>
      </w:r>
    </w:p>
    <w:p w14:paraId="37CA59A5" w14:textId="77777777" w:rsidR="001708BB" w:rsidRDefault="001708BB" w:rsidP="001708BB">
      <w:pPr>
        <w:rPr>
          <w:u w:val="single"/>
        </w:rPr>
      </w:pPr>
    </w:p>
    <w:p w14:paraId="32C0CC8B" w14:textId="47A59ED0" w:rsidR="001708BB" w:rsidRPr="001708BB" w:rsidRDefault="001708BB" w:rsidP="001708BB">
      <w:pPr>
        <w:rPr>
          <w:u w:val="single"/>
        </w:rPr>
      </w:pPr>
      <w:r w:rsidRPr="001708BB">
        <w:rPr>
          <w:u w:val="single"/>
        </w:rPr>
        <w:lastRenderedPageBreak/>
        <w:t>Well-being</w:t>
      </w:r>
    </w:p>
    <w:p w14:paraId="124377A5" w14:textId="31520619" w:rsidR="001708BB" w:rsidRPr="001708BB" w:rsidRDefault="001708BB" w:rsidP="001708BB">
      <w:r w:rsidRPr="001708BB">
        <w:t>Felton (2015) describes well-being being dependant on how satisfied a person is with their life, their sense of purpose and how in control they feel. However, the WHO (2025) suggests this is determined by social, economic and environmental conditions which is why Musgrave (2017) suggest Well-being is just as difficult to explain as health.</w:t>
      </w:r>
    </w:p>
    <w:p w14:paraId="4151A785" w14:textId="295EA7C1" w:rsidR="001708BB" w:rsidRPr="001708BB" w:rsidRDefault="001708BB" w:rsidP="001708BB">
      <w:r w:rsidRPr="001708BB">
        <w:t>Ryan and Deci (2001) explains that there are two different approaches to well-being. The ‘</w:t>
      </w:r>
      <w:proofErr w:type="spellStart"/>
      <w:r>
        <w:t>h</w:t>
      </w:r>
      <w:r w:rsidRPr="001708BB">
        <w:t>endo</w:t>
      </w:r>
      <w:r>
        <w:t>n</w:t>
      </w:r>
      <w:r w:rsidRPr="001708BB">
        <w:t>ic</w:t>
      </w:r>
      <w:proofErr w:type="spellEnd"/>
      <w:r w:rsidRPr="001708BB">
        <w:t>’ well-being, which focuses on a person’s happiness and attaining pleasure and feeling good. The other, ‘</w:t>
      </w:r>
      <w:r>
        <w:t>e</w:t>
      </w:r>
      <w:r w:rsidRPr="001708BB">
        <w:t xml:space="preserve">udaimonic’ approach which has a deeper meaning. It emphasises personal growth, purpose and fulfilment. The </w:t>
      </w:r>
      <w:r w:rsidRPr="001708BB">
        <w:t>latter</w:t>
      </w:r>
      <w:r w:rsidRPr="001708BB">
        <w:t xml:space="preserve"> being a long-term goal. Ryan and Daci (2001) would suggest gaining both perspectives for truer results when researching the topic of well-being. The children’s society (2025) describes children’s well-being as at a ten year low, with up to one in six children currently suffering from a mental health condition.</w:t>
      </w:r>
    </w:p>
    <w:p w14:paraId="74946418" w14:textId="08D084E5" w:rsidR="001708BB" w:rsidRPr="001708BB" w:rsidRDefault="001708BB" w:rsidP="001708BB">
      <w:r w:rsidRPr="001708BB">
        <w:t xml:space="preserve">According to Public Health Wales (PHW), (2023) Wales is the only country in the world to establish a legislation that requires public bodies to improve the social, economic, environmental and cultural well-being of Wales. The Well-being of the future generation (Wales) Act 2015 acknowledges the need for improvement across Wales, putting ownership on local government to prioritise and ensure that younger generations well-being is at the fore front of policies and procedures. This is laid out in their seven well-being goals including ‘a healthy Wales’ and </w:t>
      </w:r>
      <w:r>
        <w:t>‘</w:t>
      </w:r>
      <w:r w:rsidRPr="001708BB">
        <w:t xml:space="preserve">a resilient Wales’ (Welsh government, 2015). This Act would have been put to the test during the Covid19 pandemic as according to National Society of the Prevention of Cruelty to Children (NSPCC), (2022) reports that research shows during this period, the pandemic had impacted family relationships, financial situations and parental physical and mental health. Due to the added pressure and the lack of support and services provided children slipped under the radar as less child protection referrals were made. In addition Brewerton (2022) states suffering adverse childhood experiences due to lack family stability, safety and nurturing can affect a child’s long-term well-being. </w:t>
      </w:r>
    </w:p>
    <w:p w14:paraId="7BD0D132" w14:textId="77777777" w:rsidR="001708BB" w:rsidRPr="001708BB" w:rsidRDefault="001708BB" w:rsidP="001708BB">
      <w:r w:rsidRPr="001708BB">
        <w:t xml:space="preserve">PHW (2023) who’s policies are underpinned by The Well-being of the future generation (Wales) Act 2015, describes the mental and social well-being of an individual as the foundations of lifelong health and well-being. PHW (2023) puts the early years at the centre to developing the foundation for mental well-being through the interactions between infant and carer and the relationships between caregivers and at home. PHW (2023) also highlight the importance of individuals feeling a sense of belonging and connection with the wider community and families. Over (2025) agrees and adds emphasises on the importance of meeting children need to belong in early development, as infants show signs of interactions as early as 8 weeks old. Over (2025) feels it is necessary for children’s wellbeing, and a lack of can be detrimental. The important of belonging can be seen as part of Maslow’s hierarchy of needs (1943). Being </w:t>
      </w:r>
      <w:r w:rsidRPr="001708BB">
        <w:lastRenderedPageBreak/>
        <w:t xml:space="preserve">a part of a community or having feelings of connection to family ties can promote social well-being (Pichere &amp; Cadiat, 2015). The need to belong also links closely with John Bowlby’s theory of attachment which Power (2024) describes as a deep rooted connection between child and caregiver. O’Connor (2018) highlights that stronger attachment experiences can build feeling of safety and security which promotes emotional resilience and supports well-being and agrees with Over (2025) who states, individuals who are part of a larger network are less likely to experience isolation and loneliness and in turn be more resilient to adversity and trauma. </w:t>
      </w:r>
    </w:p>
    <w:p w14:paraId="14F65B56" w14:textId="77777777" w:rsidR="001708BB" w:rsidRPr="001708BB" w:rsidRDefault="001708BB" w:rsidP="001708BB">
      <w:r w:rsidRPr="001708BB">
        <w:t>The Curriculum for Non-maintained Nursey Settings ( Welsh government, 2024) put emphasis on nurturing children’s well-being, demonstrating a clear link between well-being and children’s development. According to the policy, this is done through a holistic approach placing the child at the centre which replicates ideologies of Frobel (1837) and Montessori (1967). Peill (2022) believes that practitioners are responsible for identifying and monitoring children's well-being, which can be done through observations or tools such as the Leuven scale, which uses a five point scale to measure well-being and involvement. O’Connor (2018) adds that practitioner can support well-being through positive secondary attachments, through caring and responsive interactions.</w:t>
      </w:r>
    </w:p>
    <w:p w14:paraId="66A78062" w14:textId="77777777" w:rsidR="001708BB" w:rsidRDefault="001708BB" w:rsidP="004F1413">
      <w:pPr>
        <w:rPr>
          <w:u w:val="single"/>
        </w:rPr>
      </w:pPr>
    </w:p>
    <w:p w14:paraId="4F832E2F" w14:textId="77777777" w:rsidR="001708BB" w:rsidRDefault="001708BB" w:rsidP="004F1413">
      <w:pPr>
        <w:rPr>
          <w:u w:val="single"/>
        </w:rPr>
      </w:pPr>
    </w:p>
    <w:p w14:paraId="3507A866" w14:textId="469F41AE" w:rsidR="00EB2F52" w:rsidRPr="001708BB" w:rsidRDefault="001708BB" w:rsidP="004F1413">
      <w:pPr>
        <w:rPr>
          <w:u w:val="single"/>
        </w:rPr>
      </w:pPr>
      <w:r w:rsidRPr="001708BB">
        <w:rPr>
          <w:u w:val="single"/>
        </w:rPr>
        <w:t>Lifestyle</w:t>
      </w:r>
    </w:p>
    <w:p w14:paraId="5788CF4F" w14:textId="56AAC648" w:rsidR="004F1413" w:rsidRPr="004F1413" w:rsidRDefault="001708BB" w:rsidP="004F1413">
      <w:r>
        <w:t xml:space="preserve"> </w:t>
      </w:r>
      <w:r w:rsidR="00D57997">
        <w:t xml:space="preserve">Spacey (2025) </w:t>
      </w:r>
      <w:r w:rsidR="00D57997" w:rsidRPr="00D57997">
        <w:t>characterises lifestyle as a way of life for an individual</w:t>
      </w:r>
      <w:r w:rsidR="00D57997">
        <w:t>,</w:t>
      </w:r>
      <w:r w:rsidR="00D57997" w:rsidRPr="00D57997">
        <w:t xml:space="preserve"> family</w:t>
      </w:r>
      <w:r w:rsidR="00D57997">
        <w:t>,</w:t>
      </w:r>
      <w:r w:rsidR="00D57997" w:rsidRPr="00D57997">
        <w:t xml:space="preserve"> culture or social group</w:t>
      </w:r>
      <w:r w:rsidR="00D57997">
        <w:t xml:space="preserve">. He lists </w:t>
      </w:r>
      <w:r w:rsidR="00D57997" w:rsidRPr="00D57997">
        <w:t>some of the factors that impact an individual's lifestyle a</w:t>
      </w:r>
      <w:r w:rsidR="00D57997">
        <w:t>s</w:t>
      </w:r>
      <w:r w:rsidR="00D57997" w:rsidRPr="00D57997">
        <w:t xml:space="preserve"> where they live</w:t>
      </w:r>
      <w:r w:rsidR="00D57997">
        <w:t xml:space="preserve">, their community, interests, values, cultures and family life. </w:t>
      </w:r>
      <w:r w:rsidR="00EB2F52">
        <w:t xml:space="preserve">Barnardos (2025) </w:t>
      </w:r>
      <w:r w:rsidR="00EB2F52">
        <w:t>agrees adding</w:t>
      </w:r>
      <w:r w:rsidR="00EB2F52">
        <w:t xml:space="preserve"> that a healthy lifestyle is more than just eating a healthy diet and exercising but also influenced by emotional health and co</w:t>
      </w:r>
      <w:r w:rsidR="00EB2F52">
        <w:t>n</w:t>
      </w:r>
      <w:r w:rsidR="00EB2F52">
        <w:t>nect</w:t>
      </w:r>
      <w:r w:rsidR="00EB2F52">
        <w:t>ion</w:t>
      </w:r>
      <w:r w:rsidR="00EB2F52">
        <w:t>s as well as external factors such as education, housing and parental employment and income.</w:t>
      </w:r>
      <w:r w:rsidR="00EB2F52">
        <w:t xml:space="preserve"> </w:t>
      </w:r>
      <w:r w:rsidR="004F1413" w:rsidRPr="004F1413">
        <w:t xml:space="preserve">Van (2017) </w:t>
      </w:r>
      <w:r w:rsidR="00EB2F52">
        <w:t xml:space="preserve">however, </w:t>
      </w:r>
      <w:r w:rsidR="004F1413" w:rsidRPr="004F1413">
        <w:t xml:space="preserve">describes lifestyle from two different perspectives, the first he calls a mechanistic lifestyle approach to describe a person’s general behaviour patterns and day to day lifestyle choices and the second as a sociographic approach which focuses </w:t>
      </w:r>
      <w:r w:rsidR="00D57997">
        <w:t>o</w:t>
      </w:r>
      <w:r w:rsidR="004F1413" w:rsidRPr="004F1413">
        <w:t>n values, attitudes and preferences.</w:t>
      </w:r>
    </w:p>
    <w:p w14:paraId="449DB28B" w14:textId="3FC12A68" w:rsidR="00EB2F52" w:rsidRDefault="004F1413" w:rsidP="00EB2F52">
      <w:r w:rsidRPr="004F1413">
        <w:t>Bandura’s social learning theory suggests children learn habits, good or bad by observing and imitating caregivers not just through reward or sanctioning as traditional behaviourists suggested (Aubrey &amp; Riley, 2022)</w:t>
      </w:r>
      <w:r w:rsidR="00EB2F52">
        <w:t xml:space="preserve">, </w:t>
      </w:r>
      <w:r w:rsidR="00EB2F52">
        <w:t xml:space="preserve">which is why </w:t>
      </w:r>
      <w:r w:rsidR="00EB2F52" w:rsidRPr="004F1413">
        <w:t xml:space="preserve">NHS (2023a) encourages parents and caregivers to be good role models as children learn by example. By instilling good habits at a young age such as having less than two hours of screen time, following a healthy diet and appropriate potion control and being physically active for at least 3 hours of the day (recommendation for under 5's). Another lifestyle habit that that impact </w:t>
      </w:r>
      <w:r w:rsidR="00EB2F52" w:rsidRPr="004F1413">
        <w:lastRenderedPageBreak/>
        <w:t xml:space="preserve">on children’s health is adequate sleep. Lack of sleep can greater the risk of becoming overweight. it can also have an effect on children’s behaviour and mood. </w:t>
      </w:r>
    </w:p>
    <w:p w14:paraId="0087D32D" w14:textId="3BCAC37A" w:rsidR="001708BB" w:rsidRDefault="004078A6" w:rsidP="004F1413">
      <w:r>
        <w:t>A healthy lifestyle can offer two types of benefits, something to gain such as more energy or mobility or something to prevent such as weight gain both need willing participants and effort however, m</w:t>
      </w:r>
      <w:r w:rsidR="004F1413" w:rsidRPr="004F1413">
        <w:t>aking negative lifestyle choices can be an active or passive action, meaning a choice to do something such as smok</w:t>
      </w:r>
      <w:r w:rsidR="004F1413">
        <w:t>ing</w:t>
      </w:r>
      <w:r w:rsidR="004F1413" w:rsidRPr="004F1413">
        <w:t xml:space="preserve"> or eat unhealthy food or to avoid doing something deemed as healthy such as exercising</w:t>
      </w:r>
      <w:r>
        <w:t>. This can be easily done when not prioritised (BBC Bitesize, 2025)</w:t>
      </w:r>
      <w:r w:rsidR="001708BB">
        <w:t>.</w:t>
      </w:r>
      <w:r w:rsidR="001708BB" w:rsidRPr="001708BB">
        <w:t xml:space="preserve"> </w:t>
      </w:r>
      <w:r w:rsidR="001708BB" w:rsidRPr="004F1413">
        <w:t>For young children lifestyle is determined by parental choices</w:t>
      </w:r>
      <w:r w:rsidR="001708BB">
        <w:t>, Maia et al (2025) identifies childhood obesity is more often due to family environment, diet sleep and mental health with parents being the decision makers of ro</w:t>
      </w:r>
      <w:r w:rsidR="001708BB">
        <w:t>u</w:t>
      </w:r>
      <w:r w:rsidR="001708BB">
        <w:t xml:space="preserve">tine and practices at home. Healthy parent habits can encourage positive </w:t>
      </w:r>
      <w:r w:rsidR="001708BB">
        <w:t>lifestyle</w:t>
      </w:r>
      <w:r w:rsidR="001708BB">
        <w:t xml:space="preserve"> and futures outcomes, while poor routines and stress can often lead to unhealthy weight gain.</w:t>
      </w:r>
      <w:r w:rsidR="001708BB" w:rsidRPr="00A466DA">
        <w:t xml:space="preserve"> </w:t>
      </w:r>
      <w:r w:rsidR="001708BB" w:rsidRPr="004F1413">
        <w:t>Currently the data from the (NCMP) show that on average 1 in 5 reception aged children are overweight, with this number rising to 1 in 3 by year six and with extended research showing that overweight children are more likely to be overweight adults increasing the risk of health issues later in life (NHS, 2023b).</w:t>
      </w:r>
      <w:r w:rsidR="001708BB">
        <w:t xml:space="preserve"> </w:t>
      </w:r>
      <w:r w:rsidR="001708BB" w:rsidRPr="004F1413">
        <w:t>According to PHW (2025)</w:t>
      </w:r>
      <w:r w:rsidR="001708BB">
        <w:t xml:space="preserve"> </w:t>
      </w:r>
      <w:r w:rsidR="001708BB" w:rsidRPr="004F1413">
        <w:t xml:space="preserve">The National Child Measurement programme (NCMP) </w:t>
      </w:r>
      <w:r w:rsidR="001708BB">
        <w:t xml:space="preserve">which </w:t>
      </w:r>
      <w:r w:rsidR="001708BB" w:rsidRPr="004F1413">
        <w:t>has been running for almost two decades</w:t>
      </w:r>
      <w:r w:rsidR="001708BB">
        <w:t>,</w:t>
      </w:r>
      <w:r w:rsidR="001708BB" w:rsidRPr="004F1413">
        <w:t xml:space="preserve"> aim is to identify the need for support, sharing data with local councils and local NHS to be able to plan and provide better services. </w:t>
      </w:r>
    </w:p>
    <w:p w14:paraId="5314FC62" w14:textId="53D96955" w:rsidR="001708BB" w:rsidRDefault="001708BB" w:rsidP="004F1413">
      <w:r w:rsidRPr="004F1413">
        <w:t xml:space="preserve">Thomas et al (2020) insists that studies have shown that a healthy diet and exercise can is essential for protecting children’s mental health, demonstrating that health, well-being and lifestyle are interconnected. </w:t>
      </w:r>
      <w:r>
        <w:t xml:space="preserve">Lynch (2024) agrees when highlighting the </w:t>
      </w:r>
      <w:r>
        <w:t>importance</w:t>
      </w:r>
      <w:r>
        <w:t xml:space="preserve"> of health promotion and promoting healthy lifestyles as part of holistic learning in schools. </w:t>
      </w:r>
      <w:r>
        <w:t>In Wales the Flying Start programme was introduced in 2006 to support families in disadvantaged areas. It offered families free childcare, an enhanced healthy visiting service, parental support, healthy eating advice and a speech and language service. Flying start childcare also follows the healthy food award and oral hygiene scheme to promote health habits (Wales Government, 2024).</w:t>
      </w:r>
    </w:p>
    <w:p w14:paraId="0C6931C6" w14:textId="77777777" w:rsidR="001708BB" w:rsidRDefault="001708BB" w:rsidP="004F1413"/>
    <w:p w14:paraId="3AF4DCBB" w14:textId="1C7AFAE2" w:rsidR="001708BB" w:rsidRPr="004F1413" w:rsidRDefault="001708BB" w:rsidP="004F1413">
      <w:pPr>
        <w:rPr>
          <w:u w:val="single"/>
        </w:rPr>
      </w:pPr>
      <w:r w:rsidRPr="001708BB">
        <w:rPr>
          <w:u w:val="single"/>
        </w:rPr>
        <w:t>Conclusion</w:t>
      </w:r>
    </w:p>
    <w:p w14:paraId="683EE169" w14:textId="1D00A836" w:rsidR="00A466DA" w:rsidRPr="004F1413" w:rsidRDefault="001708BB" w:rsidP="00A466DA">
      <w:r>
        <w:t>From evidence produced it emphasises that the early years are</w:t>
      </w:r>
      <w:r w:rsidRPr="001708BB">
        <w:t xml:space="preserve"> critical for establishing the foundations of health, wellbeing, and</w:t>
      </w:r>
      <w:r>
        <w:t xml:space="preserve"> positive</w:t>
      </w:r>
      <w:r w:rsidRPr="001708BB">
        <w:t xml:space="preserve"> lifestyle</w:t>
      </w:r>
      <w:r>
        <w:t xml:space="preserve"> habits</w:t>
      </w:r>
      <w:r w:rsidRPr="001708BB">
        <w:t>. The experiences and environments children are exposed to in their early years significantly influence their physical, emotional, and social development. A holistic approach to early years health and wellbeing ensures that children receive the necessary support to thrive, promoting lifelong benefits.</w:t>
      </w:r>
    </w:p>
    <w:p w14:paraId="37076E62" w14:textId="4F5A572E" w:rsidR="004F1413" w:rsidRDefault="004F1413"/>
    <w:sectPr w:rsidR="004F14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413"/>
    <w:rsid w:val="001708BB"/>
    <w:rsid w:val="002D4642"/>
    <w:rsid w:val="004078A6"/>
    <w:rsid w:val="004F1413"/>
    <w:rsid w:val="00A466DA"/>
    <w:rsid w:val="00D1443A"/>
    <w:rsid w:val="00D57997"/>
    <w:rsid w:val="00E25851"/>
    <w:rsid w:val="00EB1E84"/>
    <w:rsid w:val="00EB2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20D00"/>
  <w15:chartTrackingRefBased/>
  <w15:docId w15:val="{8BE7A05A-BCFF-4300-961D-6306764FA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4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4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4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4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4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4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4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4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4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4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4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4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4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4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4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4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4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413"/>
    <w:rPr>
      <w:rFonts w:eastAsiaTheme="majorEastAsia" w:cstheme="majorBidi"/>
      <w:color w:val="272727" w:themeColor="text1" w:themeTint="D8"/>
    </w:rPr>
  </w:style>
  <w:style w:type="paragraph" w:styleId="Title">
    <w:name w:val="Title"/>
    <w:basedOn w:val="Normal"/>
    <w:next w:val="Normal"/>
    <w:link w:val="TitleChar"/>
    <w:uiPriority w:val="10"/>
    <w:qFormat/>
    <w:rsid w:val="004F14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4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4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4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413"/>
    <w:pPr>
      <w:spacing w:before="160"/>
      <w:jc w:val="center"/>
    </w:pPr>
    <w:rPr>
      <w:i/>
      <w:iCs/>
      <w:color w:val="404040" w:themeColor="text1" w:themeTint="BF"/>
    </w:rPr>
  </w:style>
  <w:style w:type="character" w:customStyle="1" w:styleId="QuoteChar">
    <w:name w:val="Quote Char"/>
    <w:basedOn w:val="DefaultParagraphFont"/>
    <w:link w:val="Quote"/>
    <w:uiPriority w:val="29"/>
    <w:rsid w:val="004F1413"/>
    <w:rPr>
      <w:i/>
      <w:iCs/>
      <w:color w:val="404040" w:themeColor="text1" w:themeTint="BF"/>
    </w:rPr>
  </w:style>
  <w:style w:type="paragraph" w:styleId="ListParagraph">
    <w:name w:val="List Paragraph"/>
    <w:basedOn w:val="Normal"/>
    <w:uiPriority w:val="34"/>
    <w:qFormat/>
    <w:rsid w:val="004F1413"/>
    <w:pPr>
      <w:ind w:left="720"/>
      <w:contextualSpacing/>
    </w:pPr>
  </w:style>
  <w:style w:type="character" w:styleId="IntenseEmphasis">
    <w:name w:val="Intense Emphasis"/>
    <w:basedOn w:val="DefaultParagraphFont"/>
    <w:uiPriority w:val="21"/>
    <w:qFormat/>
    <w:rsid w:val="004F1413"/>
    <w:rPr>
      <w:i/>
      <w:iCs/>
      <w:color w:val="0F4761" w:themeColor="accent1" w:themeShade="BF"/>
    </w:rPr>
  </w:style>
  <w:style w:type="paragraph" w:styleId="IntenseQuote">
    <w:name w:val="Intense Quote"/>
    <w:basedOn w:val="Normal"/>
    <w:next w:val="Normal"/>
    <w:link w:val="IntenseQuoteChar"/>
    <w:uiPriority w:val="30"/>
    <w:qFormat/>
    <w:rsid w:val="004F14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413"/>
    <w:rPr>
      <w:i/>
      <w:iCs/>
      <w:color w:val="0F4761" w:themeColor="accent1" w:themeShade="BF"/>
    </w:rPr>
  </w:style>
  <w:style w:type="character" w:styleId="IntenseReference">
    <w:name w:val="Intense Reference"/>
    <w:basedOn w:val="DefaultParagraphFont"/>
    <w:uiPriority w:val="32"/>
    <w:qFormat/>
    <w:rsid w:val="004F141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614124">
      <w:bodyDiv w:val="1"/>
      <w:marLeft w:val="0"/>
      <w:marRight w:val="0"/>
      <w:marTop w:val="0"/>
      <w:marBottom w:val="0"/>
      <w:divBdr>
        <w:top w:val="none" w:sz="0" w:space="0" w:color="auto"/>
        <w:left w:val="none" w:sz="0" w:space="0" w:color="auto"/>
        <w:bottom w:val="none" w:sz="0" w:space="0" w:color="auto"/>
        <w:right w:val="none" w:sz="0" w:space="0" w:color="auto"/>
      </w:divBdr>
    </w:div>
    <w:div w:id="561673716">
      <w:bodyDiv w:val="1"/>
      <w:marLeft w:val="0"/>
      <w:marRight w:val="0"/>
      <w:marTop w:val="0"/>
      <w:marBottom w:val="0"/>
      <w:divBdr>
        <w:top w:val="none" w:sz="0" w:space="0" w:color="auto"/>
        <w:left w:val="none" w:sz="0" w:space="0" w:color="auto"/>
        <w:bottom w:val="none" w:sz="0" w:space="0" w:color="auto"/>
        <w:right w:val="none" w:sz="0" w:space="0" w:color="auto"/>
      </w:divBdr>
    </w:div>
    <w:div w:id="1094547871">
      <w:bodyDiv w:val="1"/>
      <w:marLeft w:val="0"/>
      <w:marRight w:val="0"/>
      <w:marTop w:val="0"/>
      <w:marBottom w:val="0"/>
      <w:divBdr>
        <w:top w:val="none" w:sz="0" w:space="0" w:color="auto"/>
        <w:left w:val="none" w:sz="0" w:space="0" w:color="auto"/>
        <w:bottom w:val="none" w:sz="0" w:space="0" w:color="auto"/>
        <w:right w:val="none" w:sz="0" w:space="0" w:color="auto"/>
      </w:divBdr>
    </w:div>
    <w:div w:id="1564951365">
      <w:bodyDiv w:val="1"/>
      <w:marLeft w:val="0"/>
      <w:marRight w:val="0"/>
      <w:marTop w:val="0"/>
      <w:marBottom w:val="0"/>
      <w:divBdr>
        <w:top w:val="none" w:sz="0" w:space="0" w:color="auto"/>
        <w:left w:val="none" w:sz="0" w:space="0" w:color="auto"/>
        <w:bottom w:val="none" w:sz="0" w:space="0" w:color="auto"/>
        <w:right w:val="none" w:sz="0" w:space="0" w:color="auto"/>
      </w:divBdr>
    </w:div>
    <w:div w:id="1870602812">
      <w:bodyDiv w:val="1"/>
      <w:marLeft w:val="0"/>
      <w:marRight w:val="0"/>
      <w:marTop w:val="0"/>
      <w:marBottom w:val="0"/>
      <w:divBdr>
        <w:top w:val="none" w:sz="0" w:space="0" w:color="auto"/>
        <w:left w:val="none" w:sz="0" w:space="0" w:color="auto"/>
        <w:bottom w:val="none" w:sz="0" w:space="0" w:color="auto"/>
        <w:right w:val="none" w:sz="0" w:space="0" w:color="auto"/>
      </w:divBdr>
    </w:div>
    <w:div w:id="19063381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228</TotalTime>
  <Pages>5</Pages>
  <Words>2321</Words>
  <Characters>12696</Characters>
  <Application>Microsoft Office Word</Application>
  <DocSecurity>0</DocSecurity>
  <Lines>195</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Kirstie Harding (2408632)</dc:creator>
  <cp:keywords/>
  <dc:description/>
  <cp:lastModifiedBy>Kirstie Harding (2408632)</cp:lastModifiedBy>
  <cp:revision>1</cp:revision>
  <dcterms:created xsi:type="dcterms:W3CDTF">2025-06-14T19:57:00Z</dcterms:created>
  <dcterms:modified xsi:type="dcterms:W3CDTF">2025-06-15T02:23:00Z</dcterms:modified>
</cp:coreProperties>
</file>