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1882E" w14:textId="7B9AFB0A" w:rsidR="00CB43D3" w:rsidRDefault="00CB43D3">
      <w:r>
        <w:t>1.1</w:t>
      </w:r>
    </w:p>
    <w:p w14:paraId="294CEEB2" w14:textId="77777777" w:rsidR="00CB43D3" w:rsidRDefault="00CB43D3" w:rsidP="00CB43D3">
      <w:r>
        <w:t xml:space="preserve">Reward is a term that encompasses the range of returns provided to employees in exchange for their contribution, including pay, the wider benefits package, such as pensions, discount schemes and flexible working. The concept of total reward goes further to include intrinsic reward elements such as recognition, praise and progression (Figueiredo et al., 2025; CIPD, 2025; Armstrong &amp; Brown, 2024; Pilbeam &amp; Corbridge, 2010). </w:t>
      </w:r>
    </w:p>
    <w:p w14:paraId="076DF65D" w14:textId="77777777" w:rsidR="00CB43D3" w:rsidRDefault="00CB43D3" w:rsidP="00CB43D3">
      <w:r>
        <w:t xml:space="preserve">Good reward management functions on principles such as fairness, transparency and consistency by recognising the value of employee contributions, rewarding them appropriately and in line with their peers, and being open and honest about the decision-making process (Armstrong &amp; Brown, 2024). Reward decisions are made within budget constraints and legal restrictions, meaning that reward managers must balance looking after the financial well-being of their staff with the financial continuity of the business (Armstrong &amp; Brown, 2024). Reward can be leveraged for market competitiveness and attraction purposes, aligning with wider business strategy, but pay progression can ensure the motivation and retention of existing staff long-term (Figueiredo et al., 2025; Armstrong &amp; Brown, 2024). </w:t>
      </w:r>
    </w:p>
    <w:p w14:paraId="20910B87" w14:textId="77777777" w:rsidR="00CB43D3" w:rsidRDefault="00CB43D3" w:rsidP="00CB43D3">
      <w:r>
        <w:t xml:space="preserve">Rewards have been found to have a significant impact on satisfaction, leading to many improvements such as better performance, productivity and innovation. Links have also been found between the practice of reward and sustainable company growth (Figueiredo et al., 2025). A workforce that feels valued and satisfied will display more commitment and positive work behaviours such as knowledge sharing, fostering a healthy and lucrative organisational culture (Figueiredo et al., 2025). </w:t>
      </w:r>
    </w:p>
    <w:p w14:paraId="7774074A" w14:textId="77777777" w:rsidR="00CB43D3" w:rsidRDefault="00CB43D3" w:rsidP="00CB43D3">
      <w:r>
        <w:t xml:space="preserve">Variable pay, which is pay in addition to base or fixed pay, can have significant and immediate effects on employee performance, motivating employees to adapt their behaviour in line with organisational interest and competitive advantage (Pilbeam &amp; Corbridge, 2010). </w:t>
      </w:r>
    </w:p>
    <w:p w14:paraId="4FDC6102" w14:textId="3948AC80" w:rsidR="00CB43D3" w:rsidRDefault="00CB43D3" w:rsidP="00CB43D3">
      <w:r>
        <w:t xml:space="preserve">In conclusion, reward management is underpinned by principles such as fairness, transparency and alignment with organisational strategy, and has a great influence over organisational outcomes. With effective reward management and a holistic approach encompassing total reward, </w:t>
      </w:r>
      <w:proofErr w:type="spellStart"/>
      <w:r>
        <w:t>GreenFriendlyEco</w:t>
      </w:r>
      <w:proofErr w:type="spellEnd"/>
      <w:r>
        <w:t xml:space="preserve"> can reinforce desired behaviours within the organisational culture, and through performance management, to optimise workforce productivity.</w:t>
      </w:r>
    </w:p>
    <w:p w14:paraId="2C314CB1" w14:textId="77777777" w:rsidR="00CB43D3" w:rsidRDefault="00CB43D3" w:rsidP="00CB43D3"/>
    <w:p w14:paraId="1B850D5B" w14:textId="3F96A7D5" w:rsidR="00CB43D3" w:rsidRDefault="00CB43D3" w:rsidP="00CB43D3">
      <w:r>
        <w:t>1.2</w:t>
      </w:r>
    </w:p>
    <w:p w14:paraId="1DFF3964" w14:textId="77777777" w:rsidR="00CB43D3" w:rsidRPr="00CB43D3" w:rsidRDefault="00CB43D3" w:rsidP="00CB43D3">
      <w:r w:rsidRPr="00CB43D3">
        <w:t xml:space="preserve">Reward is closely linked to motivation, as it signals the incentive behind the exchange of worker time and labour. Motivation can be driven by extrinsic or intrinsic reward; either </w:t>
      </w:r>
      <w:r w:rsidRPr="00CB43D3">
        <w:lastRenderedPageBreak/>
        <w:t>motivated by a return received as an incentive to partake in an activity, such as tangible pay and benefits, or by the psychological returns of the activity itself, such as receiving recognition, achievement or finding meaning in work (Armstrong &amp; Brown, 2024; CIPD, 2022). </w:t>
      </w:r>
    </w:p>
    <w:p w14:paraId="63497E21" w14:textId="77777777" w:rsidR="00CB43D3" w:rsidRPr="00CB43D3" w:rsidRDefault="00CB43D3" w:rsidP="00CB43D3">
      <w:r w:rsidRPr="00CB43D3">
        <w:t>Extrinsic motivation can be fuelled by basic salary and benefits, as well as conditional rewards such as potential bonuses, pay increases or career progression (CIPD, 2022; Armstrong &amp; Brown, 2024). Evidence suggests that extrinsic rewards have a positive impact on employee motivation, which in turn leads to improved performance and behaviours (Antoni et al., 2017). Furthermore, a robust extrinsic reward package can increase intention to stay, avoiding dysfunctional turnover and retaining high-performing or critical employees and the subsequent organisational disruption that follows such departures (Antoni et al., 2017). The extrinsic reward package is believed by some to invoke immediate and powerful effects; however, many have argued that the effects are short-term, diminish over time, or even completely non-existent (Armstrong &amp; Brown, 2024). Herzberg proposed that financial rewards merely prevent dissatisfaction, providing that the reward is not suboptimal, and does not evoke any inherent motivation or satisfaction upon further increases (Herzberg, 1966; Herzberg, 2003).  </w:t>
      </w:r>
    </w:p>
    <w:p w14:paraId="157898CC" w14:textId="77777777" w:rsidR="00CB43D3" w:rsidRPr="00CB43D3" w:rsidRDefault="00CB43D3" w:rsidP="00CB43D3">
      <w:r w:rsidRPr="00CB43D3">
        <w:t xml:space="preserve">Intrinsic rewards, taking the form of satisfaction and interest in the work, similarly have motivating effects. Although ultimately, intrinsic motivation is experienced by the person, </w:t>
      </w:r>
      <w:proofErr w:type="spellStart"/>
      <w:r w:rsidRPr="00CB43D3">
        <w:t>GreenFriendlyEco</w:t>
      </w:r>
      <w:proofErr w:type="spellEnd"/>
      <w:r w:rsidRPr="00CB43D3">
        <w:t xml:space="preserve"> can influence this through job design and better working lives. Allowing room for autonomy, development and progression can lead to increased satisfaction, motivation, productivity and engagement; facilitating attraction, retention and better organisational outcomes (Oldham &amp; Fried, 2016; Armstrong &amp; Brown, 2024). </w:t>
      </w:r>
    </w:p>
    <w:p w14:paraId="4E8A97A9" w14:textId="77777777" w:rsidR="00CB43D3" w:rsidRPr="00CB43D3" w:rsidRDefault="00CB43D3" w:rsidP="00CB43D3">
      <w:r w:rsidRPr="00CB43D3">
        <w:t xml:space="preserve">Cognitive Evaluation Theory argues that extrinsic reward can diminish the value of intrinsic rewards, as the financial incentive becomes the </w:t>
      </w:r>
      <w:proofErr w:type="gramStart"/>
      <w:r w:rsidRPr="00CB43D3">
        <w:t>main focus</w:t>
      </w:r>
      <w:proofErr w:type="gramEnd"/>
      <w:r w:rsidRPr="00CB43D3">
        <w:t xml:space="preserve"> (Deci &amp; Ryan, 1985). This theory has been largely discredited, and generally, both intrinsic and extrinsic factors motivate greater contribution from employees. However, some financial incentives, such as team-based contingent rewards, can produce counter-productive behaviours that negatively affect organisational performance, but this typically occurs in poorly executed incentive schemes (CIPD, 2022). </w:t>
      </w:r>
    </w:p>
    <w:p w14:paraId="5D565B18" w14:textId="77777777" w:rsidR="00CB43D3" w:rsidRDefault="00CB43D3" w:rsidP="00CB43D3"/>
    <w:p w14:paraId="1ED79209" w14:textId="06B90506" w:rsidR="00CB43D3" w:rsidRDefault="00CB43D3" w:rsidP="00CB43D3">
      <w:r>
        <w:t xml:space="preserve">2.1 </w:t>
      </w:r>
    </w:p>
    <w:p w14:paraId="39F328CD" w14:textId="77777777" w:rsidR="00CB43D3" w:rsidRPr="00CB43D3" w:rsidRDefault="00CB43D3" w:rsidP="00CB43D3">
      <w:r w:rsidRPr="00CB43D3">
        <w:t xml:space="preserve">Pay structures are a framework of different ‘bands’ or ‘grades’ spanning from the minimum to maximum salaries, which organise and clarify pay progression and salary increases that employees can obtain within their role in an organisation. Pay structures facilitate fairness and consistency, while ensuring that employees are rewarded for taking on more responsibility and establishing hierarchy, seniority and progression </w:t>
      </w:r>
      <w:r w:rsidRPr="00CB43D3">
        <w:lastRenderedPageBreak/>
        <w:t>routes (CIPD, 2024; Foot &amp; Hook, 2011). Pay structures can be divided into two groups: informal and formal.</w:t>
      </w:r>
    </w:p>
    <w:p w14:paraId="4071057B" w14:textId="77777777" w:rsidR="00CB43D3" w:rsidRPr="00CB43D3" w:rsidRDefault="00CB43D3" w:rsidP="00CB43D3">
      <w:r w:rsidRPr="00CB43D3">
        <w:t>Informal pay structures may be person-based or job-based. Individual rates assign value to a person with specific skills and experience, and typically they will remain at this rate until they are promoted to a different role, unlike individual ranges, which allow room for employees to progress to the higher end of the pay grade. Similarly, there are spot rates and spot ranges, which are set rates, or ranges, which assign value to a specific job. Informal pay structures are heavily reliant on market rates, scarcity, and managerial discretion. Although there is some room for individuals to negotiate their rate, there is generally very little room for progression (</w:t>
      </w:r>
      <w:proofErr w:type="spellStart"/>
      <w:r w:rsidRPr="00CB43D3">
        <w:t>Suff</w:t>
      </w:r>
      <w:proofErr w:type="spellEnd"/>
      <w:r w:rsidRPr="00CB43D3">
        <w:t xml:space="preserve"> &amp; Reily, 2007; CIPD, 2024).</w:t>
      </w:r>
    </w:p>
    <w:p w14:paraId="4AEC24B0" w14:textId="77777777" w:rsidR="00CB43D3" w:rsidRPr="00CB43D3" w:rsidRDefault="00CB43D3" w:rsidP="00CB43D3">
      <w:r w:rsidRPr="00CB43D3">
        <w:t xml:space="preserve">There are several variants of formal pay structures that are commonly </w:t>
      </w:r>
      <w:proofErr w:type="gramStart"/>
      <w:r w:rsidRPr="00CB43D3">
        <w:t>used, and</w:t>
      </w:r>
      <w:proofErr w:type="gramEnd"/>
      <w:r w:rsidRPr="00CB43D3">
        <w:t xml:space="preserve"> are distinguished by the number of grades and the differentials between the grades. Narrow-graded pay structures may have 10 or more grades with narrow ranges. Jobs of similar value are grouped together, and pay increases are typically dependent on length of service, and progression is typically fast paced due to the narrow grades, however, this can lead to roles being graded beyond what is justified (CIPD, 2024). Pay spines similarly have many narrow grades with step-by-step pay points for </w:t>
      </w:r>
      <w:proofErr w:type="gramStart"/>
      <w:r w:rsidRPr="00CB43D3">
        <w:t>progression, and</w:t>
      </w:r>
      <w:proofErr w:type="gramEnd"/>
      <w:r w:rsidRPr="00CB43D3">
        <w:t xml:space="preserve"> typically increase due to length of service. These rigid structures provide fairness and </w:t>
      </w:r>
      <w:proofErr w:type="gramStart"/>
      <w:r w:rsidRPr="00CB43D3">
        <w:t>transparency, and</w:t>
      </w:r>
      <w:proofErr w:type="gramEnd"/>
      <w:r w:rsidRPr="00CB43D3">
        <w:t xml:space="preserve"> motivate employees to work towards promotion. These pay structures also give employers high levels of control over pay. In contrast, broad-graded pay structures have typically six to nine grades, and </w:t>
      </w:r>
      <w:proofErr w:type="spellStart"/>
      <w:r w:rsidRPr="00CB43D3">
        <w:t>broadbanding</w:t>
      </w:r>
      <w:proofErr w:type="spellEnd"/>
      <w:r w:rsidRPr="00CB43D3">
        <w:t xml:space="preserve"> will have four to five. Broad-graded grades are very wide, and </w:t>
      </w:r>
      <w:proofErr w:type="spellStart"/>
      <w:r w:rsidRPr="00CB43D3">
        <w:t>broadbanding</w:t>
      </w:r>
      <w:proofErr w:type="spellEnd"/>
      <w:r w:rsidRPr="00CB43D3">
        <w:t xml:space="preserve"> bands may be extremely wide or have no limit at all, making them a lot more flexible than narrow grades and pay spines. This gives employees a wide scope to progress their income without re-grading or promotion (CIPD, 2024).</w:t>
      </w:r>
    </w:p>
    <w:p w14:paraId="60484815" w14:textId="77777777" w:rsidR="00CB43D3" w:rsidRPr="00CB43D3" w:rsidRDefault="00CB43D3" w:rsidP="00CB43D3">
      <w:r w:rsidRPr="00CB43D3">
        <w:t>Job family structures involve grouping jobs by function or department with six to eight levels of pay within each family. This allows scarce and specialist functions to be rewarded appropriately. Career families on the other hand, use one grading framework across all functions, signalling consistency but allowing less flexibility to respond to labour market pressures (</w:t>
      </w:r>
      <w:proofErr w:type="spellStart"/>
      <w:r w:rsidRPr="00CB43D3">
        <w:t>Suff</w:t>
      </w:r>
      <w:proofErr w:type="spellEnd"/>
      <w:r w:rsidRPr="00CB43D3">
        <w:t xml:space="preserve"> &amp; Reily, 2007; CIPD, 2024). </w:t>
      </w:r>
    </w:p>
    <w:p w14:paraId="500226CB" w14:textId="77777777" w:rsidR="00CB43D3" w:rsidRPr="00CB43D3" w:rsidRDefault="00CB43D3" w:rsidP="00CB43D3">
      <w:proofErr w:type="spellStart"/>
      <w:r w:rsidRPr="00CB43D3">
        <w:t>GreenFriendlyEco</w:t>
      </w:r>
      <w:proofErr w:type="spellEnd"/>
      <w:r w:rsidRPr="00CB43D3">
        <w:t xml:space="preserve"> may decide to implement a local pay structure, which can be applied simultaneously alongside a standalone pay structure. This would allow for pay to be modified according to workplace locations, based on local cost of living and labour market conditions (CIPD, 2024). </w:t>
      </w:r>
    </w:p>
    <w:p w14:paraId="0C35FE10" w14:textId="77777777" w:rsidR="00CB43D3" w:rsidRDefault="00CB43D3" w:rsidP="00CB43D3"/>
    <w:p w14:paraId="6BEF489A" w14:textId="07F82FEE" w:rsidR="00CB43D3" w:rsidRDefault="00CB43D3" w:rsidP="00CB43D3">
      <w:r>
        <w:t>2.2</w:t>
      </w:r>
    </w:p>
    <w:p w14:paraId="123D9C09" w14:textId="77777777" w:rsidR="00CB43D3" w:rsidRPr="00CB43D3" w:rsidRDefault="00CB43D3" w:rsidP="00CB43D3">
      <w:r w:rsidRPr="00CB43D3">
        <w:lastRenderedPageBreak/>
        <w:t xml:space="preserve">Contingent rewards are forms of remuneration that are dependent on some measure of performance or </w:t>
      </w:r>
      <w:proofErr w:type="gramStart"/>
      <w:r w:rsidRPr="00CB43D3">
        <w:t>contribution, and</w:t>
      </w:r>
      <w:proofErr w:type="gramEnd"/>
      <w:r w:rsidRPr="00CB43D3">
        <w:t xml:space="preserve"> are used as they are believed to incentivise and motivate improvements to productivity and performance (Hutchingson, 2013; Pilbeam &amp; Corbridge, 2010). They can be cascaded to individuals, teams, or across an organisation. Contingent rewards link performance to salary by increasing pay when pre-agreed objectives are met. This is implemented to elicit high-performance efforts from employees, attract high-performing talent, and to embed such values within organisational culture (Torrington et al., 2020; CIPD, 2024). </w:t>
      </w:r>
    </w:p>
    <w:p w14:paraId="6097C4BB" w14:textId="77777777" w:rsidR="00CB43D3" w:rsidRPr="00CB43D3" w:rsidRDefault="00CB43D3" w:rsidP="00CB43D3">
      <w:r w:rsidRPr="00CB43D3">
        <w:t>Employees having their individual performance reflected in their pay is a popular notion as it promotes equity and fairness, with higher-performing employees receiving bigger pay rises; and is a form of financial recognition (Torrington et al, 2020; CIPD, 2024). Employees tend to be motivated by the notion of remuneration outputs based on objective performance evaluations, and in turn will put greater efforts into their work (</w:t>
      </w:r>
      <w:proofErr w:type="spellStart"/>
      <w:r w:rsidRPr="00CB43D3">
        <w:t>Xuelin</w:t>
      </w:r>
      <w:proofErr w:type="spellEnd"/>
      <w:r w:rsidRPr="00CB43D3">
        <w:t xml:space="preserve"> et al., 2023). </w:t>
      </w:r>
    </w:p>
    <w:p w14:paraId="3963345E" w14:textId="77777777" w:rsidR="00CB43D3" w:rsidRPr="00CB43D3" w:rsidRDefault="00CB43D3" w:rsidP="00CB43D3">
      <w:r w:rsidRPr="00CB43D3">
        <w:t xml:space="preserve">Rewards that are allocated to teams may reinforce good team-working behaviours such as collaboration, communication and knowledge sharing, resulting in an overall motivation for efficient teamwork. However, sometimes team-based rewards can be problematic, particularly as they can cause conflict, both amongst teams </w:t>
      </w:r>
      <w:proofErr w:type="gramStart"/>
      <w:r w:rsidRPr="00CB43D3">
        <w:t>competing with each other</w:t>
      </w:r>
      <w:proofErr w:type="gramEnd"/>
      <w:r w:rsidRPr="00CB43D3">
        <w:t xml:space="preserve">, forming rivalry and counterproductive behaviours such as sabotage, or conflict within the team itself (Hutchingson, 2013). As team-based rewards fail to distinguish individual contribution, such schemes can demotivate high performers and are vulnerable to ‘free-riders’ when the reward is shared </w:t>
      </w:r>
      <w:proofErr w:type="gramStart"/>
      <w:r w:rsidRPr="00CB43D3">
        <w:t>equally, and</w:t>
      </w:r>
      <w:proofErr w:type="gramEnd"/>
      <w:r w:rsidRPr="00CB43D3">
        <w:t xml:space="preserve"> can increase peer-surveillance and potential conflict within teams. Schemes can be designed with ‘stacked ranking’, i.e. higher increases for higher performers and lower increases for weaker performers. This can be a source of conflict, and undermines cooperation, knowledge sharing and other important aspects of teamwork (Hutchingson, 2013; </w:t>
      </w:r>
      <w:proofErr w:type="spellStart"/>
      <w:r w:rsidRPr="00CB43D3">
        <w:t>Xuelin</w:t>
      </w:r>
      <w:proofErr w:type="spellEnd"/>
      <w:r w:rsidRPr="00CB43D3">
        <w:t xml:space="preserve"> et al., 2023). </w:t>
      </w:r>
    </w:p>
    <w:p w14:paraId="2DDCCC59" w14:textId="77777777" w:rsidR="00CB43D3" w:rsidRPr="00CB43D3" w:rsidRDefault="00CB43D3" w:rsidP="00CB43D3">
      <w:r w:rsidRPr="00CB43D3">
        <w:t xml:space="preserve">Contingent rewards cascaded on an organisation-wide basis are generally considered to have </w:t>
      </w:r>
      <w:proofErr w:type="gramStart"/>
      <w:r w:rsidRPr="00CB43D3">
        <w:t>less</w:t>
      </w:r>
      <w:proofErr w:type="gramEnd"/>
      <w:r w:rsidRPr="00CB43D3">
        <w:t xml:space="preserve"> incentivising effects on employees, due to the perceived lack of influence they believe they have over the organisation reaching its targets. They </w:t>
      </w:r>
      <w:proofErr w:type="gramStart"/>
      <w:r w:rsidRPr="00CB43D3">
        <w:t>can</w:t>
      </w:r>
      <w:proofErr w:type="gramEnd"/>
      <w:r w:rsidRPr="00CB43D3">
        <w:t xml:space="preserve"> however, still invoke positive behaviours such as collaboration and organisational citizenship (Torrington, 2020). </w:t>
      </w:r>
    </w:p>
    <w:p w14:paraId="0A982FC7" w14:textId="77777777" w:rsidR="00CB43D3" w:rsidRPr="00CB43D3" w:rsidRDefault="00CB43D3" w:rsidP="00CB43D3">
      <w:r w:rsidRPr="00CB43D3">
        <w:t xml:space="preserve">If applied thoughtfully, </w:t>
      </w:r>
      <w:proofErr w:type="spellStart"/>
      <w:r w:rsidRPr="00CB43D3">
        <w:t>GreenFriendlyEco</w:t>
      </w:r>
      <w:proofErr w:type="spellEnd"/>
      <w:r w:rsidRPr="00CB43D3">
        <w:t xml:space="preserve"> can utilise contingent reward to improve outcomes concerning individuals, teams, and the </w:t>
      </w:r>
      <w:proofErr w:type="gramStart"/>
      <w:r w:rsidRPr="00CB43D3">
        <w:t>organisation as a whole</w:t>
      </w:r>
      <w:proofErr w:type="gramEnd"/>
      <w:r w:rsidRPr="00CB43D3">
        <w:t xml:space="preserve">. </w:t>
      </w:r>
    </w:p>
    <w:p w14:paraId="351B1024" w14:textId="77777777" w:rsidR="00CB43D3" w:rsidRDefault="00CB43D3" w:rsidP="00CB43D3"/>
    <w:p w14:paraId="069BC179" w14:textId="4FA802E7" w:rsidR="00CB43D3" w:rsidRDefault="00CB43D3" w:rsidP="00CB43D3">
      <w:r>
        <w:t>2.3</w:t>
      </w:r>
    </w:p>
    <w:p w14:paraId="12F8575A" w14:textId="77777777" w:rsidR="00CB43D3" w:rsidRPr="00CB43D3" w:rsidRDefault="00CB43D3" w:rsidP="00CB43D3"/>
    <w:p w14:paraId="5C3BCC98" w14:textId="77777777" w:rsidR="00CB43D3" w:rsidRPr="00CB43D3" w:rsidRDefault="00CB43D3" w:rsidP="00CB43D3">
      <w:r w:rsidRPr="00CB43D3">
        <w:lastRenderedPageBreak/>
        <w:t xml:space="preserve">Occupational pension schemes are benefits that are greatly valued by employees, especially the older demographic (Office of Manpower Economics &amp; PwC, 2016; Armstrong &amp; Brown, 2024). They serve as a savings fund for retirement, providing a financial safety net post-employment in an age of ever-increasing life expectancy (Pilbeam &amp; Corbridge, 2010; Cotton, 2023). Since 2012, automatic </w:t>
      </w:r>
      <w:proofErr w:type="spellStart"/>
      <w:r w:rsidRPr="00CB43D3">
        <w:t>enrollment</w:t>
      </w:r>
      <w:proofErr w:type="spellEnd"/>
      <w:r w:rsidRPr="00CB43D3">
        <w:t xml:space="preserve"> into a workplace pension scheme has been a legal requirement across the UK, and the statutory minimum contribution rate is 8% of qualifying earnings, which is typically split with employers paying 3% and employees paying 5%, but employees reserve the right to opt out (Cotton, 2023). </w:t>
      </w:r>
      <w:proofErr w:type="spellStart"/>
      <w:r w:rsidRPr="00CB43D3">
        <w:t>GreenFriendlyEco</w:t>
      </w:r>
      <w:proofErr w:type="spellEnd"/>
      <w:r w:rsidRPr="00CB43D3">
        <w:t xml:space="preserve"> offers a non-contributory pension scheme to all employees, meaning the entitlement is fully funded by the employer and not dependent on prior contributions made by an employee (</w:t>
      </w:r>
      <w:proofErr w:type="spellStart"/>
      <w:r w:rsidRPr="00CB43D3">
        <w:t>Goedemé</w:t>
      </w:r>
      <w:proofErr w:type="spellEnd"/>
      <w:r w:rsidRPr="00CB43D3">
        <w:t xml:space="preserve"> &amp; Marchal, 2015). Although having a pension fund seems a comfort to employees after retirement, some may value additional immediate compensation over the long-term return. For employers, contributing towards employee pensions comes with tax incentives, and can aid attraction and retention (Cotton, 2023; Pilbeam &amp; Corbridge, 2010). </w:t>
      </w:r>
    </w:p>
    <w:p w14:paraId="1ADD00FC" w14:textId="7D24C632" w:rsidR="00CB43D3" w:rsidRDefault="00CB43D3" w:rsidP="00CB43D3">
      <w:r w:rsidRPr="00CB43D3">
        <w:t xml:space="preserve">Enhancements to the statutory maternity entitlement can be a benefit option offered by organisations. The Statutory Maternity Pay entitlement is 90% of an </w:t>
      </w:r>
      <w:proofErr w:type="spellStart"/>
      <w:proofErr w:type="gramStart"/>
      <w:r w:rsidRPr="00CB43D3">
        <w:t>employees</w:t>
      </w:r>
      <w:proofErr w:type="spellEnd"/>
      <w:proofErr w:type="gramEnd"/>
      <w:r w:rsidRPr="00CB43D3">
        <w:t xml:space="preserve"> average weekly earnings for the first 6 weeks, then either £194.32, or 90% of the average weekly earnings, whichever is lower, for a further 33 weeks. By law, employers must offer this to any eligible employee (</w:t>
      </w:r>
      <w:hyperlink r:id="rId4" w:history="1">
        <w:r w:rsidRPr="00CB43D3">
          <w:rPr>
            <w:rStyle w:val="Hyperlink"/>
          </w:rPr>
          <w:t>GOV.UK</w:t>
        </w:r>
      </w:hyperlink>
      <w:r w:rsidRPr="00CB43D3">
        <w:t>, 2025). The full statutory entitlement for leave is up to 52 weeks; 13 of which will be unpaid, which can influence early return-to-work decisions (</w:t>
      </w:r>
      <w:proofErr w:type="spellStart"/>
      <w:r w:rsidRPr="00CB43D3">
        <w:t>Felfe</w:t>
      </w:r>
      <w:proofErr w:type="spellEnd"/>
      <w:r w:rsidRPr="00CB43D3">
        <w:t>, 2012; Newton et al., 2018). In 2015, it was found that 17% of nations worldwide offered more than 52 weeks of paid maternity, meaning that the UK statutory entitlement is not amongst the most generous packages worldwide (UNICEF, 2019). It is for this reason that many employers such as Asda and Marks &amp; Spencer opt to give out enhanced maternity packages, offering higher proportions or even full pay during periods of maternity leave (</w:t>
      </w:r>
      <w:proofErr w:type="spellStart"/>
      <w:r w:rsidRPr="00CB43D3">
        <w:t>Weibren</w:t>
      </w:r>
      <w:proofErr w:type="spellEnd"/>
      <w:r w:rsidRPr="00CB43D3">
        <w:t xml:space="preserve">, 2026). Enhanced maternity benefits could be used to support attraction and retention within </w:t>
      </w:r>
      <w:proofErr w:type="spellStart"/>
      <w:r w:rsidRPr="00CB43D3">
        <w:t>GreenFriendlyEco</w:t>
      </w:r>
      <w:proofErr w:type="spellEnd"/>
      <w:r w:rsidRPr="00CB43D3">
        <w:t xml:space="preserve">, but the scope of these effects </w:t>
      </w:r>
      <w:proofErr w:type="gramStart"/>
      <w:r w:rsidRPr="00CB43D3">
        <w:t>are</w:t>
      </w:r>
      <w:proofErr w:type="gramEnd"/>
      <w:r w:rsidRPr="00CB43D3">
        <w:t xml:space="preserve"> limited, as their value is contained to those who choose to have children (Weibren, 2026; McCartney, 2025).</w:t>
      </w:r>
    </w:p>
    <w:p w14:paraId="6E594977" w14:textId="77777777" w:rsidR="00CB43D3" w:rsidRDefault="00CB43D3" w:rsidP="00CB43D3"/>
    <w:p w14:paraId="0E4A4D85" w14:textId="4D13E295" w:rsidR="00CB43D3" w:rsidRDefault="00CB43D3" w:rsidP="00CB43D3">
      <w:r>
        <w:t>2.4</w:t>
      </w:r>
    </w:p>
    <w:p w14:paraId="76CFAC0D" w14:textId="77777777" w:rsidR="00CB43D3" w:rsidRPr="00CB43D3" w:rsidRDefault="00CB43D3" w:rsidP="00CB43D3"/>
    <w:p w14:paraId="18085F91" w14:textId="77777777" w:rsidR="00CB43D3" w:rsidRPr="00CB43D3" w:rsidRDefault="00CB43D3" w:rsidP="00CB43D3">
      <w:r w:rsidRPr="00CB43D3">
        <w:t>Recognition is a term used for often non-monetary forms of reward used to signal appreciation, acknowledgement and reinforcement of efforts, behaviour or achievements (CIPD, 2022). </w:t>
      </w:r>
    </w:p>
    <w:p w14:paraId="1447066F" w14:textId="77777777" w:rsidR="00CB43D3" w:rsidRPr="00CB43D3" w:rsidRDefault="00CB43D3" w:rsidP="00CB43D3">
      <w:r w:rsidRPr="00CB43D3">
        <w:t>Recognition schemes can be applied informally, on a day-to-day basis or it can be public, formal and financial. </w:t>
      </w:r>
    </w:p>
    <w:p w14:paraId="03CE921E" w14:textId="77777777" w:rsidR="00CB43D3" w:rsidRPr="00CB43D3" w:rsidRDefault="00CB43D3" w:rsidP="00CB43D3">
      <w:r w:rsidRPr="00CB43D3">
        <w:lastRenderedPageBreak/>
        <w:t xml:space="preserve">Informal, day-to-day recognition can be expressed as immediate praise and positive </w:t>
      </w:r>
      <w:proofErr w:type="gramStart"/>
      <w:r w:rsidRPr="00CB43D3">
        <w:t>feedback, and</w:t>
      </w:r>
      <w:proofErr w:type="gramEnd"/>
      <w:r w:rsidRPr="00CB43D3">
        <w:t xml:space="preserve"> can be delivered recurrently with very little cost and effort, when implemented by management and ingrained into organisational culture (Armstrong &amp; Brown, 2024). 28% of respondents to a Gallup survey, reported that recognition is most memorable to an employee coming from their manager, followed closely by senior leaders or the CEO at 24% (Gallup, 2024). Receiving praise or positive feedback can lead to improved employee performance, effort and motivation, but without a genuine culture of recognition, this may be perceived as inauthentic (Armstrong &amp; Brown, 2024; Goller &amp; Späth, 2024).</w:t>
      </w:r>
    </w:p>
    <w:p w14:paraId="26C82872" w14:textId="77777777" w:rsidR="00CB43D3" w:rsidRPr="00CB43D3" w:rsidRDefault="00CB43D3" w:rsidP="00CB43D3">
      <w:r w:rsidRPr="00CB43D3">
        <w:t xml:space="preserve">Some common types of public recognition are ‘Employee of the Month’ or ‘Values’ schemes, where outstanding behaviours, performance or contributions are awarded publicly within the organisation. This goes beyond informal praise, as the achievement is visible to stakeholders, and validated publicly (Lewis et al., 2019; Armstrong &amp; Brown, 2024). For </w:t>
      </w:r>
      <w:proofErr w:type="spellStart"/>
      <w:r w:rsidRPr="00CB43D3">
        <w:t>GreenFriendlyEco</w:t>
      </w:r>
      <w:proofErr w:type="spellEnd"/>
      <w:r w:rsidRPr="00CB43D3">
        <w:t xml:space="preserve">, a scheme like this could be designed as a democratic process, engaging employees by inviting them to take part in a vote, or it can be management-led. Schemes of this type are effective at motivating employees and reinforcing desired behaviour; an employee being publicly rewarded for </w:t>
      </w:r>
      <w:proofErr w:type="gramStart"/>
      <w:r w:rsidRPr="00CB43D3">
        <w:t>helping out</w:t>
      </w:r>
      <w:proofErr w:type="gramEnd"/>
      <w:r w:rsidRPr="00CB43D3">
        <w:t xml:space="preserve"> another colleague or going the extra mile for a customer may inspire others to do the same (Lewis et al., 2019). </w:t>
      </w:r>
    </w:p>
    <w:p w14:paraId="67C462F2" w14:textId="77777777" w:rsidR="00CB43D3" w:rsidRPr="00CB43D3" w:rsidRDefault="00CB43D3" w:rsidP="00CB43D3">
      <w:r w:rsidRPr="00CB43D3">
        <w:t>Employees can be rewarded through formal recognition schemes, involving either cash or non-cash awards to nominated employees that display the desired behaviour. Such rewards can include gifts, vouchers and trips (Armstrong &amp; Brown, 2024). These tangible rewards can be appreciated by employees and their families, and go beyond simple certificates, which can be perceived as low effort (Armstrong &amp; Brown, 2024; Lewis et al., 2019). </w:t>
      </w:r>
    </w:p>
    <w:p w14:paraId="0093A178" w14:textId="77777777" w:rsidR="00CB43D3" w:rsidRDefault="00CB43D3" w:rsidP="00CB43D3"/>
    <w:p w14:paraId="3C66B761" w14:textId="060A9B8C" w:rsidR="00CB43D3" w:rsidRDefault="00CB43D3" w:rsidP="00CB43D3">
      <w:r>
        <w:t>3.1</w:t>
      </w:r>
    </w:p>
    <w:p w14:paraId="2C2D2A5E" w14:textId="77777777" w:rsidR="00CB43D3" w:rsidRPr="00CB43D3" w:rsidRDefault="00CB43D3" w:rsidP="00CB43D3">
      <w:r w:rsidRPr="00CB43D3">
        <w:t xml:space="preserve">If </w:t>
      </w:r>
      <w:proofErr w:type="spellStart"/>
      <w:r w:rsidRPr="00CB43D3">
        <w:t>GreenFriendlyEco</w:t>
      </w:r>
      <w:proofErr w:type="spellEnd"/>
      <w:r w:rsidRPr="00CB43D3">
        <w:t xml:space="preserve"> were to expand operations internationally, reward management would gain a layer of complexity. When designing reward packages for global operations, businesses must take into consideration factors such as local cost of living, taxation and labour market conditions (Armstrong &amp; Brown, 2024). When assigning an existing employee to a post overseas, organisations may need to include additional allowances within the remuneration package for relocation expenses, and housing and utility costs. Furthermore, costs may accumulate in order to incentivise employees to take the opportunity, and compensate for the disruption caused, such as incentive premiums, hardship allowances to compensate for discomfort if deployed to a location with harsher conditions, and separation allowance, paid when family members </w:t>
      </w:r>
      <w:proofErr w:type="spellStart"/>
      <w:r w:rsidRPr="00CB43D3">
        <w:t>can not</w:t>
      </w:r>
      <w:proofErr w:type="spellEnd"/>
      <w:r w:rsidRPr="00CB43D3">
        <w:t xml:space="preserve"> be relocated as well (Armstrong &amp; Brown, 2024). Albeit more expensive, these costs </w:t>
      </w:r>
      <w:r w:rsidRPr="00CB43D3">
        <w:lastRenderedPageBreak/>
        <w:t xml:space="preserve">may be more justifiable for </w:t>
      </w:r>
      <w:proofErr w:type="spellStart"/>
      <w:r w:rsidRPr="00CB43D3">
        <w:t>GreenFriendlyEco</w:t>
      </w:r>
      <w:proofErr w:type="spellEnd"/>
      <w:r w:rsidRPr="00CB43D3">
        <w:t xml:space="preserve"> than blind-hiring and onboarding locally, by the notion that sending an already established and trusted employee who understands company culture and process to an overseas placement might generate more efficient and reliable results than the alternative (Westover, 2023).</w:t>
      </w:r>
    </w:p>
    <w:p w14:paraId="5BBF31B0" w14:textId="77777777" w:rsidR="00CB43D3" w:rsidRPr="00CB43D3" w:rsidRDefault="00CB43D3" w:rsidP="00CB43D3">
      <w:r w:rsidRPr="00CB43D3">
        <w:t xml:space="preserve">The Minimum Wage is an external factor that shapes the national reward environment, setting the legal baseline cost for an hour of labour, regardless of the role. Economic performance both influences and is influenced by the Minimum Wage, which is adjusted by the government periodically (Glover &amp; </w:t>
      </w:r>
      <w:proofErr w:type="spellStart"/>
      <w:r w:rsidRPr="00CB43D3">
        <w:t>Mustre</w:t>
      </w:r>
      <w:proofErr w:type="spellEnd"/>
      <w:r w:rsidRPr="00CB43D3">
        <w:t xml:space="preserve">-del-Rio, 2021; Torrington et al., 2020). When offering the Minimum Wage, which is typically associated with entry-level roles, employers must consider whether this is enough to attract or retain employees within a competitive industry. Research suggests that turnover and mobility are high amongst Minimum Wage workers, as work with the same reward can be easily sought out elsewhere (Dickson &amp; Papps, 2016; Torrington et al., 2020). When the Minimum Wage is adjusted, organisations must amend the pay of any Minimum Wage employees in accordance. However, these compliance-driven pay increases can have a knock-on-effect on the remainder of the pay structure, as a large increase in the Minimum Wage can cause pay compression, where the bottom grades begin to converge with higher grades. </w:t>
      </w:r>
      <w:proofErr w:type="gramStart"/>
      <w:r w:rsidRPr="00CB43D3">
        <w:t>In order to</w:t>
      </w:r>
      <w:proofErr w:type="gramEnd"/>
      <w:r w:rsidRPr="00CB43D3">
        <w:t xml:space="preserve"> maintain the hierarchy and limit the effects of the Minimum Wage increase cascading to the top, organisations may respond by maintaining smaller differentials between the lower grades relative to the middle grades (Hill, 2019). </w:t>
      </w:r>
    </w:p>
    <w:p w14:paraId="50E20919" w14:textId="77777777" w:rsidR="00CB43D3" w:rsidRPr="00CB43D3" w:rsidRDefault="00CB43D3" w:rsidP="00CB43D3">
      <w:r w:rsidRPr="00CB43D3">
        <w:t xml:space="preserve">On an organisational level, it is important that </w:t>
      </w:r>
      <w:proofErr w:type="spellStart"/>
      <w:r w:rsidRPr="00CB43D3">
        <w:t>GreenFriendlyEco</w:t>
      </w:r>
      <w:proofErr w:type="spellEnd"/>
      <w:r w:rsidRPr="00CB43D3">
        <w:t xml:space="preserve"> maintains fair standards of pay for its employees. Pay can be a sensitive topic, as it is a major factor in financial well-being, and an important part of the psychological contract (CIPD, 2025). The term psychological contract can be defined as the ‘exchange relationship based on expectations, beliefs, and an understanding of mutual responsibilities between the employer and the worker’ (CIPD, 2025). When the employer adheres to the psychological contract by offering fair and balanced pay, amongst other things, employees are observed to have increased motivation, productivity, performance, job satisfaction and intention to stay (CIPD, 2025).  Although individual pay should remain private, employees may benefit from transparency surrounding their own pay rate compared to others, and the justifications behind it. </w:t>
      </w:r>
      <w:proofErr w:type="spellStart"/>
      <w:r w:rsidRPr="00CB43D3">
        <w:t>GreenFriendlyEco</w:t>
      </w:r>
      <w:proofErr w:type="spellEnd"/>
      <w:r w:rsidRPr="00CB43D3">
        <w:t xml:space="preserve"> should have robust reasoning behind any pay disparities that will be perceived as fair by employees </w:t>
      </w:r>
      <w:proofErr w:type="gramStart"/>
      <w:r w:rsidRPr="00CB43D3">
        <w:t>in order to</w:t>
      </w:r>
      <w:proofErr w:type="gramEnd"/>
      <w:r w:rsidRPr="00CB43D3">
        <w:t xml:space="preserve"> maintain trust and confidence (Scott &amp; Jordan, 2019). </w:t>
      </w:r>
    </w:p>
    <w:p w14:paraId="30A71E7D" w14:textId="77777777" w:rsidR="00CB43D3" w:rsidRDefault="00CB43D3" w:rsidP="00CB43D3"/>
    <w:p w14:paraId="2F4F2B5E" w14:textId="04895089" w:rsidR="00CB43D3" w:rsidRDefault="00CB43D3" w:rsidP="00CB43D3">
      <w:r>
        <w:t xml:space="preserve">3.2 </w:t>
      </w:r>
    </w:p>
    <w:p w14:paraId="20CC82E4" w14:textId="77777777" w:rsidR="00CB43D3" w:rsidRDefault="00CB43D3" w:rsidP="00CB43D3">
      <w:r>
        <w:t xml:space="preserve">Benchmarking is the act of comparing performance data with that of similar organisations, as well as historical and lateral internal data, to establish standards. It is </w:t>
      </w:r>
      <w:r>
        <w:lastRenderedPageBreak/>
        <w:t xml:space="preserve">a way to contextualise the current performance against various points of reference, to assess </w:t>
      </w:r>
      <w:proofErr w:type="gramStart"/>
      <w:r>
        <w:t>whether or not</w:t>
      </w:r>
      <w:proofErr w:type="gramEnd"/>
      <w:r>
        <w:t xml:space="preserve"> the organisation is performing </w:t>
      </w:r>
      <w:proofErr w:type="gramStart"/>
      <w:r>
        <w:t>well, and</w:t>
      </w:r>
      <w:proofErr w:type="gramEnd"/>
      <w:r>
        <w:t xml:space="preserve"> can influence organisational outcomes by identifying realistic areas of improvement, such as in terms of competitiveness or cost-efficiency (Infrastructure and Projects Authority, 2019).</w:t>
      </w:r>
    </w:p>
    <w:p w14:paraId="060C7314" w14:textId="60C63B4B" w:rsidR="00CB43D3" w:rsidRDefault="00CB43D3" w:rsidP="00CB43D3">
      <w:r>
        <w:t xml:space="preserve">Market pricing is a way that </w:t>
      </w:r>
      <w:proofErr w:type="spellStart"/>
      <w:r>
        <w:t>GreenFriendlyEco</w:t>
      </w:r>
      <w:proofErr w:type="spellEnd"/>
      <w:r>
        <w:t xml:space="preserve"> can benchmark </w:t>
      </w:r>
      <w:proofErr w:type="gramStart"/>
      <w:r>
        <w:t>externally,</w:t>
      </w:r>
      <w:proofErr w:type="gramEnd"/>
      <w:r>
        <w:t xml:space="preserve"> to compare the reward system that it offers with that of other organisations. The process involves matching jobs within </w:t>
      </w:r>
      <w:proofErr w:type="spellStart"/>
      <w:r>
        <w:t>GreenFriendlyEco</w:t>
      </w:r>
      <w:proofErr w:type="spellEnd"/>
      <w:r>
        <w:t xml:space="preserve"> with comparable roles in other organisations, taking into consideration the responsibilities and required skills of the role, before analysing external salary data to establish the prevailing market rate, median, or range (CIPD, 2025). Salary data can be gathered from a range of market intelligence sources, including pay bulletin publications or consulting salary survey project datasets, or more informal approaches such as experiential knowledge or by looking at pay rates included in job advertisements (Torrington et al., 2020). Many different data sources have their advantages and drawbacks; job advertisements are easily accessible and </w:t>
      </w:r>
      <w:proofErr w:type="gramStart"/>
      <w:r>
        <w:t>up-to-date</w:t>
      </w:r>
      <w:proofErr w:type="gramEnd"/>
      <w:r>
        <w:t xml:space="preserve">, but data might be limited as many organisations choose not to publicly advertise pay, and finding and matching job adverts to the job in question may be difficult. Generally, the use of surveys tends to have poor job matching as well, but pay clubs, where groups of employers regularly exchange pay data tend to produce more precise job matching (Armstrong &amp; Brown, 2024). Many data sets should be consulted, and the reliability of each source should be considered when making a judgement. With this insight, </w:t>
      </w:r>
      <w:proofErr w:type="spellStart"/>
      <w:r>
        <w:t>GreenFriendlyEco</w:t>
      </w:r>
      <w:proofErr w:type="spellEnd"/>
      <w:r>
        <w:t xml:space="preserve"> can decide where it would like to position itself. They may wish to opt to match the market rate, or go below, while making up for it with other benefits or non-financial rewards. Offering above market pay may attract the best talent and has been found to strengthen intention to stay with existing staff (Zhu &amp; Newman, 2022; Torrington et al., 2020).</w:t>
      </w:r>
    </w:p>
    <w:p w14:paraId="63F4630E" w14:textId="77777777" w:rsidR="00CB43D3" w:rsidRDefault="00CB43D3" w:rsidP="00CB43D3"/>
    <w:p w14:paraId="6DFE69B2" w14:textId="7E4B90C3" w:rsidR="00CB43D3" w:rsidRDefault="00CB43D3" w:rsidP="00CB43D3">
      <w:r>
        <w:t>3.3</w:t>
      </w:r>
    </w:p>
    <w:p w14:paraId="6A4F5BD1" w14:textId="77777777" w:rsidR="00CB43D3" w:rsidRPr="00CB43D3" w:rsidRDefault="00CB43D3" w:rsidP="00CB43D3">
      <w:r w:rsidRPr="00CB43D3">
        <w:t xml:space="preserve">Job evaluation is a term used for the process of determining fair, transparent and equitable pay grades and ranges for different </w:t>
      </w:r>
      <w:proofErr w:type="gramStart"/>
      <w:r w:rsidRPr="00CB43D3">
        <w:t>roles, and</w:t>
      </w:r>
      <w:proofErr w:type="gramEnd"/>
      <w:r w:rsidRPr="00CB43D3">
        <w:t xml:space="preserve"> organising them into a hierarchy of importance and value, focusing internally rather than looking at the wider labour market rates (van de </w:t>
      </w:r>
      <w:proofErr w:type="spellStart"/>
      <w:r w:rsidRPr="00CB43D3">
        <w:t>Glind</w:t>
      </w:r>
      <w:proofErr w:type="spellEnd"/>
      <w:r w:rsidRPr="00CB43D3">
        <w:t xml:space="preserve"> et al., 2024; CIPD, 2025; Torrington et al, 2020).</w:t>
      </w:r>
    </w:p>
    <w:p w14:paraId="018244A9" w14:textId="77777777" w:rsidR="00CB43D3" w:rsidRPr="00CB43D3" w:rsidRDefault="00CB43D3" w:rsidP="00CB43D3">
      <w:r w:rsidRPr="00CB43D3">
        <w:t xml:space="preserve">Job evaluation schemes can be broken down into two categories; analytical schemes where core components of the job are considered individually, and non-analytical schemes, which evaluate the </w:t>
      </w:r>
      <w:proofErr w:type="gramStart"/>
      <w:r w:rsidRPr="00CB43D3">
        <w:t>job as a whole</w:t>
      </w:r>
      <w:proofErr w:type="gramEnd"/>
      <w:r w:rsidRPr="00CB43D3">
        <w:t xml:space="preserve"> (CIPD, 2025).</w:t>
      </w:r>
    </w:p>
    <w:p w14:paraId="7D90B1CD" w14:textId="77777777" w:rsidR="00CB43D3" w:rsidRPr="00CB43D3" w:rsidRDefault="00CB43D3" w:rsidP="00CB43D3">
      <w:r w:rsidRPr="00CB43D3">
        <w:t xml:space="preserve">Analytical job evaluation approaches may include points ranking and factor comparison, both of which involve breaking the job down into smaller factors to be assessed and scored, however, points ranking differs slightly as it assigns points to the level needed for the job (CIPD, 2025). Factors considered for evaluation can include </w:t>
      </w:r>
      <w:r w:rsidRPr="00CB43D3">
        <w:lastRenderedPageBreak/>
        <w:t xml:space="preserve">knowledge, qualifications and experience, responsibility and direct reports, physical effort or working conditions, or initiative and independence </w:t>
      </w:r>
      <w:proofErr w:type="gramStart"/>
      <w:r w:rsidRPr="00CB43D3">
        <w:t>in regard to</w:t>
      </w:r>
      <w:proofErr w:type="gramEnd"/>
      <w:r w:rsidRPr="00CB43D3">
        <w:t xml:space="preserve"> the decisions made by an individual (CIPD, 2025; van de </w:t>
      </w:r>
      <w:proofErr w:type="spellStart"/>
      <w:r w:rsidRPr="00CB43D3">
        <w:t>Glind</w:t>
      </w:r>
      <w:proofErr w:type="spellEnd"/>
      <w:r w:rsidRPr="00CB43D3">
        <w:t xml:space="preserve"> et al., 2024). </w:t>
      </w:r>
    </w:p>
    <w:p w14:paraId="3301FE56" w14:textId="77777777" w:rsidR="00CB43D3" w:rsidRPr="00CB43D3" w:rsidRDefault="00CB43D3" w:rsidP="00CB43D3">
      <w:r w:rsidRPr="00CB43D3">
        <w:t xml:space="preserve">Non-analytical schemes such as job matching or </w:t>
      </w:r>
      <w:proofErr w:type="gramStart"/>
      <w:r w:rsidRPr="00CB43D3">
        <w:t>levelling,  involve</w:t>
      </w:r>
      <w:proofErr w:type="gramEnd"/>
      <w:r w:rsidRPr="00CB43D3">
        <w:t xml:space="preserve"> producing a grade structure and placing different jobs on certain levels of the structure, on a broad sense of importance, responsibility and difficulty (CIPD, 2025; van de </w:t>
      </w:r>
      <w:proofErr w:type="spellStart"/>
      <w:r w:rsidRPr="00CB43D3">
        <w:t>Glind</w:t>
      </w:r>
      <w:proofErr w:type="spellEnd"/>
      <w:r w:rsidRPr="00CB43D3">
        <w:t xml:space="preserve"> et al., 2024). Another simple but time-consuming version of a non-analytical scheme is paired comparison, which involves comparing each job against the rest of the jobs in the organisation. This reduces bias as each individual job is scrutinised </w:t>
      </w:r>
      <w:proofErr w:type="gramStart"/>
      <w:r w:rsidRPr="00CB43D3">
        <w:t>consistently, but</w:t>
      </w:r>
      <w:proofErr w:type="gramEnd"/>
      <w:r w:rsidRPr="00CB43D3">
        <w:t xml:space="preserve"> is better suited to smaller organisations due to the size of the task (Pilbeam &amp; Corbridge, 2010; CIPD, 2025; Foot &amp; Hook, 2011). For </w:t>
      </w:r>
      <w:proofErr w:type="spellStart"/>
      <w:r w:rsidRPr="00CB43D3">
        <w:t>GreenFriendlyEco</w:t>
      </w:r>
      <w:proofErr w:type="spellEnd"/>
      <w:r w:rsidRPr="00CB43D3">
        <w:t>, non-analytical job evaluation schemes such as the above may not be the best course of action as they do not provide an objective defence against equal value claims, and are generally not recommended by ACAS (ACAS, 2014).</w:t>
      </w:r>
    </w:p>
    <w:p w14:paraId="1E62D50F" w14:textId="77777777" w:rsidR="00CB43D3" w:rsidRDefault="00CB43D3" w:rsidP="00CB43D3"/>
    <w:p w14:paraId="4D4E7DDA" w14:textId="783CD377" w:rsidR="00CB43D3" w:rsidRDefault="00CB43D3" w:rsidP="00CB43D3">
      <w:r>
        <w:t>3.4</w:t>
      </w:r>
    </w:p>
    <w:p w14:paraId="40AD9A99" w14:textId="77777777" w:rsidR="00CB43D3" w:rsidRPr="00CB43D3" w:rsidRDefault="00CB43D3" w:rsidP="00CB43D3">
      <w:r w:rsidRPr="00CB43D3">
        <w:t xml:space="preserve">As set out in the </w:t>
      </w:r>
      <w:r w:rsidRPr="00CB43D3">
        <w:rPr>
          <w:i/>
          <w:iCs/>
        </w:rPr>
        <w:t xml:space="preserve">National Minimum Wage Act </w:t>
      </w:r>
      <w:r w:rsidRPr="00CB43D3">
        <w:t xml:space="preserve">(1998), there is a minimum amount that an employer must pay their workers per hour worked, and this rate is reviewed annually by the Secretary of State (National Minimum Wage Act, 1998; Torrington et al., 2020; </w:t>
      </w:r>
      <w:proofErr w:type="spellStart"/>
      <w:r w:rsidRPr="00CB43D3">
        <w:t>Acas</w:t>
      </w:r>
      <w:proofErr w:type="spellEnd"/>
      <w:r w:rsidRPr="00CB43D3">
        <w:t xml:space="preserve">, 2025). There are separate age categories, establishing separate minimum wage rates for individuals aged 21 and over, </w:t>
      </w:r>
      <w:proofErr w:type="gramStart"/>
      <w:r w:rsidRPr="00CB43D3">
        <w:t>18-21 year olds</w:t>
      </w:r>
      <w:proofErr w:type="gramEnd"/>
      <w:r w:rsidRPr="00CB43D3">
        <w:t xml:space="preserve"> and those under 18. There is also an apprentice rate, for apprentices under the age of 19 or those over the age of 19 who are in the first year of their apprenticeship (</w:t>
      </w:r>
      <w:hyperlink r:id="rId5" w:history="1">
        <w:r w:rsidRPr="00CB43D3">
          <w:rPr>
            <w:rStyle w:val="Hyperlink"/>
          </w:rPr>
          <w:t>GOV.UK</w:t>
        </w:r>
      </w:hyperlink>
      <w:r w:rsidRPr="00CB43D3">
        <w:t>, 2025). Any other payments under the minimum wage for each age category are unlawful. Despite this, underpayment remains prevalent, with an estimated 371,000 workers being underpaid in April 2024 (CIPP, 2024). In 2026, UK employers paid £7.3 million in owed wages and faced a further £12.6 million in penalties for breaking the law (Department for Business and Trade et al., 2026). </w:t>
      </w:r>
    </w:p>
    <w:p w14:paraId="5F10C87B" w14:textId="77777777" w:rsidR="00CB43D3" w:rsidRPr="00CB43D3" w:rsidRDefault="00CB43D3" w:rsidP="00CB43D3">
      <w:r w:rsidRPr="00CB43D3">
        <w:t xml:space="preserve">As set out originally in the </w:t>
      </w:r>
      <w:r w:rsidRPr="00CB43D3">
        <w:rPr>
          <w:i/>
          <w:iCs/>
        </w:rPr>
        <w:t xml:space="preserve">Equal Pay Act </w:t>
      </w:r>
      <w:r w:rsidRPr="00CB43D3">
        <w:t>(1970), then later in the</w:t>
      </w:r>
      <w:r w:rsidRPr="00CB43D3">
        <w:rPr>
          <w:i/>
          <w:iCs/>
        </w:rPr>
        <w:t xml:space="preserve"> Equality Act </w:t>
      </w:r>
      <w:r w:rsidRPr="00CB43D3">
        <w:t xml:space="preserve">(2010) and Equality and Human Rights Commission (EHRC) Statutory Code of Practice on equal pay, men and women working for the same or associated employer within an equal or similar role must receive equal pay (EHRC, 2016; Equality Act 2010; Equal Pay Act 1970). Failure to do so can be challenged in an employment tribunal and may also qualify as indirect discrimination (Equality Act 2010; </w:t>
      </w:r>
      <w:proofErr w:type="spellStart"/>
      <w:r w:rsidRPr="00CB43D3">
        <w:t>Acas</w:t>
      </w:r>
      <w:proofErr w:type="spellEnd"/>
      <w:r w:rsidRPr="00CB43D3">
        <w:t xml:space="preserve">, 2024). If substantial evidence of unequal pay is found in the tribunal, pay must be amended, and back-payments must be made to cover the period in which the relevant employees were receiving less pay (Torrington et al., 2020). Since 2017, it has been a legal requirement for organisations with more than 250 employees to publish their gender pay gap data, </w:t>
      </w:r>
      <w:r w:rsidRPr="00CB43D3">
        <w:lastRenderedPageBreak/>
        <w:t xml:space="preserve">and from 2027 onwards, publishing gender pay gap action plans will become mandatory, as set out in the </w:t>
      </w:r>
      <w:r w:rsidRPr="00CB43D3">
        <w:rPr>
          <w:i/>
          <w:iCs/>
        </w:rPr>
        <w:t xml:space="preserve">Employment Rights Act </w:t>
      </w:r>
      <w:r w:rsidRPr="00CB43D3">
        <w:t xml:space="preserve">(2025). </w:t>
      </w:r>
      <w:proofErr w:type="spellStart"/>
      <w:r w:rsidRPr="00CB43D3">
        <w:t>GreenFriendlyEco</w:t>
      </w:r>
      <w:proofErr w:type="spellEnd"/>
      <w:r w:rsidRPr="00CB43D3">
        <w:t xml:space="preserve"> will need to prepare for this change to remain compliant (</w:t>
      </w:r>
      <w:proofErr w:type="spellStart"/>
      <w:r w:rsidRPr="00CB43D3">
        <w:t>Acas</w:t>
      </w:r>
      <w:proofErr w:type="spellEnd"/>
      <w:r w:rsidRPr="00CB43D3">
        <w:t>, 2026; Employment Rights Act, 2025). </w:t>
      </w:r>
    </w:p>
    <w:p w14:paraId="21E7FBEA" w14:textId="77777777" w:rsidR="00CB43D3" w:rsidRPr="00CB43D3" w:rsidRDefault="00CB43D3" w:rsidP="00CB43D3">
      <w:r w:rsidRPr="00CB43D3">
        <w:t xml:space="preserve">Finally, all workers, including zero-hour workers and agency workers, are entitled to an itemised payslip, as set out in the </w:t>
      </w:r>
      <w:r w:rsidRPr="00CB43D3">
        <w:rPr>
          <w:i/>
          <w:iCs/>
        </w:rPr>
        <w:t xml:space="preserve">Employment Rights Act </w:t>
      </w:r>
      <w:r w:rsidRPr="00CB43D3">
        <w:t xml:space="preserve">(1996). The payslip must include the gross and net pay, and should outline any deductions (ACAS, 2024). Lawful deductions can include tax and National Insurance, which are legal requirements, pension contributions, clawback for overpayments, and any other pre-agreed deductions (Torrington et al., 2020; ACAS, 2024).  The </w:t>
      </w:r>
      <w:r w:rsidRPr="00CB43D3">
        <w:rPr>
          <w:i/>
          <w:iCs/>
        </w:rPr>
        <w:t xml:space="preserve">Employment Rights Act </w:t>
      </w:r>
      <w:r w:rsidRPr="00CB43D3">
        <w:t xml:space="preserve">(1996) also establishes an employee's right not to receive unlawful deductions from wages. Unlawful deduction claims can be made to an employment tribunal within 3 months minus 1 day (ACAS, 2023). If unlawful deductions result in an employee being paid less than minimum wage, an employment tribunal claim can also be made, or an employee may choose to seek legal action through HMRC (ACAS, 2019). </w:t>
      </w:r>
      <w:proofErr w:type="spellStart"/>
      <w:r w:rsidRPr="00CB43D3">
        <w:t>GreenFriendlyEco</w:t>
      </w:r>
      <w:proofErr w:type="spellEnd"/>
      <w:r w:rsidRPr="00CB43D3">
        <w:t xml:space="preserve"> should take care to consult employees about any deductions and amend mistakes promptly.</w:t>
      </w:r>
    </w:p>
    <w:p w14:paraId="0546DEDD" w14:textId="77777777" w:rsidR="00CB43D3" w:rsidRDefault="00CB43D3" w:rsidP="00CB43D3"/>
    <w:p w14:paraId="619F60A5" w14:textId="1778CD93" w:rsidR="00CB43D3" w:rsidRDefault="00CB43D3" w:rsidP="00CB43D3">
      <w:r>
        <w:t>Bibliography</w:t>
      </w:r>
    </w:p>
    <w:p w14:paraId="723EF651" w14:textId="77777777" w:rsidR="003164CA" w:rsidRDefault="003164CA" w:rsidP="003164CA">
      <w:r>
        <w:t>ACAS (2014). Job evaluation: considerations and risks advice booklet. [online] [</w:t>
      </w:r>
      <w:proofErr w:type="gramStart"/>
      <w:r>
        <w:t>www.acas.org.uk](</w:t>
      </w:r>
      <w:proofErr w:type="gramEnd"/>
      <w:r>
        <w:t>http://www.acas.org.uk). Available at: [</w:t>
      </w:r>
      <w:proofErr w:type="gramStart"/>
      <w:r>
        <w:t>https://www.acas.org.uk/job-evaluation-considerations-and-risks-advice-booklet](</w:t>
      </w:r>
      <w:proofErr w:type="gramEnd"/>
      <w:r>
        <w:t>https://www.acas.org.uk/job-evaluation-considerations-and-risks-advice-booklet).</w:t>
      </w:r>
    </w:p>
    <w:p w14:paraId="747C873F" w14:textId="77777777" w:rsidR="003164CA" w:rsidRDefault="003164CA" w:rsidP="003164CA"/>
    <w:p w14:paraId="685D659C" w14:textId="77777777" w:rsidR="003164CA" w:rsidRDefault="003164CA" w:rsidP="003164CA">
      <w:r>
        <w:t xml:space="preserve">ACAS (2019). If an employer does not pay minimum wage | </w:t>
      </w:r>
      <w:proofErr w:type="spellStart"/>
      <w:r>
        <w:t>Acas</w:t>
      </w:r>
      <w:proofErr w:type="spellEnd"/>
      <w:r>
        <w:t>. [online] ACAS. Available at: [</w:t>
      </w:r>
      <w:proofErr w:type="gramStart"/>
      <w:r>
        <w:t>https://www.acas.org.uk/national-minimum-wage-entitlement/if-an-employer-does-not-pay-minimum-wage](</w:t>
      </w:r>
      <w:proofErr w:type="gramEnd"/>
      <w:r>
        <w:t>https://www.acas.org.uk/national-minimum-wage-entitlement/if-an-employer-does-not-pay-minimum-wage).</w:t>
      </w:r>
    </w:p>
    <w:p w14:paraId="620FF6E6" w14:textId="77777777" w:rsidR="003164CA" w:rsidRDefault="003164CA" w:rsidP="003164CA"/>
    <w:p w14:paraId="197FBE9B" w14:textId="77777777" w:rsidR="003164CA" w:rsidRDefault="003164CA" w:rsidP="003164CA">
      <w:r>
        <w:t xml:space="preserve">ACAS (2023). Making and checking deductions: Deductions from pay and wages. [online] </w:t>
      </w:r>
      <w:proofErr w:type="spellStart"/>
      <w:r>
        <w:t>Acas</w:t>
      </w:r>
      <w:proofErr w:type="spellEnd"/>
      <w:r>
        <w:t>. Available at: [</w:t>
      </w:r>
      <w:proofErr w:type="gramStart"/>
      <w:r>
        <w:t>https://www.acas.org.uk/deductions-from-pay-and-wages](</w:t>
      </w:r>
      <w:proofErr w:type="gramEnd"/>
      <w:r>
        <w:t>https://www.acas.org.uk/deductions-from-pay-and-wages).</w:t>
      </w:r>
    </w:p>
    <w:p w14:paraId="54C00D1C" w14:textId="77777777" w:rsidR="003164CA" w:rsidRDefault="003164CA" w:rsidP="003164CA"/>
    <w:p w14:paraId="66C3CBFA" w14:textId="77777777" w:rsidR="003164CA" w:rsidRDefault="003164CA" w:rsidP="003164CA">
      <w:r>
        <w:t>ACAS (2024). Equal Pay and The Law. [online] ACAS. Available at: [</w:t>
      </w:r>
      <w:proofErr w:type="gramStart"/>
      <w:r>
        <w:t>https://www.acas.org.uk/equal-pay/equal-pay-law](</w:t>
      </w:r>
      <w:proofErr w:type="gramEnd"/>
      <w:r>
        <w:t>https://www.acas.org.uk/equal-pay/equal-pay-law).</w:t>
      </w:r>
    </w:p>
    <w:p w14:paraId="007529BD" w14:textId="77777777" w:rsidR="003164CA" w:rsidRDefault="003164CA" w:rsidP="003164CA"/>
    <w:p w14:paraId="29CEEB10" w14:textId="77777777" w:rsidR="003164CA" w:rsidRDefault="003164CA" w:rsidP="003164CA">
      <w:r>
        <w:t xml:space="preserve">ACAS (2024). Payslips - </w:t>
      </w:r>
      <w:proofErr w:type="spellStart"/>
      <w:r>
        <w:t>Acas</w:t>
      </w:r>
      <w:proofErr w:type="spellEnd"/>
      <w:r>
        <w:t>. [online] [</w:t>
      </w:r>
      <w:proofErr w:type="gramStart"/>
      <w:r>
        <w:t>www.acas.org.uk](</w:t>
      </w:r>
      <w:proofErr w:type="gramEnd"/>
      <w:r>
        <w:t>http://www.acas.org.uk). Available at: [</w:t>
      </w:r>
      <w:proofErr w:type="gramStart"/>
      <w:r>
        <w:t>https://www.acas.org.uk/payslips](</w:t>
      </w:r>
      <w:proofErr w:type="gramEnd"/>
      <w:r>
        <w:t>https://www.acas.org.uk/payslips).</w:t>
      </w:r>
    </w:p>
    <w:p w14:paraId="021C8F85" w14:textId="77777777" w:rsidR="003164CA" w:rsidRDefault="003164CA" w:rsidP="003164CA"/>
    <w:p w14:paraId="1CBAA3F8" w14:textId="77777777" w:rsidR="003164CA" w:rsidRDefault="003164CA" w:rsidP="003164CA">
      <w:r>
        <w:t xml:space="preserve">ACAS (2026). Gender </w:t>
      </w:r>
      <w:proofErr w:type="gramStart"/>
      <w:r>
        <w:t>pay</w:t>
      </w:r>
      <w:proofErr w:type="gramEnd"/>
      <w:r>
        <w:t xml:space="preserve"> gap reporting - </w:t>
      </w:r>
      <w:proofErr w:type="spellStart"/>
      <w:r>
        <w:t>Acas</w:t>
      </w:r>
      <w:proofErr w:type="spellEnd"/>
      <w:r>
        <w:t>. [online] [</w:t>
      </w:r>
      <w:proofErr w:type="gramStart"/>
      <w:r>
        <w:t>www.acas.org.uk](</w:t>
      </w:r>
      <w:proofErr w:type="gramEnd"/>
      <w:r>
        <w:t>http://www.acas.org.uk). Available at: [</w:t>
      </w:r>
      <w:proofErr w:type="gramStart"/>
      <w:r>
        <w:t>https://www.acas.org.uk/gender-pay-gap-reporting](</w:t>
      </w:r>
      <w:proofErr w:type="gramEnd"/>
      <w:r>
        <w:t>https://www.acas.org.uk/gender-pay-gap-reporting).</w:t>
      </w:r>
    </w:p>
    <w:p w14:paraId="3F31173B" w14:textId="77777777" w:rsidR="003164CA" w:rsidRDefault="003164CA" w:rsidP="003164CA"/>
    <w:p w14:paraId="5955191F" w14:textId="77777777" w:rsidR="003164CA" w:rsidRDefault="003164CA" w:rsidP="003164CA">
      <w:r>
        <w:t xml:space="preserve">Antoni, C.H., Baeten, X., Perkins, S.J., Shaw, J.D. and Vartiainen, M. (2017). Reward management: Linking Employee Motivation and Organizational Performance. Journal of Personnel Psychology, [online] 16(2), pp.57–60. </w:t>
      </w:r>
      <w:proofErr w:type="gramStart"/>
      <w:r>
        <w:t>doi:[https://doi.org/10.1027/1866-5888/a000187](</w:t>
      </w:r>
      <w:proofErr w:type="gramEnd"/>
      <w:r>
        <w:t>https://doi.org/10.1027/1866-5888/a000187).</w:t>
      </w:r>
    </w:p>
    <w:p w14:paraId="30B1A4F6" w14:textId="77777777" w:rsidR="003164CA" w:rsidRDefault="003164CA" w:rsidP="003164CA"/>
    <w:p w14:paraId="2A123E05" w14:textId="77777777" w:rsidR="003164CA" w:rsidRDefault="003164CA" w:rsidP="003164CA">
      <w:r>
        <w:t xml:space="preserve">Armstrong, M., &amp; Brown, D. (2024). Armstrong’s handbook of reward management </w:t>
      </w:r>
      <w:proofErr w:type="gramStart"/>
      <w:r>
        <w:t>practice :</w:t>
      </w:r>
      <w:proofErr w:type="gramEnd"/>
      <w:r>
        <w:t xml:space="preserve"> improving performance through reward. (Seventh edition.). </w:t>
      </w:r>
      <w:proofErr w:type="spellStart"/>
      <w:r>
        <w:t>KoganPage</w:t>
      </w:r>
      <w:proofErr w:type="spellEnd"/>
      <w:r>
        <w:t>. [</w:t>
      </w:r>
      <w:proofErr w:type="gramStart"/>
      <w:r>
        <w:t>https://app.kortext.com/borrow/2487430](</w:t>
      </w:r>
      <w:proofErr w:type="gramEnd"/>
      <w:r>
        <w:t>https://app.kortext.com/borrow/2487430)</w:t>
      </w:r>
    </w:p>
    <w:p w14:paraId="18E218B1" w14:textId="77777777" w:rsidR="003164CA" w:rsidRDefault="003164CA" w:rsidP="003164CA"/>
    <w:p w14:paraId="34D9EDBB" w14:textId="77777777" w:rsidR="003164CA" w:rsidRDefault="003164CA" w:rsidP="003164CA">
      <w:r>
        <w:t>CIPD (2022). Incentives and recognition: An evidence review. [online] CIPD. Available at: [</w:t>
      </w:r>
      <w:proofErr w:type="gramStart"/>
      <w:r>
        <w:t>https://www.cipd.org/uk/knowledge/evidence-reviews/evidence-financial-incentives/](</w:t>
      </w:r>
      <w:proofErr w:type="gramEnd"/>
      <w:r>
        <w:t>https://www.cipd.org/uk/knowledge/evidence-reviews/evidence-financial-incentives/).</w:t>
      </w:r>
    </w:p>
    <w:p w14:paraId="2781F7F3" w14:textId="77777777" w:rsidR="003164CA" w:rsidRDefault="003164CA" w:rsidP="003164CA"/>
    <w:p w14:paraId="4011F706" w14:textId="77777777" w:rsidR="003164CA" w:rsidRDefault="003164CA" w:rsidP="003164CA">
      <w:r>
        <w:t>CIPD (2024). Pay Structures and Pay Progression. [online] CIPD. Available at: [</w:t>
      </w:r>
      <w:proofErr w:type="gramStart"/>
      <w:r>
        <w:t>https://www.cipd.org/uk/knowledge/factsheets/pay-structures-factsheet/](</w:t>
      </w:r>
      <w:proofErr w:type="gramEnd"/>
      <w:r>
        <w:t>https://www.cipd.org/uk/knowledge/factsheets/pay-structures-factsheet/).</w:t>
      </w:r>
    </w:p>
    <w:p w14:paraId="0C3E818A" w14:textId="77777777" w:rsidR="003164CA" w:rsidRDefault="003164CA" w:rsidP="003164CA"/>
    <w:p w14:paraId="54FC553C" w14:textId="77777777" w:rsidR="003164CA" w:rsidRDefault="003164CA" w:rsidP="003164CA">
      <w:r>
        <w:t>CIPD (2024). Performance Related Pay. [online] CIPD. Available at: [</w:t>
      </w:r>
      <w:proofErr w:type="gramStart"/>
      <w:r>
        <w:t>https://www.cipd.org/uk/knowledge/factsheets/pay-performance-factsheet/](</w:t>
      </w:r>
      <w:proofErr w:type="gramEnd"/>
      <w:r>
        <w:t>https://www.cipd.org/uk/knowledge/factsheets/pay-performance-factsheet/).</w:t>
      </w:r>
    </w:p>
    <w:p w14:paraId="6F5ED149" w14:textId="77777777" w:rsidR="003164CA" w:rsidRDefault="003164CA" w:rsidP="003164CA"/>
    <w:p w14:paraId="238FCC57" w14:textId="77777777" w:rsidR="003164CA" w:rsidRDefault="003164CA" w:rsidP="003164CA">
      <w:r>
        <w:lastRenderedPageBreak/>
        <w:t>CIPD (2025). CIPD | Reward | Factsheets. [online] CIPD. Available at: [</w:t>
      </w:r>
      <w:proofErr w:type="gramStart"/>
      <w:r>
        <w:t>https://www.cipd.org/en/knowledge/factsheets/reward-factsheet/](</w:t>
      </w:r>
      <w:proofErr w:type="gramEnd"/>
      <w:r>
        <w:t>https://www.cipd.org/en/knowledge/factsheets/reward-factsheet/).</w:t>
      </w:r>
    </w:p>
    <w:p w14:paraId="5E9EF1F5" w14:textId="77777777" w:rsidR="003164CA" w:rsidRDefault="003164CA" w:rsidP="003164CA"/>
    <w:p w14:paraId="12B5215E" w14:textId="77777777" w:rsidR="003164CA" w:rsidRDefault="003164CA" w:rsidP="003164CA">
      <w:r>
        <w:t>CIPD (2025). Job Evaluation &amp; Market Pricing. [online] CIPD. Available at: [</w:t>
      </w:r>
      <w:proofErr w:type="gramStart"/>
      <w:r>
        <w:t>https://www.cipd.org/uk/knowledge/factsheets/market-pricing-factsheet/](</w:t>
      </w:r>
      <w:proofErr w:type="gramEnd"/>
      <w:r>
        <w:t>https://www.cipd.org/uk/knowledge/factsheets/market-pricing-factsheet/).</w:t>
      </w:r>
    </w:p>
    <w:p w14:paraId="49CDD310" w14:textId="77777777" w:rsidR="003164CA" w:rsidRDefault="003164CA" w:rsidP="003164CA"/>
    <w:p w14:paraId="7826E453" w14:textId="77777777" w:rsidR="003164CA" w:rsidRDefault="003164CA" w:rsidP="003164CA">
      <w:r>
        <w:t>CIPD (2025). Psychological Contract. [online] CIPD. Available at: [</w:t>
      </w:r>
      <w:proofErr w:type="gramStart"/>
      <w:r>
        <w:t>https://www.cipd.org/uk/knowledge/factsheets/psychological-factsheet/](</w:t>
      </w:r>
      <w:proofErr w:type="gramEnd"/>
      <w:r>
        <w:t>https://www.cipd.org/uk/knowledge/factsheets/psychological-factsheet/).</w:t>
      </w:r>
    </w:p>
    <w:p w14:paraId="07124A5A" w14:textId="77777777" w:rsidR="003164CA" w:rsidRDefault="003164CA" w:rsidP="003164CA"/>
    <w:p w14:paraId="63BB1E75" w14:textId="77777777" w:rsidR="003164CA" w:rsidRDefault="003164CA" w:rsidP="003164CA">
      <w:r>
        <w:t>CIPP (2024). Low Pay Commission Report on NMW in 2024. [online] Cipp.org.uk. Available at: [</w:t>
      </w:r>
      <w:proofErr w:type="gramStart"/>
      <w:r>
        <w:t>https://www.cipp.org.uk/resources/news/low-pay-commission-publish-nmw-in-2024-report.html](</w:t>
      </w:r>
      <w:proofErr w:type="gramEnd"/>
      <w:r>
        <w:t>https://www.cipp.org.uk/resources/news/low-pay-commission-publish-nmw-in-2024-report.html) [Accessed 28 Apr. 2026].</w:t>
      </w:r>
    </w:p>
    <w:p w14:paraId="1C8C5E73" w14:textId="77777777" w:rsidR="003164CA" w:rsidRDefault="003164CA" w:rsidP="003164CA"/>
    <w:p w14:paraId="5010237D" w14:textId="77777777" w:rsidR="003164CA" w:rsidRDefault="003164CA" w:rsidP="003164CA">
      <w:r>
        <w:t>Cotton, C. (2023). CIPD | Workplace Pensions | Factsheets. [online] CIPD. Available at: [</w:t>
      </w:r>
      <w:proofErr w:type="gramStart"/>
      <w:r>
        <w:t>https://www.cipd.org/uk/knowledge/factsheets/workplace-pensions-factsheet/](</w:t>
      </w:r>
      <w:proofErr w:type="gramEnd"/>
      <w:r>
        <w:t>https://www.cipd.org/uk/knowledge/factsheets/workplace-pensions-factsheet/).</w:t>
      </w:r>
    </w:p>
    <w:p w14:paraId="162E57B7" w14:textId="77777777" w:rsidR="003164CA" w:rsidRDefault="003164CA" w:rsidP="003164CA"/>
    <w:p w14:paraId="0AE7D123" w14:textId="77777777" w:rsidR="003164CA" w:rsidRDefault="003164CA" w:rsidP="003164CA">
      <w:r>
        <w:t>Deci, E. and Ryan, R. (1985) Intrinsic motivation and self-determination in human behaviour. New York: Plenum.</w:t>
      </w:r>
    </w:p>
    <w:p w14:paraId="7A4EF464" w14:textId="77777777" w:rsidR="003164CA" w:rsidRDefault="003164CA" w:rsidP="003164CA"/>
    <w:p w14:paraId="4202A7E0" w14:textId="77777777" w:rsidR="003164CA" w:rsidRDefault="003164CA" w:rsidP="003164CA">
      <w:r>
        <w:t xml:space="preserve">Department for Business and Trade, Fair Work Agency, HM Revenue &amp; Customs, </w:t>
      </w:r>
      <w:proofErr w:type="gramStart"/>
      <w:r>
        <w:t>Dearden ,</w:t>
      </w:r>
      <w:proofErr w:type="gramEnd"/>
      <w:r>
        <w:t xml:space="preserve"> K. and Kyle, P. (2026). Hundreds of employers handed penalties for illegally underpaying workers. [online] GOV.UK. Available at: [</w:t>
      </w:r>
      <w:proofErr w:type="gramStart"/>
      <w:r>
        <w:t>https://www.gov.uk/government/news/hundreds-of-employers-handed-penalties-for-illegally-underpaying-workers](</w:t>
      </w:r>
      <w:proofErr w:type="gramEnd"/>
      <w:r>
        <w:t>https://www.gov.uk/government/news/hundreds-of-employers-handed-penalties-for-illegally-underpaying-workers).</w:t>
      </w:r>
    </w:p>
    <w:p w14:paraId="7AEF067A" w14:textId="77777777" w:rsidR="003164CA" w:rsidRDefault="003164CA" w:rsidP="003164CA"/>
    <w:p w14:paraId="3ED868D0" w14:textId="77777777" w:rsidR="003164CA" w:rsidRDefault="003164CA" w:rsidP="003164CA">
      <w:r>
        <w:t xml:space="preserve">Dickson, M. and Papps, K.L. (2016). How the national minimum wage affects flows in and out of employment: An investigation using worker-level data. [online] the University </w:t>
      </w:r>
      <w:r>
        <w:lastRenderedPageBreak/>
        <w:t>of Bath’s research portal. Available at: [</w:t>
      </w:r>
      <w:proofErr w:type="gramStart"/>
      <w:r>
        <w:t>https://researchportal.bath.ac.uk/en/publications/how-the-national-minimum-wage-affects-flows-in-and-out-of-employm/](</w:t>
      </w:r>
      <w:proofErr w:type="gramEnd"/>
      <w:r>
        <w:t>https://researchportal.bath.ac.uk/en/publications/how-the-national-minimum-wage-affects-flows-in-and-out-of-employm/).</w:t>
      </w:r>
    </w:p>
    <w:p w14:paraId="0F39BC05" w14:textId="77777777" w:rsidR="003164CA" w:rsidRDefault="003164CA" w:rsidP="003164CA"/>
    <w:p w14:paraId="34EED818" w14:textId="77777777" w:rsidR="003164CA" w:rsidRDefault="003164CA" w:rsidP="003164CA">
      <w:r>
        <w:t>EHRC (2016). Equal pay: Code of Practice | EHRC. [online] [</w:t>
      </w:r>
      <w:proofErr w:type="gramStart"/>
      <w:r>
        <w:t>www.equalityhumanrights.com](</w:t>
      </w:r>
      <w:proofErr w:type="gramEnd"/>
      <w:r>
        <w:t>http://www.equalityhumanrights.com). Available at: [</w:t>
      </w:r>
      <w:proofErr w:type="gramStart"/>
      <w:r>
        <w:t>https://www.equalityhumanrights.com/equality/equality-act-2010/codes-practice/equal-pay-code-practice-0](</w:t>
      </w:r>
      <w:proofErr w:type="gramEnd"/>
      <w:r>
        <w:t>https://www.equalityhumanrights.com/equality/equality-act-2010/codes-practice/equal-pay-code-practice-0).</w:t>
      </w:r>
    </w:p>
    <w:p w14:paraId="49E4E71C" w14:textId="77777777" w:rsidR="003164CA" w:rsidRDefault="003164CA" w:rsidP="003164CA"/>
    <w:p w14:paraId="6D830791" w14:textId="77777777" w:rsidR="003164CA" w:rsidRDefault="003164CA" w:rsidP="003164CA">
      <w:r>
        <w:t>Equal Pay Act 1970. London: The Stationery Office. Available at: [</w:t>
      </w:r>
      <w:proofErr w:type="gramStart"/>
      <w:r>
        <w:t>https://www.legislation.gov.uk/ukpga/1970/41](</w:t>
      </w:r>
      <w:proofErr w:type="gramEnd"/>
      <w:r>
        <w:t>https://www.legislation.gov.uk/ukpga/1970/41)</w:t>
      </w:r>
    </w:p>
    <w:p w14:paraId="56C6432E" w14:textId="77777777" w:rsidR="003164CA" w:rsidRDefault="003164CA" w:rsidP="003164CA"/>
    <w:p w14:paraId="0F0C1F25" w14:textId="77777777" w:rsidR="003164CA" w:rsidRDefault="003164CA" w:rsidP="003164CA">
      <w:r>
        <w:t>Equality Act 2010. London: The Stationery Office. Available at: [</w:t>
      </w:r>
      <w:proofErr w:type="gramStart"/>
      <w:r>
        <w:t>https://www.legislation.gov.uk/ukpga/2010/15/contents](</w:t>
      </w:r>
      <w:proofErr w:type="gramEnd"/>
      <w:r>
        <w:t>https://www.legislation.gov.uk/ukpga/2010/15/contents)</w:t>
      </w:r>
    </w:p>
    <w:p w14:paraId="5F138357" w14:textId="77777777" w:rsidR="003164CA" w:rsidRDefault="003164CA" w:rsidP="003164CA"/>
    <w:p w14:paraId="0AA28397" w14:textId="77777777" w:rsidR="003164CA" w:rsidRDefault="003164CA" w:rsidP="003164CA">
      <w:r>
        <w:t>Employment Rights Act 1996. Available at: [</w:t>
      </w:r>
      <w:proofErr w:type="gramStart"/>
      <w:r>
        <w:t>https://www.legislation.gov.uk/ukpga/1996/18/contents](</w:t>
      </w:r>
      <w:proofErr w:type="gramEnd"/>
      <w:r>
        <w:t>https://www.legislation.gov.uk/ukpga/1996/18/contents)</w:t>
      </w:r>
    </w:p>
    <w:p w14:paraId="179EE950" w14:textId="77777777" w:rsidR="003164CA" w:rsidRDefault="003164CA" w:rsidP="003164CA"/>
    <w:p w14:paraId="4669510B" w14:textId="77777777" w:rsidR="003164CA" w:rsidRDefault="003164CA" w:rsidP="003164CA">
      <w:r>
        <w:t>Employment Rights Act 2025. Available at: [</w:t>
      </w:r>
      <w:proofErr w:type="gramStart"/>
      <w:r>
        <w:t>https://www.legislation.gov.uk](</w:t>
      </w:r>
      <w:proofErr w:type="gramEnd"/>
      <w:r>
        <w:t>https://www.legislation.gov.uk)</w:t>
      </w:r>
    </w:p>
    <w:p w14:paraId="5156E890" w14:textId="77777777" w:rsidR="003164CA" w:rsidRDefault="003164CA" w:rsidP="003164CA"/>
    <w:p w14:paraId="0E24C6CA" w14:textId="77777777" w:rsidR="003164CA" w:rsidRDefault="003164CA" w:rsidP="003164CA">
      <w:proofErr w:type="spellStart"/>
      <w:r>
        <w:t>Felfe</w:t>
      </w:r>
      <w:proofErr w:type="spellEnd"/>
      <w:r>
        <w:t>, C. (2012). The Willingness to Pay for Job Amenities: Evidence from Mothers’ Return to Work.</w:t>
      </w:r>
    </w:p>
    <w:p w14:paraId="33EAEB21" w14:textId="77777777" w:rsidR="003164CA" w:rsidRDefault="003164CA" w:rsidP="003164CA"/>
    <w:p w14:paraId="564B3039" w14:textId="77777777" w:rsidR="003164CA" w:rsidRDefault="003164CA" w:rsidP="003164CA">
      <w:r>
        <w:t xml:space="preserve">Figueiredo, E., </w:t>
      </w:r>
      <w:proofErr w:type="spellStart"/>
      <w:r>
        <w:t>Margaça</w:t>
      </w:r>
      <w:proofErr w:type="spellEnd"/>
      <w:r>
        <w:t xml:space="preserve">, C., García, J.C.S. and Ribeiro, C. (2025). The Contribution of Reward Systems in the Work Context: A Systematic Review of the Literature and Directions for Future Research. Journal of the Knowledge Economy, [online] 4(2). </w:t>
      </w:r>
      <w:proofErr w:type="gramStart"/>
      <w:r>
        <w:lastRenderedPageBreak/>
        <w:t>doi:[https://doi.org/10.1007/s13132-024-02492-w](</w:t>
      </w:r>
      <w:proofErr w:type="gramEnd"/>
      <w:r>
        <w:t>https://doi.org/10.1007/s13132-024-02492-w).</w:t>
      </w:r>
    </w:p>
    <w:p w14:paraId="1D85CF61" w14:textId="77777777" w:rsidR="003164CA" w:rsidRDefault="003164CA" w:rsidP="003164CA"/>
    <w:p w14:paraId="31717975" w14:textId="77777777" w:rsidR="003164CA" w:rsidRDefault="003164CA" w:rsidP="003164CA">
      <w:r>
        <w:t>Foot, M. and Hook, C. (2011) Introducing human resource management. 6th ed. Harlow: Financial Times Prentice Hall.</w:t>
      </w:r>
    </w:p>
    <w:p w14:paraId="694D4056" w14:textId="77777777" w:rsidR="003164CA" w:rsidRDefault="003164CA" w:rsidP="003164CA"/>
    <w:p w14:paraId="53AA2458" w14:textId="77777777" w:rsidR="003164CA" w:rsidRDefault="003164CA" w:rsidP="003164CA">
      <w:r>
        <w:t>Gallup (2024). Employee Recognition: Low Cost, High Impact. [online] Gallup. Available at: [</w:t>
      </w:r>
      <w:proofErr w:type="gramStart"/>
      <w:r>
        <w:t>https://www.gallup.com/workplace/236441/employee-recognition-low-cost-high-impact.aspx](</w:t>
      </w:r>
      <w:proofErr w:type="gramEnd"/>
      <w:r>
        <w:t>https://www.gallup.com/workplace/236441/employee-recognition-low-cost-high-impact.aspx).</w:t>
      </w:r>
    </w:p>
    <w:p w14:paraId="41411C89" w14:textId="77777777" w:rsidR="003164CA" w:rsidRDefault="003164CA" w:rsidP="003164CA"/>
    <w:p w14:paraId="79F08211" w14:textId="77777777" w:rsidR="003164CA" w:rsidRDefault="003164CA" w:rsidP="003164CA">
      <w:r>
        <w:t xml:space="preserve">Glover, A. and </w:t>
      </w:r>
      <w:proofErr w:type="spellStart"/>
      <w:r>
        <w:t>Mustre</w:t>
      </w:r>
      <w:proofErr w:type="spellEnd"/>
      <w:r>
        <w:t xml:space="preserve">-del-Rio, J. (2021). What Happens When the Minimum Wage Rises? It Depends on Monetary Policy. The Federal Reserve Bank of Kansas City Economic Review, [online] 106(3). </w:t>
      </w:r>
      <w:proofErr w:type="gramStart"/>
      <w:r>
        <w:t>doi:[https://doi.org/10.18651/er/v106n3glovermustredelrio](</w:t>
      </w:r>
      <w:proofErr w:type="gramEnd"/>
      <w:r>
        <w:t>https://doi.org/10.18651/er/v106n3glovermustredelrio).</w:t>
      </w:r>
    </w:p>
    <w:p w14:paraId="1ABABF43" w14:textId="77777777" w:rsidR="003164CA" w:rsidRDefault="003164CA" w:rsidP="003164CA"/>
    <w:p w14:paraId="09483533" w14:textId="77777777" w:rsidR="003164CA" w:rsidRDefault="003164CA" w:rsidP="003164CA">
      <w:r>
        <w:t xml:space="preserve">Goedemé, T. and Marchal, S. (2015). Exploring a blind spot in comparative pension reform research: Long-term trends in non-contributory pensions in Europe. International Journal of Social Welfare, 25(2), pp.161–175. </w:t>
      </w:r>
      <w:proofErr w:type="gramStart"/>
      <w:r>
        <w:t>doi:[https://doi.org/10.1111/ijsw.12189](</w:t>
      </w:r>
      <w:proofErr w:type="gramEnd"/>
      <w:r>
        <w:t>https://doi.org/10.1111/ijsw.12189).</w:t>
      </w:r>
    </w:p>
    <w:p w14:paraId="322DA06C" w14:textId="77777777" w:rsidR="003164CA" w:rsidRDefault="003164CA" w:rsidP="003164CA"/>
    <w:p w14:paraId="1B70203C" w14:textId="77777777" w:rsidR="003164CA" w:rsidRDefault="003164CA" w:rsidP="003164CA">
      <w:r>
        <w:t xml:space="preserve">Goller, D. and Späth, M. (2024). ‘Good Job!’ the Impact of Positive and Negative Feedback on Performance. Sports Economics Review, [online] 8, p.100045. </w:t>
      </w:r>
      <w:proofErr w:type="gramStart"/>
      <w:r>
        <w:t>doi:[https://doi.org/10.1016/j.serev.2024.100045](</w:t>
      </w:r>
      <w:proofErr w:type="gramEnd"/>
      <w:r>
        <w:t>https://doi.org/10.1016/j.serev.2024.100045).</w:t>
      </w:r>
    </w:p>
    <w:p w14:paraId="37915ED6" w14:textId="77777777" w:rsidR="003164CA" w:rsidRDefault="003164CA" w:rsidP="003164CA"/>
    <w:p w14:paraId="5EF004B1" w14:textId="77777777" w:rsidR="003164CA" w:rsidRDefault="003164CA" w:rsidP="003164CA">
      <w:r>
        <w:t xml:space="preserve">GOV.UK (2025). Maternity </w:t>
      </w:r>
      <w:proofErr w:type="gramStart"/>
      <w:r>
        <w:t>pay</w:t>
      </w:r>
      <w:proofErr w:type="gramEnd"/>
      <w:r>
        <w:t xml:space="preserve"> and leave. [online] GOV.UK. Available at: [</w:t>
      </w:r>
      <w:proofErr w:type="gramStart"/>
      <w:r>
        <w:t>https://www.gov.uk/maternity-pay-leave/pay](</w:t>
      </w:r>
      <w:proofErr w:type="gramEnd"/>
      <w:r>
        <w:t>https://www.gov.uk/maternity-pay-leave/pay).</w:t>
      </w:r>
    </w:p>
    <w:p w14:paraId="38F0E90C" w14:textId="77777777" w:rsidR="003164CA" w:rsidRDefault="003164CA" w:rsidP="003164CA"/>
    <w:p w14:paraId="0D2936AC" w14:textId="77777777" w:rsidR="003164CA" w:rsidRDefault="003164CA" w:rsidP="003164CA">
      <w:r>
        <w:t>GOV.UK (2025). National Minimum Wage and National Living Wage Rates. [online] GOV.UK. Available at: [</w:t>
      </w:r>
      <w:proofErr w:type="gramStart"/>
      <w:r>
        <w:t>https://www.gov.uk/national-minimum-wage-rates](</w:t>
      </w:r>
      <w:proofErr w:type="gramEnd"/>
      <w:r>
        <w:t>https://www.gov.uk/national-minimum-wage-rates).</w:t>
      </w:r>
    </w:p>
    <w:p w14:paraId="012318A3" w14:textId="77777777" w:rsidR="003164CA" w:rsidRDefault="003164CA" w:rsidP="003164CA"/>
    <w:p w14:paraId="3A74E8E0" w14:textId="77777777" w:rsidR="003164CA" w:rsidRDefault="003164CA" w:rsidP="003164CA">
      <w:r>
        <w:t>Herzberg, F. (1966). Work and the Nature of Man. Thomas Y. Crowell.</w:t>
      </w:r>
    </w:p>
    <w:p w14:paraId="3216B40A" w14:textId="77777777" w:rsidR="003164CA" w:rsidRDefault="003164CA" w:rsidP="003164CA"/>
    <w:p w14:paraId="2C05C0B2" w14:textId="77777777" w:rsidR="003164CA" w:rsidRDefault="003164CA" w:rsidP="003164CA">
      <w:r>
        <w:t>Herzberg, F. (2003). One More Time: How Do You Motivate Employees? [online] Harvard Business Review. Available at: [</w:t>
      </w:r>
      <w:proofErr w:type="gramStart"/>
      <w:r>
        <w:t>https://hbr.org/2003/01/one-more-time-how-do-you-motivate-employees](</w:t>
      </w:r>
      <w:proofErr w:type="gramEnd"/>
      <w:r>
        <w:t>https://hbr.org/2003/01/one-more-time-how-do-you-motivate-employees).</w:t>
      </w:r>
    </w:p>
    <w:p w14:paraId="73BE3711" w14:textId="77777777" w:rsidR="003164CA" w:rsidRDefault="003164CA" w:rsidP="003164CA"/>
    <w:p w14:paraId="63536F2D" w14:textId="77777777" w:rsidR="003164CA" w:rsidRDefault="003164CA" w:rsidP="003164CA">
      <w:r>
        <w:t xml:space="preserve">Hill, B. (2019) The promised land: the optimal pay structure for 2020. </w:t>
      </w:r>
      <w:proofErr w:type="spellStart"/>
      <w:r>
        <w:t>Workspan</w:t>
      </w:r>
      <w:proofErr w:type="spellEnd"/>
      <w:r>
        <w:t>. November/December. pp34-39.</w:t>
      </w:r>
    </w:p>
    <w:p w14:paraId="12DCEFAF" w14:textId="77777777" w:rsidR="003164CA" w:rsidRDefault="003164CA" w:rsidP="003164CA"/>
    <w:p w14:paraId="40E3DA5A" w14:textId="77777777" w:rsidR="003164CA" w:rsidRDefault="003164CA" w:rsidP="003164CA">
      <w:r>
        <w:t xml:space="preserve">Hutchinson, S. (2013). Performance Management: Theory and Practice. London: Chartered Institute </w:t>
      </w:r>
      <w:proofErr w:type="gramStart"/>
      <w:r>
        <w:t>Of</w:t>
      </w:r>
      <w:proofErr w:type="gramEnd"/>
      <w:r>
        <w:t xml:space="preserve"> Personnel </w:t>
      </w:r>
      <w:proofErr w:type="gramStart"/>
      <w:r>
        <w:t>And</w:t>
      </w:r>
      <w:proofErr w:type="gramEnd"/>
      <w:r>
        <w:t xml:space="preserve"> Development.</w:t>
      </w:r>
    </w:p>
    <w:p w14:paraId="003C7701" w14:textId="77777777" w:rsidR="003164CA" w:rsidRDefault="003164CA" w:rsidP="003164CA"/>
    <w:p w14:paraId="2AAE1FB5" w14:textId="77777777" w:rsidR="003164CA" w:rsidRDefault="003164CA" w:rsidP="003164CA">
      <w:r>
        <w:t>Infrastructure and Projects Authority (2019). Best Practice in Benchmarking Government Project Delivery Framework. [online] Available at: [</w:t>
      </w:r>
      <w:proofErr w:type="gramStart"/>
      <w:r>
        <w:t>https://assets.publishing.service.gov.uk/government/uploads/system/uploads/attachment_data/file/1002831/1176-APS-CCS0421465542-001_Best_Practice_in_Benchmarking_Web.pdf](</w:t>
      </w:r>
      <w:proofErr w:type="gramEnd"/>
      <w:r>
        <w:t>https://assets.publishing.service.gov.uk/government/uploads/system/uploads/attachment_data/file/1002831/1176-APS-CCS0421465542-001_Best_Practice_in_Benchmarking_Web.pdf).</w:t>
      </w:r>
    </w:p>
    <w:p w14:paraId="75031B06" w14:textId="77777777" w:rsidR="003164CA" w:rsidRDefault="003164CA" w:rsidP="003164CA"/>
    <w:p w14:paraId="1330AD38" w14:textId="77777777" w:rsidR="003164CA" w:rsidRDefault="003164CA" w:rsidP="003164CA">
      <w:r>
        <w:t xml:space="preserve">Lewis, V., Marsh, G., Macmillan, J. and Mullins, R. (2019). Does acknowledgement matter? An exploratory study of the value of a Healthy Workplace Recognition Scheme. Health Promotion Journal of Australia, 31(3), pp.518–524. </w:t>
      </w:r>
      <w:proofErr w:type="gramStart"/>
      <w:r>
        <w:t>doi:[https://doi.org/10.1002/hpja.299](</w:t>
      </w:r>
      <w:proofErr w:type="gramEnd"/>
      <w:r>
        <w:t>https://doi.org/10.1002/hpja.299).</w:t>
      </w:r>
    </w:p>
    <w:p w14:paraId="4D71F085" w14:textId="77777777" w:rsidR="003164CA" w:rsidRDefault="003164CA" w:rsidP="003164CA"/>
    <w:p w14:paraId="2724FA7B" w14:textId="77777777" w:rsidR="003164CA" w:rsidRDefault="003164CA" w:rsidP="003164CA">
      <w:r>
        <w:t>McCartney, C. (2025). CIPD | Briefing | CIPD responds to UK Government parental leave and pay review. [online] CIPD. Available at: [</w:t>
      </w:r>
      <w:proofErr w:type="gramStart"/>
      <w:r>
        <w:t>https://www.cipd.org/uk/views-and-insights/thought-leadership/insight/parental-leave-pay-review/](</w:t>
      </w:r>
      <w:proofErr w:type="gramEnd"/>
      <w:r>
        <w:t>https://www.cipd.org/uk/views-and-insights/thought-leadership/insight/parental-leave-pay-review/).</w:t>
      </w:r>
    </w:p>
    <w:p w14:paraId="50AA0431" w14:textId="77777777" w:rsidR="003164CA" w:rsidRDefault="003164CA" w:rsidP="003164CA"/>
    <w:p w14:paraId="256FBEE5" w14:textId="77777777" w:rsidR="003164CA" w:rsidRDefault="003164CA" w:rsidP="003164CA">
      <w:r>
        <w:lastRenderedPageBreak/>
        <w:t>Newton, B., Tamkin, P., Gloster, R., Cox, A., Everett, C. and Cotton, J. (2018). Rapid evidence assessment: parents’ decisions about returning to work and child caring responsibilities. [online] Available at: [</w:t>
      </w:r>
      <w:proofErr w:type="gramStart"/>
      <w:r>
        <w:t>https://assets.publishing.service.gov.uk/media/5af312bfed915d0ddfb0955d/Parents__decisions_about_returning_to_work_and_child_caring_responsibilities.pdf](</w:t>
      </w:r>
      <w:proofErr w:type="gramEnd"/>
      <w:r>
        <w:t>https://assets.publishing.service.gov.uk/media/5af312bfed915d0ddfb0955d/Parents__decisions_about_returning_to_work_and_child_caring_responsibilities.pdf).</w:t>
      </w:r>
    </w:p>
    <w:p w14:paraId="4AFB0AAB" w14:textId="77777777" w:rsidR="003164CA" w:rsidRDefault="003164CA" w:rsidP="003164CA"/>
    <w:p w14:paraId="1BD513CC" w14:textId="77777777" w:rsidR="003164CA" w:rsidRDefault="003164CA" w:rsidP="003164CA">
      <w:r>
        <w:t xml:space="preserve">Oldham, G.R. and Fried, Y. (2016). Job design research and theory: Past, present and future. Organizational </w:t>
      </w:r>
      <w:proofErr w:type="spellStart"/>
      <w:r>
        <w:t>Behavior</w:t>
      </w:r>
      <w:proofErr w:type="spellEnd"/>
      <w:r>
        <w:t xml:space="preserve"> and Human Decision Processes, [online] 136, pp.20–35. </w:t>
      </w:r>
      <w:proofErr w:type="gramStart"/>
      <w:r>
        <w:t>doi:[https://doi.org/10.1016/j.obhdp.2016.05.002](</w:t>
      </w:r>
      <w:proofErr w:type="gramEnd"/>
      <w:r>
        <w:t>https://doi.org/10.1016/j.obhdp.2016.05.002).</w:t>
      </w:r>
    </w:p>
    <w:p w14:paraId="58652C22" w14:textId="77777777" w:rsidR="003164CA" w:rsidRDefault="003164CA" w:rsidP="003164CA"/>
    <w:p w14:paraId="3C5B08F1" w14:textId="77777777" w:rsidR="003164CA" w:rsidRDefault="003164CA" w:rsidP="003164CA">
      <w:r>
        <w:t xml:space="preserve">Pilbeam, S. and Corbridge, M. (2010) People resourcing and talent </w:t>
      </w:r>
      <w:proofErr w:type="gramStart"/>
      <w:r>
        <w:t>planning :</w:t>
      </w:r>
      <w:proofErr w:type="gramEnd"/>
      <w:r>
        <w:t xml:space="preserve"> HRM in practice. Fourth edition. Harlow, England: Pearson Education Limited.</w:t>
      </w:r>
    </w:p>
    <w:p w14:paraId="0B72D14F" w14:textId="77777777" w:rsidR="003164CA" w:rsidRDefault="003164CA" w:rsidP="003164CA"/>
    <w:p w14:paraId="4ED46950" w14:textId="77777777" w:rsidR="003164CA" w:rsidRDefault="003164CA" w:rsidP="003164CA">
      <w:r>
        <w:t xml:space="preserve">Pilbeam, S., &amp; Corbridge, M. (2010). People resourcing and talent </w:t>
      </w:r>
      <w:proofErr w:type="gramStart"/>
      <w:r>
        <w:t>planning :</w:t>
      </w:r>
      <w:proofErr w:type="gramEnd"/>
      <w:r>
        <w:t xml:space="preserve"> HRM in practice (Fourth edition.). Pearson Education Limited.</w:t>
      </w:r>
    </w:p>
    <w:p w14:paraId="45D902F2" w14:textId="77777777" w:rsidR="003164CA" w:rsidRDefault="003164CA" w:rsidP="003164CA"/>
    <w:p w14:paraId="3152D26F" w14:textId="77777777" w:rsidR="003164CA" w:rsidRDefault="003164CA" w:rsidP="003164CA">
      <w:r>
        <w:t>Scott, D. and Jordan, D. (2019). CIPD | The business benefits of being pay transparent. [online] CIPD. Available at: [</w:t>
      </w:r>
      <w:proofErr w:type="gramStart"/>
      <w:r>
        <w:t>https://www.cipd.org/uk/knowledge/bitesize-research/benefits-pay-transparent/](</w:t>
      </w:r>
      <w:proofErr w:type="gramEnd"/>
      <w:r>
        <w:t>https://www.cipd.org/uk/knowledge/bitesize-research/benefits-pay-transparent/).</w:t>
      </w:r>
    </w:p>
    <w:p w14:paraId="515FC1F7" w14:textId="77777777" w:rsidR="003164CA" w:rsidRDefault="003164CA" w:rsidP="003164CA"/>
    <w:p w14:paraId="61A1122C" w14:textId="77777777" w:rsidR="003164CA" w:rsidRDefault="003164CA" w:rsidP="003164CA">
      <w:proofErr w:type="spellStart"/>
      <w:r>
        <w:t>Suff</w:t>
      </w:r>
      <w:proofErr w:type="spellEnd"/>
      <w:r>
        <w:t>, P. and Reily, P. (2007). The Going Rate: Paying for Specialist Skills. [online] Available at: [</w:t>
      </w:r>
      <w:proofErr w:type="gramStart"/>
      <w:r>
        <w:t>https://www.employment-studies.co.uk/system/files/resources/files/mp77.pdf](</w:t>
      </w:r>
      <w:proofErr w:type="gramEnd"/>
      <w:r>
        <w:t>https://www.employment-studies.co.uk/system/files/resources/files/mp77.pdf).</w:t>
      </w:r>
    </w:p>
    <w:p w14:paraId="7B42FBF8" w14:textId="77777777" w:rsidR="003164CA" w:rsidRDefault="003164CA" w:rsidP="003164CA"/>
    <w:p w14:paraId="53C95F11" w14:textId="77777777" w:rsidR="003164CA" w:rsidRDefault="003164CA" w:rsidP="003164CA">
      <w:r>
        <w:t xml:space="preserve">Torrington, D, et al. Human Resource Management, Pearson Education, Limited, 2020. ProQuest </w:t>
      </w:r>
      <w:proofErr w:type="spellStart"/>
      <w:r>
        <w:t>Ebook</w:t>
      </w:r>
      <w:proofErr w:type="spellEnd"/>
      <w:r>
        <w:t xml:space="preserve"> Central, [</w:t>
      </w:r>
      <w:proofErr w:type="gramStart"/>
      <w:r>
        <w:t>http://ebookcentral.proquest.com/lib/trinity/detail.action?docID=6108840](</w:t>
      </w:r>
      <w:proofErr w:type="gramEnd"/>
      <w:r>
        <w:t>http://ebookcentral.proquest.com/lib/trinity/detail.action?docID=6108840).</w:t>
      </w:r>
    </w:p>
    <w:p w14:paraId="6F50E052" w14:textId="77777777" w:rsidR="003164CA" w:rsidRDefault="003164CA" w:rsidP="003164CA"/>
    <w:p w14:paraId="0CBA9F21" w14:textId="77777777" w:rsidR="003164CA" w:rsidRDefault="003164CA" w:rsidP="003164CA">
      <w:r>
        <w:lastRenderedPageBreak/>
        <w:t>Torrington, D., Hall, L., Taylor, S. and Atkinson, C. (2020). Human Resource Management. 11th ed. Harlow: Pearson.</w:t>
      </w:r>
    </w:p>
    <w:p w14:paraId="6E7779D8" w14:textId="77777777" w:rsidR="003164CA" w:rsidRDefault="003164CA" w:rsidP="003164CA"/>
    <w:p w14:paraId="788A50E5" w14:textId="77777777" w:rsidR="003164CA" w:rsidRDefault="003164CA" w:rsidP="003164CA">
      <w:r>
        <w:t>Torrington, D., Hall, L., Taylor, S. and Atkinson, C. (2020). Human Resource Management. 11th ed. New Jersey: Pearson.</w:t>
      </w:r>
    </w:p>
    <w:p w14:paraId="6D4E6417" w14:textId="77777777" w:rsidR="003164CA" w:rsidRDefault="003164CA" w:rsidP="003164CA"/>
    <w:p w14:paraId="7362ACC8" w14:textId="77777777" w:rsidR="003164CA" w:rsidRDefault="003164CA" w:rsidP="003164CA">
      <w:r>
        <w:t xml:space="preserve">UNICEF (2019). Paid Parental Leave </w:t>
      </w:r>
      <w:proofErr w:type="gramStart"/>
      <w:r>
        <w:t>And</w:t>
      </w:r>
      <w:proofErr w:type="gramEnd"/>
      <w:r>
        <w:t xml:space="preserve"> Family-friendly Policies </w:t>
      </w:r>
      <w:proofErr w:type="gramStart"/>
      <w:r>
        <w:t>An evidence</w:t>
      </w:r>
      <w:proofErr w:type="gramEnd"/>
      <w:r>
        <w:t xml:space="preserve"> brief. [online] Available at: [</w:t>
      </w:r>
      <w:proofErr w:type="gramStart"/>
      <w:r>
        <w:t>https://www.unicef.org/media/95086/file/UNICEF-Parental-Leave-Family-Friendly-Policies-2019.pdf](</w:t>
      </w:r>
      <w:proofErr w:type="gramEnd"/>
      <w:r>
        <w:t>https://www.unicef.org/media/95086/file/UNICEF-Parental-Leave-Family-Friendly-Policies-2019.pdf).</w:t>
      </w:r>
    </w:p>
    <w:p w14:paraId="2B8B5A30" w14:textId="77777777" w:rsidR="003164CA" w:rsidRDefault="003164CA" w:rsidP="003164CA"/>
    <w:p w14:paraId="1C0F9BB6" w14:textId="77777777" w:rsidR="003164CA" w:rsidRDefault="003164CA" w:rsidP="003164CA">
      <w:r>
        <w:t xml:space="preserve">van de </w:t>
      </w:r>
      <w:proofErr w:type="spellStart"/>
      <w:r>
        <w:t>Glind</w:t>
      </w:r>
      <w:proofErr w:type="spellEnd"/>
      <w:r>
        <w:t xml:space="preserve">, I., Mulder, R., Akkerman, A., van der </w:t>
      </w:r>
      <w:proofErr w:type="spellStart"/>
      <w:r>
        <w:t>Biezen</w:t>
      </w:r>
      <w:proofErr w:type="spellEnd"/>
      <w:r>
        <w:t xml:space="preserve">, M., Bootsma, J., </w:t>
      </w:r>
      <w:proofErr w:type="spellStart"/>
      <w:r>
        <w:t>Finnema</w:t>
      </w:r>
      <w:proofErr w:type="spellEnd"/>
      <w:r>
        <w:t xml:space="preserve">, E., van Voss, L.H., van </w:t>
      </w:r>
      <w:proofErr w:type="spellStart"/>
      <w:r>
        <w:t>Rooij</w:t>
      </w:r>
      <w:proofErr w:type="spellEnd"/>
      <w:r>
        <w:t xml:space="preserve">, J., </w:t>
      </w:r>
      <w:proofErr w:type="spellStart"/>
      <w:r>
        <w:t>Mouter</w:t>
      </w:r>
      <w:proofErr w:type="spellEnd"/>
      <w:r>
        <w:t xml:space="preserve">, N. and van de Ven, G. (2024). Mapping the Literature on Job Evaluation: A Scoping Review. Compensation &amp; Benefits Review, 57(1). </w:t>
      </w:r>
      <w:proofErr w:type="gramStart"/>
      <w:r>
        <w:t>doi:[https://doi.org/10.1177/08863687241279592](</w:t>
      </w:r>
      <w:proofErr w:type="gramEnd"/>
      <w:r>
        <w:t>https://doi.org/10.1177/08863687241279592).</w:t>
      </w:r>
    </w:p>
    <w:p w14:paraId="1DD55868" w14:textId="77777777" w:rsidR="003164CA" w:rsidRDefault="003164CA" w:rsidP="003164CA"/>
    <w:p w14:paraId="1CAD459B" w14:textId="77777777" w:rsidR="003164CA" w:rsidRDefault="003164CA" w:rsidP="003164CA">
      <w:proofErr w:type="spellStart"/>
      <w:r>
        <w:t>Weinbren</w:t>
      </w:r>
      <w:proofErr w:type="spellEnd"/>
      <w:r>
        <w:t>, E., 2026. Family values. Drapers</w:t>
      </w:r>
      <w:proofErr w:type="gramStart"/>
      <w:r>
        <w:t>, ,</w:t>
      </w:r>
      <w:proofErr w:type="gramEnd"/>
      <w:r>
        <w:t xml:space="preserve"> pp. 24-27.</w:t>
      </w:r>
    </w:p>
    <w:p w14:paraId="3E540B26" w14:textId="77777777" w:rsidR="003164CA" w:rsidRDefault="003164CA" w:rsidP="003164CA"/>
    <w:p w14:paraId="393C815A" w14:textId="77777777" w:rsidR="003164CA" w:rsidRDefault="003164CA" w:rsidP="003164CA">
      <w:r>
        <w:t>Westover, J.H. (2023). Expanding Horizons: The Excitement &amp; Benefits of Expatriate Assignments for Workers &amp; Organizations. [online] HCI Consulting. Available at: [</w:t>
      </w:r>
      <w:proofErr w:type="gramStart"/>
      <w:r>
        <w:t>https://www.innovativehumancapital.com/article/expanding-horizons-the-excitement-benefits-of-expatriate-assignments-for-workers-organizations](</w:t>
      </w:r>
      <w:proofErr w:type="gramEnd"/>
      <w:r>
        <w:t>https://www.innovativehumancapital.com/article/expanding-horizons-the-excitement-benefits-of-expatriate-assignments-for-workers-organizations).</w:t>
      </w:r>
    </w:p>
    <w:p w14:paraId="613B3DA6" w14:textId="77777777" w:rsidR="003164CA" w:rsidRDefault="003164CA" w:rsidP="003164CA"/>
    <w:p w14:paraId="38B8EEFC" w14:textId="77777777" w:rsidR="003164CA" w:rsidRDefault="003164CA" w:rsidP="003164CA">
      <w:proofErr w:type="spellStart"/>
      <w:r>
        <w:t>Xuelin</w:t>
      </w:r>
      <w:proofErr w:type="spellEnd"/>
      <w:r>
        <w:t xml:space="preserve">, C., Al Mamun, A., Hussain, W.M.H.W., Jingzu, G., Yang, Q. and Al Shami, S.S.A. (2023). Envisaging the job satisfaction and turnover intention among the young workforce: Evidence from an emerging economy. PLOS ONE, [online] 18(6), </w:t>
      </w:r>
      <w:proofErr w:type="gramStart"/>
      <w:r>
        <w:t>pp.e</w:t>
      </w:r>
      <w:proofErr w:type="gramEnd"/>
      <w:r>
        <w:t xml:space="preserve">0287284–e0287284. </w:t>
      </w:r>
      <w:proofErr w:type="gramStart"/>
      <w:r>
        <w:t>doi:[https://doi.org/10.1371/journal.pone.0287284](</w:t>
      </w:r>
      <w:proofErr w:type="gramEnd"/>
      <w:r>
        <w:t>https://doi.org/10.1371/journal.pone.0287284).</w:t>
      </w:r>
    </w:p>
    <w:p w14:paraId="29B4FFAE" w14:textId="77777777" w:rsidR="003164CA" w:rsidRDefault="003164CA" w:rsidP="003164CA"/>
    <w:p w14:paraId="2D7A9D58" w14:textId="48DC8BB9" w:rsidR="00CB43D3" w:rsidRDefault="003164CA" w:rsidP="003164CA">
      <w:r>
        <w:lastRenderedPageBreak/>
        <w:t xml:space="preserve">Zhu, F. and Newman, A. (2022). One Size Does Not Fit All: Organizational Rewards, Managerial Experience, and Employee Retention in Entrepreneurial New Ventures. Entrepreneurship Theory and Practice, 47(5), p.104225872211117. </w:t>
      </w:r>
      <w:proofErr w:type="gramStart"/>
      <w:r>
        <w:t>doi:[https://doi.org/10.1177/10422587221111729](</w:t>
      </w:r>
      <w:proofErr w:type="gramEnd"/>
      <w:hyperlink r:id="rId6" w:history="1">
        <w:r w:rsidRPr="00091D82">
          <w:rPr>
            <w:rStyle w:val="Hyperlink"/>
          </w:rPr>
          <w:t>https://doi.org/10.1177/10422587221111729</w:t>
        </w:r>
      </w:hyperlink>
      <w:r>
        <w:t>).</w:t>
      </w:r>
    </w:p>
    <w:p w14:paraId="590E8F34" w14:textId="77777777" w:rsidR="003164CA" w:rsidRDefault="003164CA" w:rsidP="003164CA"/>
    <w:p w14:paraId="3AF04D56" w14:textId="77777777" w:rsidR="003164CA" w:rsidRDefault="003164CA" w:rsidP="003164CA"/>
    <w:sectPr w:rsidR="003164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3D3"/>
    <w:rsid w:val="003164CA"/>
    <w:rsid w:val="00BC1F92"/>
    <w:rsid w:val="00CB4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351C7"/>
  <w15:chartTrackingRefBased/>
  <w15:docId w15:val="{69D6798B-006D-40BC-8034-592C3810A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43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43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43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43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43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43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43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43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43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43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43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43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43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43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43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43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43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43D3"/>
    <w:rPr>
      <w:rFonts w:eastAsiaTheme="majorEastAsia" w:cstheme="majorBidi"/>
      <w:color w:val="272727" w:themeColor="text1" w:themeTint="D8"/>
    </w:rPr>
  </w:style>
  <w:style w:type="paragraph" w:styleId="Title">
    <w:name w:val="Title"/>
    <w:basedOn w:val="Normal"/>
    <w:next w:val="Normal"/>
    <w:link w:val="TitleChar"/>
    <w:uiPriority w:val="10"/>
    <w:qFormat/>
    <w:rsid w:val="00CB43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43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43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43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43D3"/>
    <w:pPr>
      <w:spacing w:before="160"/>
      <w:jc w:val="center"/>
    </w:pPr>
    <w:rPr>
      <w:i/>
      <w:iCs/>
      <w:color w:val="404040" w:themeColor="text1" w:themeTint="BF"/>
    </w:rPr>
  </w:style>
  <w:style w:type="character" w:customStyle="1" w:styleId="QuoteChar">
    <w:name w:val="Quote Char"/>
    <w:basedOn w:val="DefaultParagraphFont"/>
    <w:link w:val="Quote"/>
    <w:uiPriority w:val="29"/>
    <w:rsid w:val="00CB43D3"/>
    <w:rPr>
      <w:i/>
      <w:iCs/>
      <w:color w:val="404040" w:themeColor="text1" w:themeTint="BF"/>
    </w:rPr>
  </w:style>
  <w:style w:type="paragraph" w:styleId="ListParagraph">
    <w:name w:val="List Paragraph"/>
    <w:basedOn w:val="Normal"/>
    <w:uiPriority w:val="34"/>
    <w:qFormat/>
    <w:rsid w:val="00CB43D3"/>
    <w:pPr>
      <w:ind w:left="720"/>
      <w:contextualSpacing/>
    </w:pPr>
  </w:style>
  <w:style w:type="character" w:styleId="IntenseEmphasis">
    <w:name w:val="Intense Emphasis"/>
    <w:basedOn w:val="DefaultParagraphFont"/>
    <w:uiPriority w:val="21"/>
    <w:qFormat/>
    <w:rsid w:val="00CB43D3"/>
    <w:rPr>
      <w:i/>
      <w:iCs/>
      <w:color w:val="0F4761" w:themeColor="accent1" w:themeShade="BF"/>
    </w:rPr>
  </w:style>
  <w:style w:type="paragraph" w:styleId="IntenseQuote">
    <w:name w:val="Intense Quote"/>
    <w:basedOn w:val="Normal"/>
    <w:next w:val="Normal"/>
    <w:link w:val="IntenseQuoteChar"/>
    <w:uiPriority w:val="30"/>
    <w:qFormat/>
    <w:rsid w:val="00CB43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43D3"/>
    <w:rPr>
      <w:i/>
      <w:iCs/>
      <w:color w:val="0F4761" w:themeColor="accent1" w:themeShade="BF"/>
    </w:rPr>
  </w:style>
  <w:style w:type="character" w:styleId="IntenseReference">
    <w:name w:val="Intense Reference"/>
    <w:basedOn w:val="DefaultParagraphFont"/>
    <w:uiPriority w:val="32"/>
    <w:qFormat/>
    <w:rsid w:val="00CB43D3"/>
    <w:rPr>
      <w:b/>
      <w:bCs/>
      <w:smallCaps/>
      <w:color w:val="0F4761" w:themeColor="accent1" w:themeShade="BF"/>
      <w:spacing w:val="5"/>
    </w:rPr>
  </w:style>
  <w:style w:type="character" w:styleId="Hyperlink">
    <w:name w:val="Hyperlink"/>
    <w:basedOn w:val="DefaultParagraphFont"/>
    <w:uiPriority w:val="99"/>
    <w:unhideWhenUsed/>
    <w:rsid w:val="00CB43D3"/>
    <w:rPr>
      <w:color w:val="467886" w:themeColor="hyperlink"/>
      <w:u w:val="single"/>
    </w:rPr>
  </w:style>
  <w:style w:type="character" w:styleId="UnresolvedMention">
    <w:name w:val="Unresolved Mention"/>
    <w:basedOn w:val="DefaultParagraphFont"/>
    <w:uiPriority w:val="99"/>
    <w:semiHidden/>
    <w:unhideWhenUsed/>
    <w:rsid w:val="00CB43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77/10422587221111729" TargetMode="External"/><Relationship Id="rId5" Type="http://schemas.openxmlformats.org/officeDocument/2006/relationships/hyperlink" Target="http://gov.uk" TargetMode="External"/><Relationship Id="rId4" Type="http://schemas.openxmlformats.org/officeDocument/2006/relationships/hyperlink" Target="http://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18</Pages>
  <Words>5964</Words>
  <Characters>33999</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Davies (2413580)</dc:creator>
  <cp:keywords/>
  <dc:description/>
  <cp:lastModifiedBy>Lowri Davies (2413580)</cp:lastModifiedBy>
  <cp:revision>1</cp:revision>
  <dcterms:created xsi:type="dcterms:W3CDTF">2026-04-28T22:30:00Z</dcterms:created>
  <dcterms:modified xsi:type="dcterms:W3CDTF">2026-04-28T22:45:00Z</dcterms:modified>
</cp:coreProperties>
</file>