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B5577" w14:textId="5DC0D78F" w:rsidR="006F4292" w:rsidRPr="006F4292" w:rsidRDefault="006F4292" w:rsidP="006F4292">
      <w:pPr>
        <w:rPr>
          <w:rFonts w:ascii="Times New Roman" w:hAnsi="Times New Roman" w:cs="Times New Roman"/>
          <w:b/>
          <w:bCs/>
          <w:sz w:val="36"/>
          <w:szCs w:val="36"/>
        </w:rPr>
      </w:pPr>
      <w:r w:rsidRPr="006F4292">
        <w:rPr>
          <w:rFonts w:ascii="Times New Roman" w:hAnsi="Times New Roman" w:cs="Times New Roman"/>
          <w:b/>
          <w:bCs/>
          <w:sz w:val="36"/>
          <w:szCs w:val="36"/>
        </w:rPr>
        <w:t xml:space="preserve">Stakeholder </w:t>
      </w:r>
      <w:r w:rsidR="0009672F">
        <w:rPr>
          <w:rFonts w:ascii="Times New Roman" w:hAnsi="Times New Roman" w:cs="Times New Roman"/>
          <w:b/>
          <w:bCs/>
          <w:sz w:val="36"/>
          <w:szCs w:val="36"/>
        </w:rPr>
        <w:t xml:space="preserve">Engagement </w:t>
      </w:r>
      <w:r w:rsidRPr="006F4292">
        <w:rPr>
          <w:rFonts w:ascii="Times New Roman" w:hAnsi="Times New Roman" w:cs="Times New Roman"/>
          <w:b/>
          <w:bCs/>
          <w:sz w:val="36"/>
          <w:szCs w:val="36"/>
        </w:rPr>
        <w:t>Plan Portfolio</w:t>
      </w:r>
    </w:p>
    <w:p w14:paraId="37BC71BB" w14:textId="77777777" w:rsidR="006F4292" w:rsidRPr="009C1E0F" w:rsidRDefault="006F4292" w:rsidP="006F4292">
      <w:pPr>
        <w:rPr>
          <w:rFonts w:ascii="Times New Roman" w:hAnsi="Times New Roman" w:cs="Times New Roman"/>
          <w:b/>
          <w:bCs/>
          <w:sz w:val="36"/>
          <w:szCs w:val="36"/>
        </w:rPr>
      </w:pPr>
      <w:r w:rsidRPr="006F4292">
        <w:rPr>
          <w:rFonts w:ascii="Times New Roman" w:hAnsi="Times New Roman" w:cs="Times New Roman"/>
          <w:b/>
          <w:bCs/>
          <w:sz w:val="36"/>
          <w:szCs w:val="36"/>
        </w:rPr>
        <w:t>Proposed Local Infrastructure Project: Development of a Community Leisure Centre</w:t>
      </w:r>
    </w:p>
    <w:p w14:paraId="10AA974C" w14:textId="6D8EF9DB" w:rsidR="006F4292" w:rsidRPr="009C1E0F" w:rsidRDefault="006F4292" w:rsidP="006F4292">
      <w:pPr>
        <w:spacing w:line="360" w:lineRule="auto"/>
        <w:rPr>
          <w:rFonts w:ascii="Times New Roman" w:hAnsi="Times New Roman" w:cs="Times New Roman"/>
          <w:b/>
          <w:bCs/>
          <w:sz w:val="36"/>
          <w:szCs w:val="36"/>
        </w:rPr>
      </w:pPr>
      <w:r w:rsidRPr="009C1E0F">
        <w:rPr>
          <w:rFonts w:ascii="Times New Roman" w:hAnsi="Times New Roman" w:cs="Times New Roman"/>
          <w:b/>
          <w:bCs/>
          <w:sz w:val="36"/>
          <w:szCs w:val="36"/>
        </w:rPr>
        <w:t>LCBB4013 Stakeholder Management</w:t>
      </w:r>
    </w:p>
    <w:p w14:paraId="0F5A2783" w14:textId="7ABB5767" w:rsidR="006F4292" w:rsidRPr="009C1E0F" w:rsidRDefault="006F4292" w:rsidP="006F4292">
      <w:pPr>
        <w:rPr>
          <w:rFonts w:ascii="Times New Roman" w:hAnsi="Times New Roman" w:cs="Times New Roman"/>
          <w:b/>
          <w:bCs/>
          <w:sz w:val="36"/>
          <w:szCs w:val="36"/>
        </w:rPr>
      </w:pPr>
      <w:r w:rsidRPr="009C1E0F">
        <w:rPr>
          <w:rFonts w:ascii="Times New Roman" w:hAnsi="Times New Roman" w:cs="Times New Roman"/>
          <w:b/>
          <w:bCs/>
          <w:sz w:val="36"/>
          <w:szCs w:val="36"/>
        </w:rPr>
        <w:t xml:space="preserve">Ana </w:t>
      </w:r>
      <w:proofErr w:type="spellStart"/>
      <w:r w:rsidRPr="009C1E0F">
        <w:rPr>
          <w:rFonts w:ascii="Times New Roman" w:hAnsi="Times New Roman" w:cs="Times New Roman"/>
          <w:b/>
          <w:bCs/>
          <w:sz w:val="36"/>
          <w:szCs w:val="36"/>
        </w:rPr>
        <w:t>Craescu</w:t>
      </w:r>
      <w:proofErr w:type="spellEnd"/>
    </w:p>
    <w:p w14:paraId="403FDECA" w14:textId="07188646" w:rsidR="006F4292" w:rsidRPr="006F4292" w:rsidRDefault="006F4292" w:rsidP="006F4292">
      <w:pPr>
        <w:rPr>
          <w:rFonts w:ascii="Times New Roman" w:hAnsi="Times New Roman" w:cs="Times New Roman"/>
          <w:b/>
          <w:bCs/>
          <w:sz w:val="36"/>
          <w:szCs w:val="36"/>
        </w:rPr>
      </w:pPr>
      <w:r w:rsidRPr="009C1E0F">
        <w:rPr>
          <w:rFonts w:ascii="Times New Roman" w:hAnsi="Times New Roman" w:cs="Times New Roman"/>
          <w:b/>
          <w:bCs/>
          <w:sz w:val="36"/>
          <w:szCs w:val="36"/>
        </w:rPr>
        <w:t xml:space="preserve">Student ID: </w:t>
      </w:r>
      <w:r w:rsidR="009C1E0F" w:rsidRPr="009C1E0F">
        <w:rPr>
          <w:rFonts w:ascii="Times New Roman" w:hAnsi="Times New Roman" w:cs="Times New Roman"/>
          <w:b/>
          <w:bCs/>
          <w:sz w:val="36"/>
          <w:szCs w:val="36"/>
        </w:rPr>
        <w:t>2237626</w:t>
      </w:r>
    </w:p>
    <w:p w14:paraId="1AB876D8" w14:textId="63E14B57" w:rsidR="006F4292" w:rsidRPr="009C1E0F" w:rsidRDefault="006F4292">
      <w:pPr>
        <w:rPr>
          <w:sz w:val="28"/>
          <w:szCs w:val="28"/>
        </w:rPr>
      </w:pPr>
    </w:p>
    <w:p w14:paraId="551431E1" w14:textId="77777777" w:rsidR="006F4292" w:rsidRPr="009C1E0F" w:rsidRDefault="006F4292">
      <w:pPr>
        <w:rPr>
          <w:sz w:val="28"/>
          <w:szCs w:val="28"/>
        </w:rPr>
      </w:pPr>
      <w:r w:rsidRPr="009C1E0F">
        <w:rPr>
          <w:sz w:val="28"/>
          <w:szCs w:val="28"/>
        </w:rPr>
        <w:br w:type="page"/>
      </w:r>
    </w:p>
    <w:sdt>
      <w:sdtPr>
        <w:rPr>
          <w:rFonts w:ascii="Times New Roman" w:eastAsiaTheme="minorHAnsi" w:hAnsi="Times New Roman" w:cs="Times New Roman"/>
          <w:b/>
          <w:bCs/>
          <w:color w:val="000000" w:themeColor="text1"/>
          <w:sz w:val="22"/>
          <w:szCs w:val="22"/>
          <w:lang w:val="en-GB"/>
        </w:rPr>
        <w:id w:val="635763426"/>
        <w:docPartObj>
          <w:docPartGallery w:val="Table of Contents"/>
          <w:docPartUnique/>
        </w:docPartObj>
      </w:sdtPr>
      <w:sdtEndPr>
        <w:rPr>
          <w:rFonts w:asciiTheme="minorHAnsi" w:hAnsiTheme="minorHAnsi" w:cstheme="minorBidi"/>
          <w:noProof/>
          <w:color w:val="auto"/>
        </w:rPr>
      </w:sdtEndPr>
      <w:sdtContent>
        <w:p w14:paraId="60318291" w14:textId="2BE54E53" w:rsidR="009C1E0F" w:rsidRPr="009C1E0F" w:rsidRDefault="009C1E0F" w:rsidP="009C1E0F">
          <w:pPr>
            <w:pStyle w:val="TOCHeading"/>
            <w:jc w:val="center"/>
            <w:rPr>
              <w:rFonts w:ascii="Times New Roman" w:hAnsi="Times New Roman" w:cs="Times New Roman"/>
              <w:b/>
              <w:bCs/>
              <w:color w:val="000000" w:themeColor="text1"/>
            </w:rPr>
          </w:pPr>
          <w:r w:rsidRPr="009C1E0F">
            <w:rPr>
              <w:rFonts w:ascii="Times New Roman" w:hAnsi="Times New Roman" w:cs="Times New Roman"/>
              <w:b/>
              <w:bCs/>
              <w:color w:val="000000" w:themeColor="text1"/>
            </w:rPr>
            <w:t>TABLE OF CONTENTS</w:t>
          </w:r>
        </w:p>
        <w:p w14:paraId="5C557A28" w14:textId="4AFB6E9A" w:rsidR="009C1E0F" w:rsidRPr="009C1E0F" w:rsidRDefault="009C1E0F">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216746266" w:history="1">
            <w:r w:rsidRPr="009C1E0F">
              <w:rPr>
                <w:rStyle w:val="Hyperlink"/>
                <w:rFonts w:ascii="Times New Roman" w:hAnsi="Times New Roman" w:cs="Times New Roman"/>
                <w:b/>
                <w:bCs/>
                <w:noProof/>
                <w:sz w:val="24"/>
                <w:szCs w:val="24"/>
              </w:rPr>
              <w:t>Element 1: Introduction</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_Toc216746266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3</w:t>
            </w:r>
            <w:r w:rsidRPr="009C1E0F">
              <w:rPr>
                <w:rFonts w:ascii="Times New Roman" w:hAnsi="Times New Roman" w:cs="Times New Roman"/>
                <w:noProof/>
                <w:webHidden/>
                <w:sz w:val="24"/>
                <w:szCs w:val="24"/>
              </w:rPr>
              <w:fldChar w:fldCharType="end"/>
            </w:r>
          </w:hyperlink>
        </w:p>
        <w:p w14:paraId="563C2DE4" w14:textId="60C2C822" w:rsidR="009C1E0F" w:rsidRPr="009C1E0F" w:rsidRDefault="009C1E0F">
          <w:pPr>
            <w:pStyle w:val="TOC1"/>
            <w:tabs>
              <w:tab w:val="right" w:leader="dot" w:pos="9016"/>
            </w:tabs>
            <w:rPr>
              <w:rFonts w:ascii="Times New Roman" w:hAnsi="Times New Roman" w:cs="Times New Roman"/>
              <w:noProof/>
              <w:sz w:val="24"/>
              <w:szCs w:val="24"/>
            </w:rPr>
          </w:pPr>
          <w:hyperlink w:anchor="_Toc216746267" w:history="1">
            <w:r w:rsidRPr="009C1E0F">
              <w:rPr>
                <w:rStyle w:val="Hyperlink"/>
                <w:rFonts w:ascii="Times New Roman" w:hAnsi="Times New Roman" w:cs="Times New Roman"/>
                <w:b/>
                <w:bCs/>
                <w:noProof/>
                <w:sz w:val="24"/>
                <w:szCs w:val="24"/>
              </w:rPr>
              <w:t>Element 2: Application Including Stakeholder Engagement Strategies</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_Toc216746267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4</w:t>
            </w:r>
            <w:r w:rsidRPr="009C1E0F">
              <w:rPr>
                <w:rFonts w:ascii="Times New Roman" w:hAnsi="Times New Roman" w:cs="Times New Roman"/>
                <w:noProof/>
                <w:webHidden/>
                <w:sz w:val="24"/>
                <w:szCs w:val="24"/>
              </w:rPr>
              <w:fldChar w:fldCharType="end"/>
            </w:r>
          </w:hyperlink>
        </w:p>
        <w:p w14:paraId="5DB96A1B" w14:textId="1D942801" w:rsidR="009C1E0F" w:rsidRPr="009C1E0F" w:rsidRDefault="009C1E0F">
          <w:pPr>
            <w:pStyle w:val="TOC2"/>
            <w:tabs>
              <w:tab w:val="right" w:leader="dot" w:pos="9016"/>
            </w:tabs>
            <w:rPr>
              <w:rFonts w:ascii="Times New Roman" w:hAnsi="Times New Roman" w:cs="Times New Roman"/>
              <w:noProof/>
              <w:sz w:val="24"/>
              <w:szCs w:val="24"/>
            </w:rPr>
          </w:pPr>
          <w:hyperlink w:anchor="_Toc216746268" w:history="1">
            <w:r w:rsidRPr="009C1E0F">
              <w:rPr>
                <w:rStyle w:val="Hyperlink"/>
                <w:rFonts w:ascii="Times New Roman" w:hAnsi="Times New Roman" w:cs="Times New Roman"/>
                <w:b/>
                <w:bCs/>
                <w:noProof/>
                <w:sz w:val="24"/>
                <w:szCs w:val="24"/>
              </w:rPr>
              <w:t>2.1 Overview of Stakeholder Engagement in Infrastructure Projects</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_Toc216746268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4</w:t>
            </w:r>
            <w:r w:rsidRPr="009C1E0F">
              <w:rPr>
                <w:rFonts w:ascii="Times New Roman" w:hAnsi="Times New Roman" w:cs="Times New Roman"/>
                <w:noProof/>
                <w:webHidden/>
                <w:sz w:val="24"/>
                <w:szCs w:val="24"/>
              </w:rPr>
              <w:fldChar w:fldCharType="end"/>
            </w:r>
          </w:hyperlink>
        </w:p>
        <w:p w14:paraId="2D286554" w14:textId="4B423742" w:rsidR="009C1E0F" w:rsidRPr="009C1E0F" w:rsidRDefault="009C1E0F">
          <w:pPr>
            <w:pStyle w:val="TOC2"/>
            <w:tabs>
              <w:tab w:val="right" w:leader="dot" w:pos="9016"/>
            </w:tabs>
            <w:rPr>
              <w:rFonts w:ascii="Times New Roman" w:hAnsi="Times New Roman" w:cs="Times New Roman"/>
              <w:noProof/>
              <w:sz w:val="24"/>
              <w:szCs w:val="24"/>
            </w:rPr>
          </w:pPr>
          <w:hyperlink w:anchor="_Toc216746269" w:history="1">
            <w:r w:rsidRPr="009C1E0F">
              <w:rPr>
                <w:rStyle w:val="Hyperlink"/>
                <w:rFonts w:ascii="Times New Roman" w:hAnsi="Times New Roman" w:cs="Times New Roman"/>
                <w:b/>
                <w:bCs/>
                <w:noProof/>
                <w:sz w:val="24"/>
                <w:szCs w:val="24"/>
              </w:rPr>
              <w:t>2.2 Power, Interest and Influence Analysis</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_Toc216746269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4</w:t>
            </w:r>
            <w:r w:rsidRPr="009C1E0F">
              <w:rPr>
                <w:rFonts w:ascii="Times New Roman" w:hAnsi="Times New Roman" w:cs="Times New Roman"/>
                <w:noProof/>
                <w:webHidden/>
                <w:sz w:val="24"/>
                <w:szCs w:val="24"/>
              </w:rPr>
              <w:fldChar w:fldCharType="end"/>
            </w:r>
          </w:hyperlink>
        </w:p>
        <w:p w14:paraId="01C400FD" w14:textId="55A4B521" w:rsidR="009C1E0F" w:rsidRPr="009C1E0F" w:rsidRDefault="009C1E0F">
          <w:pPr>
            <w:pStyle w:val="TOC2"/>
            <w:tabs>
              <w:tab w:val="right" w:leader="dot" w:pos="9016"/>
            </w:tabs>
            <w:rPr>
              <w:rFonts w:ascii="Times New Roman" w:hAnsi="Times New Roman" w:cs="Times New Roman"/>
              <w:noProof/>
              <w:sz w:val="24"/>
              <w:szCs w:val="24"/>
            </w:rPr>
          </w:pPr>
          <w:hyperlink w:anchor="_Toc216746270" w:history="1">
            <w:r w:rsidRPr="009C1E0F">
              <w:rPr>
                <w:rStyle w:val="Hyperlink"/>
                <w:rFonts w:ascii="Times New Roman" w:hAnsi="Times New Roman" w:cs="Times New Roman"/>
                <w:b/>
                <w:bCs/>
                <w:noProof/>
                <w:sz w:val="24"/>
                <w:szCs w:val="24"/>
              </w:rPr>
              <w:t>2.3 Stakeholder Mapping and Engagement Prioritisation</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_Toc216746270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6</w:t>
            </w:r>
            <w:r w:rsidRPr="009C1E0F">
              <w:rPr>
                <w:rFonts w:ascii="Times New Roman" w:hAnsi="Times New Roman" w:cs="Times New Roman"/>
                <w:noProof/>
                <w:webHidden/>
                <w:sz w:val="24"/>
                <w:szCs w:val="24"/>
              </w:rPr>
              <w:fldChar w:fldCharType="end"/>
            </w:r>
          </w:hyperlink>
        </w:p>
        <w:p w14:paraId="5766A999" w14:textId="7B44C9D1" w:rsidR="009C1E0F" w:rsidRPr="009C1E0F" w:rsidRDefault="009C1E0F">
          <w:pPr>
            <w:pStyle w:val="TOC2"/>
            <w:tabs>
              <w:tab w:val="right" w:leader="dot" w:pos="9016"/>
            </w:tabs>
            <w:rPr>
              <w:rFonts w:ascii="Times New Roman" w:hAnsi="Times New Roman" w:cs="Times New Roman"/>
              <w:noProof/>
              <w:sz w:val="24"/>
              <w:szCs w:val="24"/>
            </w:rPr>
          </w:pPr>
          <w:hyperlink w:anchor="_Toc216746271" w:history="1">
            <w:r w:rsidRPr="009C1E0F">
              <w:rPr>
                <w:rStyle w:val="Hyperlink"/>
                <w:rFonts w:ascii="Times New Roman" w:hAnsi="Times New Roman" w:cs="Times New Roman"/>
                <w:b/>
                <w:bCs/>
                <w:noProof/>
                <w:sz w:val="24"/>
                <w:szCs w:val="24"/>
              </w:rPr>
              <w:t>2.4 Communication Plan</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_Toc216746271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8</w:t>
            </w:r>
            <w:r w:rsidRPr="009C1E0F">
              <w:rPr>
                <w:rFonts w:ascii="Times New Roman" w:hAnsi="Times New Roman" w:cs="Times New Roman"/>
                <w:noProof/>
                <w:webHidden/>
                <w:sz w:val="24"/>
                <w:szCs w:val="24"/>
              </w:rPr>
              <w:fldChar w:fldCharType="end"/>
            </w:r>
          </w:hyperlink>
        </w:p>
        <w:p w14:paraId="18853B90" w14:textId="16FD9BE5" w:rsidR="009C1E0F" w:rsidRPr="009C1E0F" w:rsidRDefault="009C1E0F">
          <w:pPr>
            <w:pStyle w:val="TOC2"/>
            <w:tabs>
              <w:tab w:val="right" w:leader="dot" w:pos="9016"/>
            </w:tabs>
            <w:rPr>
              <w:rFonts w:ascii="Times New Roman" w:hAnsi="Times New Roman" w:cs="Times New Roman"/>
              <w:noProof/>
              <w:sz w:val="24"/>
              <w:szCs w:val="24"/>
            </w:rPr>
          </w:pPr>
          <w:hyperlink w:anchor="_Toc216746272" w:history="1">
            <w:r w:rsidRPr="009C1E0F">
              <w:rPr>
                <w:rStyle w:val="Hyperlink"/>
                <w:rFonts w:ascii="Times New Roman" w:hAnsi="Times New Roman" w:cs="Times New Roman"/>
                <w:b/>
                <w:bCs/>
                <w:noProof/>
                <w:sz w:val="24"/>
                <w:szCs w:val="24"/>
              </w:rPr>
              <w:t>2.5 Consultation Strategy and Justification</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_Toc216746272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9</w:t>
            </w:r>
            <w:r w:rsidRPr="009C1E0F">
              <w:rPr>
                <w:rFonts w:ascii="Times New Roman" w:hAnsi="Times New Roman" w:cs="Times New Roman"/>
                <w:noProof/>
                <w:webHidden/>
                <w:sz w:val="24"/>
                <w:szCs w:val="24"/>
              </w:rPr>
              <w:fldChar w:fldCharType="end"/>
            </w:r>
          </w:hyperlink>
        </w:p>
        <w:p w14:paraId="4A4AB9C9" w14:textId="62440598" w:rsidR="009C1E0F" w:rsidRPr="009C1E0F" w:rsidRDefault="009C1E0F">
          <w:pPr>
            <w:pStyle w:val="TOC1"/>
            <w:tabs>
              <w:tab w:val="right" w:leader="dot" w:pos="9016"/>
            </w:tabs>
            <w:rPr>
              <w:rFonts w:ascii="Times New Roman" w:hAnsi="Times New Roman" w:cs="Times New Roman"/>
              <w:noProof/>
              <w:sz w:val="24"/>
              <w:szCs w:val="24"/>
            </w:rPr>
          </w:pPr>
          <w:hyperlink w:anchor="_Toc216746273" w:history="1">
            <w:r w:rsidRPr="009C1E0F">
              <w:rPr>
                <w:rStyle w:val="Hyperlink"/>
                <w:rFonts w:ascii="Times New Roman" w:hAnsi="Times New Roman" w:cs="Times New Roman"/>
                <w:b/>
                <w:bCs/>
                <w:noProof/>
                <w:sz w:val="24"/>
                <w:szCs w:val="24"/>
              </w:rPr>
              <w:t>Element 3: Ethical Considerations in Stakeholder Consultation, Participation and Feedback</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_Toc216746273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10</w:t>
            </w:r>
            <w:r w:rsidRPr="009C1E0F">
              <w:rPr>
                <w:rFonts w:ascii="Times New Roman" w:hAnsi="Times New Roman" w:cs="Times New Roman"/>
                <w:noProof/>
                <w:webHidden/>
                <w:sz w:val="24"/>
                <w:szCs w:val="24"/>
              </w:rPr>
              <w:fldChar w:fldCharType="end"/>
            </w:r>
          </w:hyperlink>
        </w:p>
        <w:p w14:paraId="2FC62FE2" w14:textId="5E9471DD" w:rsidR="009C1E0F" w:rsidRPr="009C1E0F" w:rsidRDefault="009C1E0F">
          <w:pPr>
            <w:pStyle w:val="TOC1"/>
            <w:tabs>
              <w:tab w:val="right" w:leader="dot" w:pos="9016"/>
            </w:tabs>
            <w:rPr>
              <w:rFonts w:ascii="Times New Roman" w:hAnsi="Times New Roman" w:cs="Times New Roman"/>
              <w:noProof/>
              <w:sz w:val="24"/>
              <w:szCs w:val="24"/>
            </w:rPr>
          </w:pPr>
          <w:hyperlink w:anchor="_Toc216746274" w:history="1">
            <w:r w:rsidRPr="009C1E0F">
              <w:rPr>
                <w:rStyle w:val="Hyperlink"/>
                <w:rFonts w:ascii="Times New Roman" w:hAnsi="Times New Roman" w:cs="Times New Roman"/>
                <w:b/>
                <w:bCs/>
                <w:noProof/>
                <w:sz w:val="24"/>
                <w:szCs w:val="24"/>
              </w:rPr>
              <w:t>Element 4: Conclusion and Reflection</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_Toc216746274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12</w:t>
            </w:r>
            <w:r w:rsidRPr="009C1E0F">
              <w:rPr>
                <w:rFonts w:ascii="Times New Roman" w:hAnsi="Times New Roman" w:cs="Times New Roman"/>
                <w:noProof/>
                <w:webHidden/>
                <w:sz w:val="24"/>
                <w:szCs w:val="24"/>
              </w:rPr>
              <w:fldChar w:fldCharType="end"/>
            </w:r>
          </w:hyperlink>
        </w:p>
        <w:p w14:paraId="6127BF1A" w14:textId="7AB31E93" w:rsidR="009C1E0F" w:rsidRPr="009C1E0F" w:rsidRDefault="009C1E0F">
          <w:pPr>
            <w:pStyle w:val="TOC2"/>
            <w:tabs>
              <w:tab w:val="right" w:leader="dot" w:pos="9016"/>
            </w:tabs>
            <w:rPr>
              <w:rFonts w:ascii="Times New Roman" w:hAnsi="Times New Roman" w:cs="Times New Roman"/>
              <w:noProof/>
              <w:sz w:val="24"/>
              <w:szCs w:val="24"/>
            </w:rPr>
          </w:pPr>
          <w:hyperlink w:anchor="_Toc216746275" w:history="1">
            <w:r w:rsidRPr="009C1E0F">
              <w:rPr>
                <w:rStyle w:val="Hyperlink"/>
                <w:rFonts w:ascii="Times New Roman" w:hAnsi="Times New Roman" w:cs="Times New Roman"/>
                <w:b/>
                <w:bCs/>
                <w:noProof/>
                <w:sz w:val="24"/>
                <w:szCs w:val="24"/>
              </w:rPr>
              <w:t>4.1 Conclusion</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_Toc216746275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12</w:t>
            </w:r>
            <w:r w:rsidRPr="009C1E0F">
              <w:rPr>
                <w:rFonts w:ascii="Times New Roman" w:hAnsi="Times New Roman" w:cs="Times New Roman"/>
                <w:noProof/>
                <w:webHidden/>
                <w:sz w:val="24"/>
                <w:szCs w:val="24"/>
              </w:rPr>
              <w:fldChar w:fldCharType="end"/>
            </w:r>
          </w:hyperlink>
        </w:p>
        <w:p w14:paraId="4CDB25A8" w14:textId="1BF5CFFE" w:rsidR="009C1E0F" w:rsidRPr="009C1E0F" w:rsidRDefault="009C1E0F">
          <w:pPr>
            <w:pStyle w:val="TOC2"/>
            <w:tabs>
              <w:tab w:val="right" w:leader="dot" w:pos="9016"/>
            </w:tabs>
            <w:rPr>
              <w:rFonts w:ascii="Times New Roman" w:hAnsi="Times New Roman" w:cs="Times New Roman"/>
              <w:noProof/>
              <w:sz w:val="24"/>
              <w:szCs w:val="24"/>
            </w:rPr>
          </w:pPr>
          <w:hyperlink w:anchor="_Toc216746276" w:history="1">
            <w:r w:rsidRPr="009C1E0F">
              <w:rPr>
                <w:rStyle w:val="Hyperlink"/>
                <w:rFonts w:ascii="Times New Roman" w:hAnsi="Times New Roman" w:cs="Times New Roman"/>
                <w:b/>
                <w:bCs/>
                <w:noProof/>
                <w:sz w:val="24"/>
                <w:szCs w:val="24"/>
              </w:rPr>
              <w:t>4.2 Reflective Account</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_Toc216746276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13</w:t>
            </w:r>
            <w:r w:rsidRPr="009C1E0F">
              <w:rPr>
                <w:rFonts w:ascii="Times New Roman" w:hAnsi="Times New Roman" w:cs="Times New Roman"/>
                <w:noProof/>
                <w:webHidden/>
                <w:sz w:val="24"/>
                <w:szCs w:val="24"/>
              </w:rPr>
              <w:fldChar w:fldCharType="end"/>
            </w:r>
          </w:hyperlink>
        </w:p>
        <w:p w14:paraId="0E407660" w14:textId="692A5E33" w:rsidR="009C1E0F" w:rsidRDefault="009C1E0F">
          <w:pPr>
            <w:pStyle w:val="TOC1"/>
            <w:tabs>
              <w:tab w:val="right" w:leader="dot" w:pos="9016"/>
            </w:tabs>
            <w:rPr>
              <w:noProof/>
            </w:rPr>
          </w:pPr>
          <w:hyperlink w:anchor="_Toc216746277" w:history="1">
            <w:r w:rsidRPr="009C1E0F">
              <w:rPr>
                <w:rStyle w:val="Hyperlink"/>
                <w:rFonts w:ascii="Times New Roman" w:hAnsi="Times New Roman" w:cs="Times New Roman"/>
                <w:b/>
                <w:bCs/>
                <w:noProof/>
                <w:sz w:val="24"/>
                <w:szCs w:val="24"/>
              </w:rPr>
              <w:t>References</w:t>
            </w:r>
            <w:r w:rsidRPr="009C1E0F">
              <w:rPr>
                <w:rFonts w:ascii="Times New Roman" w:hAnsi="Times New Roman" w:cs="Times New Roman"/>
                <w:noProof/>
                <w:webHidden/>
                <w:sz w:val="24"/>
                <w:szCs w:val="24"/>
              </w:rPr>
              <w:tab/>
            </w:r>
            <w:r w:rsidRPr="009C1E0F">
              <w:rPr>
                <w:rFonts w:ascii="Times New Roman" w:hAnsi="Times New Roman" w:cs="Times New Roman"/>
                <w:noProof/>
                <w:webHidden/>
                <w:sz w:val="24"/>
                <w:szCs w:val="24"/>
              </w:rPr>
              <w:fldChar w:fldCharType="begin"/>
            </w:r>
            <w:r w:rsidRPr="009C1E0F">
              <w:rPr>
                <w:rFonts w:ascii="Times New Roman" w:hAnsi="Times New Roman" w:cs="Times New Roman"/>
                <w:noProof/>
                <w:webHidden/>
                <w:sz w:val="24"/>
                <w:szCs w:val="24"/>
              </w:rPr>
              <w:instrText xml:space="preserve"> PAGEREF _Toc216746277 \h </w:instrText>
            </w:r>
            <w:r w:rsidRPr="009C1E0F">
              <w:rPr>
                <w:rFonts w:ascii="Times New Roman" w:hAnsi="Times New Roman" w:cs="Times New Roman"/>
                <w:noProof/>
                <w:webHidden/>
                <w:sz w:val="24"/>
                <w:szCs w:val="24"/>
              </w:rPr>
            </w:r>
            <w:r w:rsidRPr="009C1E0F">
              <w:rPr>
                <w:rFonts w:ascii="Times New Roman" w:hAnsi="Times New Roman" w:cs="Times New Roman"/>
                <w:noProof/>
                <w:webHidden/>
                <w:sz w:val="24"/>
                <w:szCs w:val="24"/>
              </w:rPr>
              <w:fldChar w:fldCharType="separate"/>
            </w:r>
            <w:r w:rsidR="00C94889">
              <w:rPr>
                <w:rFonts w:ascii="Times New Roman" w:hAnsi="Times New Roman" w:cs="Times New Roman"/>
                <w:noProof/>
                <w:webHidden/>
                <w:sz w:val="24"/>
                <w:szCs w:val="24"/>
              </w:rPr>
              <w:t>14</w:t>
            </w:r>
            <w:r w:rsidRPr="009C1E0F">
              <w:rPr>
                <w:rFonts w:ascii="Times New Roman" w:hAnsi="Times New Roman" w:cs="Times New Roman"/>
                <w:noProof/>
                <w:webHidden/>
                <w:sz w:val="24"/>
                <w:szCs w:val="24"/>
              </w:rPr>
              <w:fldChar w:fldCharType="end"/>
            </w:r>
          </w:hyperlink>
        </w:p>
        <w:p w14:paraId="666ACD50" w14:textId="2D6A2426" w:rsidR="009C1E0F" w:rsidRDefault="009C1E0F">
          <w:r>
            <w:rPr>
              <w:b/>
              <w:bCs/>
              <w:noProof/>
            </w:rPr>
            <w:fldChar w:fldCharType="end"/>
          </w:r>
        </w:p>
      </w:sdtContent>
    </w:sdt>
    <w:p w14:paraId="6159832A" w14:textId="77777777" w:rsidR="006F4292" w:rsidRDefault="006F4292">
      <w:r>
        <w:br w:type="page"/>
      </w:r>
    </w:p>
    <w:p w14:paraId="0B83DF92" w14:textId="349AF29F" w:rsidR="006421AF" w:rsidRDefault="006F4292" w:rsidP="006F4292">
      <w:pPr>
        <w:pStyle w:val="Heading1"/>
        <w:rPr>
          <w:rFonts w:ascii="Times New Roman" w:hAnsi="Times New Roman" w:cs="Times New Roman"/>
          <w:b/>
          <w:bCs/>
          <w:color w:val="000000" w:themeColor="text1"/>
          <w:sz w:val="24"/>
          <w:szCs w:val="24"/>
        </w:rPr>
      </w:pPr>
      <w:bookmarkStart w:id="0" w:name="_Toc216746266"/>
      <w:r w:rsidRPr="006F4292">
        <w:rPr>
          <w:rFonts w:ascii="Times New Roman" w:hAnsi="Times New Roman" w:cs="Times New Roman"/>
          <w:b/>
          <w:bCs/>
          <w:color w:val="000000" w:themeColor="text1"/>
          <w:sz w:val="24"/>
          <w:szCs w:val="24"/>
        </w:rPr>
        <w:lastRenderedPageBreak/>
        <w:t>Element 1: Introduction</w:t>
      </w:r>
      <w:bookmarkEnd w:id="0"/>
    </w:p>
    <w:p w14:paraId="264F04F6" w14:textId="77777777" w:rsidR="006F4292" w:rsidRDefault="006F4292" w:rsidP="006F4292"/>
    <w:p w14:paraId="0CBFDE3E" w14:textId="0BD0D5FB"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Local infrastructure projects function as vital development initiatives which improve community health while building social connections and supporting environmentally sustainable growth. The document contains a Stakeholder Management Plan for a proposed Community Leisure Centre in an urban local area which a Junior Stakeholder Manager from a consultancy firm developed. The World Health Organization (2021) recogni</w:t>
      </w:r>
      <w:r>
        <w:rPr>
          <w:rFonts w:ascii="Times New Roman" w:hAnsi="Times New Roman" w:cs="Times New Roman"/>
          <w:sz w:val="24"/>
          <w:szCs w:val="24"/>
        </w:rPr>
        <w:t>s</w:t>
      </w:r>
      <w:r w:rsidRPr="006F4292">
        <w:rPr>
          <w:rFonts w:ascii="Times New Roman" w:hAnsi="Times New Roman" w:cs="Times New Roman"/>
          <w:sz w:val="24"/>
          <w:szCs w:val="24"/>
        </w:rPr>
        <w:t>es leisure centres as vital public facilities because they enable people to preserve their physical condition and mental wellness through social bonding with their community members.</w:t>
      </w:r>
    </w:p>
    <w:p w14:paraId="040F65BB" w14:textId="650905D9"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The proposed project requires building a contemporary leisure facility which will occupy vacant local authority property that currently does not generate enough activity. The facility will provide swimming pool facilities together with fitness suites</w:t>
      </w:r>
      <w:r w:rsidR="00B96392">
        <w:rPr>
          <w:rFonts w:ascii="Times New Roman" w:hAnsi="Times New Roman" w:cs="Times New Roman"/>
          <w:sz w:val="24"/>
          <w:szCs w:val="24"/>
        </w:rPr>
        <w:t xml:space="preserve">, </w:t>
      </w:r>
      <w:r w:rsidRPr="006F4292">
        <w:rPr>
          <w:rFonts w:ascii="Times New Roman" w:hAnsi="Times New Roman" w:cs="Times New Roman"/>
          <w:sz w:val="24"/>
          <w:szCs w:val="24"/>
        </w:rPr>
        <w:t>indoor sports courts</w:t>
      </w:r>
      <w:r w:rsidR="00B96392">
        <w:rPr>
          <w:rFonts w:ascii="Times New Roman" w:hAnsi="Times New Roman" w:cs="Times New Roman"/>
          <w:sz w:val="24"/>
          <w:szCs w:val="24"/>
        </w:rPr>
        <w:t xml:space="preserve">, </w:t>
      </w:r>
      <w:r w:rsidRPr="006F4292">
        <w:rPr>
          <w:rFonts w:ascii="Times New Roman" w:hAnsi="Times New Roman" w:cs="Times New Roman"/>
          <w:sz w:val="24"/>
          <w:szCs w:val="24"/>
        </w:rPr>
        <w:t xml:space="preserve">multi-purpose community rooms and fully accessible amenities. The project supports local authority objectives which focus on improving public health outcomes and reducing social inequalities through the development of community spaces from abandoned areas. The </w:t>
      </w:r>
      <w:r w:rsidR="00B96392">
        <w:rPr>
          <w:rFonts w:ascii="Times New Roman" w:hAnsi="Times New Roman" w:cs="Times New Roman"/>
          <w:sz w:val="24"/>
          <w:szCs w:val="24"/>
        </w:rPr>
        <w:t>project</w:t>
      </w:r>
      <w:r w:rsidRPr="006F4292">
        <w:rPr>
          <w:rFonts w:ascii="Times New Roman" w:hAnsi="Times New Roman" w:cs="Times New Roman"/>
          <w:sz w:val="24"/>
          <w:szCs w:val="24"/>
        </w:rPr>
        <w:t xml:space="preserve"> supports national policy goals which focus on boosting physical activity levels of citi</w:t>
      </w:r>
      <w:r>
        <w:rPr>
          <w:rFonts w:ascii="Times New Roman" w:hAnsi="Times New Roman" w:cs="Times New Roman"/>
          <w:sz w:val="24"/>
          <w:szCs w:val="24"/>
        </w:rPr>
        <w:t>z</w:t>
      </w:r>
      <w:r w:rsidRPr="006F4292">
        <w:rPr>
          <w:rFonts w:ascii="Times New Roman" w:hAnsi="Times New Roman" w:cs="Times New Roman"/>
          <w:sz w:val="24"/>
          <w:szCs w:val="24"/>
        </w:rPr>
        <w:t>ens and enhancing public service availability for all community members (UK Government, 2022).</w:t>
      </w:r>
    </w:p>
    <w:p w14:paraId="6FA2D1AE" w14:textId="2C214CAF"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The project requires stakeholder engagement as its base because leisure facilities produce multiple effects which impact different groups who possess distinct interests</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expectations and different levels of influence. Freeman (1984) defines stakeholders as individuals or groups who can affect, or are affected by, the achievement of organisational objectives. The theory requires public infrastructure projects to use ethical methods of public participation which protect public interests while handling different stakeholder needs.</w:t>
      </w:r>
    </w:p>
    <w:p w14:paraId="0F07570C" w14:textId="5AE22A87"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 xml:space="preserve">The proposed leisure centre will deliver its main advantages to six essential stakeholder groups who will benefit from this project. The residents will get improved access to budget-friendly recreational facilities together with health centres. The local authority will achieve its strategic health and regeneration targets through this initiative. The facilities will provide community sports clubs with their own training and competition areas. The local educational institutions will receive better physical education programs through this initiative. The local business sector will experience rising economic performance because more people will visit </w:t>
      </w:r>
      <w:r w:rsidRPr="006F4292">
        <w:rPr>
          <w:rFonts w:ascii="Times New Roman" w:hAnsi="Times New Roman" w:cs="Times New Roman"/>
          <w:sz w:val="24"/>
          <w:szCs w:val="24"/>
        </w:rPr>
        <w:lastRenderedPageBreak/>
        <w:t>their stores. Construction and facilities management contractors will benefit from employment opportunities and long-term service contracts.</w:t>
      </w:r>
    </w:p>
    <w:p w14:paraId="3E8C78A2" w14:textId="27A33224" w:rsid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This portfolio applies stakeholder engagement theory and practical tools to analyse stakeholder dynamics, develop engagement strategies, and evaluate ethical considerations. The research shows that proper stakeholder management leads to project success while generating social value which supports long-term community development.</w:t>
      </w:r>
    </w:p>
    <w:p w14:paraId="750955CB" w14:textId="77777777" w:rsidR="006F4292" w:rsidRDefault="006F4292" w:rsidP="006F4292">
      <w:pPr>
        <w:spacing w:line="360" w:lineRule="auto"/>
        <w:rPr>
          <w:rFonts w:ascii="Times New Roman" w:hAnsi="Times New Roman" w:cs="Times New Roman"/>
          <w:sz w:val="24"/>
          <w:szCs w:val="24"/>
        </w:rPr>
      </w:pPr>
    </w:p>
    <w:p w14:paraId="1D7DE895" w14:textId="51547126" w:rsidR="006F4292" w:rsidRDefault="006F4292" w:rsidP="006F4292">
      <w:pPr>
        <w:pStyle w:val="Heading1"/>
        <w:rPr>
          <w:rFonts w:ascii="Times New Roman" w:hAnsi="Times New Roman" w:cs="Times New Roman"/>
          <w:b/>
          <w:bCs/>
          <w:color w:val="000000" w:themeColor="text1"/>
          <w:sz w:val="24"/>
          <w:szCs w:val="24"/>
        </w:rPr>
      </w:pPr>
      <w:bookmarkStart w:id="1" w:name="_Toc216746267"/>
      <w:r w:rsidRPr="006F4292">
        <w:rPr>
          <w:rFonts w:ascii="Times New Roman" w:hAnsi="Times New Roman" w:cs="Times New Roman"/>
          <w:b/>
          <w:bCs/>
          <w:color w:val="000000" w:themeColor="text1"/>
          <w:sz w:val="24"/>
          <w:szCs w:val="24"/>
        </w:rPr>
        <w:t>Element 2: Application Including Stakeholder Engagement Strategies</w:t>
      </w:r>
      <w:bookmarkEnd w:id="1"/>
    </w:p>
    <w:p w14:paraId="36AA7C2B" w14:textId="77777777" w:rsidR="006F4292" w:rsidRDefault="006F4292" w:rsidP="006F4292"/>
    <w:p w14:paraId="1CF4ACAB" w14:textId="29F65F3C" w:rsidR="006F4292" w:rsidRDefault="006F4292" w:rsidP="006F4292">
      <w:pPr>
        <w:pStyle w:val="Heading2"/>
        <w:rPr>
          <w:rFonts w:ascii="Times New Roman" w:hAnsi="Times New Roman" w:cs="Times New Roman"/>
          <w:b/>
          <w:bCs/>
          <w:color w:val="000000" w:themeColor="text1"/>
          <w:sz w:val="24"/>
          <w:szCs w:val="24"/>
        </w:rPr>
      </w:pPr>
      <w:bookmarkStart w:id="2" w:name="_Toc216746268"/>
      <w:r w:rsidRPr="006F4292">
        <w:rPr>
          <w:rFonts w:ascii="Times New Roman" w:hAnsi="Times New Roman" w:cs="Times New Roman"/>
          <w:b/>
          <w:bCs/>
          <w:color w:val="000000" w:themeColor="text1"/>
          <w:sz w:val="24"/>
          <w:szCs w:val="24"/>
        </w:rPr>
        <w:t>2.1 Overview of Stakeholder Engagement in Infrastructure Projects</w:t>
      </w:r>
      <w:bookmarkEnd w:id="2"/>
    </w:p>
    <w:p w14:paraId="53F3CCE6" w14:textId="77777777" w:rsidR="006F4292" w:rsidRDefault="006F4292" w:rsidP="006F4292"/>
    <w:p w14:paraId="1490A935" w14:textId="06FDA1CB"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Organisations use stakeholder engagement as an ongoing method to identify</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study and work directly with people who will impact or experience the results of their projects (Freeman, 1984). Public infrastructure projects need active stakeholder participation because they use public money</w:t>
      </w:r>
      <w:r w:rsidR="00C94889">
        <w:rPr>
          <w:rFonts w:ascii="Times New Roman" w:hAnsi="Times New Roman" w:cs="Times New Roman"/>
          <w:sz w:val="24"/>
          <w:szCs w:val="24"/>
        </w:rPr>
        <w:t>,</w:t>
      </w:r>
      <w:r w:rsidRPr="006F4292">
        <w:rPr>
          <w:rFonts w:ascii="Times New Roman" w:hAnsi="Times New Roman" w:cs="Times New Roman"/>
          <w:sz w:val="24"/>
          <w:szCs w:val="24"/>
        </w:rPr>
        <w:t xml:space="preserve"> operate under political oversight and create lasting social impacts for people who live in the area. Poor stakeholder engagement has been widely associated with project delays, public opposition and reputational damage, whereas effective engagement supports informed decision-making, trust-building and sustainable project delivery (Bryson, 2018).</w:t>
      </w:r>
    </w:p>
    <w:p w14:paraId="1F05DA19" w14:textId="53EE1DB5" w:rsid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The proposed community leisure centre needs stakeholder involvement because the facility must fulfil various needs of its diverse user groups. The different levels of power</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interest and influence among stakeholders require unique engagement methods because a single approach would not work for all groups. The following section implements established stakeholder management tools which include power–interest–influence analysis</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stakeholder mapping</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 xml:space="preserve">communication planning and consultation strategies to achieve </w:t>
      </w:r>
      <w:r w:rsidR="00C94889" w:rsidRPr="006F4292">
        <w:rPr>
          <w:rFonts w:ascii="Times New Roman" w:hAnsi="Times New Roman" w:cs="Times New Roman"/>
          <w:sz w:val="24"/>
          <w:szCs w:val="24"/>
        </w:rPr>
        <w:t>proper</w:t>
      </w:r>
      <w:r w:rsidR="00C94889">
        <w:rPr>
          <w:rFonts w:ascii="Times New Roman" w:hAnsi="Times New Roman" w:cs="Times New Roman"/>
          <w:sz w:val="24"/>
          <w:szCs w:val="24"/>
        </w:rPr>
        <w:t>,</w:t>
      </w:r>
      <w:r w:rsidR="00C94889" w:rsidRPr="006F4292">
        <w:rPr>
          <w:rFonts w:ascii="Times New Roman" w:hAnsi="Times New Roman" w:cs="Times New Roman"/>
          <w:sz w:val="24"/>
          <w:szCs w:val="24"/>
        </w:rPr>
        <w:t xml:space="preserve"> focused</w:t>
      </w:r>
      <w:r w:rsidRPr="006F4292">
        <w:rPr>
          <w:rFonts w:ascii="Times New Roman" w:hAnsi="Times New Roman" w:cs="Times New Roman"/>
          <w:sz w:val="24"/>
          <w:szCs w:val="24"/>
        </w:rPr>
        <w:t xml:space="preserve"> and moral</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stakeholder engagement.</w:t>
      </w:r>
    </w:p>
    <w:p w14:paraId="081A95E4" w14:textId="77777777" w:rsidR="006F4292" w:rsidRDefault="006F4292" w:rsidP="006F4292">
      <w:pPr>
        <w:spacing w:line="360" w:lineRule="auto"/>
        <w:rPr>
          <w:rFonts w:ascii="Times New Roman" w:hAnsi="Times New Roman" w:cs="Times New Roman"/>
          <w:sz w:val="24"/>
          <w:szCs w:val="24"/>
        </w:rPr>
      </w:pPr>
    </w:p>
    <w:p w14:paraId="16E2114C" w14:textId="5EA29669" w:rsidR="006F4292" w:rsidRPr="006F4292" w:rsidRDefault="006F4292" w:rsidP="006F4292">
      <w:pPr>
        <w:pStyle w:val="Heading2"/>
        <w:rPr>
          <w:rFonts w:ascii="Times New Roman" w:hAnsi="Times New Roman" w:cs="Times New Roman"/>
          <w:b/>
          <w:bCs/>
          <w:color w:val="000000" w:themeColor="text1"/>
          <w:sz w:val="24"/>
          <w:szCs w:val="24"/>
        </w:rPr>
      </w:pPr>
      <w:bookmarkStart w:id="3" w:name="_Toc216746269"/>
      <w:r w:rsidRPr="006F4292">
        <w:rPr>
          <w:rFonts w:ascii="Times New Roman" w:hAnsi="Times New Roman" w:cs="Times New Roman"/>
          <w:b/>
          <w:bCs/>
          <w:color w:val="000000" w:themeColor="text1"/>
          <w:sz w:val="24"/>
          <w:szCs w:val="24"/>
        </w:rPr>
        <w:t>2.2 Power, Interest and Influence Analysis</w:t>
      </w:r>
      <w:bookmarkEnd w:id="3"/>
    </w:p>
    <w:p w14:paraId="7714EE4E" w14:textId="77777777" w:rsidR="006F4292" w:rsidRDefault="006F4292" w:rsidP="006F4292"/>
    <w:p w14:paraId="2186B782" w14:textId="12264040" w:rsid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 xml:space="preserve">The core stakeholder management technique known as </w:t>
      </w:r>
      <w:r>
        <w:rPr>
          <w:rFonts w:ascii="Times New Roman" w:hAnsi="Times New Roman" w:cs="Times New Roman"/>
          <w:sz w:val="24"/>
          <w:szCs w:val="24"/>
        </w:rPr>
        <w:t>p</w:t>
      </w:r>
      <w:r w:rsidRPr="006F4292">
        <w:rPr>
          <w:rFonts w:ascii="Times New Roman" w:hAnsi="Times New Roman" w:cs="Times New Roman"/>
          <w:sz w:val="24"/>
          <w:szCs w:val="24"/>
        </w:rPr>
        <w:t>ower, interest and influence analysis helps organi</w:t>
      </w:r>
      <w:r>
        <w:rPr>
          <w:rFonts w:ascii="Times New Roman" w:hAnsi="Times New Roman" w:cs="Times New Roman"/>
          <w:sz w:val="24"/>
          <w:szCs w:val="24"/>
        </w:rPr>
        <w:t>s</w:t>
      </w:r>
      <w:r w:rsidRPr="006F4292">
        <w:rPr>
          <w:rFonts w:ascii="Times New Roman" w:hAnsi="Times New Roman" w:cs="Times New Roman"/>
          <w:sz w:val="24"/>
          <w:szCs w:val="24"/>
        </w:rPr>
        <w:t xml:space="preserve">ations identify their most important stakeholders and develop suitable methods to interact with them. Aaltonen and Kujala (2016) establish power as the initial stakeholder </w:t>
      </w:r>
      <w:r w:rsidRPr="006F4292">
        <w:rPr>
          <w:rFonts w:ascii="Times New Roman" w:hAnsi="Times New Roman" w:cs="Times New Roman"/>
          <w:sz w:val="24"/>
          <w:szCs w:val="24"/>
        </w:rPr>
        <w:lastRenderedPageBreak/>
        <w:t>analysis element which demonstrates decision-making authority and interest as the second element which shows stakeholder involvement and influence as the third element which explains their ability to affect project outcomes through official or unofficial means.</w:t>
      </w:r>
    </w:p>
    <w:tbl>
      <w:tblPr>
        <w:tblStyle w:val="TableGrid"/>
        <w:tblW w:w="0" w:type="auto"/>
        <w:tblLook w:val="04A0" w:firstRow="1" w:lastRow="0" w:firstColumn="1" w:lastColumn="0" w:noHBand="0" w:noVBand="1"/>
      </w:tblPr>
      <w:tblGrid>
        <w:gridCol w:w="1803"/>
        <w:gridCol w:w="1803"/>
        <w:gridCol w:w="1803"/>
        <w:gridCol w:w="1803"/>
        <w:gridCol w:w="1804"/>
      </w:tblGrid>
      <w:tr w:rsidR="006F4292" w14:paraId="28F64C66" w14:textId="77777777" w:rsidTr="006F4292">
        <w:tc>
          <w:tcPr>
            <w:tcW w:w="1803" w:type="dxa"/>
          </w:tcPr>
          <w:p w14:paraId="2EB1EFFD" w14:textId="35E35ABE"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Stakeholder</w:t>
            </w:r>
          </w:p>
        </w:tc>
        <w:tc>
          <w:tcPr>
            <w:tcW w:w="1803" w:type="dxa"/>
          </w:tcPr>
          <w:p w14:paraId="7B509792" w14:textId="68AF112D"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Power</w:t>
            </w:r>
          </w:p>
        </w:tc>
        <w:tc>
          <w:tcPr>
            <w:tcW w:w="1803" w:type="dxa"/>
          </w:tcPr>
          <w:p w14:paraId="5DD3B3FF" w14:textId="4745C43A"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Interest </w:t>
            </w:r>
          </w:p>
        </w:tc>
        <w:tc>
          <w:tcPr>
            <w:tcW w:w="1803" w:type="dxa"/>
          </w:tcPr>
          <w:p w14:paraId="1DAD3680" w14:textId="6BAEA894"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Influence</w:t>
            </w:r>
          </w:p>
        </w:tc>
        <w:tc>
          <w:tcPr>
            <w:tcW w:w="1804" w:type="dxa"/>
          </w:tcPr>
          <w:p w14:paraId="19107F74" w14:textId="7C33964B"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Justification</w:t>
            </w:r>
          </w:p>
        </w:tc>
      </w:tr>
      <w:tr w:rsidR="006F4292" w14:paraId="795DF852" w14:textId="77777777" w:rsidTr="006F4292">
        <w:tc>
          <w:tcPr>
            <w:tcW w:w="1803" w:type="dxa"/>
          </w:tcPr>
          <w:p w14:paraId="0BDDB4EF" w14:textId="4664435D"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Local Authority</w:t>
            </w:r>
          </w:p>
        </w:tc>
        <w:tc>
          <w:tcPr>
            <w:tcW w:w="1803" w:type="dxa"/>
          </w:tcPr>
          <w:p w14:paraId="5372DA10" w14:textId="57B47978"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78247C37" w14:textId="7A30079A"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2ABE331B" w14:textId="3A4C02F6"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4" w:type="dxa"/>
          </w:tcPr>
          <w:p w14:paraId="5DBB66A7" w14:textId="3E344240"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Controls funding, planning approval, and governance</w:t>
            </w:r>
          </w:p>
        </w:tc>
      </w:tr>
      <w:tr w:rsidR="006F4292" w14:paraId="5B94FE6A" w14:textId="77777777" w:rsidTr="006F4292">
        <w:tc>
          <w:tcPr>
            <w:tcW w:w="1803" w:type="dxa"/>
          </w:tcPr>
          <w:p w14:paraId="250C51F5" w14:textId="26DAC72E"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Residents</w:t>
            </w:r>
          </w:p>
        </w:tc>
        <w:tc>
          <w:tcPr>
            <w:tcW w:w="1803" w:type="dxa"/>
          </w:tcPr>
          <w:p w14:paraId="64B0FAB2" w14:textId="6401273E"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748E5E92" w14:textId="32E710EC"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14CEF410" w14:textId="6530C9AF"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6275C860" w14:textId="13E43526"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Primary users with collective influence</w:t>
            </w:r>
          </w:p>
        </w:tc>
      </w:tr>
      <w:tr w:rsidR="006F4292" w14:paraId="271842D7" w14:textId="77777777" w:rsidTr="006F4292">
        <w:tc>
          <w:tcPr>
            <w:tcW w:w="1803" w:type="dxa"/>
          </w:tcPr>
          <w:p w14:paraId="7DF105CA" w14:textId="6917660E"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Community Sports Clubs</w:t>
            </w:r>
          </w:p>
        </w:tc>
        <w:tc>
          <w:tcPr>
            <w:tcW w:w="1803" w:type="dxa"/>
          </w:tcPr>
          <w:p w14:paraId="22781C0F" w14:textId="474B5C48"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74D920B8" w14:textId="02DDD490"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48C938AA" w14:textId="30A74571"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6A8FBB7B" w14:textId="239B7435"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High usage interest and advocacy potential</w:t>
            </w:r>
          </w:p>
        </w:tc>
      </w:tr>
      <w:tr w:rsidR="006F4292" w14:paraId="526F2C9F" w14:textId="77777777" w:rsidTr="006F4292">
        <w:tc>
          <w:tcPr>
            <w:tcW w:w="1803" w:type="dxa"/>
          </w:tcPr>
          <w:p w14:paraId="68C8EDD2" w14:textId="2B711FF9"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Local Schools and Colleges</w:t>
            </w:r>
          </w:p>
        </w:tc>
        <w:tc>
          <w:tcPr>
            <w:tcW w:w="1803" w:type="dxa"/>
          </w:tcPr>
          <w:p w14:paraId="7F588892" w14:textId="210CB1ED"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027C4FD7" w14:textId="63B95A61"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760F95E3" w14:textId="49FB8802"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 xml:space="preserve">Medium </w:t>
            </w:r>
          </w:p>
        </w:tc>
        <w:tc>
          <w:tcPr>
            <w:tcW w:w="1804" w:type="dxa"/>
          </w:tcPr>
          <w:p w14:paraId="4EF61ACE" w14:textId="2A64B67E"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Institutional users with moderate influence</w:t>
            </w:r>
          </w:p>
        </w:tc>
      </w:tr>
      <w:tr w:rsidR="006F4292" w14:paraId="13574729" w14:textId="77777777" w:rsidTr="006F4292">
        <w:tc>
          <w:tcPr>
            <w:tcW w:w="1803" w:type="dxa"/>
          </w:tcPr>
          <w:p w14:paraId="0E0FBD29" w14:textId="19347DDB"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1803" w:type="dxa"/>
          </w:tcPr>
          <w:p w14:paraId="0CD888DE" w14:textId="34A48E8D"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6A075E40" w14:textId="4EBC19AE"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 xml:space="preserve">Medium </w:t>
            </w:r>
          </w:p>
        </w:tc>
        <w:tc>
          <w:tcPr>
            <w:tcW w:w="1803" w:type="dxa"/>
          </w:tcPr>
          <w:p w14:paraId="37B7A088" w14:textId="5AC5BFAF"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4" w:type="dxa"/>
          </w:tcPr>
          <w:p w14:paraId="1A964EBC" w14:textId="75EA6CF6"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Economic interest with limited direct influence</w:t>
            </w:r>
          </w:p>
        </w:tc>
      </w:tr>
      <w:tr w:rsidR="006F4292" w14:paraId="573C877E" w14:textId="77777777" w:rsidTr="006F4292">
        <w:tc>
          <w:tcPr>
            <w:tcW w:w="1803" w:type="dxa"/>
          </w:tcPr>
          <w:p w14:paraId="3534E534" w14:textId="2C41B43B"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Contractors</w:t>
            </w:r>
          </w:p>
        </w:tc>
        <w:tc>
          <w:tcPr>
            <w:tcW w:w="1803" w:type="dxa"/>
          </w:tcPr>
          <w:p w14:paraId="4949D8CD" w14:textId="410AB375"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310F134E" w14:textId="01E2C0BF"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2A646138" w14:textId="28F959A2"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67F25890" w14:textId="13C5A8B8" w:rsidR="006F4292" w:rsidRDefault="006F4292" w:rsidP="006F4292">
            <w:pPr>
              <w:spacing w:line="360" w:lineRule="auto"/>
              <w:rPr>
                <w:rFonts w:ascii="Times New Roman" w:hAnsi="Times New Roman" w:cs="Times New Roman"/>
                <w:sz w:val="24"/>
                <w:szCs w:val="24"/>
              </w:rPr>
            </w:pPr>
            <w:r>
              <w:rPr>
                <w:rFonts w:ascii="Times New Roman" w:hAnsi="Times New Roman" w:cs="Times New Roman"/>
                <w:sz w:val="24"/>
                <w:szCs w:val="24"/>
              </w:rPr>
              <w:t>Operational influence during delivery</w:t>
            </w:r>
          </w:p>
        </w:tc>
      </w:tr>
    </w:tbl>
    <w:p w14:paraId="5C49C6ED" w14:textId="77777777" w:rsidR="006F4292" w:rsidRDefault="006F4292" w:rsidP="006F4292">
      <w:pPr>
        <w:spacing w:line="360" w:lineRule="auto"/>
        <w:rPr>
          <w:rFonts w:ascii="Times New Roman" w:hAnsi="Times New Roman" w:cs="Times New Roman"/>
          <w:sz w:val="24"/>
          <w:szCs w:val="24"/>
        </w:rPr>
      </w:pPr>
    </w:p>
    <w:p w14:paraId="5ED83E18" w14:textId="3B335828"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 xml:space="preserve">The local authority possesses the highest levels of power, interest and influence due to its statutory responsibilities for funding approval, land use and long-term governance. As project sponsor, the local authority’s priorities significantly shape project scope, timelines and accountability requirements. The stakeholder needs ongoing contact because their support </w:t>
      </w:r>
      <w:r w:rsidRPr="006F4292">
        <w:rPr>
          <w:rFonts w:ascii="Times New Roman" w:hAnsi="Times New Roman" w:cs="Times New Roman"/>
          <w:sz w:val="24"/>
          <w:szCs w:val="24"/>
        </w:rPr>
        <w:lastRenderedPageBreak/>
        <w:t>determines how well the organi</w:t>
      </w:r>
      <w:r>
        <w:rPr>
          <w:rFonts w:ascii="Times New Roman" w:hAnsi="Times New Roman" w:cs="Times New Roman"/>
          <w:sz w:val="24"/>
          <w:szCs w:val="24"/>
        </w:rPr>
        <w:t>s</w:t>
      </w:r>
      <w:r w:rsidRPr="006F4292">
        <w:rPr>
          <w:rFonts w:ascii="Times New Roman" w:hAnsi="Times New Roman" w:cs="Times New Roman"/>
          <w:sz w:val="24"/>
          <w:szCs w:val="24"/>
        </w:rPr>
        <w:t>ation achieves its strategic targets and follows regulatory requirements (UK Government, 2022).</w:t>
      </w:r>
    </w:p>
    <w:p w14:paraId="40E9B3DF" w14:textId="40AB0DFD" w:rsidR="006F4292" w:rsidRP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The future users of the leisure centre along with people who will experience construction delays and operational effects show strong interest according to local community members. The individual residents lack official authority, but they can achieve substantial power through their combined efforts during consultation processes</w:t>
      </w:r>
      <w:r w:rsidR="00C94889">
        <w:rPr>
          <w:rFonts w:ascii="Times New Roman" w:hAnsi="Times New Roman" w:cs="Times New Roman"/>
          <w:sz w:val="24"/>
          <w:szCs w:val="24"/>
        </w:rPr>
        <w:t xml:space="preserve">, </w:t>
      </w:r>
      <w:r w:rsidRPr="006F4292">
        <w:rPr>
          <w:rFonts w:ascii="Times New Roman" w:hAnsi="Times New Roman" w:cs="Times New Roman"/>
          <w:sz w:val="24"/>
          <w:szCs w:val="24"/>
        </w:rPr>
        <w:t>public feedback and community representation activities. Sports clubs operating in communities show strong interest because they need facilities to operate, and their organi</w:t>
      </w:r>
      <w:r>
        <w:rPr>
          <w:rFonts w:ascii="Times New Roman" w:hAnsi="Times New Roman" w:cs="Times New Roman"/>
          <w:sz w:val="24"/>
          <w:szCs w:val="24"/>
        </w:rPr>
        <w:t>s</w:t>
      </w:r>
      <w:r w:rsidRPr="006F4292">
        <w:rPr>
          <w:rFonts w:ascii="Times New Roman" w:hAnsi="Times New Roman" w:cs="Times New Roman"/>
          <w:sz w:val="24"/>
          <w:szCs w:val="24"/>
        </w:rPr>
        <w:t>ational structure enables them to represent their members through their membership base.</w:t>
      </w:r>
    </w:p>
    <w:p w14:paraId="3F1AE8AB" w14:textId="0F844BF9" w:rsidR="006F4292" w:rsidRDefault="006F4292" w:rsidP="006F4292">
      <w:pPr>
        <w:spacing w:line="360" w:lineRule="auto"/>
        <w:rPr>
          <w:rFonts w:ascii="Times New Roman" w:hAnsi="Times New Roman" w:cs="Times New Roman"/>
          <w:sz w:val="24"/>
          <w:szCs w:val="24"/>
        </w:rPr>
      </w:pPr>
      <w:r w:rsidRPr="006F4292">
        <w:rPr>
          <w:rFonts w:ascii="Times New Roman" w:hAnsi="Times New Roman" w:cs="Times New Roman"/>
          <w:sz w:val="24"/>
          <w:szCs w:val="24"/>
        </w:rPr>
        <w:t>The power and interest levels of educational institutions and local businesses exist at a middle range. Schools and colleges require restricted entry to their buildings, but businesses concentrate on their monetary value and how events would impact their business activities. The construction operational control and first operational phases fall under contractor responsibility because they do not maintain any permanent interest except to meet their contractual obligations.</w:t>
      </w:r>
    </w:p>
    <w:p w14:paraId="45213B4B" w14:textId="77777777" w:rsidR="006F4292" w:rsidRDefault="006F4292" w:rsidP="006F4292">
      <w:pPr>
        <w:spacing w:line="360" w:lineRule="auto"/>
        <w:rPr>
          <w:rFonts w:ascii="Times New Roman" w:hAnsi="Times New Roman" w:cs="Times New Roman"/>
          <w:sz w:val="24"/>
          <w:szCs w:val="24"/>
        </w:rPr>
      </w:pPr>
    </w:p>
    <w:p w14:paraId="5C39BC25" w14:textId="2F2ABB81" w:rsidR="006F4292" w:rsidRPr="006F4292" w:rsidRDefault="006F4292" w:rsidP="006F4292">
      <w:pPr>
        <w:pStyle w:val="Heading2"/>
        <w:rPr>
          <w:rFonts w:ascii="Times New Roman" w:hAnsi="Times New Roman" w:cs="Times New Roman"/>
          <w:b/>
          <w:bCs/>
          <w:color w:val="000000" w:themeColor="text1"/>
          <w:sz w:val="24"/>
          <w:szCs w:val="24"/>
        </w:rPr>
      </w:pPr>
      <w:bookmarkStart w:id="4" w:name="_Toc216746270"/>
      <w:r w:rsidRPr="006F4292">
        <w:rPr>
          <w:rFonts w:ascii="Times New Roman" w:hAnsi="Times New Roman" w:cs="Times New Roman"/>
          <w:b/>
          <w:bCs/>
          <w:color w:val="000000" w:themeColor="text1"/>
          <w:sz w:val="24"/>
          <w:szCs w:val="24"/>
        </w:rPr>
        <w:t>2.3 Stakeholder Mapping and Engagement Prioritisation</w:t>
      </w:r>
      <w:bookmarkEnd w:id="4"/>
      <w:r w:rsidRPr="006F4292">
        <w:rPr>
          <w:rFonts w:ascii="Times New Roman" w:hAnsi="Times New Roman" w:cs="Times New Roman"/>
          <w:b/>
          <w:bCs/>
          <w:color w:val="000000" w:themeColor="text1"/>
          <w:sz w:val="24"/>
          <w:szCs w:val="24"/>
        </w:rPr>
        <w:t xml:space="preserve"> </w:t>
      </w:r>
    </w:p>
    <w:p w14:paraId="243E4ADF" w14:textId="77777777" w:rsidR="006F4292" w:rsidRDefault="006F4292" w:rsidP="006F4292"/>
    <w:p w14:paraId="44D6D8C6" w14:textId="02C25266" w:rsidR="006F4292" w:rsidRPr="00D5219E" w:rsidRDefault="006F4292" w:rsidP="00D5219E">
      <w:pPr>
        <w:spacing w:line="360" w:lineRule="auto"/>
        <w:rPr>
          <w:rFonts w:ascii="Times New Roman" w:hAnsi="Times New Roman" w:cs="Times New Roman"/>
          <w:sz w:val="24"/>
          <w:szCs w:val="24"/>
        </w:rPr>
      </w:pPr>
      <w:r w:rsidRPr="00D5219E">
        <w:rPr>
          <w:rFonts w:ascii="Times New Roman" w:hAnsi="Times New Roman" w:cs="Times New Roman"/>
          <w:sz w:val="24"/>
          <w:szCs w:val="24"/>
        </w:rPr>
        <w:t>The power–interest–influence analysis receives expansion through Stakeholder mapping which uses Mendelow’s (1991) power–interest matrix to show stakeholder positions. The visual framework organi</w:t>
      </w:r>
      <w:r w:rsidR="00D5219E">
        <w:rPr>
          <w:rFonts w:ascii="Times New Roman" w:hAnsi="Times New Roman" w:cs="Times New Roman"/>
          <w:sz w:val="24"/>
          <w:szCs w:val="24"/>
        </w:rPr>
        <w:t>s</w:t>
      </w:r>
      <w:r w:rsidRPr="00D5219E">
        <w:rPr>
          <w:rFonts w:ascii="Times New Roman" w:hAnsi="Times New Roman" w:cs="Times New Roman"/>
          <w:sz w:val="24"/>
          <w:szCs w:val="24"/>
        </w:rPr>
        <w:t>es stakeholders into four sections which include manage closely</w:t>
      </w:r>
      <w:r w:rsidR="00C94889">
        <w:rPr>
          <w:rFonts w:ascii="Times New Roman" w:hAnsi="Times New Roman" w:cs="Times New Roman"/>
          <w:sz w:val="24"/>
          <w:szCs w:val="24"/>
        </w:rPr>
        <w:t xml:space="preserve">, </w:t>
      </w:r>
      <w:r w:rsidRPr="00D5219E">
        <w:rPr>
          <w:rFonts w:ascii="Times New Roman" w:hAnsi="Times New Roman" w:cs="Times New Roman"/>
          <w:sz w:val="24"/>
          <w:szCs w:val="24"/>
        </w:rPr>
        <w:t>keep satisfied</w:t>
      </w:r>
      <w:r w:rsidR="00C94889">
        <w:rPr>
          <w:rFonts w:ascii="Times New Roman" w:hAnsi="Times New Roman" w:cs="Times New Roman"/>
          <w:sz w:val="24"/>
          <w:szCs w:val="24"/>
        </w:rPr>
        <w:t>, keep</w:t>
      </w:r>
      <w:r w:rsidRPr="00D5219E">
        <w:rPr>
          <w:rFonts w:ascii="Times New Roman" w:hAnsi="Times New Roman" w:cs="Times New Roman"/>
          <w:sz w:val="24"/>
          <w:szCs w:val="24"/>
        </w:rPr>
        <w:t xml:space="preserve"> informed and monitor. The matrix enables organi</w:t>
      </w:r>
      <w:r w:rsidR="00D5219E">
        <w:rPr>
          <w:rFonts w:ascii="Times New Roman" w:hAnsi="Times New Roman" w:cs="Times New Roman"/>
          <w:sz w:val="24"/>
          <w:szCs w:val="24"/>
        </w:rPr>
        <w:t>s</w:t>
      </w:r>
      <w:r w:rsidRPr="00D5219E">
        <w:rPr>
          <w:rFonts w:ascii="Times New Roman" w:hAnsi="Times New Roman" w:cs="Times New Roman"/>
          <w:sz w:val="24"/>
          <w:szCs w:val="24"/>
        </w:rPr>
        <w:t>ations to establish their strategic priorities through its display of necessary stakeholder involvement levels which correspond to their relative importance.</w:t>
      </w:r>
    </w:p>
    <w:p w14:paraId="1D2BAD1A" w14:textId="4AAE9410" w:rsidR="006F4292" w:rsidRPr="00D5219E" w:rsidRDefault="006F4292" w:rsidP="00D5219E">
      <w:pPr>
        <w:spacing w:line="360" w:lineRule="auto"/>
        <w:rPr>
          <w:rFonts w:ascii="Times New Roman" w:hAnsi="Times New Roman" w:cs="Times New Roman"/>
          <w:sz w:val="24"/>
          <w:szCs w:val="24"/>
        </w:rPr>
      </w:pPr>
      <w:r w:rsidRPr="00D5219E">
        <w:rPr>
          <w:rFonts w:ascii="Times New Roman" w:hAnsi="Times New Roman" w:cs="Times New Roman"/>
          <w:sz w:val="24"/>
          <w:szCs w:val="24"/>
        </w:rPr>
        <w:t>The high power–high interest quadrant requires active and ongoing management of stakeholders because they maintain control over project approval</w:t>
      </w:r>
      <w:r w:rsidR="00C94889">
        <w:rPr>
          <w:rFonts w:ascii="Times New Roman" w:hAnsi="Times New Roman" w:cs="Times New Roman"/>
          <w:sz w:val="24"/>
          <w:szCs w:val="24"/>
        </w:rPr>
        <w:t xml:space="preserve">, </w:t>
      </w:r>
      <w:r w:rsidRPr="00D5219E">
        <w:rPr>
          <w:rFonts w:ascii="Times New Roman" w:hAnsi="Times New Roman" w:cs="Times New Roman"/>
          <w:sz w:val="24"/>
          <w:szCs w:val="24"/>
        </w:rPr>
        <w:t>funding and governance decisions. The organi</w:t>
      </w:r>
      <w:r w:rsidR="00D5219E">
        <w:rPr>
          <w:rFonts w:ascii="Times New Roman" w:hAnsi="Times New Roman" w:cs="Times New Roman"/>
          <w:sz w:val="24"/>
          <w:szCs w:val="24"/>
        </w:rPr>
        <w:t>s</w:t>
      </w:r>
      <w:r w:rsidRPr="00D5219E">
        <w:rPr>
          <w:rFonts w:ascii="Times New Roman" w:hAnsi="Times New Roman" w:cs="Times New Roman"/>
          <w:sz w:val="24"/>
          <w:szCs w:val="24"/>
        </w:rPr>
        <w:t>ation needs to create authori</w:t>
      </w:r>
      <w:r w:rsidR="00D5219E">
        <w:rPr>
          <w:rFonts w:ascii="Times New Roman" w:hAnsi="Times New Roman" w:cs="Times New Roman"/>
          <w:sz w:val="24"/>
          <w:szCs w:val="24"/>
        </w:rPr>
        <w:t>s</w:t>
      </w:r>
      <w:r w:rsidRPr="00D5219E">
        <w:rPr>
          <w:rFonts w:ascii="Times New Roman" w:hAnsi="Times New Roman" w:cs="Times New Roman"/>
          <w:sz w:val="24"/>
          <w:szCs w:val="24"/>
        </w:rPr>
        <w:t>ed collaborative frameworks which will direct all work operations through scheduled risk assessment meetings</w:t>
      </w:r>
      <w:r w:rsidR="00C94889">
        <w:rPr>
          <w:rFonts w:ascii="Times New Roman" w:hAnsi="Times New Roman" w:cs="Times New Roman"/>
          <w:sz w:val="24"/>
          <w:szCs w:val="24"/>
        </w:rPr>
        <w:t xml:space="preserve">, </w:t>
      </w:r>
      <w:r w:rsidRPr="00D5219E">
        <w:rPr>
          <w:rFonts w:ascii="Times New Roman" w:hAnsi="Times New Roman" w:cs="Times New Roman"/>
          <w:sz w:val="24"/>
          <w:szCs w:val="24"/>
        </w:rPr>
        <w:t>organi</w:t>
      </w:r>
      <w:r w:rsidR="0009478F">
        <w:rPr>
          <w:rFonts w:ascii="Times New Roman" w:hAnsi="Times New Roman" w:cs="Times New Roman"/>
          <w:sz w:val="24"/>
          <w:szCs w:val="24"/>
        </w:rPr>
        <w:t>s</w:t>
      </w:r>
      <w:r w:rsidRPr="00D5219E">
        <w:rPr>
          <w:rFonts w:ascii="Times New Roman" w:hAnsi="Times New Roman" w:cs="Times New Roman"/>
          <w:sz w:val="24"/>
          <w:szCs w:val="24"/>
        </w:rPr>
        <w:t>ed progress updates and decision management tools. The project will experience delays and lose vital backing because organi</w:t>
      </w:r>
      <w:r w:rsidR="00D5219E">
        <w:rPr>
          <w:rFonts w:ascii="Times New Roman" w:hAnsi="Times New Roman" w:cs="Times New Roman"/>
          <w:sz w:val="24"/>
          <w:szCs w:val="24"/>
        </w:rPr>
        <w:t>s</w:t>
      </w:r>
      <w:r w:rsidRPr="00D5219E">
        <w:rPr>
          <w:rFonts w:ascii="Times New Roman" w:hAnsi="Times New Roman" w:cs="Times New Roman"/>
          <w:sz w:val="24"/>
          <w:szCs w:val="24"/>
        </w:rPr>
        <w:t>ations fail to create strong working relationships.</w:t>
      </w:r>
    </w:p>
    <w:p w14:paraId="204F81F6" w14:textId="47BA8B95" w:rsidR="006F4292" w:rsidRPr="00D5219E" w:rsidRDefault="006F4292" w:rsidP="00D5219E">
      <w:pPr>
        <w:spacing w:line="360" w:lineRule="auto"/>
        <w:rPr>
          <w:rFonts w:ascii="Times New Roman" w:hAnsi="Times New Roman" w:cs="Times New Roman"/>
          <w:sz w:val="24"/>
          <w:szCs w:val="24"/>
        </w:rPr>
      </w:pPr>
      <w:r w:rsidRPr="00D5219E">
        <w:rPr>
          <w:rFonts w:ascii="Times New Roman" w:hAnsi="Times New Roman" w:cs="Times New Roman"/>
          <w:sz w:val="24"/>
          <w:szCs w:val="24"/>
        </w:rPr>
        <w:t xml:space="preserve">The high power–low interest quadrant contains stakeholders who </w:t>
      </w:r>
      <w:r w:rsidR="00C94889" w:rsidRPr="00D5219E">
        <w:rPr>
          <w:rFonts w:ascii="Times New Roman" w:hAnsi="Times New Roman" w:cs="Times New Roman"/>
          <w:sz w:val="24"/>
          <w:szCs w:val="24"/>
        </w:rPr>
        <w:t>could</w:t>
      </w:r>
      <w:r w:rsidRPr="00D5219E">
        <w:rPr>
          <w:rFonts w:ascii="Times New Roman" w:hAnsi="Times New Roman" w:cs="Times New Roman"/>
          <w:sz w:val="24"/>
          <w:szCs w:val="24"/>
        </w:rPr>
        <w:t xml:space="preserve"> affect project delivery, yet they only focus on short-term operational or contractual aspects without showing lasting interest. The organi</w:t>
      </w:r>
      <w:r w:rsidR="00D5219E">
        <w:rPr>
          <w:rFonts w:ascii="Times New Roman" w:hAnsi="Times New Roman" w:cs="Times New Roman"/>
          <w:sz w:val="24"/>
          <w:szCs w:val="24"/>
        </w:rPr>
        <w:t>s</w:t>
      </w:r>
      <w:r w:rsidRPr="00D5219E">
        <w:rPr>
          <w:rFonts w:ascii="Times New Roman" w:hAnsi="Times New Roman" w:cs="Times New Roman"/>
          <w:sz w:val="24"/>
          <w:szCs w:val="24"/>
        </w:rPr>
        <w:t>ation needs to create customer satisfaction through direct communication</w:t>
      </w:r>
      <w:r w:rsidR="00C94889">
        <w:rPr>
          <w:rFonts w:ascii="Times New Roman" w:hAnsi="Times New Roman" w:cs="Times New Roman"/>
          <w:sz w:val="24"/>
          <w:szCs w:val="24"/>
        </w:rPr>
        <w:t xml:space="preserve">, </w:t>
      </w:r>
      <w:r w:rsidRPr="00D5219E">
        <w:rPr>
          <w:rFonts w:ascii="Times New Roman" w:hAnsi="Times New Roman" w:cs="Times New Roman"/>
          <w:sz w:val="24"/>
          <w:szCs w:val="24"/>
        </w:rPr>
        <w:t>performance tracking and immediate problem resolution. The system protects operational activities from potential threats while using only the necessary resources.</w:t>
      </w:r>
    </w:p>
    <w:p w14:paraId="29AEBCC1" w14:textId="6FD47520" w:rsidR="006F4292" w:rsidRPr="00D5219E" w:rsidRDefault="006F4292" w:rsidP="00D5219E">
      <w:pPr>
        <w:spacing w:line="360" w:lineRule="auto"/>
        <w:rPr>
          <w:rFonts w:ascii="Times New Roman" w:hAnsi="Times New Roman" w:cs="Times New Roman"/>
          <w:sz w:val="24"/>
          <w:szCs w:val="24"/>
        </w:rPr>
      </w:pPr>
      <w:r w:rsidRPr="00D5219E">
        <w:rPr>
          <w:rFonts w:ascii="Times New Roman" w:hAnsi="Times New Roman" w:cs="Times New Roman"/>
          <w:sz w:val="24"/>
          <w:szCs w:val="24"/>
        </w:rPr>
        <w:t>The low power–high interest quadrant contains stakeholders who experience major effects from project results, yet they do not possess official decision-making capabilities. The group needs to build trust through ongoing information exchange and complete member participation to manage their expectations</w:t>
      </w:r>
      <w:r w:rsidR="00C94889">
        <w:rPr>
          <w:rFonts w:ascii="Times New Roman" w:hAnsi="Times New Roman" w:cs="Times New Roman"/>
          <w:sz w:val="24"/>
          <w:szCs w:val="24"/>
        </w:rPr>
        <w:t xml:space="preserve">, as well as </w:t>
      </w:r>
      <w:r w:rsidRPr="00D5219E">
        <w:rPr>
          <w:rFonts w:ascii="Times New Roman" w:hAnsi="Times New Roman" w:cs="Times New Roman"/>
          <w:sz w:val="24"/>
          <w:szCs w:val="24"/>
        </w:rPr>
        <w:t>create an authentic project (OECD, 2020). The organi</w:t>
      </w:r>
      <w:r w:rsidR="00D5219E">
        <w:rPr>
          <w:rFonts w:ascii="Times New Roman" w:hAnsi="Times New Roman" w:cs="Times New Roman"/>
          <w:sz w:val="24"/>
          <w:szCs w:val="24"/>
        </w:rPr>
        <w:t>s</w:t>
      </w:r>
      <w:r w:rsidRPr="00D5219E">
        <w:rPr>
          <w:rFonts w:ascii="Times New Roman" w:hAnsi="Times New Roman" w:cs="Times New Roman"/>
          <w:sz w:val="24"/>
          <w:szCs w:val="24"/>
        </w:rPr>
        <w:t>ation will face rising public opposition and damage to its reputation when it fails to participate at this stage.</w:t>
      </w:r>
    </w:p>
    <w:p w14:paraId="55D5593C" w14:textId="7EED7E8E" w:rsidR="006F4292" w:rsidRDefault="006F4292" w:rsidP="00D5219E">
      <w:pPr>
        <w:spacing w:line="360" w:lineRule="auto"/>
        <w:rPr>
          <w:rFonts w:ascii="Times New Roman" w:hAnsi="Times New Roman" w:cs="Times New Roman"/>
          <w:sz w:val="24"/>
          <w:szCs w:val="24"/>
        </w:rPr>
      </w:pPr>
      <w:r w:rsidRPr="00D5219E">
        <w:rPr>
          <w:rFonts w:ascii="Times New Roman" w:hAnsi="Times New Roman" w:cs="Times New Roman"/>
          <w:sz w:val="24"/>
          <w:szCs w:val="24"/>
        </w:rPr>
        <w:t>Stakeholders positioned within the low power–low interest quadrant require periodic monitoring rather than intensive engagement. The project team needs to keep basic communication active because it helps them stay informed about project progress while they can detect new issues or interests which will develop during time. Organi</w:t>
      </w:r>
      <w:r w:rsidR="00D5219E">
        <w:rPr>
          <w:rFonts w:ascii="Times New Roman" w:hAnsi="Times New Roman" w:cs="Times New Roman"/>
          <w:sz w:val="24"/>
          <w:szCs w:val="24"/>
        </w:rPr>
        <w:t>s</w:t>
      </w:r>
      <w:r w:rsidRPr="00D5219E">
        <w:rPr>
          <w:rFonts w:ascii="Times New Roman" w:hAnsi="Times New Roman" w:cs="Times New Roman"/>
          <w:sz w:val="24"/>
          <w:szCs w:val="24"/>
        </w:rPr>
        <w:t>ations can achieve proper stakeholder engagement through efficient and ethical methods which utili</w:t>
      </w:r>
      <w:r w:rsidR="00D5219E">
        <w:rPr>
          <w:rFonts w:ascii="Times New Roman" w:hAnsi="Times New Roman" w:cs="Times New Roman"/>
          <w:sz w:val="24"/>
          <w:szCs w:val="24"/>
        </w:rPr>
        <w:t>s</w:t>
      </w:r>
      <w:r w:rsidRPr="00D5219E">
        <w:rPr>
          <w:rFonts w:ascii="Times New Roman" w:hAnsi="Times New Roman" w:cs="Times New Roman"/>
          <w:sz w:val="24"/>
          <w:szCs w:val="24"/>
        </w:rPr>
        <w:t>e their current resources according to stakeholder mapping.</w:t>
      </w:r>
    </w:p>
    <w:p w14:paraId="0E5BE80F" w14:textId="77777777" w:rsidR="00D5219E" w:rsidRDefault="00D5219E" w:rsidP="00D5219E">
      <w:pPr>
        <w:spacing w:line="360" w:lineRule="auto"/>
        <w:rPr>
          <w:rFonts w:ascii="Times New Roman" w:hAnsi="Times New Roman" w:cs="Times New Roman"/>
          <w:sz w:val="24"/>
          <w:szCs w:val="24"/>
        </w:rPr>
      </w:pPr>
    </w:p>
    <w:p w14:paraId="733B44A7" w14:textId="77777777" w:rsidR="0009478F" w:rsidRDefault="0009478F" w:rsidP="00D5219E">
      <w:pPr>
        <w:spacing w:line="360" w:lineRule="auto"/>
        <w:rPr>
          <w:rFonts w:ascii="Times New Roman" w:hAnsi="Times New Roman" w:cs="Times New Roman"/>
          <w:sz w:val="24"/>
          <w:szCs w:val="24"/>
        </w:rPr>
      </w:pPr>
    </w:p>
    <w:p w14:paraId="1079F2F9" w14:textId="77777777" w:rsidR="0009478F" w:rsidRDefault="0009478F" w:rsidP="00D5219E">
      <w:pPr>
        <w:spacing w:line="360" w:lineRule="auto"/>
        <w:rPr>
          <w:rFonts w:ascii="Times New Roman" w:hAnsi="Times New Roman" w:cs="Times New Roman"/>
          <w:sz w:val="24"/>
          <w:szCs w:val="24"/>
        </w:rPr>
      </w:pPr>
    </w:p>
    <w:p w14:paraId="6FA3CB12" w14:textId="77777777" w:rsidR="0009478F" w:rsidRDefault="0009478F" w:rsidP="00D5219E">
      <w:pPr>
        <w:spacing w:line="360" w:lineRule="auto"/>
        <w:rPr>
          <w:rFonts w:ascii="Times New Roman" w:hAnsi="Times New Roman" w:cs="Times New Roman"/>
          <w:sz w:val="24"/>
          <w:szCs w:val="24"/>
        </w:rPr>
      </w:pPr>
    </w:p>
    <w:p w14:paraId="49FF6305" w14:textId="77777777" w:rsidR="0009478F" w:rsidRDefault="0009478F" w:rsidP="00D5219E">
      <w:pPr>
        <w:spacing w:line="360" w:lineRule="auto"/>
        <w:rPr>
          <w:rFonts w:ascii="Times New Roman" w:hAnsi="Times New Roman" w:cs="Times New Roman"/>
          <w:sz w:val="24"/>
          <w:szCs w:val="24"/>
        </w:rPr>
      </w:pPr>
    </w:p>
    <w:p w14:paraId="7645D041" w14:textId="77777777" w:rsidR="0009478F" w:rsidRDefault="0009478F" w:rsidP="00D5219E">
      <w:pPr>
        <w:spacing w:line="360" w:lineRule="auto"/>
        <w:rPr>
          <w:rFonts w:ascii="Times New Roman" w:hAnsi="Times New Roman" w:cs="Times New Roman"/>
          <w:sz w:val="24"/>
          <w:szCs w:val="24"/>
        </w:rPr>
      </w:pPr>
    </w:p>
    <w:p w14:paraId="65B58C85" w14:textId="77777777" w:rsidR="0009478F" w:rsidRDefault="0009478F" w:rsidP="00D5219E">
      <w:pPr>
        <w:spacing w:line="360" w:lineRule="auto"/>
        <w:rPr>
          <w:rFonts w:ascii="Times New Roman" w:hAnsi="Times New Roman" w:cs="Times New Roman"/>
          <w:sz w:val="24"/>
          <w:szCs w:val="24"/>
        </w:rPr>
      </w:pPr>
    </w:p>
    <w:p w14:paraId="30D9676C" w14:textId="77777777" w:rsidR="0009478F" w:rsidRDefault="0009478F" w:rsidP="00D5219E">
      <w:pPr>
        <w:spacing w:line="360" w:lineRule="auto"/>
        <w:rPr>
          <w:rFonts w:ascii="Times New Roman" w:hAnsi="Times New Roman" w:cs="Times New Roman"/>
          <w:sz w:val="24"/>
          <w:szCs w:val="24"/>
        </w:rPr>
      </w:pPr>
    </w:p>
    <w:p w14:paraId="75CEFB2E" w14:textId="77777777" w:rsidR="0009478F" w:rsidRDefault="0009478F" w:rsidP="00D5219E">
      <w:pPr>
        <w:spacing w:line="360" w:lineRule="auto"/>
        <w:rPr>
          <w:rFonts w:ascii="Times New Roman" w:hAnsi="Times New Roman" w:cs="Times New Roman"/>
          <w:sz w:val="24"/>
          <w:szCs w:val="24"/>
        </w:rPr>
      </w:pPr>
    </w:p>
    <w:p w14:paraId="7854A264" w14:textId="77777777" w:rsidR="0009478F" w:rsidRDefault="0009478F" w:rsidP="00D5219E">
      <w:pPr>
        <w:spacing w:line="360" w:lineRule="auto"/>
        <w:rPr>
          <w:rFonts w:ascii="Times New Roman" w:hAnsi="Times New Roman" w:cs="Times New Roman"/>
          <w:sz w:val="24"/>
          <w:szCs w:val="24"/>
        </w:rPr>
      </w:pPr>
    </w:p>
    <w:p w14:paraId="6C5438AC" w14:textId="77777777" w:rsidR="0009478F" w:rsidRDefault="0009478F" w:rsidP="00D5219E">
      <w:pPr>
        <w:spacing w:line="360" w:lineRule="auto"/>
        <w:rPr>
          <w:rFonts w:ascii="Times New Roman" w:hAnsi="Times New Roman" w:cs="Times New Roman"/>
          <w:sz w:val="24"/>
          <w:szCs w:val="24"/>
        </w:rPr>
      </w:pPr>
    </w:p>
    <w:p w14:paraId="6359C0F8" w14:textId="69955755" w:rsidR="00D5219E" w:rsidRPr="0009478F" w:rsidRDefault="00D5219E" w:rsidP="00D5219E">
      <w:pPr>
        <w:pStyle w:val="Heading2"/>
        <w:rPr>
          <w:rFonts w:ascii="Times New Roman" w:hAnsi="Times New Roman" w:cs="Times New Roman"/>
          <w:b/>
          <w:bCs/>
          <w:color w:val="000000" w:themeColor="text1"/>
          <w:sz w:val="24"/>
          <w:szCs w:val="24"/>
        </w:rPr>
      </w:pPr>
      <w:bookmarkStart w:id="5" w:name="_Toc216746271"/>
      <w:r w:rsidRPr="0009478F">
        <w:rPr>
          <w:rFonts w:ascii="Times New Roman" w:hAnsi="Times New Roman" w:cs="Times New Roman"/>
          <w:b/>
          <w:bCs/>
          <w:color w:val="000000" w:themeColor="text1"/>
          <w:sz w:val="24"/>
          <w:szCs w:val="24"/>
        </w:rPr>
        <w:t>2.4 Communication Plan</w:t>
      </w:r>
      <w:bookmarkEnd w:id="5"/>
    </w:p>
    <w:p w14:paraId="54E89B54" w14:textId="77777777" w:rsidR="00D5219E" w:rsidRDefault="00D5219E" w:rsidP="00D5219E"/>
    <w:p w14:paraId="029249DB" w14:textId="57608A2E" w:rsid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A well-organi</w:t>
      </w:r>
      <w:r>
        <w:rPr>
          <w:rFonts w:ascii="Times New Roman" w:hAnsi="Times New Roman" w:cs="Times New Roman"/>
          <w:sz w:val="24"/>
          <w:szCs w:val="24"/>
        </w:rPr>
        <w:t>s</w:t>
      </w:r>
      <w:r w:rsidRPr="0009478F">
        <w:rPr>
          <w:rFonts w:ascii="Times New Roman" w:hAnsi="Times New Roman" w:cs="Times New Roman"/>
          <w:sz w:val="24"/>
          <w:szCs w:val="24"/>
        </w:rPr>
        <w:t>ed communication strategy functions as the base which enables stakeholders to obtain correct information. The process of effective communication helps organi</w:t>
      </w:r>
      <w:r>
        <w:rPr>
          <w:rFonts w:ascii="Times New Roman" w:hAnsi="Times New Roman" w:cs="Times New Roman"/>
          <w:sz w:val="24"/>
          <w:szCs w:val="24"/>
        </w:rPr>
        <w:t>s</w:t>
      </w:r>
      <w:r w:rsidRPr="0009478F">
        <w:rPr>
          <w:rFonts w:ascii="Times New Roman" w:hAnsi="Times New Roman" w:cs="Times New Roman"/>
          <w:sz w:val="24"/>
          <w:szCs w:val="24"/>
        </w:rPr>
        <w:t>ations maintain transparency while they control what others expect to happen and it minimi</w:t>
      </w:r>
      <w:r>
        <w:rPr>
          <w:rFonts w:ascii="Times New Roman" w:hAnsi="Times New Roman" w:cs="Times New Roman"/>
          <w:sz w:val="24"/>
          <w:szCs w:val="24"/>
        </w:rPr>
        <w:t>s</w:t>
      </w:r>
      <w:r w:rsidRPr="0009478F">
        <w:rPr>
          <w:rFonts w:ascii="Times New Roman" w:hAnsi="Times New Roman" w:cs="Times New Roman"/>
          <w:sz w:val="24"/>
          <w:szCs w:val="24"/>
        </w:rPr>
        <w:t xml:space="preserve">es the chances of people misinterpreting information which leads to conflicts (Rowe and </w:t>
      </w:r>
      <w:proofErr w:type="spellStart"/>
      <w:r w:rsidRPr="0009478F">
        <w:rPr>
          <w:rFonts w:ascii="Times New Roman" w:hAnsi="Times New Roman" w:cs="Times New Roman"/>
          <w:sz w:val="24"/>
          <w:szCs w:val="24"/>
        </w:rPr>
        <w:t>Frewer</w:t>
      </w:r>
      <w:proofErr w:type="spellEnd"/>
      <w:r w:rsidRPr="0009478F">
        <w:rPr>
          <w:rFonts w:ascii="Times New Roman" w:hAnsi="Times New Roman" w:cs="Times New Roman"/>
          <w:sz w:val="24"/>
          <w:szCs w:val="24"/>
        </w:rPr>
        <w:t>, 2005). The leisure centre project uses communication methods which match the requirements of all its stakeholders.</w:t>
      </w:r>
    </w:p>
    <w:tbl>
      <w:tblPr>
        <w:tblStyle w:val="TableGrid"/>
        <w:tblW w:w="0" w:type="auto"/>
        <w:tblLook w:val="04A0" w:firstRow="1" w:lastRow="0" w:firstColumn="1" w:lastColumn="0" w:noHBand="0" w:noVBand="1"/>
      </w:tblPr>
      <w:tblGrid>
        <w:gridCol w:w="1803"/>
        <w:gridCol w:w="1803"/>
        <w:gridCol w:w="1803"/>
        <w:gridCol w:w="1803"/>
        <w:gridCol w:w="1804"/>
      </w:tblGrid>
      <w:tr w:rsidR="0009478F" w14:paraId="1A98CB0D" w14:textId="77777777" w:rsidTr="0009478F">
        <w:tc>
          <w:tcPr>
            <w:tcW w:w="1803" w:type="dxa"/>
          </w:tcPr>
          <w:p w14:paraId="5C7A6CE8" w14:textId="2332E2ED"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Stakeholder</w:t>
            </w:r>
          </w:p>
        </w:tc>
        <w:tc>
          <w:tcPr>
            <w:tcW w:w="1803" w:type="dxa"/>
          </w:tcPr>
          <w:p w14:paraId="5FB0DFD0" w14:textId="72755930"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Information Shared</w:t>
            </w:r>
          </w:p>
        </w:tc>
        <w:tc>
          <w:tcPr>
            <w:tcW w:w="1803" w:type="dxa"/>
          </w:tcPr>
          <w:p w14:paraId="1F871F1B" w14:textId="34DE1F8C"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Timing</w:t>
            </w:r>
          </w:p>
        </w:tc>
        <w:tc>
          <w:tcPr>
            <w:tcW w:w="1803" w:type="dxa"/>
          </w:tcPr>
          <w:p w14:paraId="1DC121E8" w14:textId="1C5D93A0"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Communication Method</w:t>
            </w:r>
          </w:p>
        </w:tc>
        <w:tc>
          <w:tcPr>
            <w:tcW w:w="1804" w:type="dxa"/>
          </w:tcPr>
          <w:p w14:paraId="153E859E" w14:textId="3F5C3864"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Purpose</w:t>
            </w:r>
          </w:p>
        </w:tc>
      </w:tr>
      <w:tr w:rsidR="0009478F" w14:paraId="4D2AEB38" w14:textId="77777777" w:rsidTr="0009478F">
        <w:tc>
          <w:tcPr>
            <w:tcW w:w="1803" w:type="dxa"/>
          </w:tcPr>
          <w:p w14:paraId="72B28497" w14:textId="6893ED1B"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Local Authority</w:t>
            </w:r>
          </w:p>
        </w:tc>
        <w:tc>
          <w:tcPr>
            <w:tcW w:w="1803" w:type="dxa"/>
          </w:tcPr>
          <w:p w14:paraId="45959103" w14:textId="39CC5098"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Progress updates, budgets and risks</w:t>
            </w:r>
          </w:p>
        </w:tc>
        <w:tc>
          <w:tcPr>
            <w:tcW w:w="1803" w:type="dxa"/>
          </w:tcPr>
          <w:p w14:paraId="15E8F92F" w14:textId="6746CDF7"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Monthly and milestones</w:t>
            </w:r>
          </w:p>
        </w:tc>
        <w:tc>
          <w:tcPr>
            <w:tcW w:w="1803" w:type="dxa"/>
          </w:tcPr>
          <w:p w14:paraId="25AC326E" w14:textId="1CD9B7E7"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Formal reports and meetings</w:t>
            </w:r>
          </w:p>
        </w:tc>
        <w:tc>
          <w:tcPr>
            <w:tcW w:w="1804" w:type="dxa"/>
          </w:tcPr>
          <w:p w14:paraId="5A175BD5" w14:textId="0F13EEAB"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Governance and accountability</w:t>
            </w:r>
          </w:p>
        </w:tc>
      </w:tr>
      <w:tr w:rsidR="0009478F" w14:paraId="3ADAAD91" w14:textId="77777777" w:rsidTr="0009478F">
        <w:tc>
          <w:tcPr>
            <w:tcW w:w="1803" w:type="dxa"/>
          </w:tcPr>
          <w:p w14:paraId="028EB251" w14:textId="068B7F77"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Residents</w:t>
            </w:r>
          </w:p>
        </w:tc>
        <w:tc>
          <w:tcPr>
            <w:tcW w:w="1803" w:type="dxa"/>
          </w:tcPr>
          <w:p w14:paraId="375B8147" w14:textId="4AFA31FD"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Design details, timelines, disruption</w:t>
            </w:r>
          </w:p>
        </w:tc>
        <w:tc>
          <w:tcPr>
            <w:tcW w:w="1803" w:type="dxa"/>
          </w:tcPr>
          <w:p w14:paraId="4C7B4EF2" w14:textId="30490391"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Key project stages</w:t>
            </w:r>
          </w:p>
        </w:tc>
        <w:tc>
          <w:tcPr>
            <w:tcW w:w="1803" w:type="dxa"/>
          </w:tcPr>
          <w:p w14:paraId="319075B4" w14:textId="05D5BC0C"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Letters, website, public meetings</w:t>
            </w:r>
          </w:p>
        </w:tc>
        <w:tc>
          <w:tcPr>
            <w:tcW w:w="1804" w:type="dxa"/>
          </w:tcPr>
          <w:p w14:paraId="0E00416D" w14:textId="36F7007F"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Transparency and trust</w:t>
            </w:r>
          </w:p>
        </w:tc>
      </w:tr>
      <w:tr w:rsidR="0009478F" w14:paraId="15630FC1" w14:textId="77777777" w:rsidTr="0009478F">
        <w:tc>
          <w:tcPr>
            <w:tcW w:w="1803" w:type="dxa"/>
          </w:tcPr>
          <w:p w14:paraId="72416BA4" w14:textId="0C2E7217"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Sports Clubs</w:t>
            </w:r>
          </w:p>
        </w:tc>
        <w:tc>
          <w:tcPr>
            <w:tcW w:w="1803" w:type="dxa"/>
          </w:tcPr>
          <w:p w14:paraId="52CB55DB" w14:textId="33753AC5"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Facility access plans</w:t>
            </w:r>
          </w:p>
        </w:tc>
        <w:tc>
          <w:tcPr>
            <w:tcW w:w="1803" w:type="dxa"/>
          </w:tcPr>
          <w:p w14:paraId="5DA9A652" w14:textId="6BD74E96"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Design phase</w:t>
            </w:r>
          </w:p>
        </w:tc>
        <w:tc>
          <w:tcPr>
            <w:tcW w:w="1803" w:type="dxa"/>
          </w:tcPr>
          <w:p w14:paraId="505E89FB" w14:textId="7E074F00"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Workshops and email</w:t>
            </w:r>
          </w:p>
        </w:tc>
        <w:tc>
          <w:tcPr>
            <w:tcW w:w="1804" w:type="dxa"/>
          </w:tcPr>
          <w:p w14:paraId="55E03521" w14:textId="045F1B66"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Usage coordination</w:t>
            </w:r>
          </w:p>
        </w:tc>
      </w:tr>
      <w:tr w:rsidR="0009478F" w14:paraId="1738CEFA" w14:textId="77777777" w:rsidTr="0009478F">
        <w:tc>
          <w:tcPr>
            <w:tcW w:w="1803" w:type="dxa"/>
          </w:tcPr>
          <w:p w14:paraId="14600DA6" w14:textId="4A290A6F"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Schools and Colleges</w:t>
            </w:r>
          </w:p>
        </w:tc>
        <w:tc>
          <w:tcPr>
            <w:tcW w:w="1803" w:type="dxa"/>
          </w:tcPr>
          <w:p w14:paraId="43F84510" w14:textId="530EEAAA"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Scheduling information</w:t>
            </w:r>
          </w:p>
        </w:tc>
        <w:tc>
          <w:tcPr>
            <w:tcW w:w="1803" w:type="dxa"/>
          </w:tcPr>
          <w:p w14:paraId="267E53A7" w14:textId="0317DA14"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Pre-operation</w:t>
            </w:r>
          </w:p>
        </w:tc>
        <w:tc>
          <w:tcPr>
            <w:tcW w:w="1803" w:type="dxa"/>
          </w:tcPr>
          <w:p w14:paraId="575BE32A" w14:textId="5B6D7C3F"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Email</w:t>
            </w:r>
          </w:p>
        </w:tc>
        <w:tc>
          <w:tcPr>
            <w:tcW w:w="1804" w:type="dxa"/>
          </w:tcPr>
          <w:p w14:paraId="7B26B69E" w14:textId="53E17C4E"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Operational planning</w:t>
            </w:r>
          </w:p>
        </w:tc>
      </w:tr>
      <w:tr w:rsidR="0009478F" w14:paraId="3E0C71A4" w14:textId="77777777" w:rsidTr="0009478F">
        <w:tc>
          <w:tcPr>
            <w:tcW w:w="1803" w:type="dxa"/>
          </w:tcPr>
          <w:p w14:paraId="7968FECB" w14:textId="250AD4C0"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1803" w:type="dxa"/>
          </w:tcPr>
          <w:p w14:paraId="4C03B7DE" w14:textId="110E76D2"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Construction impacts</w:t>
            </w:r>
          </w:p>
        </w:tc>
        <w:tc>
          <w:tcPr>
            <w:tcW w:w="1803" w:type="dxa"/>
          </w:tcPr>
          <w:p w14:paraId="45B19EE2" w14:textId="495367C8"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Construction phase</w:t>
            </w:r>
          </w:p>
        </w:tc>
        <w:tc>
          <w:tcPr>
            <w:tcW w:w="1803" w:type="dxa"/>
          </w:tcPr>
          <w:p w14:paraId="4A2918C5" w14:textId="71B84038"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Email and newsletters</w:t>
            </w:r>
          </w:p>
        </w:tc>
        <w:tc>
          <w:tcPr>
            <w:tcW w:w="1804" w:type="dxa"/>
          </w:tcPr>
          <w:p w14:paraId="25A82126" w14:textId="292FB53F" w:rsidR="0009478F" w:rsidRDefault="0009478F" w:rsidP="0009478F">
            <w:pPr>
              <w:spacing w:line="360" w:lineRule="auto"/>
              <w:rPr>
                <w:rFonts w:ascii="Times New Roman" w:hAnsi="Times New Roman" w:cs="Times New Roman"/>
                <w:sz w:val="24"/>
                <w:szCs w:val="24"/>
              </w:rPr>
            </w:pPr>
            <w:r>
              <w:rPr>
                <w:rFonts w:ascii="Times New Roman" w:hAnsi="Times New Roman" w:cs="Times New Roman"/>
                <w:sz w:val="24"/>
                <w:szCs w:val="24"/>
              </w:rPr>
              <w:t>Disruption mitigation</w:t>
            </w:r>
          </w:p>
        </w:tc>
      </w:tr>
    </w:tbl>
    <w:p w14:paraId="7CF9E072" w14:textId="77777777" w:rsidR="0009478F" w:rsidRPr="0009478F" w:rsidRDefault="0009478F" w:rsidP="0009478F">
      <w:pPr>
        <w:spacing w:line="360" w:lineRule="auto"/>
        <w:rPr>
          <w:rFonts w:ascii="Times New Roman" w:hAnsi="Times New Roman" w:cs="Times New Roman"/>
          <w:sz w:val="24"/>
          <w:szCs w:val="24"/>
        </w:rPr>
      </w:pPr>
    </w:p>
    <w:p w14:paraId="43E93927" w14:textId="495DA092" w:rsidR="00D5219E"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combination of digital and traditional communication methods provides stakeholders who have different digital access levels with equal opportunities to participate. Project management controls misinformation by providing continuous updates and using straightforward communication methods which help stakeholders develop trust in the organi</w:t>
      </w:r>
      <w:r>
        <w:rPr>
          <w:rFonts w:ascii="Times New Roman" w:hAnsi="Times New Roman" w:cs="Times New Roman"/>
          <w:sz w:val="24"/>
          <w:szCs w:val="24"/>
        </w:rPr>
        <w:t>s</w:t>
      </w:r>
      <w:r w:rsidRPr="0009478F">
        <w:rPr>
          <w:rFonts w:ascii="Times New Roman" w:hAnsi="Times New Roman" w:cs="Times New Roman"/>
          <w:sz w:val="24"/>
          <w:szCs w:val="24"/>
        </w:rPr>
        <w:t>ation.</w:t>
      </w:r>
    </w:p>
    <w:p w14:paraId="3B40D66C" w14:textId="77777777" w:rsidR="0009478F" w:rsidRDefault="0009478F" w:rsidP="0009478F">
      <w:pPr>
        <w:spacing w:line="360" w:lineRule="auto"/>
        <w:rPr>
          <w:rFonts w:ascii="Times New Roman" w:hAnsi="Times New Roman" w:cs="Times New Roman"/>
          <w:sz w:val="24"/>
          <w:szCs w:val="24"/>
        </w:rPr>
      </w:pPr>
    </w:p>
    <w:p w14:paraId="6211928C" w14:textId="77777777" w:rsidR="0009478F" w:rsidRDefault="0009478F" w:rsidP="0009478F">
      <w:pPr>
        <w:spacing w:line="360" w:lineRule="auto"/>
        <w:rPr>
          <w:rFonts w:ascii="Times New Roman" w:hAnsi="Times New Roman" w:cs="Times New Roman"/>
          <w:sz w:val="24"/>
          <w:szCs w:val="24"/>
        </w:rPr>
      </w:pPr>
    </w:p>
    <w:p w14:paraId="4E5A07E9" w14:textId="3C22C8CF" w:rsidR="0009478F" w:rsidRPr="0009478F" w:rsidRDefault="0009478F" w:rsidP="0009478F">
      <w:pPr>
        <w:pStyle w:val="Heading2"/>
        <w:rPr>
          <w:rFonts w:ascii="Times New Roman" w:hAnsi="Times New Roman" w:cs="Times New Roman"/>
          <w:b/>
          <w:bCs/>
          <w:color w:val="000000" w:themeColor="text1"/>
          <w:sz w:val="24"/>
          <w:szCs w:val="24"/>
        </w:rPr>
      </w:pPr>
      <w:bookmarkStart w:id="6" w:name="_Toc216746272"/>
      <w:r w:rsidRPr="0009478F">
        <w:rPr>
          <w:rFonts w:ascii="Times New Roman" w:hAnsi="Times New Roman" w:cs="Times New Roman"/>
          <w:b/>
          <w:bCs/>
          <w:color w:val="000000" w:themeColor="text1"/>
          <w:sz w:val="24"/>
          <w:szCs w:val="24"/>
        </w:rPr>
        <w:t>2.5 Consultation Strategy and Justification</w:t>
      </w:r>
      <w:bookmarkEnd w:id="6"/>
    </w:p>
    <w:p w14:paraId="1B7F4BC1" w14:textId="77777777" w:rsidR="0009478F" w:rsidRDefault="0009478F" w:rsidP="0009478F">
      <w:pPr>
        <w:spacing w:line="360" w:lineRule="auto"/>
      </w:pPr>
    </w:p>
    <w:p w14:paraId="015B47FD" w14:textId="6B087757"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core element of stakeholder engagement consists of consultation because it allows stakeholders to engage in dialogue while they help determine project decisions. The proposed leisure centre will achieve maximum participation from all groups through mixed-method consultation methods which will produce high-quality feedback.</w:t>
      </w:r>
    </w:p>
    <w:p w14:paraId="6B5B8139" w14:textId="31DC1D58"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project will organi</w:t>
      </w:r>
      <w:r>
        <w:rPr>
          <w:rFonts w:ascii="Times New Roman" w:hAnsi="Times New Roman" w:cs="Times New Roman"/>
          <w:sz w:val="24"/>
          <w:szCs w:val="24"/>
        </w:rPr>
        <w:t>s</w:t>
      </w:r>
      <w:r w:rsidRPr="0009478F">
        <w:rPr>
          <w:rFonts w:ascii="Times New Roman" w:hAnsi="Times New Roman" w:cs="Times New Roman"/>
          <w:sz w:val="24"/>
          <w:szCs w:val="24"/>
        </w:rPr>
        <w:t>e public consultation meetings throughout all concept design and planning stages to enable open information sharing. The forums enable stakeholders to present their worries</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 xml:space="preserve">share their preferred choices and obtain answers about project targets and limitations. Public meetings are particularly valuable in publicly funded projects as they demonstrate transparency and accountability (Rowe and </w:t>
      </w:r>
      <w:proofErr w:type="spellStart"/>
      <w:r w:rsidRPr="0009478F">
        <w:rPr>
          <w:rFonts w:ascii="Times New Roman" w:hAnsi="Times New Roman" w:cs="Times New Roman"/>
          <w:sz w:val="24"/>
          <w:szCs w:val="24"/>
        </w:rPr>
        <w:t>Frewer</w:t>
      </w:r>
      <w:proofErr w:type="spellEnd"/>
      <w:r w:rsidRPr="0009478F">
        <w:rPr>
          <w:rFonts w:ascii="Times New Roman" w:hAnsi="Times New Roman" w:cs="Times New Roman"/>
          <w:sz w:val="24"/>
          <w:szCs w:val="24"/>
        </w:rPr>
        <w:t>, 2005).</w:t>
      </w:r>
    </w:p>
    <w:p w14:paraId="3BFD3E38" w14:textId="6BCD01A4"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online survey system will improve physical meeting attendance because it allows stakeholders who cannot attend due to time or mobility or accessibility issues to participate in the process. Online methods increase participation rates and generate quantitative data that supports evidence-based decision-making (Reed et al.,</w:t>
      </w:r>
      <w:r w:rsidR="002444A7">
        <w:rPr>
          <w:rFonts w:ascii="Times New Roman" w:hAnsi="Times New Roman" w:cs="Times New Roman"/>
          <w:sz w:val="24"/>
          <w:szCs w:val="24"/>
        </w:rPr>
        <w:t xml:space="preserve"> </w:t>
      </w:r>
      <w:r w:rsidRPr="0009478F">
        <w:rPr>
          <w:rFonts w:ascii="Times New Roman" w:hAnsi="Times New Roman" w:cs="Times New Roman"/>
          <w:sz w:val="24"/>
          <w:szCs w:val="24"/>
        </w:rPr>
        <w:t>2018). The survey instruments will use neutral language to prevent bias which will help obtain reliable survey responses from participants.</w:t>
      </w:r>
    </w:p>
    <w:p w14:paraId="1C97C54A" w14:textId="3445F5F9"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 xml:space="preserve">The </w:t>
      </w:r>
      <w:r w:rsidR="00B96392">
        <w:rPr>
          <w:rFonts w:ascii="Times New Roman" w:hAnsi="Times New Roman" w:cs="Times New Roman"/>
          <w:sz w:val="24"/>
          <w:szCs w:val="24"/>
        </w:rPr>
        <w:t>project</w:t>
      </w:r>
      <w:r w:rsidRPr="0009478F">
        <w:rPr>
          <w:rFonts w:ascii="Times New Roman" w:hAnsi="Times New Roman" w:cs="Times New Roman"/>
          <w:sz w:val="24"/>
          <w:szCs w:val="24"/>
        </w:rPr>
        <w:t xml:space="preserve"> will organi</w:t>
      </w:r>
      <w:r>
        <w:rPr>
          <w:rFonts w:ascii="Times New Roman" w:hAnsi="Times New Roman" w:cs="Times New Roman"/>
          <w:sz w:val="24"/>
          <w:szCs w:val="24"/>
        </w:rPr>
        <w:t>s</w:t>
      </w:r>
      <w:r w:rsidRPr="0009478F">
        <w:rPr>
          <w:rFonts w:ascii="Times New Roman" w:hAnsi="Times New Roman" w:cs="Times New Roman"/>
          <w:sz w:val="24"/>
          <w:szCs w:val="24"/>
        </w:rPr>
        <w:t>e specific workshops which will bring together sports clubs and educational institutions to achieve both detailed discussions and joint planning efforts. The project will have multiple consultation points which will occur during design development and before the system starts operating. The method repeats itself to allow stakeholders' input to guide organi</w:t>
      </w:r>
      <w:r>
        <w:rPr>
          <w:rFonts w:ascii="Times New Roman" w:hAnsi="Times New Roman" w:cs="Times New Roman"/>
          <w:sz w:val="24"/>
          <w:szCs w:val="24"/>
        </w:rPr>
        <w:t>s</w:t>
      </w:r>
      <w:r w:rsidRPr="0009478F">
        <w:rPr>
          <w:rFonts w:ascii="Times New Roman" w:hAnsi="Times New Roman" w:cs="Times New Roman"/>
          <w:sz w:val="24"/>
          <w:szCs w:val="24"/>
        </w:rPr>
        <w:t>ational choices instead of serving as a required process. The OECD (2020) demonstrates that stakeholder consultation activities throughout ongoing dialogue processes enhance project legitimacy which decreases project opposition to achieve sustainable project success.</w:t>
      </w:r>
    </w:p>
    <w:p w14:paraId="2E8BC8C0" w14:textId="77777777" w:rsidR="0009478F" w:rsidRDefault="0009478F" w:rsidP="0009478F"/>
    <w:p w14:paraId="5DFE2EE2" w14:textId="77777777" w:rsidR="009C1E0F" w:rsidRDefault="009C1E0F" w:rsidP="0009478F"/>
    <w:p w14:paraId="33EF24CA" w14:textId="77777777" w:rsidR="009C1E0F" w:rsidRDefault="009C1E0F" w:rsidP="0009478F"/>
    <w:p w14:paraId="0E2180DE" w14:textId="77777777" w:rsidR="009C1E0F" w:rsidRDefault="009C1E0F" w:rsidP="0009478F"/>
    <w:p w14:paraId="614EE98E" w14:textId="51FF8361" w:rsidR="0009478F" w:rsidRPr="0009478F" w:rsidRDefault="0009478F" w:rsidP="0009478F">
      <w:pPr>
        <w:pStyle w:val="Heading1"/>
        <w:rPr>
          <w:rFonts w:ascii="Times New Roman" w:hAnsi="Times New Roman" w:cs="Times New Roman"/>
          <w:b/>
          <w:bCs/>
          <w:color w:val="000000" w:themeColor="text1"/>
          <w:sz w:val="24"/>
          <w:szCs w:val="24"/>
        </w:rPr>
      </w:pPr>
      <w:bookmarkStart w:id="7" w:name="_Toc216746273"/>
      <w:r w:rsidRPr="0009478F">
        <w:rPr>
          <w:rFonts w:ascii="Times New Roman" w:hAnsi="Times New Roman" w:cs="Times New Roman"/>
          <w:b/>
          <w:bCs/>
          <w:color w:val="000000" w:themeColor="text1"/>
          <w:sz w:val="24"/>
          <w:szCs w:val="24"/>
        </w:rPr>
        <w:t>Element 3: Ethical Considerations in Stakeholder Consultation, Participation and Feedback</w:t>
      </w:r>
      <w:bookmarkEnd w:id="7"/>
    </w:p>
    <w:p w14:paraId="4914CB66" w14:textId="77777777" w:rsidR="0009478F" w:rsidRDefault="0009478F" w:rsidP="0009478F"/>
    <w:p w14:paraId="55A960FE" w14:textId="3184B85F"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proposed community leisure centre requires stakeholders to take part in consultation and feedback processes because these activities form the base of ethical decision-making for all publicly funded infrastructure development projects. The practice of ethical stakeholder engagement develops methods which allow for equal and open communication with all stakeholders while protecting their rights and building trust between project teams and community members (Crane and Matten, 2016). All stakeholders must participate ethically in leisure facilities to reach sustainable project results because these facilities generate major social and economic effects.</w:t>
      </w:r>
    </w:p>
    <w:p w14:paraId="78063944" w14:textId="764EBF03"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All participants in stakeholder consultation need to receive enough information which enables them to decide properly. Stakeholders require direct access to consultation activities information and complete details about data usage</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feedback application and their power to shape project decisions. The project will use public meetings</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surveys and workshops as consultation methods which will present all project details about objectives</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constraints and decision-making procedures. All participants will have the opportunity to join voluntarily while they can leave consultation activities anytime without facing any adverse consequences (British Sociological Association, 2017). The method enables stakeholders to make their own decisions while it maintains compliance with current ethical standards which regulate stakeholder involvement.</w:t>
      </w:r>
    </w:p>
    <w:p w14:paraId="3EC531B0" w14:textId="43A66EC7"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protection of data together with maintaining confidentiality stands as a fundamental ethical requirement. People give away their personal data and sensitive opinions during consultation activities because they submit their information through online surveys and written feedback submissions. The organi</w:t>
      </w:r>
      <w:r>
        <w:rPr>
          <w:rFonts w:ascii="Times New Roman" w:hAnsi="Times New Roman" w:cs="Times New Roman"/>
          <w:sz w:val="24"/>
          <w:szCs w:val="24"/>
        </w:rPr>
        <w:t>s</w:t>
      </w:r>
      <w:r w:rsidRPr="0009478F">
        <w:rPr>
          <w:rFonts w:ascii="Times New Roman" w:hAnsi="Times New Roman" w:cs="Times New Roman"/>
          <w:sz w:val="24"/>
          <w:szCs w:val="24"/>
        </w:rPr>
        <w:t>ation will handle all data through its current procedures which follow all necessary data protection regulations. The research team will conduct feedback analysis through data removal of personal identification information before they analy</w:t>
      </w:r>
      <w:r>
        <w:rPr>
          <w:rFonts w:ascii="Times New Roman" w:hAnsi="Times New Roman" w:cs="Times New Roman"/>
          <w:sz w:val="24"/>
          <w:szCs w:val="24"/>
        </w:rPr>
        <w:t>s</w:t>
      </w:r>
      <w:r w:rsidRPr="0009478F">
        <w:rPr>
          <w:rFonts w:ascii="Times New Roman" w:hAnsi="Times New Roman" w:cs="Times New Roman"/>
          <w:sz w:val="24"/>
          <w:szCs w:val="24"/>
        </w:rPr>
        <w:t>e only aggregated study results. The system will use protected data storage methods which protect data from unauthori</w:t>
      </w:r>
      <w:r>
        <w:rPr>
          <w:rFonts w:ascii="Times New Roman" w:hAnsi="Times New Roman" w:cs="Times New Roman"/>
          <w:sz w:val="24"/>
          <w:szCs w:val="24"/>
        </w:rPr>
        <w:t>s</w:t>
      </w:r>
      <w:r w:rsidRPr="0009478F">
        <w:rPr>
          <w:rFonts w:ascii="Times New Roman" w:hAnsi="Times New Roman" w:cs="Times New Roman"/>
          <w:sz w:val="24"/>
          <w:szCs w:val="24"/>
        </w:rPr>
        <w:t>ed access. Organi</w:t>
      </w:r>
      <w:r>
        <w:rPr>
          <w:rFonts w:ascii="Times New Roman" w:hAnsi="Times New Roman" w:cs="Times New Roman"/>
          <w:sz w:val="24"/>
          <w:szCs w:val="24"/>
        </w:rPr>
        <w:t>s</w:t>
      </w:r>
      <w:r w:rsidRPr="0009478F">
        <w:rPr>
          <w:rFonts w:ascii="Times New Roman" w:hAnsi="Times New Roman" w:cs="Times New Roman"/>
          <w:sz w:val="24"/>
          <w:szCs w:val="24"/>
        </w:rPr>
        <w:t>ations need to practice ethical data management because it helps them gain stakeholder trust and participants can freely share their information.</w:t>
      </w:r>
    </w:p>
    <w:p w14:paraId="3753F84D" w14:textId="32C4ECE3"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 xml:space="preserve">The practice of ethical stakeholder engagement needs to solve two essential problems which involve stopping biased decision processes and ensuring all stakeholders receive equivalent participation. The consultation process creates unintentional advantages for </w:t>
      </w:r>
      <w:r w:rsidR="00C94889" w:rsidRPr="0009478F">
        <w:rPr>
          <w:rFonts w:ascii="Times New Roman" w:hAnsi="Times New Roman" w:cs="Times New Roman"/>
          <w:sz w:val="24"/>
          <w:szCs w:val="24"/>
        </w:rPr>
        <w:t>groups</w:t>
      </w:r>
      <w:r w:rsidRPr="0009478F">
        <w:rPr>
          <w:rFonts w:ascii="Times New Roman" w:hAnsi="Times New Roman" w:cs="Times New Roman"/>
          <w:sz w:val="24"/>
          <w:szCs w:val="24"/>
        </w:rPr>
        <w:t xml:space="preserve"> who have enough </w:t>
      </w:r>
      <w:r w:rsidR="00C94889" w:rsidRPr="0009478F">
        <w:rPr>
          <w:rFonts w:ascii="Times New Roman" w:hAnsi="Times New Roman" w:cs="Times New Roman"/>
          <w:sz w:val="24"/>
          <w:szCs w:val="24"/>
        </w:rPr>
        <w:t>confidence</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 xml:space="preserve">sufficient time and financial resources to take part </w:t>
      </w:r>
      <w:r w:rsidR="00C94889">
        <w:rPr>
          <w:rFonts w:ascii="Times New Roman" w:hAnsi="Times New Roman" w:cs="Times New Roman"/>
          <w:sz w:val="24"/>
          <w:szCs w:val="24"/>
        </w:rPr>
        <w:t>however</w:t>
      </w:r>
      <w:r w:rsidRPr="0009478F">
        <w:rPr>
          <w:rFonts w:ascii="Times New Roman" w:hAnsi="Times New Roman" w:cs="Times New Roman"/>
          <w:sz w:val="24"/>
          <w:szCs w:val="24"/>
        </w:rPr>
        <w:t xml:space="preserve"> it excludes stakeholders who remain hidden from view. The project will implement different consultation methods which unite quantitative and qualitative assessment techniques to collect feedback from multiple stakeholder groups. The development team will develop consultation materials which use neutral language to avoid framing bias while they will make sure to get input from every community group (Reed et al.,</w:t>
      </w:r>
      <w:r w:rsidR="002444A7">
        <w:rPr>
          <w:rFonts w:ascii="Times New Roman" w:hAnsi="Times New Roman" w:cs="Times New Roman"/>
          <w:sz w:val="24"/>
          <w:szCs w:val="24"/>
        </w:rPr>
        <w:t xml:space="preserve"> </w:t>
      </w:r>
      <w:r w:rsidRPr="0009478F">
        <w:rPr>
          <w:rFonts w:ascii="Times New Roman" w:hAnsi="Times New Roman" w:cs="Times New Roman"/>
          <w:sz w:val="24"/>
          <w:szCs w:val="24"/>
        </w:rPr>
        <w:t>2018). The method allows organi</w:t>
      </w:r>
      <w:r>
        <w:rPr>
          <w:rFonts w:ascii="Times New Roman" w:hAnsi="Times New Roman" w:cs="Times New Roman"/>
          <w:sz w:val="24"/>
          <w:szCs w:val="24"/>
        </w:rPr>
        <w:t>s</w:t>
      </w:r>
      <w:r w:rsidRPr="0009478F">
        <w:rPr>
          <w:rFonts w:ascii="Times New Roman" w:hAnsi="Times New Roman" w:cs="Times New Roman"/>
          <w:sz w:val="24"/>
          <w:szCs w:val="24"/>
        </w:rPr>
        <w:t>ations to create decisions which preserve equilibrium while reducing the likelihood of producing discriminatory outcomes.</w:t>
      </w:r>
    </w:p>
    <w:p w14:paraId="0A327B8E" w14:textId="051D7F7A"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principles of Diversity, Equity and Inclusion (DEI) are particularly relevant in the context of a community leisure centre, which is intended to serve a wide and diverse population. All people must have access to participate in ethical engagement through consultation methods which do not restrict anyone based on their age or ability or social status or language skills or digital technology access. The organi</w:t>
      </w:r>
      <w:r>
        <w:rPr>
          <w:rFonts w:ascii="Times New Roman" w:hAnsi="Times New Roman" w:cs="Times New Roman"/>
          <w:sz w:val="24"/>
          <w:szCs w:val="24"/>
        </w:rPr>
        <w:t>s</w:t>
      </w:r>
      <w:r w:rsidRPr="0009478F">
        <w:rPr>
          <w:rFonts w:ascii="Times New Roman" w:hAnsi="Times New Roman" w:cs="Times New Roman"/>
          <w:sz w:val="24"/>
          <w:szCs w:val="24"/>
        </w:rPr>
        <w:t>ation will establish functional solutions which involve setting up accessible venues for events and offering digital participation options instead of physical attendance and providing consultation materials in formats which people can access. The OECD (2020) explains that inclusive engagement methods create legitimacy because they generate results which benefit all community members instead of only particular stakeholder groups.</w:t>
      </w:r>
    </w:p>
    <w:p w14:paraId="0DDB90D3" w14:textId="431CF0B3"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Organi</w:t>
      </w:r>
      <w:r>
        <w:rPr>
          <w:rFonts w:ascii="Times New Roman" w:hAnsi="Times New Roman" w:cs="Times New Roman"/>
          <w:sz w:val="24"/>
          <w:szCs w:val="24"/>
        </w:rPr>
        <w:t>s</w:t>
      </w:r>
      <w:r w:rsidRPr="0009478F">
        <w:rPr>
          <w:rFonts w:ascii="Times New Roman" w:hAnsi="Times New Roman" w:cs="Times New Roman"/>
          <w:sz w:val="24"/>
          <w:szCs w:val="24"/>
        </w:rPr>
        <w:t>ations need to process stakeholder feedback through ethical methods which unite open communication with responsible action in their feedback management systems. The process of consulting stakeholders can lead to consultation fatigue because their contributions seem to make no difference in the choices that get made. The project team will perform an organi</w:t>
      </w:r>
      <w:r>
        <w:rPr>
          <w:rFonts w:ascii="Times New Roman" w:hAnsi="Times New Roman" w:cs="Times New Roman"/>
          <w:sz w:val="24"/>
          <w:szCs w:val="24"/>
        </w:rPr>
        <w:t>s</w:t>
      </w:r>
      <w:r w:rsidRPr="0009478F">
        <w:rPr>
          <w:rFonts w:ascii="Times New Roman" w:hAnsi="Times New Roman" w:cs="Times New Roman"/>
          <w:sz w:val="24"/>
          <w:szCs w:val="24"/>
        </w:rPr>
        <w:t>ed evaluation of all stakeholder feedback through their current formal feedback review system. The project will create clear feedback systems which show stakeholders how their feedback affects project choices and why particular recommendations cannot be implemented. The project maintains full visibility which creates trust between stakeholders while allowing them to stay involved throughout the process (Aaltonen and Kujala, 2016).</w:t>
      </w:r>
    </w:p>
    <w:p w14:paraId="77D80B7F" w14:textId="58480D19" w:rsidR="0009478F" w:rsidRP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project requires ethical stakeholder engagement to continue after the planning and delivery stages. The organi</w:t>
      </w:r>
      <w:r>
        <w:rPr>
          <w:rFonts w:ascii="Times New Roman" w:hAnsi="Times New Roman" w:cs="Times New Roman"/>
          <w:sz w:val="24"/>
          <w:szCs w:val="24"/>
        </w:rPr>
        <w:t>s</w:t>
      </w:r>
      <w:r w:rsidRPr="0009478F">
        <w:rPr>
          <w:rFonts w:ascii="Times New Roman" w:hAnsi="Times New Roman" w:cs="Times New Roman"/>
          <w:sz w:val="24"/>
          <w:szCs w:val="24"/>
        </w:rPr>
        <w:t>ation will establish post-completion consultation systems to measure stakeholder satisfaction and discover ways to enhance facility management operations and service delivery quality. The organi</w:t>
      </w:r>
      <w:r>
        <w:rPr>
          <w:rFonts w:ascii="Times New Roman" w:hAnsi="Times New Roman" w:cs="Times New Roman"/>
          <w:sz w:val="24"/>
          <w:szCs w:val="24"/>
        </w:rPr>
        <w:t>s</w:t>
      </w:r>
      <w:r w:rsidRPr="0009478F">
        <w:rPr>
          <w:rFonts w:ascii="Times New Roman" w:hAnsi="Times New Roman" w:cs="Times New Roman"/>
          <w:sz w:val="24"/>
          <w:szCs w:val="24"/>
        </w:rPr>
        <w:t>ation maintains its dedication to ethical public sector project delivery because it fulfils community requirements through time and enables ongoing development.</w:t>
      </w:r>
    </w:p>
    <w:p w14:paraId="2228BA7F" w14:textId="13E300B8" w:rsidR="0009478F" w:rsidRDefault="0009478F" w:rsidP="0009478F">
      <w:pPr>
        <w:spacing w:line="360" w:lineRule="auto"/>
        <w:rPr>
          <w:rFonts w:ascii="Times New Roman" w:hAnsi="Times New Roman" w:cs="Times New Roman"/>
          <w:sz w:val="24"/>
          <w:szCs w:val="24"/>
        </w:rPr>
      </w:pPr>
      <w:r w:rsidRPr="0009478F">
        <w:rPr>
          <w:rFonts w:ascii="Times New Roman" w:hAnsi="Times New Roman" w:cs="Times New Roman"/>
          <w:sz w:val="24"/>
          <w:szCs w:val="24"/>
        </w:rPr>
        <w:t>The proposed community leisure centre needs ethical considerations about stakeholder consultation</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participation and feedback to achieve its goals and maintain long-term operation. The project follows ethical principles which enable stakeholder participation through rules that protect participant rights through consent procedures</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secure data management</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promote equal treatment for all participants</w:t>
      </w:r>
      <w:r w:rsidR="00C94889">
        <w:rPr>
          <w:rFonts w:ascii="Times New Roman" w:hAnsi="Times New Roman" w:cs="Times New Roman"/>
          <w:sz w:val="24"/>
          <w:szCs w:val="24"/>
        </w:rPr>
        <w:t xml:space="preserve">, </w:t>
      </w:r>
      <w:r w:rsidRPr="0009478F">
        <w:rPr>
          <w:rFonts w:ascii="Times New Roman" w:hAnsi="Times New Roman" w:cs="Times New Roman"/>
          <w:sz w:val="24"/>
          <w:szCs w:val="24"/>
        </w:rPr>
        <w:t xml:space="preserve">maintain project openness and establish </w:t>
      </w:r>
      <w:r w:rsidR="009C1E0F" w:rsidRPr="0009478F">
        <w:rPr>
          <w:rFonts w:ascii="Times New Roman" w:hAnsi="Times New Roman" w:cs="Times New Roman"/>
          <w:sz w:val="24"/>
          <w:szCs w:val="24"/>
        </w:rPr>
        <w:t>accountabilities</w:t>
      </w:r>
      <w:r w:rsidRPr="0009478F">
        <w:rPr>
          <w:rFonts w:ascii="Times New Roman" w:hAnsi="Times New Roman" w:cs="Times New Roman"/>
          <w:sz w:val="24"/>
          <w:szCs w:val="24"/>
        </w:rPr>
        <w:t xml:space="preserve"> for all involved entities. The project establishes its legitimacy through ethical participation which creates enduring community trust and produces social advantages for people who live in the area.</w:t>
      </w:r>
    </w:p>
    <w:p w14:paraId="7E84E455" w14:textId="77777777" w:rsidR="009C1E0F" w:rsidRDefault="009C1E0F" w:rsidP="0009478F">
      <w:pPr>
        <w:spacing w:line="360" w:lineRule="auto"/>
        <w:rPr>
          <w:rFonts w:ascii="Times New Roman" w:hAnsi="Times New Roman" w:cs="Times New Roman"/>
          <w:sz w:val="24"/>
          <w:szCs w:val="24"/>
        </w:rPr>
      </w:pPr>
    </w:p>
    <w:p w14:paraId="50E3F776" w14:textId="47D58BD3" w:rsidR="009C1E0F" w:rsidRDefault="009C1E0F" w:rsidP="009C1E0F">
      <w:pPr>
        <w:pStyle w:val="Heading1"/>
        <w:rPr>
          <w:rFonts w:ascii="Times New Roman" w:hAnsi="Times New Roman" w:cs="Times New Roman"/>
          <w:b/>
          <w:bCs/>
          <w:color w:val="000000" w:themeColor="text1"/>
          <w:sz w:val="24"/>
          <w:szCs w:val="24"/>
        </w:rPr>
      </w:pPr>
      <w:bookmarkStart w:id="8" w:name="_Toc216746274"/>
      <w:r w:rsidRPr="009C1E0F">
        <w:rPr>
          <w:rFonts w:ascii="Times New Roman" w:hAnsi="Times New Roman" w:cs="Times New Roman"/>
          <w:b/>
          <w:bCs/>
          <w:color w:val="000000" w:themeColor="text1"/>
          <w:sz w:val="24"/>
          <w:szCs w:val="24"/>
        </w:rPr>
        <w:t>Element 4: Conclusion and Reflection</w:t>
      </w:r>
      <w:bookmarkEnd w:id="8"/>
    </w:p>
    <w:p w14:paraId="2A356DEB" w14:textId="5E1A19D8" w:rsidR="009C1E0F" w:rsidRDefault="009C1E0F" w:rsidP="009C1E0F">
      <w:pPr>
        <w:pStyle w:val="Heading2"/>
      </w:pPr>
    </w:p>
    <w:p w14:paraId="00582F66" w14:textId="12039D6A" w:rsidR="009C1E0F" w:rsidRDefault="009C1E0F" w:rsidP="009C1E0F">
      <w:pPr>
        <w:pStyle w:val="Heading2"/>
        <w:rPr>
          <w:rFonts w:ascii="Times New Roman" w:hAnsi="Times New Roman" w:cs="Times New Roman"/>
          <w:b/>
          <w:bCs/>
          <w:color w:val="000000" w:themeColor="text1"/>
          <w:sz w:val="24"/>
          <w:szCs w:val="24"/>
        </w:rPr>
      </w:pPr>
      <w:bookmarkStart w:id="9" w:name="_Toc216746275"/>
      <w:r w:rsidRPr="009C1E0F">
        <w:rPr>
          <w:rFonts w:ascii="Times New Roman" w:hAnsi="Times New Roman" w:cs="Times New Roman"/>
          <w:b/>
          <w:bCs/>
          <w:color w:val="000000" w:themeColor="text1"/>
          <w:sz w:val="24"/>
          <w:szCs w:val="24"/>
        </w:rPr>
        <w:t>4.1 Conclusion</w:t>
      </w:r>
      <w:bookmarkEnd w:id="9"/>
    </w:p>
    <w:p w14:paraId="259FF927" w14:textId="77777777" w:rsidR="009C1E0F" w:rsidRDefault="009C1E0F" w:rsidP="009C1E0F"/>
    <w:p w14:paraId="2BC2DB63" w14:textId="6CD89655" w:rsidR="009C1E0F" w:rsidRP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The portfolio shows how proper stakeholder management leads to successful infrastructure project delivery of a community leisure centre through its planning process. The portfolio shows organi</w:t>
      </w:r>
      <w:r>
        <w:rPr>
          <w:rFonts w:ascii="Times New Roman" w:hAnsi="Times New Roman" w:cs="Times New Roman"/>
          <w:sz w:val="24"/>
          <w:szCs w:val="24"/>
        </w:rPr>
        <w:t>s</w:t>
      </w:r>
      <w:r w:rsidRPr="009C1E0F">
        <w:rPr>
          <w:rFonts w:ascii="Times New Roman" w:hAnsi="Times New Roman" w:cs="Times New Roman"/>
          <w:sz w:val="24"/>
          <w:szCs w:val="24"/>
        </w:rPr>
        <w:t>ations how to improve their decision-making abilities through stakeholder theory</w:t>
      </w:r>
      <w:r w:rsidR="00C94889">
        <w:rPr>
          <w:rFonts w:ascii="Times New Roman" w:hAnsi="Times New Roman" w:cs="Times New Roman"/>
          <w:sz w:val="24"/>
          <w:szCs w:val="24"/>
        </w:rPr>
        <w:t>,</w:t>
      </w:r>
      <w:r w:rsidRPr="009C1E0F">
        <w:rPr>
          <w:rFonts w:ascii="Times New Roman" w:hAnsi="Times New Roman" w:cs="Times New Roman"/>
          <w:sz w:val="24"/>
          <w:szCs w:val="24"/>
        </w:rPr>
        <w:t xml:space="preserve"> power–interest–influence analysis</w:t>
      </w:r>
      <w:r w:rsidR="00C94889">
        <w:rPr>
          <w:rFonts w:ascii="Times New Roman" w:hAnsi="Times New Roman" w:cs="Times New Roman"/>
          <w:sz w:val="24"/>
          <w:szCs w:val="24"/>
        </w:rPr>
        <w:t xml:space="preserve">, </w:t>
      </w:r>
      <w:r w:rsidRPr="009C1E0F">
        <w:rPr>
          <w:rFonts w:ascii="Times New Roman" w:hAnsi="Times New Roman" w:cs="Times New Roman"/>
          <w:sz w:val="24"/>
          <w:szCs w:val="24"/>
        </w:rPr>
        <w:t>stakeholder mapping</w:t>
      </w:r>
      <w:r w:rsidR="00C94889">
        <w:rPr>
          <w:rFonts w:ascii="Times New Roman" w:hAnsi="Times New Roman" w:cs="Times New Roman"/>
          <w:sz w:val="24"/>
          <w:szCs w:val="24"/>
        </w:rPr>
        <w:t xml:space="preserve">, </w:t>
      </w:r>
      <w:r w:rsidRPr="009C1E0F">
        <w:rPr>
          <w:rFonts w:ascii="Times New Roman" w:hAnsi="Times New Roman" w:cs="Times New Roman"/>
          <w:sz w:val="24"/>
          <w:szCs w:val="24"/>
        </w:rPr>
        <w:t>communication planning and consultation strategies which reduce project risks while creating sustainable long-term results. Public infrastructure projects need systematic stakeholder management to handle different stakeholder priorities because this method enables them to reach balanced and acceptable results.</w:t>
      </w:r>
    </w:p>
    <w:p w14:paraId="2D543156" w14:textId="1399C3B2" w:rsidR="009C1E0F" w:rsidRP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The research shows that stakeholders have different levels of power</w:t>
      </w:r>
      <w:r w:rsidR="00C94889">
        <w:rPr>
          <w:rFonts w:ascii="Times New Roman" w:hAnsi="Times New Roman" w:cs="Times New Roman"/>
          <w:sz w:val="24"/>
          <w:szCs w:val="24"/>
        </w:rPr>
        <w:t xml:space="preserve">, </w:t>
      </w:r>
      <w:r w:rsidRPr="009C1E0F">
        <w:rPr>
          <w:rFonts w:ascii="Times New Roman" w:hAnsi="Times New Roman" w:cs="Times New Roman"/>
          <w:sz w:val="24"/>
          <w:szCs w:val="24"/>
        </w:rPr>
        <w:t>interest and influence which demand specific engagement methods instead of using one general approach. The use of the power–interest matrix enabled stakeholders to be prioritised effectively, ensuring that engagement resources were allocated proportionately. The communication plan in this portfolio shows organi</w:t>
      </w:r>
      <w:r>
        <w:rPr>
          <w:rFonts w:ascii="Times New Roman" w:hAnsi="Times New Roman" w:cs="Times New Roman"/>
          <w:sz w:val="24"/>
          <w:szCs w:val="24"/>
        </w:rPr>
        <w:t>s</w:t>
      </w:r>
      <w:r w:rsidRPr="009C1E0F">
        <w:rPr>
          <w:rFonts w:ascii="Times New Roman" w:hAnsi="Times New Roman" w:cs="Times New Roman"/>
          <w:sz w:val="24"/>
          <w:szCs w:val="24"/>
        </w:rPr>
        <w:t>ations how to boost transparency through direct accessible communication which enables them to handle public expectations and prevent conflicts from emerging. Organi</w:t>
      </w:r>
      <w:r>
        <w:rPr>
          <w:rFonts w:ascii="Times New Roman" w:hAnsi="Times New Roman" w:cs="Times New Roman"/>
          <w:sz w:val="24"/>
          <w:szCs w:val="24"/>
        </w:rPr>
        <w:t>s</w:t>
      </w:r>
      <w:r w:rsidRPr="009C1E0F">
        <w:rPr>
          <w:rFonts w:ascii="Times New Roman" w:hAnsi="Times New Roman" w:cs="Times New Roman"/>
          <w:sz w:val="24"/>
          <w:szCs w:val="24"/>
        </w:rPr>
        <w:t>ations use their consultation strategy to build better stakeholder trust through two-way communication which enables them to obtain vital local information needed for project acceptance.</w:t>
      </w:r>
    </w:p>
    <w:p w14:paraId="1F8039C5" w14:textId="3D85A432" w:rsid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Ethical considerations were identified as fundamental to stakeholder engagement, particularly in the context of publicly funded projects. The principles of informed consent</w:t>
      </w:r>
      <w:r w:rsidR="00C94889">
        <w:rPr>
          <w:rFonts w:ascii="Times New Roman" w:hAnsi="Times New Roman" w:cs="Times New Roman"/>
          <w:sz w:val="24"/>
          <w:szCs w:val="24"/>
        </w:rPr>
        <w:t xml:space="preserve">, </w:t>
      </w:r>
      <w:r w:rsidRPr="009C1E0F">
        <w:rPr>
          <w:rFonts w:ascii="Times New Roman" w:hAnsi="Times New Roman" w:cs="Times New Roman"/>
          <w:sz w:val="24"/>
          <w:szCs w:val="24"/>
        </w:rPr>
        <w:t>data protection</w:t>
      </w:r>
      <w:r w:rsidR="00C94889">
        <w:rPr>
          <w:rFonts w:ascii="Times New Roman" w:hAnsi="Times New Roman" w:cs="Times New Roman"/>
          <w:sz w:val="24"/>
          <w:szCs w:val="24"/>
        </w:rPr>
        <w:t>,</w:t>
      </w:r>
      <w:r w:rsidRPr="009C1E0F">
        <w:rPr>
          <w:rFonts w:ascii="Times New Roman" w:hAnsi="Times New Roman" w:cs="Times New Roman"/>
          <w:sz w:val="24"/>
          <w:szCs w:val="24"/>
        </w:rPr>
        <w:t xml:space="preserve"> fairness and Diversity Equity and Inclusion (DEI) work together to establish proper procedures which include all stakeholders and maintain social responsibility. The community leisure centre benefits from ethical engagement because it enables residents to direct the development process which will create facilities that serve all community members. The portfolio shows that stakeholder management stands as a vital project success factor which generates social value and maintains enduring community benefits.</w:t>
      </w:r>
    </w:p>
    <w:p w14:paraId="4EE3340E" w14:textId="77777777" w:rsidR="009C1E0F" w:rsidRDefault="009C1E0F" w:rsidP="009C1E0F">
      <w:pPr>
        <w:spacing w:line="360" w:lineRule="auto"/>
        <w:rPr>
          <w:rFonts w:ascii="Times New Roman" w:hAnsi="Times New Roman" w:cs="Times New Roman"/>
          <w:sz w:val="24"/>
          <w:szCs w:val="24"/>
        </w:rPr>
      </w:pPr>
    </w:p>
    <w:p w14:paraId="20917C70" w14:textId="19F1EE03" w:rsidR="009C1E0F" w:rsidRDefault="009C1E0F" w:rsidP="009C1E0F">
      <w:pPr>
        <w:pStyle w:val="Heading2"/>
        <w:rPr>
          <w:rFonts w:ascii="Times New Roman" w:hAnsi="Times New Roman" w:cs="Times New Roman"/>
          <w:b/>
          <w:bCs/>
          <w:color w:val="000000" w:themeColor="text1"/>
          <w:sz w:val="24"/>
          <w:szCs w:val="24"/>
        </w:rPr>
      </w:pPr>
      <w:bookmarkStart w:id="10" w:name="_Toc216746276"/>
      <w:r w:rsidRPr="009C1E0F">
        <w:rPr>
          <w:rFonts w:ascii="Times New Roman" w:hAnsi="Times New Roman" w:cs="Times New Roman"/>
          <w:b/>
          <w:bCs/>
          <w:color w:val="000000" w:themeColor="text1"/>
          <w:sz w:val="24"/>
          <w:szCs w:val="24"/>
        </w:rPr>
        <w:t>4.2 Reflective Account</w:t>
      </w:r>
      <w:bookmarkEnd w:id="10"/>
    </w:p>
    <w:p w14:paraId="33258582" w14:textId="77777777" w:rsidR="009C1E0F" w:rsidRDefault="009C1E0F" w:rsidP="009C1E0F"/>
    <w:p w14:paraId="4FEA6077" w14:textId="45D49231" w:rsidR="009C1E0F" w:rsidRP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The process of finishing this portfolio helped me understand how stakeholder engagement functions as a strategic method which also requires relationship-based approaches. Guided by Gibbs’ Reflective Cycle, this exercise provided an opportunity to evaluate personal learning and professional skill development. The process of stakeholder engagement started as a mandatory step which people needed to follow. The application of academic models to a real-world infrastructure project showed how this project serves as a strategic component which shapes project outcomes.</w:t>
      </w:r>
    </w:p>
    <w:p w14:paraId="6B0BD799" w14:textId="4F008767" w:rsidR="009C1E0F" w:rsidRP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Students needed to use stakeholder analysis tools for actual business scenarios according to the primary learning objective. The power–interest–influence analysis and stakeholder map development process enabled me to enhance my abilities for complete stakeholder dynamic assessments and proper selection of stakeholder factors. The ability to build relationships stands as a crucial skill which consultancy and public-sector organi</w:t>
      </w:r>
      <w:r w:rsidR="000C6539">
        <w:rPr>
          <w:rFonts w:ascii="Times New Roman" w:hAnsi="Times New Roman" w:cs="Times New Roman"/>
          <w:sz w:val="24"/>
          <w:szCs w:val="24"/>
        </w:rPr>
        <w:t>s</w:t>
      </w:r>
      <w:r w:rsidRPr="009C1E0F">
        <w:rPr>
          <w:rFonts w:ascii="Times New Roman" w:hAnsi="Times New Roman" w:cs="Times New Roman"/>
          <w:sz w:val="24"/>
          <w:szCs w:val="24"/>
        </w:rPr>
        <w:t>ations need to implement because they operate with restricted funds which need specific proven methods of engagement.</w:t>
      </w:r>
    </w:p>
    <w:p w14:paraId="7B790649" w14:textId="24493F0B" w:rsidR="009C1E0F" w:rsidRP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The process of developing ethical awareness became my main point of development. Exploring issues such as bias, representation and inclusivity reinforced the importance of accessible and fair consultation processes. The project teams needed to handle their duty according to DEI principles which required them to think about requirements of every community resident. The knowledge I acquired enables me to perform professional duties by making decisions which follow ethical guidelines.</w:t>
      </w:r>
    </w:p>
    <w:p w14:paraId="59E1A289" w14:textId="6CF31E0C" w:rsidR="009C1E0F" w:rsidRPr="009C1E0F" w:rsidRDefault="009C1E0F" w:rsidP="009C1E0F">
      <w:pPr>
        <w:spacing w:line="360" w:lineRule="auto"/>
        <w:rPr>
          <w:rFonts w:ascii="Times New Roman" w:hAnsi="Times New Roman" w:cs="Times New Roman"/>
          <w:sz w:val="24"/>
          <w:szCs w:val="24"/>
        </w:rPr>
      </w:pPr>
      <w:r w:rsidRPr="009C1E0F">
        <w:rPr>
          <w:rFonts w:ascii="Times New Roman" w:hAnsi="Times New Roman" w:cs="Times New Roman"/>
          <w:sz w:val="24"/>
          <w:szCs w:val="24"/>
        </w:rPr>
        <w:t>The portfolio helped students acquire transferable abilities through their work on analytical thinking and their development of structured writing and reflective practice skills. The competencies establish essential qualifications which students need to succeed at graduate school and to become practicing professionals. The reflective exercise demonstrated that project success depends on proper stakeholder management which enables professionals to develop their competencies.</w:t>
      </w:r>
    </w:p>
    <w:p w14:paraId="582F6522" w14:textId="77777777" w:rsidR="009C1E0F" w:rsidRDefault="009C1E0F" w:rsidP="009C1E0F"/>
    <w:p w14:paraId="01DA34FE" w14:textId="327170D6" w:rsidR="009C1E0F" w:rsidRDefault="009C1E0F" w:rsidP="009C1E0F">
      <w:pPr>
        <w:pStyle w:val="Heading1"/>
        <w:rPr>
          <w:rFonts w:ascii="Times New Roman" w:hAnsi="Times New Roman" w:cs="Times New Roman"/>
          <w:b/>
          <w:bCs/>
          <w:color w:val="000000" w:themeColor="text1"/>
          <w:sz w:val="24"/>
          <w:szCs w:val="24"/>
        </w:rPr>
      </w:pPr>
      <w:bookmarkStart w:id="11" w:name="_Toc216746277"/>
      <w:r w:rsidRPr="009C1E0F">
        <w:rPr>
          <w:rFonts w:ascii="Times New Roman" w:hAnsi="Times New Roman" w:cs="Times New Roman"/>
          <w:b/>
          <w:bCs/>
          <w:color w:val="000000" w:themeColor="text1"/>
          <w:sz w:val="24"/>
          <w:szCs w:val="24"/>
        </w:rPr>
        <w:t>References</w:t>
      </w:r>
      <w:bookmarkEnd w:id="11"/>
    </w:p>
    <w:p w14:paraId="0DCFEF0F" w14:textId="77777777" w:rsidR="009C1E0F" w:rsidRDefault="009C1E0F" w:rsidP="009C1E0F"/>
    <w:p w14:paraId="1B9A21CA"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Aaltonen, K. and Kujala, J. (2016) ‘Towards an improved understanding of stakeholder dynamics’, </w:t>
      </w:r>
      <w:r w:rsidRPr="009C1E0F">
        <w:rPr>
          <w:rFonts w:ascii="Times New Roman" w:hAnsi="Times New Roman" w:cs="Times New Roman"/>
          <w:i/>
          <w:iCs/>
          <w:sz w:val="24"/>
          <w:szCs w:val="24"/>
        </w:rPr>
        <w:t>International Journal of Project Management</w:t>
      </w:r>
      <w:r w:rsidRPr="009C1E0F">
        <w:rPr>
          <w:rFonts w:ascii="Times New Roman" w:hAnsi="Times New Roman" w:cs="Times New Roman"/>
          <w:sz w:val="24"/>
          <w:szCs w:val="24"/>
        </w:rPr>
        <w:t xml:space="preserve">, 34(8), pp. 1537–1552. </w:t>
      </w:r>
      <w:hyperlink r:id="rId8" w:tgtFrame="_new" w:history="1">
        <w:r w:rsidRPr="009C1E0F">
          <w:rPr>
            <w:rStyle w:val="Hyperlink"/>
            <w:rFonts w:ascii="Times New Roman" w:hAnsi="Times New Roman" w:cs="Times New Roman"/>
            <w:sz w:val="24"/>
            <w:szCs w:val="24"/>
          </w:rPr>
          <w:t>https://doi.org/10.1016/j.ijproman.2016.08.009</w:t>
        </w:r>
      </w:hyperlink>
    </w:p>
    <w:p w14:paraId="030EF125"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British Sociological Association (2017) </w:t>
      </w:r>
      <w:r w:rsidRPr="009C1E0F">
        <w:rPr>
          <w:rFonts w:ascii="Times New Roman" w:hAnsi="Times New Roman" w:cs="Times New Roman"/>
          <w:i/>
          <w:iCs/>
          <w:sz w:val="24"/>
          <w:szCs w:val="24"/>
        </w:rPr>
        <w:t>Statement of Ethical Practice</w:t>
      </w:r>
      <w:r w:rsidRPr="009C1E0F">
        <w:rPr>
          <w:rFonts w:ascii="Times New Roman" w:hAnsi="Times New Roman" w:cs="Times New Roman"/>
          <w:sz w:val="24"/>
          <w:szCs w:val="24"/>
        </w:rPr>
        <w:t xml:space="preserve">. London: British Sociological Association. Available at: </w:t>
      </w:r>
      <w:hyperlink r:id="rId9" w:tgtFrame="_new" w:history="1">
        <w:r w:rsidRPr="009C1E0F">
          <w:rPr>
            <w:rStyle w:val="Hyperlink"/>
            <w:rFonts w:ascii="Times New Roman" w:hAnsi="Times New Roman" w:cs="Times New Roman"/>
            <w:sz w:val="24"/>
            <w:szCs w:val="24"/>
          </w:rPr>
          <w:t>https://www.britsoc.co.uk/ethics</w:t>
        </w:r>
      </w:hyperlink>
      <w:r w:rsidRPr="009C1E0F">
        <w:rPr>
          <w:rFonts w:ascii="Times New Roman" w:hAnsi="Times New Roman" w:cs="Times New Roman"/>
          <w:sz w:val="24"/>
          <w:szCs w:val="24"/>
        </w:rPr>
        <w:t xml:space="preserve"> (Accessed: 15 December 2025).</w:t>
      </w:r>
    </w:p>
    <w:p w14:paraId="6F45BE3D"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Bryson, J.M. (2018) </w:t>
      </w:r>
      <w:r w:rsidRPr="009C1E0F">
        <w:rPr>
          <w:rFonts w:ascii="Times New Roman" w:hAnsi="Times New Roman" w:cs="Times New Roman"/>
          <w:i/>
          <w:iCs/>
          <w:sz w:val="24"/>
          <w:szCs w:val="24"/>
        </w:rPr>
        <w:t>Strategic Planning for Public and Nonprofit Organizations: A Guide to Strengthening and Sustaining Organizational Achievement</w:t>
      </w:r>
      <w:r w:rsidRPr="009C1E0F">
        <w:rPr>
          <w:rFonts w:ascii="Times New Roman" w:hAnsi="Times New Roman" w:cs="Times New Roman"/>
          <w:sz w:val="24"/>
          <w:szCs w:val="24"/>
        </w:rPr>
        <w:t xml:space="preserve">. 5th </w:t>
      </w:r>
      <w:proofErr w:type="spellStart"/>
      <w:r w:rsidRPr="009C1E0F">
        <w:rPr>
          <w:rFonts w:ascii="Times New Roman" w:hAnsi="Times New Roman" w:cs="Times New Roman"/>
          <w:sz w:val="24"/>
          <w:szCs w:val="24"/>
        </w:rPr>
        <w:t>edn</w:t>
      </w:r>
      <w:proofErr w:type="spellEnd"/>
      <w:r w:rsidRPr="009C1E0F">
        <w:rPr>
          <w:rFonts w:ascii="Times New Roman" w:hAnsi="Times New Roman" w:cs="Times New Roman"/>
          <w:sz w:val="24"/>
          <w:szCs w:val="24"/>
        </w:rPr>
        <w:t>. Hoboken, NJ: John Wiley &amp; Sons.</w:t>
      </w:r>
    </w:p>
    <w:p w14:paraId="61A02FA5"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Crane, A. and Matten, D. (2016) </w:t>
      </w:r>
      <w:r w:rsidRPr="009C1E0F">
        <w:rPr>
          <w:rFonts w:ascii="Times New Roman" w:hAnsi="Times New Roman" w:cs="Times New Roman"/>
          <w:i/>
          <w:iCs/>
          <w:sz w:val="24"/>
          <w:szCs w:val="24"/>
        </w:rPr>
        <w:t>Business Ethics: Managing Corporate Citizenship and Sustainability in the Age of Globalization</w:t>
      </w:r>
      <w:r w:rsidRPr="009C1E0F">
        <w:rPr>
          <w:rFonts w:ascii="Times New Roman" w:hAnsi="Times New Roman" w:cs="Times New Roman"/>
          <w:sz w:val="24"/>
          <w:szCs w:val="24"/>
        </w:rPr>
        <w:t xml:space="preserve">. 4th </w:t>
      </w:r>
      <w:proofErr w:type="spellStart"/>
      <w:r w:rsidRPr="009C1E0F">
        <w:rPr>
          <w:rFonts w:ascii="Times New Roman" w:hAnsi="Times New Roman" w:cs="Times New Roman"/>
          <w:sz w:val="24"/>
          <w:szCs w:val="24"/>
        </w:rPr>
        <w:t>edn</w:t>
      </w:r>
      <w:proofErr w:type="spellEnd"/>
      <w:r w:rsidRPr="009C1E0F">
        <w:rPr>
          <w:rFonts w:ascii="Times New Roman" w:hAnsi="Times New Roman" w:cs="Times New Roman"/>
          <w:sz w:val="24"/>
          <w:szCs w:val="24"/>
        </w:rPr>
        <w:t>. Oxford: Oxford University Press.</w:t>
      </w:r>
    </w:p>
    <w:p w14:paraId="5950C174"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Freeman, R.E. (1984) </w:t>
      </w:r>
      <w:r w:rsidRPr="009C1E0F">
        <w:rPr>
          <w:rFonts w:ascii="Times New Roman" w:hAnsi="Times New Roman" w:cs="Times New Roman"/>
          <w:i/>
          <w:iCs/>
          <w:sz w:val="24"/>
          <w:szCs w:val="24"/>
        </w:rPr>
        <w:t>Strategic Management: A Stakeholder Approach</w:t>
      </w:r>
      <w:r w:rsidRPr="009C1E0F">
        <w:rPr>
          <w:rFonts w:ascii="Times New Roman" w:hAnsi="Times New Roman" w:cs="Times New Roman"/>
          <w:sz w:val="24"/>
          <w:szCs w:val="24"/>
        </w:rPr>
        <w:t>. Boston: Pitman.</w:t>
      </w:r>
    </w:p>
    <w:p w14:paraId="0A1A6A4B"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Mendelow, A.L. (1991) ‘Environmental scanning: The impact of the stakeholder concept’, in </w:t>
      </w:r>
      <w:r w:rsidRPr="009C1E0F">
        <w:rPr>
          <w:rFonts w:ascii="Times New Roman" w:hAnsi="Times New Roman" w:cs="Times New Roman"/>
          <w:i/>
          <w:iCs/>
          <w:sz w:val="24"/>
          <w:szCs w:val="24"/>
        </w:rPr>
        <w:t>Proceedings of the Second International Conference on Information Systems</w:t>
      </w:r>
      <w:r w:rsidRPr="009C1E0F">
        <w:rPr>
          <w:rFonts w:ascii="Times New Roman" w:hAnsi="Times New Roman" w:cs="Times New Roman"/>
          <w:sz w:val="24"/>
          <w:szCs w:val="24"/>
        </w:rPr>
        <w:t>. Cambridge, MA: Harvard Business School Press, pp. 407–418.</w:t>
      </w:r>
    </w:p>
    <w:p w14:paraId="326C68FB"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OECD (2020) </w:t>
      </w:r>
      <w:r w:rsidRPr="009C1E0F">
        <w:rPr>
          <w:rFonts w:ascii="Times New Roman" w:hAnsi="Times New Roman" w:cs="Times New Roman"/>
          <w:i/>
          <w:iCs/>
          <w:sz w:val="24"/>
          <w:szCs w:val="24"/>
        </w:rPr>
        <w:t>Innovative Citizen Participation and New Democratic Institutions: Catching the Deliberative Wave</w:t>
      </w:r>
      <w:r w:rsidRPr="009C1E0F">
        <w:rPr>
          <w:rFonts w:ascii="Times New Roman" w:hAnsi="Times New Roman" w:cs="Times New Roman"/>
          <w:sz w:val="24"/>
          <w:szCs w:val="24"/>
        </w:rPr>
        <w:t xml:space="preserve">. Paris: OECD Publishing. </w:t>
      </w:r>
      <w:hyperlink r:id="rId10" w:tgtFrame="_new" w:history="1">
        <w:r w:rsidRPr="009C1E0F">
          <w:rPr>
            <w:rStyle w:val="Hyperlink"/>
            <w:rFonts w:ascii="Times New Roman" w:hAnsi="Times New Roman" w:cs="Times New Roman"/>
            <w:sz w:val="24"/>
            <w:szCs w:val="24"/>
          </w:rPr>
          <w:t>https://doi.org/10.1787/339306da-en</w:t>
        </w:r>
      </w:hyperlink>
    </w:p>
    <w:p w14:paraId="040445B2"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Reed, M.S., Vella, S., </w:t>
      </w:r>
      <w:proofErr w:type="spellStart"/>
      <w:r w:rsidRPr="009C1E0F">
        <w:rPr>
          <w:rFonts w:ascii="Times New Roman" w:hAnsi="Times New Roman" w:cs="Times New Roman"/>
          <w:sz w:val="24"/>
          <w:szCs w:val="24"/>
        </w:rPr>
        <w:t>Challies</w:t>
      </w:r>
      <w:proofErr w:type="spellEnd"/>
      <w:r w:rsidRPr="009C1E0F">
        <w:rPr>
          <w:rFonts w:ascii="Times New Roman" w:hAnsi="Times New Roman" w:cs="Times New Roman"/>
          <w:sz w:val="24"/>
          <w:szCs w:val="24"/>
        </w:rPr>
        <w:t xml:space="preserve">, E., de Vente, J., </w:t>
      </w:r>
      <w:proofErr w:type="spellStart"/>
      <w:r w:rsidRPr="009C1E0F">
        <w:rPr>
          <w:rFonts w:ascii="Times New Roman" w:hAnsi="Times New Roman" w:cs="Times New Roman"/>
          <w:sz w:val="24"/>
          <w:szCs w:val="24"/>
        </w:rPr>
        <w:t>Frewer</w:t>
      </w:r>
      <w:proofErr w:type="spellEnd"/>
      <w:r w:rsidRPr="009C1E0F">
        <w:rPr>
          <w:rFonts w:ascii="Times New Roman" w:hAnsi="Times New Roman" w:cs="Times New Roman"/>
          <w:sz w:val="24"/>
          <w:szCs w:val="24"/>
        </w:rPr>
        <w:t xml:space="preserve">, L., </w:t>
      </w:r>
      <w:proofErr w:type="spellStart"/>
      <w:r w:rsidRPr="009C1E0F">
        <w:rPr>
          <w:rFonts w:ascii="Times New Roman" w:hAnsi="Times New Roman" w:cs="Times New Roman"/>
          <w:sz w:val="24"/>
          <w:szCs w:val="24"/>
        </w:rPr>
        <w:t>Hohenwallner-Ries</w:t>
      </w:r>
      <w:proofErr w:type="spellEnd"/>
      <w:r w:rsidRPr="009C1E0F">
        <w:rPr>
          <w:rFonts w:ascii="Times New Roman" w:hAnsi="Times New Roman" w:cs="Times New Roman"/>
          <w:sz w:val="24"/>
          <w:szCs w:val="24"/>
        </w:rPr>
        <w:t xml:space="preserve">, D., Hubacek, K., Neumann, R.K., Oughton, E., </w:t>
      </w:r>
      <w:proofErr w:type="spellStart"/>
      <w:r w:rsidRPr="009C1E0F">
        <w:rPr>
          <w:rFonts w:ascii="Times New Roman" w:hAnsi="Times New Roman" w:cs="Times New Roman"/>
          <w:sz w:val="24"/>
          <w:szCs w:val="24"/>
        </w:rPr>
        <w:t>Sidoli</w:t>
      </w:r>
      <w:proofErr w:type="spellEnd"/>
      <w:r w:rsidRPr="009C1E0F">
        <w:rPr>
          <w:rFonts w:ascii="Times New Roman" w:hAnsi="Times New Roman" w:cs="Times New Roman"/>
          <w:sz w:val="24"/>
          <w:szCs w:val="24"/>
        </w:rPr>
        <w:t xml:space="preserve"> del </w:t>
      </w:r>
      <w:proofErr w:type="spellStart"/>
      <w:r w:rsidRPr="009C1E0F">
        <w:rPr>
          <w:rFonts w:ascii="Times New Roman" w:hAnsi="Times New Roman" w:cs="Times New Roman"/>
          <w:sz w:val="24"/>
          <w:szCs w:val="24"/>
        </w:rPr>
        <w:t>Ceno</w:t>
      </w:r>
      <w:proofErr w:type="spellEnd"/>
      <w:r w:rsidRPr="009C1E0F">
        <w:rPr>
          <w:rFonts w:ascii="Times New Roman" w:hAnsi="Times New Roman" w:cs="Times New Roman"/>
          <w:sz w:val="24"/>
          <w:szCs w:val="24"/>
        </w:rPr>
        <w:t xml:space="preserve">, J. and van </w:t>
      </w:r>
      <w:proofErr w:type="spellStart"/>
      <w:r w:rsidRPr="009C1E0F">
        <w:rPr>
          <w:rFonts w:ascii="Times New Roman" w:hAnsi="Times New Roman" w:cs="Times New Roman"/>
          <w:sz w:val="24"/>
          <w:szCs w:val="24"/>
        </w:rPr>
        <w:t>Delden</w:t>
      </w:r>
      <w:proofErr w:type="spellEnd"/>
      <w:r w:rsidRPr="009C1E0F">
        <w:rPr>
          <w:rFonts w:ascii="Times New Roman" w:hAnsi="Times New Roman" w:cs="Times New Roman"/>
          <w:sz w:val="24"/>
          <w:szCs w:val="24"/>
        </w:rPr>
        <w:t xml:space="preserve">, H. (2018) ‘A theory of participation: What makes stakeholder and public engagement in environmental management work?’, </w:t>
      </w:r>
      <w:r w:rsidRPr="009C1E0F">
        <w:rPr>
          <w:rFonts w:ascii="Times New Roman" w:hAnsi="Times New Roman" w:cs="Times New Roman"/>
          <w:i/>
          <w:iCs/>
          <w:sz w:val="24"/>
          <w:szCs w:val="24"/>
        </w:rPr>
        <w:t>Biological Conservation</w:t>
      </w:r>
      <w:r w:rsidRPr="009C1E0F">
        <w:rPr>
          <w:rFonts w:ascii="Times New Roman" w:hAnsi="Times New Roman" w:cs="Times New Roman"/>
          <w:sz w:val="24"/>
          <w:szCs w:val="24"/>
        </w:rPr>
        <w:t xml:space="preserve">, 217, pp. 1–10. </w:t>
      </w:r>
      <w:hyperlink r:id="rId11" w:tgtFrame="_new" w:history="1">
        <w:r w:rsidRPr="009C1E0F">
          <w:rPr>
            <w:rStyle w:val="Hyperlink"/>
            <w:rFonts w:ascii="Times New Roman" w:hAnsi="Times New Roman" w:cs="Times New Roman"/>
            <w:sz w:val="24"/>
            <w:szCs w:val="24"/>
          </w:rPr>
          <w:t>https://doi.org/10.1016/j.biocon.2017.10.002</w:t>
        </w:r>
      </w:hyperlink>
    </w:p>
    <w:p w14:paraId="32F26F58"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Rowe, G. and </w:t>
      </w:r>
      <w:proofErr w:type="spellStart"/>
      <w:r w:rsidRPr="009C1E0F">
        <w:rPr>
          <w:rFonts w:ascii="Times New Roman" w:hAnsi="Times New Roman" w:cs="Times New Roman"/>
          <w:sz w:val="24"/>
          <w:szCs w:val="24"/>
        </w:rPr>
        <w:t>Frewer</w:t>
      </w:r>
      <w:proofErr w:type="spellEnd"/>
      <w:r w:rsidRPr="009C1E0F">
        <w:rPr>
          <w:rFonts w:ascii="Times New Roman" w:hAnsi="Times New Roman" w:cs="Times New Roman"/>
          <w:sz w:val="24"/>
          <w:szCs w:val="24"/>
        </w:rPr>
        <w:t xml:space="preserve">, L.J. (2005) ‘A typology of public engagement mechanisms’, </w:t>
      </w:r>
      <w:r w:rsidRPr="009C1E0F">
        <w:rPr>
          <w:rFonts w:ascii="Times New Roman" w:hAnsi="Times New Roman" w:cs="Times New Roman"/>
          <w:i/>
          <w:iCs/>
          <w:sz w:val="24"/>
          <w:szCs w:val="24"/>
        </w:rPr>
        <w:t>Science, Technology &amp; Human Values</w:t>
      </w:r>
      <w:r w:rsidRPr="009C1E0F">
        <w:rPr>
          <w:rFonts w:ascii="Times New Roman" w:hAnsi="Times New Roman" w:cs="Times New Roman"/>
          <w:sz w:val="24"/>
          <w:szCs w:val="24"/>
        </w:rPr>
        <w:t xml:space="preserve">, 30(2), pp. 251–290. </w:t>
      </w:r>
      <w:hyperlink r:id="rId12" w:tgtFrame="_new" w:history="1">
        <w:r w:rsidRPr="009C1E0F">
          <w:rPr>
            <w:rStyle w:val="Hyperlink"/>
            <w:rFonts w:ascii="Times New Roman" w:hAnsi="Times New Roman" w:cs="Times New Roman"/>
            <w:sz w:val="24"/>
            <w:szCs w:val="24"/>
          </w:rPr>
          <w:t>https://doi.org/10.1177/0162243904271724</w:t>
        </w:r>
      </w:hyperlink>
    </w:p>
    <w:p w14:paraId="19A646DB"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UK Government (2022) </w:t>
      </w:r>
      <w:r w:rsidRPr="009C1E0F">
        <w:rPr>
          <w:rFonts w:ascii="Times New Roman" w:hAnsi="Times New Roman" w:cs="Times New Roman"/>
          <w:i/>
          <w:iCs/>
          <w:sz w:val="24"/>
          <w:szCs w:val="24"/>
        </w:rPr>
        <w:t>Levelling Up the United Kingdom</w:t>
      </w:r>
      <w:r w:rsidRPr="009C1E0F">
        <w:rPr>
          <w:rFonts w:ascii="Times New Roman" w:hAnsi="Times New Roman" w:cs="Times New Roman"/>
          <w:sz w:val="24"/>
          <w:szCs w:val="24"/>
        </w:rPr>
        <w:t xml:space="preserve">. London: HM Government. Available at: </w:t>
      </w:r>
      <w:hyperlink r:id="rId13" w:tgtFrame="_new" w:history="1">
        <w:r w:rsidRPr="009C1E0F">
          <w:rPr>
            <w:rStyle w:val="Hyperlink"/>
            <w:rFonts w:ascii="Times New Roman" w:hAnsi="Times New Roman" w:cs="Times New Roman"/>
            <w:sz w:val="24"/>
            <w:szCs w:val="24"/>
          </w:rPr>
          <w:t>https://www.gov.uk/government/publications/levelling-up-the-united-kingdom</w:t>
        </w:r>
      </w:hyperlink>
      <w:r w:rsidRPr="009C1E0F">
        <w:rPr>
          <w:rFonts w:ascii="Times New Roman" w:hAnsi="Times New Roman" w:cs="Times New Roman"/>
          <w:sz w:val="24"/>
          <w:szCs w:val="24"/>
        </w:rPr>
        <w:t xml:space="preserve"> (Accessed: 15 December 2025).</w:t>
      </w:r>
    </w:p>
    <w:p w14:paraId="1AF908C4" w14:textId="77777777" w:rsidR="009C1E0F" w:rsidRPr="009C1E0F" w:rsidRDefault="009C1E0F" w:rsidP="009C1E0F">
      <w:pPr>
        <w:pStyle w:val="ListParagraph"/>
        <w:numPr>
          <w:ilvl w:val="0"/>
          <w:numId w:val="1"/>
        </w:numPr>
        <w:spacing w:line="360" w:lineRule="auto"/>
        <w:rPr>
          <w:rFonts w:ascii="Times New Roman" w:hAnsi="Times New Roman" w:cs="Times New Roman"/>
          <w:sz w:val="24"/>
          <w:szCs w:val="24"/>
        </w:rPr>
      </w:pPr>
      <w:r w:rsidRPr="009C1E0F">
        <w:rPr>
          <w:rFonts w:ascii="Times New Roman" w:hAnsi="Times New Roman" w:cs="Times New Roman"/>
          <w:sz w:val="24"/>
          <w:szCs w:val="24"/>
        </w:rPr>
        <w:t xml:space="preserve">World Health Organization (2021) </w:t>
      </w:r>
      <w:r w:rsidRPr="009C1E0F">
        <w:rPr>
          <w:rFonts w:ascii="Times New Roman" w:hAnsi="Times New Roman" w:cs="Times New Roman"/>
          <w:i/>
          <w:iCs/>
          <w:sz w:val="24"/>
          <w:szCs w:val="24"/>
        </w:rPr>
        <w:t>Urban Green Spaces and Health</w:t>
      </w:r>
      <w:r w:rsidRPr="009C1E0F">
        <w:rPr>
          <w:rFonts w:ascii="Times New Roman" w:hAnsi="Times New Roman" w:cs="Times New Roman"/>
          <w:sz w:val="24"/>
          <w:szCs w:val="24"/>
        </w:rPr>
        <w:t xml:space="preserve">. Geneva: World Health Organization. Available at: </w:t>
      </w:r>
      <w:hyperlink r:id="rId14" w:tgtFrame="_new" w:history="1">
        <w:r w:rsidRPr="009C1E0F">
          <w:rPr>
            <w:rStyle w:val="Hyperlink"/>
            <w:rFonts w:ascii="Times New Roman" w:hAnsi="Times New Roman" w:cs="Times New Roman"/>
            <w:sz w:val="24"/>
            <w:szCs w:val="24"/>
          </w:rPr>
          <w:t>https://www.who.int/publications/i/item/9789289053602</w:t>
        </w:r>
      </w:hyperlink>
      <w:r w:rsidRPr="009C1E0F">
        <w:rPr>
          <w:rFonts w:ascii="Times New Roman" w:hAnsi="Times New Roman" w:cs="Times New Roman"/>
          <w:sz w:val="24"/>
          <w:szCs w:val="24"/>
        </w:rPr>
        <w:t xml:space="preserve"> (Accessed: 15 December 2025).</w:t>
      </w:r>
    </w:p>
    <w:p w14:paraId="53121459" w14:textId="77777777" w:rsidR="009C1E0F" w:rsidRPr="009C1E0F" w:rsidRDefault="009C1E0F" w:rsidP="009C1E0F"/>
    <w:p w14:paraId="31C20FA9" w14:textId="77777777" w:rsidR="009C1E0F" w:rsidRPr="009C1E0F" w:rsidRDefault="009C1E0F" w:rsidP="009C1E0F"/>
    <w:p w14:paraId="5429C2E5" w14:textId="77777777" w:rsidR="0009478F" w:rsidRPr="0009478F" w:rsidRDefault="0009478F" w:rsidP="0009478F"/>
    <w:p w14:paraId="7B20AA1B" w14:textId="77777777" w:rsidR="006F4292" w:rsidRPr="00D5219E" w:rsidRDefault="006F4292" w:rsidP="00D5219E">
      <w:pPr>
        <w:spacing w:line="360" w:lineRule="auto"/>
        <w:rPr>
          <w:rFonts w:ascii="Times New Roman" w:hAnsi="Times New Roman" w:cs="Times New Roman"/>
          <w:sz w:val="24"/>
          <w:szCs w:val="24"/>
        </w:rPr>
      </w:pPr>
    </w:p>
    <w:sectPr w:rsidR="006F4292" w:rsidRPr="00D5219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3C156" w14:textId="77777777" w:rsidR="004A4CC7" w:rsidRDefault="004A4CC7" w:rsidP="006F4292">
      <w:pPr>
        <w:spacing w:after="0" w:line="240" w:lineRule="auto"/>
      </w:pPr>
      <w:r>
        <w:separator/>
      </w:r>
    </w:p>
  </w:endnote>
  <w:endnote w:type="continuationSeparator" w:id="0">
    <w:p w14:paraId="09787F3C" w14:textId="77777777" w:rsidR="004A4CC7" w:rsidRDefault="004A4CC7" w:rsidP="006F4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972875"/>
      <w:docPartObj>
        <w:docPartGallery w:val="Page Numbers (Bottom of Page)"/>
        <w:docPartUnique/>
      </w:docPartObj>
    </w:sdtPr>
    <w:sdtEndPr>
      <w:rPr>
        <w:rFonts w:ascii="Times New Roman" w:hAnsi="Times New Roman" w:cs="Times New Roman"/>
        <w:b/>
        <w:bCs/>
        <w:noProof/>
        <w:color w:val="000000" w:themeColor="text1"/>
        <w:sz w:val="24"/>
        <w:szCs w:val="24"/>
      </w:rPr>
    </w:sdtEndPr>
    <w:sdtContent>
      <w:p w14:paraId="148C5CC0" w14:textId="06CC98CA" w:rsidR="006F4292" w:rsidRPr="006F4292" w:rsidRDefault="006F4292">
        <w:pPr>
          <w:pStyle w:val="Footer"/>
          <w:rPr>
            <w:rFonts w:ascii="Times New Roman" w:hAnsi="Times New Roman" w:cs="Times New Roman"/>
            <w:b/>
            <w:bCs/>
            <w:color w:val="000000" w:themeColor="text1"/>
            <w:sz w:val="24"/>
            <w:szCs w:val="24"/>
          </w:rPr>
        </w:pPr>
        <w:r w:rsidRPr="006F4292">
          <w:rPr>
            <w:rFonts w:ascii="Times New Roman" w:hAnsi="Times New Roman" w:cs="Times New Roman"/>
            <w:b/>
            <w:bCs/>
            <w:color w:val="000000" w:themeColor="text1"/>
            <w:sz w:val="24"/>
            <w:szCs w:val="24"/>
          </w:rPr>
          <w:fldChar w:fldCharType="begin"/>
        </w:r>
        <w:r w:rsidRPr="006F4292">
          <w:rPr>
            <w:rFonts w:ascii="Times New Roman" w:hAnsi="Times New Roman" w:cs="Times New Roman"/>
            <w:b/>
            <w:bCs/>
            <w:color w:val="000000" w:themeColor="text1"/>
            <w:sz w:val="24"/>
            <w:szCs w:val="24"/>
          </w:rPr>
          <w:instrText xml:space="preserve"> PAGE   \* MERGEFORMAT </w:instrText>
        </w:r>
        <w:r w:rsidRPr="006F4292">
          <w:rPr>
            <w:rFonts w:ascii="Times New Roman" w:hAnsi="Times New Roman" w:cs="Times New Roman"/>
            <w:b/>
            <w:bCs/>
            <w:color w:val="000000" w:themeColor="text1"/>
            <w:sz w:val="24"/>
            <w:szCs w:val="24"/>
          </w:rPr>
          <w:fldChar w:fldCharType="separate"/>
        </w:r>
        <w:r w:rsidRPr="006F4292">
          <w:rPr>
            <w:rFonts w:ascii="Times New Roman" w:hAnsi="Times New Roman" w:cs="Times New Roman"/>
            <w:b/>
            <w:bCs/>
            <w:noProof/>
            <w:color w:val="000000" w:themeColor="text1"/>
            <w:sz w:val="24"/>
            <w:szCs w:val="24"/>
          </w:rPr>
          <w:t>2</w:t>
        </w:r>
        <w:r w:rsidRPr="006F4292">
          <w:rPr>
            <w:rFonts w:ascii="Times New Roman" w:hAnsi="Times New Roman" w:cs="Times New Roman"/>
            <w:b/>
            <w:bCs/>
            <w:noProof/>
            <w:color w:val="000000" w:themeColor="text1"/>
            <w:sz w:val="24"/>
            <w:szCs w:val="24"/>
          </w:rPr>
          <w:fldChar w:fldCharType="end"/>
        </w:r>
      </w:p>
    </w:sdtContent>
  </w:sdt>
  <w:p w14:paraId="131A1F56" w14:textId="77777777" w:rsidR="006F4292" w:rsidRDefault="006F4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E0369" w14:textId="77777777" w:rsidR="004A4CC7" w:rsidRDefault="004A4CC7" w:rsidP="006F4292">
      <w:pPr>
        <w:spacing w:after="0" w:line="240" w:lineRule="auto"/>
      </w:pPr>
      <w:r>
        <w:separator/>
      </w:r>
    </w:p>
  </w:footnote>
  <w:footnote w:type="continuationSeparator" w:id="0">
    <w:p w14:paraId="0A05CCC5" w14:textId="77777777" w:rsidR="004A4CC7" w:rsidRDefault="004A4CC7" w:rsidP="006F4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C40C6E"/>
    <w:multiLevelType w:val="hybridMultilevel"/>
    <w:tmpl w:val="164E2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925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292"/>
    <w:rsid w:val="0009478F"/>
    <w:rsid w:val="0009672F"/>
    <w:rsid w:val="000C6539"/>
    <w:rsid w:val="002444A7"/>
    <w:rsid w:val="004A4CC7"/>
    <w:rsid w:val="005247DD"/>
    <w:rsid w:val="006421AF"/>
    <w:rsid w:val="006F4292"/>
    <w:rsid w:val="009C1E0F"/>
    <w:rsid w:val="00B06EC6"/>
    <w:rsid w:val="00B314C5"/>
    <w:rsid w:val="00B96392"/>
    <w:rsid w:val="00C94889"/>
    <w:rsid w:val="00D52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002F98"/>
  <w15:chartTrackingRefBased/>
  <w15:docId w15:val="{5CCA0EDC-5243-477B-9DB1-8B368BFBB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2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F42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42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42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42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4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2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F42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42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42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42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4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292"/>
    <w:rPr>
      <w:rFonts w:eastAsiaTheme="majorEastAsia" w:cstheme="majorBidi"/>
      <w:color w:val="272727" w:themeColor="text1" w:themeTint="D8"/>
    </w:rPr>
  </w:style>
  <w:style w:type="paragraph" w:styleId="Title">
    <w:name w:val="Title"/>
    <w:basedOn w:val="Normal"/>
    <w:next w:val="Normal"/>
    <w:link w:val="TitleChar"/>
    <w:uiPriority w:val="10"/>
    <w:qFormat/>
    <w:rsid w:val="006F4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292"/>
    <w:pPr>
      <w:spacing w:before="160"/>
      <w:jc w:val="center"/>
    </w:pPr>
    <w:rPr>
      <w:i/>
      <w:iCs/>
      <w:color w:val="404040" w:themeColor="text1" w:themeTint="BF"/>
    </w:rPr>
  </w:style>
  <w:style w:type="character" w:customStyle="1" w:styleId="QuoteChar">
    <w:name w:val="Quote Char"/>
    <w:basedOn w:val="DefaultParagraphFont"/>
    <w:link w:val="Quote"/>
    <w:uiPriority w:val="29"/>
    <w:rsid w:val="006F4292"/>
    <w:rPr>
      <w:i/>
      <w:iCs/>
      <w:color w:val="404040" w:themeColor="text1" w:themeTint="BF"/>
    </w:rPr>
  </w:style>
  <w:style w:type="paragraph" w:styleId="ListParagraph">
    <w:name w:val="List Paragraph"/>
    <w:basedOn w:val="Normal"/>
    <w:uiPriority w:val="34"/>
    <w:qFormat/>
    <w:rsid w:val="006F4292"/>
    <w:pPr>
      <w:ind w:left="720"/>
      <w:contextualSpacing/>
    </w:pPr>
  </w:style>
  <w:style w:type="character" w:styleId="IntenseEmphasis">
    <w:name w:val="Intense Emphasis"/>
    <w:basedOn w:val="DefaultParagraphFont"/>
    <w:uiPriority w:val="21"/>
    <w:qFormat/>
    <w:rsid w:val="006F4292"/>
    <w:rPr>
      <w:i/>
      <w:iCs/>
      <w:color w:val="2F5496" w:themeColor="accent1" w:themeShade="BF"/>
    </w:rPr>
  </w:style>
  <w:style w:type="paragraph" w:styleId="IntenseQuote">
    <w:name w:val="Intense Quote"/>
    <w:basedOn w:val="Normal"/>
    <w:next w:val="Normal"/>
    <w:link w:val="IntenseQuoteChar"/>
    <w:uiPriority w:val="30"/>
    <w:qFormat/>
    <w:rsid w:val="006F42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4292"/>
    <w:rPr>
      <w:i/>
      <w:iCs/>
      <w:color w:val="2F5496" w:themeColor="accent1" w:themeShade="BF"/>
    </w:rPr>
  </w:style>
  <w:style w:type="character" w:styleId="IntenseReference">
    <w:name w:val="Intense Reference"/>
    <w:basedOn w:val="DefaultParagraphFont"/>
    <w:uiPriority w:val="32"/>
    <w:qFormat/>
    <w:rsid w:val="006F4292"/>
    <w:rPr>
      <w:b/>
      <w:bCs/>
      <w:smallCaps/>
      <w:color w:val="2F5496" w:themeColor="accent1" w:themeShade="BF"/>
      <w:spacing w:val="5"/>
    </w:rPr>
  </w:style>
  <w:style w:type="paragraph" w:styleId="NoSpacing">
    <w:name w:val="No Spacing"/>
    <w:link w:val="NoSpacingChar"/>
    <w:uiPriority w:val="1"/>
    <w:qFormat/>
    <w:rsid w:val="006F42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4292"/>
    <w:rPr>
      <w:rFonts w:eastAsiaTheme="minorEastAsia"/>
      <w:lang w:val="en-US"/>
    </w:rPr>
  </w:style>
  <w:style w:type="table" w:styleId="TableGrid">
    <w:name w:val="Table Grid"/>
    <w:basedOn w:val="TableNormal"/>
    <w:uiPriority w:val="39"/>
    <w:rsid w:val="006F42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4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292"/>
  </w:style>
  <w:style w:type="paragraph" w:styleId="Footer">
    <w:name w:val="footer"/>
    <w:basedOn w:val="Normal"/>
    <w:link w:val="FooterChar"/>
    <w:uiPriority w:val="99"/>
    <w:unhideWhenUsed/>
    <w:rsid w:val="006F4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292"/>
  </w:style>
  <w:style w:type="character" w:styleId="Hyperlink">
    <w:name w:val="Hyperlink"/>
    <w:basedOn w:val="DefaultParagraphFont"/>
    <w:uiPriority w:val="99"/>
    <w:unhideWhenUsed/>
    <w:rsid w:val="009C1E0F"/>
    <w:rPr>
      <w:color w:val="0563C1" w:themeColor="hyperlink"/>
      <w:u w:val="single"/>
    </w:rPr>
  </w:style>
  <w:style w:type="character" w:styleId="UnresolvedMention">
    <w:name w:val="Unresolved Mention"/>
    <w:basedOn w:val="DefaultParagraphFont"/>
    <w:uiPriority w:val="99"/>
    <w:semiHidden/>
    <w:unhideWhenUsed/>
    <w:rsid w:val="009C1E0F"/>
    <w:rPr>
      <w:color w:val="605E5C"/>
      <w:shd w:val="clear" w:color="auto" w:fill="E1DFDD"/>
    </w:rPr>
  </w:style>
  <w:style w:type="paragraph" w:styleId="TOCHeading">
    <w:name w:val="TOC Heading"/>
    <w:basedOn w:val="Heading1"/>
    <w:next w:val="Normal"/>
    <w:uiPriority w:val="39"/>
    <w:unhideWhenUsed/>
    <w:qFormat/>
    <w:rsid w:val="009C1E0F"/>
    <w:pPr>
      <w:spacing w:before="240" w:after="0"/>
      <w:outlineLvl w:val="9"/>
    </w:pPr>
    <w:rPr>
      <w:sz w:val="32"/>
      <w:szCs w:val="32"/>
      <w:lang w:val="en-US"/>
    </w:rPr>
  </w:style>
  <w:style w:type="paragraph" w:styleId="TOC1">
    <w:name w:val="toc 1"/>
    <w:basedOn w:val="Normal"/>
    <w:next w:val="Normal"/>
    <w:autoRedefine/>
    <w:uiPriority w:val="39"/>
    <w:unhideWhenUsed/>
    <w:rsid w:val="009C1E0F"/>
    <w:pPr>
      <w:spacing w:after="100"/>
    </w:pPr>
  </w:style>
  <w:style w:type="paragraph" w:styleId="TOC2">
    <w:name w:val="toc 2"/>
    <w:basedOn w:val="Normal"/>
    <w:next w:val="Normal"/>
    <w:autoRedefine/>
    <w:uiPriority w:val="39"/>
    <w:unhideWhenUsed/>
    <w:rsid w:val="009C1E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28297">
      <w:bodyDiv w:val="1"/>
      <w:marLeft w:val="0"/>
      <w:marRight w:val="0"/>
      <w:marTop w:val="0"/>
      <w:marBottom w:val="0"/>
      <w:divBdr>
        <w:top w:val="none" w:sz="0" w:space="0" w:color="auto"/>
        <w:left w:val="none" w:sz="0" w:space="0" w:color="auto"/>
        <w:bottom w:val="none" w:sz="0" w:space="0" w:color="auto"/>
        <w:right w:val="none" w:sz="0" w:space="0" w:color="auto"/>
      </w:divBdr>
    </w:div>
    <w:div w:id="211624302">
      <w:bodyDiv w:val="1"/>
      <w:marLeft w:val="0"/>
      <w:marRight w:val="0"/>
      <w:marTop w:val="0"/>
      <w:marBottom w:val="0"/>
      <w:divBdr>
        <w:top w:val="none" w:sz="0" w:space="0" w:color="auto"/>
        <w:left w:val="none" w:sz="0" w:space="0" w:color="auto"/>
        <w:bottom w:val="none" w:sz="0" w:space="0" w:color="auto"/>
        <w:right w:val="none" w:sz="0" w:space="0" w:color="auto"/>
      </w:divBdr>
    </w:div>
    <w:div w:id="674459799">
      <w:bodyDiv w:val="1"/>
      <w:marLeft w:val="0"/>
      <w:marRight w:val="0"/>
      <w:marTop w:val="0"/>
      <w:marBottom w:val="0"/>
      <w:divBdr>
        <w:top w:val="none" w:sz="0" w:space="0" w:color="auto"/>
        <w:left w:val="none" w:sz="0" w:space="0" w:color="auto"/>
        <w:bottom w:val="none" w:sz="0" w:space="0" w:color="auto"/>
        <w:right w:val="none" w:sz="0" w:space="0" w:color="auto"/>
      </w:divBdr>
    </w:div>
    <w:div w:id="752313768">
      <w:bodyDiv w:val="1"/>
      <w:marLeft w:val="0"/>
      <w:marRight w:val="0"/>
      <w:marTop w:val="0"/>
      <w:marBottom w:val="0"/>
      <w:divBdr>
        <w:top w:val="none" w:sz="0" w:space="0" w:color="auto"/>
        <w:left w:val="none" w:sz="0" w:space="0" w:color="auto"/>
        <w:bottom w:val="none" w:sz="0" w:space="0" w:color="auto"/>
        <w:right w:val="none" w:sz="0" w:space="0" w:color="auto"/>
      </w:divBdr>
    </w:div>
    <w:div w:id="1273630858">
      <w:bodyDiv w:val="1"/>
      <w:marLeft w:val="0"/>
      <w:marRight w:val="0"/>
      <w:marTop w:val="0"/>
      <w:marBottom w:val="0"/>
      <w:divBdr>
        <w:top w:val="none" w:sz="0" w:space="0" w:color="auto"/>
        <w:left w:val="none" w:sz="0" w:space="0" w:color="auto"/>
        <w:bottom w:val="none" w:sz="0" w:space="0" w:color="auto"/>
        <w:right w:val="none" w:sz="0" w:space="0" w:color="auto"/>
      </w:divBdr>
    </w:div>
    <w:div w:id="1417094342">
      <w:bodyDiv w:val="1"/>
      <w:marLeft w:val="0"/>
      <w:marRight w:val="0"/>
      <w:marTop w:val="0"/>
      <w:marBottom w:val="0"/>
      <w:divBdr>
        <w:top w:val="none" w:sz="0" w:space="0" w:color="auto"/>
        <w:left w:val="none" w:sz="0" w:space="0" w:color="auto"/>
        <w:bottom w:val="none" w:sz="0" w:space="0" w:color="auto"/>
        <w:right w:val="none" w:sz="0" w:space="0" w:color="auto"/>
      </w:divBdr>
    </w:div>
    <w:div w:id="1823962760">
      <w:bodyDiv w:val="1"/>
      <w:marLeft w:val="0"/>
      <w:marRight w:val="0"/>
      <w:marTop w:val="0"/>
      <w:marBottom w:val="0"/>
      <w:divBdr>
        <w:top w:val="none" w:sz="0" w:space="0" w:color="auto"/>
        <w:left w:val="none" w:sz="0" w:space="0" w:color="auto"/>
        <w:bottom w:val="none" w:sz="0" w:space="0" w:color="auto"/>
        <w:right w:val="none" w:sz="0" w:space="0" w:color="auto"/>
      </w:divBdr>
    </w:div>
    <w:div w:id="1894274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proman.2016.08.009" TargetMode="External"/><Relationship Id="rId13" Type="http://schemas.openxmlformats.org/officeDocument/2006/relationships/hyperlink" Target="https://www.gov.uk/government/publications/levelling-up-the-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016224390427172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biocon.2017.10.00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787/339306da-en" TargetMode="External"/><Relationship Id="rId4" Type="http://schemas.openxmlformats.org/officeDocument/2006/relationships/settings" Target="settings.xml"/><Relationship Id="rId9" Type="http://schemas.openxmlformats.org/officeDocument/2006/relationships/hyperlink" Target="https://www.britsoc.co.uk/ethics" TargetMode="External"/><Relationship Id="rId14" Type="http://schemas.openxmlformats.org/officeDocument/2006/relationships/hyperlink" Target="https://www.who.int/publications/i/item/97892890536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1F4BB-77C4-4E59-A179-1CE417ACDB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4101</Words>
  <Characters>23377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Karina-Stefania</dc:creator>
  <cp:keywords/>
  <dc:description/>
  <cp:lastModifiedBy>Stefania-Karina-Geromina Stroe HE34274</cp:lastModifiedBy>
  <cp:revision>11</cp:revision>
  <dcterms:created xsi:type="dcterms:W3CDTF">2025-12-16T00:07:00Z</dcterms:created>
  <dcterms:modified xsi:type="dcterms:W3CDTF">2025-12-18T18:46:00Z</dcterms:modified>
</cp:coreProperties>
</file>