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F18F777" w14:textId="77777777" w:rsidR="00161067" w:rsidRPr="00DE078D" w:rsidRDefault="00161067" w:rsidP="00DE1972">
      <w:pPr>
        <w:spacing w:line="360" w:lineRule="auto"/>
        <w:jc w:val="both"/>
        <w:rPr>
          <w:rFonts w:ascii="Arial" w:hAnsi="Arial" w:cs="Arial"/>
          <w:b/>
          <w:bCs/>
          <w:sz w:val="24"/>
          <w:szCs w:val="24"/>
        </w:rPr>
      </w:pPr>
    </w:p>
    <w:p w14:paraId="1C1ADD03" w14:textId="3B920281" w:rsidR="00161067" w:rsidRPr="008463C6" w:rsidRDefault="00161067" w:rsidP="00CF495C">
      <w:pPr>
        <w:spacing w:line="360" w:lineRule="auto"/>
        <w:jc w:val="center"/>
        <w:rPr>
          <w:rFonts w:ascii="Arial" w:hAnsi="Arial" w:cs="Arial"/>
          <w:b/>
          <w:bCs/>
          <w:sz w:val="28"/>
          <w:szCs w:val="28"/>
        </w:rPr>
      </w:pPr>
      <w:r w:rsidRPr="008463C6">
        <w:rPr>
          <w:rFonts w:ascii="Arial" w:hAnsi="Arial" w:cs="Arial"/>
          <w:b/>
          <w:bCs/>
          <w:noProof/>
          <w:sz w:val="28"/>
          <w:szCs w:val="28"/>
        </w:rPr>
        <w:drawing>
          <wp:inline distT="0" distB="0" distL="0" distR="0" wp14:anchorId="0919DA0B" wp14:editId="2FAFE55D">
            <wp:extent cx="3389320" cy="1162050"/>
            <wp:effectExtent l="0" t="0" r="1905" b="0"/>
            <wp:docPr id="192999339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99868" cy="1165666"/>
                    </a:xfrm>
                    <a:prstGeom prst="rect">
                      <a:avLst/>
                    </a:prstGeom>
                    <a:noFill/>
                  </pic:spPr>
                </pic:pic>
              </a:graphicData>
            </a:graphic>
          </wp:inline>
        </w:drawing>
      </w:r>
    </w:p>
    <w:p w14:paraId="3E230048" w14:textId="58F96AE6" w:rsidR="00BE692C" w:rsidRPr="008463C6" w:rsidRDefault="00161067" w:rsidP="008463C6">
      <w:pPr>
        <w:spacing w:line="360" w:lineRule="auto"/>
        <w:jc w:val="center"/>
        <w:rPr>
          <w:rFonts w:ascii="Arial" w:hAnsi="Arial" w:cs="Arial"/>
          <w:sz w:val="32"/>
          <w:szCs w:val="32"/>
        </w:rPr>
      </w:pPr>
      <w:r w:rsidRPr="008463C6">
        <w:rPr>
          <w:rFonts w:ascii="Arial" w:hAnsi="Arial" w:cs="Arial"/>
          <w:sz w:val="32"/>
          <w:szCs w:val="32"/>
        </w:rPr>
        <w:t>Assessment Component 1: Comparative Analysis of Toyota's International Marketing Strategies in Japan and the United States</w:t>
      </w:r>
    </w:p>
    <w:p w14:paraId="47147D88" w14:textId="77777777" w:rsidR="00161067" w:rsidRPr="008463C6" w:rsidRDefault="00161067" w:rsidP="00CF495C">
      <w:pPr>
        <w:spacing w:line="360" w:lineRule="auto"/>
        <w:jc w:val="center"/>
        <w:rPr>
          <w:rFonts w:ascii="Arial" w:hAnsi="Arial" w:cs="Arial"/>
          <w:sz w:val="28"/>
          <w:szCs w:val="28"/>
        </w:rPr>
      </w:pPr>
      <w:r w:rsidRPr="008463C6">
        <w:rPr>
          <w:rFonts w:ascii="Arial" w:hAnsi="Arial" w:cs="Arial"/>
          <w:sz w:val="28"/>
          <w:szCs w:val="28"/>
        </w:rPr>
        <w:t>Programme: Master of Business Administration</w:t>
      </w:r>
    </w:p>
    <w:p w14:paraId="14FC9113" w14:textId="77777777" w:rsidR="00161067" w:rsidRPr="008463C6" w:rsidRDefault="00161067" w:rsidP="00CF495C">
      <w:pPr>
        <w:spacing w:line="360" w:lineRule="auto"/>
        <w:jc w:val="center"/>
        <w:rPr>
          <w:rFonts w:ascii="Arial" w:hAnsi="Arial" w:cs="Arial"/>
          <w:sz w:val="28"/>
          <w:szCs w:val="28"/>
        </w:rPr>
      </w:pPr>
      <w:r w:rsidRPr="008463C6">
        <w:rPr>
          <w:rFonts w:ascii="Arial" w:hAnsi="Arial" w:cs="Arial"/>
          <w:sz w:val="28"/>
          <w:szCs w:val="28"/>
        </w:rPr>
        <w:t>Module: International Marketing: Principles and Practices</w:t>
      </w:r>
    </w:p>
    <w:p w14:paraId="059183B5" w14:textId="3A76674F" w:rsidR="00D4071D" w:rsidRDefault="00161067" w:rsidP="00D4071D">
      <w:pPr>
        <w:spacing w:line="360" w:lineRule="auto"/>
        <w:jc w:val="center"/>
        <w:rPr>
          <w:rFonts w:ascii="Arial" w:hAnsi="Arial" w:cs="Arial"/>
          <w:sz w:val="28"/>
          <w:szCs w:val="28"/>
        </w:rPr>
      </w:pPr>
      <w:r w:rsidRPr="008463C6">
        <w:rPr>
          <w:rFonts w:ascii="Arial" w:hAnsi="Arial" w:cs="Arial"/>
          <w:sz w:val="28"/>
          <w:szCs w:val="28"/>
        </w:rPr>
        <w:t>Module code: LCMB7026</w:t>
      </w:r>
    </w:p>
    <w:p w14:paraId="4F7C2ED8" w14:textId="77777777" w:rsidR="00D4071D" w:rsidRDefault="00D4071D" w:rsidP="00D4071D">
      <w:pPr>
        <w:spacing w:line="360" w:lineRule="auto"/>
        <w:jc w:val="center"/>
        <w:rPr>
          <w:rFonts w:ascii="Arial" w:hAnsi="Arial" w:cs="Arial"/>
          <w:sz w:val="28"/>
          <w:szCs w:val="28"/>
        </w:rPr>
      </w:pPr>
      <w:r w:rsidRPr="00D4071D">
        <w:rPr>
          <w:rFonts w:ascii="Arial" w:hAnsi="Arial" w:cs="Arial"/>
          <w:sz w:val="28"/>
          <w:szCs w:val="28"/>
        </w:rPr>
        <w:t xml:space="preserve">Name: Murali Krishna Reddy Rachamalla </w:t>
      </w:r>
    </w:p>
    <w:p w14:paraId="616608D5" w14:textId="45866276" w:rsidR="00BE692C" w:rsidRPr="008463C6" w:rsidRDefault="00D4071D" w:rsidP="00D4071D">
      <w:pPr>
        <w:spacing w:line="360" w:lineRule="auto"/>
        <w:jc w:val="center"/>
        <w:rPr>
          <w:rFonts w:ascii="Arial" w:hAnsi="Arial" w:cs="Arial"/>
          <w:sz w:val="28"/>
          <w:szCs w:val="28"/>
        </w:rPr>
      </w:pPr>
      <w:r w:rsidRPr="00D4071D">
        <w:rPr>
          <w:rFonts w:ascii="Arial" w:hAnsi="Arial" w:cs="Arial"/>
          <w:sz w:val="28"/>
          <w:szCs w:val="28"/>
        </w:rPr>
        <w:t>Student ID: 2507632</w:t>
      </w:r>
    </w:p>
    <w:p w14:paraId="376D03B6" w14:textId="19836929" w:rsidR="00161067" w:rsidRPr="008463C6" w:rsidRDefault="00161067" w:rsidP="00CF495C">
      <w:pPr>
        <w:spacing w:line="360" w:lineRule="auto"/>
        <w:jc w:val="center"/>
        <w:rPr>
          <w:rFonts w:ascii="Arial" w:hAnsi="Arial" w:cs="Arial"/>
          <w:sz w:val="28"/>
          <w:szCs w:val="28"/>
        </w:rPr>
      </w:pPr>
      <w:r w:rsidRPr="008463C6">
        <w:rPr>
          <w:rFonts w:ascii="Arial" w:hAnsi="Arial" w:cs="Arial"/>
          <w:sz w:val="28"/>
          <w:szCs w:val="28"/>
        </w:rPr>
        <w:t>Contribution to Overall Module Assessment (%): 100%</w:t>
      </w:r>
    </w:p>
    <w:p w14:paraId="2AA5E13F" w14:textId="77777777" w:rsidR="00161067" w:rsidRPr="008463C6" w:rsidRDefault="00161067" w:rsidP="00CF495C">
      <w:pPr>
        <w:spacing w:line="360" w:lineRule="auto"/>
        <w:jc w:val="center"/>
        <w:rPr>
          <w:rFonts w:ascii="Arial" w:hAnsi="Arial" w:cs="Arial"/>
          <w:sz w:val="28"/>
          <w:szCs w:val="28"/>
        </w:rPr>
      </w:pPr>
      <w:r w:rsidRPr="008463C6">
        <w:rPr>
          <w:rFonts w:ascii="Arial" w:hAnsi="Arial" w:cs="Arial"/>
          <w:sz w:val="28"/>
          <w:szCs w:val="28"/>
        </w:rPr>
        <w:t xml:space="preserve">Lecturer: Tushara </w:t>
      </w:r>
      <w:proofErr w:type="spellStart"/>
      <w:r w:rsidRPr="008463C6">
        <w:rPr>
          <w:rFonts w:ascii="Arial" w:hAnsi="Arial" w:cs="Arial"/>
          <w:sz w:val="28"/>
          <w:szCs w:val="28"/>
        </w:rPr>
        <w:t>Balendran</w:t>
      </w:r>
      <w:proofErr w:type="spellEnd"/>
      <w:r w:rsidRPr="008463C6">
        <w:rPr>
          <w:rFonts w:ascii="Arial" w:hAnsi="Arial" w:cs="Arial"/>
          <w:sz w:val="28"/>
          <w:szCs w:val="28"/>
        </w:rPr>
        <w:t xml:space="preserve"> (London); Dian </w:t>
      </w:r>
      <w:proofErr w:type="spellStart"/>
      <w:r w:rsidRPr="008463C6">
        <w:rPr>
          <w:rFonts w:ascii="Arial" w:hAnsi="Arial" w:cs="Arial"/>
          <w:sz w:val="28"/>
          <w:szCs w:val="28"/>
        </w:rPr>
        <w:t>Mayasari</w:t>
      </w:r>
      <w:proofErr w:type="spellEnd"/>
      <w:r w:rsidRPr="008463C6">
        <w:rPr>
          <w:rFonts w:ascii="Arial" w:hAnsi="Arial" w:cs="Arial"/>
          <w:sz w:val="28"/>
          <w:szCs w:val="28"/>
        </w:rPr>
        <w:t xml:space="preserve"> (Birmingham)</w:t>
      </w:r>
    </w:p>
    <w:p w14:paraId="174DAA1A" w14:textId="6A1DF679" w:rsidR="00BE692C" w:rsidRPr="008463C6" w:rsidRDefault="00161067" w:rsidP="00D4071D">
      <w:pPr>
        <w:spacing w:line="360" w:lineRule="auto"/>
        <w:jc w:val="center"/>
        <w:rPr>
          <w:rFonts w:ascii="Arial" w:hAnsi="Arial" w:cs="Arial"/>
          <w:sz w:val="28"/>
          <w:szCs w:val="28"/>
        </w:rPr>
      </w:pPr>
      <w:r w:rsidRPr="008463C6">
        <w:rPr>
          <w:rFonts w:ascii="Arial" w:hAnsi="Arial" w:cs="Arial"/>
          <w:sz w:val="28"/>
          <w:szCs w:val="28"/>
        </w:rPr>
        <w:t>Internal Verifier: Vasilios Tavlaridis; Hoang Nguyen</w:t>
      </w:r>
    </w:p>
    <w:p w14:paraId="525BBBE4" w14:textId="5FCEB048" w:rsidR="00161067" w:rsidRPr="008463C6" w:rsidRDefault="00161067" w:rsidP="00CF495C">
      <w:pPr>
        <w:spacing w:line="360" w:lineRule="auto"/>
        <w:jc w:val="center"/>
        <w:rPr>
          <w:rFonts w:ascii="Arial" w:hAnsi="Arial" w:cs="Arial"/>
          <w:sz w:val="28"/>
          <w:szCs w:val="28"/>
        </w:rPr>
      </w:pPr>
      <w:r w:rsidRPr="008463C6">
        <w:rPr>
          <w:rFonts w:ascii="Arial" w:hAnsi="Arial" w:cs="Arial"/>
          <w:sz w:val="28"/>
          <w:szCs w:val="28"/>
        </w:rPr>
        <w:t>Assignment Title: Assessment Component 1: Individual Report</w:t>
      </w:r>
    </w:p>
    <w:p w14:paraId="5F40A946" w14:textId="77777777" w:rsidR="00161067" w:rsidRPr="008463C6" w:rsidRDefault="00161067" w:rsidP="00CF495C">
      <w:pPr>
        <w:spacing w:line="360" w:lineRule="auto"/>
        <w:jc w:val="center"/>
        <w:rPr>
          <w:rFonts w:ascii="Arial" w:hAnsi="Arial" w:cs="Arial"/>
          <w:sz w:val="28"/>
          <w:szCs w:val="28"/>
        </w:rPr>
      </w:pPr>
      <w:r w:rsidRPr="008463C6">
        <w:rPr>
          <w:rFonts w:ascii="Arial" w:hAnsi="Arial" w:cs="Arial"/>
          <w:sz w:val="28"/>
          <w:szCs w:val="28"/>
        </w:rPr>
        <w:t>Word Count (or equivalent): 5,000 words (±10%)</w:t>
      </w:r>
    </w:p>
    <w:p w14:paraId="07952E47" w14:textId="77777777" w:rsidR="00161067" w:rsidRPr="008463C6" w:rsidRDefault="00161067" w:rsidP="00CF495C">
      <w:pPr>
        <w:spacing w:line="360" w:lineRule="auto"/>
        <w:jc w:val="center"/>
        <w:rPr>
          <w:rFonts w:ascii="Arial" w:hAnsi="Arial" w:cs="Arial"/>
          <w:sz w:val="28"/>
          <w:szCs w:val="28"/>
        </w:rPr>
      </w:pPr>
      <w:r w:rsidRPr="008463C6">
        <w:rPr>
          <w:rFonts w:ascii="Arial" w:hAnsi="Arial" w:cs="Arial"/>
          <w:sz w:val="28"/>
          <w:szCs w:val="28"/>
        </w:rPr>
        <w:t>Submission Deadline: Friday, 24 July 2026</w:t>
      </w:r>
    </w:p>
    <w:p w14:paraId="222ACC8B" w14:textId="505F7B16" w:rsidR="00161067" w:rsidRPr="00DE078D" w:rsidRDefault="00161067" w:rsidP="00CF495C">
      <w:pPr>
        <w:spacing w:line="360" w:lineRule="auto"/>
        <w:jc w:val="center"/>
        <w:rPr>
          <w:rFonts w:ascii="Arial" w:hAnsi="Arial" w:cs="Arial"/>
          <w:sz w:val="24"/>
          <w:szCs w:val="24"/>
        </w:rPr>
      </w:pPr>
      <w:r w:rsidRPr="008463C6">
        <w:rPr>
          <w:rFonts w:ascii="Arial" w:hAnsi="Arial" w:cs="Arial"/>
          <w:sz w:val="28"/>
          <w:szCs w:val="28"/>
        </w:rPr>
        <w:t>Return Date of Provisional Marks and Written Feedback: 21 August 2026</w:t>
      </w:r>
      <w:r w:rsidRPr="00DE078D">
        <w:rPr>
          <w:rFonts w:ascii="Arial" w:hAnsi="Arial" w:cs="Arial"/>
          <w:sz w:val="24"/>
          <w:szCs w:val="24"/>
        </w:rPr>
        <w:br w:type="page"/>
      </w:r>
    </w:p>
    <w:sdt>
      <w:sdtPr>
        <w:rPr>
          <w:rFonts w:asciiTheme="minorBidi" w:eastAsiaTheme="minorHAnsi" w:hAnsiTheme="minorBidi" w:cstheme="minorBidi"/>
          <w:color w:val="auto"/>
          <w:sz w:val="24"/>
          <w:szCs w:val="24"/>
        </w:rPr>
        <w:id w:val="-2143645920"/>
        <w:docPartObj>
          <w:docPartGallery w:val="Table of Contents"/>
          <w:docPartUnique/>
        </w:docPartObj>
      </w:sdtPr>
      <w:sdtEndPr>
        <w:rPr>
          <w:b/>
          <w:bCs/>
        </w:rPr>
      </w:sdtEndPr>
      <w:sdtContent>
        <w:p w14:paraId="0E81F735" w14:textId="6F378606" w:rsidR="00ED2F1B" w:rsidRPr="008463C6" w:rsidRDefault="00ED2F1B" w:rsidP="008463C6">
          <w:pPr>
            <w:pStyle w:val="TOCHeading"/>
            <w:spacing w:line="240" w:lineRule="auto"/>
            <w:jc w:val="center"/>
            <w:rPr>
              <w:rFonts w:asciiTheme="minorBidi" w:hAnsiTheme="minorBidi" w:cstheme="minorBidi"/>
              <w:b/>
              <w:bCs/>
              <w:sz w:val="40"/>
              <w:szCs w:val="40"/>
            </w:rPr>
          </w:pPr>
          <w:r w:rsidRPr="008463C6">
            <w:rPr>
              <w:rFonts w:asciiTheme="minorBidi" w:hAnsiTheme="minorBidi" w:cstheme="minorBidi"/>
              <w:b/>
              <w:bCs/>
              <w:sz w:val="40"/>
              <w:szCs w:val="40"/>
            </w:rPr>
            <w:t>Table of Contents</w:t>
          </w:r>
        </w:p>
        <w:p w14:paraId="3990225F" w14:textId="762E77A8" w:rsidR="008463C6" w:rsidRPr="008463C6" w:rsidRDefault="00ED2F1B" w:rsidP="008463C6">
          <w:pPr>
            <w:pStyle w:val="TOC1"/>
            <w:tabs>
              <w:tab w:val="right" w:leader="dot" w:pos="9350"/>
            </w:tabs>
            <w:spacing w:line="240" w:lineRule="auto"/>
            <w:rPr>
              <w:rFonts w:asciiTheme="minorBidi" w:eastAsiaTheme="minorEastAsia" w:hAnsiTheme="minorBidi"/>
              <w:noProof/>
              <w:kern w:val="2"/>
              <w:sz w:val="24"/>
              <w:szCs w:val="24"/>
              <w:lang w:val="en-US"/>
              <w14:ligatures w14:val="standardContextual"/>
            </w:rPr>
          </w:pPr>
          <w:r w:rsidRPr="008463C6">
            <w:rPr>
              <w:rFonts w:asciiTheme="minorBidi" w:hAnsiTheme="minorBidi"/>
              <w:sz w:val="24"/>
              <w:szCs w:val="24"/>
            </w:rPr>
            <w:fldChar w:fldCharType="begin"/>
          </w:r>
          <w:r w:rsidRPr="008463C6">
            <w:rPr>
              <w:rFonts w:asciiTheme="minorBidi" w:hAnsiTheme="minorBidi"/>
              <w:sz w:val="24"/>
              <w:szCs w:val="24"/>
            </w:rPr>
            <w:instrText xml:space="preserve"> TOC \o "1-3" \h \z \u </w:instrText>
          </w:r>
          <w:r w:rsidRPr="008463C6">
            <w:rPr>
              <w:rFonts w:asciiTheme="minorBidi" w:hAnsiTheme="minorBidi"/>
              <w:sz w:val="24"/>
              <w:szCs w:val="24"/>
            </w:rPr>
            <w:fldChar w:fldCharType="separate"/>
          </w:r>
          <w:hyperlink w:anchor="_Toc235559635" w:history="1">
            <w:r w:rsidR="008463C6" w:rsidRPr="008463C6">
              <w:rPr>
                <w:rStyle w:val="Hyperlink"/>
                <w:rFonts w:asciiTheme="minorBidi" w:hAnsiTheme="minorBidi"/>
                <w:noProof/>
                <w:sz w:val="24"/>
                <w:szCs w:val="24"/>
              </w:rPr>
              <w:t>List of Figures</w:t>
            </w:r>
            <w:r w:rsidR="008463C6" w:rsidRPr="008463C6">
              <w:rPr>
                <w:rFonts w:asciiTheme="minorBidi" w:hAnsiTheme="minorBidi"/>
                <w:noProof/>
                <w:webHidden/>
                <w:sz w:val="24"/>
                <w:szCs w:val="24"/>
              </w:rPr>
              <w:tab/>
            </w:r>
            <w:r w:rsidR="008463C6" w:rsidRPr="008463C6">
              <w:rPr>
                <w:rFonts w:asciiTheme="minorBidi" w:hAnsiTheme="minorBidi"/>
                <w:noProof/>
                <w:webHidden/>
                <w:sz w:val="24"/>
                <w:szCs w:val="24"/>
              </w:rPr>
              <w:fldChar w:fldCharType="begin"/>
            </w:r>
            <w:r w:rsidR="008463C6" w:rsidRPr="008463C6">
              <w:rPr>
                <w:rFonts w:asciiTheme="minorBidi" w:hAnsiTheme="minorBidi"/>
                <w:noProof/>
                <w:webHidden/>
                <w:sz w:val="24"/>
                <w:szCs w:val="24"/>
              </w:rPr>
              <w:instrText xml:space="preserve"> PAGEREF _Toc235559635 \h </w:instrText>
            </w:r>
            <w:r w:rsidR="008463C6" w:rsidRPr="008463C6">
              <w:rPr>
                <w:rFonts w:asciiTheme="minorBidi" w:hAnsiTheme="minorBidi"/>
                <w:noProof/>
                <w:webHidden/>
                <w:sz w:val="24"/>
                <w:szCs w:val="24"/>
              </w:rPr>
            </w:r>
            <w:r w:rsidR="008463C6" w:rsidRPr="008463C6">
              <w:rPr>
                <w:rFonts w:asciiTheme="minorBidi" w:hAnsiTheme="minorBidi"/>
                <w:noProof/>
                <w:webHidden/>
                <w:sz w:val="24"/>
                <w:szCs w:val="24"/>
              </w:rPr>
              <w:fldChar w:fldCharType="separate"/>
            </w:r>
            <w:r w:rsidR="008463C6" w:rsidRPr="008463C6">
              <w:rPr>
                <w:rFonts w:asciiTheme="minorBidi" w:hAnsiTheme="minorBidi"/>
                <w:noProof/>
                <w:webHidden/>
                <w:sz w:val="24"/>
                <w:szCs w:val="24"/>
              </w:rPr>
              <w:t>4</w:t>
            </w:r>
            <w:r w:rsidR="008463C6" w:rsidRPr="008463C6">
              <w:rPr>
                <w:rFonts w:asciiTheme="minorBidi" w:hAnsiTheme="minorBidi"/>
                <w:noProof/>
                <w:webHidden/>
                <w:sz w:val="24"/>
                <w:szCs w:val="24"/>
              </w:rPr>
              <w:fldChar w:fldCharType="end"/>
            </w:r>
          </w:hyperlink>
        </w:p>
        <w:p w14:paraId="69835EAA" w14:textId="03745D7F" w:rsidR="008463C6" w:rsidRPr="008463C6" w:rsidRDefault="008463C6" w:rsidP="008463C6">
          <w:pPr>
            <w:pStyle w:val="TOC1"/>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36" w:history="1">
            <w:r w:rsidRPr="008463C6">
              <w:rPr>
                <w:rStyle w:val="Hyperlink"/>
                <w:rFonts w:asciiTheme="minorBidi" w:hAnsiTheme="minorBidi"/>
                <w:noProof/>
                <w:sz w:val="24"/>
                <w:szCs w:val="24"/>
              </w:rPr>
              <w:t>List of Tables</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_Toc235559636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4</w:t>
            </w:r>
            <w:r w:rsidRPr="008463C6">
              <w:rPr>
                <w:rFonts w:asciiTheme="minorBidi" w:hAnsiTheme="minorBidi"/>
                <w:noProof/>
                <w:webHidden/>
                <w:sz w:val="24"/>
                <w:szCs w:val="24"/>
              </w:rPr>
              <w:fldChar w:fldCharType="end"/>
            </w:r>
          </w:hyperlink>
        </w:p>
        <w:p w14:paraId="6FD39CE3" w14:textId="2E1A0535" w:rsidR="008463C6" w:rsidRPr="008463C6" w:rsidRDefault="008463C6" w:rsidP="008463C6">
          <w:pPr>
            <w:pStyle w:val="TOC2"/>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37" w:history="1">
            <w:r w:rsidRPr="008463C6">
              <w:rPr>
                <w:rStyle w:val="Hyperlink"/>
                <w:rFonts w:asciiTheme="minorBidi" w:hAnsiTheme="minorBidi"/>
                <w:noProof/>
                <w:sz w:val="24"/>
                <w:szCs w:val="24"/>
              </w:rPr>
              <w:t>1.1 Background of Toyota</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_Toc235559637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5</w:t>
            </w:r>
            <w:r w:rsidRPr="008463C6">
              <w:rPr>
                <w:rFonts w:asciiTheme="minorBidi" w:hAnsiTheme="minorBidi"/>
                <w:noProof/>
                <w:webHidden/>
                <w:sz w:val="24"/>
                <w:szCs w:val="24"/>
              </w:rPr>
              <w:fldChar w:fldCharType="end"/>
            </w:r>
          </w:hyperlink>
        </w:p>
        <w:p w14:paraId="24369758" w14:textId="297AA66E" w:rsidR="008463C6" w:rsidRPr="008463C6" w:rsidRDefault="008463C6" w:rsidP="008463C6">
          <w:pPr>
            <w:pStyle w:val="TOC2"/>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38" w:history="1">
            <w:r w:rsidRPr="008463C6">
              <w:rPr>
                <w:rStyle w:val="Hyperlink"/>
                <w:rFonts w:asciiTheme="minorBidi" w:hAnsiTheme="minorBidi"/>
                <w:noProof/>
                <w:sz w:val="24"/>
                <w:szCs w:val="24"/>
              </w:rPr>
              <w:t>1.2 Purpose of the Report</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_Toc235559638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6</w:t>
            </w:r>
            <w:r w:rsidRPr="008463C6">
              <w:rPr>
                <w:rFonts w:asciiTheme="minorBidi" w:hAnsiTheme="minorBidi"/>
                <w:noProof/>
                <w:webHidden/>
                <w:sz w:val="24"/>
                <w:szCs w:val="24"/>
              </w:rPr>
              <w:fldChar w:fldCharType="end"/>
            </w:r>
          </w:hyperlink>
        </w:p>
        <w:p w14:paraId="5D58CD94" w14:textId="43522EED" w:rsidR="008463C6" w:rsidRPr="008463C6" w:rsidRDefault="008463C6" w:rsidP="008463C6">
          <w:pPr>
            <w:pStyle w:val="TOC2"/>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39" w:history="1">
            <w:r w:rsidRPr="008463C6">
              <w:rPr>
                <w:rStyle w:val="Hyperlink"/>
                <w:rFonts w:asciiTheme="minorBidi" w:hAnsiTheme="minorBidi"/>
                <w:noProof/>
                <w:sz w:val="24"/>
                <w:szCs w:val="24"/>
              </w:rPr>
              <w:t>1.3 Report Objectives</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_Toc235559639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6</w:t>
            </w:r>
            <w:r w:rsidRPr="008463C6">
              <w:rPr>
                <w:rFonts w:asciiTheme="minorBidi" w:hAnsiTheme="minorBidi"/>
                <w:noProof/>
                <w:webHidden/>
                <w:sz w:val="24"/>
                <w:szCs w:val="24"/>
              </w:rPr>
              <w:fldChar w:fldCharType="end"/>
            </w:r>
          </w:hyperlink>
        </w:p>
        <w:p w14:paraId="32D392F7" w14:textId="0323AED4" w:rsidR="008463C6" w:rsidRPr="008463C6" w:rsidRDefault="008463C6" w:rsidP="008463C6">
          <w:pPr>
            <w:pStyle w:val="TOC1"/>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40" w:history="1">
            <w:r w:rsidRPr="008463C6">
              <w:rPr>
                <w:rStyle w:val="Hyperlink"/>
                <w:rFonts w:asciiTheme="minorBidi" w:hAnsiTheme="minorBidi"/>
                <w:noProof/>
                <w:sz w:val="24"/>
                <w:szCs w:val="24"/>
              </w:rPr>
              <w:t>2. Section 1: International Marketing Report</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_Toc235559640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7</w:t>
            </w:r>
            <w:r w:rsidRPr="008463C6">
              <w:rPr>
                <w:rFonts w:asciiTheme="minorBidi" w:hAnsiTheme="minorBidi"/>
                <w:noProof/>
                <w:webHidden/>
                <w:sz w:val="24"/>
                <w:szCs w:val="24"/>
              </w:rPr>
              <w:fldChar w:fldCharType="end"/>
            </w:r>
          </w:hyperlink>
        </w:p>
        <w:p w14:paraId="79B9CC4B" w14:textId="354EA0EA" w:rsidR="008463C6" w:rsidRPr="008463C6" w:rsidRDefault="008463C6" w:rsidP="008463C6">
          <w:pPr>
            <w:pStyle w:val="TOC2"/>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41" w:history="1">
            <w:r w:rsidRPr="008463C6">
              <w:rPr>
                <w:rStyle w:val="Hyperlink"/>
                <w:rFonts w:asciiTheme="minorBidi" w:hAnsiTheme="minorBidi"/>
                <w:noProof/>
                <w:sz w:val="24"/>
                <w:szCs w:val="24"/>
              </w:rPr>
              <w:t>2.1 Comparative Analysis of the Japanese and United States Markets</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_Toc235559641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7</w:t>
            </w:r>
            <w:r w:rsidRPr="008463C6">
              <w:rPr>
                <w:rFonts w:asciiTheme="minorBidi" w:hAnsiTheme="minorBidi"/>
                <w:noProof/>
                <w:webHidden/>
                <w:sz w:val="24"/>
                <w:szCs w:val="24"/>
              </w:rPr>
              <w:fldChar w:fldCharType="end"/>
            </w:r>
          </w:hyperlink>
        </w:p>
        <w:p w14:paraId="67DF4CC9" w14:textId="5C49DDC4" w:rsidR="008463C6" w:rsidRPr="008463C6" w:rsidRDefault="008463C6" w:rsidP="008463C6">
          <w:pPr>
            <w:pStyle w:val="TOC2"/>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42" w:history="1">
            <w:r w:rsidRPr="008463C6">
              <w:rPr>
                <w:rStyle w:val="Hyperlink"/>
                <w:rFonts w:asciiTheme="minorBidi" w:hAnsiTheme="minorBidi"/>
                <w:noProof/>
                <w:sz w:val="24"/>
                <w:szCs w:val="24"/>
              </w:rPr>
              <w:t>2.2 Overview of Toyota in Japan and the United States</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_Toc235559642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7</w:t>
            </w:r>
            <w:r w:rsidRPr="008463C6">
              <w:rPr>
                <w:rFonts w:asciiTheme="minorBidi" w:hAnsiTheme="minorBidi"/>
                <w:noProof/>
                <w:webHidden/>
                <w:sz w:val="24"/>
                <w:szCs w:val="24"/>
              </w:rPr>
              <w:fldChar w:fldCharType="end"/>
            </w:r>
          </w:hyperlink>
        </w:p>
        <w:p w14:paraId="7C919874" w14:textId="1FC4B8FA" w:rsidR="008463C6" w:rsidRPr="008463C6" w:rsidRDefault="008463C6" w:rsidP="008463C6">
          <w:pPr>
            <w:pStyle w:val="TOC2"/>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43" w:history="1">
            <w:r w:rsidRPr="008463C6">
              <w:rPr>
                <w:rStyle w:val="Hyperlink"/>
                <w:rFonts w:asciiTheme="minorBidi" w:hAnsiTheme="minorBidi"/>
                <w:noProof/>
                <w:sz w:val="24"/>
                <w:szCs w:val="24"/>
              </w:rPr>
              <w:t>2.3 Comparative PESTEL Analysis</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_Toc235559643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9</w:t>
            </w:r>
            <w:r w:rsidRPr="008463C6">
              <w:rPr>
                <w:rFonts w:asciiTheme="minorBidi" w:hAnsiTheme="minorBidi"/>
                <w:noProof/>
                <w:webHidden/>
                <w:sz w:val="24"/>
                <w:szCs w:val="24"/>
              </w:rPr>
              <w:fldChar w:fldCharType="end"/>
            </w:r>
          </w:hyperlink>
        </w:p>
        <w:p w14:paraId="78928762" w14:textId="689CB872" w:rsidR="008463C6" w:rsidRPr="008463C6" w:rsidRDefault="008463C6" w:rsidP="008463C6">
          <w:pPr>
            <w:pStyle w:val="TOC2"/>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44" w:history="1">
            <w:r w:rsidRPr="008463C6">
              <w:rPr>
                <w:rStyle w:val="Hyperlink"/>
                <w:rFonts w:asciiTheme="minorBidi" w:hAnsiTheme="minorBidi"/>
                <w:noProof/>
                <w:sz w:val="24"/>
                <w:szCs w:val="24"/>
              </w:rPr>
              <w:t>Political</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_Toc235559644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9</w:t>
            </w:r>
            <w:r w:rsidRPr="008463C6">
              <w:rPr>
                <w:rFonts w:asciiTheme="minorBidi" w:hAnsiTheme="minorBidi"/>
                <w:noProof/>
                <w:webHidden/>
                <w:sz w:val="24"/>
                <w:szCs w:val="24"/>
              </w:rPr>
              <w:fldChar w:fldCharType="end"/>
            </w:r>
          </w:hyperlink>
        </w:p>
        <w:p w14:paraId="2860B483" w14:textId="07DE7D10" w:rsidR="008463C6" w:rsidRPr="008463C6" w:rsidRDefault="008463C6" w:rsidP="008463C6">
          <w:pPr>
            <w:pStyle w:val="TOC2"/>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45" w:history="1">
            <w:r w:rsidRPr="008463C6">
              <w:rPr>
                <w:rStyle w:val="Hyperlink"/>
                <w:rFonts w:asciiTheme="minorBidi" w:hAnsiTheme="minorBidi"/>
                <w:noProof/>
                <w:sz w:val="24"/>
                <w:szCs w:val="24"/>
              </w:rPr>
              <w:t>Economic</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_Toc235559645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9</w:t>
            </w:r>
            <w:r w:rsidRPr="008463C6">
              <w:rPr>
                <w:rFonts w:asciiTheme="minorBidi" w:hAnsiTheme="minorBidi"/>
                <w:noProof/>
                <w:webHidden/>
                <w:sz w:val="24"/>
                <w:szCs w:val="24"/>
              </w:rPr>
              <w:fldChar w:fldCharType="end"/>
            </w:r>
          </w:hyperlink>
        </w:p>
        <w:p w14:paraId="20F9CD73" w14:textId="5E99B5B1" w:rsidR="008463C6" w:rsidRPr="008463C6" w:rsidRDefault="008463C6" w:rsidP="008463C6">
          <w:pPr>
            <w:pStyle w:val="TOC2"/>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46" w:history="1">
            <w:r w:rsidRPr="008463C6">
              <w:rPr>
                <w:rStyle w:val="Hyperlink"/>
                <w:rFonts w:asciiTheme="minorBidi" w:hAnsiTheme="minorBidi"/>
                <w:noProof/>
                <w:sz w:val="24"/>
                <w:szCs w:val="24"/>
              </w:rPr>
              <w:t>Social</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_Toc235559646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9</w:t>
            </w:r>
            <w:r w:rsidRPr="008463C6">
              <w:rPr>
                <w:rFonts w:asciiTheme="minorBidi" w:hAnsiTheme="minorBidi"/>
                <w:noProof/>
                <w:webHidden/>
                <w:sz w:val="24"/>
                <w:szCs w:val="24"/>
              </w:rPr>
              <w:fldChar w:fldCharType="end"/>
            </w:r>
          </w:hyperlink>
        </w:p>
        <w:p w14:paraId="2A4B6FAC" w14:textId="220EF8C8" w:rsidR="008463C6" w:rsidRPr="008463C6" w:rsidRDefault="008463C6" w:rsidP="008463C6">
          <w:pPr>
            <w:pStyle w:val="TOC2"/>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47" w:history="1">
            <w:r w:rsidRPr="008463C6">
              <w:rPr>
                <w:rStyle w:val="Hyperlink"/>
                <w:rFonts w:asciiTheme="minorBidi" w:hAnsiTheme="minorBidi"/>
                <w:noProof/>
                <w:sz w:val="24"/>
                <w:szCs w:val="24"/>
              </w:rPr>
              <w:t>Technological</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_Toc235559647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9</w:t>
            </w:r>
            <w:r w:rsidRPr="008463C6">
              <w:rPr>
                <w:rFonts w:asciiTheme="minorBidi" w:hAnsiTheme="minorBidi"/>
                <w:noProof/>
                <w:webHidden/>
                <w:sz w:val="24"/>
                <w:szCs w:val="24"/>
              </w:rPr>
              <w:fldChar w:fldCharType="end"/>
            </w:r>
          </w:hyperlink>
        </w:p>
        <w:p w14:paraId="2B07EA7C" w14:textId="21F8DDC4" w:rsidR="008463C6" w:rsidRPr="008463C6" w:rsidRDefault="008463C6" w:rsidP="008463C6">
          <w:pPr>
            <w:pStyle w:val="TOC2"/>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48" w:history="1">
            <w:r w:rsidRPr="008463C6">
              <w:rPr>
                <w:rStyle w:val="Hyperlink"/>
                <w:rFonts w:asciiTheme="minorBidi" w:hAnsiTheme="minorBidi"/>
                <w:noProof/>
                <w:sz w:val="24"/>
                <w:szCs w:val="24"/>
              </w:rPr>
              <w:t>Environmental</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_Toc235559648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10</w:t>
            </w:r>
            <w:r w:rsidRPr="008463C6">
              <w:rPr>
                <w:rFonts w:asciiTheme="minorBidi" w:hAnsiTheme="minorBidi"/>
                <w:noProof/>
                <w:webHidden/>
                <w:sz w:val="24"/>
                <w:szCs w:val="24"/>
              </w:rPr>
              <w:fldChar w:fldCharType="end"/>
            </w:r>
          </w:hyperlink>
        </w:p>
        <w:p w14:paraId="69BB5815" w14:textId="071C40AC" w:rsidR="008463C6" w:rsidRPr="008463C6" w:rsidRDefault="008463C6" w:rsidP="008463C6">
          <w:pPr>
            <w:pStyle w:val="TOC2"/>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49" w:history="1">
            <w:r w:rsidRPr="008463C6">
              <w:rPr>
                <w:rStyle w:val="Hyperlink"/>
                <w:rFonts w:asciiTheme="minorBidi" w:hAnsiTheme="minorBidi"/>
                <w:noProof/>
                <w:sz w:val="24"/>
                <w:szCs w:val="24"/>
              </w:rPr>
              <w:t>Legal</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_Toc235559649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10</w:t>
            </w:r>
            <w:r w:rsidRPr="008463C6">
              <w:rPr>
                <w:rFonts w:asciiTheme="minorBidi" w:hAnsiTheme="minorBidi"/>
                <w:noProof/>
                <w:webHidden/>
                <w:sz w:val="24"/>
                <w:szCs w:val="24"/>
              </w:rPr>
              <w:fldChar w:fldCharType="end"/>
            </w:r>
          </w:hyperlink>
        </w:p>
        <w:p w14:paraId="532F10F1" w14:textId="6125064B" w:rsidR="008463C6" w:rsidRPr="008463C6" w:rsidRDefault="008463C6" w:rsidP="008463C6">
          <w:pPr>
            <w:pStyle w:val="TOC2"/>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50" w:history="1">
            <w:r w:rsidRPr="008463C6">
              <w:rPr>
                <w:rStyle w:val="Hyperlink"/>
                <w:rFonts w:asciiTheme="minorBidi" w:hAnsiTheme="minorBidi"/>
                <w:noProof/>
                <w:sz w:val="24"/>
                <w:szCs w:val="24"/>
              </w:rPr>
              <w:t>2.4 Comparative Hofstede Cultural Analysis</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_Toc235559650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10</w:t>
            </w:r>
            <w:r w:rsidRPr="008463C6">
              <w:rPr>
                <w:rFonts w:asciiTheme="minorBidi" w:hAnsiTheme="minorBidi"/>
                <w:noProof/>
                <w:webHidden/>
                <w:sz w:val="24"/>
                <w:szCs w:val="24"/>
              </w:rPr>
              <w:fldChar w:fldCharType="end"/>
            </w:r>
          </w:hyperlink>
        </w:p>
        <w:p w14:paraId="4FA9DC4B" w14:textId="1D581C0B" w:rsidR="008463C6" w:rsidRPr="008463C6" w:rsidRDefault="008463C6" w:rsidP="008463C6">
          <w:pPr>
            <w:pStyle w:val="TOC2"/>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51" w:history="1">
            <w:r w:rsidRPr="008463C6">
              <w:rPr>
                <w:rStyle w:val="Hyperlink"/>
                <w:rFonts w:asciiTheme="minorBidi" w:hAnsiTheme="minorBidi"/>
                <w:noProof/>
                <w:sz w:val="24"/>
                <w:szCs w:val="24"/>
              </w:rPr>
              <w:t>Individualism.</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_Toc235559651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11</w:t>
            </w:r>
            <w:r w:rsidRPr="008463C6">
              <w:rPr>
                <w:rFonts w:asciiTheme="minorBidi" w:hAnsiTheme="minorBidi"/>
                <w:noProof/>
                <w:webHidden/>
                <w:sz w:val="24"/>
                <w:szCs w:val="24"/>
              </w:rPr>
              <w:fldChar w:fldCharType="end"/>
            </w:r>
          </w:hyperlink>
        </w:p>
        <w:p w14:paraId="427514EB" w14:textId="0E61E23B" w:rsidR="008463C6" w:rsidRPr="008463C6" w:rsidRDefault="008463C6" w:rsidP="008463C6">
          <w:pPr>
            <w:pStyle w:val="TOC2"/>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52" w:history="1">
            <w:r w:rsidRPr="008463C6">
              <w:rPr>
                <w:rStyle w:val="Hyperlink"/>
                <w:rFonts w:asciiTheme="minorBidi" w:hAnsiTheme="minorBidi"/>
                <w:noProof/>
                <w:sz w:val="24"/>
                <w:szCs w:val="24"/>
              </w:rPr>
              <w:t>Masculinity.</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_Toc235559652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12</w:t>
            </w:r>
            <w:r w:rsidRPr="008463C6">
              <w:rPr>
                <w:rFonts w:asciiTheme="minorBidi" w:hAnsiTheme="minorBidi"/>
                <w:noProof/>
                <w:webHidden/>
                <w:sz w:val="24"/>
                <w:szCs w:val="24"/>
              </w:rPr>
              <w:fldChar w:fldCharType="end"/>
            </w:r>
          </w:hyperlink>
        </w:p>
        <w:p w14:paraId="20B055E3" w14:textId="5394B4E6" w:rsidR="008463C6" w:rsidRPr="008463C6" w:rsidRDefault="008463C6" w:rsidP="008463C6">
          <w:pPr>
            <w:pStyle w:val="TOC2"/>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53" w:history="1">
            <w:r w:rsidRPr="008463C6">
              <w:rPr>
                <w:rStyle w:val="Hyperlink"/>
                <w:rFonts w:asciiTheme="minorBidi" w:hAnsiTheme="minorBidi"/>
                <w:noProof/>
                <w:sz w:val="24"/>
                <w:szCs w:val="24"/>
              </w:rPr>
              <w:t>Uncertainty Avoidance.</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_Toc235559653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12</w:t>
            </w:r>
            <w:r w:rsidRPr="008463C6">
              <w:rPr>
                <w:rFonts w:asciiTheme="minorBidi" w:hAnsiTheme="minorBidi"/>
                <w:noProof/>
                <w:webHidden/>
                <w:sz w:val="24"/>
                <w:szCs w:val="24"/>
              </w:rPr>
              <w:fldChar w:fldCharType="end"/>
            </w:r>
          </w:hyperlink>
        </w:p>
        <w:p w14:paraId="27DBA920" w14:textId="3733E723" w:rsidR="008463C6" w:rsidRPr="008463C6" w:rsidRDefault="008463C6" w:rsidP="008463C6">
          <w:pPr>
            <w:pStyle w:val="TOC2"/>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54" w:history="1">
            <w:r w:rsidRPr="008463C6">
              <w:rPr>
                <w:rStyle w:val="Hyperlink"/>
                <w:rFonts w:asciiTheme="minorBidi" w:hAnsiTheme="minorBidi"/>
                <w:noProof/>
                <w:sz w:val="24"/>
                <w:szCs w:val="24"/>
              </w:rPr>
              <w:t>Long-Term Orientation.</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_Toc235559654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12</w:t>
            </w:r>
            <w:r w:rsidRPr="008463C6">
              <w:rPr>
                <w:rFonts w:asciiTheme="minorBidi" w:hAnsiTheme="minorBidi"/>
                <w:noProof/>
                <w:webHidden/>
                <w:sz w:val="24"/>
                <w:szCs w:val="24"/>
              </w:rPr>
              <w:fldChar w:fldCharType="end"/>
            </w:r>
          </w:hyperlink>
        </w:p>
        <w:p w14:paraId="30F40B4A" w14:textId="238D24E1" w:rsidR="008463C6" w:rsidRPr="008463C6" w:rsidRDefault="008463C6" w:rsidP="008463C6">
          <w:pPr>
            <w:pStyle w:val="TOC2"/>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55" w:history="1">
            <w:r w:rsidRPr="008463C6">
              <w:rPr>
                <w:rStyle w:val="Hyperlink"/>
                <w:rFonts w:asciiTheme="minorBidi" w:hAnsiTheme="minorBidi"/>
                <w:noProof/>
                <w:sz w:val="24"/>
                <w:szCs w:val="24"/>
              </w:rPr>
              <w:t>Indulgence.</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_Toc235559655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12</w:t>
            </w:r>
            <w:r w:rsidRPr="008463C6">
              <w:rPr>
                <w:rFonts w:asciiTheme="minorBidi" w:hAnsiTheme="minorBidi"/>
                <w:noProof/>
                <w:webHidden/>
                <w:sz w:val="24"/>
                <w:szCs w:val="24"/>
              </w:rPr>
              <w:fldChar w:fldCharType="end"/>
            </w:r>
          </w:hyperlink>
        </w:p>
        <w:p w14:paraId="1D61E77B" w14:textId="5B4CCF37" w:rsidR="008463C6" w:rsidRPr="008463C6" w:rsidRDefault="008463C6" w:rsidP="008463C6">
          <w:pPr>
            <w:pStyle w:val="TOC2"/>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56" w:history="1">
            <w:r w:rsidRPr="008463C6">
              <w:rPr>
                <w:rStyle w:val="Hyperlink"/>
                <w:rFonts w:asciiTheme="minorBidi" w:hAnsiTheme="minorBidi"/>
                <w:noProof/>
                <w:sz w:val="24"/>
                <w:szCs w:val="24"/>
              </w:rPr>
              <w:t>2.5 Comparative Analysis of Toyota's STP Strategy</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_Toc235559656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13</w:t>
            </w:r>
            <w:r w:rsidRPr="008463C6">
              <w:rPr>
                <w:rFonts w:asciiTheme="minorBidi" w:hAnsiTheme="minorBidi"/>
                <w:noProof/>
                <w:webHidden/>
                <w:sz w:val="24"/>
                <w:szCs w:val="24"/>
              </w:rPr>
              <w:fldChar w:fldCharType="end"/>
            </w:r>
          </w:hyperlink>
        </w:p>
        <w:p w14:paraId="4FFA2C1B" w14:textId="6B91873B" w:rsidR="008463C6" w:rsidRPr="008463C6" w:rsidRDefault="008463C6" w:rsidP="008463C6">
          <w:pPr>
            <w:pStyle w:val="TOC2"/>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57" w:history="1">
            <w:r w:rsidRPr="008463C6">
              <w:rPr>
                <w:rStyle w:val="Hyperlink"/>
                <w:rFonts w:asciiTheme="minorBidi" w:hAnsiTheme="minorBidi"/>
                <w:noProof/>
                <w:sz w:val="24"/>
                <w:szCs w:val="24"/>
              </w:rPr>
              <w:t>2.5.1Segmentation</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_Toc235559657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13</w:t>
            </w:r>
            <w:r w:rsidRPr="008463C6">
              <w:rPr>
                <w:rFonts w:asciiTheme="minorBidi" w:hAnsiTheme="minorBidi"/>
                <w:noProof/>
                <w:webHidden/>
                <w:sz w:val="24"/>
                <w:szCs w:val="24"/>
              </w:rPr>
              <w:fldChar w:fldCharType="end"/>
            </w:r>
          </w:hyperlink>
        </w:p>
        <w:p w14:paraId="4B7ADA28" w14:textId="4BEFBB5D" w:rsidR="008463C6" w:rsidRPr="008463C6" w:rsidRDefault="008463C6" w:rsidP="008463C6">
          <w:pPr>
            <w:pStyle w:val="TOC2"/>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58" w:history="1">
            <w:r w:rsidRPr="008463C6">
              <w:rPr>
                <w:rStyle w:val="Hyperlink"/>
                <w:rFonts w:asciiTheme="minorBidi" w:hAnsiTheme="minorBidi"/>
                <w:noProof/>
                <w:sz w:val="24"/>
                <w:szCs w:val="24"/>
              </w:rPr>
              <w:t>2.5.2 Targeting</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_Toc235559658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13</w:t>
            </w:r>
            <w:r w:rsidRPr="008463C6">
              <w:rPr>
                <w:rFonts w:asciiTheme="minorBidi" w:hAnsiTheme="minorBidi"/>
                <w:noProof/>
                <w:webHidden/>
                <w:sz w:val="24"/>
                <w:szCs w:val="24"/>
              </w:rPr>
              <w:fldChar w:fldCharType="end"/>
            </w:r>
          </w:hyperlink>
        </w:p>
        <w:p w14:paraId="430FFBE9" w14:textId="0D8614BE" w:rsidR="008463C6" w:rsidRPr="008463C6" w:rsidRDefault="008463C6" w:rsidP="008463C6">
          <w:pPr>
            <w:pStyle w:val="TOC2"/>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59" w:history="1">
            <w:r w:rsidRPr="008463C6">
              <w:rPr>
                <w:rStyle w:val="Hyperlink"/>
                <w:rFonts w:asciiTheme="minorBidi" w:hAnsiTheme="minorBidi"/>
                <w:noProof/>
                <w:sz w:val="24"/>
                <w:szCs w:val="24"/>
              </w:rPr>
              <w:t>2.5.3 Positioning</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_Toc235559659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14</w:t>
            </w:r>
            <w:r w:rsidRPr="008463C6">
              <w:rPr>
                <w:rFonts w:asciiTheme="minorBidi" w:hAnsiTheme="minorBidi"/>
                <w:noProof/>
                <w:webHidden/>
                <w:sz w:val="24"/>
                <w:szCs w:val="24"/>
              </w:rPr>
              <w:fldChar w:fldCharType="end"/>
            </w:r>
          </w:hyperlink>
        </w:p>
        <w:p w14:paraId="573FE924" w14:textId="1CFFCC2A" w:rsidR="008463C6" w:rsidRPr="008463C6" w:rsidRDefault="008463C6" w:rsidP="008463C6">
          <w:pPr>
            <w:pStyle w:val="TOC2"/>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60" w:history="1">
            <w:r w:rsidRPr="008463C6">
              <w:rPr>
                <w:rStyle w:val="Hyperlink"/>
                <w:rFonts w:asciiTheme="minorBidi" w:hAnsiTheme="minorBidi"/>
                <w:noProof/>
                <w:sz w:val="24"/>
                <w:szCs w:val="24"/>
              </w:rPr>
              <w:t>2.6 Comparative Analysis of Toyota's International Marketing Mix (7Ps)</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_Toc235559660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15</w:t>
            </w:r>
            <w:r w:rsidRPr="008463C6">
              <w:rPr>
                <w:rFonts w:asciiTheme="minorBidi" w:hAnsiTheme="minorBidi"/>
                <w:noProof/>
                <w:webHidden/>
                <w:sz w:val="24"/>
                <w:szCs w:val="24"/>
              </w:rPr>
              <w:fldChar w:fldCharType="end"/>
            </w:r>
          </w:hyperlink>
        </w:p>
        <w:p w14:paraId="49DFFF91" w14:textId="19020442" w:rsidR="008463C6" w:rsidRPr="008463C6" w:rsidRDefault="008463C6" w:rsidP="008463C6">
          <w:pPr>
            <w:pStyle w:val="TOC2"/>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61" w:history="1">
            <w:r w:rsidRPr="008463C6">
              <w:rPr>
                <w:rStyle w:val="Hyperlink"/>
                <w:rFonts w:asciiTheme="minorBidi" w:hAnsiTheme="minorBidi"/>
                <w:noProof/>
                <w:sz w:val="24"/>
                <w:szCs w:val="24"/>
              </w:rPr>
              <w:t>2.6.1 Product</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_Toc235559661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15</w:t>
            </w:r>
            <w:r w:rsidRPr="008463C6">
              <w:rPr>
                <w:rFonts w:asciiTheme="minorBidi" w:hAnsiTheme="minorBidi"/>
                <w:noProof/>
                <w:webHidden/>
                <w:sz w:val="24"/>
                <w:szCs w:val="24"/>
              </w:rPr>
              <w:fldChar w:fldCharType="end"/>
            </w:r>
          </w:hyperlink>
        </w:p>
        <w:p w14:paraId="315C3053" w14:textId="6C2E85CE" w:rsidR="008463C6" w:rsidRPr="008463C6" w:rsidRDefault="008463C6" w:rsidP="008463C6">
          <w:pPr>
            <w:pStyle w:val="TOC2"/>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62" w:history="1">
            <w:r w:rsidRPr="008463C6">
              <w:rPr>
                <w:rStyle w:val="Hyperlink"/>
                <w:rFonts w:asciiTheme="minorBidi" w:hAnsiTheme="minorBidi"/>
                <w:noProof/>
                <w:sz w:val="24"/>
                <w:szCs w:val="24"/>
              </w:rPr>
              <w:t>2.6.2 Price</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_Toc235559662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15</w:t>
            </w:r>
            <w:r w:rsidRPr="008463C6">
              <w:rPr>
                <w:rFonts w:asciiTheme="minorBidi" w:hAnsiTheme="minorBidi"/>
                <w:noProof/>
                <w:webHidden/>
                <w:sz w:val="24"/>
                <w:szCs w:val="24"/>
              </w:rPr>
              <w:fldChar w:fldCharType="end"/>
            </w:r>
          </w:hyperlink>
        </w:p>
        <w:p w14:paraId="38B6A10B" w14:textId="7E90DB3E" w:rsidR="008463C6" w:rsidRPr="008463C6" w:rsidRDefault="008463C6" w:rsidP="008463C6">
          <w:pPr>
            <w:pStyle w:val="TOC2"/>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63" w:history="1">
            <w:r w:rsidRPr="008463C6">
              <w:rPr>
                <w:rStyle w:val="Hyperlink"/>
                <w:rFonts w:asciiTheme="minorBidi" w:hAnsiTheme="minorBidi"/>
                <w:noProof/>
                <w:sz w:val="24"/>
                <w:szCs w:val="24"/>
              </w:rPr>
              <w:t>2.6.3 Place</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_Toc235559663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15</w:t>
            </w:r>
            <w:r w:rsidRPr="008463C6">
              <w:rPr>
                <w:rFonts w:asciiTheme="minorBidi" w:hAnsiTheme="minorBidi"/>
                <w:noProof/>
                <w:webHidden/>
                <w:sz w:val="24"/>
                <w:szCs w:val="24"/>
              </w:rPr>
              <w:fldChar w:fldCharType="end"/>
            </w:r>
          </w:hyperlink>
        </w:p>
        <w:p w14:paraId="514CE203" w14:textId="75ABBD48" w:rsidR="008463C6" w:rsidRPr="008463C6" w:rsidRDefault="008463C6" w:rsidP="008463C6">
          <w:pPr>
            <w:pStyle w:val="TOC2"/>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64" w:history="1">
            <w:r w:rsidRPr="008463C6">
              <w:rPr>
                <w:rStyle w:val="Hyperlink"/>
                <w:rFonts w:asciiTheme="minorBidi" w:hAnsiTheme="minorBidi"/>
                <w:noProof/>
                <w:sz w:val="24"/>
                <w:szCs w:val="24"/>
              </w:rPr>
              <w:t>2.6.4 Promotion</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_Toc235559664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15</w:t>
            </w:r>
            <w:r w:rsidRPr="008463C6">
              <w:rPr>
                <w:rFonts w:asciiTheme="minorBidi" w:hAnsiTheme="minorBidi"/>
                <w:noProof/>
                <w:webHidden/>
                <w:sz w:val="24"/>
                <w:szCs w:val="24"/>
              </w:rPr>
              <w:fldChar w:fldCharType="end"/>
            </w:r>
          </w:hyperlink>
        </w:p>
        <w:p w14:paraId="0D875DB7" w14:textId="28752C47" w:rsidR="008463C6" w:rsidRPr="008463C6" w:rsidRDefault="008463C6" w:rsidP="008463C6">
          <w:pPr>
            <w:pStyle w:val="TOC2"/>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65" w:history="1">
            <w:r w:rsidRPr="008463C6">
              <w:rPr>
                <w:rStyle w:val="Hyperlink"/>
                <w:rFonts w:asciiTheme="minorBidi" w:hAnsiTheme="minorBidi"/>
                <w:noProof/>
                <w:sz w:val="24"/>
                <w:szCs w:val="24"/>
              </w:rPr>
              <w:t>2.6.5 People</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_Toc235559665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15</w:t>
            </w:r>
            <w:r w:rsidRPr="008463C6">
              <w:rPr>
                <w:rFonts w:asciiTheme="minorBidi" w:hAnsiTheme="minorBidi"/>
                <w:noProof/>
                <w:webHidden/>
                <w:sz w:val="24"/>
                <w:szCs w:val="24"/>
              </w:rPr>
              <w:fldChar w:fldCharType="end"/>
            </w:r>
          </w:hyperlink>
        </w:p>
        <w:p w14:paraId="1D22FA0B" w14:textId="047B5E49" w:rsidR="008463C6" w:rsidRPr="008463C6" w:rsidRDefault="008463C6" w:rsidP="008463C6">
          <w:pPr>
            <w:pStyle w:val="TOC2"/>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66" w:history="1">
            <w:r w:rsidRPr="008463C6">
              <w:rPr>
                <w:rStyle w:val="Hyperlink"/>
                <w:rFonts w:asciiTheme="minorBidi" w:hAnsiTheme="minorBidi"/>
                <w:noProof/>
                <w:sz w:val="24"/>
                <w:szCs w:val="24"/>
              </w:rPr>
              <w:t>2.6.6 Process</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_Toc235559666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16</w:t>
            </w:r>
            <w:r w:rsidRPr="008463C6">
              <w:rPr>
                <w:rFonts w:asciiTheme="minorBidi" w:hAnsiTheme="minorBidi"/>
                <w:noProof/>
                <w:webHidden/>
                <w:sz w:val="24"/>
                <w:szCs w:val="24"/>
              </w:rPr>
              <w:fldChar w:fldCharType="end"/>
            </w:r>
          </w:hyperlink>
        </w:p>
        <w:p w14:paraId="61DF3330" w14:textId="2D4A0F53" w:rsidR="008463C6" w:rsidRPr="008463C6" w:rsidRDefault="008463C6" w:rsidP="008463C6">
          <w:pPr>
            <w:pStyle w:val="TOC2"/>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67" w:history="1">
            <w:r w:rsidRPr="008463C6">
              <w:rPr>
                <w:rStyle w:val="Hyperlink"/>
                <w:rFonts w:asciiTheme="minorBidi" w:hAnsiTheme="minorBidi"/>
                <w:noProof/>
                <w:sz w:val="24"/>
                <w:szCs w:val="24"/>
              </w:rPr>
              <w:t>2.6.7 Physical Evidence</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_Toc235559667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16</w:t>
            </w:r>
            <w:r w:rsidRPr="008463C6">
              <w:rPr>
                <w:rFonts w:asciiTheme="minorBidi" w:hAnsiTheme="minorBidi"/>
                <w:noProof/>
                <w:webHidden/>
                <w:sz w:val="24"/>
                <w:szCs w:val="24"/>
              </w:rPr>
              <w:fldChar w:fldCharType="end"/>
            </w:r>
          </w:hyperlink>
        </w:p>
        <w:p w14:paraId="4ABBA54F" w14:textId="1D130041" w:rsidR="008463C6" w:rsidRPr="008463C6" w:rsidRDefault="008463C6" w:rsidP="008463C6">
          <w:pPr>
            <w:pStyle w:val="TOC2"/>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68" w:history="1">
            <w:r w:rsidRPr="008463C6">
              <w:rPr>
                <w:rStyle w:val="Hyperlink"/>
                <w:rFonts w:asciiTheme="minorBidi" w:hAnsiTheme="minorBidi"/>
                <w:noProof/>
                <w:sz w:val="24"/>
                <w:szCs w:val="24"/>
              </w:rPr>
              <w:t>2.7 Analysis of Toyota's Market Entry Strategy in the United States</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_Toc235559668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17</w:t>
            </w:r>
            <w:r w:rsidRPr="008463C6">
              <w:rPr>
                <w:rFonts w:asciiTheme="minorBidi" w:hAnsiTheme="minorBidi"/>
                <w:noProof/>
                <w:webHidden/>
                <w:sz w:val="24"/>
                <w:szCs w:val="24"/>
              </w:rPr>
              <w:fldChar w:fldCharType="end"/>
            </w:r>
          </w:hyperlink>
        </w:p>
        <w:p w14:paraId="1BC19E9E" w14:textId="265D7DB0" w:rsidR="008463C6" w:rsidRPr="008463C6" w:rsidRDefault="008463C6" w:rsidP="008463C6">
          <w:pPr>
            <w:pStyle w:val="TOC2"/>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69" w:history="1">
            <w:r w:rsidRPr="008463C6">
              <w:rPr>
                <w:rStyle w:val="Hyperlink"/>
                <w:rFonts w:asciiTheme="minorBidi" w:hAnsiTheme="minorBidi"/>
                <w:noProof/>
                <w:sz w:val="24"/>
                <w:szCs w:val="24"/>
              </w:rPr>
              <w:t>2.7.1 Overview of the Entry Strategy</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_Toc235559669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17</w:t>
            </w:r>
            <w:r w:rsidRPr="008463C6">
              <w:rPr>
                <w:rFonts w:asciiTheme="minorBidi" w:hAnsiTheme="minorBidi"/>
                <w:noProof/>
                <w:webHidden/>
                <w:sz w:val="24"/>
                <w:szCs w:val="24"/>
              </w:rPr>
              <w:fldChar w:fldCharType="end"/>
            </w:r>
          </w:hyperlink>
        </w:p>
        <w:p w14:paraId="6DEEE1D9" w14:textId="2ECAA96B" w:rsidR="008463C6" w:rsidRPr="008463C6" w:rsidRDefault="008463C6" w:rsidP="008463C6">
          <w:pPr>
            <w:pStyle w:val="TOC2"/>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70" w:history="1">
            <w:r w:rsidRPr="008463C6">
              <w:rPr>
                <w:rStyle w:val="Hyperlink"/>
                <w:rFonts w:asciiTheme="minorBidi" w:hAnsiTheme="minorBidi"/>
                <w:noProof/>
                <w:sz w:val="24"/>
                <w:szCs w:val="24"/>
              </w:rPr>
              <w:t>2.7.2 Entry Mode</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_Toc235559670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18</w:t>
            </w:r>
            <w:r w:rsidRPr="008463C6">
              <w:rPr>
                <w:rFonts w:asciiTheme="minorBidi" w:hAnsiTheme="minorBidi"/>
                <w:noProof/>
                <w:webHidden/>
                <w:sz w:val="24"/>
                <w:szCs w:val="24"/>
              </w:rPr>
              <w:fldChar w:fldCharType="end"/>
            </w:r>
          </w:hyperlink>
        </w:p>
        <w:p w14:paraId="005B227E" w14:textId="31945D1A" w:rsidR="008463C6" w:rsidRPr="008463C6" w:rsidRDefault="008463C6" w:rsidP="008463C6">
          <w:pPr>
            <w:pStyle w:val="TOC2"/>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71" w:history="1">
            <w:r w:rsidRPr="008463C6">
              <w:rPr>
                <w:rStyle w:val="Hyperlink"/>
                <w:rFonts w:asciiTheme="minorBidi" w:hAnsiTheme="minorBidi"/>
                <w:noProof/>
                <w:sz w:val="24"/>
                <w:szCs w:val="24"/>
              </w:rPr>
              <w:t>2.7.3 Reasons for the Chosen Strategy</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_Toc235559671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19</w:t>
            </w:r>
            <w:r w:rsidRPr="008463C6">
              <w:rPr>
                <w:rFonts w:asciiTheme="minorBidi" w:hAnsiTheme="minorBidi"/>
                <w:noProof/>
                <w:webHidden/>
                <w:sz w:val="24"/>
                <w:szCs w:val="24"/>
              </w:rPr>
              <w:fldChar w:fldCharType="end"/>
            </w:r>
          </w:hyperlink>
        </w:p>
        <w:p w14:paraId="4346FB8A" w14:textId="416E9B14" w:rsidR="008463C6" w:rsidRPr="008463C6" w:rsidRDefault="008463C6" w:rsidP="008463C6">
          <w:pPr>
            <w:pStyle w:val="TOC2"/>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72" w:history="1">
            <w:r w:rsidRPr="008463C6">
              <w:rPr>
                <w:rStyle w:val="Hyperlink"/>
                <w:rFonts w:asciiTheme="minorBidi" w:hAnsiTheme="minorBidi"/>
                <w:noProof/>
                <w:sz w:val="24"/>
                <w:szCs w:val="24"/>
              </w:rPr>
              <w:t>2.7.4 Critical Evaluation of Success and Challenges</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_Toc235559672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19</w:t>
            </w:r>
            <w:r w:rsidRPr="008463C6">
              <w:rPr>
                <w:rFonts w:asciiTheme="minorBidi" w:hAnsiTheme="minorBidi"/>
                <w:noProof/>
                <w:webHidden/>
                <w:sz w:val="24"/>
                <w:szCs w:val="24"/>
              </w:rPr>
              <w:fldChar w:fldCharType="end"/>
            </w:r>
          </w:hyperlink>
        </w:p>
        <w:p w14:paraId="152CA6B8" w14:textId="74F98061" w:rsidR="008463C6" w:rsidRPr="008463C6" w:rsidRDefault="008463C6" w:rsidP="008463C6">
          <w:pPr>
            <w:pStyle w:val="TOC2"/>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73" w:history="1">
            <w:r w:rsidRPr="008463C6">
              <w:rPr>
                <w:rStyle w:val="Hyperlink"/>
                <w:rFonts w:asciiTheme="minorBidi" w:hAnsiTheme="minorBidi"/>
                <w:noProof/>
                <w:sz w:val="24"/>
                <w:szCs w:val="24"/>
              </w:rPr>
              <w:t>2.8 Evaluation of Ethical Issues in Toyota's Marketing Activities</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_Toc235559673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19</w:t>
            </w:r>
            <w:r w:rsidRPr="008463C6">
              <w:rPr>
                <w:rFonts w:asciiTheme="minorBidi" w:hAnsiTheme="minorBidi"/>
                <w:noProof/>
                <w:webHidden/>
                <w:sz w:val="24"/>
                <w:szCs w:val="24"/>
              </w:rPr>
              <w:fldChar w:fldCharType="end"/>
            </w:r>
          </w:hyperlink>
        </w:p>
        <w:p w14:paraId="6D048A94" w14:textId="1202F208" w:rsidR="008463C6" w:rsidRPr="008463C6" w:rsidRDefault="008463C6" w:rsidP="008463C6">
          <w:pPr>
            <w:pStyle w:val="TOC2"/>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74" w:history="1">
            <w:r w:rsidRPr="008463C6">
              <w:rPr>
                <w:rStyle w:val="Hyperlink"/>
                <w:rFonts w:asciiTheme="minorBidi" w:hAnsiTheme="minorBidi"/>
                <w:noProof/>
                <w:sz w:val="24"/>
                <w:szCs w:val="24"/>
              </w:rPr>
              <w:t>2.8.1 Overview of the Ethical Issue</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_Toc235559674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19</w:t>
            </w:r>
            <w:r w:rsidRPr="008463C6">
              <w:rPr>
                <w:rFonts w:asciiTheme="minorBidi" w:hAnsiTheme="minorBidi"/>
                <w:noProof/>
                <w:webHidden/>
                <w:sz w:val="24"/>
                <w:szCs w:val="24"/>
              </w:rPr>
              <w:fldChar w:fldCharType="end"/>
            </w:r>
          </w:hyperlink>
        </w:p>
        <w:p w14:paraId="62453046" w14:textId="5DBEF75A" w:rsidR="008463C6" w:rsidRPr="008463C6" w:rsidRDefault="008463C6" w:rsidP="008463C6">
          <w:pPr>
            <w:pStyle w:val="TOC2"/>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75" w:history="1">
            <w:r w:rsidRPr="008463C6">
              <w:rPr>
                <w:rStyle w:val="Hyperlink"/>
                <w:rFonts w:asciiTheme="minorBidi" w:hAnsiTheme="minorBidi"/>
                <w:noProof/>
                <w:sz w:val="24"/>
                <w:szCs w:val="24"/>
              </w:rPr>
              <w:t>2.8.2 Critical Evaluation</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_Toc235559675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20</w:t>
            </w:r>
            <w:r w:rsidRPr="008463C6">
              <w:rPr>
                <w:rFonts w:asciiTheme="minorBidi" w:hAnsiTheme="minorBidi"/>
                <w:noProof/>
                <w:webHidden/>
                <w:sz w:val="24"/>
                <w:szCs w:val="24"/>
              </w:rPr>
              <w:fldChar w:fldCharType="end"/>
            </w:r>
          </w:hyperlink>
        </w:p>
        <w:p w14:paraId="1359C579" w14:textId="3CF823FC" w:rsidR="008463C6" w:rsidRPr="008463C6" w:rsidRDefault="008463C6" w:rsidP="008463C6">
          <w:pPr>
            <w:pStyle w:val="TOC2"/>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76" w:history="1">
            <w:r w:rsidRPr="008463C6">
              <w:rPr>
                <w:rStyle w:val="Hyperlink"/>
                <w:rFonts w:asciiTheme="minorBidi" w:hAnsiTheme="minorBidi"/>
                <w:noProof/>
                <w:sz w:val="24"/>
                <w:szCs w:val="24"/>
              </w:rPr>
              <w:t>2.8.3 Impact on International Marketing Strategy</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_Toc235559676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21</w:t>
            </w:r>
            <w:r w:rsidRPr="008463C6">
              <w:rPr>
                <w:rFonts w:asciiTheme="minorBidi" w:hAnsiTheme="minorBidi"/>
                <w:noProof/>
                <w:webHidden/>
                <w:sz w:val="24"/>
                <w:szCs w:val="24"/>
              </w:rPr>
              <w:fldChar w:fldCharType="end"/>
            </w:r>
          </w:hyperlink>
        </w:p>
        <w:p w14:paraId="75F976D7" w14:textId="2D29A622" w:rsidR="008463C6" w:rsidRPr="008463C6" w:rsidRDefault="008463C6" w:rsidP="008463C6">
          <w:pPr>
            <w:pStyle w:val="TOC2"/>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77" w:history="1">
            <w:r w:rsidRPr="008463C6">
              <w:rPr>
                <w:rStyle w:val="Hyperlink"/>
                <w:rFonts w:asciiTheme="minorBidi" w:hAnsiTheme="minorBidi"/>
                <w:noProof/>
                <w:sz w:val="24"/>
                <w:szCs w:val="24"/>
              </w:rPr>
              <w:t>2.9 Recommendations</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_Toc235559677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21</w:t>
            </w:r>
            <w:r w:rsidRPr="008463C6">
              <w:rPr>
                <w:rFonts w:asciiTheme="minorBidi" w:hAnsiTheme="minorBidi"/>
                <w:noProof/>
                <w:webHidden/>
                <w:sz w:val="24"/>
                <w:szCs w:val="24"/>
              </w:rPr>
              <w:fldChar w:fldCharType="end"/>
            </w:r>
          </w:hyperlink>
        </w:p>
        <w:p w14:paraId="7E5105AC" w14:textId="27C6C07F" w:rsidR="008463C6" w:rsidRPr="008463C6" w:rsidRDefault="008463C6" w:rsidP="008463C6">
          <w:pPr>
            <w:pStyle w:val="TOC2"/>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78" w:history="1">
            <w:r w:rsidRPr="008463C6">
              <w:rPr>
                <w:rStyle w:val="Hyperlink"/>
                <w:rFonts w:asciiTheme="minorBidi" w:hAnsiTheme="minorBidi"/>
                <w:noProof/>
                <w:sz w:val="24"/>
                <w:szCs w:val="24"/>
              </w:rPr>
              <w:t>2.9.1 Recommendation 1: Accelerate Battery Electric Vehicle (BEV) Expansion</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_Toc235559678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21</w:t>
            </w:r>
            <w:r w:rsidRPr="008463C6">
              <w:rPr>
                <w:rFonts w:asciiTheme="minorBidi" w:hAnsiTheme="minorBidi"/>
                <w:noProof/>
                <w:webHidden/>
                <w:sz w:val="24"/>
                <w:szCs w:val="24"/>
              </w:rPr>
              <w:fldChar w:fldCharType="end"/>
            </w:r>
          </w:hyperlink>
        </w:p>
        <w:p w14:paraId="05538329" w14:textId="62DB0077" w:rsidR="008463C6" w:rsidRPr="008463C6" w:rsidRDefault="008463C6" w:rsidP="008463C6">
          <w:pPr>
            <w:pStyle w:val="TOC2"/>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79" w:history="1">
            <w:r w:rsidRPr="008463C6">
              <w:rPr>
                <w:rStyle w:val="Hyperlink"/>
                <w:rFonts w:asciiTheme="minorBidi" w:hAnsiTheme="minorBidi"/>
                <w:noProof/>
                <w:sz w:val="24"/>
                <w:szCs w:val="24"/>
              </w:rPr>
              <w:t>2.9.2 Recommendation 2: Strengthen Localised Marketing Strategies</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_Toc235559679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21</w:t>
            </w:r>
            <w:r w:rsidRPr="008463C6">
              <w:rPr>
                <w:rFonts w:asciiTheme="minorBidi" w:hAnsiTheme="minorBidi"/>
                <w:noProof/>
                <w:webHidden/>
                <w:sz w:val="24"/>
                <w:szCs w:val="24"/>
              </w:rPr>
              <w:fldChar w:fldCharType="end"/>
            </w:r>
          </w:hyperlink>
        </w:p>
        <w:p w14:paraId="6FDB701E" w14:textId="4FF9D905" w:rsidR="008463C6" w:rsidRPr="008463C6" w:rsidRDefault="008463C6" w:rsidP="008463C6">
          <w:pPr>
            <w:pStyle w:val="TOC2"/>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80" w:history="1">
            <w:r w:rsidRPr="008463C6">
              <w:rPr>
                <w:rStyle w:val="Hyperlink"/>
                <w:rFonts w:asciiTheme="minorBidi" w:hAnsiTheme="minorBidi"/>
                <w:noProof/>
                <w:sz w:val="24"/>
                <w:szCs w:val="24"/>
              </w:rPr>
              <w:t>2.9.3 Recommendation 3: Expand Digital Customer Engagement</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_Toc235559680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21</w:t>
            </w:r>
            <w:r w:rsidRPr="008463C6">
              <w:rPr>
                <w:rFonts w:asciiTheme="minorBidi" w:hAnsiTheme="minorBidi"/>
                <w:noProof/>
                <w:webHidden/>
                <w:sz w:val="24"/>
                <w:szCs w:val="24"/>
              </w:rPr>
              <w:fldChar w:fldCharType="end"/>
            </w:r>
          </w:hyperlink>
        </w:p>
        <w:p w14:paraId="50691FE4" w14:textId="1E01541E" w:rsidR="008463C6" w:rsidRPr="008463C6" w:rsidRDefault="008463C6" w:rsidP="008463C6">
          <w:pPr>
            <w:pStyle w:val="TOC2"/>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81" w:history="1">
            <w:r w:rsidRPr="008463C6">
              <w:rPr>
                <w:rStyle w:val="Hyperlink"/>
                <w:rFonts w:asciiTheme="minorBidi" w:hAnsiTheme="minorBidi"/>
                <w:noProof/>
                <w:sz w:val="24"/>
                <w:szCs w:val="24"/>
              </w:rPr>
              <w:t>2.9.4 Recommendation 4: Enhance Sustainability Transparency</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_Toc235559681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22</w:t>
            </w:r>
            <w:r w:rsidRPr="008463C6">
              <w:rPr>
                <w:rFonts w:asciiTheme="minorBidi" w:hAnsiTheme="minorBidi"/>
                <w:noProof/>
                <w:webHidden/>
                <w:sz w:val="24"/>
                <w:szCs w:val="24"/>
              </w:rPr>
              <w:fldChar w:fldCharType="end"/>
            </w:r>
          </w:hyperlink>
        </w:p>
        <w:p w14:paraId="6BF9445E" w14:textId="335C97FB" w:rsidR="008463C6" w:rsidRPr="008463C6" w:rsidRDefault="008463C6" w:rsidP="008463C6">
          <w:pPr>
            <w:pStyle w:val="TOC2"/>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82" w:history="1">
            <w:r w:rsidRPr="008463C6">
              <w:rPr>
                <w:rStyle w:val="Hyperlink"/>
                <w:rFonts w:asciiTheme="minorBidi" w:hAnsiTheme="minorBidi"/>
                <w:noProof/>
                <w:sz w:val="24"/>
                <w:szCs w:val="24"/>
              </w:rPr>
              <w:t>Conclusion</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_Toc235559682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22</w:t>
            </w:r>
            <w:r w:rsidRPr="008463C6">
              <w:rPr>
                <w:rFonts w:asciiTheme="minorBidi" w:hAnsiTheme="minorBidi"/>
                <w:noProof/>
                <w:webHidden/>
                <w:sz w:val="24"/>
                <w:szCs w:val="24"/>
              </w:rPr>
              <w:fldChar w:fldCharType="end"/>
            </w:r>
          </w:hyperlink>
        </w:p>
        <w:p w14:paraId="54C0C27B" w14:textId="4F5AA2F5" w:rsidR="008463C6" w:rsidRPr="008463C6" w:rsidRDefault="008463C6" w:rsidP="008463C6">
          <w:pPr>
            <w:pStyle w:val="TOC2"/>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83" w:history="1">
            <w:r w:rsidRPr="008463C6">
              <w:rPr>
                <w:rStyle w:val="Hyperlink"/>
                <w:rFonts w:asciiTheme="minorBidi" w:hAnsiTheme="minorBidi"/>
                <w:noProof/>
                <w:sz w:val="24"/>
                <w:szCs w:val="24"/>
              </w:rPr>
              <w:t>3. Section 2: Reflective Account</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_Toc235559683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23</w:t>
            </w:r>
            <w:r w:rsidRPr="008463C6">
              <w:rPr>
                <w:rFonts w:asciiTheme="minorBidi" w:hAnsiTheme="minorBidi"/>
                <w:noProof/>
                <w:webHidden/>
                <w:sz w:val="24"/>
                <w:szCs w:val="24"/>
              </w:rPr>
              <w:fldChar w:fldCharType="end"/>
            </w:r>
          </w:hyperlink>
        </w:p>
        <w:p w14:paraId="01F1DE1A" w14:textId="702068CF" w:rsidR="008463C6" w:rsidRPr="008463C6" w:rsidRDefault="008463C6" w:rsidP="008463C6">
          <w:pPr>
            <w:pStyle w:val="TOC2"/>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84" w:history="1">
            <w:r w:rsidRPr="008463C6">
              <w:rPr>
                <w:rStyle w:val="Hyperlink"/>
                <w:rFonts w:asciiTheme="minorBidi" w:hAnsiTheme="minorBidi"/>
                <w:noProof/>
                <w:sz w:val="24"/>
                <w:szCs w:val="24"/>
              </w:rPr>
              <w:t>3.1 Description</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_Toc235559684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23</w:t>
            </w:r>
            <w:r w:rsidRPr="008463C6">
              <w:rPr>
                <w:rFonts w:asciiTheme="minorBidi" w:hAnsiTheme="minorBidi"/>
                <w:noProof/>
                <w:webHidden/>
                <w:sz w:val="24"/>
                <w:szCs w:val="24"/>
              </w:rPr>
              <w:fldChar w:fldCharType="end"/>
            </w:r>
          </w:hyperlink>
        </w:p>
        <w:p w14:paraId="36E230C3" w14:textId="10796119" w:rsidR="008463C6" w:rsidRPr="008463C6" w:rsidRDefault="008463C6" w:rsidP="008463C6">
          <w:pPr>
            <w:pStyle w:val="TOC2"/>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85" w:history="1">
            <w:r w:rsidRPr="008463C6">
              <w:rPr>
                <w:rStyle w:val="Hyperlink"/>
                <w:rFonts w:asciiTheme="minorBidi" w:hAnsiTheme="minorBidi"/>
                <w:noProof/>
                <w:sz w:val="24"/>
                <w:szCs w:val="24"/>
              </w:rPr>
              <w:t>3.2 Feelings</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_Toc235559685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24</w:t>
            </w:r>
            <w:r w:rsidRPr="008463C6">
              <w:rPr>
                <w:rFonts w:asciiTheme="minorBidi" w:hAnsiTheme="minorBidi"/>
                <w:noProof/>
                <w:webHidden/>
                <w:sz w:val="24"/>
                <w:szCs w:val="24"/>
              </w:rPr>
              <w:fldChar w:fldCharType="end"/>
            </w:r>
          </w:hyperlink>
        </w:p>
        <w:p w14:paraId="1E756DDB" w14:textId="4C33EFA5" w:rsidR="008463C6" w:rsidRPr="008463C6" w:rsidRDefault="008463C6" w:rsidP="008463C6">
          <w:pPr>
            <w:pStyle w:val="TOC2"/>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86" w:history="1">
            <w:r w:rsidRPr="008463C6">
              <w:rPr>
                <w:rStyle w:val="Hyperlink"/>
                <w:rFonts w:asciiTheme="minorBidi" w:hAnsiTheme="minorBidi"/>
                <w:noProof/>
                <w:sz w:val="24"/>
                <w:szCs w:val="24"/>
              </w:rPr>
              <w:t>3.3 Evaluation</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_Toc235559686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24</w:t>
            </w:r>
            <w:r w:rsidRPr="008463C6">
              <w:rPr>
                <w:rFonts w:asciiTheme="minorBidi" w:hAnsiTheme="minorBidi"/>
                <w:noProof/>
                <w:webHidden/>
                <w:sz w:val="24"/>
                <w:szCs w:val="24"/>
              </w:rPr>
              <w:fldChar w:fldCharType="end"/>
            </w:r>
          </w:hyperlink>
        </w:p>
        <w:p w14:paraId="1A0419D7" w14:textId="0BD6960F" w:rsidR="008463C6" w:rsidRPr="008463C6" w:rsidRDefault="008463C6" w:rsidP="008463C6">
          <w:pPr>
            <w:pStyle w:val="TOC2"/>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87" w:history="1">
            <w:r w:rsidRPr="008463C6">
              <w:rPr>
                <w:rStyle w:val="Hyperlink"/>
                <w:rFonts w:asciiTheme="minorBidi" w:hAnsiTheme="minorBidi"/>
                <w:noProof/>
                <w:sz w:val="24"/>
                <w:szCs w:val="24"/>
              </w:rPr>
              <w:t>3.4 Analysis</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_Toc235559687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24</w:t>
            </w:r>
            <w:r w:rsidRPr="008463C6">
              <w:rPr>
                <w:rFonts w:asciiTheme="minorBidi" w:hAnsiTheme="minorBidi"/>
                <w:noProof/>
                <w:webHidden/>
                <w:sz w:val="24"/>
                <w:szCs w:val="24"/>
              </w:rPr>
              <w:fldChar w:fldCharType="end"/>
            </w:r>
          </w:hyperlink>
        </w:p>
        <w:p w14:paraId="2A60182F" w14:textId="4CC6631C" w:rsidR="008463C6" w:rsidRPr="008463C6" w:rsidRDefault="008463C6" w:rsidP="008463C6">
          <w:pPr>
            <w:pStyle w:val="TOC2"/>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88" w:history="1">
            <w:r w:rsidRPr="008463C6">
              <w:rPr>
                <w:rStyle w:val="Hyperlink"/>
                <w:rFonts w:asciiTheme="minorBidi" w:hAnsiTheme="minorBidi"/>
                <w:noProof/>
                <w:sz w:val="24"/>
                <w:szCs w:val="24"/>
              </w:rPr>
              <w:t>3.5 Conclusion</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_Toc235559688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25</w:t>
            </w:r>
            <w:r w:rsidRPr="008463C6">
              <w:rPr>
                <w:rFonts w:asciiTheme="minorBidi" w:hAnsiTheme="minorBidi"/>
                <w:noProof/>
                <w:webHidden/>
                <w:sz w:val="24"/>
                <w:szCs w:val="24"/>
              </w:rPr>
              <w:fldChar w:fldCharType="end"/>
            </w:r>
          </w:hyperlink>
        </w:p>
        <w:p w14:paraId="438C9D10" w14:textId="15068E93" w:rsidR="008463C6" w:rsidRPr="008463C6" w:rsidRDefault="008463C6" w:rsidP="008463C6">
          <w:pPr>
            <w:pStyle w:val="TOC2"/>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89" w:history="1">
            <w:r w:rsidRPr="008463C6">
              <w:rPr>
                <w:rStyle w:val="Hyperlink"/>
                <w:rFonts w:asciiTheme="minorBidi" w:hAnsiTheme="minorBidi"/>
                <w:noProof/>
                <w:sz w:val="24"/>
                <w:szCs w:val="24"/>
              </w:rPr>
              <w:t>3.6 Action Plan</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_Toc235559689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26</w:t>
            </w:r>
            <w:r w:rsidRPr="008463C6">
              <w:rPr>
                <w:rFonts w:asciiTheme="minorBidi" w:hAnsiTheme="minorBidi"/>
                <w:noProof/>
                <w:webHidden/>
                <w:sz w:val="24"/>
                <w:szCs w:val="24"/>
              </w:rPr>
              <w:fldChar w:fldCharType="end"/>
            </w:r>
          </w:hyperlink>
        </w:p>
        <w:p w14:paraId="04724E6D" w14:textId="69919757" w:rsidR="008463C6" w:rsidRPr="008463C6" w:rsidRDefault="008463C6" w:rsidP="008463C6">
          <w:pPr>
            <w:pStyle w:val="TOC1"/>
            <w:tabs>
              <w:tab w:val="right" w:leader="dot" w:pos="9350"/>
            </w:tabs>
            <w:spacing w:line="240" w:lineRule="auto"/>
            <w:rPr>
              <w:rFonts w:asciiTheme="minorBidi" w:eastAsiaTheme="minorEastAsia" w:hAnsiTheme="minorBidi"/>
              <w:noProof/>
              <w:kern w:val="2"/>
              <w:sz w:val="24"/>
              <w:szCs w:val="24"/>
              <w:lang w:val="en-US"/>
              <w14:ligatures w14:val="standardContextual"/>
            </w:rPr>
          </w:pPr>
          <w:hyperlink w:anchor="_Toc235559690" w:history="1">
            <w:r w:rsidRPr="008463C6">
              <w:rPr>
                <w:rStyle w:val="Hyperlink"/>
                <w:rFonts w:asciiTheme="minorBidi" w:hAnsiTheme="minorBidi"/>
                <w:noProof/>
                <w:sz w:val="24"/>
                <w:szCs w:val="24"/>
              </w:rPr>
              <w:t>References:</w:t>
            </w:r>
            <w:r w:rsidRPr="008463C6">
              <w:rPr>
                <w:rFonts w:asciiTheme="minorBidi" w:hAnsiTheme="minorBidi"/>
                <w:noProof/>
                <w:webHidden/>
                <w:sz w:val="24"/>
                <w:szCs w:val="24"/>
              </w:rPr>
              <w:tab/>
            </w:r>
            <w:r w:rsidRPr="008463C6">
              <w:rPr>
                <w:rFonts w:asciiTheme="minorBidi" w:hAnsiTheme="minorBidi"/>
                <w:noProof/>
                <w:webHidden/>
                <w:sz w:val="24"/>
                <w:szCs w:val="24"/>
              </w:rPr>
              <w:fldChar w:fldCharType="begin"/>
            </w:r>
            <w:r w:rsidRPr="008463C6">
              <w:rPr>
                <w:rFonts w:asciiTheme="minorBidi" w:hAnsiTheme="minorBidi"/>
                <w:noProof/>
                <w:webHidden/>
                <w:sz w:val="24"/>
                <w:szCs w:val="24"/>
              </w:rPr>
              <w:instrText xml:space="preserve"> PAGEREF _Toc235559690 \h </w:instrText>
            </w:r>
            <w:r w:rsidRPr="008463C6">
              <w:rPr>
                <w:rFonts w:asciiTheme="minorBidi" w:hAnsiTheme="minorBidi"/>
                <w:noProof/>
                <w:webHidden/>
                <w:sz w:val="24"/>
                <w:szCs w:val="24"/>
              </w:rPr>
            </w:r>
            <w:r w:rsidRPr="008463C6">
              <w:rPr>
                <w:rFonts w:asciiTheme="minorBidi" w:hAnsiTheme="minorBidi"/>
                <w:noProof/>
                <w:webHidden/>
                <w:sz w:val="24"/>
                <w:szCs w:val="24"/>
              </w:rPr>
              <w:fldChar w:fldCharType="separate"/>
            </w:r>
            <w:r w:rsidRPr="008463C6">
              <w:rPr>
                <w:rFonts w:asciiTheme="minorBidi" w:hAnsiTheme="minorBidi"/>
                <w:noProof/>
                <w:webHidden/>
                <w:sz w:val="24"/>
                <w:szCs w:val="24"/>
              </w:rPr>
              <w:t>27</w:t>
            </w:r>
            <w:r w:rsidRPr="008463C6">
              <w:rPr>
                <w:rFonts w:asciiTheme="minorBidi" w:hAnsiTheme="minorBidi"/>
                <w:noProof/>
                <w:webHidden/>
                <w:sz w:val="24"/>
                <w:szCs w:val="24"/>
              </w:rPr>
              <w:fldChar w:fldCharType="end"/>
            </w:r>
          </w:hyperlink>
        </w:p>
        <w:p w14:paraId="2AF574A3" w14:textId="30375662" w:rsidR="00ED2F1B" w:rsidRPr="008463C6" w:rsidRDefault="00ED2F1B" w:rsidP="008463C6">
          <w:pPr>
            <w:spacing w:line="240" w:lineRule="auto"/>
            <w:jc w:val="both"/>
            <w:rPr>
              <w:rFonts w:asciiTheme="minorBidi" w:hAnsiTheme="minorBidi"/>
              <w:sz w:val="24"/>
              <w:szCs w:val="24"/>
            </w:rPr>
          </w:pPr>
          <w:r w:rsidRPr="008463C6">
            <w:rPr>
              <w:rFonts w:asciiTheme="minorBidi" w:hAnsiTheme="minorBidi"/>
              <w:b/>
              <w:bCs/>
              <w:sz w:val="24"/>
              <w:szCs w:val="24"/>
            </w:rPr>
            <w:fldChar w:fldCharType="end"/>
          </w:r>
        </w:p>
      </w:sdtContent>
    </w:sdt>
    <w:p w14:paraId="7DB836EE" w14:textId="77777777" w:rsidR="00867DD9" w:rsidRPr="008463C6" w:rsidRDefault="00867DD9" w:rsidP="008463C6">
      <w:pPr>
        <w:spacing w:line="240" w:lineRule="auto"/>
        <w:jc w:val="both"/>
        <w:rPr>
          <w:rFonts w:asciiTheme="minorBidi" w:eastAsiaTheme="majorEastAsia" w:hAnsiTheme="minorBidi"/>
          <w:b/>
          <w:color w:val="2F5496" w:themeColor="accent1" w:themeShade="BF"/>
          <w:sz w:val="24"/>
          <w:szCs w:val="24"/>
        </w:rPr>
      </w:pPr>
      <w:r w:rsidRPr="008463C6">
        <w:rPr>
          <w:rFonts w:asciiTheme="minorBidi" w:hAnsiTheme="minorBidi"/>
          <w:sz w:val="24"/>
          <w:szCs w:val="24"/>
        </w:rPr>
        <w:br w:type="page"/>
      </w:r>
    </w:p>
    <w:p w14:paraId="1A52FB14" w14:textId="46DE97E6" w:rsidR="00DE1972" w:rsidRPr="008463C6" w:rsidRDefault="00DE1972" w:rsidP="008463C6">
      <w:pPr>
        <w:pStyle w:val="Heading1"/>
        <w:jc w:val="center"/>
      </w:pPr>
      <w:bookmarkStart w:id="0" w:name="_Toc235559635"/>
      <w:r w:rsidRPr="008463C6">
        <w:lastRenderedPageBreak/>
        <w:t>List of Figures</w:t>
      </w:r>
      <w:bookmarkEnd w:id="0"/>
    </w:p>
    <w:p w14:paraId="7C76F405" w14:textId="43A95A5A" w:rsidR="00DE1972" w:rsidRPr="008463C6" w:rsidRDefault="00DE1972" w:rsidP="008463C6">
      <w:pPr>
        <w:spacing w:line="360" w:lineRule="auto"/>
        <w:ind w:left="360"/>
        <w:jc w:val="both"/>
        <w:rPr>
          <w:rFonts w:asciiTheme="minorBidi" w:hAnsiTheme="minorBidi"/>
          <w:sz w:val="24"/>
          <w:szCs w:val="24"/>
        </w:rPr>
      </w:pPr>
      <w:r w:rsidRPr="008463C6">
        <w:rPr>
          <w:rFonts w:asciiTheme="minorBidi" w:hAnsiTheme="minorBidi"/>
          <w:sz w:val="24"/>
          <w:szCs w:val="24"/>
        </w:rPr>
        <w:t>Figure 1. Toyota's Global Operations and Strategic Presence in Japan and the United States</w:t>
      </w:r>
    </w:p>
    <w:p w14:paraId="7A7C6823" w14:textId="52FC059D" w:rsidR="00DE1972" w:rsidRPr="008463C6" w:rsidRDefault="00DE1972" w:rsidP="008463C6">
      <w:pPr>
        <w:spacing w:line="360" w:lineRule="auto"/>
        <w:ind w:left="360"/>
        <w:jc w:val="both"/>
        <w:rPr>
          <w:rFonts w:asciiTheme="minorBidi" w:hAnsiTheme="minorBidi"/>
          <w:sz w:val="24"/>
          <w:szCs w:val="24"/>
        </w:rPr>
      </w:pPr>
      <w:r w:rsidRPr="008463C6">
        <w:rPr>
          <w:rFonts w:asciiTheme="minorBidi" w:hAnsiTheme="minorBidi"/>
          <w:sz w:val="24"/>
          <w:szCs w:val="24"/>
        </w:rPr>
        <w:t>Figure 2. Toyota's Strategic Importance of Japan and the United States</w:t>
      </w:r>
    </w:p>
    <w:p w14:paraId="11B3FE87" w14:textId="29703D7D" w:rsidR="00DE1972" w:rsidRPr="008463C6" w:rsidRDefault="00DE1972" w:rsidP="008463C6">
      <w:pPr>
        <w:spacing w:line="360" w:lineRule="auto"/>
        <w:ind w:left="360"/>
        <w:jc w:val="both"/>
        <w:rPr>
          <w:rFonts w:asciiTheme="minorBidi" w:hAnsiTheme="minorBidi"/>
          <w:sz w:val="24"/>
          <w:szCs w:val="24"/>
        </w:rPr>
      </w:pPr>
      <w:r w:rsidRPr="008463C6">
        <w:rPr>
          <w:rFonts w:asciiTheme="minorBidi" w:hAnsiTheme="minorBidi"/>
          <w:sz w:val="24"/>
          <w:szCs w:val="24"/>
        </w:rPr>
        <w:t>Figure 3. Comparison of Toyota's STP Strategy in Japan and the United States</w:t>
      </w:r>
    </w:p>
    <w:p w14:paraId="4138459A" w14:textId="51F3BC00" w:rsidR="00DE1972" w:rsidRPr="008463C6" w:rsidRDefault="00DE1972" w:rsidP="008463C6">
      <w:pPr>
        <w:spacing w:line="360" w:lineRule="auto"/>
        <w:ind w:left="360"/>
        <w:jc w:val="both"/>
        <w:rPr>
          <w:rFonts w:asciiTheme="minorBidi" w:hAnsiTheme="minorBidi"/>
          <w:sz w:val="24"/>
          <w:szCs w:val="24"/>
        </w:rPr>
      </w:pPr>
      <w:r w:rsidRPr="008463C6">
        <w:rPr>
          <w:rFonts w:asciiTheme="minorBidi" w:hAnsiTheme="minorBidi"/>
          <w:sz w:val="24"/>
          <w:szCs w:val="24"/>
        </w:rPr>
        <w:t>Figure 4. Comparative Analysis of Toyota's 7Ps Marketing Mix in Japan and the United States</w:t>
      </w:r>
    </w:p>
    <w:p w14:paraId="26D30681" w14:textId="0E8032CE" w:rsidR="00DE1972" w:rsidRPr="008463C6" w:rsidRDefault="00DE1972" w:rsidP="008463C6">
      <w:pPr>
        <w:spacing w:line="360" w:lineRule="auto"/>
        <w:ind w:left="360"/>
        <w:jc w:val="both"/>
        <w:rPr>
          <w:rFonts w:asciiTheme="minorBidi" w:hAnsiTheme="minorBidi"/>
          <w:sz w:val="24"/>
          <w:szCs w:val="24"/>
        </w:rPr>
      </w:pPr>
      <w:r w:rsidRPr="008463C6">
        <w:rPr>
          <w:rFonts w:asciiTheme="minorBidi" w:hAnsiTheme="minorBidi"/>
          <w:sz w:val="24"/>
          <w:szCs w:val="24"/>
        </w:rPr>
        <w:t>Figure 5. Toyota's Market Entry Strategy in the United States</w:t>
      </w:r>
    </w:p>
    <w:p w14:paraId="08AD4960" w14:textId="6729C467" w:rsidR="00DE1972" w:rsidRPr="008463C6" w:rsidRDefault="00DE1972" w:rsidP="008463C6">
      <w:pPr>
        <w:spacing w:line="360" w:lineRule="auto"/>
        <w:ind w:left="360"/>
        <w:jc w:val="both"/>
        <w:rPr>
          <w:rFonts w:asciiTheme="minorBidi" w:hAnsiTheme="minorBidi"/>
          <w:sz w:val="24"/>
          <w:szCs w:val="24"/>
        </w:rPr>
      </w:pPr>
      <w:r w:rsidRPr="008463C6">
        <w:rPr>
          <w:rFonts w:asciiTheme="minorBidi" w:hAnsiTheme="minorBidi"/>
          <w:sz w:val="24"/>
          <w:szCs w:val="24"/>
        </w:rPr>
        <w:t>Figure 6. Toyota's Sustainable Mobility Strategy</w:t>
      </w:r>
    </w:p>
    <w:p w14:paraId="7AE4986D" w14:textId="48608CC4" w:rsidR="00DE1972" w:rsidRPr="008463C6" w:rsidRDefault="00DE1972" w:rsidP="008463C6">
      <w:pPr>
        <w:spacing w:line="360" w:lineRule="auto"/>
        <w:ind w:left="360"/>
        <w:jc w:val="both"/>
        <w:rPr>
          <w:rFonts w:asciiTheme="minorBidi" w:hAnsiTheme="minorBidi"/>
          <w:sz w:val="24"/>
          <w:szCs w:val="24"/>
        </w:rPr>
      </w:pPr>
      <w:r w:rsidRPr="008463C6">
        <w:rPr>
          <w:rFonts w:asciiTheme="minorBidi" w:hAnsiTheme="minorBidi"/>
          <w:sz w:val="24"/>
          <w:szCs w:val="24"/>
        </w:rPr>
        <w:t>Figure 7. Gibbs' Reflective Cycle</w:t>
      </w:r>
    </w:p>
    <w:p w14:paraId="2EB8826A" w14:textId="77777777" w:rsidR="00DE1972" w:rsidRPr="008463C6" w:rsidRDefault="00DE1972" w:rsidP="008463C6">
      <w:pPr>
        <w:pStyle w:val="Heading1"/>
        <w:jc w:val="center"/>
      </w:pPr>
      <w:bookmarkStart w:id="1" w:name="_Toc235559636"/>
      <w:r w:rsidRPr="008463C6">
        <w:t>List of Tables</w:t>
      </w:r>
      <w:bookmarkEnd w:id="1"/>
    </w:p>
    <w:p w14:paraId="776FD6E0" w14:textId="3B0523E1" w:rsidR="00DE1972" w:rsidRPr="008463C6" w:rsidRDefault="00DE1972" w:rsidP="008463C6">
      <w:pPr>
        <w:spacing w:line="360" w:lineRule="auto"/>
        <w:ind w:left="360"/>
        <w:jc w:val="both"/>
        <w:rPr>
          <w:rFonts w:asciiTheme="minorBidi" w:hAnsiTheme="minorBidi"/>
          <w:sz w:val="24"/>
          <w:szCs w:val="24"/>
        </w:rPr>
      </w:pPr>
      <w:r w:rsidRPr="008463C6">
        <w:rPr>
          <w:rFonts w:asciiTheme="minorBidi" w:hAnsiTheme="minorBidi"/>
          <w:sz w:val="24"/>
          <w:szCs w:val="24"/>
        </w:rPr>
        <w:t>Table 1. Comparison of Hofstede's Cultural Dimensions: Japan vs United States</w:t>
      </w:r>
    </w:p>
    <w:p w14:paraId="18933C53" w14:textId="4F3E3F10" w:rsidR="00DE1972" w:rsidRPr="008463C6" w:rsidRDefault="00DE1972" w:rsidP="008463C6">
      <w:pPr>
        <w:spacing w:line="360" w:lineRule="auto"/>
        <w:ind w:left="360"/>
        <w:jc w:val="both"/>
        <w:rPr>
          <w:rFonts w:asciiTheme="minorBidi" w:hAnsiTheme="minorBidi"/>
          <w:sz w:val="24"/>
          <w:szCs w:val="24"/>
        </w:rPr>
      </w:pPr>
      <w:r w:rsidRPr="008463C6">
        <w:rPr>
          <w:rFonts w:asciiTheme="minorBidi" w:hAnsiTheme="minorBidi"/>
          <w:sz w:val="24"/>
          <w:szCs w:val="24"/>
        </w:rPr>
        <w:t>Table 2. Key Learning Outcomes from the Reflective Process</w:t>
      </w:r>
    </w:p>
    <w:p w14:paraId="34E0AD6B" w14:textId="637DF3D2" w:rsidR="00DE1972" w:rsidRPr="008463C6" w:rsidRDefault="00DE1972" w:rsidP="008463C6">
      <w:pPr>
        <w:spacing w:line="360" w:lineRule="auto"/>
        <w:jc w:val="both"/>
        <w:rPr>
          <w:rFonts w:asciiTheme="minorBidi" w:eastAsiaTheme="majorEastAsia" w:hAnsiTheme="minorBidi"/>
          <w:b/>
          <w:color w:val="2F5496" w:themeColor="accent1" w:themeShade="BF"/>
          <w:sz w:val="24"/>
          <w:szCs w:val="24"/>
        </w:rPr>
      </w:pPr>
    </w:p>
    <w:p w14:paraId="2313A191" w14:textId="77777777" w:rsidR="00DE1972" w:rsidRPr="008463C6" w:rsidRDefault="00DE1972" w:rsidP="008463C6">
      <w:pPr>
        <w:pStyle w:val="Heading1"/>
        <w:spacing w:line="360" w:lineRule="auto"/>
        <w:jc w:val="both"/>
        <w:rPr>
          <w:rFonts w:asciiTheme="minorBidi" w:hAnsiTheme="minorBidi" w:cstheme="minorBidi"/>
          <w:sz w:val="24"/>
          <w:szCs w:val="24"/>
        </w:rPr>
      </w:pPr>
    </w:p>
    <w:p w14:paraId="3BC4569B" w14:textId="77777777" w:rsidR="00DE1972" w:rsidRPr="00DE078D" w:rsidRDefault="00DE1972" w:rsidP="00DE1972">
      <w:pPr>
        <w:pStyle w:val="Heading1"/>
        <w:jc w:val="both"/>
      </w:pPr>
    </w:p>
    <w:p w14:paraId="5BE277F3" w14:textId="77777777" w:rsidR="00DE1972" w:rsidRPr="00DE078D" w:rsidRDefault="00DE1972" w:rsidP="00DE1972">
      <w:pPr>
        <w:pStyle w:val="Heading1"/>
        <w:jc w:val="both"/>
      </w:pPr>
    </w:p>
    <w:p w14:paraId="6FB305C9" w14:textId="77777777" w:rsidR="00DE1972" w:rsidRPr="00DE078D" w:rsidRDefault="00DE1972" w:rsidP="00DE1972">
      <w:pPr>
        <w:pStyle w:val="Heading1"/>
        <w:jc w:val="both"/>
      </w:pPr>
    </w:p>
    <w:p w14:paraId="54A723F2" w14:textId="77777777" w:rsidR="00DE1972" w:rsidRPr="00DE078D" w:rsidRDefault="00DE1972" w:rsidP="00DE1972">
      <w:pPr>
        <w:jc w:val="both"/>
        <w:rPr>
          <w:rFonts w:ascii="Arial" w:eastAsiaTheme="majorEastAsia" w:hAnsi="Arial" w:cstheme="majorBidi"/>
          <w:b/>
          <w:color w:val="2F5496" w:themeColor="accent1" w:themeShade="BF"/>
          <w:sz w:val="36"/>
          <w:szCs w:val="40"/>
        </w:rPr>
      </w:pPr>
      <w:r w:rsidRPr="00DE078D">
        <w:br w:type="page"/>
      </w:r>
    </w:p>
    <w:p w14:paraId="15B4C451" w14:textId="25735596" w:rsidR="008816D8" w:rsidRPr="00E136D8" w:rsidRDefault="008816D8" w:rsidP="00E136D8">
      <w:pPr>
        <w:pStyle w:val="Heading2"/>
      </w:pPr>
      <w:bookmarkStart w:id="2" w:name="_Toc235559637"/>
      <w:r w:rsidRPr="00DE078D">
        <w:lastRenderedPageBreak/>
        <w:t xml:space="preserve">1.1 </w:t>
      </w:r>
      <w:r w:rsidRPr="00E136D8">
        <w:t>Background of Toyota</w:t>
      </w:r>
      <w:bookmarkEnd w:id="2"/>
    </w:p>
    <w:p w14:paraId="79A27EAF" w14:textId="59329B08" w:rsidR="00E136D8" w:rsidRPr="00E136D8" w:rsidRDefault="00E136D8" w:rsidP="00E136D8">
      <w:pPr>
        <w:spacing w:line="360" w:lineRule="auto"/>
        <w:jc w:val="both"/>
        <w:rPr>
          <w:rFonts w:ascii="Arial" w:hAnsi="Arial" w:cs="Arial"/>
          <w:sz w:val="24"/>
          <w:szCs w:val="24"/>
        </w:rPr>
      </w:pPr>
      <w:r w:rsidRPr="00E136D8">
        <w:rPr>
          <w:rFonts w:ascii="Arial" w:hAnsi="Arial" w:cs="Arial"/>
          <w:sz w:val="24"/>
          <w:szCs w:val="24"/>
        </w:rPr>
        <w:t xml:space="preserve">Founded in 1937 and headquartered in Toyota City, Japan, Toyota Motor Corporation is one of the world's leading automobile manufacturers. </w:t>
      </w:r>
      <w:r w:rsidR="00AE2A94" w:rsidRPr="00E136D8">
        <w:rPr>
          <w:rFonts w:ascii="Arial" w:hAnsi="Arial" w:cs="Arial"/>
          <w:sz w:val="24"/>
          <w:szCs w:val="24"/>
        </w:rPr>
        <w:t>It sells its vehicles in over 170 countries and regions, and has a range of passenger vehicles, commercial vehicles, hybrid electric vehicles (HEVs), battery electric vehicles (BEVs) and hydrogen fuel cell cars. With the internationally recognised Toyota Production System (TPS) (Liker, 2021), Toyota has built a solid reputation worldwide for its innovation, quality, operational efficiency and sustainable mobility. Despite the growing competition in the automotive market and the rapid shift to vehicle electrification, Toyota topped the world's vehicle sales in the financial year 2025, with sales of more than 10.8 million vehicles worldwide and consolidated revenue of more than ¥48 trillion (Toyota Motor Corporation, 2025).</w:t>
      </w:r>
    </w:p>
    <w:p w14:paraId="3FC504BF" w14:textId="3A055534" w:rsidR="008816D8" w:rsidRPr="00E136D8" w:rsidRDefault="008816D8" w:rsidP="00DE1972">
      <w:pPr>
        <w:spacing w:line="360" w:lineRule="auto"/>
        <w:jc w:val="both"/>
        <w:rPr>
          <w:rFonts w:ascii="Arial" w:hAnsi="Arial" w:cs="Arial"/>
          <w:sz w:val="24"/>
          <w:szCs w:val="24"/>
        </w:rPr>
      </w:pPr>
      <w:r w:rsidRPr="00E136D8">
        <w:rPr>
          <w:rFonts w:ascii="Arial" w:hAnsi="Arial" w:cs="Arial"/>
          <w:noProof/>
          <w:sz w:val="24"/>
          <w:szCs w:val="24"/>
        </w:rPr>
        <w:drawing>
          <wp:inline distT="0" distB="0" distL="0" distR="0" wp14:anchorId="21CC0F7A" wp14:editId="3F6F84FD">
            <wp:extent cx="5695950" cy="3190875"/>
            <wp:effectExtent l="0" t="0" r="0" b="9525"/>
            <wp:docPr id="14229304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699683" cy="3192966"/>
                    </a:xfrm>
                    <a:prstGeom prst="rect">
                      <a:avLst/>
                    </a:prstGeom>
                    <a:noFill/>
                  </pic:spPr>
                </pic:pic>
              </a:graphicData>
            </a:graphic>
          </wp:inline>
        </w:drawing>
      </w:r>
    </w:p>
    <w:p w14:paraId="3F758FFD" w14:textId="77777777" w:rsidR="008816D8" w:rsidRPr="00E136D8" w:rsidRDefault="008816D8" w:rsidP="00DE1972">
      <w:pPr>
        <w:spacing w:line="360" w:lineRule="auto"/>
        <w:jc w:val="center"/>
        <w:rPr>
          <w:rFonts w:ascii="Arial" w:hAnsi="Arial" w:cs="Arial"/>
          <w:u w:val="single"/>
        </w:rPr>
      </w:pPr>
      <w:r w:rsidRPr="00E136D8">
        <w:rPr>
          <w:rFonts w:ascii="Arial" w:hAnsi="Arial" w:cs="Arial"/>
          <w:b/>
          <w:bCs/>
          <w:u w:val="single"/>
        </w:rPr>
        <w:t>Figure 1.</w:t>
      </w:r>
      <w:r w:rsidRPr="00E136D8">
        <w:rPr>
          <w:rFonts w:ascii="Arial" w:hAnsi="Arial" w:cs="Arial"/>
          <w:u w:val="single"/>
        </w:rPr>
        <w:t xml:space="preserve"> Toyota's global operations and strategic presence in Japan and the United States.</w:t>
      </w:r>
    </w:p>
    <w:p w14:paraId="77766067" w14:textId="35501D2E" w:rsidR="008816D8" w:rsidRPr="00E136D8" w:rsidRDefault="008816D8" w:rsidP="00DE1972">
      <w:pPr>
        <w:spacing w:line="360" w:lineRule="auto"/>
        <w:jc w:val="center"/>
        <w:rPr>
          <w:rFonts w:ascii="Arial" w:hAnsi="Arial" w:cs="Arial"/>
          <w:u w:val="single"/>
        </w:rPr>
      </w:pPr>
      <w:r w:rsidRPr="00E136D8">
        <w:rPr>
          <w:rFonts w:ascii="Arial" w:hAnsi="Arial" w:cs="Arial"/>
          <w:b/>
          <w:bCs/>
          <w:u w:val="single"/>
        </w:rPr>
        <w:t>Source:</w:t>
      </w:r>
      <w:r w:rsidRPr="00E136D8">
        <w:rPr>
          <w:rFonts w:ascii="Arial" w:hAnsi="Arial" w:cs="Arial"/>
          <w:u w:val="single"/>
        </w:rPr>
        <w:t xml:space="preserve"> Author's illustration based on Toyota Motor Corporation (2025a; 2025b).</w:t>
      </w:r>
    </w:p>
    <w:p w14:paraId="4A584321" w14:textId="77777777" w:rsidR="00AE2A94" w:rsidRPr="00E136D8" w:rsidRDefault="00AE2A94" w:rsidP="00DE1972">
      <w:pPr>
        <w:spacing w:line="360" w:lineRule="auto"/>
        <w:jc w:val="both"/>
        <w:rPr>
          <w:rFonts w:ascii="Arial" w:hAnsi="Arial" w:cs="Arial"/>
          <w:sz w:val="24"/>
          <w:szCs w:val="24"/>
        </w:rPr>
      </w:pPr>
      <w:r w:rsidRPr="00E136D8">
        <w:rPr>
          <w:rFonts w:ascii="Arial" w:hAnsi="Arial" w:cs="Arial"/>
          <w:sz w:val="24"/>
          <w:szCs w:val="24"/>
          <w:u w:val="single"/>
        </w:rPr>
        <w:br/>
      </w:r>
      <w:r w:rsidRPr="00E136D8">
        <w:rPr>
          <w:rFonts w:ascii="Arial" w:hAnsi="Arial" w:cs="Arial"/>
          <w:sz w:val="24"/>
          <w:szCs w:val="24"/>
        </w:rPr>
        <w:t xml:space="preserve">The United States is Toyota's biggest export market and the primary source of the company's global sales, manufacturing and profitability, with Japan being its home market, where innovation takes place. Toyota needs to make some adjustments to its </w:t>
      </w:r>
      <w:r w:rsidRPr="00E136D8">
        <w:rPr>
          <w:rFonts w:ascii="Arial" w:hAnsi="Arial" w:cs="Arial"/>
          <w:sz w:val="24"/>
          <w:szCs w:val="24"/>
        </w:rPr>
        <w:lastRenderedPageBreak/>
        <w:t>international marketing strategies, but they have to make sure that the image of the brand remains the same across all countries due to the significant differences in economic conditions, consumer preferences, regulatory frameworks and cultural values between these two countries (Kotler et al., 2024; Hollensen, 2022).</w:t>
      </w:r>
    </w:p>
    <w:p w14:paraId="741EDB9A" w14:textId="527AC159" w:rsidR="008816D8" w:rsidRPr="00E136D8" w:rsidRDefault="008816D8" w:rsidP="00DE1972">
      <w:pPr>
        <w:pStyle w:val="Heading2"/>
        <w:jc w:val="both"/>
      </w:pPr>
      <w:bookmarkStart w:id="3" w:name="_Toc235559638"/>
      <w:r w:rsidRPr="00E136D8">
        <w:t>1.2 Purpose of the Report</w:t>
      </w:r>
      <w:bookmarkEnd w:id="3"/>
    </w:p>
    <w:p w14:paraId="38A24526" w14:textId="77777777" w:rsidR="00AE2A94" w:rsidRPr="00E136D8" w:rsidRDefault="00AE2A94" w:rsidP="00DE1972">
      <w:pPr>
        <w:spacing w:line="360" w:lineRule="auto"/>
        <w:jc w:val="both"/>
        <w:rPr>
          <w:rFonts w:ascii="Arial" w:hAnsi="Arial" w:cs="Arial"/>
          <w:sz w:val="24"/>
          <w:szCs w:val="24"/>
        </w:rPr>
      </w:pPr>
      <w:r w:rsidRPr="00E136D8">
        <w:rPr>
          <w:rFonts w:ascii="Arial" w:hAnsi="Arial" w:cs="Arial"/>
          <w:sz w:val="24"/>
          <w:szCs w:val="24"/>
        </w:rPr>
        <w:t>This report is to critically compare the international marketing strategies adopted by Toyota in the countries of Japan and United States by analysing the macro-environmental and cultural differences of the countries, critically discuss about the STP and 7Ps strategies adopted by Toyota, critical discussion about the market entry strategy adopted by Toyota in United States, critical discussion about the ethical issues faced by Toyota and suggests recommendations for strengthening the future international marketing performance of Toyota.</w:t>
      </w:r>
    </w:p>
    <w:p w14:paraId="2A28C4E6" w14:textId="09B67B3B" w:rsidR="008816D8" w:rsidRPr="00E136D8" w:rsidRDefault="008816D8" w:rsidP="00DE1972">
      <w:pPr>
        <w:pStyle w:val="Heading2"/>
        <w:jc w:val="both"/>
      </w:pPr>
      <w:bookmarkStart w:id="4" w:name="_Toc235559639"/>
      <w:r w:rsidRPr="00E136D8">
        <w:t>1.3 Report Objectives</w:t>
      </w:r>
      <w:bookmarkEnd w:id="4"/>
    </w:p>
    <w:p w14:paraId="79167C53" w14:textId="77777777" w:rsidR="008816D8" w:rsidRPr="00E136D8" w:rsidRDefault="008816D8" w:rsidP="00DE1972">
      <w:pPr>
        <w:spacing w:line="360" w:lineRule="auto"/>
        <w:jc w:val="both"/>
        <w:rPr>
          <w:rFonts w:ascii="Arial" w:hAnsi="Arial" w:cs="Arial"/>
          <w:sz w:val="24"/>
          <w:szCs w:val="24"/>
        </w:rPr>
      </w:pPr>
      <w:r w:rsidRPr="00E136D8">
        <w:rPr>
          <w:rFonts w:ascii="Arial" w:hAnsi="Arial" w:cs="Arial"/>
          <w:sz w:val="24"/>
          <w:szCs w:val="24"/>
        </w:rPr>
        <w:t>The objectives of this report are to:</w:t>
      </w:r>
    </w:p>
    <w:p w14:paraId="6EAC7502" w14:textId="77777777" w:rsidR="008816D8" w:rsidRPr="00E136D8" w:rsidRDefault="008816D8" w:rsidP="00DE1972">
      <w:pPr>
        <w:numPr>
          <w:ilvl w:val="0"/>
          <w:numId w:val="15"/>
        </w:numPr>
        <w:spacing w:line="360" w:lineRule="auto"/>
        <w:jc w:val="both"/>
        <w:rPr>
          <w:rFonts w:ascii="Arial" w:hAnsi="Arial" w:cs="Arial"/>
          <w:sz w:val="24"/>
          <w:szCs w:val="24"/>
        </w:rPr>
      </w:pPr>
      <w:r w:rsidRPr="00E136D8">
        <w:rPr>
          <w:rFonts w:ascii="Arial" w:hAnsi="Arial" w:cs="Arial"/>
          <w:sz w:val="24"/>
          <w:szCs w:val="24"/>
        </w:rPr>
        <w:t xml:space="preserve">Critically compare the macro-environmental factors of Japan and the United States using the PESTEL framework. </w:t>
      </w:r>
    </w:p>
    <w:p w14:paraId="6911CD7A" w14:textId="77777777" w:rsidR="008816D8" w:rsidRPr="00E136D8" w:rsidRDefault="008816D8" w:rsidP="00DE1972">
      <w:pPr>
        <w:numPr>
          <w:ilvl w:val="0"/>
          <w:numId w:val="15"/>
        </w:numPr>
        <w:spacing w:line="360" w:lineRule="auto"/>
        <w:jc w:val="both"/>
        <w:rPr>
          <w:rFonts w:ascii="Arial" w:hAnsi="Arial" w:cs="Arial"/>
          <w:sz w:val="24"/>
          <w:szCs w:val="24"/>
        </w:rPr>
      </w:pPr>
      <w:r w:rsidRPr="00E136D8">
        <w:rPr>
          <w:rFonts w:ascii="Arial" w:hAnsi="Arial" w:cs="Arial"/>
          <w:sz w:val="24"/>
          <w:szCs w:val="24"/>
        </w:rPr>
        <w:t xml:space="preserve">Analyse cultural differences using Hofstede's cultural dimensions. </w:t>
      </w:r>
    </w:p>
    <w:p w14:paraId="6B04B5FB" w14:textId="77777777" w:rsidR="008816D8" w:rsidRPr="00E136D8" w:rsidRDefault="008816D8" w:rsidP="00DE1972">
      <w:pPr>
        <w:numPr>
          <w:ilvl w:val="0"/>
          <w:numId w:val="15"/>
        </w:numPr>
        <w:spacing w:line="360" w:lineRule="auto"/>
        <w:jc w:val="both"/>
        <w:rPr>
          <w:rFonts w:ascii="Arial" w:hAnsi="Arial" w:cs="Arial"/>
          <w:sz w:val="24"/>
          <w:szCs w:val="24"/>
        </w:rPr>
      </w:pPr>
      <w:r w:rsidRPr="00E136D8">
        <w:rPr>
          <w:rFonts w:ascii="Arial" w:hAnsi="Arial" w:cs="Arial"/>
          <w:sz w:val="24"/>
          <w:szCs w:val="24"/>
        </w:rPr>
        <w:t xml:space="preserve">Compare Toyota's segmentation, targeting and positioning (STP) strategies in both markets. </w:t>
      </w:r>
    </w:p>
    <w:p w14:paraId="2EC65745" w14:textId="77777777" w:rsidR="008816D8" w:rsidRPr="00E136D8" w:rsidRDefault="008816D8" w:rsidP="00DE1972">
      <w:pPr>
        <w:numPr>
          <w:ilvl w:val="0"/>
          <w:numId w:val="15"/>
        </w:numPr>
        <w:spacing w:line="360" w:lineRule="auto"/>
        <w:jc w:val="both"/>
        <w:rPr>
          <w:rFonts w:ascii="Arial" w:hAnsi="Arial" w:cs="Arial"/>
          <w:sz w:val="24"/>
          <w:szCs w:val="24"/>
        </w:rPr>
      </w:pPr>
      <w:r w:rsidRPr="00E136D8">
        <w:rPr>
          <w:rFonts w:ascii="Arial" w:hAnsi="Arial" w:cs="Arial"/>
          <w:sz w:val="24"/>
          <w:szCs w:val="24"/>
        </w:rPr>
        <w:t xml:space="preserve">Evaluate Toyota's international marketing mix (7Ps). </w:t>
      </w:r>
    </w:p>
    <w:p w14:paraId="0A0EB9ED" w14:textId="77777777" w:rsidR="008816D8" w:rsidRPr="00E136D8" w:rsidRDefault="008816D8" w:rsidP="00DE1972">
      <w:pPr>
        <w:numPr>
          <w:ilvl w:val="0"/>
          <w:numId w:val="15"/>
        </w:numPr>
        <w:spacing w:line="360" w:lineRule="auto"/>
        <w:jc w:val="both"/>
        <w:rPr>
          <w:rFonts w:ascii="Arial" w:hAnsi="Arial" w:cs="Arial"/>
          <w:sz w:val="24"/>
          <w:szCs w:val="24"/>
        </w:rPr>
      </w:pPr>
      <w:r w:rsidRPr="00E136D8">
        <w:rPr>
          <w:rFonts w:ascii="Arial" w:hAnsi="Arial" w:cs="Arial"/>
          <w:sz w:val="24"/>
          <w:szCs w:val="24"/>
        </w:rPr>
        <w:t xml:space="preserve">Analyse Toyota's market entry strategy in the United States. </w:t>
      </w:r>
    </w:p>
    <w:p w14:paraId="71FF73FD" w14:textId="77777777" w:rsidR="008816D8" w:rsidRPr="00E136D8" w:rsidRDefault="008816D8" w:rsidP="00DE1972">
      <w:pPr>
        <w:numPr>
          <w:ilvl w:val="0"/>
          <w:numId w:val="15"/>
        </w:numPr>
        <w:spacing w:line="360" w:lineRule="auto"/>
        <w:jc w:val="both"/>
        <w:rPr>
          <w:rFonts w:ascii="Arial" w:hAnsi="Arial" w:cs="Arial"/>
          <w:sz w:val="24"/>
          <w:szCs w:val="24"/>
        </w:rPr>
      </w:pPr>
      <w:r w:rsidRPr="00E136D8">
        <w:rPr>
          <w:rFonts w:ascii="Arial" w:hAnsi="Arial" w:cs="Arial"/>
          <w:sz w:val="24"/>
          <w:szCs w:val="24"/>
        </w:rPr>
        <w:t xml:space="preserve">Critically evaluate ethical issues associated with Toyota's marketing activities. </w:t>
      </w:r>
    </w:p>
    <w:p w14:paraId="2CC48259" w14:textId="030ED223" w:rsidR="008816D8" w:rsidRPr="00E136D8" w:rsidRDefault="008816D8" w:rsidP="00DE1972">
      <w:pPr>
        <w:numPr>
          <w:ilvl w:val="0"/>
          <w:numId w:val="15"/>
        </w:numPr>
        <w:spacing w:line="360" w:lineRule="auto"/>
        <w:jc w:val="both"/>
        <w:rPr>
          <w:rFonts w:ascii="Arial" w:hAnsi="Arial" w:cs="Arial"/>
          <w:sz w:val="24"/>
          <w:szCs w:val="24"/>
        </w:rPr>
      </w:pPr>
      <w:r w:rsidRPr="00E136D8">
        <w:rPr>
          <w:rFonts w:ascii="Arial" w:hAnsi="Arial" w:cs="Arial"/>
          <w:sz w:val="24"/>
          <w:szCs w:val="24"/>
        </w:rPr>
        <w:t xml:space="preserve">Provide evidence-based recommendations to enhance Toyota's international marketing strategy. </w:t>
      </w:r>
    </w:p>
    <w:p w14:paraId="28497131" w14:textId="77777777" w:rsidR="00161067" w:rsidRPr="00E136D8" w:rsidRDefault="00161067" w:rsidP="00DE1972">
      <w:pPr>
        <w:spacing w:line="360" w:lineRule="auto"/>
        <w:jc w:val="both"/>
        <w:rPr>
          <w:rFonts w:ascii="Arial" w:hAnsi="Arial" w:cs="Arial"/>
          <w:b/>
          <w:bCs/>
          <w:sz w:val="24"/>
          <w:szCs w:val="24"/>
        </w:rPr>
      </w:pPr>
      <w:r w:rsidRPr="00E136D8">
        <w:rPr>
          <w:rFonts w:ascii="Arial" w:hAnsi="Arial" w:cs="Arial"/>
          <w:b/>
          <w:bCs/>
          <w:sz w:val="24"/>
          <w:szCs w:val="24"/>
        </w:rPr>
        <w:br w:type="page"/>
      </w:r>
    </w:p>
    <w:p w14:paraId="37B3CD51" w14:textId="159B4A9F" w:rsidR="008816D8" w:rsidRPr="00E136D8" w:rsidRDefault="00E136D8" w:rsidP="00DE1972">
      <w:pPr>
        <w:pStyle w:val="Heading1"/>
        <w:jc w:val="both"/>
      </w:pPr>
      <w:bookmarkStart w:id="5" w:name="_Toc235559640"/>
      <w:r>
        <w:lastRenderedPageBreak/>
        <w:t xml:space="preserve">2. </w:t>
      </w:r>
      <w:r w:rsidR="008816D8" w:rsidRPr="00E136D8">
        <w:t>Section 1: International Marketing Report</w:t>
      </w:r>
      <w:bookmarkEnd w:id="5"/>
      <w:r w:rsidR="008816D8" w:rsidRPr="00E136D8">
        <w:t xml:space="preserve"> </w:t>
      </w:r>
    </w:p>
    <w:p w14:paraId="4C40CE08" w14:textId="5D4E9FAE" w:rsidR="008816D8" w:rsidRPr="00E136D8" w:rsidRDefault="00E136D8" w:rsidP="00DE1972">
      <w:pPr>
        <w:pStyle w:val="Heading2"/>
        <w:jc w:val="both"/>
      </w:pPr>
      <w:bookmarkStart w:id="6" w:name="_Toc235559641"/>
      <w:r>
        <w:t xml:space="preserve">2.1 </w:t>
      </w:r>
      <w:r w:rsidR="008816D8" w:rsidRPr="00E136D8">
        <w:t>Comparative Analysis of the Japanese and United States Markets</w:t>
      </w:r>
      <w:bookmarkEnd w:id="6"/>
    </w:p>
    <w:p w14:paraId="7D04F5A2" w14:textId="4875EF3D" w:rsidR="00AE2A94" w:rsidRPr="00E136D8" w:rsidRDefault="00AE2A94" w:rsidP="00DE1972">
      <w:pPr>
        <w:spacing w:line="360" w:lineRule="auto"/>
        <w:jc w:val="both"/>
        <w:rPr>
          <w:rFonts w:ascii="Arial" w:hAnsi="Arial" w:cs="Arial"/>
          <w:sz w:val="24"/>
          <w:szCs w:val="24"/>
        </w:rPr>
      </w:pPr>
      <w:r w:rsidRPr="00E136D8">
        <w:rPr>
          <w:rFonts w:ascii="Arial" w:hAnsi="Arial" w:cs="Arial"/>
          <w:sz w:val="24"/>
          <w:szCs w:val="24"/>
        </w:rPr>
        <w:t>Toyota's two most important markets are Japan and the United States, and each offers different types of business environment that necessitates different marketing strategies when doing business internationally. While the United States is Japan's biggest overseas market, accounting for a high share of Toyota's global sales and profits, Japan serves as its home market, where innovation, research and development, and manufacturing excellence take place (Toyota Motor Corporation, 2025a). These markets have different regulations, preferences, technology and culture, and as a result, offer opportunities and challenges for Toyota. Toyota has opted for a "glocalisation" strategy instead of a standardised global strategy, which means to have a global brand, but adapt the product and marketing activities to the local market conditions. This allows the company to better meet customer demands and regulatory and competitive pressures (Hollensen, 2022). Hence, it is important to make a critical comparison between the macro environment and cultural features of Japan and the United States to gain insights into Toyota's sustainable competitive advantage in international markets. The PESTEL and the Hofstede's cultural dimensions are used in the following sections to assess the factors that affect Toyota's marketing strategies in both countries.</w:t>
      </w:r>
    </w:p>
    <w:p w14:paraId="42341F94" w14:textId="0931F462" w:rsidR="008816D8" w:rsidRPr="00E136D8" w:rsidRDefault="00E136D8" w:rsidP="00DE1972">
      <w:pPr>
        <w:pStyle w:val="Heading2"/>
        <w:jc w:val="both"/>
      </w:pPr>
      <w:bookmarkStart w:id="7" w:name="_Toc235559642"/>
      <w:r>
        <w:t>2.2</w:t>
      </w:r>
      <w:r w:rsidR="008816D8" w:rsidRPr="00E136D8">
        <w:t xml:space="preserve"> Overview of Toyota in Japan and the United States</w:t>
      </w:r>
      <w:bookmarkEnd w:id="7"/>
    </w:p>
    <w:p w14:paraId="7B93E186" w14:textId="6F67C8FB" w:rsidR="00DE1972" w:rsidRDefault="00AE2A94" w:rsidP="00DE1972">
      <w:pPr>
        <w:spacing w:line="360" w:lineRule="auto"/>
        <w:jc w:val="both"/>
        <w:rPr>
          <w:rFonts w:ascii="Arial" w:hAnsi="Arial" w:cs="Arial"/>
          <w:sz w:val="24"/>
          <w:szCs w:val="24"/>
        </w:rPr>
      </w:pPr>
      <w:r w:rsidRPr="00E136D8">
        <w:rPr>
          <w:rFonts w:ascii="Arial" w:hAnsi="Arial" w:cs="Arial"/>
          <w:sz w:val="24"/>
          <w:szCs w:val="24"/>
        </w:rPr>
        <w:t xml:space="preserve">Japan and the United States are Toyota's two most important markets, and each plays a unique role in Toyota's international success. Japan is the home of Toyota's headquarters and innovation, where the company invests in research and development and cutting-edge manufacturing and the commercialisation of hybrid and hydrogen technologies (Dzienis and McCaleb, 2025). In contrast, the U.S. is Toyota's biggest overseas market, providing many reasons to invest in manufacturing and dealerships there, given the high demand for SUVs, pickup trucks and electrified vehicles. During 2025, Toyota reported its sales in the United States at around 2.3 million and worldwide at over 10.8 million vehicles making it the world's top carmaker (Toyota Motor Corporation, 2025a). Toyota would not be able to use the same marketing strategies in both countries as they are </w:t>
      </w:r>
      <w:r w:rsidRPr="00E136D8">
        <w:rPr>
          <w:rFonts w:ascii="Arial" w:hAnsi="Arial" w:cs="Arial"/>
          <w:sz w:val="24"/>
          <w:szCs w:val="24"/>
        </w:rPr>
        <w:lastRenderedPageBreak/>
        <w:t>under the same brand. The firm has to consider global standardisation and local adaptation because of variations in consumer preference, competitive pressures, government policies and cultural values. This flexibility allows Toyota to maintain its competitive edge and align with the customer expectations in each market segment (Hollensen, 2022; Kotler et al., 2024)</w:t>
      </w:r>
      <w:r w:rsidR="00DE1972" w:rsidRPr="00E136D8">
        <w:rPr>
          <w:rFonts w:ascii="Arial" w:hAnsi="Arial" w:cs="Arial"/>
          <w:sz w:val="24"/>
          <w:szCs w:val="24"/>
        </w:rPr>
        <w:t>.</w:t>
      </w:r>
    </w:p>
    <w:p w14:paraId="51F61629" w14:textId="77777777" w:rsidR="00E136D8" w:rsidRPr="00E136D8" w:rsidRDefault="00E136D8" w:rsidP="00DE1972">
      <w:pPr>
        <w:spacing w:line="360" w:lineRule="auto"/>
        <w:jc w:val="both"/>
        <w:rPr>
          <w:rFonts w:ascii="Arial" w:hAnsi="Arial" w:cs="Arial"/>
          <w:sz w:val="24"/>
          <w:szCs w:val="24"/>
        </w:rPr>
      </w:pPr>
    </w:p>
    <w:p w14:paraId="7632B803" w14:textId="733FC867" w:rsidR="008816D8" w:rsidRPr="00E136D8" w:rsidRDefault="00315A95" w:rsidP="00DE1972">
      <w:pPr>
        <w:spacing w:line="360" w:lineRule="auto"/>
        <w:jc w:val="both"/>
        <w:rPr>
          <w:rFonts w:ascii="Arial" w:hAnsi="Arial" w:cs="Arial"/>
          <w:sz w:val="24"/>
          <w:szCs w:val="24"/>
        </w:rPr>
      </w:pPr>
      <w:r w:rsidRPr="00E136D8">
        <w:rPr>
          <w:rFonts w:ascii="Arial" w:hAnsi="Arial" w:cs="Arial"/>
          <w:noProof/>
          <w:sz w:val="24"/>
          <w:szCs w:val="24"/>
        </w:rPr>
        <w:drawing>
          <wp:inline distT="0" distB="0" distL="0" distR="0" wp14:anchorId="7F95781B" wp14:editId="1C867F75">
            <wp:extent cx="6232654" cy="4572000"/>
            <wp:effectExtent l="0" t="0" r="0" b="0"/>
            <wp:docPr id="9836553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13715" b="13419"/>
                    <a:stretch>
                      <a:fillRect/>
                    </a:stretch>
                  </pic:blipFill>
                  <pic:spPr bwMode="auto">
                    <a:xfrm>
                      <a:off x="0" y="0"/>
                      <a:ext cx="6277265" cy="4604725"/>
                    </a:xfrm>
                    <a:prstGeom prst="rect">
                      <a:avLst/>
                    </a:prstGeom>
                    <a:noFill/>
                    <a:ln>
                      <a:noFill/>
                    </a:ln>
                    <a:extLst>
                      <a:ext uri="{53640926-AAD7-44D8-BBD7-CCE9431645EC}">
                        <a14:shadowObscured xmlns:a14="http://schemas.microsoft.com/office/drawing/2010/main"/>
                      </a:ext>
                    </a:extLst>
                  </pic:spPr>
                </pic:pic>
              </a:graphicData>
            </a:graphic>
          </wp:inline>
        </w:drawing>
      </w:r>
    </w:p>
    <w:p w14:paraId="257D07DB" w14:textId="77777777" w:rsidR="008816D8" w:rsidRPr="00E136D8" w:rsidRDefault="008816D8" w:rsidP="00DE1972">
      <w:pPr>
        <w:spacing w:line="360" w:lineRule="auto"/>
        <w:jc w:val="center"/>
        <w:rPr>
          <w:rFonts w:ascii="Arial" w:hAnsi="Arial" w:cs="Arial"/>
          <w:u w:val="single"/>
        </w:rPr>
      </w:pPr>
      <w:r w:rsidRPr="00E136D8">
        <w:rPr>
          <w:rFonts w:ascii="Arial" w:hAnsi="Arial" w:cs="Arial"/>
          <w:b/>
          <w:bCs/>
          <w:u w:val="single"/>
        </w:rPr>
        <w:t>Figure 2.</w:t>
      </w:r>
      <w:r w:rsidRPr="00E136D8">
        <w:rPr>
          <w:rFonts w:ascii="Arial" w:hAnsi="Arial" w:cs="Arial"/>
          <w:u w:val="single"/>
        </w:rPr>
        <w:t xml:space="preserve"> Toyota's strategic importance of Japan and the United States.</w:t>
      </w:r>
    </w:p>
    <w:p w14:paraId="48A32311" w14:textId="77777777" w:rsidR="008816D8" w:rsidRPr="00E136D8" w:rsidRDefault="008816D8" w:rsidP="00DE1972">
      <w:pPr>
        <w:spacing w:line="360" w:lineRule="auto"/>
        <w:jc w:val="center"/>
        <w:rPr>
          <w:rFonts w:ascii="Arial" w:hAnsi="Arial" w:cs="Arial"/>
          <w:u w:val="single"/>
        </w:rPr>
      </w:pPr>
      <w:r w:rsidRPr="00E136D8">
        <w:rPr>
          <w:rFonts w:ascii="Arial" w:hAnsi="Arial" w:cs="Arial"/>
          <w:b/>
          <w:bCs/>
          <w:u w:val="single"/>
        </w:rPr>
        <w:t>Source:</w:t>
      </w:r>
      <w:r w:rsidRPr="00E136D8">
        <w:rPr>
          <w:rFonts w:ascii="Arial" w:hAnsi="Arial" w:cs="Arial"/>
          <w:u w:val="single"/>
        </w:rPr>
        <w:t xml:space="preserve"> Adapted by the author from Toyota Motor Corporation (2025a).</w:t>
      </w:r>
    </w:p>
    <w:p w14:paraId="35851A18" w14:textId="29373EA6" w:rsidR="008816D8" w:rsidRPr="00E136D8" w:rsidRDefault="008816D8" w:rsidP="00DE1972">
      <w:pPr>
        <w:spacing w:line="360" w:lineRule="auto"/>
        <w:jc w:val="both"/>
        <w:rPr>
          <w:rFonts w:ascii="Arial" w:hAnsi="Arial" w:cs="Arial"/>
          <w:sz w:val="24"/>
          <w:szCs w:val="24"/>
        </w:rPr>
      </w:pPr>
    </w:p>
    <w:p w14:paraId="17AD2436" w14:textId="77777777" w:rsidR="00161067" w:rsidRPr="00E136D8" w:rsidRDefault="00161067" w:rsidP="00DE1972">
      <w:pPr>
        <w:spacing w:line="360" w:lineRule="auto"/>
        <w:jc w:val="both"/>
        <w:rPr>
          <w:rFonts w:ascii="Arial" w:hAnsi="Arial" w:cs="Arial"/>
          <w:b/>
          <w:bCs/>
          <w:sz w:val="24"/>
          <w:szCs w:val="24"/>
        </w:rPr>
      </w:pPr>
      <w:r w:rsidRPr="00E136D8">
        <w:rPr>
          <w:rFonts w:ascii="Arial" w:hAnsi="Arial" w:cs="Arial"/>
          <w:b/>
          <w:bCs/>
          <w:sz w:val="24"/>
          <w:szCs w:val="24"/>
        </w:rPr>
        <w:br w:type="page"/>
      </w:r>
    </w:p>
    <w:p w14:paraId="4E46D92B" w14:textId="74E31881" w:rsidR="008816D8" w:rsidRPr="00E136D8" w:rsidRDefault="00E136D8" w:rsidP="00DE1972">
      <w:pPr>
        <w:pStyle w:val="Heading2"/>
        <w:jc w:val="both"/>
      </w:pPr>
      <w:bookmarkStart w:id="8" w:name="_Toc235559643"/>
      <w:r>
        <w:lastRenderedPageBreak/>
        <w:t xml:space="preserve">2.3 </w:t>
      </w:r>
      <w:r w:rsidR="008816D8" w:rsidRPr="00E136D8">
        <w:t>Comparative PESTEL Analysis</w:t>
      </w:r>
      <w:bookmarkEnd w:id="8"/>
    </w:p>
    <w:p w14:paraId="0F062748" w14:textId="77777777" w:rsidR="008816D8" w:rsidRPr="00E136D8" w:rsidRDefault="008816D8" w:rsidP="00E136D8">
      <w:pPr>
        <w:pStyle w:val="Heading2"/>
      </w:pPr>
      <w:bookmarkStart w:id="9" w:name="_Toc235559644"/>
      <w:r w:rsidRPr="00E136D8">
        <w:t>Political</w:t>
      </w:r>
      <w:bookmarkEnd w:id="9"/>
    </w:p>
    <w:p w14:paraId="6D2FBDC1" w14:textId="77777777" w:rsidR="00AE2A94" w:rsidRPr="00E136D8" w:rsidRDefault="00AE2A94" w:rsidP="00DE1972">
      <w:pPr>
        <w:spacing w:line="360" w:lineRule="auto"/>
        <w:jc w:val="both"/>
        <w:rPr>
          <w:rFonts w:ascii="Arial" w:hAnsi="Arial" w:cs="Arial"/>
          <w:sz w:val="24"/>
          <w:szCs w:val="24"/>
        </w:rPr>
      </w:pPr>
      <w:r w:rsidRPr="00E136D8">
        <w:rPr>
          <w:rFonts w:ascii="Arial" w:hAnsi="Arial" w:cs="Arial"/>
          <w:sz w:val="24"/>
          <w:szCs w:val="24"/>
        </w:rPr>
        <w:t xml:space="preserve">Toyota is investing in hybrid and hydrogen fuel cells because of the strong government support for technological innovation and carbon neutrality in Japan. On the other hand, the U.S. market is large and stable, though it is affected by fluctuating trade policies, tariffs and electric vehicle (EV) incentives that impact Toyota's production and pricing decisions (Kouam, 2024). Local production is hence key to mitigating risks associated with geopolitics and trade (OECD, 2025; Toyota Motor Corporation, 2025a). </w:t>
      </w:r>
    </w:p>
    <w:p w14:paraId="60ACCB92" w14:textId="24D3D219" w:rsidR="008816D8" w:rsidRPr="00E136D8" w:rsidRDefault="008816D8" w:rsidP="00E136D8">
      <w:pPr>
        <w:pStyle w:val="Heading2"/>
      </w:pPr>
      <w:bookmarkStart w:id="10" w:name="_Toc235559645"/>
      <w:r w:rsidRPr="00E136D8">
        <w:t>Economic</w:t>
      </w:r>
      <w:bookmarkEnd w:id="10"/>
    </w:p>
    <w:p w14:paraId="65B49380" w14:textId="2DE40398" w:rsidR="00AE2A94" w:rsidRPr="00E136D8" w:rsidRDefault="00AE2A94" w:rsidP="00DE1972">
      <w:pPr>
        <w:spacing w:line="360" w:lineRule="auto"/>
        <w:jc w:val="both"/>
        <w:rPr>
          <w:rFonts w:ascii="Arial" w:hAnsi="Arial" w:cs="Arial"/>
          <w:sz w:val="24"/>
          <w:szCs w:val="24"/>
        </w:rPr>
      </w:pPr>
      <w:r w:rsidRPr="00E136D8">
        <w:rPr>
          <w:rFonts w:ascii="Arial" w:hAnsi="Arial" w:cs="Arial"/>
          <w:sz w:val="24"/>
          <w:szCs w:val="24"/>
        </w:rPr>
        <w:t xml:space="preserve">Both countries are already advanced economies with high purchasing power but there are important differences between consumer demand in the two countries (Rietmann and Lieven, 2019). Japan's mature and aging market is a constraint on car sales growth, while in the U.S. strong demand for larger vehicles and </w:t>
      </w:r>
      <w:r w:rsidR="00DE078D" w:rsidRPr="00E136D8">
        <w:rPr>
          <w:rFonts w:ascii="Arial" w:hAnsi="Arial" w:cs="Arial"/>
          <w:sz w:val="24"/>
          <w:szCs w:val="24"/>
        </w:rPr>
        <w:t>high-quality</w:t>
      </w:r>
      <w:r w:rsidRPr="00E136D8">
        <w:rPr>
          <w:rFonts w:ascii="Arial" w:hAnsi="Arial" w:cs="Arial"/>
          <w:sz w:val="24"/>
          <w:szCs w:val="24"/>
        </w:rPr>
        <w:t xml:space="preserve"> models persists in the face of inflation. This makes the United States a more important source of Toyota's global income and profits (Statista, 2025; World Bank, 2025).</w:t>
      </w:r>
    </w:p>
    <w:p w14:paraId="1050D79E" w14:textId="0BC02769" w:rsidR="008816D8" w:rsidRPr="00E136D8" w:rsidRDefault="008816D8" w:rsidP="00E136D8">
      <w:pPr>
        <w:pStyle w:val="Heading2"/>
      </w:pPr>
      <w:bookmarkStart w:id="11" w:name="_Toc235559646"/>
      <w:r w:rsidRPr="00E136D8">
        <w:t>Social</w:t>
      </w:r>
      <w:bookmarkEnd w:id="11"/>
    </w:p>
    <w:p w14:paraId="381826DD" w14:textId="77777777" w:rsidR="00AE2A94" w:rsidRPr="00E136D8" w:rsidRDefault="00AE2A94" w:rsidP="00DE1972">
      <w:pPr>
        <w:spacing w:line="360" w:lineRule="auto"/>
        <w:jc w:val="both"/>
        <w:rPr>
          <w:rFonts w:ascii="Arial" w:hAnsi="Arial" w:cs="Arial"/>
          <w:sz w:val="24"/>
          <w:szCs w:val="24"/>
        </w:rPr>
      </w:pPr>
      <w:r w:rsidRPr="00E136D8">
        <w:rPr>
          <w:rFonts w:ascii="Arial" w:hAnsi="Arial" w:cs="Arial"/>
          <w:sz w:val="24"/>
          <w:szCs w:val="24"/>
        </w:rPr>
        <w:t>Urbanisation and environmental concerns are influencing the Japanese consumer's preference for fuel efficiency and reliability and compact vehicles. American consumers, on the other hand, tend to favor larger SUVs and pickup trucks and the demand for electric and hybrid vehicles is growing. These variations necessitate the need for Toyota to adjust its product line as well as promotions to the local customer behavior (Kotler et al., 2024).</w:t>
      </w:r>
    </w:p>
    <w:p w14:paraId="437A61D3" w14:textId="49B822B4" w:rsidR="008816D8" w:rsidRPr="00E136D8" w:rsidRDefault="008816D8" w:rsidP="00DE1972">
      <w:pPr>
        <w:pStyle w:val="Heading2"/>
        <w:jc w:val="both"/>
      </w:pPr>
      <w:bookmarkStart w:id="12" w:name="_Toc235559647"/>
      <w:r w:rsidRPr="00E136D8">
        <w:t>Technological</w:t>
      </w:r>
      <w:bookmarkEnd w:id="12"/>
    </w:p>
    <w:p w14:paraId="069F9AA9" w14:textId="17E67589" w:rsidR="00AE2A94" w:rsidRPr="00E136D8" w:rsidRDefault="00AE2A94" w:rsidP="00DE1972">
      <w:pPr>
        <w:spacing w:line="360" w:lineRule="auto"/>
        <w:jc w:val="both"/>
        <w:rPr>
          <w:rFonts w:ascii="Arial" w:hAnsi="Arial" w:cs="Arial"/>
          <w:sz w:val="24"/>
          <w:szCs w:val="24"/>
        </w:rPr>
      </w:pPr>
      <w:r w:rsidRPr="00E136D8">
        <w:rPr>
          <w:rFonts w:ascii="Arial" w:hAnsi="Arial" w:cs="Arial"/>
          <w:sz w:val="24"/>
          <w:szCs w:val="24"/>
        </w:rPr>
        <w:t>The Japanese are still world leaders in automotive innovation, robotics and lean manufacturing, as well as in giving Toyota the edge in product development. In contrast the United States is defined by fast development of digital mobility, artificial intelligence, connected-vehicle and autonomous driving technologies (Rehan, 2024</w:t>
      </w:r>
      <w:proofErr w:type="gramStart"/>
      <w:r w:rsidRPr="00E136D8">
        <w:rPr>
          <w:rFonts w:ascii="Arial" w:hAnsi="Arial" w:cs="Arial"/>
          <w:sz w:val="24"/>
          <w:szCs w:val="24"/>
        </w:rPr>
        <w:t>).In</w:t>
      </w:r>
      <w:proofErr w:type="gramEnd"/>
      <w:r w:rsidRPr="00E136D8">
        <w:rPr>
          <w:rFonts w:ascii="Arial" w:hAnsi="Arial" w:cs="Arial"/>
          <w:sz w:val="24"/>
          <w:szCs w:val="24"/>
        </w:rPr>
        <w:t xml:space="preserve"> order to stay competitive, Toyota puts a significant </w:t>
      </w:r>
      <w:r w:rsidR="00E136D8" w:rsidRPr="00E136D8">
        <w:rPr>
          <w:rFonts w:ascii="Arial" w:hAnsi="Arial" w:cs="Arial"/>
          <w:sz w:val="24"/>
          <w:szCs w:val="24"/>
        </w:rPr>
        <w:t>number</w:t>
      </w:r>
      <w:r w:rsidRPr="00E136D8">
        <w:rPr>
          <w:rFonts w:ascii="Arial" w:hAnsi="Arial" w:cs="Arial"/>
          <w:sz w:val="24"/>
          <w:szCs w:val="24"/>
        </w:rPr>
        <w:t xml:space="preserve"> of resources into R&amp;D and strategic alliances in both markets (Liker, 2021; Toyota Motor Corporation, 2025a). </w:t>
      </w:r>
    </w:p>
    <w:p w14:paraId="48546E3D" w14:textId="53628BF2" w:rsidR="008816D8" w:rsidRPr="00E136D8" w:rsidRDefault="008816D8" w:rsidP="00DE1972">
      <w:pPr>
        <w:pStyle w:val="Heading2"/>
        <w:jc w:val="both"/>
      </w:pPr>
      <w:bookmarkStart w:id="13" w:name="_Toc235559648"/>
      <w:r w:rsidRPr="00E136D8">
        <w:lastRenderedPageBreak/>
        <w:t>Environmental</w:t>
      </w:r>
      <w:bookmarkEnd w:id="13"/>
    </w:p>
    <w:p w14:paraId="11408127" w14:textId="77777777" w:rsidR="00AE2A94" w:rsidRPr="00E136D8" w:rsidRDefault="00AE2A94" w:rsidP="00DE1972">
      <w:pPr>
        <w:spacing w:line="360" w:lineRule="auto"/>
        <w:jc w:val="both"/>
        <w:rPr>
          <w:rFonts w:ascii="Arial" w:hAnsi="Arial" w:cs="Arial"/>
          <w:sz w:val="24"/>
          <w:szCs w:val="24"/>
        </w:rPr>
      </w:pPr>
      <w:r w:rsidRPr="00E136D8">
        <w:rPr>
          <w:rFonts w:ascii="Arial" w:hAnsi="Arial" w:cs="Arial"/>
          <w:sz w:val="24"/>
          <w:szCs w:val="24"/>
        </w:rPr>
        <w:t>Both countries' environmental regulation is becoming more stringent and priorities vary. As the United States is active in developing battery electric vehicles with federal and state incentives, Japan strongly advances hydrogen fuel technology alongside carbon neutrality efforts. Toyota thus needs to invest in a mix of low carbon technologies and not on a single electrification approach (IEA, 2025).</w:t>
      </w:r>
    </w:p>
    <w:p w14:paraId="664740CB" w14:textId="01ED8CD5" w:rsidR="008816D8" w:rsidRPr="00E136D8" w:rsidRDefault="008816D8" w:rsidP="00DE1972">
      <w:pPr>
        <w:pStyle w:val="Heading2"/>
        <w:jc w:val="both"/>
      </w:pPr>
      <w:bookmarkStart w:id="14" w:name="_Toc235559649"/>
      <w:r w:rsidRPr="00E136D8">
        <w:t>Legal</w:t>
      </w:r>
      <w:bookmarkEnd w:id="14"/>
    </w:p>
    <w:p w14:paraId="5FB7EA63" w14:textId="77777777" w:rsidR="00AE2A94" w:rsidRPr="00E136D8" w:rsidRDefault="00AE2A94" w:rsidP="00DE1972">
      <w:pPr>
        <w:spacing w:line="360" w:lineRule="auto"/>
        <w:jc w:val="both"/>
        <w:rPr>
          <w:rFonts w:ascii="Arial" w:hAnsi="Arial" w:cs="Arial"/>
          <w:sz w:val="24"/>
          <w:szCs w:val="24"/>
        </w:rPr>
      </w:pPr>
      <w:r w:rsidRPr="00E136D8">
        <w:rPr>
          <w:rFonts w:ascii="Arial" w:hAnsi="Arial" w:cs="Arial"/>
          <w:sz w:val="24"/>
          <w:szCs w:val="24"/>
        </w:rPr>
        <w:t>Japan has strict car safety and environmental requirements, as do the U.S. in its comprehensive vehicle laws for its emission, product liability, and consumer protection regulations. Toyota's reputation is on the line, and consumer trust in the company is at stake, as seen in its past vehicle recalls worldwide, which underscore the critical role of legal compliance and quality assurance in modern business operations (NHTSA, 2025). The comparison shows that Japan and the U.S. are mature markets, but that they have different political priorities, consumer preferences and regulatory environments. Japanese innovation and manufacturing prowess complement Toyota's competitive edge, while the United States brings larger market opportunities and consumer demand (</w:t>
      </w:r>
      <w:proofErr w:type="spellStart"/>
      <w:r w:rsidRPr="00E136D8">
        <w:rPr>
          <w:rFonts w:ascii="Arial" w:hAnsi="Arial" w:cs="Arial"/>
          <w:sz w:val="24"/>
          <w:szCs w:val="24"/>
        </w:rPr>
        <w:t>Gibrilla</w:t>
      </w:r>
      <w:proofErr w:type="spellEnd"/>
      <w:r w:rsidRPr="00E136D8">
        <w:rPr>
          <w:rFonts w:ascii="Arial" w:hAnsi="Arial" w:cs="Arial"/>
          <w:sz w:val="24"/>
          <w:szCs w:val="24"/>
        </w:rPr>
        <w:t xml:space="preserve">, 2023). This means that Toyota's success is not to be achieved through one-size-fits-all marketing, but rather through glocalisation, which involves marketing in an international way while maintaining market adaptation, with the firm able to react to differing environmental conditions while still maintaining its international competitiveness (Hollensen, 2022). </w:t>
      </w:r>
    </w:p>
    <w:p w14:paraId="369C5821" w14:textId="2AC7731C" w:rsidR="00315A95" w:rsidRPr="00E136D8" w:rsidRDefault="00E136D8" w:rsidP="00DE1972">
      <w:pPr>
        <w:pStyle w:val="Heading2"/>
        <w:jc w:val="both"/>
      </w:pPr>
      <w:bookmarkStart w:id="15" w:name="_Toc235559650"/>
      <w:r>
        <w:t xml:space="preserve">2.4 </w:t>
      </w:r>
      <w:r w:rsidR="00315A95" w:rsidRPr="00E136D8">
        <w:t>Comparative Hofstede Cultural Analysis</w:t>
      </w:r>
      <w:bookmarkEnd w:id="15"/>
    </w:p>
    <w:p w14:paraId="18712B9C" w14:textId="77777777" w:rsidR="00AE2A94" w:rsidRPr="00E136D8" w:rsidRDefault="00AE2A94" w:rsidP="00DE1972">
      <w:pPr>
        <w:spacing w:line="360" w:lineRule="auto"/>
        <w:jc w:val="both"/>
        <w:rPr>
          <w:rFonts w:ascii="Arial" w:hAnsi="Arial" w:cs="Arial"/>
          <w:sz w:val="24"/>
          <w:szCs w:val="24"/>
        </w:rPr>
      </w:pPr>
      <w:r w:rsidRPr="00E136D8">
        <w:rPr>
          <w:rFonts w:ascii="Arial" w:hAnsi="Arial" w:cs="Arial"/>
          <w:sz w:val="24"/>
          <w:szCs w:val="24"/>
        </w:rPr>
        <w:t xml:space="preserve">Hofstede's Cultural Dimensions are a valuable tool for understanding how cultural differences impact consumer behaviour and international marketing strategies. While both nations are highly developed, Japan has unique cultural traits that necessitate regionalization of Toyota's marketing tactics and message delivery, as well as the treatment of customers, as opposed to a one-size-fits-all global strategy (Hofstede Insights, 2025; Hollensen, 2022). Power Distance. Both countries score low on power distance, but Japan is more hierarchical and has more formal decision making in organisations than the USA. Therefore, Toyota's marketing in Japan emphasizes on </w:t>
      </w:r>
      <w:r w:rsidRPr="00E136D8">
        <w:rPr>
          <w:rFonts w:ascii="Arial" w:hAnsi="Arial" w:cs="Arial"/>
          <w:sz w:val="24"/>
          <w:szCs w:val="24"/>
        </w:rPr>
        <w:lastRenderedPageBreak/>
        <w:t>corporate reputation and long-term trust in their products, while in the United States, it takes a customer-focused approach with an emphasis on accessibility, innovation and individual choice (Hofstede Insights, 2025).</w:t>
      </w:r>
    </w:p>
    <w:p w14:paraId="5951EE71" w14:textId="6C2D4B5D" w:rsidR="00315A95" w:rsidRPr="00E136D8" w:rsidRDefault="00315A95" w:rsidP="00DE1972">
      <w:pPr>
        <w:spacing w:line="360" w:lineRule="auto"/>
        <w:jc w:val="both"/>
        <w:rPr>
          <w:rFonts w:ascii="Arial" w:hAnsi="Arial" w:cs="Arial"/>
        </w:rPr>
      </w:pPr>
      <w:r w:rsidRPr="00E136D8">
        <w:rPr>
          <w:rFonts w:ascii="Arial" w:hAnsi="Arial" w:cs="Arial"/>
        </w:rPr>
        <w:t xml:space="preserve">Table </w:t>
      </w:r>
      <w:r w:rsidR="00ED2F1B" w:rsidRPr="00E136D8">
        <w:rPr>
          <w:rFonts w:ascii="Arial" w:hAnsi="Arial" w:cs="Arial"/>
        </w:rPr>
        <w:t>1</w:t>
      </w:r>
      <w:r w:rsidRPr="00E136D8">
        <w:rPr>
          <w:rFonts w:ascii="Arial" w:hAnsi="Arial" w:cs="Arial"/>
        </w:rPr>
        <w:t>. Comparison of Hofstede's Cultural Dimensions: Japan vs United States</w:t>
      </w:r>
    </w:p>
    <w:tbl>
      <w:tblPr>
        <w:tblStyle w:val="TableGrid"/>
        <w:tblW w:w="0" w:type="auto"/>
        <w:tblLook w:val="04A0" w:firstRow="1" w:lastRow="0" w:firstColumn="1" w:lastColumn="0" w:noHBand="0" w:noVBand="1"/>
      </w:tblPr>
      <w:tblGrid>
        <w:gridCol w:w="1725"/>
        <w:gridCol w:w="910"/>
        <w:gridCol w:w="1159"/>
        <w:gridCol w:w="5556"/>
      </w:tblGrid>
      <w:tr w:rsidR="00315A95" w:rsidRPr="00E136D8" w14:paraId="61301290" w14:textId="77777777" w:rsidTr="006C427E">
        <w:tc>
          <w:tcPr>
            <w:tcW w:w="0" w:type="auto"/>
            <w:shd w:val="clear" w:color="auto" w:fill="002060"/>
            <w:hideMark/>
          </w:tcPr>
          <w:p w14:paraId="373551EC" w14:textId="77777777" w:rsidR="00315A95" w:rsidRPr="00E136D8" w:rsidRDefault="00315A95" w:rsidP="00DE1972">
            <w:pPr>
              <w:spacing w:after="160" w:line="360" w:lineRule="auto"/>
              <w:jc w:val="both"/>
              <w:rPr>
                <w:rFonts w:ascii="Arial" w:hAnsi="Arial" w:cs="Arial"/>
                <w:b/>
                <w:bCs/>
                <w:sz w:val="24"/>
                <w:szCs w:val="24"/>
              </w:rPr>
            </w:pPr>
            <w:r w:rsidRPr="00E136D8">
              <w:rPr>
                <w:rFonts w:ascii="Arial" w:hAnsi="Arial" w:cs="Arial"/>
                <w:b/>
                <w:bCs/>
                <w:sz w:val="24"/>
                <w:szCs w:val="24"/>
              </w:rPr>
              <w:t>Cultural Dimension</w:t>
            </w:r>
          </w:p>
        </w:tc>
        <w:tc>
          <w:tcPr>
            <w:tcW w:w="0" w:type="auto"/>
            <w:shd w:val="clear" w:color="auto" w:fill="002060"/>
            <w:hideMark/>
          </w:tcPr>
          <w:p w14:paraId="1394A1A7" w14:textId="77777777" w:rsidR="00315A95" w:rsidRPr="00E136D8" w:rsidRDefault="00315A95" w:rsidP="00DE1972">
            <w:pPr>
              <w:spacing w:after="160" w:line="360" w:lineRule="auto"/>
              <w:jc w:val="both"/>
              <w:rPr>
                <w:rFonts w:ascii="Arial" w:hAnsi="Arial" w:cs="Arial"/>
                <w:b/>
                <w:bCs/>
                <w:sz w:val="24"/>
                <w:szCs w:val="24"/>
              </w:rPr>
            </w:pPr>
            <w:r w:rsidRPr="00E136D8">
              <w:rPr>
                <w:rFonts w:ascii="Arial" w:hAnsi="Arial" w:cs="Arial"/>
                <w:b/>
                <w:bCs/>
                <w:sz w:val="24"/>
                <w:szCs w:val="24"/>
              </w:rPr>
              <w:t>Japan</w:t>
            </w:r>
          </w:p>
        </w:tc>
        <w:tc>
          <w:tcPr>
            <w:tcW w:w="0" w:type="auto"/>
            <w:shd w:val="clear" w:color="auto" w:fill="002060"/>
            <w:hideMark/>
          </w:tcPr>
          <w:p w14:paraId="480A521E" w14:textId="77777777" w:rsidR="00315A95" w:rsidRPr="00E136D8" w:rsidRDefault="00315A95" w:rsidP="00DE1972">
            <w:pPr>
              <w:spacing w:after="160" w:line="360" w:lineRule="auto"/>
              <w:jc w:val="both"/>
              <w:rPr>
                <w:rFonts w:ascii="Arial" w:hAnsi="Arial" w:cs="Arial"/>
                <w:b/>
                <w:bCs/>
                <w:sz w:val="24"/>
                <w:szCs w:val="24"/>
              </w:rPr>
            </w:pPr>
            <w:r w:rsidRPr="00E136D8">
              <w:rPr>
                <w:rFonts w:ascii="Arial" w:hAnsi="Arial" w:cs="Arial"/>
                <w:b/>
                <w:bCs/>
                <w:sz w:val="24"/>
                <w:szCs w:val="24"/>
              </w:rPr>
              <w:t>United States</w:t>
            </w:r>
          </w:p>
        </w:tc>
        <w:tc>
          <w:tcPr>
            <w:tcW w:w="0" w:type="auto"/>
            <w:shd w:val="clear" w:color="auto" w:fill="002060"/>
            <w:hideMark/>
          </w:tcPr>
          <w:p w14:paraId="4EFD298E" w14:textId="77777777" w:rsidR="00315A95" w:rsidRPr="00E136D8" w:rsidRDefault="00315A95" w:rsidP="00DE1972">
            <w:pPr>
              <w:spacing w:after="160" w:line="360" w:lineRule="auto"/>
              <w:jc w:val="both"/>
              <w:rPr>
                <w:rFonts w:ascii="Arial" w:hAnsi="Arial" w:cs="Arial"/>
                <w:b/>
                <w:bCs/>
                <w:sz w:val="24"/>
                <w:szCs w:val="24"/>
              </w:rPr>
            </w:pPr>
            <w:r w:rsidRPr="00E136D8">
              <w:rPr>
                <w:rFonts w:ascii="Arial" w:hAnsi="Arial" w:cs="Arial"/>
                <w:b/>
                <w:bCs/>
                <w:sz w:val="24"/>
                <w:szCs w:val="24"/>
              </w:rPr>
              <w:t>Implication for Toyota's Marketing Strategy</w:t>
            </w:r>
          </w:p>
        </w:tc>
      </w:tr>
      <w:tr w:rsidR="00315A95" w:rsidRPr="00E136D8" w14:paraId="77564AC1" w14:textId="77777777" w:rsidTr="00315A95">
        <w:tc>
          <w:tcPr>
            <w:tcW w:w="0" w:type="auto"/>
            <w:hideMark/>
          </w:tcPr>
          <w:p w14:paraId="0C450052" w14:textId="77777777" w:rsidR="00315A95" w:rsidRPr="00E136D8" w:rsidRDefault="00315A95" w:rsidP="00DE1972">
            <w:pPr>
              <w:spacing w:after="160" w:line="360" w:lineRule="auto"/>
              <w:jc w:val="both"/>
              <w:rPr>
                <w:rFonts w:ascii="Arial" w:hAnsi="Arial" w:cs="Arial"/>
                <w:sz w:val="20"/>
                <w:szCs w:val="20"/>
              </w:rPr>
            </w:pPr>
            <w:r w:rsidRPr="00E136D8">
              <w:rPr>
                <w:rFonts w:ascii="Arial" w:hAnsi="Arial" w:cs="Arial"/>
                <w:b/>
                <w:bCs/>
                <w:sz w:val="20"/>
                <w:szCs w:val="20"/>
              </w:rPr>
              <w:t>Power Distance</w:t>
            </w:r>
          </w:p>
        </w:tc>
        <w:tc>
          <w:tcPr>
            <w:tcW w:w="0" w:type="auto"/>
            <w:hideMark/>
          </w:tcPr>
          <w:p w14:paraId="4E2A13BE" w14:textId="77777777" w:rsidR="00315A95" w:rsidRPr="00E136D8" w:rsidRDefault="00315A95" w:rsidP="00DE1972">
            <w:pPr>
              <w:spacing w:after="160" w:line="360" w:lineRule="auto"/>
              <w:jc w:val="both"/>
              <w:rPr>
                <w:rFonts w:ascii="Arial" w:hAnsi="Arial" w:cs="Arial"/>
                <w:sz w:val="20"/>
                <w:szCs w:val="20"/>
              </w:rPr>
            </w:pPr>
            <w:r w:rsidRPr="00E136D8">
              <w:rPr>
                <w:rFonts w:ascii="Arial" w:hAnsi="Arial" w:cs="Arial"/>
                <w:sz w:val="20"/>
                <w:szCs w:val="20"/>
              </w:rPr>
              <w:t>54</w:t>
            </w:r>
          </w:p>
        </w:tc>
        <w:tc>
          <w:tcPr>
            <w:tcW w:w="0" w:type="auto"/>
            <w:hideMark/>
          </w:tcPr>
          <w:p w14:paraId="3F444494" w14:textId="77777777" w:rsidR="00315A95" w:rsidRPr="00E136D8" w:rsidRDefault="00315A95" w:rsidP="00DE1972">
            <w:pPr>
              <w:spacing w:after="160" w:line="360" w:lineRule="auto"/>
              <w:jc w:val="both"/>
              <w:rPr>
                <w:rFonts w:ascii="Arial" w:hAnsi="Arial" w:cs="Arial"/>
                <w:sz w:val="20"/>
                <w:szCs w:val="20"/>
              </w:rPr>
            </w:pPr>
            <w:r w:rsidRPr="00E136D8">
              <w:rPr>
                <w:rFonts w:ascii="Arial" w:hAnsi="Arial" w:cs="Arial"/>
                <w:sz w:val="20"/>
                <w:szCs w:val="20"/>
              </w:rPr>
              <w:t>40</w:t>
            </w:r>
          </w:p>
        </w:tc>
        <w:tc>
          <w:tcPr>
            <w:tcW w:w="0" w:type="auto"/>
            <w:hideMark/>
          </w:tcPr>
          <w:p w14:paraId="3907B277" w14:textId="77777777" w:rsidR="00315A95" w:rsidRPr="00E136D8" w:rsidRDefault="00315A95" w:rsidP="00DE1972">
            <w:pPr>
              <w:spacing w:after="160" w:line="360" w:lineRule="auto"/>
              <w:jc w:val="both"/>
              <w:rPr>
                <w:rFonts w:ascii="Arial" w:hAnsi="Arial" w:cs="Arial"/>
                <w:sz w:val="20"/>
                <w:szCs w:val="20"/>
              </w:rPr>
            </w:pPr>
            <w:r w:rsidRPr="00E136D8">
              <w:rPr>
                <w:rFonts w:ascii="Arial" w:hAnsi="Arial" w:cs="Arial"/>
                <w:sz w:val="20"/>
                <w:szCs w:val="20"/>
              </w:rPr>
              <w:t>Japan values hierarchy and organisational trust, while U.S. consumers prefer more customer-centric and accessible brand communication.</w:t>
            </w:r>
          </w:p>
        </w:tc>
      </w:tr>
      <w:tr w:rsidR="00315A95" w:rsidRPr="00E136D8" w14:paraId="5CF207D1" w14:textId="77777777" w:rsidTr="00315A95">
        <w:tc>
          <w:tcPr>
            <w:tcW w:w="0" w:type="auto"/>
            <w:hideMark/>
          </w:tcPr>
          <w:p w14:paraId="447ED1EA" w14:textId="77777777" w:rsidR="00315A95" w:rsidRPr="00E136D8" w:rsidRDefault="00315A95" w:rsidP="00DE1972">
            <w:pPr>
              <w:spacing w:after="160" w:line="360" w:lineRule="auto"/>
              <w:jc w:val="both"/>
              <w:rPr>
                <w:rFonts w:ascii="Arial" w:hAnsi="Arial" w:cs="Arial"/>
                <w:sz w:val="20"/>
                <w:szCs w:val="20"/>
              </w:rPr>
            </w:pPr>
            <w:r w:rsidRPr="00E136D8">
              <w:rPr>
                <w:rFonts w:ascii="Arial" w:hAnsi="Arial" w:cs="Arial"/>
                <w:b/>
                <w:bCs/>
                <w:sz w:val="20"/>
                <w:szCs w:val="20"/>
              </w:rPr>
              <w:t>Individualism</w:t>
            </w:r>
          </w:p>
        </w:tc>
        <w:tc>
          <w:tcPr>
            <w:tcW w:w="0" w:type="auto"/>
            <w:hideMark/>
          </w:tcPr>
          <w:p w14:paraId="5047C4F7" w14:textId="77777777" w:rsidR="00315A95" w:rsidRPr="00E136D8" w:rsidRDefault="00315A95" w:rsidP="00DE1972">
            <w:pPr>
              <w:spacing w:after="160" w:line="360" w:lineRule="auto"/>
              <w:jc w:val="both"/>
              <w:rPr>
                <w:rFonts w:ascii="Arial" w:hAnsi="Arial" w:cs="Arial"/>
                <w:sz w:val="20"/>
                <w:szCs w:val="20"/>
              </w:rPr>
            </w:pPr>
            <w:r w:rsidRPr="00E136D8">
              <w:rPr>
                <w:rFonts w:ascii="Arial" w:hAnsi="Arial" w:cs="Arial"/>
                <w:sz w:val="20"/>
                <w:szCs w:val="20"/>
              </w:rPr>
              <w:t>62</w:t>
            </w:r>
          </w:p>
        </w:tc>
        <w:tc>
          <w:tcPr>
            <w:tcW w:w="0" w:type="auto"/>
            <w:hideMark/>
          </w:tcPr>
          <w:p w14:paraId="6C5C1217" w14:textId="77777777" w:rsidR="00315A95" w:rsidRPr="00E136D8" w:rsidRDefault="00315A95" w:rsidP="00DE1972">
            <w:pPr>
              <w:spacing w:after="160" w:line="360" w:lineRule="auto"/>
              <w:jc w:val="both"/>
              <w:rPr>
                <w:rFonts w:ascii="Arial" w:hAnsi="Arial" w:cs="Arial"/>
                <w:sz w:val="20"/>
                <w:szCs w:val="20"/>
              </w:rPr>
            </w:pPr>
            <w:r w:rsidRPr="00E136D8">
              <w:rPr>
                <w:rFonts w:ascii="Arial" w:hAnsi="Arial" w:cs="Arial"/>
                <w:sz w:val="20"/>
                <w:szCs w:val="20"/>
              </w:rPr>
              <w:t>91</w:t>
            </w:r>
          </w:p>
        </w:tc>
        <w:tc>
          <w:tcPr>
            <w:tcW w:w="0" w:type="auto"/>
            <w:hideMark/>
          </w:tcPr>
          <w:p w14:paraId="232EFECF" w14:textId="77777777" w:rsidR="00315A95" w:rsidRPr="00E136D8" w:rsidRDefault="00315A95" w:rsidP="00DE1972">
            <w:pPr>
              <w:spacing w:after="160" w:line="360" w:lineRule="auto"/>
              <w:jc w:val="both"/>
              <w:rPr>
                <w:rFonts w:ascii="Arial" w:hAnsi="Arial" w:cs="Arial"/>
                <w:sz w:val="20"/>
                <w:szCs w:val="20"/>
              </w:rPr>
            </w:pPr>
            <w:r w:rsidRPr="00E136D8">
              <w:rPr>
                <w:rFonts w:ascii="Arial" w:hAnsi="Arial" w:cs="Arial"/>
                <w:sz w:val="20"/>
                <w:szCs w:val="20"/>
              </w:rPr>
              <w:t>U.S. marketing emphasises personal freedom and lifestyle, whereas Japanese marketing focuses more on reliability, family and collective value.</w:t>
            </w:r>
          </w:p>
        </w:tc>
      </w:tr>
      <w:tr w:rsidR="00315A95" w:rsidRPr="00E136D8" w14:paraId="27BDA9C1" w14:textId="77777777" w:rsidTr="00315A95">
        <w:tc>
          <w:tcPr>
            <w:tcW w:w="0" w:type="auto"/>
            <w:hideMark/>
          </w:tcPr>
          <w:p w14:paraId="4C22B4BE" w14:textId="77777777" w:rsidR="00315A95" w:rsidRPr="00E136D8" w:rsidRDefault="00315A95" w:rsidP="00DE1972">
            <w:pPr>
              <w:spacing w:after="160" w:line="360" w:lineRule="auto"/>
              <w:jc w:val="both"/>
              <w:rPr>
                <w:rFonts w:ascii="Arial" w:hAnsi="Arial" w:cs="Arial"/>
                <w:sz w:val="20"/>
                <w:szCs w:val="20"/>
              </w:rPr>
            </w:pPr>
            <w:r w:rsidRPr="00E136D8">
              <w:rPr>
                <w:rFonts w:ascii="Arial" w:hAnsi="Arial" w:cs="Arial"/>
                <w:b/>
                <w:bCs/>
                <w:sz w:val="20"/>
                <w:szCs w:val="20"/>
              </w:rPr>
              <w:t>Masculinity</w:t>
            </w:r>
          </w:p>
        </w:tc>
        <w:tc>
          <w:tcPr>
            <w:tcW w:w="0" w:type="auto"/>
            <w:hideMark/>
          </w:tcPr>
          <w:p w14:paraId="6A7CB25D" w14:textId="77777777" w:rsidR="00315A95" w:rsidRPr="00E136D8" w:rsidRDefault="00315A95" w:rsidP="00DE1972">
            <w:pPr>
              <w:spacing w:after="160" w:line="360" w:lineRule="auto"/>
              <w:jc w:val="both"/>
              <w:rPr>
                <w:rFonts w:ascii="Arial" w:hAnsi="Arial" w:cs="Arial"/>
                <w:sz w:val="20"/>
                <w:szCs w:val="20"/>
              </w:rPr>
            </w:pPr>
            <w:r w:rsidRPr="00E136D8">
              <w:rPr>
                <w:rFonts w:ascii="Arial" w:hAnsi="Arial" w:cs="Arial"/>
                <w:sz w:val="20"/>
                <w:szCs w:val="20"/>
              </w:rPr>
              <w:t>95</w:t>
            </w:r>
          </w:p>
        </w:tc>
        <w:tc>
          <w:tcPr>
            <w:tcW w:w="0" w:type="auto"/>
            <w:hideMark/>
          </w:tcPr>
          <w:p w14:paraId="4CD395B7" w14:textId="77777777" w:rsidR="00315A95" w:rsidRPr="00E136D8" w:rsidRDefault="00315A95" w:rsidP="00DE1972">
            <w:pPr>
              <w:spacing w:after="160" w:line="360" w:lineRule="auto"/>
              <w:jc w:val="both"/>
              <w:rPr>
                <w:rFonts w:ascii="Arial" w:hAnsi="Arial" w:cs="Arial"/>
                <w:sz w:val="20"/>
                <w:szCs w:val="20"/>
              </w:rPr>
            </w:pPr>
            <w:r w:rsidRPr="00E136D8">
              <w:rPr>
                <w:rFonts w:ascii="Arial" w:hAnsi="Arial" w:cs="Arial"/>
                <w:sz w:val="20"/>
                <w:szCs w:val="20"/>
              </w:rPr>
              <w:t>62</w:t>
            </w:r>
          </w:p>
        </w:tc>
        <w:tc>
          <w:tcPr>
            <w:tcW w:w="0" w:type="auto"/>
            <w:hideMark/>
          </w:tcPr>
          <w:p w14:paraId="6C2377F4" w14:textId="77777777" w:rsidR="00315A95" w:rsidRPr="00E136D8" w:rsidRDefault="00315A95" w:rsidP="00DE1972">
            <w:pPr>
              <w:spacing w:after="160" w:line="360" w:lineRule="auto"/>
              <w:jc w:val="both"/>
              <w:rPr>
                <w:rFonts w:ascii="Arial" w:hAnsi="Arial" w:cs="Arial"/>
                <w:sz w:val="20"/>
                <w:szCs w:val="20"/>
              </w:rPr>
            </w:pPr>
            <w:r w:rsidRPr="00E136D8">
              <w:rPr>
                <w:rFonts w:ascii="Arial" w:hAnsi="Arial" w:cs="Arial"/>
                <w:sz w:val="20"/>
                <w:szCs w:val="20"/>
              </w:rPr>
              <w:t>Japan strongly values quality, achievement and engineering excellence. U.S. consumers also value performance but place greater emphasis on comfort and innovation.</w:t>
            </w:r>
          </w:p>
        </w:tc>
      </w:tr>
      <w:tr w:rsidR="00315A95" w:rsidRPr="00E136D8" w14:paraId="40D6416A" w14:textId="77777777" w:rsidTr="00315A95">
        <w:tc>
          <w:tcPr>
            <w:tcW w:w="0" w:type="auto"/>
            <w:hideMark/>
          </w:tcPr>
          <w:p w14:paraId="322609FC" w14:textId="77777777" w:rsidR="00315A95" w:rsidRPr="00E136D8" w:rsidRDefault="00315A95" w:rsidP="00DE1972">
            <w:pPr>
              <w:spacing w:after="160" w:line="360" w:lineRule="auto"/>
              <w:jc w:val="both"/>
              <w:rPr>
                <w:rFonts w:ascii="Arial" w:hAnsi="Arial" w:cs="Arial"/>
                <w:sz w:val="20"/>
                <w:szCs w:val="20"/>
              </w:rPr>
            </w:pPr>
            <w:r w:rsidRPr="00E136D8">
              <w:rPr>
                <w:rFonts w:ascii="Arial" w:hAnsi="Arial" w:cs="Arial"/>
                <w:b/>
                <w:bCs/>
                <w:sz w:val="20"/>
                <w:szCs w:val="20"/>
              </w:rPr>
              <w:t>Uncertainty Avoidance</w:t>
            </w:r>
          </w:p>
        </w:tc>
        <w:tc>
          <w:tcPr>
            <w:tcW w:w="0" w:type="auto"/>
            <w:hideMark/>
          </w:tcPr>
          <w:p w14:paraId="7859DD36" w14:textId="77777777" w:rsidR="00315A95" w:rsidRPr="00E136D8" w:rsidRDefault="00315A95" w:rsidP="00DE1972">
            <w:pPr>
              <w:spacing w:after="160" w:line="360" w:lineRule="auto"/>
              <w:jc w:val="both"/>
              <w:rPr>
                <w:rFonts w:ascii="Arial" w:hAnsi="Arial" w:cs="Arial"/>
                <w:sz w:val="20"/>
                <w:szCs w:val="20"/>
              </w:rPr>
            </w:pPr>
            <w:r w:rsidRPr="00E136D8">
              <w:rPr>
                <w:rFonts w:ascii="Arial" w:hAnsi="Arial" w:cs="Arial"/>
                <w:sz w:val="20"/>
                <w:szCs w:val="20"/>
              </w:rPr>
              <w:t>92</w:t>
            </w:r>
          </w:p>
        </w:tc>
        <w:tc>
          <w:tcPr>
            <w:tcW w:w="0" w:type="auto"/>
            <w:hideMark/>
          </w:tcPr>
          <w:p w14:paraId="2A886A90" w14:textId="77777777" w:rsidR="00315A95" w:rsidRPr="00E136D8" w:rsidRDefault="00315A95" w:rsidP="00DE1972">
            <w:pPr>
              <w:spacing w:after="160" w:line="360" w:lineRule="auto"/>
              <w:jc w:val="both"/>
              <w:rPr>
                <w:rFonts w:ascii="Arial" w:hAnsi="Arial" w:cs="Arial"/>
                <w:sz w:val="20"/>
                <w:szCs w:val="20"/>
              </w:rPr>
            </w:pPr>
            <w:r w:rsidRPr="00E136D8">
              <w:rPr>
                <w:rFonts w:ascii="Arial" w:hAnsi="Arial" w:cs="Arial"/>
                <w:sz w:val="20"/>
                <w:szCs w:val="20"/>
              </w:rPr>
              <w:t>46</w:t>
            </w:r>
          </w:p>
        </w:tc>
        <w:tc>
          <w:tcPr>
            <w:tcW w:w="0" w:type="auto"/>
            <w:hideMark/>
          </w:tcPr>
          <w:p w14:paraId="4E6CD939" w14:textId="77777777" w:rsidR="00315A95" w:rsidRPr="00E136D8" w:rsidRDefault="00315A95" w:rsidP="00DE1972">
            <w:pPr>
              <w:spacing w:after="160" w:line="360" w:lineRule="auto"/>
              <w:jc w:val="both"/>
              <w:rPr>
                <w:rFonts w:ascii="Arial" w:hAnsi="Arial" w:cs="Arial"/>
                <w:sz w:val="20"/>
                <w:szCs w:val="20"/>
              </w:rPr>
            </w:pPr>
            <w:r w:rsidRPr="00E136D8">
              <w:rPr>
                <w:rFonts w:ascii="Arial" w:hAnsi="Arial" w:cs="Arial"/>
                <w:sz w:val="20"/>
                <w:szCs w:val="20"/>
              </w:rPr>
              <w:t>Japanese consumers prefer dependable, low-risk products, requiring Toyota to highlight quality and safety. U.S. consumers are more willing to adopt new technologies.</w:t>
            </w:r>
          </w:p>
        </w:tc>
      </w:tr>
      <w:tr w:rsidR="00315A95" w:rsidRPr="00E136D8" w14:paraId="6D985092" w14:textId="77777777" w:rsidTr="00315A95">
        <w:tc>
          <w:tcPr>
            <w:tcW w:w="0" w:type="auto"/>
            <w:hideMark/>
          </w:tcPr>
          <w:p w14:paraId="769853F3" w14:textId="77777777" w:rsidR="00315A95" w:rsidRPr="00E136D8" w:rsidRDefault="00315A95" w:rsidP="00DE1972">
            <w:pPr>
              <w:spacing w:after="160" w:line="360" w:lineRule="auto"/>
              <w:jc w:val="both"/>
              <w:rPr>
                <w:rFonts w:ascii="Arial" w:hAnsi="Arial" w:cs="Arial"/>
                <w:sz w:val="20"/>
                <w:szCs w:val="20"/>
              </w:rPr>
            </w:pPr>
            <w:r w:rsidRPr="00E136D8">
              <w:rPr>
                <w:rFonts w:ascii="Arial" w:hAnsi="Arial" w:cs="Arial"/>
                <w:b/>
                <w:bCs/>
                <w:sz w:val="20"/>
                <w:szCs w:val="20"/>
              </w:rPr>
              <w:t>Long-Term Orientation</w:t>
            </w:r>
          </w:p>
        </w:tc>
        <w:tc>
          <w:tcPr>
            <w:tcW w:w="0" w:type="auto"/>
            <w:hideMark/>
          </w:tcPr>
          <w:p w14:paraId="4CD98651" w14:textId="77777777" w:rsidR="00315A95" w:rsidRPr="00E136D8" w:rsidRDefault="00315A95" w:rsidP="00DE1972">
            <w:pPr>
              <w:spacing w:after="160" w:line="360" w:lineRule="auto"/>
              <w:jc w:val="both"/>
              <w:rPr>
                <w:rFonts w:ascii="Arial" w:hAnsi="Arial" w:cs="Arial"/>
                <w:sz w:val="20"/>
                <w:szCs w:val="20"/>
              </w:rPr>
            </w:pPr>
            <w:r w:rsidRPr="00E136D8">
              <w:rPr>
                <w:rFonts w:ascii="Arial" w:hAnsi="Arial" w:cs="Arial"/>
                <w:sz w:val="20"/>
                <w:szCs w:val="20"/>
              </w:rPr>
              <w:t>100</w:t>
            </w:r>
          </w:p>
        </w:tc>
        <w:tc>
          <w:tcPr>
            <w:tcW w:w="0" w:type="auto"/>
            <w:hideMark/>
          </w:tcPr>
          <w:p w14:paraId="5002A0C6" w14:textId="77777777" w:rsidR="00315A95" w:rsidRPr="00E136D8" w:rsidRDefault="00315A95" w:rsidP="00DE1972">
            <w:pPr>
              <w:spacing w:after="160" w:line="360" w:lineRule="auto"/>
              <w:jc w:val="both"/>
              <w:rPr>
                <w:rFonts w:ascii="Arial" w:hAnsi="Arial" w:cs="Arial"/>
                <w:sz w:val="20"/>
                <w:szCs w:val="20"/>
              </w:rPr>
            </w:pPr>
            <w:r w:rsidRPr="00E136D8">
              <w:rPr>
                <w:rFonts w:ascii="Arial" w:hAnsi="Arial" w:cs="Arial"/>
                <w:sz w:val="20"/>
                <w:szCs w:val="20"/>
              </w:rPr>
              <w:t>50</w:t>
            </w:r>
          </w:p>
        </w:tc>
        <w:tc>
          <w:tcPr>
            <w:tcW w:w="0" w:type="auto"/>
            <w:hideMark/>
          </w:tcPr>
          <w:p w14:paraId="0FDEB37C" w14:textId="77777777" w:rsidR="00315A95" w:rsidRPr="00E136D8" w:rsidRDefault="00315A95" w:rsidP="00DE1972">
            <w:pPr>
              <w:spacing w:after="160" w:line="360" w:lineRule="auto"/>
              <w:jc w:val="both"/>
              <w:rPr>
                <w:rFonts w:ascii="Arial" w:hAnsi="Arial" w:cs="Arial"/>
                <w:sz w:val="20"/>
                <w:szCs w:val="20"/>
              </w:rPr>
            </w:pPr>
            <w:r w:rsidRPr="00E136D8">
              <w:rPr>
                <w:rFonts w:ascii="Arial" w:hAnsi="Arial" w:cs="Arial"/>
                <w:sz w:val="20"/>
                <w:szCs w:val="20"/>
              </w:rPr>
              <w:t>Japan's long-term orientation supports Toyota's continuous investment in hybrid, hydrogen and sustainable mobility, while U.S. consumers respond more to immediate value and product benefits.</w:t>
            </w:r>
          </w:p>
        </w:tc>
      </w:tr>
      <w:tr w:rsidR="00315A95" w:rsidRPr="00E136D8" w14:paraId="366FA4D3" w14:textId="77777777" w:rsidTr="00315A95">
        <w:tc>
          <w:tcPr>
            <w:tcW w:w="0" w:type="auto"/>
            <w:hideMark/>
          </w:tcPr>
          <w:p w14:paraId="0757D78B" w14:textId="77777777" w:rsidR="00315A95" w:rsidRPr="00E136D8" w:rsidRDefault="00315A95" w:rsidP="00DE1972">
            <w:pPr>
              <w:spacing w:after="160" w:line="360" w:lineRule="auto"/>
              <w:jc w:val="both"/>
              <w:rPr>
                <w:rFonts w:ascii="Arial" w:hAnsi="Arial" w:cs="Arial"/>
                <w:sz w:val="20"/>
                <w:szCs w:val="20"/>
              </w:rPr>
            </w:pPr>
            <w:r w:rsidRPr="00E136D8">
              <w:rPr>
                <w:rFonts w:ascii="Arial" w:hAnsi="Arial" w:cs="Arial"/>
                <w:b/>
                <w:bCs/>
                <w:sz w:val="20"/>
                <w:szCs w:val="20"/>
              </w:rPr>
              <w:t>Indulgence</w:t>
            </w:r>
          </w:p>
        </w:tc>
        <w:tc>
          <w:tcPr>
            <w:tcW w:w="0" w:type="auto"/>
            <w:hideMark/>
          </w:tcPr>
          <w:p w14:paraId="4FF4B58E" w14:textId="77777777" w:rsidR="00315A95" w:rsidRPr="00E136D8" w:rsidRDefault="00315A95" w:rsidP="00DE1972">
            <w:pPr>
              <w:spacing w:after="160" w:line="360" w:lineRule="auto"/>
              <w:jc w:val="both"/>
              <w:rPr>
                <w:rFonts w:ascii="Arial" w:hAnsi="Arial" w:cs="Arial"/>
                <w:sz w:val="20"/>
                <w:szCs w:val="20"/>
              </w:rPr>
            </w:pPr>
            <w:r w:rsidRPr="00E136D8">
              <w:rPr>
                <w:rFonts w:ascii="Arial" w:hAnsi="Arial" w:cs="Arial"/>
                <w:sz w:val="20"/>
                <w:szCs w:val="20"/>
              </w:rPr>
              <w:t>42</w:t>
            </w:r>
          </w:p>
        </w:tc>
        <w:tc>
          <w:tcPr>
            <w:tcW w:w="0" w:type="auto"/>
            <w:hideMark/>
          </w:tcPr>
          <w:p w14:paraId="79E5DC0E" w14:textId="77777777" w:rsidR="00315A95" w:rsidRPr="00E136D8" w:rsidRDefault="00315A95" w:rsidP="00DE1972">
            <w:pPr>
              <w:spacing w:after="160" w:line="360" w:lineRule="auto"/>
              <w:jc w:val="both"/>
              <w:rPr>
                <w:rFonts w:ascii="Arial" w:hAnsi="Arial" w:cs="Arial"/>
                <w:sz w:val="20"/>
                <w:szCs w:val="20"/>
              </w:rPr>
            </w:pPr>
            <w:r w:rsidRPr="00E136D8">
              <w:rPr>
                <w:rFonts w:ascii="Arial" w:hAnsi="Arial" w:cs="Arial"/>
                <w:sz w:val="20"/>
                <w:szCs w:val="20"/>
              </w:rPr>
              <w:t>68</w:t>
            </w:r>
          </w:p>
        </w:tc>
        <w:tc>
          <w:tcPr>
            <w:tcW w:w="0" w:type="auto"/>
            <w:hideMark/>
          </w:tcPr>
          <w:p w14:paraId="0237EC44" w14:textId="77777777" w:rsidR="00315A95" w:rsidRPr="00E136D8" w:rsidRDefault="00315A95" w:rsidP="00DE1972">
            <w:pPr>
              <w:spacing w:after="160" w:line="360" w:lineRule="auto"/>
              <w:jc w:val="both"/>
              <w:rPr>
                <w:rFonts w:ascii="Arial" w:hAnsi="Arial" w:cs="Arial"/>
                <w:sz w:val="20"/>
                <w:szCs w:val="20"/>
              </w:rPr>
            </w:pPr>
            <w:r w:rsidRPr="00E136D8">
              <w:rPr>
                <w:rFonts w:ascii="Arial" w:hAnsi="Arial" w:cs="Arial"/>
                <w:sz w:val="20"/>
                <w:szCs w:val="20"/>
              </w:rPr>
              <w:t>U.S. consumers are more motivated by lifestyle and emotional appeal, whereas Japanese consumers prioritise practicality, efficiency and durability.</w:t>
            </w:r>
          </w:p>
        </w:tc>
      </w:tr>
    </w:tbl>
    <w:p w14:paraId="77264247" w14:textId="74BB2E07" w:rsidR="00315A95" w:rsidRPr="00E136D8" w:rsidRDefault="00315A95" w:rsidP="00DE1972">
      <w:pPr>
        <w:spacing w:line="360" w:lineRule="auto"/>
        <w:jc w:val="both"/>
        <w:rPr>
          <w:rFonts w:ascii="Arial" w:hAnsi="Arial" w:cs="Arial"/>
          <w:sz w:val="24"/>
          <w:szCs w:val="24"/>
          <w:u w:val="single"/>
        </w:rPr>
      </w:pPr>
      <w:r w:rsidRPr="00E136D8">
        <w:rPr>
          <w:rFonts w:ascii="Arial" w:hAnsi="Arial" w:cs="Arial"/>
          <w:b/>
          <w:bCs/>
          <w:sz w:val="24"/>
          <w:szCs w:val="24"/>
          <w:u w:val="single"/>
        </w:rPr>
        <w:t>Source:</w:t>
      </w:r>
      <w:r w:rsidRPr="00E136D8">
        <w:rPr>
          <w:rFonts w:ascii="Arial" w:hAnsi="Arial" w:cs="Arial"/>
          <w:sz w:val="24"/>
          <w:szCs w:val="24"/>
          <w:u w:val="single"/>
        </w:rPr>
        <w:t xml:space="preserve"> Adapted by the author from Hofstede Insights (2025).</w:t>
      </w:r>
    </w:p>
    <w:p w14:paraId="52F8C328" w14:textId="77777777" w:rsidR="006C427E" w:rsidRPr="00E136D8" w:rsidRDefault="00315A95" w:rsidP="00DE1972">
      <w:pPr>
        <w:pStyle w:val="Heading2"/>
        <w:jc w:val="both"/>
      </w:pPr>
      <w:bookmarkStart w:id="16" w:name="_Toc235559651"/>
      <w:r w:rsidRPr="00E136D8">
        <w:t>Individualism.</w:t>
      </w:r>
      <w:bookmarkEnd w:id="16"/>
    </w:p>
    <w:p w14:paraId="405EBFFC" w14:textId="4D65BC61" w:rsidR="00AE2A94" w:rsidRPr="00E136D8" w:rsidRDefault="00315A95" w:rsidP="00DE1972">
      <w:pPr>
        <w:spacing w:line="360" w:lineRule="auto"/>
        <w:jc w:val="both"/>
        <w:rPr>
          <w:rFonts w:ascii="Arial" w:hAnsi="Arial" w:cs="Arial"/>
          <w:sz w:val="24"/>
          <w:szCs w:val="24"/>
        </w:rPr>
      </w:pPr>
      <w:r w:rsidRPr="00E136D8">
        <w:rPr>
          <w:rFonts w:ascii="Arial" w:hAnsi="Arial" w:cs="Arial"/>
          <w:sz w:val="24"/>
          <w:szCs w:val="24"/>
        </w:rPr>
        <w:t xml:space="preserve"> </w:t>
      </w:r>
      <w:r w:rsidR="00AE2A94" w:rsidRPr="00E136D8">
        <w:rPr>
          <w:rFonts w:ascii="Arial" w:hAnsi="Arial" w:cs="Arial"/>
          <w:sz w:val="24"/>
          <w:szCs w:val="24"/>
        </w:rPr>
        <w:t xml:space="preserve">The United States is one of the most individualistic societies in the world where consumers place a high priority on personal achievement, freedom and self-expression. As opposed to Japan, which has a more collectivist approach emphasizing harmony and </w:t>
      </w:r>
      <w:r w:rsidR="00AE2A94" w:rsidRPr="00E136D8">
        <w:rPr>
          <w:rFonts w:ascii="Arial" w:hAnsi="Arial" w:cs="Arial"/>
          <w:sz w:val="24"/>
          <w:szCs w:val="24"/>
        </w:rPr>
        <w:lastRenderedPageBreak/>
        <w:t>social responsibility. This means that Toyota's campaigns in the USA tend to be more personal lifestyle, performance and individuality driven, while the Japanese campaigns are more family and society focused in terms of reliability and safety (Kotler et al., 2024).</w:t>
      </w:r>
    </w:p>
    <w:p w14:paraId="73362EC4" w14:textId="77777777" w:rsidR="006C427E" w:rsidRPr="00E136D8" w:rsidRDefault="00315A95" w:rsidP="00DE1972">
      <w:pPr>
        <w:pStyle w:val="Heading2"/>
        <w:jc w:val="both"/>
      </w:pPr>
      <w:bookmarkStart w:id="17" w:name="_Toc235559652"/>
      <w:r w:rsidRPr="00E136D8">
        <w:t>Masculinity.</w:t>
      </w:r>
      <w:bookmarkEnd w:id="17"/>
    </w:p>
    <w:p w14:paraId="3651E4E0" w14:textId="196FDB21" w:rsidR="00AE2A94" w:rsidRPr="00E136D8" w:rsidRDefault="00315A95" w:rsidP="00DE1972">
      <w:pPr>
        <w:spacing w:line="360" w:lineRule="auto"/>
        <w:jc w:val="both"/>
        <w:rPr>
          <w:rFonts w:ascii="Arial" w:hAnsi="Arial" w:cs="Arial"/>
          <w:sz w:val="24"/>
          <w:szCs w:val="24"/>
        </w:rPr>
      </w:pPr>
      <w:r w:rsidRPr="00E136D8">
        <w:rPr>
          <w:rFonts w:ascii="Arial" w:hAnsi="Arial" w:cs="Arial"/>
          <w:sz w:val="24"/>
          <w:szCs w:val="24"/>
        </w:rPr>
        <w:t xml:space="preserve"> </w:t>
      </w:r>
      <w:r w:rsidR="00AE2A94" w:rsidRPr="00E136D8">
        <w:rPr>
          <w:rFonts w:ascii="Arial" w:hAnsi="Arial" w:cs="Arial"/>
          <w:sz w:val="24"/>
          <w:szCs w:val="24"/>
        </w:rPr>
        <w:t>Both countries are high-scoring in masculinity and have high levels of achievement and performance orientations. But Japan has one of the highest masculinity scores in the world, which reflects consumer expectations of engineering excellence, quality and technological superiority (</w:t>
      </w:r>
      <w:proofErr w:type="spellStart"/>
      <w:r w:rsidR="00AE2A94" w:rsidRPr="00E136D8">
        <w:rPr>
          <w:rFonts w:ascii="Arial" w:hAnsi="Arial" w:cs="Arial"/>
          <w:sz w:val="24"/>
          <w:szCs w:val="24"/>
        </w:rPr>
        <w:t>Ikkatai</w:t>
      </w:r>
      <w:proofErr w:type="spellEnd"/>
      <w:r w:rsidR="00AE2A94" w:rsidRPr="00E136D8">
        <w:rPr>
          <w:rFonts w:ascii="Arial" w:hAnsi="Arial" w:cs="Arial"/>
          <w:sz w:val="24"/>
          <w:szCs w:val="24"/>
        </w:rPr>
        <w:t xml:space="preserve"> et al., 2021). Consequently, Toyota has more forcefully marketed precision engineering and continuous innovation in Japan, whereas in the United States, they market their vehicles in a manner that emphasizes comfort, design and driving experience (Hofstede Insights, 2025).</w:t>
      </w:r>
    </w:p>
    <w:p w14:paraId="4F9EFD20" w14:textId="77777777" w:rsidR="006C427E" w:rsidRPr="00E136D8" w:rsidRDefault="00315A95" w:rsidP="00DE1972">
      <w:pPr>
        <w:pStyle w:val="Heading2"/>
        <w:jc w:val="both"/>
      </w:pPr>
      <w:bookmarkStart w:id="18" w:name="_Toc235559653"/>
      <w:r w:rsidRPr="00E136D8">
        <w:t>Uncertainty Avoidance.</w:t>
      </w:r>
      <w:bookmarkEnd w:id="18"/>
    </w:p>
    <w:p w14:paraId="6F5A502B" w14:textId="3C9F8ADC" w:rsidR="00AE2A94" w:rsidRPr="00E136D8" w:rsidRDefault="00315A95" w:rsidP="00DE1972">
      <w:pPr>
        <w:spacing w:line="360" w:lineRule="auto"/>
        <w:jc w:val="both"/>
        <w:rPr>
          <w:rFonts w:ascii="Arial" w:hAnsi="Arial" w:cs="Arial"/>
          <w:sz w:val="24"/>
          <w:szCs w:val="24"/>
        </w:rPr>
      </w:pPr>
      <w:r w:rsidRPr="00E136D8">
        <w:rPr>
          <w:rFonts w:ascii="Arial" w:hAnsi="Arial" w:cs="Arial"/>
          <w:sz w:val="24"/>
          <w:szCs w:val="24"/>
        </w:rPr>
        <w:t xml:space="preserve"> </w:t>
      </w:r>
      <w:r w:rsidR="00AE2A94" w:rsidRPr="00E136D8">
        <w:rPr>
          <w:rFonts w:ascii="Arial" w:hAnsi="Arial" w:cs="Arial"/>
          <w:sz w:val="24"/>
          <w:szCs w:val="24"/>
        </w:rPr>
        <w:t xml:space="preserve">Japanese customers have a higher tendency to exhibit uncertainty avoidance and would like to buy a reliable product that has been tested for quality and lower perceived risk. As a result, safety and durability, and after-sales service are key factors in Toyota's domestic marketing. On the other hand, U.S. consumers are more willing to try new technologies and products, allowing Toyota to launch new digital services and mobility technologies with more </w:t>
      </w:r>
      <w:proofErr w:type="spellStart"/>
      <w:r w:rsidR="00AE2A94" w:rsidRPr="00E136D8">
        <w:rPr>
          <w:rFonts w:ascii="Arial" w:hAnsi="Arial" w:cs="Arial"/>
          <w:sz w:val="24"/>
          <w:szCs w:val="24"/>
        </w:rPr>
        <w:t>vigor</w:t>
      </w:r>
      <w:proofErr w:type="spellEnd"/>
      <w:r w:rsidR="00AE2A94" w:rsidRPr="00E136D8">
        <w:rPr>
          <w:rFonts w:ascii="Arial" w:hAnsi="Arial" w:cs="Arial"/>
          <w:sz w:val="24"/>
          <w:szCs w:val="24"/>
        </w:rPr>
        <w:t xml:space="preserve"> (Hollensen, 2022). </w:t>
      </w:r>
    </w:p>
    <w:p w14:paraId="11DB9ED5" w14:textId="77777777" w:rsidR="006C427E" w:rsidRPr="00E136D8" w:rsidRDefault="00315A95" w:rsidP="00DE1972">
      <w:pPr>
        <w:pStyle w:val="Heading2"/>
        <w:jc w:val="both"/>
      </w:pPr>
      <w:bookmarkStart w:id="19" w:name="_Toc235559654"/>
      <w:r w:rsidRPr="00E136D8">
        <w:t>Long-Term Orientation.</w:t>
      </w:r>
      <w:bookmarkEnd w:id="19"/>
      <w:r w:rsidRPr="00E136D8">
        <w:t xml:space="preserve"> </w:t>
      </w:r>
    </w:p>
    <w:p w14:paraId="00E24839" w14:textId="4C206550" w:rsidR="00AE2A94" w:rsidRPr="00E136D8" w:rsidRDefault="00AE2A94" w:rsidP="00DE1972">
      <w:pPr>
        <w:spacing w:line="360" w:lineRule="auto"/>
        <w:jc w:val="both"/>
        <w:rPr>
          <w:rFonts w:ascii="Arial" w:hAnsi="Arial" w:cs="Arial"/>
          <w:sz w:val="24"/>
          <w:szCs w:val="24"/>
        </w:rPr>
      </w:pPr>
      <w:r w:rsidRPr="00E136D8">
        <w:rPr>
          <w:rFonts w:ascii="Arial" w:hAnsi="Arial" w:cs="Arial"/>
          <w:sz w:val="24"/>
          <w:szCs w:val="24"/>
        </w:rPr>
        <w:t>Compared with the United States, Japan has a much longer-term horizon, which means that it has a lot of investment in sustainable innovation and continuous improvement. This cultural trait is very similar to Kaizen and the long-term vision of hybrid, hydrogen and future mobility technologies that Toyota has in mind. In contrast, U.S. market is more sensitive for product benefits in terms of short-term results, price attractiveness and current customer value (Liker, 2021).</w:t>
      </w:r>
    </w:p>
    <w:p w14:paraId="4C5E7743" w14:textId="77777777" w:rsidR="006C427E" w:rsidRPr="00E136D8" w:rsidRDefault="00315A95" w:rsidP="00DE1972">
      <w:pPr>
        <w:pStyle w:val="Heading2"/>
        <w:jc w:val="both"/>
      </w:pPr>
      <w:bookmarkStart w:id="20" w:name="_Toc235559655"/>
      <w:r w:rsidRPr="00E136D8">
        <w:t>Indulgence.</w:t>
      </w:r>
      <w:bookmarkEnd w:id="20"/>
    </w:p>
    <w:p w14:paraId="7C61A757" w14:textId="56D517BA" w:rsidR="00AE2A94" w:rsidRPr="00E136D8" w:rsidRDefault="00315A95" w:rsidP="00DE1972">
      <w:pPr>
        <w:spacing w:line="360" w:lineRule="auto"/>
        <w:jc w:val="both"/>
        <w:rPr>
          <w:rFonts w:ascii="Arial" w:hAnsi="Arial" w:cs="Arial"/>
          <w:sz w:val="24"/>
          <w:szCs w:val="24"/>
        </w:rPr>
      </w:pPr>
      <w:r w:rsidRPr="00E136D8">
        <w:rPr>
          <w:rFonts w:ascii="Arial" w:hAnsi="Arial" w:cs="Arial"/>
          <w:sz w:val="24"/>
          <w:szCs w:val="24"/>
        </w:rPr>
        <w:t xml:space="preserve"> </w:t>
      </w:r>
      <w:r w:rsidR="00AE2A94" w:rsidRPr="00E136D8">
        <w:rPr>
          <w:rFonts w:ascii="Arial" w:hAnsi="Arial" w:cs="Arial"/>
          <w:sz w:val="24"/>
          <w:szCs w:val="24"/>
        </w:rPr>
        <w:t xml:space="preserve">Americans exhibit more indulgence, meaning that sometimes their buying choices are driven by the pleasure they receive, convenience and lifestyle goals. In contrast, Japan is quite conservative which makes consumers focus on utility, efficiency and function (Kim </w:t>
      </w:r>
      <w:r w:rsidR="00AE2A94" w:rsidRPr="00E136D8">
        <w:rPr>
          <w:rFonts w:ascii="Arial" w:hAnsi="Arial" w:cs="Arial"/>
          <w:sz w:val="24"/>
          <w:szCs w:val="24"/>
        </w:rPr>
        <w:lastRenderedPageBreak/>
        <w:t xml:space="preserve">et al., 2019). In the United States, Toyota many of its models therefore focus on lifestyle and emotion while in Japan, Toyota's models focus on reliability, fuel efficiency and quality. The Hofstede analysis shows that the cultural differences have a major impact on the international marketing strategy of Toyota. The United States needs more style and differentiation with lifestyle branding and customer experience and product customisation, whereas Japan accentuates Toyota's attributes of quality, continuous improvement and </w:t>
      </w:r>
      <w:r w:rsidR="00DE078D" w:rsidRPr="00E136D8">
        <w:rPr>
          <w:rFonts w:ascii="Arial" w:hAnsi="Arial" w:cs="Arial"/>
          <w:sz w:val="24"/>
          <w:szCs w:val="24"/>
        </w:rPr>
        <w:t>long-term</w:t>
      </w:r>
      <w:r w:rsidR="00AE2A94" w:rsidRPr="00E136D8">
        <w:rPr>
          <w:rFonts w:ascii="Arial" w:hAnsi="Arial" w:cs="Arial"/>
          <w:sz w:val="24"/>
          <w:szCs w:val="24"/>
        </w:rPr>
        <w:t xml:space="preserve"> customer relationships. Thus, Toyota's competitive edge comes not just from the strength of its engineering, but also from the company's capacity to meet the diverse expectations of customers across various cultures while maintaining a unified global brand identity (Kotler et al., 2024; Hollensen, 2022).</w:t>
      </w:r>
    </w:p>
    <w:p w14:paraId="22BAC62F" w14:textId="2A09C7EE" w:rsidR="00315A95" w:rsidRPr="00E136D8" w:rsidRDefault="00E136D8" w:rsidP="00E136D8">
      <w:pPr>
        <w:pStyle w:val="Heading2"/>
      </w:pPr>
      <w:bookmarkStart w:id="21" w:name="_Toc235559656"/>
      <w:r>
        <w:t xml:space="preserve">2.5 </w:t>
      </w:r>
      <w:r w:rsidR="00315A95" w:rsidRPr="00E136D8">
        <w:t>Comparative Analysis of Toyota's STP Strategy</w:t>
      </w:r>
      <w:bookmarkEnd w:id="21"/>
    </w:p>
    <w:p w14:paraId="77CC71AE" w14:textId="77777777" w:rsidR="007972A2" w:rsidRPr="00E136D8" w:rsidRDefault="007972A2" w:rsidP="00DE1972">
      <w:pPr>
        <w:spacing w:line="360" w:lineRule="auto"/>
        <w:jc w:val="both"/>
        <w:rPr>
          <w:rFonts w:ascii="Arial" w:hAnsi="Arial" w:cs="Arial"/>
          <w:sz w:val="24"/>
          <w:szCs w:val="24"/>
        </w:rPr>
      </w:pPr>
      <w:r w:rsidRPr="00E136D8">
        <w:rPr>
          <w:rFonts w:ascii="Arial" w:hAnsi="Arial" w:cs="Arial"/>
          <w:sz w:val="24"/>
          <w:szCs w:val="24"/>
        </w:rPr>
        <w:t xml:space="preserve">Toyota uses the same brand identity worldwide but has a different segmentation, targeting and positioning (STP) strategy to target the different needs of consumers in Japan and America. This allows the company to maintain consistency worldwide while also being responsive to the local markets, improving its competitiveness in both markets (Kotler et al., 2024). </w:t>
      </w:r>
    </w:p>
    <w:p w14:paraId="44499864" w14:textId="658F0332" w:rsidR="00315A95" w:rsidRPr="00E136D8" w:rsidRDefault="00315A95" w:rsidP="00DE1972">
      <w:pPr>
        <w:pStyle w:val="Heading2"/>
        <w:jc w:val="both"/>
      </w:pPr>
      <w:bookmarkStart w:id="22" w:name="_Toc235559657"/>
      <w:r w:rsidRPr="00E136D8">
        <w:t>2.</w:t>
      </w:r>
      <w:r w:rsidR="00E136D8">
        <w:t>5.1</w:t>
      </w:r>
      <w:r w:rsidRPr="00E136D8">
        <w:t>Segmentation</w:t>
      </w:r>
      <w:bookmarkEnd w:id="22"/>
    </w:p>
    <w:p w14:paraId="75A5B8FC" w14:textId="77777777" w:rsidR="007972A2" w:rsidRPr="00E136D8" w:rsidRDefault="007972A2" w:rsidP="00DE1972">
      <w:pPr>
        <w:spacing w:line="360" w:lineRule="auto"/>
        <w:jc w:val="both"/>
        <w:rPr>
          <w:rFonts w:ascii="Arial" w:hAnsi="Arial" w:cs="Arial"/>
          <w:sz w:val="24"/>
          <w:szCs w:val="24"/>
        </w:rPr>
      </w:pPr>
      <w:r w:rsidRPr="00E136D8">
        <w:rPr>
          <w:rFonts w:ascii="Arial" w:hAnsi="Arial" w:cs="Arial"/>
          <w:sz w:val="24"/>
          <w:szCs w:val="24"/>
        </w:rPr>
        <w:t xml:space="preserve">Toyota divides both markets according to geographic, demographic, psychographic and behavioural factors (Rahman and </w:t>
      </w:r>
      <w:proofErr w:type="spellStart"/>
      <w:r w:rsidRPr="00E136D8">
        <w:rPr>
          <w:rFonts w:ascii="Arial" w:hAnsi="Arial" w:cs="Arial"/>
          <w:sz w:val="24"/>
          <w:szCs w:val="24"/>
        </w:rPr>
        <w:t>Afwa</w:t>
      </w:r>
      <w:proofErr w:type="spellEnd"/>
      <w:r w:rsidRPr="00E136D8">
        <w:rPr>
          <w:rFonts w:ascii="Arial" w:hAnsi="Arial" w:cs="Arial"/>
          <w:sz w:val="24"/>
          <w:szCs w:val="24"/>
        </w:rPr>
        <w:t xml:space="preserve">, 2025). The company's main customer base in Japan is urban consumers looking for small, green and efficient vehicles. By contrast, the U.S. market is split, and is being pushed by consumers of all lifestyle types, especially families and professionals who want SUVs, pickup trucks and larger hybrid vehicles. To meet these opposing segments, Toyota will need to create different product lines for different markets than it does for a global product (Hollensen, 2022). </w:t>
      </w:r>
    </w:p>
    <w:p w14:paraId="72A945A2" w14:textId="34E6932D" w:rsidR="00315A95" w:rsidRPr="00E136D8" w:rsidRDefault="00E136D8" w:rsidP="00DE1972">
      <w:pPr>
        <w:pStyle w:val="Heading2"/>
        <w:jc w:val="both"/>
      </w:pPr>
      <w:bookmarkStart w:id="23" w:name="_Toc235559658"/>
      <w:r w:rsidRPr="00E136D8">
        <w:t>2.</w:t>
      </w:r>
      <w:r>
        <w:t xml:space="preserve">5.2 </w:t>
      </w:r>
      <w:r w:rsidRPr="00E136D8">
        <w:t>Targeting</w:t>
      </w:r>
      <w:bookmarkEnd w:id="23"/>
    </w:p>
    <w:p w14:paraId="4EBC482F" w14:textId="36F4F53F" w:rsidR="007972A2" w:rsidRPr="00E136D8" w:rsidRDefault="007972A2" w:rsidP="00DE1972">
      <w:pPr>
        <w:spacing w:line="360" w:lineRule="auto"/>
        <w:jc w:val="both"/>
        <w:rPr>
          <w:rFonts w:ascii="Arial" w:hAnsi="Arial" w:cs="Arial"/>
          <w:sz w:val="24"/>
          <w:szCs w:val="24"/>
        </w:rPr>
      </w:pPr>
      <w:r w:rsidRPr="00E136D8">
        <w:rPr>
          <w:rFonts w:ascii="Arial" w:hAnsi="Arial" w:cs="Arial"/>
          <w:sz w:val="24"/>
          <w:szCs w:val="24"/>
        </w:rPr>
        <w:t>Toyota has different targeting strategies for the two markets. The company's target market in Japan is more of an eco-friendly buyer who cares about reliability, efficiency and durability. On the other hand, Toyota operates several market segments in the USA by offering a diverse range of vehicles, such as SUVs, trucks, hybrid models and high-</w:t>
      </w:r>
      <w:r w:rsidRPr="00E136D8">
        <w:rPr>
          <w:rFonts w:ascii="Arial" w:hAnsi="Arial" w:cs="Arial"/>
          <w:sz w:val="24"/>
          <w:szCs w:val="24"/>
        </w:rPr>
        <w:lastRenderedPageBreak/>
        <w:t xml:space="preserve">end Lexus vehicles, which enables them to compete in multiple areas at once (Toyota Motor Corporation, 2025a). </w:t>
      </w:r>
    </w:p>
    <w:p w14:paraId="7807B955" w14:textId="6116D5A7" w:rsidR="00315A95" w:rsidRPr="00E136D8" w:rsidRDefault="00315A95" w:rsidP="00DE1972">
      <w:pPr>
        <w:pStyle w:val="Heading2"/>
        <w:jc w:val="both"/>
      </w:pPr>
      <w:bookmarkStart w:id="24" w:name="_Toc235559659"/>
      <w:r w:rsidRPr="00E136D8">
        <w:t>2.</w:t>
      </w:r>
      <w:r w:rsidR="00E136D8">
        <w:t>5.3</w:t>
      </w:r>
      <w:r w:rsidRPr="00E136D8">
        <w:t xml:space="preserve"> Positioning</w:t>
      </w:r>
      <w:bookmarkEnd w:id="24"/>
    </w:p>
    <w:p w14:paraId="2EE1EC2B" w14:textId="77777777" w:rsidR="00DE1972" w:rsidRPr="00E136D8" w:rsidRDefault="007972A2" w:rsidP="00DE1972">
      <w:pPr>
        <w:spacing w:line="360" w:lineRule="auto"/>
        <w:jc w:val="both"/>
        <w:rPr>
          <w:rFonts w:ascii="Arial" w:hAnsi="Arial" w:cs="Arial"/>
          <w:sz w:val="24"/>
          <w:szCs w:val="24"/>
        </w:rPr>
      </w:pPr>
      <w:r w:rsidRPr="00E136D8">
        <w:rPr>
          <w:rFonts w:ascii="Arial" w:hAnsi="Arial" w:cs="Arial"/>
          <w:sz w:val="24"/>
          <w:szCs w:val="24"/>
        </w:rPr>
        <w:t>In terms of the markets, Toyota is seen as a manufacturer of reliable, high-quality and technologically advanced vehicles. The emphasis on the positioning is, however, different. It is quality, safety and continuous innovation that are reinforced by marketing communications in Japan, a reflection of the values of the country's consumers. Toyota has to answer to the new challenges posed by both greater competition and consumer expectations in the United States by pairing reliability with lifestyle and performance and sustainability. With the case of Toyota, it can be seen that international competitiveness is achieved through strategic adaptation instead of total standardisation (</w:t>
      </w:r>
      <w:proofErr w:type="spellStart"/>
      <w:r w:rsidRPr="00E136D8">
        <w:rPr>
          <w:rFonts w:ascii="Arial" w:hAnsi="Arial" w:cs="Arial"/>
          <w:sz w:val="24"/>
          <w:szCs w:val="24"/>
        </w:rPr>
        <w:t>Tarmohamed</w:t>
      </w:r>
      <w:proofErr w:type="spellEnd"/>
      <w:r w:rsidRPr="00E136D8">
        <w:rPr>
          <w:rFonts w:ascii="Arial" w:hAnsi="Arial" w:cs="Arial"/>
          <w:sz w:val="24"/>
          <w:szCs w:val="24"/>
        </w:rPr>
        <w:t xml:space="preserve">, 2022). The basic brand proposition of quality and reliability is the same, but the specific market segmentation, targeting and positioning helps Toyota to cater to different cultural values and buying habits of the Japanese and American markets. </w:t>
      </w:r>
    </w:p>
    <w:p w14:paraId="3936C1B4" w14:textId="4BE1C225" w:rsidR="00315A95" w:rsidRPr="00E136D8" w:rsidRDefault="00315A95" w:rsidP="00DE1972">
      <w:pPr>
        <w:spacing w:line="360" w:lineRule="auto"/>
        <w:jc w:val="both"/>
        <w:rPr>
          <w:rFonts w:ascii="Arial" w:hAnsi="Arial" w:cs="Arial"/>
          <w:b/>
          <w:bCs/>
          <w:sz w:val="24"/>
          <w:szCs w:val="24"/>
          <w:u w:val="single"/>
        </w:rPr>
      </w:pPr>
      <w:r w:rsidRPr="00E136D8">
        <w:rPr>
          <w:rFonts w:ascii="Arial" w:hAnsi="Arial" w:cs="Arial"/>
          <w:b/>
          <w:bCs/>
          <w:noProof/>
          <w:sz w:val="24"/>
          <w:szCs w:val="24"/>
          <w:u w:val="single"/>
        </w:rPr>
        <w:drawing>
          <wp:inline distT="0" distB="0" distL="0" distR="0" wp14:anchorId="7F216C60" wp14:editId="1D7C4C8E">
            <wp:extent cx="5838825" cy="3068955"/>
            <wp:effectExtent l="0" t="0" r="9525" b="0"/>
            <wp:docPr id="19505957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11103" b="7093"/>
                    <a:stretch>
                      <a:fillRect/>
                    </a:stretch>
                  </pic:blipFill>
                  <pic:spPr bwMode="auto">
                    <a:xfrm>
                      <a:off x="0" y="0"/>
                      <a:ext cx="5868257" cy="3084425"/>
                    </a:xfrm>
                    <a:prstGeom prst="rect">
                      <a:avLst/>
                    </a:prstGeom>
                    <a:noFill/>
                    <a:ln>
                      <a:noFill/>
                    </a:ln>
                    <a:extLst>
                      <a:ext uri="{53640926-AAD7-44D8-BBD7-CCE9431645EC}">
                        <a14:shadowObscured xmlns:a14="http://schemas.microsoft.com/office/drawing/2010/main"/>
                      </a:ext>
                    </a:extLst>
                  </pic:spPr>
                </pic:pic>
              </a:graphicData>
            </a:graphic>
          </wp:inline>
        </w:drawing>
      </w:r>
    </w:p>
    <w:p w14:paraId="72F1A9A4" w14:textId="44B87BDF" w:rsidR="00315A95" w:rsidRPr="00E136D8" w:rsidRDefault="00315A95" w:rsidP="00DE1972">
      <w:pPr>
        <w:spacing w:line="360" w:lineRule="auto"/>
        <w:jc w:val="center"/>
        <w:rPr>
          <w:rFonts w:ascii="Arial" w:hAnsi="Arial" w:cs="Arial"/>
          <w:u w:val="single"/>
        </w:rPr>
      </w:pPr>
      <w:r w:rsidRPr="00E136D8">
        <w:rPr>
          <w:rFonts w:ascii="Arial" w:hAnsi="Arial" w:cs="Arial"/>
          <w:b/>
          <w:bCs/>
          <w:u w:val="single"/>
        </w:rPr>
        <w:t xml:space="preserve">Figure </w:t>
      </w:r>
      <w:r w:rsidR="00ED2F1B" w:rsidRPr="00E136D8">
        <w:rPr>
          <w:rFonts w:ascii="Arial" w:hAnsi="Arial" w:cs="Arial"/>
          <w:b/>
          <w:bCs/>
          <w:u w:val="single"/>
        </w:rPr>
        <w:t>3</w:t>
      </w:r>
      <w:r w:rsidRPr="00E136D8">
        <w:rPr>
          <w:rFonts w:ascii="Arial" w:hAnsi="Arial" w:cs="Arial"/>
          <w:b/>
          <w:bCs/>
          <w:u w:val="single"/>
        </w:rPr>
        <w:t>.</w:t>
      </w:r>
      <w:r w:rsidRPr="00E136D8">
        <w:rPr>
          <w:rFonts w:ascii="Arial" w:hAnsi="Arial" w:cs="Arial"/>
          <w:u w:val="single"/>
        </w:rPr>
        <w:t xml:space="preserve"> Comparison of Toyota's STP strategy in Japan and the United States.</w:t>
      </w:r>
    </w:p>
    <w:p w14:paraId="4AD87168" w14:textId="3B51131A" w:rsidR="00315A95" w:rsidRPr="00E136D8" w:rsidRDefault="00315A95" w:rsidP="00DE1972">
      <w:pPr>
        <w:spacing w:line="360" w:lineRule="auto"/>
        <w:jc w:val="center"/>
        <w:rPr>
          <w:rFonts w:ascii="Arial" w:hAnsi="Arial" w:cs="Arial"/>
          <w:u w:val="single"/>
        </w:rPr>
      </w:pPr>
      <w:r w:rsidRPr="00E136D8">
        <w:rPr>
          <w:rFonts w:ascii="Arial" w:hAnsi="Arial" w:cs="Arial"/>
          <w:b/>
          <w:bCs/>
          <w:u w:val="single"/>
        </w:rPr>
        <w:t>Source:</w:t>
      </w:r>
      <w:r w:rsidRPr="00E136D8">
        <w:rPr>
          <w:rFonts w:ascii="Arial" w:hAnsi="Arial" w:cs="Arial"/>
          <w:u w:val="single"/>
        </w:rPr>
        <w:t xml:space="preserve"> Adapted by the author from Kotler et al. (2024) and Toyota Motor Corporation (2025a).</w:t>
      </w:r>
    </w:p>
    <w:p w14:paraId="6C836E75" w14:textId="7116FA8C" w:rsidR="00315A95" w:rsidRPr="00E136D8" w:rsidRDefault="00E136D8" w:rsidP="00E136D8">
      <w:pPr>
        <w:pStyle w:val="Heading2"/>
      </w:pPr>
      <w:bookmarkStart w:id="25" w:name="_Toc235559660"/>
      <w:r>
        <w:lastRenderedPageBreak/>
        <w:t xml:space="preserve">2.6 </w:t>
      </w:r>
      <w:r w:rsidR="00315A95" w:rsidRPr="00E136D8">
        <w:t>Comparative Analysis of Toyota's International Marketing Mix (7Ps)</w:t>
      </w:r>
      <w:bookmarkEnd w:id="25"/>
    </w:p>
    <w:p w14:paraId="0616914E" w14:textId="2AD102A7" w:rsidR="007972A2" w:rsidRPr="00E136D8" w:rsidRDefault="007972A2" w:rsidP="00DE1972">
      <w:pPr>
        <w:spacing w:line="360" w:lineRule="auto"/>
        <w:jc w:val="both"/>
        <w:rPr>
          <w:rFonts w:ascii="Arial" w:hAnsi="Arial" w:cs="Arial"/>
          <w:sz w:val="24"/>
          <w:szCs w:val="24"/>
        </w:rPr>
      </w:pPr>
      <w:r w:rsidRPr="00E136D8">
        <w:rPr>
          <w:rFonts w:ascii="Arial" w:hAnsi="Arial" w:cs="Arial"/>
          <w:sz w:val="24"/>
          <w:szCs w:val="24"/>
        </w:rPr>
        <w:t xml:space="preserve">Toyota makes some adjustments to the marketing mix to respect the institutional, cultural and competitive differences among the Japanese and American markets, but keeps the brand image the same globally. The balanced approach increases the worth of the customer and helps to sustain the company's competitive advantages (Hollensen, 2022). </w:t>
      </w:r>
    </w:p>
    <w:p w14:paraId="47B79B74" w14:textId="25A1EF3A" w:rsidR="00315A95" w:rsidRPr="00E136D8" w:rsidRDefault="00E136D8" w:rsidP="00DE1972">
      <w:pPr>
        <w:pStyle w:val="Heading2"/>
        <w:jc w:val="both"/>
      </w:pPr>
      <w:bookmarkStart w:id="26" w:name="_Toc235559661"/>
      <w:r>
        <w:t xml:space="preserve">2.6.1 </w:t>
      </w:r>
      <w:r w:rsidR="00315A95" w:rsidRPr="00E136D8">
        <w:t>Product</w:t>
      </w:r>
      <w:bookmarkEnd w:id="26"/>
    </w:p>
    <w:p w14:paraId="4948494B" w14:textId="77777777" w:rsidR="007972A2" w:rsidRPr="00E136D8" w:rsidRDefault="007972A2" w:rsidP="00DE1972">
      <w:pPr>
        <w:spacing w:line="360" w:lineRule="auto"/>
        <w:jc w:val="both"/>
        <w:rPr>
          <w:rFonts w:ascii="Arial" w:hAnsi="Arial" w:cs="Arial"/>
          <w:sz w:val="24"/>
          <w:szCs w:val="24"/>
        </w:rPr>
      </w:pPr>
      <w:r w:rsidRPr="00E136D8">
        <w:rPr>
          <w:rFonts w:ascii="Arial" w:hAnsi="Arial" w:cs="Arial"/>
          <w:sz w:val="24"/>
          <w:szCs w:val="24"/>
        </w:rPr>
        <w:t xml:space="preserve">Toyota markets a variety of product lines in the two markets (Hyun, 2025). To meet urban mobility and environmental requirements, compact hybrid cars are more popular in Japan than in the United States, while SUVs, pickup trucks and larger hybrid models are more important in the United States, reflecting consumers' tastes there. </w:t>
      </w:r>
    </w:p>
    <w:p w14:paraId="73B86EA7" w14:textId="5B75E3F4" w:rsidR="00315A95" w:rsidRPr="00E136D8" w:rsidRDefault="00E136D8" w:rsidP="00DE1972">
      <w:pPr>
        <w:pStyle w:val="Heading2"/>
        <w:jc w:val="both"/>
      </w:pPr>
      <w:bookmarkStart w:id="27" w:name="_Toc235559662"/>
      <w:r>
        <w:t xml:space="preserve">2.6.2 </w:t>
      </w:r>
      <w:r w:rsidR="00315A95" w:rsidRPr="00E136D8">
        <w:t>Price</w:t>
      </w:r>
      <w:bookmarkEnd w:id="27"/>
    </w:p>
    <w:p w14:paraId="2CC14A4E" w14:textId="77777777" w:rsidR="007972A2" w:rsidRPr="00E136D8" w:rsidRDefault="007972A2" w:rsidP="00DE1972">
      <w:pPr>
        <w:spacing w:line="360" w:lineRule="auto"/>
        <w:jc w:val="both"/>
        <w:rPr>
          <w:rFonts w:ascii="Arial" w:hAnsi="Arial" w:cs="Arial"/>
          <w:sz w:val="24"/>
          <w:szCs w:val="24"/>
        </w:rPr>
      </w:pPr>
      <w:r w:rsidRPr="00E136D8">
        <w:rPr>
          <w:rFonts w:ascii="Arial" w:hAnsi="Arial" w:cs="Arial"/>
          <w:sz w:val="24"/>
          <w:szCs w:val="24"/>
        </w:rPr>
        <w:t xml:space="preserve">While Toyota uses value-based pricing in both markets, strategies differ depending on the purchasing power, the level of taxation and the intensity of competition. There are more financing possibilities and promotional reductions / leasing programmes than in Japan. </w:t>
      </w:r>
    </w:p>
    <w:p w14:paraId="34D55E1A" w14:textId="7C3CFE40" w:rsidR="00315A95" w:rsidRPr="00E136D8" w:rsidRDefault="00E136D8" w:rsidP="00DE1972">
      <w:pPr>
        <w:pStyle w:val="Heading2"/>
        <w:jc w:val="both"/>
      </w:pPr>
      <w:bookmarkStart w:id="28" w:name="_Toc235559663"/>
      <w:r>
        <w:t xml:space="preserve">2.6.3 </w:t>
      </w:r>
      <w:r w:rsidR="00315A95" w:rsidRPr="00E136D8">
        <w:t>Place</w:t>
      </w:r>
      <w:bookmarkEnd w:id="28"/>
    </w:p>
    <w:p w14:paraId="7887CFA0" w14:textId="6115BACD" w:rsidR="00315A95" w:rsidRPr="00E136D8" w:rsidRDefault="007972A2" w:rsidP="00DE1972">
      <w:pPr>
        <w:spacing w:line="360" w:lineRule="auto"/>
        <w:jc w:val="both"/>
        <w:rPr>
          <w:rFonts w:ascii="Arial" w:hAnsi="Arial" w:cs="Arial"/>
          <w:sz w:val="24"/>
          <w:szCs w:val="24"/>
        </w:rPr>
      </w:pPr>
      <w:r w:rsidRPr="00E136D8">
        <w:rPr>
          <w:rFonts w:ascii="Arial" w:hAnsi="Arial" w:cs="Arial"/>
          <w:sz w:val="24"/>
          <w:szCs w:val="24"/>
        </w:rPr>
        <w:t>The well-built dealer network and its connection with in-country manufacturing plants are critical for Japan's operations (Abe, Lin and Takase, 2019). By contrast, Toyota has large manufacturing facilities, distribution centres and dealership networks in the United States, thus cutting down on logistics costs and getting a better response to local demand</w:t>
      </w:r>
      <w:r w:rsidR="00315A95" w:rsidRPr="00E136D8">
        <w:rPr>
          <w:rFonts w:ascii="Arial" w:hAnsi="Arial" w:cs="Arial"/>
          <w:sz w:val="24"/>
          <w:szCs w:val="24"/>
        </w:rPr>
        <w:t>.</w:t>
      </w:r>
    </w:p>
    <w:p w14:paraId="0D353892" w14:textId="5EB4D36A" w:rsidR="00315A95" w:rsidRPr="00E136D8" w:rsidRDefault="00E136D8" w:rsidP="00DE1972">
      <w:pPr>
        <w:pStyle w:val="Heading2"/>
        <w:jc w:val="both"/>
      </w:pPr>
      <w:bookmarkStart w:id="29" w:name="_Toc235559664"/>
      <w:r>
        <w:t xml:space="preserve">2.6.4 </w:t>
      </w:r>
      <w:r w:rsidR="00315A95" w:rsidRPr="00E136D8">
        <w:t>Promotion</w:t>
      </w:r>
      <w:bookmarkEnd w:id="29"/>
    </w:p>
    <w:p w14:paraId="4F187CDB" w14:textId="1A279178" w:rsidR="007972A2" w:rsidRPr="00E136D8" w:rsidRDefault="007972A2" w:rsidP="00DE1972">
      <w:pPr>
        <w:spacing w:line="360" w:lineRule="auto"/>
        <w:jc w:val="both"/>
        <w:rPr>
          <w:rFonts w:ascii="Arial" w:hAnsi="Arial" w:cs="Arial"/>
          <w:sz w:val="24"/>
          <w:szCs w:val="24"/>
        </w:rPr>
      </w:pPr>
      <w:r w:rsidRPr="00E136D8">
        <w:rPr>
          <w:rFonts w:ascii="Arial" w:hAnsi="Arial" w:cs="Arial"/>
          <w:sz w:val="24"/>
          <w:szCs w:val="24"/>
        </w:rPr>
        <w:t>There are many different types of promotion. Emotional branding, lifestyle appeal, digital marketing and sponsorship activities are key components of U.S. campaigns, while quality, safety, and technological innovation are key elements of Japanese campaigns.</w:t>
      </w:r>
    </w:p>
    <w:p w14:paraId="09FD134D" w14:textId="4A8BFE1E" w:rsidR="00315A95" w:rsidRPr="00E136D8" w:rsidRDefault="00E136D8" w:rsidP="00DE1972">
      <w:pPr>
        <w:pStyle w:val="Heading2"/>
        <w:jc w:val="both"/>
      </w:pPr>
      <w:bookmarkStart w:id="30" w:name="_Toc235559665"/>
      <w:r>
        <w:t xml:space="preserve">2.6.5 </w:t>
      </w:r>
      <w:r w:rsidR="00315A95" w:rsidRPr="00E136D8">
        <w:t>People</w:t>
      </w:r>
      <w:bookmarkEnd w:id="30"/>
    </w:p>
    <w:p w14:paraId="205CB562" w14:textId="77777777" w:rsidR="006C427E" w:rsidRPr="00E136D8" w:rsidRDefault="007972A2" w:rsidP="00DE1972">
      <w:pPr>
        <w:spacing w:line="360" w:lineRule="auto"/>
        <w:jc w:val="both"/>
        <w:rPr>
          <w:rFonts w:ascii="Arial" w:hAnsi="Arial" w:cs="Arial"/>
          <w:sz w:val="24"/>
          <w:szCs w:val="24"/>
        </w:rPr>
      </w:pPr>
      <w:r w:rsidRPr="00E136D8">
        <w:rPr>
          <w:rFonts w:ascii="Arial" w:hAnsi="Arial" w:cs="Arial"/>
          <w:sz w:val="24"/>
          <w:szCs w:val="24"/>
        </w:rPr>
        <w:t>Toyota spends considerable amount of money in employee training and customer service, both in the two countries. But the Japanese customer interactions are about</w:t>
      </w:r>
    </w:p>
    <w:p w14:paraId="22F76225" w14:textId="29F46894" w:rsidR="007972A2" w:rsidRPr="00E136D8" w:rsidRDefault="007972A2" w:rsidP="00DE1972">
      <w:pPr>
        <w:spacing w:line="360" w:lineRule="auto"/>
        <w:jc w:val="both"/>
        <w:rPr>
          <w:rFonts w:ascii="Arial" w:hAnsi="Arial" w:cs="Arial"/>
          <w:sz w:val="24"/>
          <w:szCs w:val="24"/>
        </w:rPr>
      </w:pPr>
      <w:r w:rsidRPr="00E136D8">
        <w:rPr>
          <w:rFonts w:ascii="Arial" w:hAnsi="Arial" w:cs="Arial"/>
          <w:sz w:val="24"/>
          <w:szCs w:val="24"/>
        </w:rPr>
        <w:lastRenderedPageBreak/>
        <w:t>nurturing customer relationships and service quality, whereas the U.S. dealership interactions are about providing the personalized customer experience and sales responsiveness.</w:t>
      </w:r>
    </w:p>
    <w:p w14:paraId="68059DD3" w14:textId="61975F10" w:rsidR="00315A95" w:rsidRPr="00E136D8" w:rsidRDefault="00E136D8" w:rsidP="00DE1972">
      <w:pPr>
        <w:pStyle w:val="Heading2"/>
        <w:jc w:val="both"/>
      </w:pPr>
      <w:bookmarkStart w:id="31" w:name="_Toc235559666"/>
      <w:r>
        <w:t xml:space="preserve">2.6.6 </w:t>
      </w:r>
      <w:r w:rsidR="00315A95" w:rsidRPr="00E136D8">
        <w:t>Process</w:t>
      </w:r>
      <w:bookmarkEnd w:id="31"/>
    </w:p>
    <w:p w14:paraId="764863B6" w14:textId="1FA72C3F" w:rsidR="004277E3" w:rsidRPr="00E136D8" w:rsidRDefault="007972A2" w:rsidP="00DE1972">
      <w:pPr>
        <w:spacing w:line="360" w:lineRule="auto"/>
        <w:jc w:val="both"/>
        <w:rPr>
          <w:rFonts w:ascii="Arial" w:hAnsi="Arial" w:cs="Arial"/>
          <w:sz w:val="24"/>
          <w:szCs w:val="24"/>
        </w:rPr>
      </w:pPr>
      <w:r w:rsidRPr="00E136D8">
        <w:rPr>
          <w:rFonts w:ascii="Arial" w:hAnsi="Arial" w:cs="Arial"/>
          <w:sz w:val="24"/>
          <w:szCs w:val="24"/>
        </w:rPr>
        <w:t xml:space="preserve">The Toyota Production System is standardised for operational efficiency in all of Toyota's operations, with purchasing and after-sales modified to meet expectations in the local market. Online retail, services and flexible financing are more important in the United States than they are in the Japanese market. </w:t>
      </w:r>
    </w:p>
    <w:p w14:paraId="0E0B8F87" w14:textId="1480928A" w:rsidR="00315A95" w:rsidRPr="00E136D8" w:rsidRDefault="00E136D8" w:rsidP="00DE1972">
      <w:pPr>
        <w:pStyle w:val="Heading2"/>
        <w:jc w:val="both"/>
      </w:pPr>
      <w:bookmarkStart w:id="32" w:name="_Toc235559667"/>
      <w:r>
        <w:t xml:space="preserve">2.6.7 </w:t>
      </w:r>
      <w:r w:rsidR="00315A95" w:rsidRPr="00E136D8">
        <w:t>Physical Evidence</w:t>
      </w:r>
      <w:bookmarkEnd w:id="32"/>
    </w:p>
    <w:p w14:paraId="03708F5E" w14:textId="1AFC0C45" w:rsidR="00397782" w:rsidRPr="00E136D8" w:rsidRDefault="004277E3" w:rsidP="00DE1972">
      <w:pPr>
        <w:spacing w:line="360" w:lineRule="auto"/>
        <w:jc w:val="both"/>
        <w:rPr>
          <w:rFonts w:ascii="Arial" w:hAnsi="Arial" w:cs="Arial"/>
          <w:sz w:val="24"/>
          <w:szCs w:val="24"/>
        </w:rPr>
      </w:pPr>
      <w:r w:rsidRPr="00E136D8">
        <w:rPr>
          <w:rFonts w:ascii="Arial" w:hAnsi="Arial" w:cs="Arial"/>
          <w:sz w:val="24"/>
          <w:szCs w:val="24"/>
        </w:rPr>
        <w:t>Toyota's clear brand identity across all its dealerships and vehicles, as well as corporate presentation, helps to reinforce Toyota's brand. However, U.S. showrooms typically offer more customer experience and digital customer interactions, while Japanese dealerships focus on better operations and customer service. Toyota's international marketing mix highlights that it is not prudent to completely standardise marketing products in global markets; hence, one can state that the marketing mix has to be selectively adapted, which is what Toyota has done. While the Company has a uniform global brand that emphasizes the quality, innovation and reliability of its products, it adjusts product attributes, pricing, distribution and promotion methods to meet the different institutional and consumer needs of Japan and the U.S. Through this adaptive approach, Toyota can enhance the value for customers and maintain competitiveness in both markets (Kotler et al., 2024; Hollensen, 2022).</w:t>
      </w:r>
    </w:p>
    <w:p w14:paraId="66ED9EA3" w14:textId="7A9D6675" w:rsidR="00397782" w:rsidRPr="00E136D8" w:rsidRDefault="00397782" w:rsidP="00DE1972">
      <w:pPr>
        <w:spacing w:line="360" w:lineRule="auto"/>
        <w:jc w:val="both"/>
        <w:rPr>
          <w:rFonts w:ascii="Arial" w:hAnsi="Arial" w:cs="Arial"/>
          <w:sz w:val="24"/>
          <w:szCs w:val="24"/>
        </w:rPr>
      </w:pPr>
      <w:r w:rsidRPr="00E136D8">
        <w:rPr>
          <w:rFonts w:ascii="Arial" w:hAnsi="Arial" w:cs="Arial"/>
          <w:noProof/>
          <w:sz w:val="24"/>
          <w:szCs w:val="24"/>
        </w:rPr>
        <w:lastRenderedPageBreak/>
        <w:drawing>
          <wp:inline distT="0" distB="0" distL="0" distR="0" wp14:anchorId="10BA9DDD" wp14:editId="52667CD4">
            <wp:extent cx="6053696" cy="4350200"/>
            <wp:effectExtent l="0" t="0" r="4445" b="0"/>
            <wp:docPr id="14851311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7155" b="5013"/>
                    <a:stretch>
                      <a:fillRect/>
                    </a:stretch>
                  </pic:blipFill>
                  <pic:spPr bwMode="auto">
                    <a:xfrm>
                      <a:off x="0" y="0"/>
                      <a:ext cx="6095867" cy="4380504"/>
                    </a:xfrm>
                    <a:prstGeom prst="rect">
                      <a:avLst/>
                    </a:prstGeom>
                    <a:noFill/>
                    <a:ln>
                      <a:noFill/>
                    </a:ln>
                    <a:extLst>
                      <a:ext uri="{53640926-AAD7-44D8-BBD7-CCE9431645EC}">
                        <a14:shadowObscured xmlns:a14="http://schemas.microsoft.com/office/drawing/2010/main"/>
                      </a:ext>
                    </a:extLst>
                  </pic:spPr>
                </pic:pic>
              </a:graphicData>
            </a:graphic>
          </wp:inline>
        </w:drawing>
      </w:r>
    </w:p>
    <w:p w14:paraId="71ADAF04" w14:textId="46655C3D" w:rsidR="00315A95" w:rsidRPr="00E136D8" w:rsidRDefault="00315A95" w:rsidP="00DE1972">
      <w:pPr>
        <w:spacing w:line="360" w:lineRule="auto"/>
        <w:jc w:val="center"/>
        <w:rPr>
          <w:rFonts w:ascii="Arial" w:hAnsi="Arial" w:cs="Arial"/>
          <w:u w:val="single"/>
        </w:rPr>
      </w:pPr>
      <w:r w:rsidRPr="00E136D8">
        <w:rPr>
          <w:rFonts w:ascii="Arial" w:hAnsi="Arial" w:cs="Arial"/>
          <w:b/>
          <w:bCs/>
          <w:u w:val="single"/>
        </w:rPr>
        <w:t xml:space="preserve">Figure </w:t>
      </w:r>
      <w:r w:rsidR="00ED2F1B" w:rsidRPr="00E136D8">
        <w:rPr>
          <w:rFonts w:ascii="Arial" w:hAnsi="Arial" w:cs="Arial"/>
          <w:b/>
          <w:bCs/>
          <w:u w:val="single"/>
        </w:rPr>
        <w:t>4</w:t>
      </w:r>
      <w:r w:rsidRPr="00E136D8">
        <w:rPr>
          <w:rFonts w:ascii="Arial" w:hAnsi="Arial" w:cs="Arial"/>
          <w:b/>
          <w:bCs/>
          <w:u w:val="single"/>
        </w:rPr>
        <w:t>.</w:t>
      </w:r>
      <w:r w:rsidRPr="00E136D8">
        <w:rPr>
          <w:rFonts w:ascii="Arial" w:hAnsi="Arial" w:cs="Arial"/>
          <w:u w:val="single"/>
        </w:rPr>
        <w:t xml:space="preserve"> Comparative analysis of Toyota's 7Ps marketing mix in Japan and the United States.</w:t>
      </w:r>
    </w:p>
    <w:p w14:paraId="2F20264A" w14:textId="77777777" w:rsidR="00315A95" w:rsidRPr="00E136D8" w:rsidRDefault="00315A95" w:rsidP="00DE1972">
      <w:pPr>
        <w:spacing w:line="360" w:lineRule="auto"/>
        <w:jc w:val="center"/>
        <w:rPr>
          <w:rFonts w:ascii="Arial" w:hAnsi="Arial" w:cs="Arial"/>
          <w:u w:val="single"/>
        </w:rPr>
      </w:pPr>
      <w:r w:rsidRPr="00E136D8">
        <w:rPr>
          <w:rFonts w:ascii="Arial" w:hAnsi="Arial" w:cs="Arial"/>
          <w:b/>
          <w:bCs/>
          <w:u w:val="single"/>
        </w:rPr>
        <w:t>Source:</w:t>
      </w:r>
      <w:r w:rsidRPr="00E136D8">
        <w:rPr>
          <w:rFonts w:ascii="Arial" w:hAnsi="Arial" w:cs="Arial"/>
          <w:u w:val="single"/>
        </w:rPr>
        <w:t xml:space="preserve"> Adapted by the author from Kotler et al. (2024), Hollensen (2022) and Toyota Motor Corporation (2025a).</w:t>
      </w:r>
    </w:p>
    <w:p w14:paraId="62546444" w14:textId="646A76B1" w:rsidR="00EE2076" w:rsidRPr="00E136D8" w:rsidRDefault="00EE2076" w:rsidP="00DE1972">
      <w:pPr>
        <w:spacing w:line="360" w:lineRule="auto"/>
        <w:jc w:val="both"/>
        <w:rPr>
          <w:rFonts w:ascii="Arial" w:hAnsi="Arial" w:cs="Arial"/>
          <w:sz w:val="24"/>
          <w:szCs w:val="24"/>
        </w:rPr>
      </w:pPr>
    </w:p>
    <w:p w14:paraId="1ED596C4" w14:textId="7056C185" w:rsidR="00397782" w:rsidRPr="00E136D8" w:rsidRDefault="00E136D8" w:rsidP="00E136D8">
      <w:pPr>
        <w:pStyle w:val="Heading2"/>
      </w:pPr>
      <w:bookmarkStart w:id="33" w:name="_Toc235559668"/>
      <w:r>
        <w:t xml:space="preserve">2.7 </w:t>
      </w:r>
      <w:r w:rsidR="00397782" w:rsidRPr="00E136D8">
        <w:t>Analysis of Toyota's Market Entry Strategy in the United States</w:t>
      </w:r>
      <w:bookmarkEnd w:id="33"/>
    </w:p>
    <w:p w14:paraId="03058F1C" w14:textId="1823C4BD" w:rsidR="00397782" w:rsidRPr="00E136D8" w:rsidRDefault="00E136D8" w:rsidP="00DE1972">
      <w:pPr>
        <w:pStyle w:val="Heading2"/>
        <w:jc w:val="both"/>
      </w:pPr>
      <w:bookmarkStart w:id="34" w:name="_Toc235559669"/>
      <w:r>
        <w:t xml:space="preserve">2.7.1 </w:t>
      </w:r>
      <w:r w:rsidR="00397782" w:rsidRPr="00E136D8">
        <w:t>Overview of the Entry Strategy</w:t>
      </w:r>
      <w:bookmarkEnd w:id="34"/>
    </w:p>
    <w:p w14:paraId="3712A676" w14:textId="4B3663A6" w:rsidR="004277E3" w:rsidRPr="00E136D8" w:rsidRDefault="004277E3" w:rsidP="00DE1972">
      <w:pPr>
        <w:spacing w:line="360" w:lineRule="auto"/>
        <w:jc w:val="both"/>
        <w:rPr>
          <w:rFonts w:ascii="Arial" w:hAnsi="Arial" w:cs="Arial"/>
          <w:sz w:val="24"/>
          <w:szCs w:val="24"/>
        </w:rPr>
      </w:pPr>
      <w:r w:rsidRPr="00E136D8">
        <w:rPr>
          <w:rFonts w:ascii="Arial" w:hAnsi="Arial" w:cs="Arial"/>
          <w:sz w:val="24"/>
          <w:szCs w:val="24"/>
        </w:rPr>
        <w:t xml:space="preserve">Toyota's entry into the United States is one of the most successful and is an example of an international market entry strategy in the automotive industry. Toyota gradually reduced its dependence on Japanese exports, opening manufacturing plants and research and development centres, and establishing a network of dealerships. This approach helped the company become more responsive to customers, decrease </w:t>
      </w:r>
      <w:r w:rsidRPr="00E136D8">
        <w:rPr>
          <w:rFonts w:ascii="Arial" w:hAnsi="Arial" w:cs="Arial"/>
          <w:sz w:val="24"/>
          <w:szCs w:val="24"/>
        </w:rPr>
        <w:lastRenderedPageBreak/>
        <w:t>operating expenses, and position the company to sustain its competitive positioning in the U.S. market (Toyota Motor Corporation, 2025a).</w:t>
      </w:r>
    </w:p>
    <w:p w14:paraId="1D0EEBCB" w14:textId="55E91B8D" w:rsidR="00397782" w:rsidRPr="00E136D8" w:rsidRDefault="00E136D8" w:rsidP="00DE1972">
      <w:pPr>
        <w:pStyle w:val="Heading2"/>
        <w:jc w:val="both"/>
      </w:pPr>
      <w:bookmarkStart w:id="35" w:name="_Toc235559670"/>
      <w:r>
        <w:t xml:space="preserve">2.7.2 </w:t>
      </w:r>
      <w:r w:rsidR="00397782" w:rsidRPr="00E136D8">
        <w:t>Entry Mode</w:t>
      </w:r>
      <w:bookmarkEnd w:id="35"/>
    </w:p>
    <w:p w14:paraId="7CC3769F" w14:textId="7012135A" w:rsidR="00DE1972" w:rsidRPr="00E136D8" w:rsidRDefault="004277E3" w:rsidP="00DE1972">
      <w:pPr>
        <w:spacing w:line="360" w:lineRule="auto"/>
        <w:jc w:val="both"/>
        <w:rPr>
          <w:rFonts w:ascii="Arial" w:hAnsi="Arial" w:cs="Arial"/>
          <w:sz w:val="24"/>
          <w:szCs w:val="24"/>
        </w:rPr>
      </w:pPr>
      <w:r w:rsidRPr="00E136D8">
        <w:rPr>
          <w:rFonts w:ascii="Arial" w:hAnsi="Arial" w:cs="Arial"/>
          <w:sz w:val="24"/>
          <w:szCs w:val="24"/>
        </w:rPr>
        <w:t xml:space="preserve">Toyota's first exposure to the United States was in the form of exports in the late 1950s before shifting to foreign direct investment (FDI) and strategic joint ventures. One of the major achievements was the NUMMI joint venture with General Motors in California, which offered an invaluable opportunity to see what consumers in California want and how manufacturing is done there. Toyota then progressively started building manufacturing plants in the United States, which were all owned by Toyota, and it was taking the first step towards market commitment instead of market access (Hill, 2022). </w:t>
      </w:r>
      <w:r w:rsidR="00DE078D" w:rsidRPr="00E136D8">
        <w:rPr>
          <w:rFonts w:ascii="Arial" w:hAnsi="Arial" w:cs="Arial"/>
          <w:sz w:val="24"/>
          <w:szCs w:val="24"/>
        </w:rPr>
        <w:t>This stepped-in approach lowered investment risk and strengthened Toyota's competitiveness in the local market.</w:t>
      </w:r>
    </w:p>
    <w:p w14:paraId="3F129F0F" w14:textId="1C86DC70" w:rsidR="00397782" w:rsidRPr="00E136D8" w:rsidRDefault="00397782" w:rsidP="00DE1972">
      <w:pPr>
        <w:spacing w:line="360" w:lineRule="auto"/>
        <w:jc w:val="both"/>
        <w:rPr>
          <w:rFonts w:ascii="Arial" w:hAnsi="Arial" w:cs="Arial"/>
          <w:sz w:val="24"/>
          <w:szCs w:val="24"/>
        </w:rPr>
      </w:pPr>
      <w:r w:rsidRPr="00E136D8">
        <w:rPr>
          <w:rFonts w:ascii="Arial" w:hAnsi="Arial" w:cs="Arial"/>
          <w:noProof/>
          <w:sz w:val="24"/>
          <w:szCs w:val="24"/>
        </w:rPr>
        <w:drawing>
          <wp:inline distT="0" distB="0" distL="0" distR="0" wp14:anchorId="695AD86E" wp14:editId="5ACC2D26">
            <wp:extent cx="6006662" cy="3357855"/>
            <wp:effectExtent l="0" t="0" r="0" b="0"/>
            <wp:docPr id="65580291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3">
                      <a:extLst>
                        <a:ext uri="{28A0092B-C50C-407E-A947-70E740481C1C}">
                          <a14:useLocalDpi xmlns:a14="http://schemas.microsoft.com/office/drawing/2010/main" val="0"/>
                        </a:ext>
                      </a:extLst>
                    </a:blip>
                    <a:srcRect b="19081"/>
                    <a:stretch>
                      <a:fillRect/>
                    </a:stretch>
                  </pic:blipFill>
                  <pic:spPr bwMode="auto">
                    <a:xfrm>
                      <a:off x="0" y="0"/>
                      <a:ext cx="6032778" cy="3372455"/>
                    </a:xfrm>
                    <a:prstGeom prst="rect">
                      <a:avLst/>
                    </a:prstGeom>
                    <a:noFill/>
                    <a:ln>
                      <a:noFill/>
                    </a:ln>
                    <a:extLst>
                      <a:ext uri="{53640926-AAD7-44D8-BBD7-CCE9431645EC}">
                        <a14:shadowObscured xmlns:a14="http://schemas.microsoft.com/office/drawing/2010/main"/>
                      </a:ext>
                    </a:extLst>
                  </pic:spPr>
                </pic:pic>
              </a:graphicData>
            </a:graphic>
          </wp:inline>
        </w:drawing>
      </w:r>
    </w:p>
    <w:p w14:paraId="0A15E054" w14:textId="723FAAB0" w:rsidR="00397782" w:rsidRPr="00E136D8" w:rsidRDefault="00397782" w:rsidP="00DE1972">
      <w:pPr>
        <w:spacing w:line="360" w:lineRule="auto"/>
        <w:jc w:val="center"/>
        <w:rPr>
          <w:rFonts w:ascii="Arial" w:hAnsi="Arial" w:cs="Arial"/>
          <w:u w:val="single"/>
        </w:rPr>
      </w:pPr>
      <w:r w:rsidRPr="00E136D8">
        <w:rPr>
          <w:rFonts w:ascii="Arial" w:hAnsi="Arial" w:cs="Arial"/>
          <w:u w:val="single"/>
        </w:rPr>
        <w:t xml:space="preserve">Figure </w:t>
      </w:r>
      <w:r w:rsidR="00ED2F1B" w:rsidRPr="00E136D8">
        <w:rPr>
          <w:rFonts w:ascii="Arial" w:hAnsi="Arial" w:cs="Arial"/>
          <w:u w:val="single"/>
        </w:rPr>
        <w:t>5</w:t>
      </w:r>
      <w:r w:rsidRPr="00E136D8">
        <w:rPr>
          <w:rFonts w:ascii="Arial" w:hAnsi="Arial" w:cs="Arial"/>
          <w:u w:val="single"/>
        </w:rPr>
        <w:t>. Toyota's market entry strategy in the United States</w:t>
      </w:r>
    </w:p>
    <w:p w14:paraId="044BBC34" w14:textId="77777777" w:rsidR="00397782" w:rsidRPr="00E136D8" w:rsidRDefault="00397782" w:rsidP="00DE1972">
      <w:pPr>
        <w:spacing w:line="360" w:lineRule="auto"/>
        <w:jc w:val="center"/>
        <w:rPr>
          <w:rFonts w:ascii="Arial" w:hAnsi="Arial" w:cs="Arial"/>
          <w:u w:val="single"/>
        </w:rPr>
      </w:pPr>
      <w:r w:rsidRPr="00E136D8">
        <w:rPr>
          <w:rFonts w:ascii="Arial" w:hAnsi="Arial" w:cs="Arial"/>
          <w:i/>
          <w:iCs/>
          <w:u w:val="single"/>
        </w:rPr>
        <w:t>Source: Adapted by the author from Hill (2022) and Toyota Motor Corporation (2025a).</w:t>
      </w:r>
    </w:p>
    <w:p w14:paraId="687FC784" w14:textId="4FF190A8" w:rsidR="00397782" w:rsidRPr="00E136D8" w:rsidRDefault="00E136D8" w:rsidP="00DE1972">
      <w:pPr>
        <w:pStyle w:val="Heading2"/>
        <w:jc w:val="both"/>
      </w:pPr>
      <w:bookmarkStart w:id="36" w:name="_Toc235559671"/>
      <w:r>
        <w:lastRenderedPageBreak/>
        <w:t>2.7.3</w:t>
      </w:r>
      <w:r w:rsidR="00397782" w:rsidRPr="00E136D8">
        <w:t xml:space="preserve"> Reasons for the Chosen Strategy</w:t>
      </w:r>
      <w:bookmarkEnd w:id="36"/>
    </w:p>
    <w:p w14:paraId="54B2330D" w14:textId="0099AADB" w:rsidR="004277E3" w:rsidRPr="00E136D8" w:rsidRDefault="004277E3" w:rsidP="00DE1972">
      <w:pPr>
        <w:spacing w:line="360" w:lineRule="auto"/>
        <w:jc w:val="both"/>
        <w:rPr>
          <w:rFonts w:ascii="Arial" w:hAnsi="Arial" w:cs="Arial"/>
          <w:sz w:val="24"/>
          <w:szCs w:val="24"/>
        </w:rPr>
      </w:pPr>
      <w:r w:rsidRPr="00E136D8">
        <w:rPr>
          <w:rFonts w:ascii="Arial" w:hAnsi="Arial" w:cs="Arial"/>
          <w:sz w:val="24"/>
          <w:szCs w:val="24"/>
        </w:rPr>
        <w:t>The size and profitability of the U.S. car market, rising trade barriers and the need for a quick response to consumer demand, were key factors in Toyota's decision on how to enter the market. U.S. manufacturing reduced transportation costs and minimised tariff exposure and increased supply chain efficiency. Additionally, the local production boosted Toyota's corporate image and provided job opportunities and local economic development, fostering an environment of trust and acceptance among the customers and stakeholders (Toyota Motor Corporation, 2025a; Hollensen, 2022).</w:t>
      </w:r>
    </w:p>
    <w:p w14:paraId="2E401ED6" w14:textId="13869B8A" w:rsidR="00397782" w:rsidRPr="00E136D8" w:rsidRDefault="00E136D8" w:rsidP="00DE1972">
      <w:pPr>
        <w:pStyle w:val="Heading2"/>
        <w:jc w:val="both"/>
      </w:pPr>
      <w:bookmarkStart w:id="37" w:name="_Toc235559672"/>
      <w:r>
        <w:t xml:space="preserve">2.7.4 </w:t>
      </w:r>
      <w:r w:rsidR="00397782" w:rsidRPr="00E136D8">
        <w:t>Critical Evaluation of Success and Challenges</w:t>
      </w:r>
      <w:bookmarkEnd w:id="37"/>
    </w:p>
    <w:p w14:paraId="1BE69003" w14:textId="223C34FB" w:rsidR="004277E3" w:rsidRPr="00E136D8" w:rsidRDefault="004277E3" w:rsidP="00DE1972">
      <w:pPr>
        <w:spacing w:line="360" w:lineRule="auto"/>
        <w:jc w:val="both"/>
        <w:rPr>
          <w:rFonts w:ascii="Arial" w:hAnsi="Arial" w:cs="Arial"/>
          <w:sz w:val="24"/>
          <w:szCs w:val="24"/>
        </w:rPr>
      </w:pPr>
      <w:r w:rsidRPr="00E136D8">
        <w:rPr>
          <w:rFonts w:ascii="Arial" w:hAnsi="Arial" w:cs="Arial"/>
          <w:sz w:val="24"/>
          <w:szCs w:val="24"/>
        </w:rPr>
        <w:t xml:space="preserve">Toyota's approach of localisation has greatly bolstered its market presence, with the United States emerging as its biggest market abroad with around 2.3 million vehicle sales in 2025 (Toyota Motor Corporation, 2025a). By producing locally, operational flexibility and customer responsiveness have been increased while at the same time political and supply chain risks have been minimized. But as a result, Toyota has faced fierce competition from other domestic automakers, and from electric vehicle (EV) makers like Tesla and the electronics sector, and stricter emissions and vehicle electrification rules. As a result, while Toyota's market entry strategy has been very successful, achieving competitive advantage will require increased investments into battery electric vehicles and in digital mobility solutions. </w:t>
      </w:r>
    </w:p>
    <w:p w14:paraId="1EFD67A9" w14:textId="29A3B6F4" w:rsidR="00397782" w:rsidRPr="00E136D8" w:rsidRDefault="00E136D8" w:rsidP="00E136D8">
      <w:pPr>
        <w:pStyle w:val="Heading2"/>
      </w:pPr>
      <w:bookmarkStart w:id="38" w:name="_Toc235559673"/>
      <w:r>
        <w:t xml:space="preserve">2.8 </w:t>
      </w:r>
      <w:r w:rsidR="00397782" w:rsidRPr="00E136D8">
        <w:t>Evaluation of Ethical Issues in Toyota's Marketing Activities</w:t>
      </w:r>
      <w:bookmarkEnd w:id="38"/>
    </w:p>
    <w:p w14:paraId="7A7E856C" w14:textId="048E5259" w:rsidR="00397782" w:rsidRPr="00E136D8" w:rsidRDefault="00E136D8" w:rsidP="00DE1972">
      <w:pPr>
        <w:pStyle w:val="Heading2"/>
        <w:jc w:val="both"/>
      </w:pPr>
      <w:bookmarkStart w:id="39" w:name="_Toc235559674"/>
      <w:r>
        <w:t xml:space="preserve">2.8.1 </w:t>
      </w:r>
      <w:r w:rsidR="00397782" w:rsidRPr="00E136D8">
        <w:t>Overview of the Ethical Issue</w:t>
      </w:r>
      <w:bookmarkEnd w:id="39"/>
    </w:p>
    <w:p w14:paraId="74643282" w14:textId="2AADDFE9" w:rsidR="004277E3" w:rsidRPr="00E136D8" w:rsidRDefault="004277E3" w:rsidP="00DE1972">
      <w:pPr>
        <w:spacing w:line="360" w:lineRule="auto"/>
        <w:jc w:val="both"/>
        <w:rPr>
          <w:rFonts w:ascii="Arial" w:hAnsi="Arial" w:cs="Arial"/>
          <w:sz w:val="24"/>
          <w:szCs w:val="24"/>
        </w:rPr>
      </w:pPr>
      <w:r w:rsidRPr="00E136D8">
        <w:rPr>
          <w:rFonts w:ascii="Arial" w:hAnsi="Arial" w:cs="Arial"/>
          <w:sz w:val="24"/>
          <w:szCs w:val="24"/>
        </w:rPr>
        <w:t xml:space="preserve">The one of the most important ethical concerns for Toyota's international marketing is the dilemma of how to reconcile environmentally friendly business practices with worldwide progress towards ZEV mobility. While Toyota has been a leader in hybrid technology with the Prius, its investment in hydrogen fuel cell technology has been significant, but the company has been criticised for its slower pace than some of its global rivals in transitioning to battery electric vehicles (IEA, 2025). </w:t>
      </w:r>
    </w:p>
    <w:p w14:paraId="1B588D81" w14:textId="11FF7F3F" w:rsidR="00397782" w:rsidRPr="00E136D8" w:rsidRDefault="00E136D8" w:rsidP="00DE1972">
      <w:pPr>
        <w:pStyle w:val="Heading2"/>
        <w:jc w:val="both"/>
      </w:pPr>
      <w:bookmarkStart w:id="40" w:name="_Toc235559675"/>
      <w:r>
        <w:lastRenderedPageBreak/>
        <w:t xml:space="preserve">2.8.2 </w:t>
      </w:r>
      <w:r w:rsidRPr="00E136D8">
        <w:t>Critical</w:t>
      </w:r>
      <w:r w:rsidR="00397782" w:rsidRPr="00E136D8">
        <w:t xml:space="preserve"> Evaluation</w:t>
      </w:r>
      <w:bookmarkEnd w:id="40"/>
    </w:p>
    <w:p w14:paraId="4F0B1D23" w14:textId="77777777" w:rsidR="00DE078D" w:rsidRPr="00E136D8" w:rsidRDefault="004277E3" w:rsidP="00DE1972">
      <w:pPr>
        <w:spacing w:line="360" w:lineRule="auto"/>
        <w:jc w:val="both"/>
        <w:rPr>
          <w:rFonts w:ascii="Arial" w:hAnsi="Arial" w:cs="Arial"/>
          <w:sz w:val="24"/>
          <w:szCs w:val="24"/>
        </w:rPr>
      </w:pPr>
      <w:r w:rsidRPr="00E136D8">
        <w:rPr>
          <w:rFonts w:ascii="Arial" w:hAnsi="Arial" w:cs="Arial"/>
          <w:sz w:val="24"/>
          <w:szCs w:val="24"/>
        </w:rPr>
        <w:t>Toyota believes that with hybrid, battery electric and hydrogen, a multi-pathway approach to electrification can help deliver a greener solution in various markets globally. This takes account of the different infrastructure, consumer affordability and national energy policies. But the company's conservative stance on battery electric vehicles could hamper it in places where governments are increasingly pushing for 100% electrification. This presents Toyota with a strategic dilemma in terms of diversifying its technology while managing the expectations of various stakeholders in relation to climate responsibility and sustainable mobility (Kotler et al., 2024; IEA, 2025).</w:t>
      </w:r>
    </w:p>
    <w:p w14:paraId="2D21BECA" w14:textId="02032E12" w:rsidR="002D148B" w:rsidRPr="00E136D8" w:rsidRDefault="002D148B" w:rsidP="00DE1972">
      <w:pPr>
        <w:spacing w:line="360" w:lineRule="auto"/>
        <w:jc w:val="both"/>
        <w:rPr>
          <w:rFonts w:ascii="Arial" w:hAnsi="Arial" w:cs="Arial"/>
          <w:sz w:val="24"/>
          <w:szCs w:val="24"/>
        </w:rPr>
      </w:pPr>
      <w:r w:rsidRPr="00E136D8">
        <w:rPr>
          <w:rFonts w:ascii="Arial" w:hAnsi="Arial" w:cs="Arial"/>
          <w:noProof/>
          <w:sz w:val="24"/>
          <w:szCs w:val="24"/>
        </w:rPr>
        <w:drawing>
          <wp:inline distT="0" distB="0" distL="0" distR="0" wp14:anchorId="217C64A5" wp14:editId="5A748A22">
            <wp:extent cx="6134100" cy="3505200"/>
            <wp:effectExtent l="0" t="0" r="0" b="0"/>
            <wp:docPr id="64122328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b="14286"/>
                    <a:stretch>
                      <a:fillRect/>
                    </a:stretch>
                  </pic:blipFill>
                  <pic:spPr bwMode="auto">
                    <a:xfrm>
                      <a:off x="0" y="0"/>
                      <a:ext cx="6134100" cy="3505200"/>
                    </a:xfrm>
                    <a:prstGeom prst="rect">
                      <a:avLst/>
                    </a:prstGeom>
                    <a:noFill/>
                    <a:ln>
                      <a:noFill/>
                    </a:ln>
                    <a:extLst>
                      <a:ext uri="{53640926-AAD7-44D8-BBD7-CCE9431645EC}">
                        <a14:shadowObscured xmlns:a14="http://schemas.microsoft.com/office/drawing/2010/main"/>
                      </a:ext>
                    </a:extLst>
                  </pic:spPr>
                </pic:pic>
              </a:graphicData>
            </a:graphic>
          </wp:inline>
        </w:drawing>
      </w:r>
    </w:p>
    <w:p w14:paraId="4501FBF4" w14:textId="63EF0010" w:rsidR="00397782" w:rsidRPr="00E136D8" w:rsidRDefault="00397782" w:rsidP="00DE078D">
      <w:pPr>
        <w:spacing w:line="360" w:lineRule="auto"/>
        <w:jc w:val="center"/>
        <w:rPr>
          <w:rFonts w:ascii="Arial" w:hAnsi="Arial" w:cs="Arial"/>
          <w:u w:val="single"/>
        </w:rPr>
      </w:pPr>
      <w:r w:rsidRPr="00E136D8">
        <w:rPr>
          <w:rFonts w:ascii="Arial" w:hAnsi="Arial" w:cs="Arial"/>
          <w:u w:val="single"/>
        </w:rPr>
        <w:t xml:space="preserve">Figure </w:t>
      </w:r>
      <w:r w:rsidR="00DE1972" w:rsidRPr="00E136D8">
        <w:rPr>
          <w:rFonts w:ascii="Arial" w:hAnsi="Arial" w:cs="Arial"/>
          <w:u w:val="single"/>
        </w:rPr>
        <w:t>6</w:t>
      </w:r>
      <w:r w:rsidRPr="00E136D8">
        <w:rPr>
          <w:rFonts w:ascii="Arial" w:hAnsi="Arial" w:cs="Arial"/>
          <w:u w:val="single"/>
        </w:rPr>
        <w:t>. Toyota's sustainable mobility strategy</w:t>
      </w:r>
    </w:p>
    <w:p w14:paraId="782BAB3C" w14:textId="77777777" w:rsidR="00397782" w:rsidRPr="00E136D8" w:rsidRDefault="00397782" w:rsidP="00DE078D">
      <w:pPr>
        <w:spacing w:line="360" w:lineRule="auto"/>
        <w:jc w:val="center"/>
        <w:rPr>
          <w:rFonts w:ascii="Arial" w:hAnsi="Arial" w:cs="Arial"/>
          <w:i/>
          <w:iCs/>
          <w:sz w:val="24"/>
          <w:szCs w:val="24"/>
        </w:rPr>
      </w:pPr>
      <w:r w:rsidRPr="00E136D8">
        <w:rPr>
          <w:rFonts w:ascii="Arial" w:hAnsi="Arial" w:cs="Arial"/>
          <w:i/>
          <w:iCs/>
          <w:u w:val="single"/>
        </w:rPr>
        <w:t>Source: Adapted by the author from Toyota Motor Corporation (2025a) and IEA (2025</w:t>
      </w:r>
      <w:r w:rsidRPr="00E136D8">
        <w:rPr>
          <w:rFonts w:ascii="Arial" w:hAnsi="Arial" w:cs="Arial"/>
          <w:i/>
          <w:iCs/>
          <w:sz w:val="24"/>
          <w:szCs w:val="24"/>
        </w:rPr>
        <w:t>).</w:t>
      </w:r>
    </w:p>
    <w:p w14:paraId="7B2DBAAA" w14:textId="77777777" w:rsidR="00397782" w:rsidRPr="00E136D8" w:rsidRDefault="00397782" w:rsidP="00DE1972">
      <w:pPr>
        <w:spacing w:line="360" w:lineRule="auto"/>
        <w:jc w:val="both"/>
        <w:rPr>
          <w:rFonts w:ascii="Arial" w:hAnsi="Arial" w:cs="Arial"/>
          <w:sz w:val="24"/>
          <w:szCs w:val="24"/>
        </w:rPr>
      </w:pPr>
    </w:p>
    <w:p w14:paraId="140753CB" w14:textId="77777777" w:rsidR="00DE078D" w:rsidRPr="00E136D8" w:rsidRDefault="00DE078D" w:rsidP="00DE1972">
      <w:pPr>
        <w:spacing w:line="360" w:lineRule="auto"/>
        <w:jc w:val="both"/>
        <w:rPr>
          <w:rFonts w:ascii="Arial" w:hAnsi="Arial" w:cs="Arial"/>
          <w:sz w:val="24"/>
          <w:szCs w:val="24"/>
        </w:rPr>
      </w:pPr>
    </w:p>
    <w:p w14:paraId="738E1A44" w14:textId="77777777" w:rsidR="00DE078D" w:rsidRPr="00E136D8" w:rsidRDefault="00DE078D" w:rsidP="00DE1972">
      <w:pPr>
        <w:spacing w:line="360" w:lineRule="auto"/>
        <w:jc w:val="both"/>
        <w:rPr>
          <w:rFonts w:ascii="Arial" w:hAnsi="Arial" w:cs="Arial"/>
          <w:sz w:val="24"/>
          <w:szCs w:val="24"/>
        </w:rPr>
      </w:pPr>
    </w:p>
    <w:p w14:paraId="0198492D" w14:textId="3110C43B" w:rsidR="00397782" w:rsidRPr="00E136D8" w:rsidRDefault="00E136D8" w:rsidP="00DE1972">
      <w:pPr>
        <w:pStyle w:val="Heading2"/>
        <w:jc w:val="both"/>
      </w:pPr>
      <w:bookmarkStart w:id="41" w:name="_Toc235559676"/>
      <w:r>
        <w:lastRenderedPageBreak/>
        <w:t>2.8.3</w:t>
      </w:r>
      <w:r w:rsidR="00397782" w:rsidRPr="00E136D8">
        <w:t xml:space="preserve"> Impact on International Marketing Strategy</w:t>
      </w:r>
      <w:bookmarkEnd w:id="41"/>
    </w:p>
    <w:p w14:paraId="7B2DC2D0" w14:textId="1772413F" w:rsidR="004277E3" w:rsidRPr="00E136D8" w:rsidRDefault="004277E3" w:rsidP="00DE1972">
      <w:pPr>
        <w:spacing w:line="360" w:lineRule="auto"/>
        <w:jc w:val="both"/>
        <w:rPr>
          <w:rFonts w:ascii="Arial" w:hAnsi="Arial" w:cs="Arial"/>
          <w:sz w:val="24"/>
          <w:szCs w:val="24"/>
        </w:rPr>
      </w:pPr>
      <w:r w:rsidRPr="00E136D8">
        <w:rPr>
          <w:rFonts w:ascii="Arial" w:hAnsi="Arial" w:cs="Arial"/>
          <w:sz w:val="24"/>
          <w:szCs w:val="24"/>
        </w:rPr>
        <w:t>The role of ethical performance on the international markets is growing in terms of the trust of consumers, corporate reputation and brand loyalty. While Toyota's carbon neutrality and the sustainable production of its goods and responsible innovation policies enhance its global brand, stakeholder expectations are still constantly changing and environmental regulations are becoming more stringent. Thus, not only is the incorporation of sustainability into product development, marketing communications and corporate strategy an ethical obligation, but it also becomes an important competitive advantage in the international automotive industry (Hollensen, 2022; Toyota Motor Corporation, 2025a).</w:t>
      </w:r>
    </w:p>
    <w:p w14:paraId="2EB3F53E" w14:textId="2FDDF5E1" w:rsidR="002D148B" w:rsidRPr="00E136D8" w:rsidRDefault="00E136D8" w:rsidP="00E136D8">
      <w:pPr>
        <w:pStyle w:val="Heading2"/>
      </w:pPr>
      <w:bookmarkStart w:id="42" w:name="_Toc235559677"/>
      <w:r>
        <w:t xml:space="preserve">2.9 </w:t>
      </w:r>
      <w:r w:rsidR="002D148B" w:rsidRPr="00E136D8">
        <w:t>Recommendations</w:t>
      </w:r>
      <w:bookmarkEnd w:id="42"/>
    </w:p>
    <w:p w14:paraId="48D415ED" w14:textId="7536516A" w:rsidR="002D148B" w:rsidRPr="00E136D8" w:rsidRDefault="00E136D8" w:rsidP="00DE1972">
      <w:pPr>
        <w:pStyle w:val="Heading2"/>
        <w:jc w:val="both"/>
      </w:pPr>
      <w:bookmarkStart w:id="43" w:name="_Toc235559678"/>
      <w:r>
        <w:t xml:space="preserve">2.9.1 </w:t>
      </w:r>
      <w:r w:rsidR="002D148B" w:rsidRPr="00E136D8">
        <w:t>Recommendation 1: Accelerate Battery Electric Vehicle (BEV) Expansion</w:t>
      </w:r>
      <w:bookmarkEnd w:id="43"/>
    </w:p>
    <w:p w14:paraId="249B575A" w14:textId="465456AF" w:rsidR="004277E3" w:rsidRPr="00E136D8" w:rsidRDefault="004277E3" w:rsidP="00DE1972">
      <w:pPr>
        <w:spacing w:line="360" w:lineRule="auto"/>
        <w:jc w:val="both"/>
        <w:rPr>
          <w:rFonts w:ascii="Arial" w:hAnsi="Arial" w:cs="Arial"/>
          <w:sz w:val="24"/>
          <w:szCs w:val="24"/>
        </w:rPr>
      </w:pPr>
      <w:r w:rsidRPr="00E136D8">
        <w:rPr>
          <w:rFonts w:ascii="Arial" w:hAnsi="Arial" w:cs="Arial"/>
          <w:sz w:val="24"/>
          <w:szCs w:val="24"/>
        </w:rPr>
        <w:t>Toyota needs to move quicker on investing in battery electric vehicles, especially in the USA, where it will increasingly find regulatory pressures and a growing demand for ZEVs. A more robust BEV offering would make Toyota more competitive against Tesla and other new EV brands and more competitive in the future mobility markets (IEA, 2025).</w:t>
      </w:r>
    </w:p>
    <w:p w14:paraId="18B5566B" w14:textId="68127FE1" w:rsidR="002D148B" w:rsidRPr="00E136D8" w:rsidRDefault="00E136D8" w:rsidP="00DE078D">
      <w:pPr>
        <w:pStyle w:val="Heading2"/>
      </w:pPr>
      <w:bookmarkStart w:id="44" w:name="_Toc235559679"/>
      <w:r>
        <w:t xml:space="preserve">2.9.2 </w:t>
      </w:r>
      <w:r w:rsidR="002D148B" w:rsidRPr="00E136D8">
        <w:t>Recommendation 2: Strengthen Localised Marketing Strategies</w:t>
      </w:r>
      <w:bookmarkEnd w:id="44"/>
    </w:p>
    <w:p w14:paraId="2A445759" w14:textId="7DBF97FD" w:rsidR="004277E3" w:rsidRPr="00E136D8" w:rsidRDefault="004277E3" w:rsidP="00DE1972">
      <w:pPr>
        <w:spacing w:line="360" w:lineRule="auto"/>
        <w:jc w:val="both"/>
        <w:rPr>
          <w:rFonts w:ascii="Arial" w:hAnsi="Arial" w:cs="Arial"/>
          <w:sz w:val="24"/>
          <w:szCs w:val="24"/>
        </w:rPr>
      </w:pPr>
      <w:r w:rsidRPr="00E136D8">
        <w:rPr>
          <w:rFonts w:ascii="Arial" w:hAnsi="Arial" w:cs="Arial"/>
          <w:sz w:val="24"/>
          <w:szCs w:val="24"/>
        </w:rPr>
        <w:t xml:space="preserve">Toyota should adjust their marketing communication strategies to the Japanese and American cultural and consumer differences. Japanese marketing strategy should still highlight the emphasis on quality and long-term reliability, while U.S. marketing strategies are increasingly shifting towards a more innovative, sustainable and customer-centric approach to boost brand relevance and responsiveness to the market requirements (Kotler et al., 2024). </w:t>
      </w:r>
    </w:p>
    <w:p w14:paraId="2D41EC9D" w14:textId="0E647FB6" w:rsidR="002D148B" w:rsidRPr="00E136D8" w:rsidRDefault="00E136D8" w:rsidP="00E136D8">
      <w:pPr>
        <w:pStyle w:val="Heading2"/>
      </w:pPr>
      <w:bookmarkStart w:id="45" w:name="_Toc235559680"/>
      <w:r>
        <w:t xml:space="preserve">2.9.3 </w:t>
      </w:r>
      <w:r w:rsidR="002D148B" w:rsidRPr="00E136D8">
        <w:t>Recommendation 3: Expand Digital Customer Engagement</w:t>
      </w:r>
      <w:bookmarkEnd w:id="45"/>
    </w:p>
    <w:p w14:paraId="2B7C6CFF" w14:textId="77777777" w:rsidR="00867DD9" w:rsidRPr="00E136D8" w:rsidRDefault="004277E3" w:rsidP="00DE1972">
      <w:pPr>
        <w:spacing w:line="360" w:lineRule="auto"/>
        <w:jc w:val="both"/>
        <w:rPr>
          <w:rFonts w:ascii="Arial" w:hAnsi="Arial" w:cs="Arial"/>
          <w:sz w:val="24"/>
          <w:szCs w:val="24"/>
        </w:rPr>
      </w:pPr>
      <w:r w:rsidRPr="00E136D8">
        <w:rPr>
          <w:rFonts w:ascii="Arial" w:hAnsi="Arial" w:cs="Arial"/>
          <w:sz w:val="24"/>
          <w:szCs w:val="24"/>
        </w:rPr>
        <w:t xml:space="preserve">Toyota needs to put more money into digital retail infrastructure, AI and individual customer CRM. To improve the customer satisfaction and customer loyalty in the long </w:t>
      </w:r>
      <w:r w:rsidRPr="00E136D8">
        <w:rPr>
          <w:rFonts w:ascii="Arial" w:hAnsi="Arial" w:cs="Arial"/>
          <w:sz w:val="24"/>
          <w:szCs w:val="24"/>
        </w:rPr>
        <w:lastRenderedPageBreak/>
        <w:t xml:space="preserve">run on international markets, it would be beneficial to enhance the online purchasing, after-sales services, and data-driven marketing service (Hollensen, 2022). </w:t>
      </w:r>
    </w:p>
    <w:p w14:paraId="21877E62" w14:textId="7CF62C17" w:rsidR="002D148B" w:rsidRPr="00E136D8" w:rsidRDefault="00E136D8" w:rsidP="00E136D8">
      <w:pPr>
        <w:pStyle w:val="Heading2"/>
      </w:pPr>
      <w:bookmarkStart w:id="46" w:name="_Toc235559681"/>
      <w:r>
        <w:t xml:space="preserve">2.9.4 </w:t>
      </w:r>
      <w:r w:rsidR="002D148B" w:rsidRPr="00E136D8">
        <w:t>Recommendation 4: Enhance Sustainability Transparency</w:t>
      </w:r>
      <w:bookmarkEnd w:id="46"/>
    </w:p>
    <w:p w14:paraId="5328F1A7" w14:textId="600154A1" w:rsidR="004277E3" w:rsidRPr="00E136D8" w:rsidRDefault="004277E3" w:rsidP="00DE1972">
      <w:pPr>
        <w:spacing w:line="360" w:lineRule="auto"/>
        <w:jc w:val="both"/>
        <w:rPr>
          <w:rFonts w:ascii="Arial" w:hAnsi="Arial" w:cs="Arial"/>
          <w:sz w:val="24"/>
          <w:szCs w:val="24"/>
        </w:rPr>
      </w:pPr>
      <w:r w:rsidRPr="00E136D8">
        <w:rPr>
          <w:rFonts w:ascii="Arial" w:hAnsi="Arial" w:cs="Arial"/>
          <w:sz w:val="24"/>
          <w:szCs w:val="24"/>
        </w:rPr>
        <w:t xml:space="preserve">Toyota needs to improve the communication about its carbon reduction targets, sustainable manufacturing programs and electrification strategy. It is hoped that more transparency will help build stakeholder trust and strengthen Toyota's reputation and position in a rapidly changing automotive world in which sustainability is an integral part of the business (Toyota Motor Corporation, 2025a). </w:t>
      </w:r>
    </w:p>
    <w:p w14:paraId="35651885" w14:textId="6522E3D4" w:rsidR="002D148B" w:rsidRPr="00E136D8" w:rsidRDefault="002D148B" w:rsidP="00E136D8">
      <w:pPr>
        <w:pStyle w:val="Heading2"/>
      </w:pPr>
      <w:bookmarkStart w:id="47" w:name="_Toc235559682"/>
      <w:r w:rsidRPr="00E136D8">
        <w:t>Conclusion</w:t>
      </w:r>
      <w:bookmarkEnd w:id="47"/>
    </w:p>
    <w:p w14:paraId="16918D25" w14:textId="77777777" w:rsidR="004277E3" w:rsidRPr="00E136D8" w:rsidRDefault="004277E3" w:rsidP="00DE1972">
      <w:pPr>
        <w:spacing w:line="360" w:lineRule="auto"/>
        <w:jc w:val="both"/>
        <w:rPr>
          <w:rFonts w:ascii="Arial" w:hAnsi="Arial" w:cs="Arial"/>
          <w:sz w:val="24"/>
          <w:szCs w:val="24"/>
        </w:rPr>
      </w:pPr>
      <w:r w:rsidRPr="00E136D8">
        <w:rPr>
          <w:rFonts w:ascii="Arial" w:hAnsi="Arial" w:cs="Arial"/>
          <w:sz w:val="24"/>
          <w:szCs w:val="24"/>
        </w:rPr>
        <w:t xml:space="preserve">This report critically compared the international marketing strategies adopted by Toyota in Japan and the United States through the lenses of PESTEL framework, Hofstede's Cultural Dimensions, STP strategy, the 7Ps marketing mix, market entry strategy and the ethical consideration. The analysis shows that there are significant differences in political, economic, cultural and regulatory environments that impact Toyota's marketing decisions in both countries. While the U.S. market is bigger and consumer demand is higher, Japan is still Toyota's innovation and manufacturing </w:t>
      </w:r>
      <w:proofErr w:type="spellStart"/>
      <w:r w:rsidRPr="00E136D8">
        <w:rPr>
          <w:rFonts w:ascii="Arial" w:hAnsi="Arial" w:cs="Arial"/>
          <w:sz w:val="24"/>
          <w:szCs w:val="24"/>
        </w:rPr>
        <w:t>center</w:t>
      </w:r>
      <w:proofErr w:type="spellEnd"/>
      <w:r w:rsidRPr="00E136D8">
        <w:rPr>
          <w:rFonts w:ascii="Arial" w:hAnsi="Arial" w:cs="Arial"/>
          <w:sz w:val="24"/>
          <w:szCs w:val="24"/>
        </w:rPr>
        <w:t>. As a result, Toyota has taken on a glocalisation strategy, which involves a uniform brand throughout the world, but adapting the product and marketing communication and customer engagement to the local market. In sum, Toyota's global success is achieved by its capacity to be efficient all over the world, while still being responsive locally. But as consumer demands and environmental regulations evolve, this competitive edge will need to be achieved with faster electrification, more digital transformation and enhanced sustainability leadership.</w:t>
      </w:r>
    </w:p>
    <w:p w14:paraId="55030BAC" w14:textId="77777777" w:rsidR="00E136D8" w:rsidRPr="00E136D8" w:rsidRDefault="00E136D8">
      <w:pPr>
        <w:rPr>
          <w:rFonts w:ascii="Arial" w:eastAsiaTheme="majorEastAsia" w:hAnsi="Arial" w:cstheme="majorBidi"/>
          <w:b/>
          <w:color w:val="2F5496" w:themeColor="accent1" w:themeShade="BF"/>
          <w:sz w:val="36"/>
          <w:szCs w:val="40"/>
        </w:rPr>
      </w:pPr>
      <w:r w:rsidRPr="00E136D8">
        <w:br w:type="page"/>
      </w:r>
    </w:p>
    <w:p w14:paraId="062E0866" w14:textId="764DF20C" w:rsidR="002D148B" w:rsidRPr="00E136D8" w:rsidRDefault="00E136D8" w:rsidP="00E136D8">
      <w:pPr>
        <w:pStyle w:val="Heading2"/>
      </w:pPr>
      <w:bookmarkStart w:id="48" w:name="_Toc235559683"/>
      <w:r>
        <w:lastRenderedPageBreak/>
        <w:t xml:space="preserve">3. </w:t>
      </w:r>
      <w:r w:rsidR="002D148B" w:rsidRPr="00E136D8">
        <w:t>Section 2: Reflective Account</w:t>
      </w:r>
      <w:bookmarkEnd w:id="48"/>
      <w:r w:rsidR="002D148B" w:rsidRPr="00E136D8">
        <w:t xml:space="preserve"> </w:t>
      </w:r>
    </w:p>
    <w:p w14:paraId="6A7870C1" w14:textId="7DFDBF50" w:rsidR="00867DD9" w:rsidRPr="00E136D8" w:rsidRDefault="00F607F1" w:rsidP="00DE1972">
      <w:pPr>
        <w:spacing w:line="360" w:lineRule="auto"/>
        <w:jc w:val="both"/>
        <w:rPr>
          <w:rFonts w:ascii="Arial" w:hAnsi="Arial" w:cs="Arial"/>
          <w:sz w:val="24"/>
          <w:szCs w:val="24"/>
        </w:rPr>
      </w:pPr>
      <w:r w:rsidRPr="00E136D8">
        <w:rPr>
          <w:rFonts w:ascii="Arial" w:hAnsi="Arial" w:cs="Arial"/>
          <w:sz w:val="24"/>
          <w:szCs w:val="24"/>
        </w:rPr>
        <w:t xml:space="preserve">This reflective account refers to Gibbs' Reflective Cycle (Gibbs, 1988) which was used to analyse the learning experience during the preparation of the international marketing report on Toyota's operations in Japan and the United States. The reflection critically analyses the knowledge and skill acquired by analysing the marketing strategies Toyota uses internationally and areas that need to be improved. </w:t>
      </w:r>
    </w:p>
    <w:p w14:paraId="5BDE26F2" w14:textId="6FAA11C4" w:rsidR="002D148B" w:rsidRPr="00E136D8" w:rsidRDefault="002D148B" w:rsidP="00E136D8">
      <w:pPr>
        <w:spacing w:line="360" w:lineRule="auto"/>
        <w:jc w:val="center"/>
        <w:rPr>
          <w:rFonts w:ascii="Arial" w:hAnsi="Arial" w:cs="Arial"/>
          <w:sz w:val="24"/>
          <w:szCs w:val="24"/>
        </w:rPr>
      </w:pPr>
      <w:r w:rsidRPr="00E136D8">
        <w:rPr>
          <w:rFonts w:ascii="Arial" w:hAnsi="Arial" w:cs="Arial"/>
          <w:noProof/>
          <w:sz w:val="24"/>
          <w:szCs w:val="24"/>
        </w:rPr>
        <w:drawing>
          <wp:inline distT="0" distB="0" distL="0" distR="0" wp14:anchorId="4F0FA0E6" wp14:editId="59A0934F">
            <wp:extent cx="5086350" cy="3924300"/>
            <wp:effectExtent l="0" t="0" r="0" b="0"/>
            <wp:docPr id="53712768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94160" cy="3930326"/>
                    </a:xfrm>
                    <a:prstGeom prst="rect">
                      <a:avLst/>
                    </a:prstGeom>
                    <a:noFill/>
                  </pic:spPr>
                </pic:pic>
              </a:graphicData>
            </a:graphic>
          </wp:inline>
        </w:drawing>
      </w:r>
    </w:p>
    <w:p w14:paraId="3B359F3A" w14:textId="20513192" w:rsidR="002D148B" w:rsidRPr="00E136D8" w:rsidRDefault="002D148B" w:rsidP="00DE078D">
      <w:pPr>
        <w:spacing w:line="360" w:lineRule="auto"/>
        <w:jc w:val="center"/>
        <w:rPr>
          <w:rFonts w:ascii="Arial" w:hAnsi="Arial" w:cs="Arial"/>
          <w:u w:val="single"/>
        </w:rPr>
      </w:pPr>
      <w:r w:rsidRPr="00E136D8">
        <w:rPr>
          <w:rFonts w:ascii="Arial" w:hAnsi="Arial" w:cs="Arial"/>
          <w:u w:val="single"/>
        </w:rPr>
        <w:t xml:space="preserve">Figure </w:t>
      </w:r>
      <w:r w:rsidR="00DE1972" w:rsidRPr="00E136D8">
        <w:rPr>
          <w:rFonts w:ascii="Arial" w:hAnsi="Arial" w:cs="Arial"/>
          <w:u w:val="single"/>
        </w:rPr>
        <w:t>7</w:t>
      </w:r>
      <w:r w:rsidRPr="00E136D8">
        <w:rPr>
          <w:rFonts w:ascii="Arial" w:hAnsi="Arial" w:cs="Arial"/>
          <w:u w:val="single"/>
        </w:rPr>
        <w:t>. Gibbs' Reflective Cycle</w:t>
      </w:r>
    </w:p>
    <w:p w14:paraId="56A5D037" w14:textId="77777777" w:rsidR="002D148B" w:rsidRPr="00E136D8" w:rsidRDefault="002D148B" w:rsidP="00DE078D">
      <w:pPr>
        <w:spacing w:line="360" w:lineRule="auto"/>
        <w:jc w:val="center"/>
        <w:rPr>
          <w:rFonts w:ascii="Arial" w:hAnsi="Arial" w:cs="Arial"/>
          <w:u w:val="single"/>
        </w:rPr>
      </w:pPr>
      <w:r w:rsidRPr="00E136D8">
        <w:rPr>
          <w:rFonts w:ascii="Arial" w:hAnsi="Arial" w:cs="Arial"/>
          <w:u w:val="single"/>
        </w:rPr>
        <w:t>Source: Adapted by the author from Gibbs (1988).</w:t>
      </w:r>
    </w:p>
    <w:p w14:paraId="37E89EFA" w14:textId="65F29472" w:rsidR="002D148B" w:rsidRPr="00E136D8" w:rsidRDefault="00E136D8" w:rsidP="00E136D8">
      <w:pPr>
        <w:pStyle w:val="Heading2"/>
      </w:pPr>
      <w:bookmarkStart w:id="49" w:name="_Toc235559684"/>
      <w:r>
        <w:t xml:space="preserve">3.1 </w:t>
      </w:r>
      <w:r w:rsidR="002D148B" w:rsidRPr="00E136D8">
        <w:t>Description</w:t>
      </w:r>
      <w:bookmarkEnd w:id="49"/>
    </w:p>
    <w:p w14:paraId="50CE1CF1" w14:textId="77777777" w:rsidR="00E136D8" w:rsidRDefault="00F607F1" w:rsidP="00E136D8">
      <w:pPr>
        <w:spacing w:line="360" w:lineRule="auto"/>
        <w:jc w:val="both"/>
        <w:rPr>
          <w:rFonts w:ascii="Arial" w:hAnsi="Arial" w:cs="Arial"/>
          <w:sz w:val="24"/>
          <w:szCs w:val="24"/>
        </w:rPr>
      </w:pPr>
      <w:r w:rsidRPr="00E136D8">
        <w:rPr>
          <w:rFonts w:ascii="Arial" w:hAnsi="Arial" w:cs="Arial"/>
          <w:sz w:val="24"/>
          <w:szCs w:val="24"/>
        </w:rPr>
        <w:t xml:space="preserve">For the purpose of this report, a critical comparison between Toyota's marketing strategies internationally, in Japan and the United States, was made using analytical tools such as PESTEL, Hofstede's Cultural Dimensions, STP and the marketing mix (the 7Ps). The job also included an assessment of Toyota's market entry strategy and ethical marketing practices based on latest academic literature, industry reports and company </w:t>
      </w:r>
      <w:r w:rsidRPr="00E136D8">
        <w:rPr>
          <w:rFonts w:ascii="Arial" w:hAnsi="Arial" w:cs="Arial"/>
          <w:sz w:val="24"/>
          <w:szCs w:val="24"/>
        </w:rPr>
        <w:lastRenderedPageBreak/>
        <w:t xml:space="preserve">data. At first, the task seemed to be mainly the description of the international marketing theories. As the research continued, however, it became clear that for international marketing to be effective, the researcher needs to be aware of the implications of external environments, cultural differences and consumer behavior on strategic decision making, and not solely on the theoretical models of Kotler et al., (2024). </w:t>
      </w:r>
    </w:p>
    <w:p w14:paraId="433CB854" w14:textId="42D4CA40" w:rsidR="002D148B" w:rsidRPr="00E136D8" w:rsidRDefault="00E136D8" w:rsidP="00E136D8">
      <w:pPr>
        <w:pStyle w:val="Heading2"/>
      </w:pPr>
      <w:bookmarkStart w:id="50" w:name="_Toc235559685"/>
      <w:r w:rsidRPr="00E136D8">
        <w:t xml:space="preserve">3.2 </w:t>
      </w:r>
      <w:r w:rsidR="002D148B" w:rsidRPr="00E136D8">
        <w:t>Feelings</w:t>
      </w:r>
      <w:bookmarkEnd w:id="50"/>
    </w:p>
    <w:p w14:paraId="2FA32E32" w14:textId="77777777" w:rsidR="00F607F1" w:rsidRPr="00E136D8" w:rsidRDefault="00F607F1" w:rsidP="00DE1972">
      <w:pPr>
        <w:spacing w:line="360" w:lineRule="auto"/>
        <w:jc w:val="both"/>
        <w:rPr>
          <w:rFonts w:ascii="Arial" w:hAnsi="Arial" w:cs="Arial"/>
          <w:sz w:val="24"/>
          <w:szCs w:val="24"/>
        </w:rPr>
      </w:pPr>
      <w:r w:rsidRPr="00E136D8">
        <w:rPr>
          <w:rFonts w:ascii="Arial" w:hAnsi="Arial" w:cs="Arial"/>
          <w:sz w:val="24"/>
          <w:szCs w:val="24"/>
        </w:rPr>
        <w:t xml:space="preserve">Initially I was confident in researching Toyota as it is a world recognised organisation and there is a lot of information which has been published. But I also wondered about comparing two developed markets, which both, Japan and the U.S., have advanced economies, but very different cultures, regulatory and consumer preferences. The research became more and more self-assuring as it went on, as I gained an understanding of the way that the company would not market in exactly the same way around the world, depending on the market. This experience not only sharpened my skill and confidence in doing independent research but also my appreciation of evidence-based decision making. </w:t>
      </w:r>
    </w:p>
    <w:p w14:paraId="68EB1C37" w14:textId="0760863A" w:rsidR="002D148B" w:rsidRPr="00E136D8" w:rsidRDefault="00E136D8" w:rsidP="00E136D8">
      <w:pPr>
        <w:pStyle w:val="Heading2"/>
      </w:pPr>
      <w:bookmarkStart w:id="51" w:name="_Toc235559686"/>
      <w:r>
        <w:t xml:space="preserve">3.3 </w:t>
      </w:r>
      <w:r w:rsidR="002D148B" w:rsidRPr="00E136D8">
        <w:t>Evaluation</w:t>
      </w:r>
      <w:bookmarkEnd w:id="51"/>
    </w:p>
    <w:p w14:paraId="2B5A2182" w14:textId="77777777" w:rsidR="00E136D8" w:rsidRDefault="00F607F1" w:rsidP="00E136D8">
      <w:pPr>
        <w:spacing w:line="360" w:lineRule="auto"/>
        <w:jc w:val="both"/>
        <w:rPr>
          <w:rFonts w:ascii="Arial" w:hAnsi="Arial" w:cs="Arial"/>
          <w:sz w:val="24"/>
          <w:szCs w:val="24"/>
        </w:rPr>
      </w:pPr>
      <w:r w:rsidRPr="00E136D8">
        <w:rPr>
          <w:rFonts w:ascii="Arial" w:hAnsi="Arial" w:cs="Arial"/>
          <w:sz w:val="24"/>
          <w:szCs w:val="24"/>
        </w:rPr>
        <w:t xml:space="preserve">The most beneficial part of this assignment was combining several international marketing frameworks to one case study. The use of PESTEL and Hofstede's Cultural Dimensions helped to gain a better understanding how macro environment and culture can affect international marketing decisions. This enhanced my capacity to critically assess, rather than descriptively </w:t>
      </w:r>
      <w:proofErr w:type="spellStart"/>
      <w:r w:rsidRPr="00E136D8">
        <w:rPr>
          <w:rFonts w:ascii="Arial" w:hAnsi="Arial" w:cs="Arial"/>
          <w:sz w:val="24"/>
          <w:szCs w:val="24"/>
        </w:rPr>
        <w:t>analyze</w:t>
      </w:r>
      <w:proofErr w:type="spellEnd"/>
      <w:r w:rsidRPr="00E136D8">
        <w:rPr>
          <w:rFonts w:ascii="Arial" w:hAnsi="Arial" w:cs="Arial"/>
          <w:sz w:val="24"/>
          <w:szCs w:val="24"/>
        </w:rPr>
        <w:t xml:space="preserve"> strategic issues (Hollensen, 2022). But there were also difficulties with this assignment. Careful assessment was needed to evaluate the credibility of the sources of information from academic journals, industry reports and Toyota's corporate publications. Also, separating descriptive discussion from critical analysis involved constant fine-tuning while drafting the paper.</w:t>
      </w:r>
    </w:p>
    <w:p w14:paraId="64C73B1B" w14:textId="6EFD286B" w:rsidR="002D148B" w:rsidRPr="00E136D8" w:rsidRDefault="00E136D8" w:rsidP="00E136D8">
      <w:pPr>
        <w:pStyle w:val="Heading2"/>
      </w:pPr>
      <w:bookmarkStart w:id="52" w:name="_Toc235559687"/>
      <w:r w:rsidRPr="00E136D8">
        <w:t xml:space="preserve">3.4 </w:t>
      </w:r>
      <w:r w:rsidR="002D148B" w:rsidRPr="00E136D8">
        <w:t>Analysis</w:t>
      </w:r>
      <w:bookmarkEnd w:id="52"/>
    </w:p>
    <w:p w14:paraId="453FFED5" w14:textId="77777777" w:rsidR="00F607F1" w:rsidRPr="00E136D8" w:rsidRDefault="00F607F1" w:rsidP="00DE1972">
      <w:pPr>
        <w:spacing w:line="360" w:lineRule="auto"/>
        <w:jc w:val="both"/>
        <w:rPr>
          <w:rFonts w:ascii="Arial" w:hAnsi="Arial" w:cs="Arial"/>
          <w:sz w:val="24"/>
          <w:szCs w:val="24"/>
        </w:rPr>
      </w:pPr>
      <w:r w:rsidRPr="00E136D8">
        <w:rPr>
          <w:rFonts w:ascii="Arial" w:hAnsi="Arial" w:cs="Arial"/>
          <w:sz w:val="24"/>
          <w:szCs w:val="24"/>
        </w:rPr>
        <w:t xml:space="preserve">Through this learning experience, the students confirmed that global standardisation and local adaptation are important in marketing a product internationally. Prior to this assignment, I thought of marketing as basically a promotion of products. As I analysed the strategies, Toyota, I realised that international marketing is not just about </w:t>
      </w:r>
      <w:r w:rsidRPr="00E136D8">
        <w:rPr>
          <w:rFonts w:ascii="Arial" w:hAnsi="Arial" w:cs="Arial"/>
          <w:sz w:val="24"/>
          <w:szCs w:val="24"/>
        </w:rPr>
        <w:lastRenderedPageBreak/>
        <w:t xml:space="preserve">environmental analysis, cultural awareness and strategic decisions, but also about achieving sustainable competitive advantage (Kotler et al., 2024). Another aspect of Japan versus the United States that was emphasized was cultural intelligence in the global business arena. While Toyota does have a steady uniform global brand image, its positioning of products, promotion and customer engagement vary based on the local customer </w:t>
      </w:r>
      <w:proofErr w:type="spellStart"/>
      <w:r w:rsidRPr="00E136D8">
        <w:rPr>
          <w:rFonts w:ascii="Arial" w:hAnsi="Arial" w:cs="Arial"/>
          <w:sz w:val="24"/>
          <w:szCs w:val="24"/>
        </w:rPr>
        <w:t>behaviors</w:t>
      </w:r>
      <w:proofErr w:type="spellEnd"/>
      <w:r w:rsidRPr="00E136D8">
        <w:rPr>
          <w:rFonts w:ascii="Arial" w:hAnsi="Arial" w:cs="Arial"/>
          <w:sz w:val="24"/>
          <w:szCs w:val="24"/>
        </w:rPr>
        <w:t xml:space="preserve">. It is a reflection of the glocalisation concept mentioned in the international marketing literature (Hollensen, 2022). Structured reflection also reaffirmed Gibbs' (1988) suggestion that reflection makes experience learning. An evaluation of the strengths and weakness of my research process helped to identify areas of further professional development. </w:t>
      </w:r>
    </w:p>
    <w:p w14:paraId="6DEA79CA" w14:textId="4B809D42" w:rsidR="002D148B" w:rsidRPr="00E136D8" w:rsidRDefault="00DE1972" w:rsidP="00DE1972">
      <w:pPr>
        <w:spacing w:line="360" w:lineRule="auto"/>
        <w:jc w:val="both"/>
        <w:rPr>
          <w:rFonts w:ascii="Arial" w:hAnsi="Arial" w:cs="Arial"/>
          <w:sz w:val="24"/>
          <w:szCs w:val="24"/>
        </w:rPr>
      </w:pPr>
      <w:r w:rsidRPr="00E136D8">
        <w:rPr>
          <w:rFonts w:ascii="Arial" w:hAnsi="Arial" w:cs="Arial"/>
          <w:sz w:val="24"/>
          <w:szCs w:val="24"/>
        </w:rPr>
        <w:t>Table 2</w:t>
      </w:r>
      <w:r w:rsidR="002D148B" w:rsidRPr="00E136D8">
        <w:rPr>
          <w:rFonts w:ascii="Arial" w:hAnsi="Arial" w:cs="Arial"/>
          <w:sz w:val="24"/>
          <w:szCs w:val="24"/>
        </w:rPr>
        <w:t>. Key Learning Outcomes from the Reflective Process</w:t>
      </w:r>
    </w:p>
    <w:tbl>
      <w:tblPr>
        <w:tblStyle w:val="TableGrid"/>
        <w:tblW w:w="9642" w:type="dxa"/>
        <w:tblLook w:val="04A0" w:firstRow="1" w:lastRow="0" w:firstColumn="1" w:lastColumn="0" w:noHBand="0" w:noVBand="1"/>
      </w:tblPr>
      <w:tblGrid>
        <w:gridCol w:w="3411"/>
        <w:gridCol w:w="6231"/>
      </w:tblGrid>
      <w:tr w:rsidR="002D148B" w:rsidRPr="00E136D8" w14:paraId="2CD8560F" w14:textId="77777777" w:rsidTr="00ED2F1B">
        <w:trPr>
          <w:trHeight w:val="624"/>
        </w:trPr>
        <w:tc>
          <w:tcPr>
            <w:tcW w:w="0" w:type="auto"/>
            <w:shd w:val="clear" w:color="auto" w:fill="002060"/>
            <w:hideMark/>
          </w:tcPr>
          <w:p w14:paraId="574F3138" w14:textId="77777777" w:rsidR="002D148B" w:rsidRPr="00E136D8" w:rsidRDefault="002D148B" w:rsidP="00DE1972">
            <w:pPr>
              <w:spacing w:after="160" w:line="360" w:lineRule="auto"/>
              <w:jc w:val="both"/>
              <w:rPr>
                <w:rFonts w:ascii="Arial" w:hAnsi="Arial" w:cs="Arial"/>
                <w:b/>
                <w:bCs/>
                <w:sz w:val="24"/>
                <w:szCs w:val="24"/>
              </w:rPr>
            </w:pPr>
            <w:r w:rsidRPr="00E136D8">
              <w:rPr>
                <w:rFonts w:ascii="Arial" w:hAnsi="Arial" w:cs="Arial"/>
                <w:b/>
                <w:bCs/>
                <w:sz w:val="24"/>
                <w:szCs w:val="24"/>
              </w:rPr>
              <w:t>Learning Area</w:t>
            </w:r>
          </w:p>
        </w:tc>
        <w:tc>
          <w:tcPr>
            <w:tcW w:w="0" w:type="auto"/>
            <w:shd w:val="clear" w:color="auto" w:fill="002060"/>
            <w:hideMark/>
          </w:tcPr>
          <w:p w14:paraId="14200E7C" w14:textId="77777777" w:rsidR="002D148B" w:rsidRPr="00E136D8" w:rsidRDefault="002D148B" w:rsidP="00DE1972">
            <w:pPr>
              <w:spacing w:after="160" w:line="360" w:lineRule="auto"/>
              <w:jc w:val="both"/>
              <w:rPr>
                <w:rFonts w:ascii="Arial" w:hAnsi="Arial" w:cs="Arial"/>
                <w:b/>
                <w:bCs/>
                <w:sz w:val="24"/>
                <w:szCs w:val="24"/>
              </w:rPr>
            </w:pPr>
            <w:r w:rsidRPr="00E136D8">
              <w:rPr>
                <w:rFonts w:ascii="Arial" w:hAnsi="Arial" w:cs="Arial"/>
                <w:b/>
                <w:bCs/>
                <w:sz w:val="24"/>
                <w:szCs w:val="24"/>
              </w:rPr>
              <w:t>Development</w:t>
            </w:r>
          </w:p>
        </w:tc>
      </w:tr>
      <w:tr w:rsidR="002D148B" w:rsidRPr="00E136D8" w14:paraId="7C025D4E" w14:textId="77777777" w:rsidTr="00ED2F1B">
        <w:trPr>
          <w:trHeight w:val="624"/>
        </w:trPr>
        <w:tc>
          <w:tcPr>
            <w:tcW w:w="0" w:type="auto"/>
            <w:hideMark/>
          </w:tcPr>
          <w:p w14:paraId="026A3AF8" w14:textId="77777777" w:rsidR="002D148B" w:rsidRPr="00E136D8" w:rsidRDefault="002D148B" w:rsidP="00DE1972">
            <w:pPr>
              <w:spacing w:after="160" w:line="360" w:lineRule="auto"/>
              <w:jc w:val="both"/>
              <w:rPr>
                <w:rFonts w:ascii="Arial" w:hAnsi="Arial" w:cs="Arial"/>
                <w:sz w:val="24"/>
                <w:szCs w:val="24"/>
              </w:rPr>
            </w:pPr>
            <w:r w:rsidRPr="00E136D8">
              <w:rPr>
                <w:rFonts w:ascii="Arial" w:hAnsi="Arial" w:cs="Arial"/>
                <w:sz w:val="24"/>
                <w:szCs w:val="24"/>
              </w:rPr>
              <w:t>International Marketing</w:t>
            </w:r>
          </w:p>
        </w:tc>
        <w:tc>
          <w:tcPr>
            <w:tcW w:w="0" w:type="auto"/>
            <w:hideMark/>
          </w:tcPr>
          <w:p w14:paraId="4064F471" w14:textId="77777777" w:rsidR="002D148B" w:rsidRPr="00E136D8" w:rsidRDefault="002D148B" w:rsidP="00DE1972">
            <w:pPr>
              <w:spacing w:after="160" w:line="360" w:lineRule="auto"/>
              <w:jc w:val="both"/>
              <w:rPr>
                <w:rFonts w:ascii="Arial" w:hAnsi="Arial" w:cs="Arial"/>
                <w:sz w:val="24"/>
                <w:szCs w:val="24"/>
              </w:rPr>
            </w:pPr>
            <w:r w:rsidRPr="00E136D8">
              <w:rPr>
                <w:rFonts w:ascii="Arial" w:hAnsi="Arial" w:cs="Arial"/>
                <w:sz w:val="24"/>
                <w:szCs w:val="24"/>
              </w:rPr>
              <w:t>Greater understanding of global adaptation</w:t>
            </w:r>
          </w:p>
        </w:tc>
      </w:tr>
      <w:tr w:rsidR="002D148B" w:rsidRPr="00E136D8" w14:paraId="27AA2E30" w14:textId="77777777" w:rsidTr="00ED2F1B">
        <w:trPr>
          <w:trHeight w:val="624"/>
        </w:trPr>
        <w:tc>
          <w:tcPr>
            <w:tcW w:w="0" w:type="auto"/>
            <w:hideMark/>
          </w:tcPr>
          <w:p w14:paraId="01C26A68" w14:textId="77777777" w:rsidR="002D148B" w:rsidRPr="00E136D8" w:rsidRDefault="002D148B" w:rsidP="00DE1972">
            <w:pPr>
              <w:spacing w:after="160" w:line="360" w:lineRule="auto"/>
              <w:jc w:val="both"/>
              <w:rPr>
                <w:rFonts w:ascii="Arial" w:hAnsi="Arial" w:cs="Arial"/>
                <w:sz w:val="24"/>
                <w:szCs w:val="24"/>
              </w:rPr>
            </w:pPr>
            <w:r w:rsidRPr="00E136D8">
              <w:rPr>
                <w:rFonts w:ascii="Arial" w:hAnsi="Arial" w:cs="Arial"/>
                <w:sz w:val="24"/>
                <w:szCs w:val="24"/>
              </w:rPr>
              <w:t>Critical Analysis</w:t>
            </w:r>
          </w:p>
        </w:tc>
        <w:tc>
          <w:tcPr>
            <w:tcW w:w="0" w:type="auto"/>
            <w:hideMark/>
          </w:tcPr>
          <w:p w14:paraId="1A78CF02" w14:textId="77777777" w:rsidR="002D148B" w:rsidRPr="00E136D8" w:rsidRDefault="002D148B" w:rsidP="00DE1972">
            <w:pPr>
              <w:spacing w:after="160" w:line="360" w:lineRule="auto"/>
              <w:jc w:val="both"/>
              <w:rPr>
                <w:rFonts w:ascii="Arial" w:hAnsi="Arial" w:cs="Arial"/>
                <w:sz w:val="24"/>
                <w:szCs w:val="24"/>
              </w:rPr>
            </w:pPr>
            <w:r w:rsidRPr="00E136D8">
              <w:rPr>
                <w:rFonts w:ascii="Arial" w:hAnsi="Arial" w:cs="Arial"/>
                <w:sz w:val="24"/>
                <w:szCs w:val="24"/>
              </w:rPr>
              <w:t>Improved evaluation of evidence</w:t>
            </w:r>
          </w:p>
        </w:tc>
      </w:tr>
      <w:tr w:rsidR="002D148B" w:rsidRPr="00E136D8" w14:paraId="19D4DA77" w14:textId="77777777" w:rsidTr="00ED2F1B">
        <w:trPr>
          <w:trHeight w:val="624"/>
        </w:trPr>
        <w:tc>
          <w:tcPr>
            <w:tcW w:w="0" w:type="auto"/>
            <w:hideMark/>
          </w:tcPr>
          <w:p w14:paraId="46BAA33B" w14:textId="77777777" w:rsidR="002D148B" w:rsidRPr="00E136D8" w:rsidRDefault="002D148B" w:rsidP="00DE1972">
            <w:pPr>
              <w:spacing w:after="160" w:line="360" w:lineRule="auto"/>
              <w:jc w:val="both"/>
              <w:rPr>
                <w:rFonts w:ascii="Arial" w:hAnsi="Arial" w:cs="Arial"/>
                <w:sz w:val="24"/>
                <w:szCs w:val="24"/>
              </w:rPr>
            </w:pPr>
            <w:r w:rsidRPr="00E136D8">
              <w:rPr>
                <w:rFonts w:ascii="Arial" w:hAnsi="Arial" w:cs="Arial"/>
                <w:sz w:val="24"/>
                <w:szCs w:val="24"/>
              </w:rPr>
              <w:t>Research Skills</w:t>
            </w:r>
          </w:p>
        </w:tc>
        <w:tc>
          <w:tcPr>
            <w:tcW w:w="0" w:type="auto"/>
            <w:hideMark/>
          </w:tcPr>
          <w:p w14:paraId="0114E654" w14:textId="77777777" w:rsidR="002D148B" w:rsidRPr="00E136D8" w:rsidRDefault="002D148B" w:rsidP="00DE1972">
            <w:pPr>
              <w:spacing w:after="160" w:line="360" w:lineRule="auto"/>
              <w:jc w:val="both"/>
              <w:rPr>
                <w:rFonts w:ascii="Arial" w:hAnsi="Arial" w:cs="Arial"/>
                <w:sz w:val="24"/>
                <w:szCs w:val="24"/>
              </w:rPr>
            </w:pPr>
            <w:r w:rsidRPr="00E136D8">
              <w:rPr>
                <w:rFonts w:ascii="Arial" w:hAnsi="Arial" w:cs="Arial"/>
                <w:sz w:val="24"/>
                <w:szCs w:val="24"/>
              </w:rPr>
              <w:t>Stronger use of academic and industry sources</w:t>
            </w:r>
          </w:p>
        </w:tc>
      </w:tr>
      <w:tr w:rsidR="002D148B" w:rsidRPr="00E136D8" w14:paraId="7CFD7666" w14:textId="77777777" w:rsidTr="00ED2F1B">
        <w:trPr>
          <w:trHeight w:val="624"/>
        </w:trPr>
        <w:tc>
          <w:tcPr>
            <w:tcW w:w="0" w:type="auto"/>
            <w:hideMark/>
          </w:tcPr>
          <w:p w14:paraId="15CDD8AE" w14:textId="77777777" w:rsidR="002D148B" w:rsidRPr="00E136D8" w:rsidRDefault="002D148B" w:rsidP="00DE1972">
            <w:pPr>
              <w:spacing w:after="160" w:line="360" w:lineRule="auto"/>
              <w:jc w:val="both"/>
              <w:rPr>
                <w:rFonts w:ascii="Arial" w:hAnsi="Arial" w:cs="Arial"/>
                <w:sz w:val="24"/>
                <w:szCs w:val="24"/>
              </w:rPr>
            </w:pPr>
            <w:r w:rsidRPr="00E136D8">
              <w:rPr>
                <w:rFonts w:ascii="Arial" w:hAnsi="Arial" w:cs="Arial"/>
                <w:sz w:val="24"/>
                <w:szCs w:val="24"/>
              </w:rPr>
              <w:t>Cultural Awareness</w:t>
            </w:r>
          </w:p>
        </w:tc>
        <w:tc>
          <w:tcPr>
            <w:tcW w:w="0" w:type="auto"/>
            <w:hideMark/>
          </w:tcPr>
          <w:p w14:paraId="14FE5B33" w14:textId="77777777" w:rsidR="002D148B" w:rsidRPr="00E136D8" w:rsidRDefault="002D148B" w:rsidP="00DE1972">
            <w:pPr>
              <w:spacing w:after="160" w:line="360" w:lineRule="auto"/>
              <w:jc w:val="both"/>
              <w:rPr>
                <w:rFonts w:ascii="Arial" w:hAnsi="Arial" w:cs="Arial"/>
                <w:sz w:val="24"/>
                <w:szCs w:val="24"/>
              </w:rPr>
            </w:pPr>
            <w:r w:rsidRPr="00E136D8">
              <w:rPr>
                <w:rFonts w:ascii="Arial" w:hAnsi="Arial" w:cs="Arial"/>
                <w:sz w:val="24"/>
                <w:szCs w:val="24"/>
              </w:rPr>
              <w:t>Better appreciation of cross-cultural marketing</w:t>
            </w:r>
          </w:p>
        </w:tc>
      </w:tr>
      <w:tr w:rsidR="002D148B" w:rsidRPr="00E136D8" w14:paraId="172FD83A" w14:textId="77777777" w:rsidTr="00ED2F1B">
        <w:trPr>
          <w:trHeight w:val="608"/>
        </w:trPr>
        <w:tc>
          <w:tcPr>
            <w:tcW w:w="0" w:type="auto"/>
            <w:hideMark/>
          </w:tcPr>
          <w:p w14:paraId="22B41876" w14:textId="77777777" w:rsidR="002D148B" w:rsidRPr="00E136D8" w:rsidRDefault="002D148B" w:rsidP="00DE1972">
            <w:pPr>
              <w:spacing w:after="160" w:line="360" w:lineRule="auto"/>
              <w:jc w:val="both"/>
              <w:rPr>
                <w:rFonts w:ascii="Arial" w:hAnsi="Arial" w:cs="Arial"/>
                <w:sz w:val="24"/>
                <w:szCs w:val="24"/>
              </w:rPr>
            </w:pPr>
            <w:r w:rsidRPr="00E136D8">
              <w:rPr>
                <w:rFonts w:ascii="Arial" w:hAnsi="Arial" w:cs="Arial"/>
                <w:sz w:val="24"/>
                <w:szCs w:val="24"/>
              </w:rPr>
              <w:t>Professional Development</w:t>
            </w:r>
          </w:p>
        </w:tc>
        <w:tc>
          <w:tcPr>
            <w:tcW w:w="0" w:type="auto"/>
            <w:hideMark/>
          </w:tcPr>
          <w:p w14:paraId="721B2A3A" w14:textId="77777777" w:rsidR="002D148B" w:rsidRPr="00E136D8" w:rsidRDefault="002D148B" w:rsidP="00DE1972">
            <w:pPr>
              <w:spacing w:after="160" w:line="360" w:lineRule="auto"/>
              <w:jc w:val="both"/>
              <w:rPr>
                <w:rFonts w:ascii="Arial" w:hAnsi="Arial" w:cs="Arial"/>
                <w:sz w:val="24"/>
                <w:szCs w:val="24"/>
              </w:rPr>
            </w:pPr>
            <w:r w:rsidRPr="00E136D8">
              <w:rPr>
                <w:rFonts w:ascii="Arial" w:hAnsi="Arial" w:cs="Arial"/>
                <w:sz w:val="24"/>
                <w:szCs w:val="24"/>
              </w:rPr>
              <w:t>Increased confidence in strategic decision making</w:t>
            </w:r>
          </w:p>
        </w:tc>
      </w:tr>
    </w:tbl>
    <w:p w14:paraId="4F09AA0C" w14:textId="69DD5A8F" w:rsidR="002D148B" w:rsidRPr="00E136D8" w:rsidRDefault="002D148B" w:rsidP="00DE1972">
      <w:pPr>
        <w:spacing w:line="360" w:lineRule="auto"/>
        <w:jc w:val="both"/>
        <w:rPr>
          <w:rFonts w:ascii="Arial" w:hAnsi="Arial" w:cs="Arial"/>
          <w:u w:val="single"/>
        </w:rPr>
      </w:pPr>
      <w:r w:rsidRPr="00E136D8">
        <w:rPr>
          <w:rFonts w:ascii="Arial" w:hAnsi="Arial" w:cs="Arial"/>
          <w:b/>
          <w:bCs/>
          <w:u w:val="single"/>
        </w:rPr>
        <w:t>Source:</w:t>
      </w:r>
      <w:r w:rsidRPr="00E136D8">
        <w:rPr>
          <w:rFonts w:ascii="Arial" w:hAnsi="Arial" w:cs="Arial"/>
          <w:u w:val="single"/>
        </w:rPr>
        <w:t xml:space="preserve"> Author's illustration based on Gibbs (1988).</w:t>
      </w:r>
    </w:p>
    <w:p w14:paraId="40CD668D" w14:textId="52D57551" w:rsidR="002D148B" w:rsidRPr="00E136D8" w:rsidRDefault="00E136D8" w:rsidP="00E136D8">
      <w:pPr>
        <w:pStyle w:val="Heading2"/>
        <w:rPr>
          <w:color w:val="2F5496" w:themeColor="accent1" w:themeShade="BF"/>
          <w:sz w:val="36"/>
          <w:szCs w:val="40"/>
        </w:rPr>
      </w:pPr>
      <w:bookmarkStart w:id="53" w:name="_Toc235559688"/>
      <w:r>
        <w:t xml:space="preserve">3.5 </w:t>
      </w:r>
      <w:r w:rsidR="002D148B" w:rsidRPr="00E136D8">
        <w:t>Conclusion</w:t>
      </w:r>
      <w:bookmarkEnd w:id="53"/>
    </w:p>
    <w:p w14:paraId="6BB208A4" w14:textId="77777777" w:rsidR="00F607F1" w:rsidRPr="00E136D8" w:rsidRDefault="00F607F1" w:rsidP="00DE1972">
      <w:pPr>
        <w:spacing w:line="360" w:lineRule="auto"/>
        <w:jc w:val="both"/>
        <w:rPr>
          <w:rFonts w:ascii="Arial" w:hAnsi="Arial" w:cs="Arial"/>
          <w:sz w:val="24"/>
          <w:szCs w:val="24"/>
        </w:rPr>
      </w:pPr>
      <w:r w:rsidRPr="00E136D8">
        <w:rPr>
          <w:rFonts w:ascii="Arial" w:hAnsi="Arial" w:cs="Arial"/>
          <w:sz w:val="24"/>
          <w:szCs w:val="24"/>
        </w:rPr>
        <w:t xml:space="preserve">This overall assignment was a great way to understanding international marketing theory and its application in multinational organisations. This experience proved the need to adapt to the international political, economic, cultural and technological environment continuously, besides the standardisation of marketing on the global level for its success. I also gained the ability to critically evaluate evidence, draw on several theoretical perspectives and provide academically informed strategic recommendations as a result of the reflective process. These skills will have a positive impact on my future educational pursuits and career. </w:t>
      </w:r>
    </w:p>
    <w:p w14:paraId="03006338" w14:textId="2B7FD278" w:rsidR="002D148B" w:rsidRPr="00E136D8" w:rsidRDefault="00E136D8" w:rsidP="00E136D8">
      <w:pPr>
        <w:pStyle w:val="Heading2"/>
      </w:pPr>
      <w:bookmarkStart w:id="54" w:name="_Toc235559689"/>
      <w:r>
        <w:lastRenderedPageBreak/>
        <w:t xml:space="preserve">3.6 </w:t>
      </w:r>
      <w:r w:rsidR="002D148B" w:rsidRPr="00E136D8">
        <w:t>Action Plan</w:t>
      </w:r>
      <w:bookmarkEnd w:id="54"/>
    </w:p>
    <w:p w14:paraId="0E08974C" w14:textId="223C3D11" w:rsidR="00F607F1" w:rsidRPr="00E136D8" w:rsidRDefault="00F607F1" w:rsidP="00DE1972">
      <w:pPr>
        <w:spacing w:line="360" w:lineRule="auto"/>
        <w:jc w:val="both"/>
        <w:rPr>
          <w:rFonts w:ascii="Arial" w:hAnsi="Arial" w:cs="Arial"/>
          <w:sz w:val="24"/>
          <w:szCs w:val="24"/>
        </w:rPr>
      </w:pPr>
      <w:r w:rsidRPr="00E136D8">
        <w:rPr>
          <w:rFonts w:ascii="Arial" w:hAnsi="Arial" w:cs="Arial"/>
          <w:sz w:val="24"/>
          <w:szCs w:val="24"/>
        </w:rPr>
        <w:t>There are four things I plan to do in order to improve my academic and career success. I will first continue to build my critical analysis and thinking skills more by reading more from new literature from academics instead of descriptive information. Secondly, I will be able to analy</w:t>
      </w:r>
      <w:r w:rsidR="00E136D8">
        <w:rPr>
          <w:rFonts w:ascii="Arial" w:hAnsi="Arial" w:cs="Arial"/>
          <w:sz w:val="24"/>
          <w:szCs w:val="24"/>
        </w:rPr>
        <w:t>s</w:t>
      </w:r>
      <w:r w:rsidRPr="00E136D8">
        <w:rPr>
          <w:rFonts w:ascii="Arial" w:hAnsi="Arial" w:cs="Arial"/>
          <w:sz w:val="24"/>
          <w:szCs w:val="24"/>
        </w:rPr>
        <w:t>e international business information by applying company reports and industry databases. Third, I will extend the range of my understanding of cross-cultural management by examining other international marketing case studies, besides the automotive industry. Lastly, I will further enhance my academic writing skills by working on the synthesis of evidence, argument development and the effective application of theoretical frameworks.</w:t>
      </w:r>
    </w:p>
    <w:p w14:paraId="6ED1F049" w14:textId="77777777" w:rsidR="00ED2F1B" w:rsidRPr="00E136D8" w:rsidRDefault="00ED2F1B" w:rsidP="00E136D8"/>
    <w:p w14:paraId="0D3EBBE6" w14:textId="77777777" w:rsidR="00ED2F1B" w:rsidRPr="00E136D8" w:rsidRDefault="00ED2F1B" w:rsidP="00E136D8"/>
    <w:p w14:paraId="57F36ED3" w14:textId="77777777" w:rsidR="00ED2F1B" w:rsidRPr="00E136D8" w:rsidRDefault="00ED2F1B" w:rsidP="00E136D8"/>
    <w:p w14:paraId="70E995D7" w14:textId="77777777" w:rsidR="00ED2F1B" w:rsidRPr="00DE078D" w:rsidRDefault="00ED2F1B" w:rsidP="00E136D8"/>
    <w:p w14:paraId="76F7D4F6" w14:textId="77777777" w:rsidR="00ED2F1B" w:rsidRPr="00DE078D" w:rsidRDefault="00ED2F1B" w:rsidP="00E136D8"/>
    <w:p w14:paraId="1A5DCD67" w14:textId="77777777" w:rsidR="00DE078D" w:rsidRPr="00DE078D" w:rsidRDefault="00DE078D" w:rsidP="00E136D8"/>
    <w:p w14:paraId="085E52C6" w14:textId="77777777" w:rsidR="00DE078D" w:rsidRPr="00DE078D" w:rsidRDefault="00DE078D" w:rsidP="00E136D8"/>
    <w:p w14:paraId="5F37D42A" w14:textId="77777777" w:rsidR="00DE078D" w:rsidRPr="00DE078D" w:rsidRDefault="00DE078D" w:rsidP="00E136D8"/>
    <w:p w14:paraId="4B9D020A" w14:textId="77777777" w:rsidR="00DE078D" w:rsidRPr="00DE078D" w:rsidRDefault="00DE078D" w:rsidP="00E136D8"/>
    <w:p w14:paraId="6983F72E" w14:textId="77777777" w:rsidR="00DE078D" w:rsidRPr="00DE078D" w:rsidRDefault="00DE078D" w:rsidP="00E136D8"/>
    <w:p w14:paraId="310907BD" w14:textId="77777777" w:rsidR="00DE078D" w:rsidRPr="00DE078D" w:rsidRDefault="00DE078D" w:rsidP="00E136D8"/>
    <w:p w14:paraId="16EC6E8C" w14:textId="77777777" w:rsidR="00DE078D" w:rsidRPr="00DE078D" w:rsidRDefault="00DE078D" w:rsidP="00E136D8"/>
    <w:p w14:paraId="40A6D9F2" w14:textId="77777777" w:rsidR="00E136D8" w:rsidRDefault="00E136D8">
      <w:pPr>
        <w:rPr>
          <w:rFonts w:ascii="Arial" w:eastAsiaTheme="majorEastAsia" w:hAnsi="Arial" w:cstheme="majorBidi"/>
          <w:b/>
          <w:color w:val="2F5496" w:themeColor="accent1" w:themeShade="BF"/>
          <w:sz w:val="36"/>
          <w:szCs w:val="40"/>
        </w:rPr>
      </w:pPr>
      <w:r>
        <w:br w:type="page"/>
      </w:r>
    </w:p>
    <w:p w14:paraId="5BD43BF3" w14:textId="1F6A9D71" w:rsidR="0055603B" w:rsidRPr="00DE078D" w:rsidRDefault="0055603B" w:rsidP="00DE1972">
      <w:pPr>
        <w:pStyle w:val="Heading1"/>
        <w:jc w:val="both"/>
      </w:pPr>
      <w:bookmarkStart w:id="55" w:name="_Toc235559690"/>
      <w:r w:rsidRPr="00DE078D">
        <w:lastRenderedPageBreak/>
        <w:t>References</w:t>
      </w:r>
      <w:r w:rsidR="00E136D8">
        <w:t>:</w:t>
      </w:r>
      <w:bookmarkEnd w:id="55"/>
    </w:p>
    <w:p w14:paraId="4603CBC7" w14:textId="1CB1E1CC" w:rsidR="00BE692C" w:rsidRPr="00DE078D" w:rsidRDefault="00BE692C" w:rsidP="00E136D8">
      <w:pPr>
        <w:spacing w:line="360" w:lineRule="auto"/>
        <w:ind w:left="720" w:hanging="720"/>
        <w:rPr>
          <w:rFonts w:ascii="Arial" w:hAnsi="Arial" w:cs="Arial"/>
          <w:sz w:val="24"/>
          <w:szCs w:val="24"/>
        </w:rPr>
      </w:pPr>
      <w:r w:rsidRPr="00DE078D">
        <w:rPr>
          <w:rFonts w:ascii="Arial" w:hAnsi="Arial" w:cs="Arial"/>
          <w:sz w:val="24"/>
          <w:szCs w:val="24"/>
        </w:rPr>
        <w:t xml:space="preserve">Abe, Y., Lin, X. and Takase, M. </w:t>
      </w:r>
      <w:r w:rsidRPr="00DE078D">
        <w:rPr>
          <w:rFonts w:ascii="Arial" w:hAnsi="Arial" w:cs="Arial"/>
          <w:b/>
          <w:bCs/>
          <w:sz w:val="24"/>
          <w:szCs w:val="24"/>
        </w:rPr>
        <w:t>(2019)</w:t>
      </w:r>
      <w:r w:rsidRPr="00DE078D">
        <w:rPr>
          <w:rFonts w:ascii="Arial" w:hAnsi="Arial" w:cs="Arial"/>
          <w:sz w:val="24"/>
          <w:szCs w:val="24"/>
        </w:rPr>
        <w:t xml:space="preserve"> ‘Distribution of the dealer and repair parts management system of a Japanese multinational car manufacturer in China: Focusing on the case of GAC Toyota Motors’, </w:t>
      </w:r>
      <w:r w:rsidRPr="00DE078D">
        <w:rPr>
          <w:rFonts w:ascii="Arial" w:hAnsi="Arial" w:cs="Arial"/>
          <w:i/>
          <w:iCs/>
          <w:sz w:val="24"/>
          <w:szCs w:val="24"/>
        </w:rPr>
        <w:t>Journal of the Economic Geographical Society of Korea</w:t>
      </w:r>
      <w:r w:rsidRPr="00DE078D">
        <w:rPr>
          <w:rFonts w:ascii="Arial" w:hAnsi="Arial" w:cs="Arial"/>
          <w:sz w:val="24"/>
          <w:szCs w:val="24"/>
        </w:rPr>
        <w:t xml:space="preserve">, 22(2), pp. 160–177. Available at: </w:t>
      </w:r>
      <w:hyperlink r:id="rId16" w:tgtFrame="_new" w:history="1">
        <w:r w:rsidRPr="00DE078D">
          <w:rPr>
            <w:rStyle w:val="Hyperlink"/>
            <w:rFonts w:ascii="Arial" w:hAnsi="Arial" w:cs="Arial"/>
            <w:sz w:val="24"/>
            <w:szCs w:val="24"/>
          </w:rPr>
          <w:t>https://doi.org/10.23841/egsk.2019.22.2.160</w:t>
        </w:r>
      </w:hyperlink>
      <w:r w:rsidRPr="00DE078D">
        <w:rPr>
          <w:rFonts w:ascii="Arial" w:hAnsi="Arial" w:cs="Arial"/>
          <w:sz w:val="24"/>
          <w:szCs w:val="24"/>
        </w:rPr>
        <w:t xml:space="preserve"> (Accessed: 20 July 2026).</w:t>
      </w:r>
    </w:p>
    <w:p w14:paraId="1AAD5FF8" w14:textId="6F300F78" w:rsidR="00BE692C" w:rsidRPr="00DE078D" w:rsidRDefault="00BE692C" w:rsidP="00E136D8">
      <w:pPr>
        <w:spacing w:line="360" w:lineRule="auto"/>
        <w:ind w:left="720" w:hanging="720"/>
        <w:rPr>
          <w:rFonts w:ascii="Arial" w:hAnsi="Arial" w:cs="Arial"/>
          <w:sz w:val="24"/>
          <w:szCs w:val="24"/>
        </w:rPr>
      </w:pPr>
      <w:r w:rsidRPr="00DE078D">
        <w:rPr>
          <w:rFonts w:ascii="Arial" w:hAnsi="Arial" w:cs="Arial"/>
          <w:sz w:val="24"/>
          <w:szCs w:val="24"/>
        </w:rPr>
        <w:t xml:space="preserve">Dzienis, A.M. and McCaleb, A. </w:t>
      </w:r>
      <w:r w:rsidRPr="00DE078D">
        <w:rPr>
          <w:rFonts w:ascii="Arial" w:hAnsi="Arial" w:cs="Arial"/>
          <w:b/>
          <w:bCs/>
          <w:sz w:val="24"/>
          <w:szCs w:val="24"/>
        </w:rPr>
        <w:t>(2025)</w:t>
      </w:r>
      <w:r w:rsidRPr="00DE078D">
        <w:rPr>
          <w:rFonts w:ascii="Arial" w:hAnsi="Arial" w:cs="Arial"/>
          <w:sz w:val="24"/>
          <w:szCs w:val="24"/>
        </w:rPr>
        <w:t xml:space="preserve"> ‘Digital and green transitions and automotive industry reconfiguration: Evidence from Japan and China’, </w:t>
      </w:r>
      <w:r w:rsidRPr="00DE078D">
        <w:rPr>
          <w:rFonts w:ascii="Arial" w:hAnsi="Arial" w:cs="Arial"/>
          <w:i/>
          <w:iCs/>
          <w:sz w:val="24"/>
          <w:szCs w:val="24"/>
        </w:rPr>
        <w:t>Journal of Contemporary Asia</w:t>
      </w:r>
      <w:r w:rsidRPr="00DE078D">
        <w:rPr>
          <w:rFonts w:ascii="Arial" w:hAnsi="Arial" w:cs="Arial"/>
          <w:sz w:val="24"/>
          <w:szCs w:val="24"/>
        </w:rPr>
        <w:t xml:space="preserve">, 55(4), pp. 618–644. Available at: </w:t>
      </w:r>
      <w:hyperlink r:id="rId17" w:tgtFrame="_new" w:history="1">
        <w:r w:rsidRPr="00DE078D">
          <w:rPr>
            <w:rStyle w:val="Hyperlink"/>
            <w:rFonts w:ascii="Arial" w:hAnsi="Arial" w:cs="Arial"/>
            <w:sz w:val="24"/>
            <w:szCs w:val="24"/>
          </w:rPr>
          <w:t>https://doi.org/10.1080/00472336.2024.2384704</w:t>
        </w:r>
      </w:hyperlink>
      <w:r w:rsidRPr="00DE078D">
        <w:rPr>
          <w:rFonts w:ascii="Arial" w:hAnsi="Arial" w:cs="Arial"/>
          <w:sz w:val="24"/>
          <w:szCs w:val="24"/>
        </w:rPr>
        <w:t xml:space="preserve"> (Accessed: 20 July 2026).</w:t>
      </w:r>
    </w:p>
    <w:p w14:paraId="08477C4C" w14:textId="21CE6FEC" w:rsidR="00BE692C" w:rsidRPr="00DE078D" w:rsidRDefault="00BE692C" w:rsidP="00E136D8">
      <w:pPr>
        <w:spacing w:line="360" w:lineRule="auto"/>
        <w:ind w:left="720" w:hanging="720"/>
        <w:rPr>
          <w:rFonts w:ascii="Arial" w:hAnsi="Arial" w:cs="Arial"/>
          <w:sz w:val="24"/>
          <w:szCs w:val="24"/>
        </w:rPr>
      </w:pPr>
      <w:r w:rsidRPr="00DE078D">
        <w:rPr>
          <w:rFonts w:ascii="Arial" w:hAnsi="Arial" w:cs="Arial"/>
          <w:sz w:val="24"/>
          <w:szCs w:val="24"/>
        </w:rPr>
        <w:t xml:space="preserve">Gibbs, G. </w:t>
      </w:r>
      <w:r w:rsidRPr="00DE078D">
        <w:rPr>
          <w:rFonts w:ascii="Arial" w:hAnsi="Arial" w:cs="Arial"/>
          <w:b/>
          <w:bCs/>
          <w:sz w:val="24"/>
          <w:szCs w:val="24"/>
        </w:rPr>
        <w:t>(1988)</w:t>
      </w:r>
      <w:r w:rsidRPr="00DE078D">
        <w:rPr>
          <w:rFonts w:ascii="Arial" w:hAnsi="Arial" w:cs="Arial"/>
          <w:sz w:val="24"/>
          <w:szCs w:val="24"/>
        </w:rPr>
        <w:t xml:space="preserve"> </w:t>
      </w:r>
      <w:r w:rsidRPr="00DE078D">
        <w:rPr>
          <w:rFonts w:ascii="Arial" w:hAnsi="Arial" w:cs="Arial"/>
          <w:i/>
          <w:iCs/>
          <w:sz w:val="24"/>
          <w:szCs w:val="24"/>
        </w:rPr>
        <w:t>Learning by Doing: A Guide to Teaching and Learning Methods</w:t>
      </w:r>
      <w:r w:rsidRPr="00DE078D">
        <w:rPr>
          <w:rFonts w:ascii="Arial" w:hAnsi="Arial" w:cs="Arial"/>
          <w:sz w:val="24"/>
          <w:szCs w:val="24"/>
        </w:rPr>
        <w:t xml:space="preserve">. Oxford: Oxford Polytechnic, Further Education Unit. Available at: </w:t>
      </w:r>
      <w:hyperlink r:id="rId18" w:tgtFrame="_new" w:history="1">
        <w:r w:rsidRPr="00DE078D">
          <w:rPr>
            <w:rStyle w:val="Hyperlink"/>
            <w:rFonts w:ascii="Arial" w:hAnsi="Arial" w:cs="Arial"/>
            <w:sz w:val="24"/>
            <w:szCs w:val="24"/>
          </w:rPr>
          <w:t>https://www.gibbsreflectivecycle.com/wp-content/uploads/2013/09/Gibbs-1988-Learning-by-Doing.pdf</w:t>
        </w:r>
      </w:hyperlink>
      <w:r w:rsidRPr="00DE078D">
        <w:rPr>
          <w:rFonts w:ascii="Arial" w:hAnsi="Arial" w:cs="Arial"/>
          <w:sz w:val="24"/>
          <w:szCs w:val="24"/>
        </w:rPr>
        <w:t xml:space="preserve"> (Accessed: 20 July 2026).</w:t>
      </w:r>
    </w:p>
    <w:p w14:paraId="397822DC" w14:textId="07A877FF" w:rsidR="00BE692C" w:rsidRPr="00DE078D" w:rsidRDefault="00BE692C" w:rsidP="00E136D8">
      <w:pPr>
        <w:spacing w:line="360" w:lineRule="auto"/>
        <w:ind w:left="720" w:hanging="720"/>
        <w:rPr>
          <w:rFonts w:ascii="Arial" w:hAnsi="Arial" w:cs="Arial"/>
          <w:sz w:val="24"/>
          <w:szCs w:val="24"/>
        </w:rPr>
      </w:pPr>
      <w:r w:rsidRPr="00DE078D">
        <w:rPr>
          <w:rFonts w:ascii="Arial" w:hAnsi="Arial" w:cs="Arial"/>
          <w:sz w:val="24"/>
          <w:szCs w:val="24"/>
        </w:rPr>
        <w:t xml:space="preserve">Gibrilla, T. </w:t>
      </w:r>
      <w:r w:rsidRPr="00DE078D">
        <w:rPr>
          <w:rFonts w:ascii="Arial" w:hAnsi="Arial" w:cs="Arial"/>
          <w:b/>
          <w:bCs/>
          <w:sz w:val="24"/>
          <w:szCs w:val="24"/>
        </w:rPr>
        <w:t>(2023)</w:t>
      </w:r>
      <w:r w:rsidRPr="00DE078D">
        <w:rPr>
          <w:rFonts w:ascii="Arial" w:hAnsi="Arial" w:cs="Arial"/>
          <w:sz w:val="24"/>
          <w:szCs w:val="24"/>
        </w:rPr>
        <w:t xml:space="preserve"> </w:t>
      </w:r>
      <w:r w:rsidRPr="00DE078D">
        <w:rPr>
          <w:rFonts w:ascii="Arial" w:hAnsi="Arial" w:cs="Arial"/>
          <w:i/>
          <w:iCs/>
          <w:sz w:val="24"/>
          <w:szCs w:val="24"/>
        </w:rPr>
        <w:t>Peculiarities of automobile corporation’s activity in the global market (based on the company Toyota Motor Corporation)</w:t>
      </w:r>
      <w:r w:rsidRPr="00DE078D">
        <w:rPr>
          <w:rFonts w:ascii="Arial" w:hAnsi="Arial" w:cs="Arial"/>
          <w:sz w:val="24"/>
          <w:szCs w:val="24"/>
        </w:rPr>
        <w:t xml:space="preserve">. Doctoral dissertation. Poltava University of Economics and Trade. Available at: </w:t>
      </w:r>
      <w:hyperlink r:id="rId19" w:tgtFrame="_new" w:history="1">
        <w:r w:rsidRPr="00DE078D">
          <w:rPr>
            <w:rStyle w:val="Hyperlink"/>
            <w:rFonts w:ascii="Arial" w:hAnsi="Arial" w:cs="Arial"/>
            <w:sz w:val="24"/>
            <w:szCs w:val="24"/>
          </w:rPr>
          <w:t>https://dspace.puet.edu.ua/</w:t>
        </w:r>
      </w:hyperlink>
      <w:r w:rsidRPr="00DE078D">
        <w:rPr>
          <w:rFonts w:ascii="Arial" w:hAnsi="Arial" w:cs="Arial"/>
          <w:sz w:val="24"/>
          <w:szCs w:val="24"/>
        </w:rPr>
        <w:t xml:space="preserve"> (Accessed: 20 July 2026).</w:t>
      </w:r>
    </w:p>
    <w:p w14:paraId="50DE350D" w14:textId="65101B25" w:rsidR="00BE692C" w:rsidRPr="00DE078D" w:rsidRDefault="00BE692C" w:rsidP="00E136D8">
      <w:pPr>
        <w:spacing w:line="360" w:lineRule="auto"/>
        <w:ind w:left="720" w:hanging="720"/>
        <w:rPr>
          <w:rFonts w:ascii="Arial" w:hAnsi="Arial" w:cs="Arial"/>
          <w:sz w:val="24"/>
          <w:szCs w:val="24"/>
        </w:rPr>
      </w:pPr>
      <w:r w:rsidRPr="00DE078D">
        <w:rPr>
          <w:rFonts w:ascii="Arial" w:hAnsi="Arial" w:cs="Arial"/>
          <w:sz w:val="24"/>
          <w:szCs w:val="24"/>
        </w:rPr>
        <w:t xml:space="preserve">Hill, C.W.L. </w:t>
      </w:r>
      <w:r w:rsidRPr="00DE078D">
        <w:rPr>
          <w:rFonts w:ascii="Arial" w:hAnsi="Arial" w:cs="Arial"/>
          <w:b/>
          <w:bCs/>
          <w:sz w:val="24"/>
          <w:szCs w:val="24"/>
        </w:rPr>
        <w:t>(2022)</w:t>
      </w:r>
      <w:r w:rsidRPr="00DE078D">
        <w:rPr>
          <w:rFonts w:ascii="Arial" w:hAnsi="Arial" w:cs="Arial"/>
          <w:sz w:val="24"/>
          <w:szCs w:val="24"/>
        </w:rPr>
        <w:t xml:space="preserve"> </w:t>
      </w:r>
      <w:r w:rsidRPr="00DE078D">
        <w:rPr>
          <w:rFonts w:ascii="Arial" w:hAnsi="Arial" w:cs="Arial"/>
          <w:i/>
          <w:iCs/>
          <w:sz w:val="24"/>
          <w:szCs w:val="24"/>
        </w:rPr>
        <w:t>International Business: Competing in the Global Marketplace</w:t>
      </w:r>
      <w:r w:rsidRPr="00DE078D">
        <w:rPr>
          <w:rFonts w:ascii="Arial" w:hAnsi="Arial" w:cs="Arial"/>
          <w:sz w:val="24"/>
          <w:szCs w:val="24"/>
        </w:rPr>
        <w:t xml:space="preserve">. 14th edn. New York: McGraw Hill. Available at: </w:t>
      </w:r>
      <w:hyperlink r:id="rId20" w:tgtFrame="_new" w:history="1">
        <w:r w:rsidRPr="00DE078D">
          <w:rPr>
            <w:rStyle w:val="Hyperlink"/>
            <w:rFonts w:ascii="Arial" w:hAnsi="Arial" w:cs="Arial"/>
            <w:sz w:val="24"/>
            <w:szCs w:val="24"/>
          </w:rPr>
          <w:t>https://www.mheducation.com/highered/product/international-business-competing-global-marketplace-hill/M9781264364096.html</w:t>
        </w:r>
      </w:hyperlink>
      <w:r w:rsidRPr="00DE078D">
        <w:rPr>
          <w:rFonts w:ascii="Arial" w:hAnsi="Arial" w:cs="Arial"/>
          <w:sz w:val="24"/>
          <w:szCs w:val="24"/>
        </w:rPr>
        <w:t xml:space="preserve"> (Accessed: 20 July 2026).</w:t>
      </w:r>
    </w:p>
    <w:p w14:paraId="77A61979" w14:textId="35EE4C69" w:rsidR="00BE692C" w:rsidRPr="00DE078D" w:rsidRDefault="00BE692C" w:rsidP="00E136D8">
      <w:pPr>
        <w:spacing w:line="360" w:lineRule="auto"/>
        <w:ind w:left="720" w:hanging="720"/>
        <w:rPr>
          <w:rFonts w:ascii="Arial" w:hAnsi="Arial" w:cs="Arial"/>
          <w:sz w:val="24"/>
          <w:szCs w:val="24"/>
        </w:rPr>
      </w:pPr>
      <w:r w:rsidRPr="00DE078D">
        <w:rPr>
          <w:rFonts w:ascii="Arial" w:hAnsi="Arial" w:cs="Arial"/>
          <w:sz w:val="24"/>
          <w:szCs w:val="24"/>
        </w:rPr>
        <w:t xml:space="preserve">Hofstede Insights </w:t>
      </w:r>
      <w:r w:rsidRPr="00DE078D">
        <w:rPr>
          <w:rFonts w:ascii="Arial" w:hAnsi="Arial" w:cs="Arial"/>
          <w:b/>
          <w:bCs/>
          <w:sz w:val="24"/>
          <w:szCs w:val="24"/>
        </w:rPr>
        <w:t>(2025)</w:t>
      </w:r>
      <w:r w:rsidRPr="00DE078D">
        <w:rPr>
          <w:rFonts w:ascii="Arial" w:hAnsi="Arial" w:cs="Arial"/>
          <w:sz w:val="24"/>
          <w:szCs w:val="24"/>
        </w:rPr>
        <w:t xml:space="preserve"> </w:t>
      </w:r>
      <w:r w:rsidRPr="00DE078D">
        <w:rPr>
          <w:rFonts w:ascii="Arial" w:hAnsi="Arial" w:cs="Arial"/>
          <w:i/>
          <w:iCs/>
          <w:sz w:val="24"/>
          <w:szCs w:val="24"/>
        </w:rPr>
        <w:t>Country comparison</w:t>
      </w:r>
      <w:r w:rsidRPr="00DE078D">
        <w:rPr>
          <w:rFonts w:ascii="Arial" w:hAnsi="Arial" w:cs="Arial"/>
          <w:sz w:val="24"/>
          <w:szCs w:val="24"/>
        </w:rPr>
        <w:t xml:space="preserve">. Available at: </w:t>
      </w:r>
      <w:hyperlink r:id="rId21" w:tgtFrame="_new" w:history="1">
        <w:r w:rsidRPr="00DE078D">
          <w:rPr>
            <w:rStyle w:val="Hyperlink"/>
            <w:rFonts w:ascii="Arial" w:hAnsi="Arial" w:cs="Arial"/>
            <w:sz w:val="24"/>
            <w:szCs w:val="24"/>
          </w:rPr>
          <w:t>https://www.hofstede-insights.com/country-comparison/</w:t>
        </w:r>
      </w:hyperlink>
      <w:r w:rsidRPr="00DE078D">
        <w:rPr>
          <w:rFonts w:ascii="Arial" w:hAnsi="Arial" w:cs="Arial"/>
          <w:sz w:val="24"/>
          <w:szCs w:val="24"/>
        </w:rPr>
        <w:t xml:space="preserve"> (Accessed: 20 July 2026).</w:t>
      </w:r>
    </w:p>
    <w:p w14:paraId="3A2C2A6C" w14:textId="11F61630" w:rsidR="00BE692C" w:rsidRPr="00DE078D" w:rsidRDefault="00BE692C" w:rsidP="00E136D8">
      <w:pPr>
        <w:spacing w:line="360" w:lineRule="auto"/>
        <w:ind w:left="720" w:hanging="720"/>
        <w:rPr>
          <w:rFonts w:ascii="Arial" w:hAnsi="Arial" w:cs="Arial"/>
          <w:sz w:val="24"/>
          <w:szCs w:val="24"/>
        </w:rPr>
      </w:pPr>
      <w:r w:rsidRPr="00DE078D">
        <w:rPr>
          <w:rFonts w:ascii="Arial" w:hAnsi="Arial" w:cs="Arial"/>
          <w:sz w:val="24"/>
          <w:szCs w:val="24"/>
        </w:rPr>
        <w:t xml:space="preserve">Hollensen, S. </w:t>
      </w:r>
      <w:r w:rsidRPr="00DE078D">
        <w:rPr>
          <w:rFonts w:ascii="Arial" w:hAnsi="Arial" w:cs="Arial"/>
          <w:b/>
          <w:bCs/>
          <w:sz w:val="24"/>
          <w:szCs w:val="24"/>
        </w:rPr>
        <w:t>(2022)</w:t>
      </w:r>
      <w:r w:rsidRPr="00DE078D">
        <w:rPr>
          <w:rFonts w:ascii="Arial" w:hAnsi="Arial" w:cs="Arial"/>
          <w:sz w:val="24"/>
          <w:szCs w:val="24"/>
        </w:rPr>
        <w:t xml:space="preserve"> </w:t>
      </w:r>
      <w:r w:rsidRPr="00DE078D">
        <w:rPr>
          <w:rFonts w:ascii="Arial" w:hAnsi="Arial" w:cs="Arial"/>
          <w:i/>
          <w:iCs/>
          <w:sz w:val="24"/>
          <w:szCs w:val="24"/>
        </w:rPr>
        <w:t>Global Marketing</w:t>
      </w:r>
      <w:r w:rsidRPr="00DE078D">
        <w:rPr>
          <w:rFonts w:ascii="Arial" w:hAnsi="Arial" w:cs="Arial"/>
          <w:sz w:val="24"/>
          <w:szCs w:val="24"/>
        </w:rPr>
        <w:t xml:space="preserve">. 9th edn. Harlow: Pearson. Available at: </w:t>
      </w:r>
      <w:hyperlink r:id="rId22" w:tgtFrame="_new" w:history="1">
        <w:r w:rsidRPr="00DE078D">
          <w:rPr>
            <w:rStyle w:val="Hyperlink"/>
            <w:rFonts w:ascii="Arial" w:hAnsi="Arial" w:cs="Arial"/>
            <w:sz w:val="24"/>
            <w:szCs w:val="24"/>
          </w:rPr>
          <w:t>https://www.pearson.com/</w:t>
        </w:r>
      </w:hyperlink>
      <w:r w:rsidRPr="00DE078D">
        <w:rPr>
          <w:rFonts w:ascii="Arial" w:hAnsi="Arial" w:cs="Arial"/>
          <w:sz w:val="24"/>
          <w:szCs w:val="24"/>
        </w:rPr>
        <w:t xml:space="preserve"> (Accessed: 20 July 2026).</w:t>
      </w:r>
    </w:p>
    <w:p w14:paraId="4B6447A0" w14:textId="28BDF233" w:rsidR="00BE692C" w:rsidRPr="00DE078D" w:rsidRDefault="00BE692C" w:rsidP="00E136D8">
      <w:pPr>
        <w:spacing w:line="360" w:lineRule="auto"/>
        <w:ind w:left="720" w:hanging="720"/>
        <w:rPr>
          <w:rFonts w:ascii="Arial" w:hAnsi="Arial" w:cs="Arial"/>
          <w:sz w:val="24"/>
          <w:szCs w:val="24"/>
        </w:rPr>
      </w:pPr>
      <w:r w:rsidRPr="00DE078D">
        <w:rPr>
          <w:rFonts w:ascii="Arial" w:hAnsi="Arial" w:cs="Arial"/>
          <w:sz w:val="24"/>
          <w:szCs w:val="24"/>
        </w:rPr>
        <w:lastRenderedPageBreak/>
        <w:t xml:space="preserve">Hyun, J.H. </w:t>
      </w:r>
      <w:r w:rsidRPr="00DE078D">
        <w:rPr>
          <w:rFonts w:ascii="Arial" w:hAnsi="Arial" w:cs="Arial"/>
          <w:b/>
          <w:bCs/>
          <w:sz w:val="24"/>
          <w:szCs w:val="24"/>
        </w:rPr>
        <w:t>(2025)</w:t>
      </w:r>
      <w:r w:rsidRPr="00DE078D">
        <w:rPr>
          <w:rFonts w:ascii="Arial" w:hAnsi="Arial" w:cs="Arial"/>
          <w:sz w:val="24"/>
          <w:szCs w:val="24"/>
        </w:rPr>
        <w:t xml:space="preserve"> ‘The role of transnational strategies in advancing quality management: A case study of Toyota Motor Corporation’, </w:t>
      </w:r>
      <w:r w:rsidRPr="00DE078D">
        <w:rPr>
          <w:rFonts w:ascii="Arial" w:hAnsi="Arial" w:cs="Arial"/>
          <w:i/>
          <w:iCs/>
          <w:sz w:val="24"/>
          <w:szCs w:val="24"/>
        </w:rPr>
        <w:t>Journal of Korean Society for Quality Management</w:t>
      </w:r>
      <w:r w:rsidRPr="00DE078D">
        <w:rPr>
          <w:rFonts w:ascii="Arial" w:hAnsi="Arial" w:cs="Arial"/>
          <w:sz w:val="24"/>
          <w:szCs w:val="24"/>
        </w:rPr>
        <w:t xml:space="preserve">, 53(1), pp. 93–108. Available at: </w:t>
      </w:r>
      <w:hyperlink r:id="rId23" w:tgtFrame="_new" w:history="1">
        <w:r w:rsidRPr="00DE078D">
          <w:rPr>
            <w:rStyle w:val="Hyperlink"/>
            <w:rFonts w:ascii="Arial" w:hAnsi="Arial" w:cs="Arial"/>
            <w:sz w:val="24"/>
            <w:szCs w:val="24"/>
          </w:rPr>
          <w:t>https://doi.org/10.7469/JKSQM.2025.53.1.93</w:t>
        </w:r>
      </w:hyperlink>
      <w:r w:rsidRPr="00DE078D">
        <w:rPr>
          <w:rFonts w:ascii="Arial" w:hAnsi="Arial" w:cs="Arial"/>
          <w:sz w:val="24"/>
          <w:szCs w:val="24"/>
        </w:rPr>
        <w:t xml:space="preserve"> (Accessed: 20 July 2026).</w:t>
      </w:r>
    </w:p>
    <w:p w14:paraId="611CAF85" w14:textId="1A01624D" w:rsidR="00BE692C" w:rsidRPr="00DE078D" w:rsidRDefault="00BE692C" w:rsidP="00E136D8">
      <w:pPr>
        <w:spacing w:line="360" w:lineRule="auto"/>
        <w:ind w:left="720" w:hanging="720"/>
        <w:rPr>
          <w:rFonts w:ascii="Arial" w:hAnsi="Arial" w:cs="Arial"/>
          <w:sz w:val="24"/>
          <w:szCs w:val="24"/>
        </w:rPr>
      </w:pPr>
      <w:r w:rsidRPr="00DE078D">
        <w:rPr>
          <w:rFonts w:ascii="Arial" w:hAnsi="Arial" w:cs="Arial"/>
          <w:sz w:val="24"/>
          <w:szCs w:val="24"/>
        </w:rPr>
        <w:t xml:space="preserve">Ikkatai, Y., Inoue, A., Minamizaki, A., Kano, K., McKay, E. and Yokoyama, H.M. </w:t>
      </w:r>
      <w:r w:rsidRPr="00DE078D">
        <w:rPr>
          <w:rFonts w:ascii="Arial" w:hAnsi="Arial" w:cs="Arial"/>
          <w:b/>
          <w:bCs/>
          <w:sz w:val="24"/>
          <w:szCs w:val="24"/>
        </w:rPr>
        <w:t>(2021)</w:t>
      </w:r>
      <w:r w:rsidRPr="00DE078D">
        <w:rPr>
          <w:rFonts w:ascii="Arial" w:hAnsi="Arial" w:cs="Arial"/>
          <w:sz w:val="24"/>
          <w:szCs w:val="24"/>
        </w:rPr>
        <w:t xml:space="preserve"> ‘Masculinity in the public image of physics and mathematics: A new model comparing Japan and England’, </w:t>
      </w:r>
      <w:r w:rsidRPr="00DE078D">
        <w:rPr>
          <w:rFonts w:ascii="Arial" w:hAnsi="Arial" w:cs="Arial"/>
          <w:i/>
          <w:iCs/>
          <w:sz w:val="24"/>
          <w:szCs w:val="24"/>
        </w:rPr>
        <w:t>Public Understanding of Science</w:t>
      </w:r>
      <w:r w:rsidRPr="00DE078D">
        <w:rPr>
          <w:rFonts w:ascii="Arial" w:hAnsi="Arial" w:cs="Arial"/>
          <w:sz w:val="24"/>
          <w:szCs w:val="24"/>
        </w:rPr>
        <w:t xml:space="preserve">, 30(7), pp. 810–826. Available at: </w:t>
      </w:r>
      <w:hyperlink r:id="rId24" w:tgtFrame="_new" w:history="1">
        <w:r w:rsidRPr="00DE078D">
          <w:rPr>
            <w:rStyle w:val="Hyperlink"/>
            <w:rFonts w:ascii="Arial" w:hAnsi="Arial" w:cs="Arial"/>
            <w:sz w:val="24"/>
            <w:szCs w:val="24"/>
          </w:rPr>
          <w:t>https://doi.org/10.1177/09636625211027391</w:t>
        </w:r>
      </w:hyperlink>
      <w:r w:rsidRPr="00DE078D">
        <w:rPr>
          <w:rFonts w:ascii="Arial" w:hAnsi="Arial" w:cs="Arial"/>
          <w:sz w:val="24"/>
          <w:szCs w:val="24"/>
        </w:rPr>
        <w:t xml:space="preserve"> (Accessed: 20 July 2026).</w:t>
      </w:r>
    </w:p>
    <w:p w14:paraId="24867ED3" w14:textId="4224DA4C" w:rsidR="00BE692C" w:rsidRPr="00DE078D" w:rsidRDefault="00BE692C" w:rsidP="00E136D8">
      <w:pPr>
        <w:spacing w:line="360" w:lineRule="auto"/>
        <w:ind w:left="720" w:hanging="720"/>
        <w:rPr>
          <w:rFonts w:ascii="Arial" w:hAnsi="Arial" w:cs="Arial"/>
          <w:sz w:val="24"/>
          <w:szCs w:val="24"/>
        </w:rPr>
      </w:pPr>
      <w:r w:rsidRPr="00DE078D">
        <w:rPr>
          <w:rFonts w:ascii="Arial" w:hAnsi="Arial" w:cs="Arial"/>
          <w:sz w:val="24"/>
          <w:szCs w:val="24"/>
        </w:rPr>
        <w:t xml:space="preserve">International Energy Agency (IEA) </w:t>
      </w:r>
      <w:r w:rsidRPr="00DE078D">
        <w:rPr>
          <w:rFonts w:ascii="Arial" w:hAnsi="Arial" w:cs="Arial"/>
          <w:b/>
          <w:bCs/>
          <w:sz w:val="24"/>
          <w:szCs w:val="24"/>
        </w:rPr>
        <w:t>(2025)</w:t>
      </w:r>
      <w:r w:rsidRPr="00DE078D">
        <w:rPr>
          <w:rFonts w:ascii="Arial" w:hAnsi="Arial" w:cs="Arial"/>
          <w:sz w:val="24"/>
          <w:szCs w:val="24"/>
        </w:rPr>
        <w:t xml:space="preserve"> </w:t>
      </w:r>
      <w:r w:rsidRPr="00DE078D">
        <w:rPr>
          <w:rFonts w:ascii="Arial" w:hAnsi="Arial" w:cs="Arial"/>
          <w:i/>
          <w:iCs/>
          <w:sz w:val="24"/>
          <w:szCs w:val="24"/>
        </w:rPr>
        <w:t>Global EV Outlook 2025: Trends in Electric Cars and Battery Markets</w:t>
      </w:r>
      <w:r w:rsidRPr="00DE078D">
        <w:rPr>
          <w:rFonts w:ascii="Arial" w:hAnsi="Arial" w:cs="Arial"/>
          <w:sz w:val="24"/>
          <w:szCs w:val="24"/>
        </w:rPr>
        <w:t xml:space="preserve">. Paris: International Energy Agency. Available at: </w:t>
      </w:r>
      <w:hyperlink r:id="rId25" w:tgtFrame="_new" w:history="1">
        <w:r w:rsidRPr="00DE078D">
          <w:rPr>
            <w:rStyle w:val="Hyperlink"/>
            <w:rFonts w:ascii="Arial" w:hAnsi="Arial" w:cs="Arial"/>
            <w:sz w:val="24"/>
            <w:szCs w:val="24"/>
          </w:rPr>
          <w:t>https://www.iea.org/reports/global-ev-outlook-2025</w:t>
        </w:r>
      </w:hyperlink>
      <w:r w:rsidRPr="00DE078D">
        <w:rPr>
          <w:rFonts w:ascii="Arial" w:hAnsi="Arial" w:cs="Arial"/>
          <w:sz w:val="24"/>
          <w:szCs w:val="24"/>
        </w:rPr>
        <w:t xml:space="preserve"> (Accessed: 20 July 2026).</w:t>
      </w:r>
    </w:p>
    <w:p w14:paraId="56BC21A5" w14:textId="1AD7638A" w:rsidR="00BE692C" w:rsidRPr="00DE078D" w:rsidRDefault="00BE692C" w:rsidP="00E136D8">
      <w:pPr>
        <w:spacing w:line="360" w:lineRule="auto"/>
        <w:ind w:left="720" w:hanging="720"/>
        <w:rPr>
          <w:rFonts w:ascii="Arial" w:hAnsi="Arial" w:cs="Arial"/>
          <w:sz w:val="24"/>
          <w:szCs w:val="24"/>
        </w:rPr>
      </w:pPr>
      <w:r w:rsidRPr="00DE078D">
        <w:rPr>
          <w:rFonts w:ascii="Arial" w:hAnsi="Arial" w:cs="Arial"/>
          <w:sz w:val="24"/>
          <w:szCs w:val="24"/>
        </w:rPr>
        <w:t xml:space="preserve">Kim, R.B., Matsui, T., Park, Y.J. and Okutani, T. </w:t>
      </w:r>
      <w:r w:rsidRPr="00DE078D">
        <w:rPr>
          <w:rFonts w:ascii="Arial" w:hAnsi="Arial" w:cs="Arial"/>
          <w:b/>
          <w:bCs/>
          <w:sz w:val="24"/>
          <w:szCs w:val="24"/>
        </w:rPr>
        <w:t>(2019)</w:t>
      </w:r>
      <w:r w:rsidRPr="00DE078D">
        <w:rPr>
          <w:rFonts w:ascii="Arial" w:hAnsi="Arial" w:cs="Arial"/>
          <w:sz w:val="24"/>
          <w:szCs w:val="24"/>
        </w:rPr>
        <w:t xml:space="preserve"> ‘Perceived consumer value of omni-channel service attributes in Japan and Korea’, </w:t>
      </w:r>
      <w:r w:rsidRPr="00DE078D">
        <w:rPr>
          <w:rFonts w:ascii="Arial" w:hAnsi="Arial" w:cs="Arial"/>
          <w:i/>
          <w:iCs/>
          <w:sz w:val="24"/>
          <w:szCs w:val="24"/>
        </w:rPr>
        <w:t>Engineering Economics</w:t>
      </w:r>
      <w:r w:rsidRPr="00DE078D">
        <w:rPr>
          <w:rFonts w:ascii="Arial" w:hAnsi="Arial" w:cs="Arial"/>
          <w:sz w:val="24"/>
          <w:szCs w:val="24"/>
        </w:rPr>
        <w:t xml:space="preserve">, 30(5), pp. 621–630. Available at: </w:t>
      </w:r>
      <w:hyperlink r:id="rId26" w:tgtFrame="_new" w:history="1">
        <w:r w:rsidRPr="00DE078D">
          <w:rPr>
            <w:rStyle w:val="Hyperlink"/>
            <w:rFonts w:ascii="Arial" w:hAnsi="Arial" w:cs="Arial"/>
            <w:sz w:val="24"/>
            <w:szCs w:val="24"/>
          </w:rPr>
          <w:t>https://doi.org/10.5755/j01.ee.30.5.22828</w:t>
        </w:r>
      </w:hyperlink>
      <w:r w:rsidRPr="00DE078D">
        <w:rPr>
          <w:rFonts w:ascii="Arial" w:hAnsi="Arial" w:cs="Arial"/>
          <w:sz w:val="24"/>
          <w:szCs w:val="24"/>
        </w:rPr>
        <w:t xml:space="preserve"> (Accessed: 20 July 2026).</w:t>
      </w:r>
    </w:p>
    <w:p w14:paraId="0A638B3D" w14:textId="54125503" w:rsidR="00BE692C" w:rsidRPr="00DE078D" w:rsidRDefault="00BE692C" w:rsidP="00E136D8">
      <w:pPr>
        <w:spacing w:line="360" w:lineRule="auto"/>
        <w:ind w:left="720" w:hanging="720"/>
        <w:rPr>
          <w:rFonts w:ascii="Arial" w:hAnsi="Arial" w:cs="Arial"/>
          <w:sz w:val="24"/>
          <w:szCs w:val="24"/>
        </w:rPr>
      </w:pPr>
      <w:r w:rsidRPr="00DE078D">
        <w:rPr>
          <w:rFonts w:ascii="Arial" w:hAnsi="Arial" w:cs="Arial"/>
          <w:sz w:val="24"/>
          <w:szCs w:val="24"/>
        </w:rPr>
        <w:t xml:space="preserve">Kotler, P., Armstrong, G. and Balasubramanian, S. </w:t>
      </w:r>
      <w:r w:rsidRPr="00DE078D">
        <w:rPr>
          <w:rFonts w:ascii="Arial" w:hAnsi="Arial" w:cs="Arial"/>
          <w:b/>
          <w:bCs/>
          <w:sz w:val="24"/>
          <w:szCs w:val="24"/>
        </w:rPr>
        <w:t>(2024)</w:t>
      </w:r>
      <w:r w:rsidRPr="00DE078D">
        <w:rPr>
          <w:rFonts w:ascii="Arial" w:hAnsi="Arial" w:cs="Arial"/>
          <w:sz w:val="24"/>
          <w:szCs w:val="24"/>
        </w:rPr>
        <w:t xml:space="preserve"> </w:t>
      </w:r>
      <w:r w:rsidRPr="00DE078D">
        <w:rPr>
          <w:rFonts w:ascii="Arial" w:hAnsi="Arial" w:cs="Arial"/>
          <w:i/>
          <w:iCs/>
          <w:sz w:val="24"/>
          <w:szCs w:val="24"/>
        </w:rPr>
        <w:t>Principles of Marketing</w:t>
      </w:r>
      <w:r w:rsidRPr="00DE078D">
        <w:rPr>
          <w:rFonts w:ascii="Arial" w:hAnsi="Arial" w:cs="Arial"/>
          <w:sz w:val="24"/>
          <w:szCs w:val="24"/>
        </w:rPr>
        <w:t xml:space="preserve">. 19th Global edn. Harlow: Pearson. Available at: </w:t>
      </w:r>
      <w:hyperlink r:id="rId27" w:tgtFrame="_new" w:history="1">
        <w:r w:rsidRPr="00DE078D">
          <w:rPr>
            <w:rStyle w:val="Hyperlink"/>
            <w:rFonts w:ascii="Arial" w:hAnsi="Arial" w:cs="Arial"/>
            <w:sz w:val="24"/>
            <w:szCs w:val="24"/>
          </w:rPr>
          <w:t>https://www.pearson.com/en-gb/subject-catalog/p/principles-of-marketing-global-edition/P200000009858</w:t>
        </w:r>
      </w:hyperlink>
      <w:r w:rsidRPr="00DE078D">
        <w:rPr>
          <w:rFonts w:ascii="Arial" w:hAnsi="Arial" w:cs="Arial"/>
          <w:sz w:val="24"/>
          <w:szCs w:val="24"/>
        </w:rPr>
        <w:t xml:space="preserve"> (Accessed: 20 July 2026).</w:t>
      </w:r>
    </w:p>
    <w:p w14:paraId="27E163E6" w14:textId="5E54308D" w:rsidR="00BE692C" w:rsidRPr="00DE078D" w:rsidRDefault="00BE692C" w:rsidP="00E136D8">
      <w:pPr>
        <w:spacing w:line="360" w:lineRule="auto"/>
        <w:ind w:left="720" w:hanging="720"/>
        <w:rPr>
          <w:rFonts w:ascii="Arial" w:hAnsi="Arial" w:cs="Arial"/>
          <w:sz w:val="24"/>
          <w:szCs w:val="24"/>
        </w:rPr>
      </w:pPr>
      <w:r w:rsidRPr="00DE078D">
        <w:rPr>
          <w:rFonts w:ascii="Arial" w:hAnsi="Arial" w:cs="Arial"/>
          <w:sz w:val="24"/>
          <w:szCs w:val="24"/>
        </w:rPr>
        <w:t xml:space="preserve">Kouam, A.W.F. </w:t>
      </w:r>
      <w:r w:rsidRPr="00DE078D">
        <w:rPr>
          <w:rFonts w:ascii="Arial" w:hAnsi="Arial" w:cs="Arial"/>
          <w:b/>
          <w:bCs/>
          <w:sz w:val="24"/>
          <w:szCs w:val="24"/>
        </w:rPr>
        <w:t>(2024)</w:t>
      </w:r>
      <w:r w:rsidRPr="00DE078D">
        <w:rPr>
          <w:rFonts w:ascii="Arial" w:hAnsi="Arial" w:cs="Arial"/>
          <w:sz w:val="24"/>
          <w:szCs w:val="24"/>
        </w:rPr>
        <w:t xml:space="preserve"> ‘Blocking or embracing the competition: Discussing the trade war on the electric vehicle industry from a global perspective’, </w:t>
      </w:r>
      <w:r w:rsidRPr="00DE078D">
        <w:rPr>
          <w:rFonts w:ascii="Arial" w:hAnsi="Arial" w:cs="Arial"/>
          <w:i/>
          <w:iCs/>
          <w:sz w:val="24"/>
          <w:szCs w:val="24"/>
        </w:rPr>
        <w:t>World Electric Vehicle Journal</w:t>
      </w:r>
      <w:r w:rsidRPr="00DE078D">
        <w:rPr>
          <w:rFonts w:ascii="Arial" w:hAnsi="Arial" w:cs="Arial"/>
          <w:sz w:val="24"/>
          <w:szCs w:val="24"/>
        </w:rPr>
        <w:t xml:space="preserve">, 15(9), Article 409. Available at: </w:t>
      </w:r>
      <w:hyperlink r:id="rId28" w:tgtFrame="_new" w:history="1">
        <w:r w:rsidRPr="00DE078D">
          <w:rPr>
            <w:rStyle w:val="Hyperlink"/>
            <w:rFonts w:ascii="Arial" w:hAnsi="Arial" w:cs="Arial"/>
            <w:sz w:val="24"/>
            <w:szCs w:val="24"/>
          </w:rPr>
          <w:t>https://doi.org/10.3390/wevj15090409</w:t>
        </w:r>
      </w:hyperlink>
      <w:r w:rsidRPr="00DE078D">
        <w:rPr>
          <w:rFonts w:ascii="Arial" w:hAnsi="Arial" w:cs="Arial"/>
          <w:sz w:val="24"/>
          <w:szCs w:val="24"/>
        </w:rPr>
        <w:t xml:space="preserve"> (Accessed: 20 July 2026).</w:t>
      </w:r>
    </w:p>
    <w:p w14:paraId="0CC24600" w14:textId="5ED7709B" w:rsidR="00BE692C" w:rsidRPr="00DE078D" w:rsidRDefault="00BE692C" w:rsidP="00E136D8">
      <w:pPr>
        <w:spacing w:line="360" w:lineRule="auto"/>
        <w:ind w:left="720" w:hanging="720"/>
        <w:rPr>
          <w:rFonts w:ascii="Arial" w:hAnsi="Arial" w:cs="Arial"/>
          <w:sz w:val="24"/>
          <w:szCs w:val="24"/>
        </w:rPr>
      </w:pPr>
      <w:r w:rsidRPr="00DE078D">
        <w:rPr>
          <w:rFonts w:ascii="Arial" w:hAnsi="Arial" w:cs="Arial"/>
          <w:sz w:val="24"/>
          <w:szCs w:val="24"/>
        </w:rPr>
        <w:t xml:space="preserve">Liker, J.K. </w:t>
      </w:r>
      <w:r w:rsidRPr="00DE078D">
        <w:rPr>
          <w:rFonts w:ascii="Arial" w:hAnsi="Arial" w:cs="Arial"/>
          <w:b/>
          <w:bCs/>
          <w:sz w:val="24"/>
          <w:szCs w:val="24"/>
        </w:rPr>
        <w:t>(2021)</w:t>
      </w:r>
      <w:r w:rsidRPr="00DE078D">
        <w:rPr>
          <w:rFonts w:ascii="Arial" w:hAnsi="Arial" w:cs="Arial"/>
          <w:sz w:val="24"/>
          <w:szCs w:val="24"/>
        </w:rPr>
        <w:t xml:space="preserve"> </w:t>
      </w:r>
      <w:r w:rsidRPr="00DE078D">
        <w:rPr>
          <w:rFonts w:ascii="Arial" w:hAnsi="Arial" w:cs="Arial"/>
          <w:i/>
          <w:iCs/>
          <w:sz w:val="24"/>
          <w:szCs w:val="24"/>
        </w:rPr>
        <w:t>The Toyota Way: 14 Management Principles from the World's Greatest Manufacturer</w:t>
      </w:r>
      <w:r w:rsidRPr="00DE078D">
        <w:rPr>
          <w:rFonts w:ascii="Arial" w:hAnsi="Arial" w:cs="Arial"/>
          <w:sz w:val="24"/>
          <w:szCs w:val="24"/>
        </w:rPr>
        <w:t xml:space="preserve">. 2nd edn. New York: McGraw Hill. Available at: </w:t>
      </w:r>
      <w:hyperlink r:id="rId29" w:tgtFrame="_new" w:history="1">
        <w:r w:rsidRPr="00DE078D">
          <w:rPr>
            <w:rStyle w:val="Hyperlink"/>
            <w:rFonts w:ascii="Arial" w:hAnsi="Arial" w:cs="Arial"/>
            <w:sz w:val="24"/>
            <w:szCs w:val="24"/>
          </w:rPr>
          <w:t>https://www.mheducation.com/highered/mhp/product/toyota-way-second-edition-14-management-principles-world-s-greatest-manufacturer.htm</w:t>
        </w:r>
      </w:hyperlink>
      <w:r w:rsidRPr="00DE078D">
        <w:rPr>
          <w:rFonts w:ascii="Arial" w:hAnsi="Arial" w:cs="Arial"/>
          <w:sz w:val="24"/>
          <w:szCs w:val="24"/>
        </w:rPr>
        <w:t xml:space="preserve"> (Accessed: 20 July 2026).</w:t>
      </w:r>
    </w:p>
    <w:p w14:paraId="14042081" w14:textId="0A07CCEB" w:rsidR="00BE692C" w:rsidRPr="00DE078D" w:rsidRDefault="00BE692C" w:rsidP="00E136D8">
      <w:pPr>
        <w:spacing w:line="360" w:lineRule="auto"/>
        <w:ind w:left="720" w:hanging="720"/>
        <w:rPr>
          <w:rFonts w:ascii="Arial" w:hAnsi="Arial" w:cs="Arial"/>
          <w:sz w:val="24"/>
          <w:szCs w:val="24"/>
        </w:rPr>
      </w:pPr>
      <w:r w:rsidRPr="00DE078D">
        <w:rPr>
          <w:rFonts w:ascii="Arial" w:hAnsi="Arial" w:cs="Arial"/>
          <w:sz w:val="24"/>
          <w:szCs w:val="24"/>
        </w:rPr>
        <w:lastRenderedPageBreak/>
        <w:t xml:space="preserve">National Highway Traffic Safety Administration (NHTSA) </w:t>
      </w:r>
      <w:r w:rsidRPr="00DE078D">
        <w:rPr>
          <w:rFonts w:ascii="Arial" w:hAnsi="Arial" w:cs="Arial"/>
          <w:b/>
          <w:bCs/>
          <w:sz w:val="24"/>
          <w:szCs w:val="24"/>
        </w:rPr>
        <w:t>(2025)</w:t>
      </w:r>
      <w:r w:rsidRPr="00DE078D">
        <w:rPr>
          <w:rFonts w:ascii="Arial" w:hAnsi="Arial" w:cs="Arial"/>
          <w:sz w:val="24"/>
          <w:szCs w:val="24"/>
        </w:rPr>
        <w:t xml:space="preserve"> </w:t>
      </w:r>
      <w:r w:rsidRPr="00DE078D">
        <w:rPr>
          <w:rFonts w:ascii="Arial" w:hAnsi="Arial" w:cs="Arial"/>
          <w:i/>
          <w:iCs/>
          <w:sz w:val="24"/>
          <w:szCs w:val="24"/>
        </w:rPr>
        <w:t>National Highway Traffic Safety Administration</w:t>
      </w:r>
      <w:r w:rsidRPr="00DE078D">
        <w:rPr>
          <w:rFonts w:ascii="Arial" w:hAnsi="Arial" w:cs="Arial"/>
          <w:sz w:val="24"/>
          <w:szCs w:val="24"/>
        </w:rPr>
        <w:t xml:space="preserve">. Available at: </w:t>
      </w:r>
      <w:hyperlink r:id="rId30" w:tgtFrame="_new" w:history="1">
        <w:r w:rsidRPr="00DE078D">
          <w:rPr>
            <w:rStyle w:val="Hyperlink"/>
            <w:rFonts w:ascii="Arial" w:hAnsi="Arial" w:cs="Arial"/>
            <w:sz w:val="24"/>
            <w:szCs w:val="24"/>
          </w:rPr>
          <w:t>https://www.nhtsa.gov</w:t>
        </w:r>
      </w:hyperlink>
      <w:r w:rsidRPr="00DE078D">
        <w:rPr>
          <w:rFonts w:ascii="Arial" w:hAnsi="Arial" w:cs="Arial"/>
          <w:sz w:val="24"/>
          <w:szCs w:val="24"/>
        </w:rPr>
        <w:t xml:space="preserve"> (Accessed: 20 July 2026).</w:t>
      </w:r>
    </w:p>
    <w:p w14:paraId="7D5FB8AC" w14:textId="684D0858" w:rsidR="00BE692C" w:rsidRPr="00DE078D" w:rsidRDefault="00BE692C" w:rsidP="00E136D8">
      <w:pPr>
        <w:spacing w:line="360" w:lineRule="auto"/>
        <w:ind w:left="720" w:hanging="720"/>
        <w:rPr>
          <w:rFonts w:ascii="Arial" w:hAnsi="Arial" w:cs="Arial"/>
          <w:sz w:val="24"/>
          <w:szCs w:val="24"/>
        </w:rPr>
      </w:pPr>
      <w:r w:rsidRPr="00DE078D">
        <w:rPr>
          <w:rFonts w:ascii="Arial" w:hAnsi="Arial" w:cs="Arial"/>
          <w:sz w:val="24"/>
          <w:szCs w:val="24"/>
        </w:rPr>
        <w:t xml:space="preserve">OECD </w:t>
      </w:r>
      <w:r w:rsidRPr="00DE078D">
        <w:rPr>
          <w:rFonts w:ascii="Arial" w:hAnsi="Arial" w:cs="Arial"/>
          <w:b/>
          <w:bCs/>
          <w:sz w:val="24"/>
          <w:szCs w:val="24"/>
        </w:rPr>
        <w:t>(2025)</w:t>
      </w:r>
      <w:r w:rsidRPr="00DE078D">
        <w:rPr>
          <w:rFonts w:ascii="Arial" w:hAnsi="Arial" w:cs="Arial"/>
          <w:sz w:val="24"/>
          <w:szCs w:val="24"/>
        </w:rPr>
        <w:t xml:space="preserve"> </w:t>
      </w:r>
      <w:r w:rsidRPr="00DE078D">
        <w:rPr>
          <w:rFonts w:ascii="Arial" w:hAnsi="Arial" w:cs="Arial"/>
          <w:i/>
          <w:iCs/>
          <w:sz w:val="24"/>
          <w:szCs w:val="24"/>
        </w:rPr>
        <w:t>Economic Outlook, Volume 2025 Issue 1</w:t>
      </w:r>
      <w:r w:rsidRPr="00DE078D">
        <w:rPr>
          <w:rFonts w:ascii="Arial" w:hAnsi="Arial" w:cs="Arial"/>
          <w:sz w:val="24"/>
          <w:szCs w:val="24"/>
        </w:rPr>
        <w:t xml:space="preserve">. Paris: OECD Publishing. Available at: </w:t>
      </w:r>
      <w:hyperlink r:id="rId31" w:tgtFrame="_new" w:history="1">
        <w:r w:rsidRPr="00DE078D">
          <w:rPr>
            <w:rStyle w:val="Hyperlink"/>
            <w:rFonts w:ascii="Arial" w:hAnsi="Arial" w:cs="Arial"/>
            <w:sz w:val="24"/>
            <w:szCs w:val="24"/>
          </w:rPr>
          <w:t>https://www.oecd.org/en/publications/oecd-economic-outlook-volume-2025-issue-1_33f77af0-en.html</w:t>
        </w:r>
      </w:hyperlink>
      <w:r w:rsidRPr="00DE078D">
        <w:rPr>
          <w:rFonts w:ascii="Arial" w:hAnsi="Arial" w:cs="Arial"/>
          <w:sz w:val="24"/>
          <w:szCs w:val="24"/>
        </w:rPr>
        <w:t xml:space="preserve"> (Accessed: 20 July 2026).</w:t>
      </w:r>
    </w:p>
    <w:p w14:paraId="5C3C8715" w14:textId="6E4601EA" w:rsidR="00BE692C" w:rsidRPr="00DE078D" w:rsidRDefault="00BE692C" w:rsidP="00E136D8">
      <w:pPr>
        <w:spacing w:line="360" w:lineRule="auto"/>
        <w:ind w:left="720" w:hanging="720"/>
        <w:rPr>
          <w:rFonts w:ascii="Arial" w:hAnsi="Arial" w:cs="Arial"/>
          <w:sz w:val="24"/>
          <w:szCs w:val="24"/>
        </w:rPr>
      </w:pPr>
      <w:r w:rsidRPr="00DE078D">
        <w:rPr>
          <w:rFonts w:ascii="Arial" w:hAnsi="Arial" w:cs="Arial"/>
          <w:sz w:val="24"/>
          <w:szCs w:val="24"/>
        </w:rPr>
        <w:t xml:space="preserve">Rahman, A. and Afwa, A. </w:t>
      </w:r>
      <w:r w:rsidRPr="00DE078D">
        <w:rPr>
          <w:rFonts w:ascii="Arial" w:hAnsi="Arial" w:cs="Arial"/>
          <w:b/>
          <w:bCs/>
          <w:sz w:val="24"/>
          <w:szCs w:val="24"/>
        </w:rPr>
        <w:t>(2025)</w:t>
      </w:r>
      <w:r w:rsidRPr="00DE078D">
        <w:rPr>
          <w:rFonts w:ascii="Arial" w:hAnsi="Arial" w:cs="Arial"/>
          <w:sz w:val="24"/>
          <w:szCs w:val="24"/>
        </w:rPr>
        <w:t xml:space="preserve"> ‘Analysis of consumer behavior in making decisions to purchase MPV cars in Pekanbaru City’, </w:t>
      </w:r>
      <w:r w:rsidRPr="00DE078D">
        <w:rPr>
          <w:rFonts w:ascii="Arial" w:hAnsi="Arial" w:cs="Arial"/>
          <w:i/>
          <w:iCs/>
          <w:sz w:val="24"/>
          <w:szCs w:val="24"/>
        </w:rPr>
        <w:t>Jurnal Apresiasi Ekonomi</w:t>
      </w:r>
      <w:r w:rsidRPr="00DE078D">
        <w:rPr>
          <w:rFonts w:ascii="Arial" w:hAnsi="Arial" w:cs="Arial"/>
          <w:sz w:val="24"/>
          <w:szCs w:val="24"/>
        </w:rPr>
        <w:t xml:space="preserve">, 13(3), pp. 602–609. Available at: </w:t>
      </w:r>
      <w:hyperlink r:id="rId32" w:tgtFrame="_new" w:history="1">
        <w:r w:rsidRPr="00DE078D">
          <w:rPr>
            <w:rStyle w:val="Hyperlink"/>
            <w:rFonts w:ascii="Arial" w:hAnsi="Arial" w:cs="Arial"/>
            <w:sz w:val="24"/>
            <w:szCs w:val="24"/>
          </w:rPr>
          <w:t>https://doi.org/10.31846/jae.v13i3.1114</w:t>
        </w:r>
      </w:hyperlink>
      <w:r w:rsidRPr="00DE078D">
        <w:rPr>
          <w:rFonts w:ascii="Arial" w:hAnsi="Arial" w:cs="Arial"/>
          <w:sz w:val="24"/>
          <w:szCs w:val="24"/>
        </w:rPr>
        <w:t xml:space="preserve"> (Accessed: 20 July 2026).</w:t>
      </w:r>
    </w:p>
    <w:p w14:paraId="2740C981" w14:textId="1FD929F9" w:rsidR="00BE692C" w:rsidRPr="00DE078D" w:rsidRDefault="00BE692C" w:rsidP="00E136D8">
      <w:pPr>
        <w:spacing w:line="360" w:lineRule="auto"/>
        <w:ind w:left="720" w:hanging="720"/>
        <w:rPr>
          <w:rFonts w:ascii="Arial" w:hAnsi="Arial" w:cs="Arial"/>
          <w:sz w:val="24"/>
          <w:szCs w:val="24"/>
        </w:rPr>
      </w:pPr>
      <w:r w:rsidRPr="00DE078D">
        <w:rPr>
          <w:rFonts w:ascii="Arial" w:hAnsi="Arial" w:cs="Arial"/>
          <w:sz w:val="24"/>
          <w:szCs w:val="24"/>
        </w:rPr>
        <w:t xml:space="preserve">Rehan, H. </w:t>
      </w:r>
      <w:r w:rsidRPr="00DE078D">
        <w:rPr>
          <w:rFonts w:ascii="Arial" w:hAnsi="Arial" w:cs="Arial"/>
          <w:b/>
          <w:bCs/>
          <w:sz w:val="24"/>
          <w:szCs w:val="24"/>
        </w:rPr>
        <w:t>(2024)</w:t>
      </w:r>
      <w:r w:rsidRPr="00DE078D">
        <w:rPr>
          <w:rFonts w:ascii="Arial" w:hAnsi="Arial" w:cs="Arial"/>
          <w:sz w:val="24"/>
          <w:szCs w:val="24"/>
        </w:rPr>
        <w:t xml:space="preserve"> ‘The future of electric vehicles: Navigating the intersection of AI, cloud technology, and cybersecurity’, </w:t>
      </w:r>
      <w:r w:rsidRPr="00DE078D">
        <w:rPr>
          <w:rFonts w:ascii="Arial" w:hAnsi="Arial" w:cs="Arial"/>
          <w:i/>
          <w:iCs/>
          <w:sz w:val="24"/>
          <w:szCs w:val="24"/>
        </w:rPr>
        <w:t>Valley International Journal Digital Library</w:t>
      </w:r>
      <w:r w:rsidRPr="00DE078D">
        <w:rPr>
          <w:rFonts w:ascii="Arial" w:hAnsi="Arial" w:cs="Arial"/>
          <w:sz w:val="24"/>
          <w:szCs w:val="24"/>
        </w:rPr>
        <w:t xml:space="preserve">, 12(4), pp. 1127–1143. Available at: </w:t>
      </w:r>
      <w:hyperlink r:id="rId33" w:tgtFrame="_new" w:history="1">
        <w:r w:rsidRPr="00DE078D">
          <w:rPr>
            <w:rStyle w:val="Hyperlink"/>
            <w:rFonts w:ascii="Arial" w:hAnsi="Arial" w:cs="Arial"/>
            <w:sz w:val="24"/>
            <w:szCs w:val="24"/>
          </w:rPr>
          <w:t>https://doi.org/10.18535/ijsrm/v12i04.ec01</w:t>
        </w:r>
      </w:hyperlink>
      <w:r w:rsidRPr="00DE078D">
        <w:rPr>
          <w:rFonts w:ascii="Arial" w:hAnsi="Arial" w:cs="Arial"/>
          <w:sz w:val="24"/>
          <w:szCs w:val="24"/>
        </w:rPr>
        <w:t xml:space="preserve"> (Accessed: 20 July 2026).</w:t>
      </w:r>
    </w:p>
    <w:p w14:paraId="7B7F252A" w14:textId="692BE81B" w:rsidR="00BE692C" w:rsidRPr="00DE078D" w:rsidRDefault="00BE692C" w:rsidP="00E136D8">
      <w:pPr>
        <w:spacing w:line="360" w:lineRule="auto"/>
        <w:ind w:left="720" w:hanging="720"/>
        <w:rPr>
          <w:rFonts w:ascii="Arial" w:hAnsi="Arial" w:cs="Arial"/>
          <w:sz w:val="24"/>
          <w:szCs w:val="24"/>
        </w:rPr>
      </w:pPr>
      <w:r w:rsidRPr="00DE078D">
        <w:rPr>
          <w:rFonts w:ascii="Arial" w:hAnsi="Arial" w:cs="Arial"/>
          <w:sz w:val="24"/>
          <w:szCs w:val="24"/>
        </w:rPr>
        <w:t xml:space="preserve">Rietmann, N. and Lieven, T. </w:t>
      </w:r>
      <w:r w:rsidRPr="00DE078D">
        <w:rPr>
          <w:rFonts w:ascii="Arial" w:hAnsi="Arial" w:cs="Arial"/>
          <w:b/>
          <w:bCs/>
          <w:sz w:val="24"/>
          <w:szCs w:val="24"/>
        </w:rPr>
        <w:t>(2019)</w:t>
      </w:r>
      <w:r w:rsidRPr="00DE078D">
        <w:rPr>
          <w:rFonts w:ascii="Arial" w:hAnsi="Arial" w:cs="Arial"/>
          <w:sz w:val="24"/>
          <w:szCs w:val="24"/>
        </w:rPr>
        <w:t xml:space="preserve"> ‘How policy measures succeeded to promote electric mobility: Worldwide review and outlook’, </w:t>
      </w:r>
      <w:r w:rsidRPr="00DE078D">
        <w:rPr>
          <w:rFonts w:ascii="Arial" w:hAnsi="Arial" w:cs="Arial"/>
          <w:i/>
          <w:iCs/>
          <w:sz w:val="24"/>
          <w:szCs w:val="24"/>
        </w:rPr>
        <w:t>Journal of Cleaner Production</w:t>
      </w:r>
      <w:r w:rsidRPr="00DE078D">
        <w:rPr>
          <w:rFonts w:ascii="Arial" w:hAnsi="Arial" w:cs="Arial"/>
          <w:sz w:val="24"/>
          <w:szCs w:val="24"/>
        </w:rPr>
        <w:t xml:space="preserve">, 206, pp. 66–75. Available at: </w:t>
      </w:r>
      <w:hyperlink r:id="rId34" w:tgtFrame="_new" w:history="1">
        <w:r w:rsidRPr="00DE078D">
          <w:rPr>
            <w:rStyle w:val="Hyperlink"/>
            <w:rFonts w:ascii="Arial" w:hAnsi="Arial" w:cs="Arial"/>
            <w:sz w:val="24"/>
            <w:szCs w:val="24"/>
          </w:rPr>
          <w:t>https://doi.org/10.1016/j.jclepro.2018.09.121</w:t>
        </w:r>
      </w:hyperlink>
      <w:r w:rsidRPr="00DE078D">
        <w:rPr>
          <w:rFonts w:ascii="Arial" w:hAnsi="Arial" w:cs="Arial"/>
          <w:sz w:val="24"/>
          <w:szCs w:val="24"/>
        </w:rPr>
        <w:t xml:space="preserve"> (Accessed: 20 July 2026).</w:t>
      </w:r>
    </w:p>
    <w:p w14:paraId="57C1AB27" w14:textId="54744BEB" w:rsidR="00BE692C" w:rsidRPr="00DE078D" w:rsidRDefault="00BE692C" w:rsidP="00E136D8">
      <w:pPr>
        <w:spacing w:line="360" w:lineRule="auto"/>
        <w:ind w:left="720" w:hanging="720"/>
        <w:rPr>
          <w:rFonts w:ascii="Arial" w:hAnsi="Arial" w:cs="Arial"/>
          <w:sz w:val="24"/>
          <w:szCs w:val="24"/>
        </w:rPr>
      </w:pPr>
      <w:r w:rsidRPr="00DE078D">
        <w:rPr>
          <w:rFonts w:ascii="Arial" w:hAnsi="Arial" w:cs="Arial"/>
          <w:sz w:val="24"/>
          <w:szCs w:val="24"/>
        </w:rPr>
        <w:t xml:space="preserve">Statista </w:t>
      </w:r>
      <w:r w:rsidRPr="00DE078D">
        <w:rPr>
          <w:rFonts w:ascii="Arial" w:hAnsi="Arial" w:cs="Arial"/>
          <w:b/>
          <w:bCs/>
          <w:sz w:val="24"/>
          <w:szCs w:val="24"/>
        </w:rPr>
        <w:t>(2025)</w:t>
      </w:r>
      <w:r w:rsidRPr="00DE078D">
        <w:rPr>
          <w:rFonts w:ascii="Arial" w:hAnsi="Arial" w:cs="Arial"/>
          <w:sz w:val="24"/>
          <w:szCs w:val="24"/>
        </w:rPr>
        <w:t xml:space="preserve"> </w:t>
      </w:r>
      <w:r w:rsidRPr="00DE078D">
        <w:rPr>
          <w:rFonts w:ascii="Arial" w:hAnsi="Arial" w:cs="Arial"/>
          <w:i/>
          <w:iCs/>
          <w:sz w:val="24"/>
          <w:szCs w:val="24"/>
        </w:rPr>
        <w:t>Automotive industry worldwide: Statistics and facts</w:t>
      </w:r>
      <w:r w:rsidRPr="00DE078D">
        <w:rPr>
          <w:rFonts w:ascii="Arial" w:hAnsi="Arial" w:cs="Arial"/>
          <w:sz w:val="24"/>
          <w:szCs w:val="24"/>
        </w:rPr>
        <w:t xml:space="preserve">. Available at: </w:t>
      </w:r>
      <w:hyperlink r:id="rId35" w:tgtFrame="_new" w:history="1">
        <w:r w:rsidRPr="00DE078D">
          <w:rPr>
            <w:rStyle w:val="Hyperlink"/>
            <w:rFonts w:ascii="Arial" w:hAnsi="Arial" w:cs="Arial"/>
            <w:sz w:val="24"/>
            <w:szCs w:val="24"/>
          </w:rPr>
          <w:t>https://www.statista.com/topics/1487/automotive-industry/</w:t>
        </w:r>
      </w:hyperlink>
      <w:r w:rsidRPr="00DE078D">
        <w:rPr>
          <w:rFonts w:ascii="Arial" w:hAnsi="Arial" w:cs="Arial"/>
          <w:sz w:val="24"/>
          <w:szCs w:val="24"/>
        </w:rPr>
        <w:t xml:space="preserve"> (Accessed: 20 July 2026).</w:t>
      </w:r>
    </w:p>
    <w:p w14:paraId="3BCFCA6A" w14:textId="0C9156BB" w:rsidR="00BE692C" w:rsidRPr="00DE078D" w:rsidRDefault="00BE692C" w:rsidP="00E136D8">
      <w:pPr>
        <w:spacing w:line="360" w:lineRule="auto"/>
        <w:ind w:left="720" w:hanging="720"/>
        <w:rPr>
          <w:rFonts w:ascii="Arial" w:hAnsi="Arial" w:cs="Arial"/>
          <w:sz w:val="24"/>
          <w:szCs w:val="24"/>
        </w:rPr>
      </w:pPr>
      <w:r w:rsidRPr="00DE078D">
        <w:rPr>
          <w:rFonts w:ascii="Arial" w:hAnsi="Arial" w:cs="Arial"/>
          <w:sz w:val="24"/>
          <w:szCs w:val="24"/>
        </w:rPr>
        <w:t xml:space="preserve">Tarmohamed, S.S. </w:t>
      </w:r>
      <w:r w:rsidRPr="00DE078D">
        <w:rPr>
          <w:rFonts w:ascii="Arial" w:hAnsi="Arial" w:cs="Arial"/>
          <w:b/>
          <w:bCs/>
          <w:sz w:val="24"/>
          <w:szCs w:val="24"/>
        </w:rPr>
        <w:t>(2022)</w:t>
      </w:r>
      <w:r w:rsidRPr="00DE078D">
        <w:rPr>
          <w:rFonts w:ascii="Arial" w:hAnsi="Arial" w:cs="Arial"/>
          <w:sz w:val="24"/>
          <w:szCs w:val="24"/>
        </w:rPr>
        <w:t xml:space="preserve"> </w:t>
      </w:r>
      <w:r w:rsidRPr="00DE078D">
        <w:rPr>
          <w:rFonts w:ascii="Arial" w:hAnsi="Arial" w:cs="Arial"/>
          <w:i/>
          <w:iCs/>
          <w:sz w:val="24"/>
          <w:szCs w:val="24"/>
        </w:rPr>
        <w:t>Strategic Factors Adopted by Toyota Motor Dealers to Gaining Competitive Advantage in Mombasa County, Kenya</w:t>
      </w:r>
      <w:r w:rsidRPr="00DE078D">
        <w:rPr>
          <w:rFonts w:ascii="Arial" w:hAnsi="Arial" w:cs="Arial"/>
          <w:sz w:val="24"/>
          <w:szCs w:val="24"/>
        </w:rPr>
        <w:t xml:space="preserve">. MBA dissertation. United States International University–Africa. Available at: </w:t>
      </w:r>
      <w:hyperlink r:id="rId36" w:tgtFrame="_new" w:history="1">
        <w:r w:rsidRPr="00DE078D">
          <w:rPr>
            <w:rStyle w:val="Hyperlink"/>
            <w:rFonts w:ascii="Arial" w:hAnsi="Arial" w:cs="Arial"/>
            <w:sz w:val="24"/>
            <w:szCs w:val="24"/>
          </w:rPr>
          <w:t>https://erepo.usiu.ac.ke/</w:t>
        </w:r>
      </w:hyperlink>
      <w:r w:rsidRPr="00DE078D">
        <w:rPr>
          <w:rFonts w:ascii="Arial" w:hAnsi="Arial" w:cs="Arial"/>
          <w:sz w:val="24"/>
          <w:szCs w:val="24"/>
        </w:rPr>
        <w:t xml:space="preserve"> (Accessed: 20 July 2026).</w:t>
      </w:r>
    </w:p>
    <w:p w14:paraId="6A9964C3" w14:textId="009D17DE" w:rsidR="008463C6" w:rsidRDefault="008463C6" w:rsidP="008463C6">
      <w:pPr>
        <w:spacing w:line="360" w:lineRule="auto"/>
        <w:ind w:left="720" w:hanging="720"/>
        <w:rPr>
          <w:rFonts w:ascii="Arial" w:hAnsi="Arial" w:cs="Arial"/>
          <w:sz w:val="24"/>
          <w:szCs w:val="24"/>
        </w:rPr>
      </w:pPr>
      <w:r w:rsidRPr="008463C6">
        <w:rPr>
          <w:rFonts w:ascii="Arial" w:hAnsi="Arial" w:cs="Arial"/>
          <w:sz w:val="24"/>
          <w:szCs w:val="24"/>
        </w:rPr>
        <w:t xml:space="preserve">Toyota Motor Corporation (2025a) </w:t>
      </w:r>
      <w:r w:rsidRPr="008463C6">
        <w:rPr>
          <w:rFonts w:ascii="Arial" w:hAnsi="Arial" w:cs="Arial"/>
          <w:i/>
          <w:iCs/>
          <w:sz w:val="24"/>
          <w:szCs w:val="24"/>
        </w:rPr>
        <w:t>Integrated Report 2025</w:t>
      </w:r>
      <w:r w:rsidRPr="008463C6">
        <w:rPr>
          <w:rFonts w:ascii="Arial" w:hAnsi="Arial" w:cs="Arial"/>
          <w:sz w:val="24"/>
          <w:szCs w:val="24"/>
        </w:rPr>
        <w:t xml:space="preserve">. Toyota Motor Corporation. Available at: </w:t>
      </w:r>
      <w:hyperlink r:id="rId37" w:tgtFrame="_new" w:history="1">
        <w:r w:rsidRPr="008463C6">
          <w:rPr>
            <w:rStyle w:val="Hyperlink"/>
            <w:rFonts w:ascii="Arial" w:hAnsi="Arial" w:cs="Arial"/>
            <w:sz w:val="24"/>
            <w:szCs w:val="24"/>
          </w:rPr>
          <w:t>https://global.toyota/en/ir/library/annual/index.html</w:t>
        </w:r>
      </w:hyperlink>
      <w:r w:rsidRPr="008463C6">
        <w:rPr>
          <w:rFonts w:ascii="Arial" w:hAnsi="Arial" w:cs="Arial"/>
          <w:sz w:val="24"/>
          <w:szCs w:val="24"/>
        </w:rPr>
        <w:t xml:space="preserve"> (Accessed: 20 July 2026).</w:t>
      </w:r>
    </w:p>
    <w:p w14:paraId="56544F79" w14:textId="4E6BEB41" w:rsidR="008463C6" w:rsidRPr="00DE078D" w:rsidRDefault="008463C6" w:rsidP="008463C6">
      <w:pPr>
        <w:spacing w:line="360" w:lineRule="auto"/>
        <w:ind w:left="720" w:hanging="720"/>
        <w:rPr>
          <w:rFonts w:ascii="Arial" w:hAnsi="Arial" w:cs="Arial"/>
          <w:sz w:val="24"/>
          <w:szCs w:val="24"/>
        </w:rPr>
      </w:pPr>
      <w:r w:rsidRPr="008463C6">
        <w:rPr>
          <w:rFonts w:ascii="Arial" w:hAnsi="Arial" w:cs="Arial"/>
          <w:sz w:val="24"/>
          <w:szCs w:val="24"/>
        </w:rPr>
        <w:lastRenderedPageBreak/>
        <w:t xml:space="preserve">Toyota Motor Corporation (2025b) </w:t>
      </w:r>
      <w:r w:rsidRPr="008463C6">
        <w:rPr>
          <w:rFonts w:ascii="Arial" w:hAnsi="Arial" w:cs="Arial"/>
          <w:i/>
          <w:iCs/>
          <w:sz w:val="24"/>
          <w:szCs w:val="24"/>
        </w:rPr>
        <w:t>Toyota in the U.S.</w:t>
      </w:r>
      <w:r w:rsidRPr="008463C6">
        <w:rPr>
          <w:rFonts w:ascii="Arial" w:hAnsi="Arial" w:cs="Arial"/>
          <w:sz w:val="24"/>
          <w:szCs w:val="24"/>
        </w:rPr>
        <w:t xml:space="preserve"> Toyota Motor Corporation. Available at: </w:t>
      </w:r>
      <w:hyperlink r:id="rId38" w:tgtFrame="_new" w:history="1">
        <w:r w:rsidRPr="008463C6">
          <w:rPr>
            <w:rStyle w:val="Hyperlink"/>
            <w:rFonts w:ascii="Arial" w:hAnsi="Arial" w:cs="Arial"/>
            <w:sz w:val="24"/>
            <w:szCs w:val="24"/>
          </w:rPr>
          <w:t>https://www.toyota.com/usa/</w:t>
        </w:r>
      </w:hyperlink>
      <w:r w:rsidRPr="008463C6">
        <w:rPr>
          <w:rFonts w:ascii="Arial" w:hAnsi="Arial" w:cs="Arial"/>
          <w:sz w:val="24"/>
          <w:szCs w:val="24"/>
        </w:rPr>
        <w:t xml:space="preserve"> (Accessed: 20 July 2026).</w:t>
      </w:r>
    </w:p>
    <w:p w14:paraId="4B97BB11" w14:textId="5C5C61C2" w:rsidR="00BE692C" w:rsidRPr="00DE078D" w:rsidRDefault="00BE692C" w:rsidP="00E136D8">
      <w:pPr>
        <w:spacing w:line="360" w:lineRule="auto"/>
        <w:ind w:left="720" w:hanging="720"/>
        <w:rPr>
          <w:rFonts w:ascii="Arial" w:hAnsi="Arial" w:cs="Arial"/>
          <w:sz w:val="24"/>
          <w:szCs w:val="24"/>
        </w:rPr>
      </w:pPr>
      <w:r w:rsidRPr="00DE078D">
        <w:rPr>
          <w:rFonts w:ascii="Arial" w:hAnsi="Arial" w:cs="Arial"/>
          <w:sz w:val="24"/>
          <w:szCs w:val="24"/>
        </w:rPr>
        <w:t xml:space="preserve">World Bank </w:t>
      </w:r>
      <w:r w:rsidRPr="00DE078D">
        <w:rPr>
          <w:rFonts w:ascii="Arial" w:hAnsi="Arial" w:cs="Arial"/>
          <w:b/>
          <w:bCs/>
          <w:sz w:val="24"/>
          <w:szCs w:val="24"/>
        </w:rPr>
        <w:t>(2025)</w:t>
      </w:r>
      <w:r w:rsidRPr="00DE078D">
        <w:rPr>
          <w:rFonts w:ascii="Arial" w:hAnsi="Arial" w:cs="Arial"/>
          <w:sz w:val="24"/>
          <w:szCs w:val="24"/>
        </w:rPr>
        <w:t xml:space="preserve"> </w:t>
      </w:r>
      <w:r w:rsidRPr="00DE078D">
        <w:rPr>
          <w:rFonts w:ascii="Arial" w:hAnsi="Arial" w:cs="Arial"/>
          <w:i/>
          <w:iCs/>
          <w:sz w:val="24"/>
          <w:szCs w:val="24"/>
        </w:rPr>
        <w:t>World Development Indicators</w:t>
      </w:r>
      <w:r w:rsidRPr="00DE078D">
        <w:rPr>
          <w:rFonts w:ascii="Arial" w:hAnsi="Arial" w:cs="Arial"/>
          <w:sz w:val="24"/>
          <w:szCs w:val="24"/>
        </w:rPr>
        <w:t xml:space="preserve">. Washington, DC: World Bank. Available at: </w:t>
      </w:r>
      <w:hyperlink r:id="rId39" w:tgtFrame="_new" w:history="1">
        <w:r w:rsidRPr="00DE078D">
          <w:rPr>
            <w:rStyle w:val="Hyperlink"/>
            <w:rFonts w:ascii="Arial" w:hAnsi="Arial" w:cs="Arial"/>
            <w:sz w:val="24"/>
            <w:szCs w:val="24"/>
          </w:rPr>
          <w:t>https://databank.worldbank.org/source/world-development-indicators</w:t>
        </w:r>
      </w:hyperlink>
      <w:r w:rsidRPr="00DE078D">
        <w:rPr>
          <w:rFonts w:ascii="Arial" w:hAnsi="Arial" w:cs="Arial"/>
          <w:sz w:val="24"/>
          <w:szCs w:val="24"/>
        </w:rPr>
        <w:t xml:space="preserve"> (Accessed: 20 July 2026).</w:t>
      </w:r>
    </w:p>
    <w:p w14:paraId="602436D3" w14:textId="77777777" w:rsidR="00397782" w:rsidRPr="00BE692C" w:rsidRDefault="00397782" w:rsidP="00E136D8">
      <w:pPr>
        <w:pStyle w:val="ListParagraph"/>
        <w:spacing w:line="360" w:lineRule="auto"/>
        <w:ind w:left="1440" w:hanging="720"/>
        <w:rPr>
          <w:rFonts w:ascii="Arial" w:hAnsi="Arial" w:cs="Arial"/>
          <w:sz w:val="24"/>
          <w:szCs w:val="24"/>
        </w:rPr>
      </w:pPr>
    </w:p>
    <w:sectPr w:rsidR="00397782" w:rsidRPr="00BE692C" w:rsidSect="00867DD9">
      <w:footerReference w:type="default" r:id="rId40"/>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2CE42A6" w14:textId="77777777" w:rsidR="00996E96" w:rsidRPr="00DE078D" w:rsidRDefault="00996E96" w:rsidP="00867DD9">
      <w:pPr>
        <w:spacing w:after="0" w:line="240" w:lineRule="auto"/>
      </w:pPr>
      <w:r w:rsidRPr="00DE078D">
        <w:separator/>
      </w:r>
    </w:p>
  </w:endnote>
  <w:endnote w:type="continuationSeparator" w:id="0">
    <w:p w14:paraId="67EC99AF" w14:textId="77777777" w:rsidR="00996E96" w:rsidRPr="00DE078D" w:rsidRDefault="00996E96" w:rsidP="00867DD9">
      <w:pPr>
        <w:spacing w:after="0" w:line="240" w:lineRule="auto"/>
      </w:pPr>
      <w:r w:rsidRPr="00DE078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966653606"/>
      <w:docPartObj>
        <w:docPartGallery w:val="Page Numbers (Bottom of Page)"/>
        <w:docPartUnique/>
      </w:docPartObj>
    </w:sdtPr>
    <w:sdtEndPr>
      <w:rPr>
        <w:color w:val="7F7F7F" w:themeColor="background1" w:themeShade="7F"/>
        <w:spacing w:val="60"/>
      </w:rPr>
    </w:sdtEndPr>
    <w:sdtContent>
      <w:p w14:paraId="6C08009D" w14:textId="0E54B85E" w:rsidR="00CF495C" w:rsidRDefault="00CF495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F1DEEC5" w14:textId="77777777" w:rsidR="00867DD9" w:rsidRPr="00DE078D" w:rsidRDefault="00867D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FDE0C38" w14:textId="77777777" w:rsidR="00996E96" w:rsidRPr="00DE078D" w:rsidRDefault="00996E96" w:rsidP="00867DD9">
      <w:pPr>
        <w:spacing w:after="0" w:line="240" w:lineRule="auto"/>
      </w:pPr>
      <w:r w:rsidRPr="00DE078D">
        <w:separator/>
      </w:r>
    </w:p>
  </w:footnote>
  <w:footnote w:type="continuationSeparator" w:id="0">
    <w:p w14:paraId="20191B6C" w14:textId="77777777" w:rsidR="00996E96" w:rsidRPr="00DE078D" w:rsidRDefault="00996E96" w:rsidP="00867DD9">
      <w:pPr>
        <w:spacing w:after="0" w:line="240" w:lineRule="auto"/>
      </w:pPr>
      <w:r w:rsidRPr="00DE078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78247F"/>
    <w:multiLevelType w:val="multilevel"/>
    <w:tmpl w:val="D096B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605283"/>
    <w:multiLevelType w:val="multilevel"/>
    <w:tmpl w:val="550AE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CC79F3"/>
    <w:multiLevelType w:val="multilevel"/>
    <w:tmpl w:val="5234E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6F2C94"/>
    <w:multiLevelType w:val="multilevel"/>
    <w:tmpl w:val="CBEE00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8DC106C"/>
    <w:multiLevelType w:val="multilevel"/>
    <w:tmpl w:val="75F6D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735825"/>
    <w:multiLevelType w:val="multilevel"/>
    <w:tmpl w:val="83689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FC19D7"/>
    <w:multiLevelType w:val="multilevel"/>
    <w:tmpl w:val="187EE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5E050D"/>
    <w:multiLevelType w:val="hybridMultilevel"/>
    <w:tmpl w:val="D9402A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38A0217"/>
    <w:multiLevelType w:val="multilevel"/>
    <w:tmpl w:val="CE647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4393142"/>
    <w:multiLevelType w:val="multilevel"/>
    <w:tmpl w:val="F2403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26A2A41"/>
    <w:multiLevelType w:val="multilevel"/>
    <w:tmpl w:val="779AB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C505CF5"/>
    <w:multiLevelType w:val="multilevel"/>
    <w:tmpl w:val="DCE6F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283FBC"/>
    <w:multiLevelType w:val="multilevel"/>
    <w:tmpl w:val="9F1EB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01C16A4"/>
    <w:multiLevelType w:val="multilevel"/>
    <w:tmpl w:val="81B80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6EB4BA5"/>
    <w:multiLevelType w:val="multilevel"/>
    <w:tmpl w:val="8564E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8C0748C"/>
    <w:multiLevelType w:val="multilevel"/>
    <w:tmpl w:val="86027DAA"/>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1ED1985"/>
    <w:multiLevelType w:val="multilevel"/>
    <w:tmpl w:val="8130A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C067482"/>
    <w:multiLevelType w:val="multilevel"/>
    <w:tmpl w:val="DE027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253224A"/>
    <w:multiLevelType w:val="multilevel"/>
    <w:tmpl w:val="74E4A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E9F728F"/>
    <w:multiLevelType w:val="multilevel"/>
    <w:tmpl w:val="66E00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EA849CC"/>
    <w:multiLevelType w:val="multilevel"/>
    <w:tmpl w:val="A75A9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7215657">
    <w:abstractNumId w:val="10"/>
  </w:num>
  <w:num w:numId="2" w16cid:durableId="1814906036">
    <w:abstractNumId w:val="5"/>
  </w:num>
  <w:num w:numId="3" w16cid:durableId="1742098479">
    <w:abstractNumId w:val="18"/>
  </w:num>
  <w:num w:numId="4" w16cid:durableId="2119568481">
    <w:abstractNumId w:val="14"/>
  </w:num>
  <w:num w:numId="5" w16cid:durableId="1433940427">
    <w:abstractNumId w:val="2"/>
  </w:num>
  <w:num w:numId="6" w16cid:durableId="1199665855">
    <w:abstractNumId w:val="4"/>
  </w:num>
  <w:num w:numId="7" w16cid:durableId="179854551">
    <w:abstractNumId w:val="13"/>
  </w:num>
  <w:num w:numId="8" w16cid:durableId="757949639">
    <w:abstractNumId w:val="16"/>
  </w:num>
  <w:num w:numId="9" w16cid:durableId="2030837949">
    <w:abstractNumId w:val="0"/>
  </w:num>
  <w:num w:numId="10" w16cid:durableId="198012975">
    <w:abstractNumId w:val="8"/>
  </w:num>
  <w:num w:numId="11" w16cid:durableId="1657563551">
    <w:abstractNumId w:val="20"/>
  </w:num>
  <w:num w:numId="12" w16cid:durableId="1611938631">
    <w:abstractNumId w:val="12"/>
  </w:num>
  <w:num w:numId="13" w16cid:durableId="643387907">
    <w:abstractNumId w:val="11"/>
  </w:num>
  <w:num w:numId="14" w16cid:durableId="1799953244">
    <w:abstractNumId w:val="19"/>
  </w:num>
  <w:num w:numId="15" w16cid:durableId="1136526192">
    <w:abstractNumId w:val="15"/>
  </w:num>
  <w:num w:numId="16" w16cid:durableId="1179395994">
    <w:abstractNumId w:val="1"/>
  </w:num>
  <w:num w:numId="17" w16cid:durableId="812527838">
    <w:abstractNumId w:val="9"/>
  </w:num>
  <w:num w:numId="18" w16cid:durableId="1052116018">
    <w:abstractNumId w:val="7"/>
  </w:num>
  <w:num w:numId="19" w16cid:durableId="197662668">
    <w:abstractNumId w:val="3"/>
  </w:num>
  <w:num w:numId="20" w16cid:durableId="2119836636">
    <w:abstractNumId w:val="6"/>
  </w:num>
  <w:num w:numId="21" w16cid:durableId="385572997">
    <w:abstractNumId w:val="17"/>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6B31"/>
    <w:rsid w:val="000E4762"/>
    <w:rsid w:val="000F4736"/>
    <w:rsid w:val="001348ED"/>
    <w:rsid w:val="00161067"/>
    <w:rsid w:val="00236B31"/>
    <w:rsid w:val="002D148B"/>
    <w:rsid w:val="00315A95"/>
    <w:rsid w:val="003745F5"/>
    <w:rsid w:val="00397782"/>
    <w:rsid w:val="003B0B6E"/>
    <w:rsid w:val="004208FD"/>
    <w:rsid w:val="004277E3"/>
    <w:rsid w:val="00481D41"/>
    <w:rsid w:val="0055603B"/>
    <w:rsid w:val="00640619"/>
    <w:rsid w:val="006C427E"/>
    <w:rsid w:val="00795F09"/>
    <w:rsid w:val="007972A2"/>
    <w:rsid w:val="008463C6"/>
    <w:rsid w:val="00856594"/>
    <w:rsid w:val="00867DD9"/>
    <w:rsid w:val="008816D8"/>
    <w:rsid w:val="009335F1"/>
    <w:rsid w:val="00996E96"/>
    <w:rsid w:val="00AB3CF4"/>
    <w:rsid w:val="00AE2A94"/>
    <w:rsid w:val="00B86CF9"/>
    <w:rsid w:val="00B975CB"/>
    <w:rsid w:val="00BE692C"/>
    <w:rsid w:val="00C113DD"/>
    <w:rsid w:val="00CF495C"/>
    <w:rsid w:val="00D23008"/>
    <w:rsid w:val="00D4071D"/>
    <w:rsid w:val="00DC2BD5"/>
    <w:rsid w:val="00DE078D"/>
    <w:rsid w:val="00DE1972"/>
    <w:rsid w:val="00DF49FC"/>
    <w:rsid w:val="00E136D8"/>
    <w:rsid w:val="00E3672C"/>
    <w:rsid w:val="00ED2F1B"/>
    <w:rsid w:val="00EE2076"/>
    <w:rsid w:val="00F34337"/>
    <w:rsid w:val="00F37A03"/>
    <w:rsid w:val="00F607F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576917"/>
  <w15:chartTrackingRefBased/>
  <w15:docId w15:val="{BE9CE4A4-64AA-4476-8EEC-33C6C34C42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4337"/>
    <w:rPr>
      <w:lang w:val="en-GB"/>
    </w:rPr>
  </w:style>
  <w:style w:type="paragraph" w:styleId="Heading1">
    <w:name w:val="heading 1"/>
    <w:basedOn w:val="Normal"/>
    <w:next w:val="Normal"/>
    <w:link w:val="Heading1Char"/>
    <w:uiPriority w:val="9"/>
    <w:qFormat/>
    <w:rsid w:val="00BE692C"/>
    <w:pPr>
      <w:keepNext/>
      <w:keepLines/>
      <w:spacing w:before="360" w:after="80"/>
      <w:outlineLvl w:val="0"/>
    </w:pPr>
    <w:rPr>
      <w:rFonts w:ascii="Arial" w:eastAsiaTheme="majorEastAsia" w:hAnsi="Arial" w:cstheme="majorBidi"/>
      <w:b/>
      <w:color w:val="2F5496" w:themeColor="accent1" w:themeShade="BF"/>
      <w:sz w:val="36"/>
      <w:szCs w:val="40"/>
    </w:rPr>
  </w:style>
  <w:style w:type="paragraph" w:styleId="Heading2">
    <w:name w:val="heading 2"/>
    <w:basedOn w:val="Normal"/>
    <w:next w:val="Normal"/>
    <w:link w:val="Heading2Char"/>
    <w:uiPriority w:val="9"/>
    <w:unhideWhenUsed/>
    <w:qFormat/>
    <w:rsid w:val="00BE692C"/>
    <w:pPr>
      <w:keepNext/>
      <w:keepLines/>
      <w:spacing w:before="160" w:after="80"/>
      <w:outlineLvl w:val="1"/>
    </w:pPr>
    <w:rPr>
      <w:rFonts w:ascii="Arial" w:eastAsiaTheme="majorEastAsia" w:hAnsi="Arial" w:cstheme="majorBidi"/>
      <w:b/>
      <w:color w:val="0D0D0D" w:themeColor="text1" w:themeTint="F2"/>
      <w:sz w:val="32"/>
      <w:szCs w:val="32"/>
    </w:rPr>
  </w:style>
  <w:style w:type="paragraph" w:styleId="Heading3">
    <w:name w:val="heading 3"/>
    <w:basedOn w:val="Normal"/>
    <w:next w:val="Normal"/>
    <w:link w:val="Heading3Char"/>
    <w:uiPriority w:val="9"/>
    <w:unhideWhenUsed/>
    <w:qFormat/>
    <w:rsid w:val="006C427E"/>
    <w:pPr>
      <w:keepNext/>
      <w:keepLines/>
      <w:spacing w:before="160" w:after="80"/>
      <w:outlineLvl w:val="2"/>
    </w:pPr>
    <w:rPr>
      <w:rFonts w:eastAsiaTheme="majorEastAsia" w:cstheme="majorBidi"/>
      <w:b/>
      <w:color w:val="2F5496" w:themeColor="accent1" w:themeShade="BF"/>
      <w:sz w:val="28"/>
      <w:szCs w:val="28"/>
    </w:rPr>
  </w:style>
  <w:style w:type="paragraph" w:styleId="Heading4">
    <w:name w:val="heading 4"/>
    <w:basedOn w:val="Normal"/>
    <w:next w:val="Normal"/>
    <w:link w:val="Heading4Char"/>
    <w:uiPriority w:val="9"/>
    <w:semiHidden/>
    <w:unhideWhenUsed/>
    <w:qFormat/>
    <w:rsid w:val="00236B3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36B3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36B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6B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6B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6B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PlainTable21">
    <w:name w:val="Plain Table 21"/>
    <w:basedOn w:val="TableNormal"/>
    <w:uiPriority w:val="42"/>
    <w:qFormat/>
    <w:rsid w:val="004208FD"/>
    <w:pPr>
      <w:spacing w:after="0" w:line="240" w:lineRule="auto"/>
    </w:pPr>
    <w:rPr>
      <w:sz w:val="20"/>
      <w:szCs w:val="20"/>
      <w:lang w:val="en-GB" w:eastAsia="en-GB"/>
    </w:rPr>
    <w:tblPr>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ListParagraph">
    <w:name w:val="List Paragraph"/>
    <w:basedOn w:val="Normal"/>
    <w:uiPriority w:val="34"/>
    <w:qFormat/>
    <w:rsid w:val="00F34337"/>
    <w:pPr>
      <w:ind w:left="720"/>
      <w:contextualSpacing/>
    </w:pPr>
  </w:style>
  <w:style w:type="character" w:customStyle="1" w:styleId="Heading1Char">
    <w:name w:val="Heading 1 Char"/>
    <w:basedOn w:val="DefaultParagraphFont"/>
    <w:link w:val="Heading1"/>
    <w:uiPriority w:val="9"/>
    <w:rsid w:val="00BE692C"/>
    <w:rPr>
      <w:rFonts w:ascii="Arial" w:eastAsiaTheme="majorEastAsia" w:hAnsi="Arial" w:cstheme="majorBidi"/>
      <w:b/>
      <w:color w:val="2F5496" w:themeColor="accent1" w:themeShade="BF"/>
      <w:sz w:val="36"/>
      <w:szCs w:val="40"/>
    </w:rPr>
  </w:style>
  <w:style w:type="character" w:customStyle="1" w:styleId="Heading2Char">
    <w:name w:val="Heading 2 Char"/>
    <w:basedOn w:val="DefaultParagraphFont"/>
    <w:link w:val="Heading2"/>
    <w:uiPriority w:val="9"/>
    <w:rsid w:val="00BE692C"/>
    <w:rPr>
      <w:rFonts w:ascii="Arial" w:eastAsiaTheme="majorEastAsia" w:hAnsi="Arial" w:cstheme="majorBidi"/>
      <w:b/>
      <w:color w:val="0D0D0D" w:themeColor="text1" w:themeTint="F2"/>
      <w:sz w:val="32"/>
      <w:szCs w:val="32"/>
    </w:rPr>
  </w:style>
  <w:style w:type="character" w:customStyle="1" w:styleId="Heading3Char">
    <w:name w:val="Heading 3 Char"/>
    <w:basedOn w:val="DefaultParagraphFont"/>
    <w:link w:val="Heading3"/>
    <w:uiPriority w:val="9"/>
    <w:rsid w:val="006C427E"/>
    <w:rPr>
      <w:rFonts w:eastAsiaTheme="majorEastAsia" w:cstheme="majorBidi"/>
      <w:b/>
      <w:color w:val="2F5496" w:themeColor="accent1" w:themeShade="BF"/>
      <w:sz w:val="28"/>
      <w:szCs w:val="28"/>
    </w:rPr>
  </w:style>
  <w:style w:type="character" w:customStyle="1" w:styleId="Heading4Char">
    <w:name w:val="Heading 4 Char"/>
    <w:basedOn w:val="DefaultParagraphFont"/>
    <w:link w:val="Heading4"/>
    <w:uiPriority w:val="9"/>
    <w:semiHidden/>
    <w:rsid w:val="00236B3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36B3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36B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6B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6B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6B31"/>
    <w:rPr>
      <w:rFonts w:eastAsiaTheme="majorEastAsia" w:cstheme="majorBidi"/>
      <w:color w:val="272727" w:themeColor="text1" w:themeTint="D8"/>
    </w:rPr>
  </w:style>
  <w:style w:type="paragraph" w:styleId="Title">
    <w:name w:val="Title"/>
    <w:basedOn w:val="Normal"/>
    <w:next w:val="Normal"/>
    <w:link w:val="TitleChar"/>
    <w:uiPriority w:val="10"/>
    <w:qFormat/>
    <w:rsid w:val="00BE692C"/>
    <w:pPr>
      <w:spacing w:after="80" w:line="240" w:lineRule="auto"/>
      <w:contextualSpacing/>
    </w:pPr>
    <w:rPr>
      <w:rFonts w:ascii="Arial" w:eastAsiaTheme="majorEastAsia" w:hAnsi="Arial" w:cstheme="majorBidi"/>
      <w:b/>
      <w:color w:val="0D0D0D" w:themeColor="text1" w:themeTint="F2"/>
      <w:spacing w:val="-10"/>
      <w:kern w:val="28"/>
      <w:sz w:val="28"/>
      <w:szCs w:val="56"/>
    </w:rPr>
  </w:style>
  <w:style w:type="character" w:customStyle="1" w:styleId="TitleChar">
    <w:name w:val="Title Char"/>
    <w:basedOn w:val="DefaultParagraphFont"/>
    <w:link w:val="Title"/>
    <w:uiPriority w:val="10"/>
    <w:rsid w:val="00BE692C"/>
    <w:rPr>
      <w:rFonts w:ascii="Arial" w:eastAsiaTheme="majorEastAsia" w:hAnsi="Arial" w:cstheme="majorBidi"/>
      <w:b/>
      <w:color w:val="0D0D0D" w:themeColor="text1" w:themeTint="F2"/>
      <w:spacing w:val="-10"/>
      <w:kern w:val="28"/>
      <w:sz w:val="28"/>
      <w:szCs w:val="56"/>
    </w:rPr>
  </w:style>
  <w:style w:type="paragraph" w:styleId="Subtitle">
    <w:name w:val="Subtitle"/>
    <w:basedOn w:val="Normal"/>
    <w:next w:val="Normal"/>
    <w:link w:val="SubtitleChar"/>
    <w:uiPriority w:val="11"/>
    <w:qFormat/>
    <w:rsid w:val="00236B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6B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6B31"/>
    <w:pPr>
      <w:spacing w:before="160"/>
      <w:jc w:val="center"/>
    </w:pPr>
    <w:rPr>
      <w:i/>
      <w:iCs/>
      <w:color w:val="404040" w:themeColor="text1" w:themeTint="BF"/>
    </w:rPr>
  </w:style>
  <w:style w:type="character" w:customStyle="1" w:styleId="QuoteChar">
    <w:name w:val="Quote Char"/>
    <w:basedOn w:val="DefaultParagraphFont"/>
    <w:link w:val="Quote"/>
    <w:uiPriority w:val="29"/>
    <w:rsid w:val="00236B31"/>
    <w:rPr>
      <w:i/>
      <w:iCs/>
      <w:color w:val="404040" w:themeColor="text1" w:themeTint="BF"/>
    </w:rPr>
  </w:style>
  <w:style w:type="character" w:styleId="IntenseEmphasis">
    <w:name w:val="Intense Emphasis"/>
    <w:basedOn w:val="DefaultParagraphFont"/>
    <w:uiPriority w:val="21"/>
    <w:qFormat/>
    <w:rsid w:val="00236B31"/>
    <w:rPr>
      <w:i/>
      <w:iCs/>
      <w:color w:val="2F5496" w:themeColor="accent1" w:themeShade="BF"/>
    </w:rPr>
  </w:style>
  <w:style w:type="paragraph" w:styleId="IntenseQuote">
    <w:name w:val="Intense Quote"/>
    <w:basedOn w:val="Normal"/>
    <w:next w:val="Normal"/>
    <w:link w:val="IntenseQuoteChar"/>
    <w:uiPriority w:val="30"/>
    <w:qFormat/>
    <w:rsid w:val="00236B3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36B31"/>
    <w:rPr>
      <w:i/>
      <w:iCs/>
      <w:color w:val="2F5496" w:themeColor="accent1" w:themeShade="BF"/>
    </w:rPr>
  </w:style>
  <w:style w:type="character" w:styleId="IntenseReference">
    <w:name w:val="Intense Reference"/>
    <w:basedOn w:val="DefaultParagraphFont"/>
    <w:uiPriority w:val="32"/>
    <w:qFormat/>
    <w:rsid w:val="00236B31"/>
    <w:rPr>
      <w:b/>
      <w:bCs/>
      <w:smallCaps/>
      <w:color w:val="2F5496" w:themeColor="accent1" w:themeShade="BF"/>
      <w:spacing w:val="5"/>
    </w:rPr>
  </w:style>
  <w:style w:type="table" w:styleId="TableGrid">
    <w:name w:val="Table Grid"/>
    <w:basedOn w:val="TableNormal"/>
    <w:uiPriority w:val="39"/>
    <w:rsid w:val="00315A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5603B"/>
    <w:rPr>
      <w:color w:val="0563C1" w:themeColor="hyperlink"/>
      <w:u w:val="single"/>
    </w:rPr>
  </w:style>
  <w:style w:type="character" w:styleId="FollowedHyperlink">
    <w:name w:val="FollowedHyperlink"/>
    <w:basedOn w:val="DefaultParagraphFont"/>
    <w:uiPriority w:val="99"/>
    <w:semiHidden/>
    <w:unhideWhenUsed/>
    <w:rsid w:val="0055603B"/>
    <w:rPr>
      <w:color w:val="954F72" w:themeColor="followedHyperlink"/>
      <w:u w:val="single"/>
    </w:rPr>
  </w:style>
  <w:style w:type="character" w:styleId="UnresolvedMention">
    <w:name w:val="Unresolved Mention"/>
    <w:basedOn w:val="DefaultParagraphFont"/>
    <w:uiPriority w:val="99"/>
    <w:semiHidden/>
    <w:unhideWhenUsed/>
    <w:rsid w:val="00BE692C"/>
    <w:rPr>
      <w:color w:val="605E5C"/>
      <w:shd w:val="clear" w:color="auto" w:fill="E1DFDD"/>
    </w:rPr>
  </w:style>
  <w:style w:type="paragraph" w:styleId="Header">
    <w:name w:val="header"/>
    <w:basedOn w:val="Normal"/>
    <w:link w:val="HeaderChar"/>
    <w:uiPriority w:val="99"/>
    <w:unhideWhenUsed/>
    <w:rsid w:val="00867DD9"/>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7DD9"/>
  </w:style>
  <w:style w:type="paragraph" w:styleId="Footer">
    <w:name w:val="footer"/>
    <w:basedOn w:val="Normal"/>
    <w:link w:val="FooterChar"/>
    <w:uiPriority w:val="99"/>
    <w:unhideWhenUsed/>
    <w:rsid w:val="00867DD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7DD9"/>
  </w:style>
  <w:style w:type="paragraph" w:styleId="TOCHeading">
    <w:name w:val="TOC Heading"/>
    <w:basedOn w:val="Heading1"/>
    <w:next w:val="Normal"/>
    <w:uiPriority w:val="39"/>
    <w:unhideWhenUsed/>
    <w:qFormat/>
    <w:rsid w:val="00ED2F1B"/>
    <w:pPr>
      <w:spacing w:before="240" w:after="0"/>
      <w:outlineLvl w:val="9"/>
    </w:pPr>
    <w:rPr>
      <w:rFonts w:asciiTheme="majorHAnsi" w:hAnsiTheme="majorHAnsi"/>
      <w:b w:val="0"/>
      <w:sz w:val="32"/>
      <w:szCs w:val="32"/>
    </w:rPr>
  </w:style>
  <w:style w:type="paragraph" w:styleId="TOC1">
    <w:name w:val="toc 1"/>
    <w:basedOn w:val="Normal"/>
    <w:next w:val="Normal"/>
    <w:autoRedefine/>
    <w:uiPriority w:val="39"/>
    <w:unhideWhenUsed/>
    <w:rsid w:val="00ED2F1B"/>
    <w:pPr>
      <w:spacing w:after="100"/>
    </w:pPr>
  </w:style>
  <w:style w:type="paragraph" w:styleId="TOC2">
    <w:name w:val="toc 2"/>
    <w:basedOn w:val="Normal"/>
    <w:next w:val="Normal"/>
    <w:autoRedefine/>
    <w:uiPriority w:val="39"/>
    <w:unhideWhenUsed/>
    <w:rsid w:val="00ED2F1B"/>
    <w:pPr>
      <w:spacing w:after="100"/>
      <w:ind w:left="220"/>
    </w:pPr>
  </w:style>
  <w:style w:type="paragraph" w:styleId="TOC3">
    <w:name w:val="toc 3"/>
    <w:basedOn w:val="Normal"/>
    <w:next w:val="Normal"/>
    <w:autoRedefine/>
    <w:uiPriority w:val="39"/>
    <w:unhideWhenUsed/>
    <w:rsid w:val="00ED2F1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gibbsreflectivecycle.com/wp-content/uploads/2013/09/Gibbs-1988-Learning-by-Doing.pdf" TargetMode="External"/><Relationship Id="rId26" Type="http://schemas.openxmlformats.org/officeDocument/2006/relationships/hyperlink" Target="https://doi.org/10.5755/j01.ee.30.5.22828" TargetMode="External"/><Relationship Id="rId39" Type="http://schemas.openxmlformats.org/officeDocument/2006/relationships/hyperlink" Target="https://databank.worldbank.org/source/world-development-indicators" TargetMode="External"/><Relationship Id="rId21" Type="http://schemas.openxmlformats.org/officeDocument/2006/relationships/hyperlink" Target="https://www.hofstede-insights.com/country-comparison/" TargetMode="External"/><Relationship Id="rId34" Type="http://schemas.openxmlformats.org/officeDocument/2006/relationships/hyperlink" Target="https://doi.org/10.1016/j.jclepro.2018.09.121"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23841/egsk.2019.22.2.160" TargetMode="External"/><Relationship Id="rId20" Type="http://schemas.openxmlformats.org/officeDocument/2006/relationships/hyperlink" Target="https://www.mheducation.com/highered/product/international-business-competing-global-marketplace-hill/M9781264364096.html" TargetMode="External"/><Relationship Id="rId29" Type="http://schemas.openxmlformats.org/officeDocument/2006/relationships/hyperlink" Target="https://www.mheducation.com/highered/mhp/product/toyota-way-second-edition-14-management-principles-world-s-greatest-manufacturer.htm"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177/09636625211027391" TargetMode="External"/><Relationship Id="rId32" Type="http://schemas.openxmlformats.org/officeDocument/2006/relationships/hyperlink" Target="https://doi.org/10.31846/jae.v13i3.1114" TargetMode="External"/><Relationship Id="rId37" Type="http://schemas.openxmlformats.org/officeDocument/2006/relationships/hyperlink" Target="https://global.toyota/en/ir/library/annual/index.html"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doi.org/10.7469/JKSQM.2025.53.1.93" TargetMode="External"/><Relationship Id="rId28" Type="http://schemas.openxmlformats.org/officeDocument/2006/relationships/hyperlink" Target="https://doi.org/10.3390/wevj15090409" TargetMode="External"/><Relationship Id="rId36" Type="http://schemas.openxmlformats.org/officeDocument/2006/relationships/hyperlink" Target="https://erepo.usiu.ac.ke/" TargetMode="External"/><Relationship Id="rId10" Type="http://schemas.openxmlformats.org/officeDocument/2006/relationships/image" Target="media/image3.png"/><Relationship Id="rId19" Type="http://schemas.openxmlformats.org/officeDocument/2006/relationships/hyperlink" Target="https://dspace.puet.edu.ua/" TargetMode="External"/><Relationship Id="rId31" Type="http://schemas.openxmlformats.org/officeDocument/2006/relationships/hyperlink" Target="https://www.oecd.org/en/publications/oecd-economic-outlook-volume-2025-issue-1_33f77af0-en.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pearson.com/" TargetMode="External"/><Relationship Id="rId27" Type="http://schemas.openxmlformats.org/officeDocument/2006/relationships/hyperlink" Target="https://www.pearson.com/en-gb/subject-catalog/p/principles-of-marketing-global-edition/P200000009858" TargetMode="External"/><Relationship Id="rId30" Type="http://schemas.openxmlformats.org/officeDocument/2006/relationships/hyperlink" Target="https://www.nhtsa.gov?utm_source=chatgpt.com" TargetMode="External"/><Relationship Id="rId35" Type="http://schemas.openxmlformats.org/officeDocument/2006/relationships/hyperlink" Target="https://www.statista.com/topics/1487/automotive-industry/"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1080/00472336.2024.2384704" TargetMode="External"/><Relationship Id="rId25" Type="http://schemas.openxmlformats.org/officeDocument/2006/relationships/hyperlink" Target="https://www.iea.org/reports/global-ev-outlook-2025" TargetMode="External"/><Relationship Id="rId33" Type="http://schemas.openxmlformats.org/officeDocument/2006/relationships/hyperlink" Target="https://doi.org/10.18535/ijsrm/v12i04.ec01" TargetMode="External"/><Relationship Id="rId38" Type="http://schemas.openxmlformats.org/officeDocument/2006/relationships/hyperlink" Target="https://www.toyota.com/us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4AC486-8884-46B2-A00C-70DB8AFE32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30</Pages>
  <Words>7373</Words>
  <Characters>42030</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Anonymous</dc:creator>
  <cp:keywords/>
  <dc:description/>
  <cp:lastModifiedBy>Microsoft Office User</cp:lastModifiedBy>
  <cp:revision>2</cp:revision>
  <dcterms:created xsi:type="dcterms:W3CDTF">2026-07-23T08:35:00Z</dcterms:created>
  <dcterms:modified xsi:type="dcterms:W3CDTF">2026-07-23T08:35:00Z</dcterms:modified>
</cp:coreProperties>
</file>