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076F65" w14:textId="77777777" w:rsidR="00884325" w:rsidRDefault="00884325" w:rsidP="00832AFA">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5162DBBB" w14:textId="77777777" w:rsidR="00884325" w:rsidRDefault="00884325" w:rsidP="00832AFA">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53AF197A" w14:textId="77777777" w:rsidR="00884325" w:rsidRPr="00884325" w:rsidRDefault="00884325" w:rsidP="00832AFA">
      <w:pPr>
        <w:pStyle w:val="ql-align-center"/>
        <w:spacing w:before="0" w:beforeAutospacing="0" w:after="0" w:afterAutospacing="0"/>
        <w:jc w:val="center"/>
        <w:textAlignment w:val="baseline"/>
        <w:rPr>
          <w:rStyle w:val="Strong"/>
          <w:rFonts w:ascii="Arial" w:eastAsiaTheme="majorEastAsia" w:hAnsi="Arial" w:cs="Arial"/>
          <w:color w:val="000000"/>
          <w:sz w:val="40"/>
          <w:szCs w:val="40"/>
          <w:bdr w:val="none" w:sz="0" w:space="0" w:color="auto" w:frame="1"/>
        </w:rPr>
      </w:pPr>
    </w:p>
    <w:p w14:paraId="37075E6D" w14:textId="29168984" w:rsidR="00884325" w:rsidRPr="00884325" w:rsidRDefault="00884325" w:rsidP="00832AFA">
      <w:pPr>
        <w:pStyle w:val="ql-align-center"/>
        <w:spacing w:before="0" w:beforeAutospacing="0" w:after="0" w:afterAutospacing="0"/>
        <w:jc w:val="center"/>
        <w:textAlignment w:val="baseline"/>
        <w:rPr>
          <w:rStyle w:val="Strong"/>
          <w:rFonts w:ascii="Arial" w:eastAsiaTheme="majorEastAsia" w:hAnsi="Arial" w:cs="Arial"/>
          <w:color w:val="000000"/>
          <w:sz w:val="40"/>
          <w:szCs w:val="40"/>
          <w:bdr w:val="none" w:sz="0" w:space="0" w:color="auto" w:frame="1"/>
        </w:rPr>
      </w:pPr>
      <w:r w:rsidRPr="00884325">
        <w:rPr>
          <w:rStyle w:val="Strong"/>
          <w:rFonts w:ascii="Arial" w:eastAsiaTheme="majorEastAsia" w:hAnsi="Arial" w:cs="Arial"/>
          <w:color w:val="000000"/>
          <w:sz w:val="40"/>
          <w:szCs w:val="40"/>
          <w:bdr w:val="none" w:sz="0" w:space="0" w:color="auto" w:frame="1"/>
        </w:rPr>
        <w:t>Dumitru Cojoc</w:t>
      </w:r>
      <w:r>
        <w:rPr>
          <w:rStyle w:val="Strong"/>
          <w:rFonts w:ascii="Arial" w:eastAsiaTheme="majorEastAsia" w:hAnsi="Arial" w:cs="Arial"/>
          <w:color w:val="000000"/>
          <w:sz w:val="40"/>
          <w:szCs w:val="40"/>
          <w:bdr w:val="none" w:sz="0" w:space="0" w:color="auto" w:frame="1"/>
        </w:rPr>
        <w:t>a</w:t>
      </w:r>
      <w:r w:rsidRPr="00884325">
        <w:rPr>
          <w:rStyle w:val="Strong"/>
          <w:rFonts w:ascii="Arial" w:eastAsiaTheme="majorEastAsia" w:hAnsi="Arial" w:cs="Arial"/>
          <w:color w:val="000000"/>
          <w:sz w:val="40"/>
          <w:szCs w:val="40"/>
          <w:bdr w:val="none" w:sz="0" w:space="0" w:color="auto" w:frame="1"/>
        </w:rPr>
        <w:t xml:space="preserve">riu </w:t>
      </w:r>
    </w:p>
    <w:p w14:paraId="4CFA8F28" w14:textId="77777777" w:rsidR="00884325" w:rsidRPr="00884325" w:rsidRDefault="00884325" w:rsidP="00832AFA">
      <w:pPr>
        <w:pStyle w:val="ql-align-center"/>
        <w:spacing w:before="0" w:beforeAutospacing="0" w:after="0" w:afterAutospacing="0"/>
        <w:jc w:val="center"/>
        <w:textAlignment w:val="baseline"/>
        <w:rPr>
          <w:rStyle w:val="Strong"/>
          <w:rFonts w:ascii="Arial" w:eastAsiaTheme="majorEastAsia" w:hAnsi="Arial" w:cs="Arial"/>
          <w:color w:val="000000"/>
          <w:sz w:val="40"/>
          <w:szCs w:val="40"/>
          <w:bdr w:val="none" w:sz="0" w:space="0" w:color="auto" w:frame="1"/>
        </w:rPr>
      </w:pPr>
    </w:p>
    <w:p w14:paraId="5D13ED5E" w14:textId="318E79D7" w:rsidR="00884325" w:rsidRPr="00884325" w:rsidRDefault="00884325" w:rsidP="00832AFA">
      <w:pPr>
        <w:pStyle w:val="ql-align-center"/>
        <w:spacing w:before="0" w:beforeAutospacing="0" w:after="0" w:afterAutospacing="0"/>
        <w:jc w:val="center"/>
        <w:textAlignment w:val="baseline"/>
        <w:rPr>
          <w:rStyle w:val="Strong"/>
          <w:rFonts w:ascii="Arial" w:eastAsiaTheme="majorEastAsia" w:hAnsi="Arial" w:cs="Arial"/>
          <w:color w:val="000000"/>
          <w:sz w:val="40"/>
          <w:szCs w:val="40"/>
          <w:bdr w:val="none" w:sz="0" w:space="0" w:color="auto" w:frame="1"/>
        </w:rPr>
      </w:pPr>
      <w:r w:rsidRPr="00884325">
        <w:rPr>
          <w:rStyle w:val="Strong"/>
          <w:rFonts w:ascii="Arial" w:eastAsiaTheme="majorEastAsia" w:hAnsi="Arial" w:cs="Arial"/>
          <w:color w:val="000000"/>
          <w:sz w:val="40"/>
          <w:szCs w:val="40"/>
          <w:bdr w:val="none" w:sz="0" w:space="0" w:color="auto" w:frame="1"/>
        </w:rPr>
        <w:t>Report – BMGM 5004</w:t>
      </w:r>
    </w:p>
    <w:p w14:paraId="116A7528" w14:textId="77777777" w:rsidR="00884325" w:rsidRPr="00884325" w:rsidRDefault="00884325" w:rsidP="00832AFA">
      <w:pPr>
        <w:pStyle w:val="ql-align-center"/>
        <w:spacing w:before="0" w:beforeAutospacing="0" w:after="0" w:afterAutospacing="0"/>
        <w:jc w:val="center"/>
        <w:textAlignment w:val="baseline"/>
        <w:rPr>
          <w:rStyle w:val="Strong"/>
          <w:rFonts w:ascii="Arial" w:eastAsiaTheme="majorEastAsia" w:hAnsi="Arial" w:cs="Arial"/>
          <w:color w:val="000000"/>
          <w:sz w:val="40"/>
          <w:szCs w:val="40"/>
          <w:bdr w:val="none" w:sz="0" w:space="0" w:color="auto" w:frame="1"/>
        </w:rPr>
      </w:pPr>
    </w:p>
    <w:p w14:paraId="46437085" w14:textId="77777777" w:rsidR="00884325" w:rsidRPr="00884325" w:rsidRDefault="00884325" w:rsidP="00832AFA">
      <w:pPr>
        <w:pStyle w:val="ql-align-center"/>
        <w:spacing w:before="0" w:beforeAutospacing="0" w:after="0" w:afterAutospacing="0"/>
        <w:jc w:val="center"/>
        <w:textAlignment w:val="baseline"/>
        <w:rPr>
          <w:rStyle w:val="Strong"/>
          <w:rFonts w:ascii="Arial" w:eastAsiaTheme="majorEastAsia" w:hAnsi="Arial" w:cs="Arial"/>
          <w:color w:val="000000"/>
          <w:sz w:val="40"/>
          <w:szCs w:val="40"/>
          <w:bdr w:val="none" w:sz="0" w:space="0" w:color="auto" w:frame="1"/>
        </w:rPr>
      </w:pPr>
    </w:p>
    <w:p w14:paraId="599BD933" w14:textId="77777777" w:rsidR="00884325" w:rsidRDefault="00884325" w:rsidP="00832AFA">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50DB2BE7" w14:textId="77777777" w:rsidR="00884325" w:rsidRDefault="00884325" w:rsidP="00832AFA">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66CEE32E" w14:textId="77777777" w:rsidR="00884325" w:rsidRDefault="00884325" w:rsidP="00832AFA">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3768D2C5" w14:textId="77777777" w:rsidR="00884325" w:rsidRDefault="00884325" w:rsidP="00832AFA">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56B263CA" w14:textId="77777777" w:rsidR="00884325" w:rsidRDefault="00884325" w:rsidP="00832AFA">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014CC839" w14:textId="77777777" w:rsidR="00884325" w:rsidRDefault="00884325" w:rsidP="00832AFA">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02F6AD06" w14:textId="77777777" w:rsidR="00884325" w:rsidRDefault="00884325" w:rsidP="00832AFA">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76CEF8BD" w14:textId="77777777" w:rsidR="00884325" w:rsidRDefault="00884325" w:rsidP="00832AFA">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386E5809" w14:textId="77777777" w:rsidR="00884325" w:rsidRDefault="00884325" w:rsidP="00832AFA">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78A02041" w14:textId="77777777" w:rsidR="00884325" w:rsidRDefault="00884325" w:rsidP="00832AFA">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1920DDD5" w14:textId="7C342C9B" w:rsidR="00832AFA" w:rsidRPr="00884325" w:rsidRDefault="00832AFA" w:rsidP="00832AFA">
      <w:pPr>
        <w:pStyle w:val="ql-align-center"/>
        <w:spacing w:before="0" w:beforeAutospacing="0" w:after="0" w:afterAutospacing="0"/>
        <w:jc w:val="center"/>
        <w:textAlignment w:val="baseline"/>
        <w:rPr>
          <w:rFonts w:ascii="Arial" w:hAnsi="Arial" w:cs="Arial"/>
          <w:color w:val="000000"/>
          <w:sz w:val="32"/>
          <w:szCs w:val="32"/>
        </w:rPr>
      </w:pPr>
      <w:r w:rsidRPr="00884325">
        <w:rPr>
          <w:rStyle w:val="Strong"/>
          <w:rFonts w:ascii="Arial" w:eastAsiaTheme="majorEastAsia" w:hAnsi="Arial" w:cs="Arial"/>
          <w:color w:val="000000"/>
          <w:sz w:val="32"/>
          <w:szCs w:val="32"/>
          <w:bdr w:val="none" w:sz="0" w:space="0" w:color="auto" w:frame="1"/>
        </w:rPr>
        <w:t>Mastering Restaurant Management: Essential Knowledge and Skills for Leadership, Team Dynamics, and Operational Excellence"</w:t>
      </w:r>
    </w:p>
    <w:p w14:paraId="1CEAF412" w14:textId="77777777" w:rsidR="00832AFA" w:rsidRDefault="00832AFA" w:rsidP="00832AFA">
      <w:pPr>
        <w:pStyle w:val="NormalWeb"/>
        <w:spacing w:before="0" w:beforeAutospacing="0" w:after="0" w:afterAutospacing="0"/>
        <w:textAlignment w:val="baseline"/>
        <w:rPr>
          <w:rFonts w:ascii="Helvetica" w:hAnsi="Helvetica" w:cs="Helvetica"/>
          <w:color w:val="000000"/>
          <w:sz w:val="20"/>
          <w:szCs w:val="20"/>
        </w:rPr>
      </w:pPr>
      <w:r>
        <w:rPr>
          <w:rFonts w:ascii="Helvetica" w:hAnsi="Helvetica" w:cs="Helvetica"/>
          <w:color w:val="000000"/>
          <w:sz w:val="20"/>
          <w:szCs w:val="20"/>
        </w:rPr>
        <w:t> </w:t>
      </w:r>
    </w:p>
    <w:p w14:paraId="37F1BA56" w14:textId="77777777" w:rsidR="00832AFA" w:rsidRDefault="00832AFA" w:rsidP="00832AFA">
      <w:pPr>
        <w:pStyle w:val="NormalWeb"/>
        <w:spacing w:before="0" w:beforeAutospacing="0" w:after="0" w:afterAutospacing="0"/>
        <w:textAlignment w:val="baseline"/>
        <w:rPr>
          <w:rFonts w:ascii="Helvetica" w:hAnsi="Helvetica" w:cs="Helvetica"/>
          <w:color w:val="000000"/>
          <w:sz w:val="20"/>
          <w:szCs w:val="20"/>
        </w:rPr>
      </w:pPr>
    </w:p>
    <w:p w14:paraId="6F2743B4" w14:textId="77777777" w:rsidR="00832AFA" w:rsidRDefault="00832AFA" w:rsidP="00832AFA">
      <w:pPr>
        <w:pStyle w:val="NormalWeb"/>
        <w:spacing w:before="0" w:beforeAutospacing="0" w:after="0" w:afterAutospacing="0"/>
        <w:textAlignment w:val="baseline"/>
        <w:rPr>
          <w:rFonts w:ascii="Helvetica" w:hAnsi="Helvetica" w:cs="Helvetica"/>
          <w:color w:val="000000"/>
          <w:sz w:val="20"/>
          <w:szCs w:val="20"/>
        </w:rPr>
      </w:pPr>
    </w:p>
    <w:p w14:paraId="2418295A" w14:textId="77777777" w:rsidR="00832AFA" w:rsidRDefault="00832AFA" w:rsidP="00832AFA">
      <w:pPr>
        <w:pStyle w:val="NormalWeb"/>
        <w:spacing w:before="0" w:beforeAutospacing="0" w:after="0" w:afterAutospacing="0"/>
        <w:textAlignment w:val="baseline"/>
        <w:rPr>
          <w:rFonts w:ascii="Helvetica" w:hAnsi="Helvetica" w:cs="Helvetica"/>
          <w:color w:val="000000"/>
          <w:sz w:val="20"/>
          <w:szCs w:val="20"/>
        </w:rPr>
      </w:pPr>
    </w:p>
    <w:p w14:paraId="206BEBAD" w14:textId="6A6EDD4F" w:rsidR="00832AFA" w:rsidRPr="00884325" w:rsidRDefault="00832AFA" w:rsidP="00832AFA">
      <w:pPr>
        <w:pStyle w:val="NormalWeb"/>
        <w:spacing w:before="0" w:beforeAutospacing="0" w:after="0" w:afterAutospacing="0"/>
        <w:textAlignment w:val="baseline"/>
        <w:rPr>
          <w:rFonts w:ascii="Arial" w:hAnsi="Arial" w:cs="Arial"/>
          <w:sz w:val="28"/>
          <w:szCs w:val="28"/>
        </w:rPr>
      </w:pPr>
      <w:r w:rsidRPr="00884325">
        <w:rPr>
          <w:rStyle w:val="Strong"/>
          <w:rFonts w:ascii="Arial" w:eastAsiaTheme="majorEastAsia" w:hAnsi="Arial" w:cs="Arial"/>
          <w:sz w:val="28"/>
          <w:szCs w:val="28"/>
        </w:rPr>
        <w:t>Student Name:</w:t>
      </w:r>
      <w:r w:rsidRPr="00884325">
        <w:rPr>
          <w:rFonts w:ascii="Arial" w:hAnsi="Arial" w:cs="Arial"/>
          <w:sz w:val="28"/>
          <w:szCs w:val="28"/>
        </w:rPr>
        <w:t xml:space="preserve"> </w:t>
      </w:r>
      <w:r w:rsidRPr="00884325">
        <w:rPr>
          <w:rFonts w:ascii="Arial" w:hAnsi="Arial" w:cs="Arial"/>
          <w:sz w:val="28"/>
          <w:szCs w:val="28"/>
        </w:rPr>
        <w:t xml:space="preserve">Dumitru Cojocariu </w:t>
      </w:r>
      <w:r w:rsidRPr="00884325">
        <w:rPr>
          <w:rFonts w:ascii="Arial" w:hAnsi="Arial" w:cs="Arial"/>
          <w:sz w:val="28"/>
          <w:szCs w:val="28"/>
        </w:rPr>
        <w:br/>
      </w:r>
      <w:r w:rsidRPr="00884325">
        <w:rPr>
          <w:rStyle w:val="Strong"/>
          <w:rFonts w:ascii="Arial" w:eastAsiaTheme="majorEastAsia" w:hAnsi="Arial" w:cs="Arial"/>
          <w:sz w:val="28"/>
          <w:szCs w:val="28"/>
        </w:rPr>
        <w:t>Student ID:</w:t>
      </w:r>
      <w:r w:rsidRPr="00884325">
        <w:rPr>
          <w:rFonts w:ascii="Arial" w:hAnsi="Arial" w:cs="Arial"/>
          <w:sz w:val="28"/>
          <w:szCs w:val="28"/>
        </w:rPr>
        <w:t xml:space="preserve"> </w:t>
      </w:r>
      <w:r w:rsidR="00884325" w:rsidRPr="00884325">
        <w:rPr>
          <w:rFonts w:ascii="Arial" w:hAnsi="Arial" w:cs="Arial"/>
          <w:sz w:val="28"/>
          <w:szCs w:val="28"/>
        </w:rPr>
        <w:t>1920263</w:t>
      </w:r>
      <w:r w:rsidRPr="00884325">
        <w:rPr>
          <w:rFonts w:ascii="Arial" w:hAnsi="Arial" w:cs="Arial"/>
          <w:sz w:val="28"/>
          <w:szCs w:val="28"/>
        </w:rPr>
        <w:br/>
      </w:r>
      <w:r w:rsidRPr="00884325">
        <w:rPr>
          <w:rStyle w:val="Strong"/>
          <w:rFonts w:ascii="Arial" w:eastAsiaTheme="majorEastAsia" w:hAnsi="Arial" w:cs="Arial"/>
          <w:sz w:val="28"/>
          <w:szCs w:val="28"/>
        </w:rPr>
        <w:t>Course Title:</w:t>
      </w:r>
      <w:r w:rsidRPr="00884325">
        <w:rPr>
          <w:rFonts w:ascii="Arial" w:hAnsi="Arial" w:cs="Arial"/>
          <w:sz w:val="28"/>
          <w:szCs w:val="28"/>
        </w:rPr>
        <w:t xml:space="preserve"> </w:t>
      </w:r>
      <w:r w:rsidR="00884325" w:rsidRPr="00884325">
        <w:rPr>
          <w:rFonts w:ascii="Arial" w:hAnsi="Arial" w:cs="Arial"/>
          <w:sz w:val="28"/>
          <w:szCs w:val="28"/>
        </w:rPr>
        <w:t>International Gastronomy Management</w:t>
      </w:r>
      <w:r w:rsidRPr="00884325">
        <w:rPr>
          <w:rFonts w:ascii="Arial" w:hAnsi="Arial" w:cs="Arial"/>
          <w:sz w:val="28"/>
          <w:szCs w:val="28"/>
        </w:rPr>
        <w:br/>
      </w:r>
      <w:r w:rsidRPr="00884325">
        <w:rPr>
          <w:rStyle w:val="Strong"/>
          <w:rFonts w:ascii="Arial" w:eastAsiaTheme="majorEastAsia" w:hAnsi="Arial" w:cs="Arial"/>
          <w:sz w:val="28"/>
          <w:szCs w:val="28"/>
        </w:rPr>
        <w:t>Module Code:</w:t>
      </w:r>
      <w:r w:rsidRPr="00884325">
        <w:rPr>
          <w:rFonts w:ascii="Arial" w:hAnsi="Arial" w:cs="Arial"/>
          <w:sz w:val="28"/>
          <w:szCs w:val="28"/>
        </w:rPr>
        <w:t xml:space="preserve"> </w:t>
      </w:r>
      <w:r w:rsidR="00884325" w:rsidRPr="00884325">
        <w:rPr>
          <w:rFonts w:ascii="Arial" w:hAnsi="Arial" w:cs="Arial"/>
          <w:sz w:val="28"/>
          <w:szCs w:val="28"/>
        </w:rPr>
        <w:t>BMGM 5004</w:t>
      </w:r>
      <w:r w:rsidRPr="00884325">
        <w:rPr>
          <w:rFonts w:ascii="Arial" w:hAnsi="Arial" w:cs="Arial"/>
          <w:sz w:val="28"/>
          <w:szCs w:val="28"/>
        </w:rPr>
        <w:br/>
      </w:r>
      <w:r w:rsidRPr="00884325">
        <w:rPr>
          <w:rStyle w:val="Strong"/>
          <w:rFonts w:ascii="Arial" w:eastAsiaTheme="majorEastAsia" w:hAnsi="Arial" w:cs="Arial"/>
          <w:sz w:val="28"/>
          <w:szCs w:val="28"/>
        </w:rPr>
        <w:t>Institution Name:</w:t>
      </w:r>
      <w:r w:rsidR="00884325" w:rsidRPr="00884325">
        <w:rPr>
          <w:rFonts w:ascii="Arial" w:hAnsi="Arial" w:cs="Arial"/>
          <w:sz w:val="28"/>
          <w:szCs w:val="28"/>
        </w:rPr>
        <w:t xml:space="preserve"> University of Wales Trinity Saint David</w:t>
      </w:r>
      <w:r w:rsidRPr="00884325">
        <w:rPr>
          <w:rFonts w:ascii="Arial" w:hAnsi="Arial" w:cs="Arial"/>
          <w:sz w:val="28"/>
          <w:szCs w:val="28"/>
        </w:rPr>
        <w:br/>
      </w:r>
      <w:r w:rsidRPr="00884325">
        <w:rPr>
          <w:rStyle w:val="Strong"/>
          <w:rFonts w:ascii="Arial" w:eastAsiaTheme="majorEastAsia" w:hAnsi="Arial" w:cs="Arial"/>
          <w:sz w:val="28"/>
          <w:szCs w:val="28"/>
        </w:rPr>
        <w:t>Date of Submission:</w:t>
      </w:r>
      <w:r w:rsidRPr="00884325">
        <w:rPr>
          <w:rFonts w:ascii="Arial" w:hAnsi="Arial" w:cs="Arial"/>
          <w:sz w:val="28"/>
          <w:szCs w:val="28"/>
        </w:rPr>
        <w:t xml:space="preserve"> </w:t>
      </w:r>
      <w:r w:rsidR="004A3EBB">
        <w:rPr>
          <w:rFonts w:ascii="Arial" w:hAnsi="Arial" w:cs="Arial"/>
          <w:sz w:val="28"/>
          <w:szCs w:val="28"/>
        </w:rPr>
        <w:t>5</w:t>
      </w:r>
      <w:r w:rsidRPr="00884325">
        <w:rPr>
          <w:rFonts w:ascii="Arial" w:hAnsi="Arial" w:cs="Arial"/>
          <w:sz w:val="28"/>
          <w:szCs w:val="28"/>
        </w:rPr>
        <w:t xml:space="preserve"> May 2025</w:t>
      </w:r>
    </w:p>
    <w:p w14:paraId="0511336F" w14:textId="77777777" w:rsidR="00832AFA" w:rsidRPr="00884325" w:rsidRDefault="00832AFA" w:rsidP="00832AFA">
      <w:pPr>
        <w:pStyle w:val="NormalWeb"/>
        <w:spacing w:before="0" w:beforeAutospacing="0" w:after="0" w:afterAutospacing="0"/>
        <w:textAlignment w:val="baseline"/>
        <w:rPr>
          <w:rFonts w:ascii="Arial" w:hAnsi="Arial" w:cs="Arial"/>
          <w:sz w:val="28"/>
          <w:szCs w:val="28"/>
        </w:rPr>
      </w:pPr>
    </w:p>
    <w:p w14:paraId="07774EB8" w14:textId="766EF37C" w:rsidR="00832AFA" w:rsidRPr="00884325" w:rsidRDefault="00884325" w:rsidP="00832AFA">
      <w:pPr>
        <w:pStyle w:val="NormalWeb"/>
        <w:spacing w:before="0" w:beforeAutospacing="0" w:after="0" w:afterAutospacing="0"/>
        <w:textAlignment w:val="baseline"/>
        <w:rPr>
          <w:rStyle w:val="Strong"/>
          <w:rFonts w:ascii="Arial" w:eastAsiaTheme="majorEastAsia" w:hAnsi="Arial" w:cs="Arial"/>
          <w:sz w:val="28"/>
          <w:szCs w:val="28"/>
        </w:rPr>
      </w:pPr>
      <w:r w:rsidRPr="00884325">
        <w:rPr>
          <w:rStyle w:val="Strong"/>
          <w:rFonts w:ascii="Arial" w:eastAsiaTheme="majorEastAsia" w:hAnsi="Arial" w:cs="Arial"/>
          <w:sz w:val="28"/>
          <w:szCs w:val="28"/>
        </w:rPr>
        <w:t>Summary:</w:t>
      </w:r>
    </w:p>
    <w:p w14:paraId="772059CE" w14:textId="77777777" w:rsidR="00884325" w:rsidRPr="00884325" w:rsidRDefault="00884325" w:rsidP="00832AFA">
      <w:pPr>
        <w:pStyle w:val="NormalWeb"/>
        <w:spacing w:before="0" w:beforeAutospacing="0" w:after="0" w:afterAutospacing="0"/>
        <w:textAlignment w:val="baseline"/>
        <w:rPr>
          <w:rFonts w:ascii="Arial" w:hAnsi="Arial" w:cs="Arial"/>
          <w:sz w:val="28"/>
          <w:szCs w:val="28"/>
        </w:rPr>
      </w:pPr>
    </w:p>
    <w:p w14:paraId="441BB21F" w14:textId="1E0E59DC"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sz w:val="28"/>
          <w:szCs w:val="28"/>
        </w:rPr>
        <w:t>This paper examines the core competencies and knowledge domains needed to efficiently run a restaurant, concentrating on personal leadership, team</w:t>
      </w:r>
      <w:r w:rsidRPr="00884325">
        <w:rPr>
          <w:rFonts w:ascii="Arial" w:hAnsi="Arial" w:cs="Arial"/>
          <w:sz w:val="28"/>
          <w:szCs w:val="28"/>
        </w:rPr>
        <w:t> </w:t>
      </w:r>
      <w:r w:rsidRPr="00884325">
        <w:rPr>
          <w:rFonts w:ascii="Arial" w:hAnsi="Arial" w:cs="Arial"/>
          <w:sz w:val="28"/>
          <w:szCs w:val="28"/>
        </w:rPr>
        <w:t>functionality, troubleshooting and how to strategically use information systems. It discusses the role of emotional intelligence, decision-making</w:t>
      </w:r>
      <w:r w:rsidRPr="00884325">
        <w:rPr>
          <w:rFonts w:ascii="Arial" w:hAnsi="Arial" w:cs="Arial"/>
          <w:sz w:val="28"/>
          <w:szCs w:val="28"/>
        </w:rPr>
        <w:t> </w:t>
      </w:r>
      <w:r w:rsidRPr="00884325">
        <w:rPr>
          <w:rFonts w:ascii="Arial" w:hAnsi="Arial" w:cs="Arial"/>
          <w:sz w:val="28"/>
          <w:szCs w:val="28"/>
        </w:rPr>
        <w:t>abilities, and leadership styles in creating an inspiring and efficient working environment. Through communication, conflict</w:t>
      </w:r>
      <w:r w:rsidRPr="00884325">
        <w:rPr>
          <w:rFonts w:ascii="Arial" w:hAnsi="Arial" w:cs="Arial"/>
          <w:sz w:val="28"/>
          <w:szCs w:val="28"/>
        </w:rPr>
        <w:t> </w:t>
      </w:r>
      <w:r w:rsidRPr="00884325">
        <w:rPr>
          <w:rFonts w:ascii="Arial" w:hAnsi="Arial" w:cs="Arial"/>
          <w:sz w:val="28"/>
          <w:szCs w:val="28"/>
        </w:rPr>
        <w:t>resolution and role rotation, the dynamics of teamwork and their relation to service provision and guest experience are examined. The report also describes how data-driven-insight and modern information infrastructure can help in addressing operational difficulties and managing</w:t>
      </w:r>
      <w:r w:rsidRPr="00884325">
        <w:rPr>
          <w:rFonts w:ascii="Arial" w:hAnsi="Arial" w:cs="Arial"/>
          <w:sz w:val="28"/>
          <w:szCs w:val="28"/>
        </w:rPr>
        <w:t> </w:t>
      </w:r>
      <w:r w:rsidRPr="00884325">
        <w:rPr>
          <w:rFonts w:ascii="Arial" w:hAnsi="Arial" w:cs="Arial"/>
          <w:sz w:val="28"/>
          <w:szCs w:val="28"/>
        </w:rPr>
        <w:t xml:space="preserve">crisis </w:t>
      </w:r>
      <w:r w:rsidRPr="00884325">
        <w:rPr>
          <w:rFonts w:ascii="Arial" w:hAnsi="Arial" w:cs="Arial"/>
          <w:sz w:val="28"/>
          <w:szCs w:val="28"/>
        </w:rPr>
        <w:lastRenderedPageBreak/>
        <w:t>proactively. Utilising advancements in technology</w:t>
      </w:r>
      <w:r w:rsidRPr="00884325">
        <w:rPr>
          <w:rFonts w:ascii="Arial" w:hAnsi="Arial" w:cs="Arial"/>
          <w:sz w:val="28"/>
          <w:szCs w:val="28"/>
        </w:rPr>
        <w:t> </w:t>
      </w:r>
      <w:r w:rsidRPr="00884325">
        <w:rPr>
          <w:rFonts w:ascii="Arial" w:hAnsi="Arial" w:cs="Arial"/>
          <w:sz w:val="28"/>
          <w:szCs w:val="28"/>
        </w:rPr>
        <w:t>and taking a holistic approach to management, restaurant managers can increase efficiency, lower staff turnover, and stay ahead in the fast-paced restaurant business.</w:t>
      </w:r>
    </w:p>
    <w:p w14:paraId="2DFB9835"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p>
    <w:p w14:paraId="5EF92215"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p>
    <w:p w14:paraId="6408C0C4" w14:textId="77777777" w:rsidR="00832AFA" w:rsidRPr="00832AFA" w:rsidRDefault="00832AFA" w:rsidP="00832AFA">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832AFA">
        <w:rPr>
          <w:rFonts w:ascii="Arial" w:eastAsia="Times New Roman" w:hAnsi="Arial" w:cs="Arial"/>
          <w:b/>
          <w:bCs/>
          <w:kern w:val="0"/>
          <w:sz w:val="28"/>
          <w:szCs w:val="28"/>
          <w:lang w:eastAsia="en-GB"/>
          <w14:ligatures w14:val="none"/>
        </w:rPr>
        <w:t>Table of Contents</w:t>
      </w:r>
    </w:p>
    <w:p w14:paraId="3ED80854"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r w:rsidRPr="00832AFA">
        <w:rPr>
          <w:rFonts w:ascii="Arial" w:eastAsia="Times New Roman" w:hAnsi="Arial" w:cs="Arial"/>
          <w:b/>
          <w:bCs/>
          <w:kern w:val="0"/>
          <w:sz w:val="28"/>
          <w:szCs w:val="28"/>
          <w:lang w:eastAsia="en-GB"/>
          <w14:ligatures w14:val="none"/>
        </w:rPr>
        <w:t>Introduction</w:t>
      </w:r>
    </w:p>
    <w:p w14:paraId="00C4524A"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r w:rsidRPr="00832AFA">
        <w:rPr>
          <w:rFonts w:ascii="Arial" w:eastAsia="Times New Roman" w:hAnsi="Arial" w:cs="Arial"/>
          <w:b/>
          <w:bCs/>
          <w:kern w:val="0"/>
          <w:sz w:val="28"/>
          <w:szCs w:val="28"/>
          <w:lang w:eastAsia="en-GB"/>
          <w14:ligatures w14:val="none"/>
        </w:rPr>
        <w:t>The Role of Personal Leadership in Restaurant Management</w:t>
      </w:r>
      <w:r w:rsidRPr="00832AFA">
        <w:rPr>
          <w:rFonts w:ascii="Arial" w:eastAsia="Times New Roman" w:hAnsi="Arial" w:cs="Arial"/>
          <w:kern w:val="0"/>
          <w:sz w:val="28"/>
          <w:szCs w:val="28"/>
          <w:lang w:eastAsia="en-GB"/>
          <w14:ligatures w14:val="none"/>
        </w:rPr>
        <w:br/>
        <w:t>2.1 Self-Awareness and Emotional Intelligence</w:t>
      </w:r>
      <w:r w:rsidRPr="00832AFA">
        <w:rPr>
          <w:rFonts w:ascii="Arial" w:eastAsia="Times New Roman" w:hAnsi="Arial" w:cs="Arial"/>
          <w:kern w:val="0"/>
          <w:sz w:val="28"/>
          <w:szCs w:val="28"/>
          <w:lang w:eastAsia="en-GB"/>
          <w14:ligatures w14:val="none"/>
        </w:rPr>
        <w:br/>
        <w:t>2.2 Decision-Making Under Pressure</w:t>
      </w:r>
      <w:r w:rsidRPr="00832AFA">
        <w:rPr>
          <w:rFonts w:ascii="Arial" w:eastAsia="Times New Roman" w:hAnsi="Arial" w:cs="Arial"/>
          <w:kern w:val="0"/>
          <w:sz w:val="28"/>
          <w:szCs w:val="28"/>
          <w:lang w:eastAsia="en-GB"/>
          <w14:ligatures w14:val="none"/>
        </w:rPr>
        <w:br/>
        <w:t>2.3 Leadership Styles and Their Impact</w:t>
      </w:r>
    </w:p>
    <w:p w14:paraId="2AC57968" w14:textId="77777777" w:rsidR="00884325" w:rsidRPr="00884325" w:rsidRDefault="00832AFA" w:rsidP="00884325">
      <w:pPr>
        <w:spacing w:before="100" w:beforeAutospacing="1" w:after="100" w:afterAutospacing="1" w:line="240" w:lineRule="auto"/>
        <w:rPr>
          <w:rFonts w:ascii="Arial" w:eastAsia="Times New Roman" w:hAnsi="Arial" w:cs="Arial"/>
          <w:b/>
          <w:bCs/>
          <w:kern w:val="0"/>
          <w:sz w:val="28"/>
          <w:szCs w:val="28"/>
          <w:lang w:eastAsia="en-GB"/>
          <w14:ligatures w14:val="none"/>
        </w:rPr>
      </w:pPr>
      <w:r w:rsidRPr="00884325">
        <w:rPr>
          <w:rFonts w:ascii="Arial" w:eastAsia="Times New Roman" w:hAnsi="Arial" w:cs="Arial"/>
          <w:b/>
          <w:bCs/>
          <w:kern w:val="0"/>
          <w:sz w:val="28"/>
          <w:szCs w:val="28"/>
          <w:lang w:eastAsia="en-GB"/>
          <w14:ligatures w14:val="none"/>
        </w:rPr>
        <w:t>Team Dynamics and Organisational Culture</w:t>
      </w:r>
      <w:r w:rsidR="00884325" w:rsidRPr="00884325">
        <w:rPr>
          <w:rFonts w:ascii="Arial" w:eastAsia="Times New Roman" w:hAnsi="Arial" w:cs="Arial"/>
          <w:b/>
          <w:bCs/>
          <w:kern w:val="0"/>
          <w:sz w:val="28"/>
          <w:szCs w:val="28"/>
          <w:lang w:eastAsia="en-GB"/>
          <w14:ligatures w14:val="none"/>
        </w:rPr>
        <w:t xml:space="preserve"> </w:t>
      </w:r>
    </w:p>
    <w:p w14:paraId="51880E20" w14:textId="77777777" w:rsidR="00884325" w:rsidRPr="00884325" w:rsidRDefault="00832AFA" w:rsidP="00884325">
      <w:pPr>
        <w:spacing w:before="100" w:beforeAutospacing="1" w:after="100" w:afterAutospacing="1" w:line="240" w:lineRule="auto"/>
        <w:rPr>
          <w:rFonts w:ascii="Arial" w:eastAsia="Times New Roman" w:hAnsi="Arial" w:cs="Arial"/>
          <w:kern w:val="0"/>
          <w:sz w:val="28"/>
          <w:szCs w:val="28"/>
          <w:lang w:eastAsia="en-GB"/>
          <w14:ligatures w14:val="none"/>
        </w:rPr>
      </w:pPr>
      <w:r w:rsidRPr="00884325">
        <w:rPr>
          <w:rFonts w:ascii="Arial" w:eastAsia="Times New Roman" w:hAnsi="Arial" w:cs="Arial"/>
          <w:kern w:val="0"/>
          <w:sz w:val="28"/>
          <w:szCs w:val="28"/>
          <w:lang w:eastAsia="en-GB"/>
          <w14:ligatures w14:val="none"/>
        </w:rPr>
        <w:t>3.1 Interpersonal Skills and Conflict Resolution</w:t>
      </w:r>
    </w:p>
    <w:p w14:paraId="78370A00" w14:textId="77777777" w:rsidR="00884325" w:rsidRPr="00884325" w:rsidRDefault="00832AFA" w:rsidP="00884325">
      <w:pPr>
        <w:spacing w:before="100" w:beforeAutospacing="1" w:after="100" w:afterAutospacing="1" w:line="240" w:lineRule="auto"/>
        <w:rPr>
          <w:rFonts w:ascii="Arial" w:eastAsia="Times New Roman" w:hAnsi="Arial" w:cs="Arial"/>
          <w:kern w:val="0"/>
          <w:sz w:val="28"/>
          <w:szCs w:val="28"/>
          <w:lang w:eastAsia="en-GB"/>
          <w14:ligatures w14:val="none"/>
        </w:rPr>
      </w:pPr>
      <w:r w:rsidRPr="00884325">
        <w:rPr>
          <w:rFonts w:ascii="Arial" w:eastAsia="Times New Roman" w:hAnsi="Arial" w:cs="Arial"/>
          <w:kern w:val="0"/>
          <w:sz w:val="28"/>
          <w:szCs w:val="28"/>
          <w:lang w:eastAsia="en-GB"/>
          <w14:ligatures w14:val="none"/>
        </w:rPr>
        <w:t>3.2 Communication and Collaboration Strategies</w:t>
      </w:r>
    </w:p>
    <w:p w14:paraId="06959736" w14:textId="6B92C25B" w:rsidR="00832AFA" w:rsidRPr="00884325" w:rsidRDefault="00832AFA" w:rsidP="00884325">
      <w:pPr>
        <w:spacing w:before="100" w:beforeAutospacing="1" w:after="100" w:afterAutospacing="1" w:line="240" w:lineRule="auto"/>
        <w:rPr>
          <w:rFonts w:ascii="Arial" w:eastAsia="Times New Roman" w:hAnsi="Arial" w:cs="Arial"/>
          <w:b/>
          <w:bCs/>
          <w:kern w:val="0"/>
          <w:sz w:val="28"/>
          <w:szCs w:val="28"/>
          <w:lang w:eastAsia="en-GB"/>
          <w14:ligatures w14:val="none"/>
        </w:rPr>
      </w:pPr>
      <w:r w:rsidRPr="00884325">
        <w:rPr>
          <w:rFonts w:ascii="Arial" w:eastAsia="Times New Roman" w:hAnsi="Arial" w:cs="Arial"/>
          <w:kern w:val="0"/>
          <w:sz w:val="28"/>
          <w:szCs w:val="28"/>
          <w:lang w:eastAsia="en-GB"/>
          <w14:ligatures w14:val="none"/>
        </w:rPr>
        <w:t>3.3 Structuring Effective Teams</w:t>
      </w:r>
    </w:p>
    <w:p w14:paraId="33D69A2E"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r w:rsidRPr="00832AFA">
        <w:rPr>
          <w:rFonts w:ascii="Arial" w:eastAsia="Times New Roman" w:hAnsi="Arial" w:cs="Arial"/>
          <w:b/>
          <w:bCs/>
          <w:kern w:val="0"/>
          <w:sz w:val="28"/>
          <w:szCs w:val="28"/>
          <w:lang w:eastAsia="en-GB"/>
          <w14:ligatures w14:val="none"/>
        </w:rPr>
        <w:t>Problem-Solving and Crisis Management</w:t>
      </w:r>
      <w:r w:rsidRPr="00832AFA">
        <w:rPr>
          <w:rFonts w:ascii="Arial" w:eastAsia="Times New Roman" w:hAnsi="Arial" w:cs="Arial"/>
          <w:kern w:val="0"/>
          <w:sz w:val="28"/>
          <w:szCs w:val="28"/>
          <w:lang w:eastAsia="en-GB"/>
          <w14:ligatures w14:val="none"/>
        </w:rPr>
        <w:br/>
        <w:t>4.1 Early Identification of Operational Issues</w:t>
      </w:r>
      <w:r w:rsidRPr="00832AFA">
        <w:rPr>
          <w:rFonts w:ascii="Arial" w:eastAsia="Times New Roman" w:hAnsi="Arial" w:cs="Arial"/>
          <w:kern w:val="0"/>
          <w:sz w:val="28"/>
          <w:szCs w:val="28"/>
          <w:lang w:eastAsia="en-GB"/>
          <w14:ligatures w14:val="none"/>
        </w:rPr>
        <w:br/>
        <w:t>4.2 Building a Culture of Problem Resolution</w:t>
      </w:r>
      <w:r w:rsidRPr="00832AFA">
        <w:rPr>
          <w:rFonts w:ascii="Arial" w:eastAsia="Times New Roman" w:hAnsi="Arial" w:cs="Arial"/>
          <w:kern w:val="0"/>
          <w:sz w:val="28"/>
          <w:szCs w:val="28"/>
          <w:lang w:eastAsia="en-GB"/>
          <w14:ligatures w14:val="none"/>
        </w:rPr>
        <w:br/>
        <w:t>4.3 Leadership’s Role in Managing Crises</w:t>
      </w:r>
    </w:p>
    <w:p w14:paraId="4AE5B873"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r w:rsidRPr="00832AFA">
        <w:rPr>
          <w:rFonts w:ascii="Arial" w:eastAsia="Times New Roman" w:hAnsi="Arial" w:cs="Arial"/>
          <w:b/>
          <w:bCs/>
          <w:kern w:val="0"/>
          <w:sz w:val="28"/>
          <w:szCs w:val="28"/>
          <w:lang w:eastAsia="en-GB"/>
          <w14:ligatures w14:val="none"/>
        </w:rPr>
        <w:t>Information Management Systems in Restaurant Operations</w:t>
      </w:r>
      <w:r w:rsidRPr="00832AFA">
        <w:rPr>
          <w:rFonts w:ascii="Arial" w:eastAsia="Times New Roman" w:hAnsi="Arial" w:cs="Arial"/>
          <w:kern w:val="0"/>
          <w:sz w:val="28"/>
          <w:szCs w:val="28"/>
          <w:lang w:eastAsia="en-GB"/>
          <w14:ligatures w14:val="none"/>
        </w:rPr>
        <w:br/>
        <w:t>5.1 Strategic Use of Data for Decision-Making</w:t>
      </w:r>
      <w:r w:rsidRPr="00832AFA">
        <w:rPr>
          <w:rFonts w:ascii="Arial" w:eastAsia="Times New Roman" w:hAnsi="Arial" w:cs="Arial"/>
          <w:kern w:val="0"/>
          <w:sz w:val="28"/>
          <w:szCs w:val="28"/>
          <w:lang w:eastAsia="en-GB"/>
          <w14:ligatures w14:val="none"/>
        </w:rPr>
        <w:br/>
        <w:t>5.2 Integration of CRM and POS Technologies</w:t>
      </w:r>
      <w:r w:rsidRPr="00832AFA">
        <w:rPr>
          <w:rFonts w:ascii="Arial" w:eastAsia="Times New Roman" w:hAnsi="Arial" w:cs="Arial"/>
          <w:kern w:val="0"/>
          <w:sz w:val="28"/>
          <w:szCs w:val="28"/>
          <w:lang w:eastAsia="en-GB"/>
          <w14:ligatures w14:val="none"/>
        </w:rPr>
        <w:br/>
        <w:t>5.3 Real-Time Monitoring and Customer Engagement</w:t>
      </w:r>
    </w:p>
    <w:p w14:paraId="69E1F73E"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r w:rsidRPr="00832AFA">
        <w:rPr>
          <w:rFonts w:ascii="Arial" w:eastAsia="Times New Roman" w:hAnsi="Arial" w:cs="Arial"/>
          <w:b/>
          <w:bCs/>
          <w:kern w:val="0"/>
          <w:sz w:val="28"/>
          <w:szCs w:val="28"/>
          <w:lang w:eastAsia="en-GB"/>
          <w14:ligatures w14:val="none"/>
        </w:rPr>
        <w:t>Conclusion</w:t>
      </w:r>
    </w:p>
    <w:p w14:paraId="1CD6F76B"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r w:rsidRPr="00832AFA">
        <w:rPr>
          <w:rFonts w:ascii="Arial" w:eastAsia="Times New Roman" w:hAnsi="Arial" w:cs="Arial"/>
          <w:b/>
          <w:bCs/>
          <w:kern w:val="0"/>
          <w:sz w:val="28"/>
          <w:szCs w:val="28"/>
          <w:lang w:eastAsia="en-GB"/>
          <w14:ligatures w14:val="none"/>
        </w:rPr>
        <w:t>Recommendations</w:t>
      </w:r>
    </w:p>
    <w:p w14:paraId="7DDE7AF1"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r w:rsidRPr="00832AFA">
        <w:rPr>
          <w:rFonts w:ascii="Arial" w:eastAsia="Times New Roman" w:hAnsi="Arial" w:cs="Arial"/>
          <w:b/>
          <w:bCs/>
          <w:kern w:val="0"/>
          <w:sz w:val="28"/>
          <w:szCs w:val="28"/>
          <w:lang w:eastAsia="en-GB"/>
          <w14:ligatures w14:val="none"/>
        </w:rPr>
        <w:t>References</w:t>
      </w:r>
    </w:p>
    <w:p w14:paraId="2D222668"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p>
    <w:p w14:paraId="4918262D"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p>
    <w:p w14:paraId="6B8F7390"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p>
    <w:p w14:paraId="415BC6D6"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p>
    <w:p w14:paraId="70178BDF"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p>
    <w:p w14:paraId="732C488F"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p>
    <w:p w14:paraId="68345ABD"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p>
    <w:p w14:paraId="7CA21926" w14:textId="2E1528C4" w:rsidR="00832AFA" w:rsidRPr="00884325" w:rsidRDefault="004A3EBB" w:rsidP="00832AFA">
      <w:pPr>
        <w:pStyle w:val="NormalWeb"/>
        <w:spacing w:before="0" w:beforeAutospacing="0" w:after="0" w:afterAutospacing="0"/>
        <w:textAlignment w:val="baseline"/>
        <w:rPr>
          <w:rFonts w:ascii="Arial" w:hAnsi="Arial" w:cs="Arial"/>
          <w:color w:val="000000"/>
          <w:sz w:val="28"/>
          <w:szCs w:val="28"/>
        </w:rPr>
      </w:pPr>
      <w:r>
        <w:rPr>
          <w:rFonts w:ascii="Arial" w:hAnsi="Arial" w:cs="Arial"/>
          <w:color w:val="000000"/>
          <w:sz w:val="28"/>
          <w:szCs w:val="28"/>
        </w:rPr>
        <w:t xml:space="preserve">    </w:t>
      </w:r>
      <w:r w:rsidR="00832AFA" w:rsidRPr="00884325">
        <w:rPr>
          <w:rFonts w:ascii="Arial" w:hAnsi="Arial" w:cs="Arial"/>
          <w:color w:val="000000"/>
          <w:sz w:val="28"/>
          <w:szCs w:val="28"/>
        </w:rPr>
        <w:t>Personal leadership is a critical aspect of the effective management of restaurants, which covers self -awareness, emotional intelligence and decision -making skills. The nuances of effective leadership extend beyond simply managing staff; They involve cultivating a work culture that encourages growth, innovation and resistance. Research underlines the importance of leadership as a practice within the restaurant sector, with Carroll, Levy and Richmond (2008) highlighting that a complete leader is essential to establish a motivating environment that fosters teamwork and collaboration. This environment is essential in an industry characterised by high rotation rates and intense pressure, where the ability to lead effectively can be a determinant of employee satisfaction and operational success.</w:t>
      </w:r>
    </w:p>
    <w:p w14:paraId="62FEEBED" w14:textId="03E7CE39"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 </w:t>
      </w:r>
      <w:r w:rsidR="004A3EBB">
        <w:rPr>
          <w:rFonts w:ascii="Arial" w:hAnsi="Arial" w:cs="Arial"/>
          <w:color w:val="000000"/>
          <w:sz w:val="28"/>
          <w:szCs w:val="28"/>
        </w:rPr>
        <w:t xml:space="preserve">     </w:t>
      </w:r>
      <w:r w:rsidRPr="00884325">
        <w:rPr>
          <w:rFonts w:ascii="Arial" w:hAnsi="Arial" w:cs="Arial"/>
          <w:color w:val="000000"/>
          <w:sz w:val="28"/>
          <w:szCs w:val="28"/>
        </w:rPr>
        <w:t>Emotional intelligence, a personal leadership component, plays an essential role in improving interpersonal relationships and communication within restaurant environments. Leaders with high emotional intelligence are experts in recognising and managing their own emotions, as well as those of their team members. Such leaders are better positioned to disseminate conflicts, motivate people, and foster a sense of belonging among their staff. The application of emotional intelligence in leadership promotes a more cohesive team dynamic, resulting in a more resistant workplace, capable of resisting the inevitable challenges that arise in the fast -paced restaurant environment (Goleman, 1998).</w:t>
      </w:r>
    </w:p>
    <w:p w14:paraId="7012E85E" w14:textId="21416D0D"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 </w:t>
      </w:r>
      <w:r w:rsidR="004A3EBB">
        <w:rPr>
          <w:rFonts w:ascii="Arial" w:hAnsi="Arial" w:cs="Arial"/>
          <w:color w:val="000000"/>
          <w:sz w:val="28"/>
          <w:szCs w:val="28"/>
        </w:rPr>
        <w:t xml:space="preserve">     </w:t>
      </w:r>
      <w:r w:rsidRPr="00884325">
        <w:rPr>
          <w:rFonts w:ascii="Arial" w:hAnsi="Arial" w:cs="Arial"/>
          <w:color w:val="000000"/>
          <w:sz w:val="28"/>
          <w:szCs w:val="28"/>
        </w:rPr>
        <w:t>Decision -making skills are another cornerstone of personal leadership in restaurant management. Effective leaders should not only make informed decisions but also do so in a timely manner. The complexities of the operational challenges, ranging from personnel problems to customer service crisis, require a leader who can quickly evaluate situations and efficiently implement corrective strategies. The research of Wooten and James (2008) reveals an inherent link between crisis management capabilities and leadership competences. Leaders who can keep calm under pressure, analyse situations and use creative problem-solving techniques are invaluable active for any restaurant.</w:t>
      </w:r>
    </w:p>
    <w:p w14:paraId="0589321E" w14:textId="72D06CD3"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 </w:t>
      </w:r>
      <w:r w:rsidR="004A3EBB">
        <w:rPr>
          <w:rFonts w:ascii="Arial" w:hAnsi="Arial" w:cs="Arial"/>
          <w:color w:val="000000"/>
          <w:sz w:val="28"/>
          <w:szCs w:val="28"/>
        </w:rPr>
        <w:t xml:space="preserve">    </w:t>
      </w:r>
      <w:r w:rsidRPr="00884325">
        <w:rPr>
          <w:rFonts w:ascii="Arial" w:hAnsi="Arial" w:cs="Arial"/>
          <w:color w:val="000000"/>
          <w:sz w:val="28"/>
          <w:szCs w:val="28"/>
        </w:rPr>
        <w:t xml:space="preserve">In addition, the adopted leadership style can significantly influence the dynamics of the team and, consequently, the atmosphere of the general work. Transformational leadership, which emphasises inspiration and change, often leads to greater participation and productivity of employees. This style contrasts with transactional leadership, which focuses mainly on order and compliance. The evidence suggests that transformational leaders are more successful in instilling a sense of purpose and direction among their employees, which </w:t>
      </w:r>
      <w:r w:rsidRPr="00884325">
        <w:rPr>
          <w:rFonts w:ascii="Arial" w:hAnsi="Arial" w:cs="Arial"/>
          <w:color w:val="000000"/>
          <w:sz w:val="28"/>
          <w:szCs w:val="28"/>
        </w:rPr>
        <w:lastRenderedPageBreak/>
        <w:t>contributes to greater job satisfaction and greater turnover (Hughes and Rog, 2008). Such approaches not only motivate people but also help align the objectives of the team with the organisational objectives, promoting a deeper commitment to the vision of the restaurant.</w:t>
      </w:r>
    </w:p>
    <w:p w14:paraId="6FC470E5" w14:textId="39EA14B3"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 </w:t>
      </w:r>
      <w:r w:rsidR="004A3EBB">
        <w:rPr>
          <w:rFonts w:ascii="Arial" w:hAnsi="Arial" w:cs="Arial"/>
          <w:color w:val="000000"/>
          <w:sz w:val="28"/>
          <w:szCs w:val="28"/>
        </w:rPr>
        <w:t xml:space="preserve">    </w:t>
      </w:r>
      <w:r w:rsidRPr="00884325">
        <w:rPr>
          <w:rFonts w:ascii="Arial" w:hAnsi="Arial" w:cs="Arial"/>
          <w:color w:val="000000"/>
          <w:sz w:val="28"/>
          <w:szCs w:val="28"/>
        </w:rPr>
        <w:t xml:space="preserve">Understanding the personal attributes required for the effective management of restaurants has practical implications, particularly in recruitment and retention strategies. As </w:t>
      </w:r>
      <w:proofErr w:type="spellStart"/>
      <w:r w:rsidRPr="00884325">
        <w:rPr>
          <w:rFonts w:ascii="Arial" w:hAnsi="Arial" w:cs="Arial"/>
          <w:color w:val="000000"/>
          <w:sz w:val="28"/>
          <w:szCs w:val="28"/>
        </w:rPr>
        <w:t>Kusluvan</w:t>
      </w:r>
      <w:proofErr w:type="spellEnd"/>
      <w:r w:rsidRPr="00884325">
        <w:rPr>
          <w:rFonts w:ascii="Arial" w:hAnsi="Arial" w:cs="Arial"/>
          <w:color w:val="000000"/>
          <w:sz w:val="28"/>
          <w:szCs w:val="28"/>
        </w:rPr>
        <w:t xml:space="preserve"> et al. (2010) articulated, the identification of leadership competencies during the hiring process allows organisations to select candidates who have not only technical skills but also the personal qualities necessary to prosper in a demanding environment. This proactive approach to talent management can lead to lower rotation rates, reduced hiring costs and the establishment of a more cohesive and dedicated workforce, a result that is essential in an industry known for its high wear of the staff.</w:t>
      </w:r>
    </w:p>
    <w:p w14:paraId="5932D1F4" w14:textId="5FCC4DF6"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 </w:t>
      </w:r>
      <w:r w:rsidR="004A3EBB">
        <w:rPr>
          <w:rFonts w:ascii="Arial" w:hAnsi="Arial" w:cs="Arial"/>
          <w:color w:val="000000"/>
          <w:sz w:val="28"/>
          <w:szCs w:val="28"/>
        </w:rPr>
        <w:t xml:space="preserve">   </w:t>
      </w:r>
      <w:r w:rsidRPr="00884325">
        <w:rPr>
          <w:rFonts w:ascii="Arial" w:hAnsi="Arial" w:cs="Arial"/>
          <w:color w:val="000000"/>
          <w:sz w:val="28"/>
          <w:szCs w:val="28"/>
        </w:rPr>
        <w:t>In summary, the integration of self -awareness, emotional intelligence, decision -making capabilities and effective leadership styles form the personal leadership base in restaurant management. These elements collectively influence the dynamics of the equipment, operational efficiency and, ultimately, the success of the establishment. In the field of restaurant management, team dynamics are critical for achieving operational excellence and improving the general experience of the guest. Effective collaboration and communication among employees are fundamental as they directly influence customer satisfaction and service delivery. According to Mouta et al. (2024), a qualified manager should cultivate an environment-oriented environment that promotes inclusion and embraces several perspectives. This environment is critical for generating innovative approaches to challenges in a highly competitive industry.</w:t>
      </w:r>
    </w:p>
    <w:p w14:paraId="517453A7" w14:textId="6EA3E44E"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 </w:t>
      </w:r>
      <w:r w:rsidR="004A3EBB">
        <w:rPr>
          <w:rFonts w:ascii="Arial" w:hAnsi="Arial" w:cs="Arial"/>
          <w:color w:val="000000"/>
          <w:sz w:val="28"/>
          <w:szCs w:val="28"/>
        </w:rPr>
        <w:t xml:space="preserve">   </w:t>
      </w:r>
      <w:r w:rsidRPr="00884325">
        <w:rPr>
          <w:rFonts w:ascii="Arial" w:hAnsi="Arial" w:cs="Arial"/>
          <w:color w:val="000000"/>
          <w:sz w:val="28"/>
          <w:szCs w:val="28"/>
        </w:rPr>
        <w:t xml:space="preserve">The establishment of a cohesive team depends on important skills, particularly interpersonal skills and conflict resolution strategies, such as elucidated by Osborne (2015). Interpersonal skills facilitate positive interactions between team members, allowing a supportive atmosphere where employees feel valued and empowered. These skills also cover the ability to actively listen and provide constructive feedback, which is essential to promoting confidence and synergy within the team. Meanwhile, conflict resolution strategies are vital when disputes arise, as they equalise managers to effectively mediate, ensuring that </w:t>
      </w:r>
      <w:r w:rsidR="004A3EBB" w:rsidRPr="00884325">
        <w:rPr>
          <w:rFonts w:ascii="Arial" w:hAnsi="Arial" w:cs="Arial"/>
          <w:color w:val="000000"/>
          <w:sz w:val="28"/>
          <w:szCs w:val="28"/>
        </w:rPr>
        <w:t>unladed</w:t>
      </w:r>
      <w:r w:rsidRPr="00884325">
        <w:rPr>
          <w:rFonts w:ascii="Arial" w:hAnsi="Arial" w:cs="Arial"/>
          <w:color w:val="000000"/>
          <w:sz w:val="28"/>
          <w:szCs w:val="28"/>
        </w:rPr>
        <w:t xml:space="preserve"> tensions and disturb team performance.</w:t>
      </w:r>
    </w:p>
    <w:p w14:paraId="59CD3740" w14:textId="53A578E1"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 </w:t>
      </w:r>
      <w:r w:rsidR="004A3EBB">
        <w:rPr>
          <w:rFonts w:ascii="Arial" w:hAnsi="Arial" w:cs="Arial"/>
          <w:color w:val="000000"/>
          <w:sz w:val="28"/>
          <w:szCs w:val="28"/>
        </w:rPr>
        <w:t xml:space="preserve">    </w:t>
      </w:r>
      <w:r w:rsidRPr="00884325">
        <w:rPr>
          <w:rFonts w:ascii="Arial" w:hAnsi="Arial" w:cs="Arial"/>
          <w:color w:val="000000"/>
          <w:sz w:val="28"/>
          <w:szCs w:val="28"/>
        </w:rPr>
        <w:t xml:space="preserve">In addition, the literature emphasises the importance of open communication lines in increasing team dynamics. By prioritising transparent communication channels, managers can reinforce team development, allowing members to express their ideas and concerns freely. This approach not only improves performance but also </w:t>
      </w:r>
      <w:r w:rsidRPr="00884325">
        <w:rPr>
          <w:rFonts w:ascii="Arial" w:hAnsi="Arial" w:cs="Arial"/>
          <w:color w:val="000000"/>
          <w:sz w:val="28"/>
          <w:szCs w:val="28"/>
        </w:rPr>
        <w:lastRenderedPageBreak/>
        <w:t>contributes to a reinforced organisational identity that reflects a commitment to quality service (</w:t>
      </w:r>
      <w:proofErr w:type="spellStart"/>
      <w:r w:rsidRPr="00884325">
        <w:rPr>
          <w:rFonts w:ascii="Arial" w:hAnsi="Arial" w:cs="Arial"/>
          <w:color w:val="000000"/>
          <w:sz w:val="28"/>
          <w:szCs w:val="28"/>
        </w:rPr>
        <w:t>Kandampully</w:t>
      </w:r>
      <w:proofErr w:type="spellEnd"/>
      <w:r w:rsidRPr="00884325">
        <w:rPr>
          <w:rFonts w:ascii="Arial" w:hAnsi="Arial" w:cs="Arial"/>
          <w:color w:val="000000"/>
          <w:sz w:val="28"/>
          <w:szCs w:val="28"/>
        </w:rPr>
        <w:t xml:space="preserve">, Zhang and Jaakkola, 2018). In a restaurant context, where interactions are usually </w:t>
      </w:r>
      <w:proofErr w:type="spellStart"/>
      <w:r w:rsidRPr="00884325">
        <w:rPr>
          <w:rFonts w:ascii="Arial" w:hAnsi="Arial" w:cs="Arial"/>
          <w:color w:val="000000"/>
          <w:sz w:val="28"/>
          <w:szCs w:val="28"/>
        </w:rPr>
        <w:t>icts</w:t>
      </w:r>
      <w:proofErr w:type="spellEnd"/>
      <w:r w:rsidRPr="00884325">
        <w:rPr>
          <w:rFonts w:ascii="Arial" w:hAnsi="Arial" w:cs="Arial"/>
          <w:color w:val="000000"/>
          <w:sz w:val="28"/>
          <w:szCs w:val="28"/>
        </w:rPr>
        <w:t xml:space="preserve"> and under considerable pressure, clarity in communication becomes even more critical to align team goals and maintain service standards.</w:t>
      </w:r>
    </w:p>
    <w:p w14:paraId="30CD7D79"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 </w:t>
      </w:r>
    </w:p>
    <w:p w14:paraId="56536206" w14:textId="207A793A"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In addition to interpersonal relationships, the operational challenges faced in a restaurant environment require managers to be adept at navigating and balanced the team's dynamics. Chi-Hung and Tsui-Hua (2024) emphasise that in rapidly responding to team-related questions is essential to support high levels of service and operational efficiency. Managers are accused of the responsibility of not only leading their teams but also recognising the distinct strengths and weaknesses of each member. By leveraging these individual attributes, managers can assign functions and responsibilities that improve the general productivity of the team.</w:t>
      </w:r>
    </w:p>
    <w:p w14:paraId="6EBFFF17" w14:textId="2165AD1C"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 </w:t>
      </w:r>
      <w:r w:rsidR="004A3EBB">
        <w:rPr>
          <w:rFonts w:ascii="Arial" w:hAnsi="Arial" w:cs="Arial"/>
          <w:color w:val="000000"/>
          <w:sz w:val="28"/>
          <w:szCs w:val="28"/>
        </w:rPr>
        <w:t xml:space="preserve">    </w:t>
      </w:r>
      <w:r w:rsidRPr="00884325">
        <w:rPr>
          <w:rFonts w:ascii="Arial" w:hAnsi="Arial" w:cs="Arial"/>
          <w:color w:val="000000"/>
          <w:sz w:val="28"/>
          <w:szCs w:val="28"/>
        </w:rPr>
        <w:t>In addition, team dynamics are influenced by the inherent structure of the workforce, including factors such as hierarchical roles and informal relationships. An effective manager must be aware of these dynamics, recognising that team performance can be significantly impacted by the cohesion of morals and the group. Strategies such as team building exercises, regular feedback sessions, and inclusive decision -making practices can further strengthen the team’s titles and create a sense of belonging among employees, which ultimately translates into enhanced experiences.</w:t>
      </w:r>
    </w:p>
    <w:p w14:paraId="52388CAA" w14:textId="0D8A564D"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 </w:t>
      </w:r>
      <w:r w:rsidR="004A3EBB">
        <w:rPr>
          <w:rFonts w:ascii="Arial" w:hAnsi="Arial" w:cs="Arial"/>
          <w:color w:val="000000"/>
          <w:sz w:val="28"/>
          <w:szCs w:val="28"/>
        </w:rPr>
        <w:t xml:space="preserve">   </w:t>
      </w:r>
      <w:r w:rsidRPr="00884325">
        <w:rPr>
          <w:rFonts w:ascii="Arial" w:hAnsi="Arial" w:cs="Arial"/>
          <w:color w:val="000000"/>
          <w:sz w:val="28"/>
          <w:szCs w:val="28"/>
        </w:rPr>
        <w:t xml:space="preserve">Finally, the integration of information management systems can increase team dynamics by facilitating the most informed decision-making processes. Managers using data analysis can monitor team performance, identify areas to improve and provide directed training opportunities, thus aligning team efforts with comprehensive business objectives. This synergistic approach not only raises the team’s skills sets but also improves the restaurant’s operational structure, contributing to its long -term success. With an understanding of these complexities, effective restaurant managers can take advantage of the team’s dynamics to boost organisational performance and customer satisfaction. The resolution of problems in the reign of the restaurant management requires a complete mixture of acumen for problem resolution and a proactive arrangement. Restaurant managers are required to quickly identify and analyse operational problems, implementing effective solutions that minimise interruptions and maintain the quality of the service. According to </w:t>
      </w:r>
      <w:proofErr w:type="spellStart"/>
      <w:r w:rsidRPr="00884325">
        <w:rPr>
          <w:rFonts w:ascii="Arial" w:hAnsi="Arial" w:cs="Arial"/>
          <w:color w:val="000000"/>
          <w:sz w:val="28"/>
          <w:szCs w:val="28"/>
        </w:rPr>
        <w:t>Nebaba</w:t>
      </w:r>
      <w:proofErr w:type="spellEnd"/>
      <w:r w:rsidRPr="00884325">
        <w:rPr>
          <w:rFonts w:ascii="Arial" w:hAnsi="Arial" w:cs="Arial"/>
          <w:color w:val="000000"/>
          <w:sz w:val="28"/>
          <w:szCs w:val="28"/>
        </w:rPr>
        <w:t xml:space="preserve"> et al. (2024), the ability to recognise problems in an initial phase is crucial for operational continuity. This underlines the need for a systematic approach to the </w:t>
      </w:r>
      <w:r w:rsidRPr="00884325">
        <w:rPr>
          <w:rFonts w:ascii="Arial" w:hAnsi="Arial" w:cs="Arial"/>
          <w:color w:val="000000"/>
          <w:sz w:val="28"/>
          <w:szCs w:val="28"/>
        </w:rPr>
        <w:lastRenderedPageBreak/>
        <w:t>identification and resolution of problems, allowing managers to face the challenges before manifesting themselves in major interruptions.</w:t>
      </w:r>
    </w:p>
    <w:p w14:paraId="5E794A32"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 </w:t>
      </w:r>
    </w:p>
    <w:p w14:paraId="6E204457"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 xml:space="preserve">The integration of theoretical paintings surrounding the supply of information significantly improves the ability of a manager to effectively solve problems. The use of details based on data provides the leaders of the La </w:t>
      </w:r>
      <w:proofErr w:type="spellStart"/>
      <w:r w:rsidRPr="00884325">
        <w:rPr>
          <w:rFonts w:ascii="Arial" w:hAnsi="Arial" w:cs="Arial"/>
          <w:color w:val="000000"/>
          <w:sz w:val="28"/>
          <w:szCs w:val="28"/>
        </w:rPr>
        <w:t>Forestrate</w:t>
      </w:r>
      <w:proofErr w:type="spellEnd"/>
      <w:r w:rsidRPr="00884325">
        <w:rPr>
          <w:rFonts w:ascii="Arial" w:hAnsi="Arial" w:cs="Arial"/>
          <w:color w:val="000000"/>
          <w:sz w:val="28"/>
          <w:szCs w:val="28"/>
        </w:rPr>
        <w:t xml:space="preserve"> Restaurant with the ability to anticipate potential problems. Mithas, </w:t>
      </w:r>
      <w:proofErr w:type="spellStart"/>
      <w:r w:rsidRPr="00884325">
        <w:rPr>
          <w:rFonts w:ascii="Arial" w:hAnsi="Arial" w:cs="Arial"/>
          <w:color w:val="000000"/>
          <w:sz w:val="28"/>
          <w:szCs w:val="28"/>
        </w:rPr>
        <w:t>Ramasubbu</w:t>
      </w:r>
      <w:proofErr w:type="spellEnd"/>
      <w:r w:rsidRPr="00884325">
        <w:rPr>
          <w:rFonts w:ascii="Arial" w:hAnsi="Arial" w:cs="Arial"/>
          <w:color w:val="000000"/>
          <w:sz w:val="28"/>
          <w:szCs w:val="28"/>
        </w:rPr>
        <w:t xml:space="preserve"> and </w:t>
      </w:r>
      <w:proofErr w:type="spellStart"/>
      <w:r w:rsidRPr="00884325">
        <w:rPr>
          <w:rFonts w:ascii="Arial" w:hAnsi="Arial" w:cs="Arial"/>
          <w:color w:val="000000"/>
          <w:sz w:val="28"/>
          <w:szCs w:val="28"/>
        </w:rPr>
        <w:t>Sambamurthy</w:t>
      </w:r>
      <w:proofErr w:type="spellEnd"/>
      <w:r w:rsidRPr="00884325">
        <w:rPr>
          <w:rFonts w:ascii="Arial" w:hAnsi="Arial" w:cs="Arial"/>
          <w:color w:val="000000"/>
          <w:sz w:val="28"/>
          <w:szCs w:val="28"/>
        </w:rPr>
        <w:t xml:space="preserve"> (2011) articulated that the understanding of operational metrics and performance indicators offers managers a strategic advantage in the mitigation of distractions. This proactive use of information management not only facilitates a better decision-making process but also promotes a more agile operating environment that can adapt to unexpected circumstances.</w:t>
      </w:r>
    </w:p>
    <w:p w14:paraId="66EAB830"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 </w:t>
      </w:r>
    </w:p>
    <w:p w14:paraId="55A8E992"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In addition, the management of crises effectively constitutes a crucial aspect of restaurant leadership skills. The correlation between crisis management skills and overall managerial efficacy is well documented. Vega (2016) suggests that the weighted training and the professional development in progress are fundamental in cultivating these skills within the restaurant management teams. These development efforts not only improve the crisis management capabilities of individual managers but also contribute to a wider organisational framework that supports effective responses to the challenges both foreseen and unexpected.</w:t>
      </w:r>
    </w:p>
    <w:p w14:paraId="4C15619A"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 </w:t>
      </w:r>
    </w:p>
    <w:p w14:paraId="6B4E296F" w14:textId="0F1D8E1C" w:rsidR="00832AFA" w:rsidRPr="00884325" w:rsidRDefault="004A3EBB" w:rsidP="00832AFA">
      <w:pPr>
        <w:pStyle w:val="NormalWeb"/>
        <w:spacing w:before="0" w:beforeAutospacing="0" w:after="0" w:afterAutospacing="0"/>
        <w:textAlignment w:val="baseline"/>
        <w:rPr>
          <w:rFonts w:ascii="Arial" w:hAnsi="Arial" w:cs="Arial"/>
          <w:color w:val="000000"/>
          <w:sz w:val="28"/>
          <w:szCs w:val="28"/>
        </w:rPr>
      </w:pPr>
      <w:r>
        <w:rPr>
          <w:rFonts w:ascii="Arial" w:hAnsi="Arial" w:cs="Arial"/>
          <w:color w:val="000000"/>
          <w:sz w:val="28"/>
          <w:szCs w:val="28"/>
        </w:rPr>
        <w:t xml:space="preserve"> </w:t>
      </w:r>
      <w:r w:rsidR="00832AFA" w:rsidRPr="00884325">
        <w:rPr>
          <w:rFonts w:ascii="Arial" w:hAnsi="Arial" w:cs="Arial"/>
          <w:color w:val="000000"/>
          <w:sz w:val="28"/>
          <w:szCs w:val="28"/>
        </w:rPr>
        <w:t>The implementation of a structured framework for resolving problems is essential for managerial efficacy. This picture is used to empower managers while simultaneously cultivating an organisational culture that encourages team members to proactively present challenges and collaborate in a collaborative way to resolve problems. Dwivedi et al. (2023) underlined the importance of creating an environment in which staff members feel equipped and supported in performing operational problems, since this promotes a sense of ownership and collective responsibility. A culture of problem resolution feeds an atmosphere of communication and open collaboration, which is essential to successfully deal with operational interruptions.</w:t>
      </w:r>
    </w:p>
    <w:p w14:paraId="30987505"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 </w:t>
      </w:r>
    </w:p>
    <w:p w14:paraId="63CE17A8" w14:textId="295275A8" w:rsidR="00832AFA" w:rsidRPr="00884325" w:rsidRDefault="004A3EBB" w:rsidP="00832AFA">
      <w:pPr>
        <w:pStyle w:val="NormalWeb"/>
        <w:spacing w:before="0" w:beforeAutospacing="0" w:after="0" w:afterAutospacing="0"/>
        <w:textAlignment w:val="baseline"/>
        <w:rPr>
          <w:rFonts w:ascii="Arial" w:hAnsi="Arial" w:cs="Arial"/>
          <w:color w:val="000000"/>
          <w:sz w:val="28"/>
          <w:szCs w:val="28"/>
        </w:rPr>
      </w:pPr>
      <w:r>
        <w:rPr>
          <w:rFonts w:ascii="Arial" w:hAnsi="Arial" w:cs="Arial"/>
          <w:color w:val="000000"/>
          <w:sz w:val="28"/>
          <w:szCs w:val="28"/>
        </w:rPr>
        <w:t xml:space="preserve"> </w:t>
      </w:r>
      <w:r w:rsidR="00832AFA" w:rsidRPr="00884325">
        <w:rPr>
          <w:rFonts w:ascii="Arial" w:hAnsi="Arial" w:cs="Arial"/>
          <w:color w:val="000000"/>
          <w:sz w:val="28"/>
          <w:szCs w:val="28"/>
        </w:rPr>
        <w:t xml:space="preserve">Furthermore, the role of leadership in establishing this framework for the resolution of problems cannot be overrated. Effective restaurant managers must provide an example, demonstrating their commitment to identifying and resolving challenges through transparent communication approaches, active listening, and the resolution of shared problems. Encourage the team dynamics that priority to collaboration and collective intelligence guarantees that the solutions are not exclusively directives </w:t>
      </w:r>
      <w:r w:rsidR="00832AFA" w:rsidRPr="00884325">
        <w:rPr>
          <w:rFonts w:ascii="Arial" w:hAnsi="Arial" w:cs="Arial"/>
          <w:color w:val="000000"/>
          <w:sz w:val="28"/>
          <w:szCs w:val="28"/>
        </w:rPr>
        <w:lastRenderedPageBreak/>
        <w:t>from top to bottom, but rather the result of the inclusive dialogue within the team.</w:t>
      </w:r>
    </w:p>
    <w:p w14:paraId="746E75E0"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 </w:t>
      </w:r>
    </w:p>
    <w:p w14:paraId="4CACF727"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 xml:space="preserve">In summary, the complex interaction between problem resolution, use of information and proactive culture underlines the meaning of an effective resolution of problems in the management of restaurants. The managers who give priority to these components are better positioned to navigate the multifaceted challenges inherent in the sector, at the end to a greater operational resilience and success. In the context of restaurant management, the use of information management systems serves as an essential component in conducting operational success. The integration of technology facilitates the effective rationalisation of processes, thus helping to improve customer engagement and decision-making capacities. </w:t>
      </w:r>
      <w:proofErr w:type="spellStart"/>
      <w:r w:rsidRPr="00884325">
        <w:rPr>
          <w:rFonts w:ascii="Arial" w:hAnsi="Arial" w:cs="Arial"/>
          <w:color w:val="000000"/>
          <w:sz w:val="28"/>
          <w:szCs w:val="28"/>
        </w:rPr>
        <w:t>Galliers</w:t>
      </w:r>
      <w:proofErr w:type="spellEnd"/>
      <w:r w:rsidRPr="00884325">
        <w:rPr>
          <w:rFonts w:ascii="Arial" w:hAnsi="Arial" w:cs="Arial"/>
          <w:color w:val="000000"/>
          <w:sz w:val="28"/>
          <w:szCs w:val="28"/>
        </w:rPr>
        <w:t xml:space="preserve"> and Leidner (2014) pointed out that the strategic management of information is vital for restaurant operators who seek to analyse emerging trends and customer preferences. This analytical approach not only allows better alignment of services with consumer expectations but also stimulates continuous improvement and innovation in the provision of services.</w:t>
      </w:r>
    </w:p>
    <w:p w14:paraId="229278D9"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 </w:t>
      </w:r>
    </w:p>
    <w:p w14:paraId="6832E2F6"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The implementation of robust information and communication technologies (ICT) is increasingly recognised as the best practice in the hotel industry. Law, Buhalis and Cobanoglu (2014) stated that these technologies play a central role in enriching the overall performance of reception organisations, mainly by improving customer experience. For example, the adoption of customer relation management systems (CRM) allows managers to bring together and interpret data concerning the behaviour, preferences and consumer comments. This data -based approach allows the creation of personalised marketing strategies and service offers, ultimately promoting loyalty and customer satisfaction.</w:t>
      </w:r>
    </w:p>
    <w:p w14:paraId="0339F82C"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 </w:t>
      </w:r>
    </w:p>
    <w:p w14:paraId="61F26CAD"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In addition, the role of data analysis in operational decision-making cannot be underestimated. While restaurant directors are faced with various challenges ranging from stock management to personnel planning, taking advantage of information systems to provide usable information is essential. BUHALIS (2003) explains that the meticulous refinement of information management strategies is an integral part of navigation in the complexities inherent in restaurant operations. By using analytical tools that consolidate and visualise operational data, managers can identify models, predict future trends, and make informed decisions that improve efficiency.</w:t>
      </w:r>
    </w:p>
    <w:p w14:paraId="2C4007A3"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 </w:t>
      </w:r>
    </w:p>
    <w:p w14:paraId="2F71BA14" w14:textId="534E09BC" w:rsidR="00832AFA" w:rsidRPr="00884325" w:rsidRDefault="004A3EBB"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lastRenderedPageBreak/>
        <w:t>Real</w:t>
      </w:r>
      <w:r w:rsidR="00832AFA" w:rsidRPr="00884325">
        <w:rPr>
          <w:rFonts w:ascii="Arial" w:hAnsi="Arial" w:cs="Arial"/>
          <w:color w:val="000000"/>
          <w:sz w:val="28"/>
          <w:szCs w:val="28"/>
        </w:rPr>
        <w:t xml:space="preserve"> -time information management has revolutionised how restaurant operations are carried out. Systems that offer real -time monitoring of sales, endowment levels and logistics of the supply chain allow managers to quickly meet the dynamic conditions of the market. This agility guarantees that restaurants can maintain optimal operational standards, reduce waste, and effectively manage costs. The transparent integration of points of sale (POS) systems with inventory and financial management applications illustrates how technological progress can lead to significant improvements in operational surveillance and responsibility.</w:t>
      </w:r>
    </w:p>
    <w:p w14:paraId="38FC5E25"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 </w:t>
      </w:r>
    </w:p>
    <w:p w14:paraId="44B472DB" w14:textId="4D0F00A5"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 xml:space="preserve">In addition, the growing expectations of consumers in terms of transparency and responsiveness require that restaurants adopt information systems that facilitate easy communication and interaction with customers. Improved digital platforms, such as online booking systems and mobile applications, not only rationalise reservations but also provide valuable </w:t>
      </w:r>
      <w:r w:rsidR="004A3EBB" w:rsidRPr="00884325">
        <w:rPr>
          <w:rFonts w:ascii="Arial" w:hAnsi="Arial" w:cs="Arial"/>
          <w:color w:val="000000"/>
          <w:sz w:val="28"/>
          <w:szCs w:val="28"/>
        </w:rPr>
        <w:t>analyses</w:t>
      </w:r>
      <w:r w:rsidRPr="00884325">
        <w:rPr>
          <w:rFonts w:ascii="Arial" w:hAnsi="Arial" w:cs="Arial"/>
          <w:color w:val="000000"/>
          <w:sz w:val="28"/>
          <w:szCs w:val="28"/>
        </w:rPr>
        <w:t xml:space="preserve"> on customer use models. This information helps restaurant directors refine their offers and adapt them to the preferences of their target demographic group.</w:t>
      </w:r>
    </w:p>
    <w:p w14:paraId="59A704FD"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 </w:t>
      </w:r>
    </w:p>
    <w:p w14:paraId="7777380C" w14:textId="77777777" w:rsidR="00832AFA" w:rsidRPr="00884325" w:rsidRDefault="00832AFA" w:rsidP="00832AFA">
      <w:pPr>
        <w:pStyle w:val="NormalWeb"/>
        <w:spacing w:before="0" w:beforeAutospacing="0" w:after="0" w:afterAutospacing="0"/>
        <w:textAlignment w:val="baseline"/>
        <w:rPr>
          <w:rFonts w:ascii="Arial" w:hAnsi="Arial" w:cs="Arial"/>
          <w:color w:val="000000"/>
          <w:sz w:val="28"/>
          <w:szCs w:val="28"/>
        </w:rPr>
      </w:pPr>
      <w:r w:rsidRPr="00884325">
        <w:rPr>
          <w:rFonts w:ascii="Arial" w:hAnsi="Arial" w:cs="Arial"/>
          <w:color w:val="000000"/>
          <w:sz w:val="28"/>
          <w:szCs w:val="28"/>
        </w:rPr>
        <w:t>In summary, the effective management of information systems in the catering industry does not only concern the adoption of technologies but also involves a strategic approach to exploit operational excellence data. While restaurant directors increasingly rely on technology to make informed decisions, continuous improvement in their information management practices will play a crucial role in maintaining a competitive advantage in a rapidly evolving market landscape.</w:t>
      </w:r>
    </w:p>
    <w:p w14:paraId="00D76264" w14:textId="77777777" w:rsidR="00591238" w:rsidRPr="00884325" w:rsidRDefault="00591238">
      <w:pPr>
        <w:rPr>
          <w:rFonts w:ascii="Arial" w:hAnsi="Arial" w:cs="Arial"/>
          <w:sz w:val="28"/>
          <w:szCs w:val="28"/>
        </w:rPr>
      </w:pPr>
    </w:p>
    <w:p w14:paraId="6F4DC2D9" w14:textId="6BA4A356" w:rsidR="00832AFA" w:rsidRPr="00884325" w:rsidRDefault="004A3EBB">
      <w:pPr>
        <w:rPr>
          <w:rFonts w:ascii="Arial" w:hAnsi="Arial" w:cs="Arial"/>
          <w:sz w:val="28"/>
          <w:szCs w:val="28"/>
        </w:rPr>
      </w:pPr>
      <w:r w:rsidRPr="00884325">
        <w:rPr>
          <w:rFonts w:ascii="Arial" w:hAnsi="Arial" w:cs="Arial"/>
          <w:sz w:val="28"/>
          <w:szCs w:val="28"/>
        </w:rPr>
        <w:t>References:</w:t>
      </w:r>
    </w:p>
    <w:p w14:paraId="6C117C92"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proofErr w:type="spellStart"/>
      <w:r w:rsidRPr="00832AFA">
        <w:rPr>
          <w:rFonts w:ascii="Arial" w:eastAsia="Times New Roman" w:hAnsi="Arial" w:cs="Arial"/>
          <w:b/>
          <w:bCs/>
          <w:kern w:val="0"/>
          <w:sz w:val="28"/>
          <w:szCs w:val="28"/>
          <w:lang w:eastAsia="en-GB"/>
          <w14:ligatures w14:val="none"/>
        </w:rPr>
        <w:t>Buhalis</w:t>
      </w:r>
      <w:proofErr w:type="spellEnd"/>
      <w:r w:rsidRPr="00832AFA">
        <w:rPr>
          <w:rFonts w:ascii="Arial" w:eastAsia="Times New Roman" w:hAnsi="Arial" w:cs="Arial"/>
          <w:b/>
          <w:bCs/>
          <w:kern w:val="0"/>
          <w:sz w:val="28"/>
          <w:szCs w:val="28"/>
          <w:lang w:eastAsia="en-GB"/>
          <w14:ligatures w14:val="none"/>
        </w:rPr>
        <w:t>, D., 2003.</w:t>
      </w:r>
      <w:r w:rsidRPr="00832AFA">
        <w:rPr>
          <w:rFonts w:ascii="Arial" w:eastAsia="Times New Roman" w:hAnsi="Arial" w:cs="Arial"/>
          <w:kern w:val="0"/>
          <w:sz w:val="28"/>
          <w:szCs w:val="28"/>
          <w:lang w:eastAsia="en-GB"/>
          <w14:ligatures w14:val="none"/>
        </w:rPr>
        <w:t xml:space="preserve"> </w:t>
      </w:r>
      <w:proofErr w:type="spellStart"/>
      <w:r w:rsidRPr="00832AFA">
        <w:rPr>
          <w:rFonts w:ascii="Arial" w:eastAsia="Times New Roman" w:hAnsi="Arial" w:cs="Arial"/>
          <w:i/>
          <w:iCs/>
          <w:kern w:val="0"/>
          <w:sz w:val="28"/>
          <w:szCs w:val="28"/>
          <w:lang w:eastAsia="en-GB"/>
          <w14:ligatures w14:val="none"/>
        </w:rPr>
        <w:t>eTourism</w:t>
      </w:r>
      <w:proofErr w:type="spellEnd"/>
      <w:r w:rsidRPr="00832AFA">
        <w:rPr>
          <w:rFonts w:ascii="Arial" w:eastAsia="Times New Roman" w:hAnsi="Arial" w:cs="Arial"/>
          <w:i/>
          <w:iCs/>
          <w:kern w:val="0"/>
          <w:sz w:val="28"/>
          <w:szCs w:val="28"/>
          <w:lang w:eastAsia="en-GB"/>
          <w14:ligatures w14:val="none"/>
        </w:rPr>
        <w:t>: Information technology for strategic tourism management.</w:t>
      </w:r>
      <w:r w:rsidRPr="00832AFA">
        <w:rPr>
          <w:rFonts w:ascii="Arial" w:eastAsia="Times New Roman" w:hAnsi="Arial" w:cs="Arial"/>
          <w:kern w:val="0"/>
          <w:sz w:val="28"/>
          <w:szCs w:val="28"/>
          <w:lang w:eastAsia="en-GB"/>
          <w14:ligatures w14:val="none"/>
        </w:rPr>
        <w:t xml:space="preserve"> Pearson Education.</w:t>
      </w:r>
    </w:p>
    <w:p w14:paraId="75E4DB8E"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r w:rsidRPr="00832AFA">
        <w:rPr>
          <w:rFonts w:ascii="Arial" w:eastAsia="Times New Roman" w:hAnsi="Arial" w:cs="Arial"/>
          <w:b/>
          <w:bCs/>
          <w:kern w:val="0"/>
          <w:sz w:val="28"/>
          <w:szCs w:val="28"/>
          <w:lang w:eastAsia="en-GB"/>
          <w14:ligatures w14:val="none"/>
        </w:rPr>
        <w:t>Carroll, B., Levy, L. and Richmond, D., 2008.</w:t>
      </w:r>
      <w:r w:rsidRPr="00832AFA">
        <w:rPr>
          <w:rFonts w:ascii="Arial" w:eastAsia="Times New Roman" w:hAnsi="Arial" w:cs="Arial"/>
          <w:kern w:val="0"/>
          <w:sz w:val="28"/>
          <w:szCs w:val="28"/>
          <w:lang w:eastAsia="en-GB"/>
          <w14:ligatures w14:val="none"/>
        </w:rPr>
        <w:t xml:space="preserve"> Leadership as practice: Challenging the competency paradigm. </w:t>
      </w:r>
      <w:r w:rsidRPr="00832AFA">
        <w:rPr>
          <w:rFonts w:ascii="Arial" w:eastAsia="Times New Roman" w:hAnsi="Arial" w:cs="Arial"/>
          <w:i/>
          <w:iCs/>
          <w:kern w:val="0"/>
          <w:sz w:val="28"/>
          <w:szCs w:val="28"/>
          <w:lang w:eastAsia="en-GB"/>
          <w14:ligatures w14:val="none"/>
        </w:rPr>
        <w:t>Leadership</w:t>
      </w:r>
      <w:r w:rsidRPr="00832AFA">
        <w:rPr>
          <w:rFonts w:ascii="Arial" w:eastAsia="Times New Roman" w:hAnsi="Arial" w:cs="Arial"/>
          <w:kern w:val="0"/>
          <w:sz w:val="28"/>
          <w:szCs w:val="28"/>
          <w:lang w:eastAsia="en-GB"/>
          <w14:ligatures w14:val="none"/>
        </w:rPr>
        <w:t xml:space="preserve">, 4(4), pp.363-379. Available at: </w:t>
      </w:r>
      <w:hyperlink r:id="rId7" w:tgtFrame="_new" w:history="1">
        <w:r w:rsidRPr="00832AFA">
          <w:rPr>
            <w:rFonts w:ascii="Arial" w:eastAsia="Times New Roman" w:hAnsi="Arial" w:cs="Arial"/>
            <w:color w:val="0000FF"/>
            <w:kern w:val="0"/>
            <w:sz w:val="28"/>
            <w:szCs w:val="28"/>
            <w:u w:val="single"/>
            <w:lang w:eastAsia="en-GB"/>
            <w14:ligatures w14:val="none"/>
          </w:rPr>
          <w:t>https://journals.sagepub.com/doi/abs/10.1177/1742715008095186</w:t>
        </w:r>
      </w:hyperlink>
    </w:p>
    <w:p w14:paraId="67C7D3CA"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r w:rsidRPr="00832AFA">
        <w:rPr>
          <w:rFonts w:ascii="Arial" w:eastAsia="Times New Roman" w:hAnsi="Arial" w:cs="Arial"/>
          <w:b/>
          <w:bCs/>
          <w:kern w:val="0"/>
          <w:sz w:val="28"/>
          <w:szCs w:val="28"/>
          <w:lang w:eastAsia="en-GB"/>
          <w14:ligatures w14:val="none"/>
        </w:rPr>
        <w:t>Cheng, M., 2016.</w:t>
      </w:r>
      <w:r w:rsidRPr="00832AFA">
        <w:rPr>
          <w:rFonts w:ascii="Arial" w:eastAsia="Times New Roman" w:hAnsi="Arial" w:cs="Arial"/>
          <w:kern w:val="0"/>
          <w:sz w:val="28"/>
          <w:szCs w:val="28"/>
          <w:lang w:eastAsia="en-GB"/>
          <w14:ligatures w14:val="none"/>
        </w:rPr>
        <w:t xml:space="preserve"> Sharing economy: A review and agenda for future research. </w:t>
      </w:r>
      <w:r w:rsidRPr="00832AFA">
        <w:rPr>
          <w:rFonts w:ascii="Arial" w:eastAsia="Times New Roman" w:hAnsi="Arial" w:cs="Arial"/>
          <w:i/>
          <w:iCs/>
          <w:kern w:val="0"/>
          <w:sz w:val="28"/>
          <w:szCs w:val="28"/>
          <w:lang w:eastAsia="en-GB"/>
          <w14:ligatures w14:val="none"/>
        </w:rPr>
        <w:t>International Journal of Hospitality Management</w:t>
      </w:r>
      <w:r w:rsidRPr="00832AFA">
        <w:rPr>
          <w:rFonts w:ascii="Arial" w:eastAsia="Times New Roman" w:hAnsi="Arial" w:cs="Arial"/>
          <w:kern w:val="0"/>
          <w:sz w:val="28"/>
          <w:szCs w:val="28"/>
          <w:lang w:eastAsia="en-GB"/>
          <w14:ligatures w14:val="none"/>
        </w:rPr>
        <w:t xml:space="preserve">, 57, pp.60-70. Available at: </w:t>
      </w:r>
      <w:hyperlink r:id="rId8" w:tgtFrame="_new" w:history="1">
        <w:r w:rsidRPr="00832AFA">
          <w:rPr>
            <w:rFonts w:ascii="Arial" w:eastAsia="Times New Roman" w:hAnsi="Arial" w:cs="Arial"/>
            <w:color w:val="0000FF"/>
            <w:kern w:val="0"/>
            <w:sz w:val="28"/>
            <w:szCs w:val="28"/>
            <w:u w:val="single"/>
            <w:lang w:eastAsia="en-GB"/>
            <w14:ligatures w14:val="none"/>
          </w:rPr>
          <w:t>https://www.sciencedirect.com/science/article/pii/S0278431916300743</w:t>
        </w:r>
      </w:hyperlink>
    </w:p>
    <w:p w14:paraId="7814DA4D"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r w:rsidRPr="00832AFA">
        <w:rPr>
          <w:rFonts w:ascii="Arial" w:eastAsia="Times New Roman" w:hAnsi="Arial" w:cs="Arial"/>
          <w:b/>
          <w:bCs/>
          <w:kern w:val="0"/>
          <w:sz w:val="28"/>
          <w:szCs w:val="28"/>
          <w:lang w:eastAsia="en-GB"/>
          <w14:ligatures w14:val="none"/>
        </w:rPr>
        <w:lastRenderedPageBreak/>
        <w:t>Chi-Hung, F. and Tsui-Hua, C., 2024.</w:t>
      </w:r>
      <w:r w:rsidRPr="00832AFA">
        <w:rPr>
          <w:rFonts w:ascii="Arial" w:eastAsia="Times New Roman" w:hAnsi="Arial" w:cs="Arial"/>
          <w:kern w:val="0"/>
          <w:sz w:val="28"/>
          <w:szCs w:val="28"/>
          <w:lang w:eastAsia="en-GB"/>
          <w14:ligatures w14:val="none"/>
        </w:rPr>
        <w:t xml:space="preserve"> Navigating the Past, Present, and Future of Taiwan's Restaurant Management Education: An In-depth Analysis. </w:t>
      </w:r>
      <w:r w:rsidRPr="00832AFA">
        <w:rPr>
          <w:rFonts w:ascii="Arial" w:eastAsia="Times New Roman" w:hAnsi="Arial" w:cs="Arial"/>
          <w:i/>
          <w:iCs/>
          <w:kern w:val="0"/>
          <w:sz w:val="28"/>
          <w:szCs w:val="28"/>
          <w:lang w:eastAsia="en-GB"/>
          <w14:ligatures w14:val="none"/>
        </w:rPr>
        <w:t>Journal of Buddhist Education and Research (JBER)</w:t>
      </w:r>
      <w:r w:rsidRPr="00832AFA">
        <w:rPr>
          <w:rFonts w:ascii="Arial" w:eastAsia="Times New Roman" w:hAnsi="Arial" w:cs="Arial"/>
          <w:kern w:val="0"/>
          <w:sz w:val="28"/>
          <w:szCs w:val="28"/>
          <w:lang w:eastAsia="en-GB"/>
          <w14:ligatures w14:val="none"/>
        </w:rPr>
        <w:t xml:space="preserve">, 10(4), pp.130-141. Available at: </w:t>
      </w:r>
      <w:hyperlink r:id="rId9" w:tgtFrame="_new" w:history="1">
        <w:r w:rsidRPr="00832AFA">
          <w:rPr>
            <w:rFonts w:ascii="Arial" w:eastAsia="Times New Roman" w:hAnsi="Arial" w:cs="Arial"/>
            <w:color w:val="0000FF"/>
            <w:kern w:val="0"/>
            <w:sz w:val="28"/>
            <w:szCs w:val="28"/>
            <w:u w:val="single"/>
            <w:lang w:eastAsia="en-GB"/>
            <w14:ligatures w14:val="none"/>
          </w:rPr>
          <w:t>https://so06.tci-thaijo.org/index.php/jber/article/view/278474</w:t>
        </w:r>
      </w:hyperlink>
    </w:p>
    <w:p w14:paraId="5307A7B8"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r w:rsidRPr="00832AFA">
        <w:rPr>
          <w:rFonts w:ascii="Arial" w:eastAsia="Times New Roman" w:hAnsi="Arial" w:cs="Arial"/>
          <w:b/>
          <w:bCs/>
          <w:kern w:val="0"/>
          <w:sz w:val="28"/>
          <w:szCs w:val="28"/>
          <w:lang w:eastAsia="en-GB"/>
          <w14:ligatures w14:val="none"/>
        </w:rPr>
        <w:t>Christou, E., 2016.</w:t>
      </w:r>
      <w:r w:rsidRPr="00832AFA">
        <w:rPr>
          <w:rFonts w:ascii="Arial" w:eastAsia="Times New Roman" w:hAnsi="Arial" w:cs="Arial"/>
          <w:kern w:val="0"/>
          <w:sz w:val="28"/>
          <w:szCs w:val="28"/>
          <w:lang w:eastAsia="en-GB"/>
          <w14:ligatures w14:val="none"/>
        </w:rPr>
        <w:t xml:space="preserve"> </w:t>
      </w:r>
      <w:r w:rsidRPr="00832AFA">
        <w:rPr>
          <w:rFonts w:ascii="Arial" w:eastAsia="Times New Roman" w:hAnsi="Arial" w:cs="Arial"/>
          <w:i/>
          <w:iCs/>
          <w:kern w:val="0"/>
          <w:sz w:val="28"/>
          <w:szCs w:val="28"/>
          <w:lang w:eastAsia="en-GB"/>
          <w14:ligatures w14:val="none"/>
        </w:rPr>
        <w:t>Social media in travel, tourism and hospitality: Theory, practice and cases.</w:t>
      </w:r>
      <w:r w:rsidRPr="00832AFA">
        <w:rPr>
          <w:rFonts w:ascii="Arial" w:eastAsia="Times New Roman" w:hAnsi="Arial" w:cs="Arial"/>
          <w:kern w:val="0"/>
          <w:sz w:val="28"/>
          <w:szCs w:val="28"/>
          <w:lang w:eastAsia="en-GB"/>
          <w14:ligatures w14:val="none"/>
        </w:rPr>
        <w:t xml:space="preserve"> Routledge. Available at: </w:t>
      </w:r>
      <w:hyperlink r:id="rId10" w:tgtFrame="_new" w:history="1">
        <w:r w:rsidRPr="00832AFA">
          <w:rPr>
            <w:rFonts w:ascii="Arial" w:eastAsia="Times New Roman" w:hAnsi="Arial" w:cs="Arial"/>
            <w:color w:val="0000FF"/>
            <w:kern w:val="0"/>
            <w:sz w:val="28"/>
            <w:szCs w:val="28"/>
            <w:u w:val="single"/>
            <w:lang w:eastAsia="en-GB"/>
            <w14:ligatures w14:val="none"/>
          </w:rPr>
          <w:t>https://books.google.com/books?hl=en&amp;lr=&amp;id=HefeCwAAQBAJ</w:t>
        </w:r>
      </w:hyperlink>
    </w:p>
    <w:p w14:paraId="67BA1F79"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r w:rsidRPr="00832AFA">
        <w:rPr>
          <w:rFonts w:ascii="Arial" w:eastAsia="Times New Roman" w:hAnsi="Arial" w:cs="Arial"/>
          <w:b/>
          <w:bCs/>
          <w:kern w:val="0"/>
          <w:sz w:val="28"/>
          <w:szCs w:val="28"/>
          <w:lang w:eastAsia="en-GB"/>
          <w14:ligatures w14:val="none"/>
        </w:rPr>
        <w:t xml:space="preserve">Desouza, K.C. and </w:t>
      </w:r>
      <w:proofErr w:type="spellStart"/>
      <w:r w:rsidRPr="00832AFA">
        <w:rPr>
          <w:rFonts w:ascii="Arial" w:eastAsia="Times New Roman" w:hAnsi="Arial" w:cs="Arial"/>
          <w:b/>
          <w:bCs/>
          <w:kern w:val="0"/>
          <w:sz w:val="28"/>
          <w:szCs w:val="28"/>
          <w:lang w:eastAsia="en-GB"/>
          <w14:ligatures w14:val="none"/>
        </w:rPr>
        <w:t>Awazu</w:t>
      </w:r>
      <w:proofErr w:type="spellEnd"/>
      <w:r w:rsidRPr="00832AFA">
        <w:rPr>
          <w:rFonts w:ascii="Arial" w:eastAsia="Times New Roman" w:hAnsi="Arial" w:cs="Arial"/>
          <w:b/>
          <w:bCs/>
          <w:kern w:val="0"/>
          <w:sz w:val="28"/>
          <w:szCs w:val="28"/>
          <w:lang w:eastAsia="en-GB"/>
          <w14:ligatures w14:val="none"/>
        </w:rPr>
        <w:t>, Y., 2006.</w:t>
      </w:r>
      <w:r w:rsidRPr="00832AFA">
        <w:rPr>
          <w:rFonts w:ascii="Arial" w:eastAsia="Times New Roman" w:hAnsi="Arial" w:cs="Arial"/>
          <w:kern w:val="0"/>
          <w:sz w:val="28"/>
          <w:szCs w:val="28"/>
          <w:lang w:eastAsia="en-GB"/>
          <w14:ligatures w14:val="none"/>
        </w:rPr>
        <w:t xml:space="preserve"> Knowledge management at SMEs: five peculiarities. </w:t>
      </w:r>
      <w:r w:rsidRPr="00832AFA">
        <w:rPr>
          <w:rFonts w:ascii="Arial" w:eastAsia="Times New Roman" w:hAnsi="Arial" w:cs="Arial"/>
          <w:i/>
          <w:iCs/>
          <w:kern w:val="0"/>
          <w:sz w:val="28"/>
          <w:szCs w:val="28"/>
          <w:lang w:eastAsia="en-GB"/>
          <w14:ligatures w14:val="none"/>
        </w:rPr>
        <w:t>Journal of Knowledge Management</w:t>
      </w:r>
      <w:r w:rsidRPr="00832AFA">
        <w:rPr>
          <w:rFonts w:ascii="Arial" w:eastAsia="Times New Roman" w:hAnsi="Arial" w:cs="Arial"/>
          <w:kern w:val="0"/>
          <w:sz w:val="28"/>
          <w:szCs w:val="28"/>
          <w:lang w:eastAsia="en-GB"/>
          <w14:ligatures w14:val="none"/>
        </w:rPr>
        <w:t xml:space="preserve">, 10(1), pp.32-43. Available at: </w:t>
      </w:r>
      <w:hyperlink r:id="rId11" w:tgtFrame="_new" w:history="1">
        <w:r w:rsidRPr="00832AFA">
          <w:rPr>
            <w:rFonts w:ascii="Arial" w:eastAsia="Times New Roman" w:hAnsi="Arial" w:cs="Arial"/>
            <w:color w:val="0000FF"/>
            <w:kern w:val="0"/>
            <w:sz w:val="28"/>
            <w:szCs w:val="28"/>
            <w:u w:val="single"/>
            <w:lang w:eastAsia="en-GB"/>
            <w14:ligatures w14:val="none"/>
          </w:rPr>
          <w:t>https://www.emerald.com/insight/content/doi/10.1108/13673270610650085/full/html</w:t>
        </w:r>
      </w:hyperlink>
    </w:p>
    <w:p w14:paraId="6A5658CB"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r w:rsidRPr="00832AFA">
        <w:rPr>
          <w:rFonts w:ascii="Arial" w:eastAsia="Times New Roman" w:hAnsi="Arial" w:cs="Arial"/>
          <w:b/>
          <w:bCs/>
          <w:kern w:val="0"/>
          <w:sz w:val="28"/>
          <w:szCs w:val="28"/>
          <w:lang w:eastAsia="en-GB"/>
          <w14:ligatures w14:val="none"/>
        </w:rPr>
        <w:t>Dinnie, K., 2015.</w:t>
      </w:r>
      <w:r w:rsidRPr="00832AFA">
        <w:rPr>
          <w:rFonts w:ascii="Arial" w:eastAsia="Times New Roman" w:hAnsi="Arial" w:cs="Arial"/>
          <w:kern w:val="0"/>
          <w:sz w:val="28"/>
          <w:szCs w:val="28"/>
          <w:lang w:eastAsia="en-GB"/>
          <w14:ligatures w14:val="none"/>
        </w:rPr>
        <w:t xml:space="preserve"> </w:t>
      </w:r>
      <w:r w:rsidRPr="00832AFA">
        <w:rPr>
          <w:rFonts w:ascii="Arial" w:eastAsia="Times New Roman" w:hAnsi="Arial" w:cs="Arial"/>
          <w:i/>
          <w:iCs/>
          <w:kern w:val="0"/>
          <w:sz w:val="28"/>
          <w:szCs w:val="28"/>
          <w:lang w:eastAsia="en-GB"/>
          <w14:ligatures w14:val="none"/>
        </w:rPr>
        <w:t>Nation branding: Concepts, issues, practice.</w:t>
      </w:r>
      <w:r w:rsidRPr="00832AFA">
        <w:rPr>
          <w:rFonts w:ascii="Arial" w:eastAsia="Times New Roman" w:hAnsi="Arial" w:cs="Arial"/>
          <w:kern w:val="0"/>
          <w:sz w:val="28"/>
          <w:szCs w:val="28"/>
          <w:lang w:eastAsia="en-GB"/>
          <w14:ligatures w14:val="none"/>
        </w:rPr>
        <w:t xml:space="preserve"> Routledge. Available at: </w:t>
      </w:r>
      <w:hyperlink r:id="rId12" w:tgtFrame="_new" w:history="1">
        <w:r w:rsidRPr="00832AFA">
          <w:rPr>
            <w:rFonts w:ascii="Arial" w:eastAsia="Times New Roman" w:hAnsi="Arial" w:cs="Arial"/>
            <w:color w:val="0000FF"/>
            <w:kern w:val="0"/>
            <w:sz w:val="28"/>
            <w:szCs w:val="28"/>
            <w:u w:val="single"/>
            <w:lang w:eastAsia="en-GB"/>
            <w14:ligatures w14:val="none"/>
          </w:rPr>
          <w:t>https://www.taylorfrancis.com/books/mono/10.4324/9781315773612/nation-branding-keith-dinnie</w:t>
        </w:r>
      </w:hyperlink>
    </w:p>
    <w:p w14:paraId="0D995CE9"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r w:rsidRPr="00832AFA">
        <w:rPr>
          <w:rFonts w:ascii="Arial" w:eastAsia="Times New Roman" w:hAnsi="Arial" w:cs="Arial"/>
          <w:b/>
          <w:bCs/>
          <w:kern w:val="0"/>
          <w:sz w:val="28"/>
          <w:szCs w:val="28"/>
          <w:lang w:eastAsia="en-GB"/>
          <w14:ligatures w14:val="none"/>
        </w:rPr>
        <w:t>Dwivedi, Y.K. et al., 2023.</w:t>
      </w:r>
      <w:r w:rsidRPr="00832AFA">
        <w:rPr>
          <w:rFonts w:ascii="Arial" w:eastAsia="Times New Roman" w:hAnsi="Arial" w:cs="Arial"/>
          <w:kern w:val="0"/>
          <w:sz w:val="28"/>
          <w:szCs w:val="28"/>
          <w:lang w:eastAsia="en-GB"/>
          <w14:ligatures w14:val="none"/>
        </w:rPr>
        <w:t xml:space="preserve"> Opinion Paper: “So what if ChatGPT wrote it?” Multidisciplinary perspectives on opportunities, challenges and implications of generative conversational AI for research, practice and policy. </w:t>
      </w:r>
      <w:r w:rsidRPr="00832AFA">
        <w:rPr>
          <w:rFonts w:ascii="Arial" w:eastAsia="Times New Roman" w:hAnsi="Arial" w:cs="Arial"/>
          <w:i/>
          <w:iCs/>
          <w:kern w:val="0"/>
          <w:sz w:val="28"/>
          <w:szCs w:val="28"/>
          <w:lang w:eastAsia="en-GB"/>
          <w14:ligatures w14:val="none"/>
        </w:rPr>
        <w:t>International Journal of Information Management</w:t>
      </w:r>
      <w:r w:rsidRPr="00832AFA">
        <w:rPr>
          <w:rFonts w:ascii="Arial" w:eastAsia="Times New Roman" w:hAnsi="Arial" w:cs="Arial"/>
          <w:kern w:val="0"/>
          <w:sz w:val="28"/>
          <w:szCs w:val="28"/>
          <w:lang w:eastAsia="en-GB"/>
          <w14:ligatures w14:val="none"/>
        </w:rPr>
        <w:t xml:space="preserve">, 71, p.102642. Available at: </w:t>
      </w:r>
      <w:hyperlink r:id="rId13" w:tgtFrame="_new" w:history="1">
        <w:r w:rsidRPr="00832AFA">
          <w:rPr>
            <w:rFonts w:ascii="Arial" w:eastAsia="Times New Roman" w:hAnsi="Arial" w:cs="Arial"/>
            <w:color w:val="0000FF"/>
            <w:kern w:val="0"/>
            <w:sz w:val="28"/>
            <w:szCs w:val="28"/>
            <w:u w:val="single"/>
            <w:lang w:eastAsia="en-GB"/>
            <w14:ligatures w14:val="none"/>
          </w:rPr>
          <w:t>https://www.sciencedirect.com/science/article/pii/S0268401223000233</w:t>
        </w:r>
      </w:hyperlink>
    </w:p>
    <w:p w14:paraId="4F8DFF1B"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proofErr w:type="spellStart"/>
      <w:r w:rsidRPr="00832AFA">
        <w:rPr>
          <w:rFonts w:ascii="Arial" w:eastAsia="Times New Roman" w:hAnsi="Arial" w:cs="Arial"/>
          <w:b/>
          <w:bCs/>
          <w:kern w:val="0"/>
          <w:sz w:val="28"/>
          <w:szCs w:val="28"/>
          <w:lang w:eastAsia="en-GB"/>
          <w14:ligatures w14:val="none"/>
        </w:rPr>
        <w:t>Galliers</w:t>
      </w:r>
      <w:proofErr w:type="spellEnd"/>
      <w:r w:rsidRPr="00832AFA">
        <w:rPr>
          <w:rFonts w:ascii="Arial" w:eastAsia="Times New Roman" w:hAnsi="Arial" w:cs="Arial"/>
          <w:b/>
          <w:bCs/>
          <w:kern w:val="0"/>
          <w:sz w:val="28"/>
          <w:szCs w:val="28"/>
          <w:lang w:eastAsia="en-GB"/>
          <w14:ligatures w14:val="none"/>
        </w:rPr>
        <w:t>, R.D. and Leidner, D.E., 2014.</w:t>
      </w:r>
      <w:r w:rsidRPr="00832AFA">
        <w:rPr>
          <w:rFonts w:ascii="Arial" w:eastAsia="Times New Roman" w:hAnsi="Arial" w:cs="Arial"/>
          <w:kern w:val="0"/>
          <w:sz w:val="28"/>
          <w:szCs w:val="28"/>
          <w:lang w:eastAsia="en-GB"/>
          <w14:ligatures w14:val="none"/>
        </w:rPr>
        <w:t xml:space="preserve"> </w:t>
      </w:r>
      <w:r w:rsidRPr="00832AFA">
        <w:rPr>
          <w:rFonts w:ascii="Arial" w:eastAsia="Times New Roman" w:hAnsi="Arial" w:cs="Arial"/>
          <w:i/>
          <w:iCs/>
          <w:kern w:val="0"/>
          <w:sz w:val="28"/>
          <w:szCs w:val="28"/>
          <w:lang w:eastAsia="en-GB"/>
          <w14:ligatures w14:val="none"/>
        </w:rPr>
        <w:t>Strategic information management: Challenges and strategies in managing information systems.</w:t>
      </w:r>
      <w:r w:rsidRPr="00832AFA">
        <w:rPr>
          <w:rFonts w:ascii="Arial" w:eastAsia="Times New Roman" w:hAnsi="Arial" w:cs="Arial"/>
          <w:kern w:val="0"/>
          <w:sz w:val="28"/>
          <w:szCs w:val="28"/>
          <w:lang w:eastAsia="en-GB"/>
          <w14:ligatures w14:val="none"/>
        </w:rPr>
        <w:t xml:space="preserve"> Routledge. Available at: </w:t>
      </w:r>
      <w:hyperlink r:id="rId14" w:tgtFrame="_new" w:history="1">
        <w:r w:rsidRPr="00832AFA">
          <w:rPr>
            <w:rFonts w:ascii="Arial" w:eastAsia="Times New Roman" w:hAnsi="Arial" w:cs="Arial"/>
            <w:color w:val="0000FF"/>
            <w:kern w:val="0"/>
            <w:sz w:val="28"/>
            <w:szCs w:val="28"/>
            <w:u w:val="single"/>
            <w:lang w:eastAsia="en-GB"/>
            <w14:ligatures w14:val="none"/>
          </w:rPr>
          <w:t>https://www.taylorfrancis.com/books/mono/10.4324/9781315880884</w:t>
        </w:r>
      </w:hyperlink>
    </w:p>
    <w:p w14:paraId="15808BF3"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r w:rsidRPr="00832AFA">
        <w:rPr>
          <w:rFonts w:ascii="Arial" w:eastAsia="Times New Roman" w:hAnsi="Arial" w:cs="Arial"/>
          <w:b/>
          <w:bCs/>
          <w:kern w:val="0"/>
          <w:sz w:val="28"/>
          <w:szCs w:val="28"/>
          <w:lang w:eastAsia="en-GB"/>
          <w14:ligatures w14:val="none"/>
        </w:rPr>
        <w:t>Hughes, J.C. and Rog, E., 2008.</w:t>
      </w:r>
      <w:r w:rsidRPr="00832AFA">
        <w:rPr>
          <w:rFonts w:ascii="Arial" w:eastAsia="Times New Roman" w:hAnsi="Arial" w:cs="Arial"/>
          <w:kern w:val="0"/>
          <w:sz w:val="28"/>
          <w:szCs w:val="28"/>
          <w:lang w:eastAsia="en-GB"/>
          <w14:ligatures w14:val="none"/>
        </w:rPr>
        <w:t xml:space="preserve"> Talent management: A strategy for improving employee recruitment, retention and engagement within hospitality organizations. </w:t>
      </w:r>
      <w:r w:rsidRPr="00832AFA">
        <w:rPr>
          <w:rFonts w:ascii="Arial" w:eastAsia="Times New Roman" w:hAnsi="Arial" w:cs="Arial"/>
          <w:i/>
          <w:iCs/>
          <w:kern w:val="0"/>
          <w:sz w:val="28"/>
          <w:szCs w:val="28"/>
          <w:lang w:eastAsia="en-GB"/>
          <w14:ligatures w14:val="none"/>
        </w:rPr>
        <w:t>International Journal of Contemporary Hospitality Management</w:t>
      </w:r>
      <w:r w:rsidRPr="00832AFA">
        <w:rPr>
          <w:rFonts w:ascii="Arial" w:eastAsia="Times New Roman" w:hAnsi="Arial" w:cs="Arial"/>
          <w:kern w:val="0"/>
          <w:sz w:val="28"/>
          <w:szCs w:val="28"/>
          <w:lang w:eastAsia="en-GB"/>
          <w14:ligatures w14:val="none"/>
        </w:rPr>
        <w:t xml:space="preserve">, 20(7), pp.743-757. Available at: </w:t>
      </w:r>
      <w:hyperlink r:id="rId15" w:tgtFrame="_new" w:history="1">
        <w:r w:rsidRPr="00832AFA">
          <w:rPr>
            <w:rFonts w:ascii="Arial" w:eastAsia="Times New Roman" w:hAnsi="Arial" w:cs="Arial"/>
            <w:color w:val="0000FF"/>
            <w:kern w:val="0"/>
            <w:sz w:val="28"/>
            <w:szCs w:val="28"/>
            <w:u w:val="single"/>
            <w:lang w:eastAsia="en-GB"/>
            <w14:ligatures w14:val="none"/>
          </w:rPr>
          <w:t>https://www.emerald.com/insight/content/doi/10.1108/09596110810899086/full/ht</w:t>
        </w:r>
      </w:hyperlink>
    </w:p>
    <w:p w14:paraId="7F859448"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proofErr w:type="spellStart"/>
      <w:r w:rsidRPr="00832AFA">
        <w:rPr>
          <w:rFonts w:ascii="Arial" w:eastAsia="Times New Roman" w:hAnsi="Arial" w:cs="Arial"/>
          <w:b/>
          <w:bCs/>
          <w:kern w:val="0"/>
          <w:sz w:val="28"/>
          <w:szCs w:val="28"/>
          <w:lang w:eastAsia="en-GB"/>
          <w14:ligatures w14:val="none"/>
        </w:rPr>
        <w:t>Kandampully</w:t>
      </w:r>
      <w:proofErr w:type="spellEnd"/>
      <w:r w:rsidRPr="00832AFA">
        <w:rPr>
          <w:rFonts w:ascii="Arial" w:eastAsia="Times New Roman" w:hAnsi="Arial" w:cs="Arial"/>
          <w:b/>
          <w:bCs/>
          <w:kern w:val="0"/>
          <w:sz w:val="28"/>
          <w:szCs w:val="28"/>
          <w:lang w:eastAsia="en-GB"/>
          <w14:ligatures w14:val="none"/>
        </w:rPr>
        <w:t>, J., Zhang, T. and Jaakkola, E., 2018.</w:t>
      </w:r>
      <w:r w:rsidRPr="00832AFA">
        <w:rPr>
          <w:rFonts w:ascii="Arial" w:eastAsia="Times New Roman" w:hAnsi="Arial" w:cs="Arial"/>
          <w:kern w:val="0"/>
          <w:sz w:val="28"/>
          <w:szCs w:val="28"/>
          <w:lang w:eastAsia="en-GB"/>
          <w14:ligatures w14:val="none"/>
        </w:rPr>
        <w:t xml:space="preserve"> Customer experience management in hospitality: A literature synthesis, new understanding and research agenda. </w:t>
      </w:r>
      <w:r w:rsidRPr="00832AFA">
        <w:rPr>
          <w:rFonts w:ascii="Arial" w:eastAsia="Times New Roman" w:hAnsi="Arial" w:cs="Arial"/>
          <w:i/>
          <w:iCs/>
          <w:kern w:val="0"/>
          <w:sz w:val="28"/>
          <w:szCs w:val="28"/>
          <w:lang w:eastAsia="en-GB"/>
          <w14:ligatures w14:val="none"/>
        </w:rPr>
        <w:t>International Journal of Contemporary Hospitality Management</w:t>
      </w:r>
      <w:r w:rsidRPr="00832AFA">
        <w:rPr>
          <w:rFonts w:ascii="Arial" w:eastAsia="Times New Roman" w:hAnsi="Arial" w:cs="Arial"/>
          <w:kern w:val="0"/>
          <w:sz w:val="28"/>
          <w:szCs w:val="28"/>
          <w:lang w:eastAsia="en-GB"/>
          <w14:ligatures w14:val="none"/>
        </w:rPr>
        <w:t xml:space="preserve">, 30(1), pp.21-56. Available at: </w:t>
      </w:r>
      <w:hyperlink r:id="rId16" w:tgtFrame="_new" w:history="1">
        <w:r w:rsidRPr="00832AFA">
          <w:rPr>
            <w:rFonts w:ascii="Arial" w:eastAsia="Times New Roman" w:hAnsi="Arial" w:cs="Arial"/>
            <w:color w:val="0000FF"/>
            <w:kern w:val="0"/>
            <w:sz w:val="28"/>
            <w:szCs w:val="28"/>
            <w:u w:val="single"/>
            <w:lang w:eastAsia="en-GB"/>
            <w14:ligatures w14:val="none"/>
          </w:rPr>
          <w:t>https://www.emerald.com/insight/content/doi/10.1108/ijchm-10-2015-0549/full/html</w:t>
        </w:r>
      </w:hyperlink>
    </w:p>
    <w:p w14:paraId="42969866"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proofErr w:type="spellStart"/>
      <w:r w:rsidRPr="00832AFA">
        <w:rPr>
          <w:rFonts w:ascii="Arial" w:eastAsia="Times New Roman" w:hAnsi="Arial" w:cs="Arial"/>
          <w:b/>
          <w:bCs/>
          <w:kern w:val="0"/>
          <w:sz w:val="28"/>
          <w:szCs w:val="28"/>
          <w:lang w:eastAsia="en-GB"/>
          <w14:ligatures w14:val="none"/>
        </w:rPr>
        <w:t>Kusluvan</w:t>
      </w:r>
      <w:proofErr w:type="spellEnd"/>
      <w:r w:rsidRPr="00832AFA">
        <w:rPr>
          <w:rFonts w:ascii="Arial" w:eastAsia="Times New Roman" w:hAnsi="Arial" w:cs="Arial"/>
          <w:b/>
          <w:bCs/>
          <w:kern w:val="0"/>
          <w:sz w:val="28"/>
          <w:szCs w:val="28"/>
          <w:lang w:eastAsia="en-GB"/>
          <w14:ligatures w14:val="none"/>
        </w:rPr>
        <w:t xml:space="preserve">, S., </w:t>
      </w:r>
      <w:proofErr w:type="spellStart"/>
      <w:r w:rsidRPr="00832AFA">
        <w:rPr>
          <w:rFonts w:ascii="Arial" w:eastAsia="Times New Roman" w:hAnsi="Arial" w:cs="Arial"/>
          <w:b/>
          <w:bCs/>
          <w:kern w:val="0"/>
          <w:sz w:val="28"/>
          <w:szCs w:val="28"/>
          <w:lang w:eastAsia="en-GB"/>
          <w14:ligatures w14:val="none"/>
        </w:rPr>
        <w:t>Kusluvan</w:t>
      </w:r>
      <w:proofErr w:type="spellEnd"/>
      <w:r w:rsidRPr="00832AFA">
        <w:rPr>
          <w:rFonts w:ascii="Arial" w:eastAsia="Times New Roman" w:hAnsi="Arial" w:cs="Arial"/>
          <w:b/>
          <w:bCs/>
          <w:kern w:val="0"/>
          <w:sz w:val="28"/>
          <w:szCs w:val="28"/>
          <w:lang w:eastAsia="en-GB"/>
          <w14:ligatures w14:val="none"/>
        </w:rPr>
        <w:t xml:space="preserve">, Z., Ilhan, I. and </w:t>
      </w:r>
      <w:proofErr w:type="spellStart"/>
      <w:r w:rsidRPr="00832AFA">
        <w:rPr>
          <w:rFonts w:ascii="Arial" w:eastAsia="Times New Roman" w:hAnsi="Arial" w:cs="Arial"/>
          <w:b/>
          <w:bCs/>
          <w:kern w:val="0"/>
          <w:sz w:val="28"/>
          <w:szCs w:val="28"/>
          <w:lang w:eastAsia="en-GB"/>
          <w14:ligatures w14:val="none"/>
        </w:rPr>
        <w:t>Buyruk</w:t>
      </w:r>
      <w:proofErr w:type="spellEnd"/>
      <w:r w:rsidRPr="00832AFA">
        <w:rPr>
          <w:rFonts w:ascii="Arial" w:eastAsia="Times New Roman" w:hAnsi="Arial" w:cs="Arial"/>
          <w:b/>
          <w:bCs/>
          <w:kern w:val="0"/>
          <w:sz w:val="28"/>
          <w:szCs w:val="28"/>
          <w:lang w:eastAsia="en-GB"/>
          <w14:ligatures w14:val="none"/>
        </w:rPr>
        <w:t>, L., 2010.</w:t>
      </w:r>
      <w:r w:rsidRPr="00832AFA">
        <w:rPr>
          <w:rFonts w:ascii="Arial" w:eastAsia="Times New Roman" w:hAnsi="Arial" w:cs="Arial"/>
          <w:kern w:val="0"/>
          <w:sz w:val="28"/>
          <w:szCs w:val="28"/>
          <w:lang w:eastAsia="en-GB"/>
          <w14:ligatures w14:val="none"/>
        </w:rPr>
        <w:t xml:space="preserve"> The human dimension: A review of human resources management issues in the tourism and hospitality industry. </w:t>
      </w:r>
      <w:r w:rsidRPr="00832AFA">
        <w:rPr>
          <w:rFonts w:ascii="Arial" w:eastAsia="Times New Roman" w:hAnsi="Arial" w:cs="Arial"/>
          <w:i/>
          <w:iCs/>
          <w:kern w:val="0"/>
          <w:sz w:val="28"/>
          <w:szCs w:val="28"/>
          <w:lang w:eastAsia="en-GB"/>
          <w14:ligatures w14:val="none"/>
        </w:rPr>
        <w:t>Cornell Hospitality Quarterly</w:t>
      </w:r>
      <w:r w:rsidRPr="00832AFA">
        <w:rPr>
          <w:rFonts w:ascii="Arial" w:eastAsia="Times New Roman" w:hAnsi="Arial" w:cs="Arial"/>
          <w:kern w:val="0"/>
          <w:sz w:val="28"/>
          <w:szCs w:val="28"/>
          <w:lang w:eastAsia="en-GB"/>
          <w14:ligatures w14:val="none"/>
        </w:rPr>
        <w:t xml:space="preserve">, 51(2), pp.171-214. Available at: </w:t>
      </w:r>
      <w:hyperlink r:id="rId17" w:tgtFrame="_new" w:history="1">
        <w:r w:rsidRPr="00832AFA">
          <w:rPr>
            <w:rFonts w:ascii="Arial" w:eastAsia="Times New Roman" w:hAnsi="Arial" w:cs="Arial"/>
            <w:color w:val="0000FF"/>
            <w:kern w:val="0"/>
            <w:sz w:val="28"/>
            <w:szCs w:val="28"/>
            <w:u w:val="single"/>
            <w:lang w:eastAsia="en-GB"/>
            <w14:ligatures w14:val="none"/>
          </w:rPr>
          <w:t>https://journals.sagepub.com/doi/abs/10.1177/1938965510362871</w:t>
        </w:r>
      </w:hyperlink>
    </w:p>
    <w:p w14:paraId="26615FD7"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r w:rsidRPr="00832AFA">
        <w:rPr>
          <w:rFonts w:ascii="Arial" w:eastAsia="Times New Roman" w:hAnsi="Arial" w:cs="Arial"/>
          <w:b/>
          <w:bCs/>
          <w:kern w:val="0"/>
          <w:sz w:val="28"/>
          <w:szCs w:val="28"/>
          <w:lang w:eastAsia="en-GB"/>
          <w14:ligatures w14:val="none"/>
        </w:rPr>
        <w:t xml:space="preserve">Law, R., </w:t>
      </w:r>
      <w:proofErr w:type="spellStart"/>
      <w:r w:rsidRPr="00832AFA">
        <w:rPr>
          <w:rFonts w:ascii="Arial" w:eastAsia="Times New Roman" w:hAnsi="Arial" w:cs="Arial"/>
          <w:b/>
          <w:bCs/>
          <w:kern w:val="0"/>
          <w:sz w:val="28"/>
          <w:szCs w:val="28"/>
          <w:lang w:eastAsia="en-GB"/>
          <w14:ligatures w14:val="none"/>
        </w:rPr>
        <w:t>Buhalis</w:t>
      </w:r>
      <w:proofErr w:type="spellEnd"/>
      <w:r w:rsidRPr="00832AFA">
        <w:rPr>
          <w:rFonts w:ascii="Arial" w:eastAsia="Times New Roman" w:hAnsi="Arial" w:cs="Arial"/>
          <w:b/>
          <w:bCs/>
          <w:kern w:val="0"/>
          <w:sz w:val="28"/>
          <w:szCs w:val="28"/>
          <w:lang w:eastAsia="en-GB"/>
          <w14:ligatures w14:val="none"/>
        </w:rPr>
        <w:t>, D. and Cobanoglu, C., 2014.</w:t>
      </w:r>
      <w:r w:rsidRPr="00832AFA">
        <w:rPr>
          <w:rFonts w:ascii="Arial" w:eastAsia="Times New Roman" w:hAnsi="Arial" w:cs="Arial"/>
          <w:kern w:val="0"/>
          <w:sz w:val="28"/>
          <w:szCs w:val="28"/>
          <w:lang w:eastAsia="en-GB"/>
          <w14:ligatures w14:val="none"/>
        </w:rPr>
        <w:t xml:space="preserve"> Progress on information and communication technologies in hospitality and tourism. </w:t>
      </w:r>
      <w:r w:rsidRPr="00832AFA">
        <w:rPr>
          <w:rFonts w:ascii="Arial" w:eastAsia="Times New Roman" w:hAnsi="Arial" w:cs="Arial"/>
          <w:i/>
          <w:iCs/>
          <w:kern w:val="0"/>
          <w:sz w:val="28"/>
          <w:szCs w:val="28"/>
          <w:lang w:eastAsia="en-GB"/>
          <w14:ligatures w14:val="none"/>
        </w:rPr>
        <w:t>International Journal of Contemporary Hospitality Management</w:t>
      </w:r>
      <w:r w:rsidRPr="00832AFA">
        <w:rPr>
          <w:rFonts w:ascii="Arial" w:eastAsia="Times New Roman" w:hAnsi="Arial" w:cs="Arial"/>
          <w:kern w:val="0"/>
          <w:sz w:val="28"/>
          <w:szCs w:val="28"/>
          <w:lang w:eastAsia="en-GB"/>
          <w14:ligatures w14:val="none"/>
        </w:rPr>
        <w:t xml:space="preserve">, 26(5), pp.727-750. Available at: </w:t>
      </w:r>
      <w:hyperlink r:id="rId18" w:tgtFrame="_new" w:history="1">
        <w:r w:rsidRPr="00832AFA">
          <w:rPr>
            <w:rFonts w:ascii="Arial" w:eastAsia="Times New Roman" w:hAnsi="Arial" w:cs="Arial"/>
            <w:color w:val="0000FF"/>
            <w:kern w:val="0"/>
            <w:sz w:val="28"/>
            <w:szCs w:val="28"/>
            <w:u w:val="single"/>
            <w:lang w:eastAsia="en-GB"/>
            <w14:ligatures w14:val="none"/>
          </w:rPr>
          <w:t>https://www.emerald.com/insight/content/doi/10.1108/ijchm-08-2013-0367/full/html</w:t>
        </w:r>
      </w:hyperlink>
    </w:p>
    <w:p w14:paraId="00A68C55"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r w:rsidRPr="00832AFA">
        <w:rPr>
          <w:rFonts w:ascii="Arial" w:eastAsia="Times New Roman" w:hAnsi="Arial" w:cs="Arial"/>
          <w:b/>
          <w:bCs/>
          <w:kern w:val="0"/>
          <w:sz w:val="28"/>
          <w:szCs w:val="28"/>
          <w:lang w:eastAsia="en-GB"/>
          <w14:ligatures w14:val="none"/>
        </w:rPr>
        <w:t xml:space="preserve">Mithas, S., </w:t>
      </w:r>
      <w:proofErr w:type="spellStart"/>
      <w:r w:rsidRPr="00832AFA">
        <w:rPr>
          <w:rFonts w:ascii="Arial" w:eastAsia="Times New Roman" w:hAnsi="Arial" w:cs="Arial"/>
          <w:b/>
          <w:bCs/>
          <w:kern w:val="0"/>
          <w:sz w:val="28"/>
          <w:szCs w:val="28"/>
          <w:lang w:eastAsia="en-GB"/>
          <w14:ligatures w14:val="none"/>
        </w:rPr>
        <w:t>Ramasubbu</w:t>
      </w:r>
      <w:proofErr w:type="spellEnd"/>
      <w:r w:rsidRPr="00832AFA">
        <w:rPr>
          <w:rFonts w:ascii="Arial" w:eastAsia="Times New Roman" w:hAnsi="Arial" w:cs="Arial"/>
          <w:b/>
          <w:bCs/>
          <w:kern w:val="0"/>
          <w:sz w:val="28"/>
          <w:szCs w:val="28"/>
          <w:lang w:eastAsia="en-GB"/>
          <w14:ligatures w14:val="none"/>
        </w:rPr>
        <w:t xml:space="preserve">, N. and </w:t>
      </w:r>
      <w:proofErr w:type="spellStart"/>
      <w:r w:rsidRPr="00832AFA">
        <w:rPr>
          <w:rFonts w:ascii="Arial" w:eastAsia="Times New Roman" w:hAnsi="Arial" w:cs="Arial"/>
          <w:b/>
          <w:bCs/>
          <w:kern w:val="0"/>
          <w:sz w:val="28"/>
          <w:szCs w:val="28"/>
          <w:lang w:eastAsia="en-GB"/>
          <w14:ligatures w14:val="none"/>
        </w:rPr>
        <w:t>Sambamurthy</w:t>
      </w:r>
      <w:proofErr w:type="spellEnd"/>
      <w:r w:rsidRPr="00832AFA">
        <w:rPr>
          <w:rFonts w:ascii="Arial" w:eastAsia="Times New Roman" w:hAnsi="Arial" w:cs="Arial"/>
          <w:b/>
          <w:bCs/>
          <w:kern w:val="0"/>
          <w:sz w:val="28"/>
          <w:szCs w:val="28"/>
          <w:lang w:eastAsia="en-GB"/>
          <w14:ligatures w14:val="none"/>
        </w:rPr>
        <w:t>, V., 2011.</w:t>
      </w:r>
      <w:r w:rsidRPr="00832AFA">
        <w:rPr>
          <w:rFonts w:ascii="Arial" w:eastAsia="Times New Roman" w:hAnsi="Arial" w:cs="Arial"/>
          <w:kern w:val="0"/>
          <w:sz w:val="28"/>
          <w:szCs w:val="28"/>
          <w:lang w:eastAsia="en-GB"/>
          <w14:ligatures w14:val="none"/>
        </w:rPr>
        <w:t xml:space="preserve"> How information management capability influences firm performance. </w:t>
      </w:r>
      <w:r w:rsidRPr="00832AFA">
        <w:rPr>
          <w:rFonts w:ascii="Arial" w:eastAsia="Times New Roman" w:hAnsi="Arial" w:cs="Arial"/>
          <w:i/>
          <w:iCs/>
          <w:kern w:val="0"/>
          <w:sz w:val="28"/>
          <w:szCs w:val="28"/>
          <w:lang w:eastAsia="en-GB"/>
          <w14:ligatures w14:val="none"/>
        </w:rPr>
        <w:t>MIS Quarterly</w:t>
      </w:r>
      <w:r w:rsidRPr="00832AFA">
        <w:rPr>
          <w:rFonts w:ascii="Arial" w:eastAsia="Times New Roman" w:hAnsi="Arial" w:cs="Arial"/>
          <w:kern w:val="0"/>
          <w:sz w:val="28"/>
          <w:szCs w:val="28"/>
          <w:lang w:eastAsia="en-GB"/>
          <w14:ligatures w14:val="none"/>
        </w:rPr>
        <w:t xml:space="preserve">, pp.237-256. Available at: </w:t>
      </w:r>
      <w:hyperlink r:id="rId19" w:tgtFrame="_new" w:history="1">
        <w:r w:rsidRPr="00832AFA">
          <w:rPr>
            <w:rFonts w:ascii="Arial" w:eastAsia="Times New Roman" w:hAnsi="Arial" w:cs="Arial"/>
            <w:color w:val="0000FF"/>
            <w:kern w:val="0"/>
            <w:sz w:val="28"/>
            <w:szCs w:val="28"/>
            <w:u w:val="single"/>
            <w:lang w:eastAsia="en-GB"/>
            <w14:ligatures w14:val="none"/>
          </w:rPr>
          <w:t>https://www.jstor.org/stable/23043496</w:t>
        </w:r>
      </w:hyperlink>
    </w:p>
    <w:p w14:paraId="10624876"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r w:rsidRPr="00832AFA">
        <w:rPr>
          <w:rFonts w:ascii="Arial" w:eastAsia="Times New Roman" w:hAnsi="Arial" w:cs="Arial"/>
          <w:b/>
          <w:bCs/>
          <w:kern w:val="0"/>
          <w:sz w:val="28"/>
          <w:szCs w:val="28"/>
          <w:lang w:eastAsia="en-GB"/>
          <w14:ligatures w14:val="none"/>
        </w:rPr>
        <w:t>Mouta, C., Melo, A., Silva, J.A. and Melo, C., 2024.</w:t>
      </w:r>
      <w:r w:rsidRPr="00832AFA">
        <w:rPr>
          <w:rFonts w:ascii="Arial" w:eastAsia="Times New Roman" w:hAnsi="Arial" w:cs="Arial"/>
          <w:kern w:val="0"/>
          <w:sz w:val="28"/>
          <w:szCs w:val="28"/>
          <w:lang w:eastAsia="en-GB"/>
          <w14:ligatures w14:val="none"/>
        </w:rPr>
        <w:t xml:space="preserve"> Skills for success in the restaurant industry—the case of Portugal. In: </w:t>
      </w:r>
      <w:r w:rsidRPr="00832AFA">
        <w:rPr>
          <w:rFonts w:ascii="Arial" w:eastAsia="Times New Roman" w:hAnsi="Arial" w:cs="Arial"/>
          <w:i/>
          <w:iCs/>
          <w:kern w:val="0"/>
          <w:sz w:val="28"/>
          <w:szCs w:val="28"/>
          <w:lang w:eastAsia="en-GB"/>
          <w14:ligatures w14:val="none"/>
        </w:rPr>
        <w:t>EDULEARN24 Proceedings</w:t>
      </w:r>
      <w:r w:rsidRPr="00832AFA">
        <w:rPr>
          <w:rFonts w:ascii="Arial" w:eastAsia="Times New Roman" w:hAnsi="Arial" w:cs="Arial"/>
          <w:kern w:val="0"/>
          <w:sz w:val="28"/>
          <w:szCs w:val="28"/>
          <w:lang w:eastAsia="en-GB"/>
          <w14:ligatures w14:val="none"/>
        </w:rPr>
        <w:t xml:space="preserve">, pp.10253-10258. IATED. Available at: </w:t>
      </w:r>
      <w:hyperlink r:id="rId20" w:tgtFrame="_new" w:history="1">
        <w:r w:rsidRPr="00832AFA">
          <w:rPr>
            <w:rFonts w:ascii="Arial" w:eastAsia="Times New Roman" w:hAnsi="Arial" w:cs="Arial"/>
            <w:color w:val="0000FF"/>
            <w:kern w:val="0"/>
            <w:sz w:val="28"/>
            <w:szCs w:val="28"/>
            <w:u w:val="single"/>
            <w:lang w:eastAsia="en-GB"/>
            <w14:ligatures w14:val="none"/>
          </w:rPr>
          <w:t>https://library.iated.org/view/MOUTA2024SKI</w:t>
        </w:r>
      </w:hyperlink>
    </w:p>
    <w:p w14:paraId="25829775"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proofErr w:type="spellStart"/>
      <w:r w:rsidRPr="00832AFA">
        <w:rPr>
          <w:rFonts w:ascii="Arial" w:eastAsia="Times New Roman" w:hAnsi="Arial" w:cs="Arial"/>
          <w:b/>
          <w:bCs/>
          <w:kern w:val="0"/>
          <w:sz w:val="28"/>
          <w:szCs w:val="28"/>
          <w:lang w:eastAsia="en-GB"/>
          <w14:ligatures w14:val="none"/>
        </w:rPr>
        <w:t>Nebaba</w:t>
      </w:r>
      <w:proofErr w:type="spellEnd"/>
      <w:r w:rsidRPr="00832AFA">
        <w:rPr>
          <w:rFonts w:ascii="Arial" w:eastAsia="Times New Roman" w:hAnsi="Arial" w:cs="Arial"/>
          <w:b/>
          <w:bCs/>
          <w:kern w:val="0"/>
          <w:sz w:val="28"/>
          <w:szCs w:val="28"/>
          <w:lang w:eastAsia="en-GB"/>
          <w14:ligatures w14:val="none"/>
        </w:rPr>
        <w:t>, N.O. et al., 2024.</w:t>
      </w:r>
      <w:r w:rsidRPr="00832AFA">
        <w:rPr>
          <w:rFonts w:ascii="Arial" w:eastAsia="Times New Roman" w:hAnsi="Arial" w:cs="Arial"/>
          <w:kern w:val="0"/>
          <w:sz w:val="28"/>
          <w:szCs w:val="28"/>
          <w:lang w:eastAsia="en-GB"/>
          <w14:ligatures w14:val="none"/>
        </w:rPr>
        <w:t xml:space="preserve"> Theoretical aspects of information provision of restaurant enterprise management processes. Available at: </w:t>
      </w:r>
      <w:hyperlink r:id="rId21" w:tgtFrame="_new" w:history="1">
        <w:r w:rsidRPr="00832AFA">
          <w:rPr>
            <w:rFonts w:ascii="Arial" w:eastAsia="Times New Roman" w:hAnsi="Arial" w:cs="Arial"/>
            <w:color w:val="0000FF"/>
            <w:kern w:val="0"/>
            <w:sz w:val="28"/>
            <w:szCs w:val="28"/>
            <w:u w:val="single"/>
            <w:lang w:eastAsia="en-GB"/>
            <w14:ligatures w14:val="none"/>
          </w:rPr>
          <w:t>http://biblio.umsf.dp.ua/jspui/handle/123456789/6623</w:t>
        </w:r>
      </w:hyperlink>
    </w:p>
    <w:p w14:paraId="1DF93883"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r w:rsidRPr="00832AFA">
        <w:rPr>
          <w:rFonts w:ascii="Arial" w:eastAsia="Times New Roman" w:hAnsi="Arial" w:cs="Arial"/>
          <w:b/>
          <w:bCs/>
          <w:kern w:val="0"/>
          <w:sz w:val="28"/>
          <w:szCs w:val="28"/>
          <w:lang w:eastAsia="en-GB"/>
          <w14:ligatures w14:val="none"/>
        </w:rPr>
        <w:t>Osborne, O., 2015.</w:t>
      </w:r>
      <w:r w:rsidRPr="00832AFA">
        <w:rPr>
          <w:rFonts w:ascii="Arial" w:eastAsia="Times New Roman" w:hAnsi="Arial" w:cs="Arial"/>
          <w:kern w:val="0"/>
          <w:sz w:val="28"/>
          <w:szCs w:val="28"/>
          <w:lang w:eastAsia="en-GB"/>
          <w14:ligatures w14:val="none"/>
        </w:rPr>
        <w:t xml:space="preserve"> The Core Competencies of </w:t>
      </w:r>
      <w:proofErr w:type="gramStart"/>
      <w:r w:rsidRPr="00832AFA">
        <w:rPr>
          <w:rFonts w:ascii="Arial" w:eastAsia="Times New Roman" w:hAnsi="Arial" w:cs="Arial"/>
          <w:kern w:val="0"/>
          <w:sz w:val="28"/>
          <w:szCs w:val="28"/>
          <w:lang w:eastAsia="en-GB"/>
          <w14:ligatures w14:val="none"/>
        </w:rPr>
        <w:t>Fast Food</w:t>
      </w:r>
      <w:proofErr w:type="gramEnd"/>
      <w:r w:rsidRPr="00832AFA">
        <w:rPr>
          <w:rFonts w:ascii="Arial" w:eastAsia="Times New Roman" w:hAnsi="Arial" w:cs="Arial"/>
          <w:kern w:val="0"/>
          <w:sz w:val="28"/>
          <w:szCs w:val="28"/>
          <w:lang w:eastAsia="en-GB"/>
          <w14:ligatures w14:val="none"/>
        </w:rPr>
        <w:t xml:space="preserve"> Managers: A Qualitative Study of Restaurant Management. </w:t>
      </w:r>
      <w:r w:rsidRPr="00832AFA">
        <w:rPr>
          <w:rFonts w:ascii="Arial" w:eastAsia="Times New Roman" w:hAnsi="Arial" w:cs="Arial"/>
          <w:i/>
          <w:iCs/>
          <w:kern w:val="0"/>
          <w:sz w:val="28"/>
          <w:szCs w:val="28"/>
          <w:lang w:eastAsia="en-GB"/>
          <w14:ligatures w14:val="none"/>
        </w:rPr>
        <w:t>Northcentral University</w:t>
      </w:r>
      <w:r w:rsidRPr="00832AFA">
        <w:rPr>
          <w:rFonts w:ascii="Arial" w:eastAsia="Times New Roman" w:hAnsi="Arial" w:cs="Arial"/>
          <w:kern w:val="0"/>
          <w:sz w:val="28"/>
          <w:szCs w:val="28"/>
          <w:lang w:eastAsia="en-GB"/>
          <w14:ligatures w14:val="none"/>
        </w:rPr>
        <w:t xml:space="preserve">. Available at: </w:t>
      </w:r>
      <w:hyperlink r:id="rId22" w:tgtFrame="_new" w:history="1">
        <w:r w:rsidRPr="00832AFA">
          <w:rPr>
            <w:rFonts w:ascii="Arial" w:eastAsia="Times New Roman" w:hAnsi="Arial" w:cs="Arial"/>
            <w:color w:val="0000FF"/>
            <w:kern w:val="0"/>
            <w:sz w:val="28"/>
            <w:szCs w:val="28"/>
            <w:u w:val="single"/>
            <w:lang w:eastAsia="en-GB"/>
            <w14:ligatures w14:val="none"/>
          </w:rPr>
          <w:t>https://search.proquest.com/openview/307c79796635c649746e29c7ba21273f</w:t>
        </w:r>
      </w:hyperlink>
    </w:p>
    <w:p w14:paraId="7CF9C2FB"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r w:rsidRPr="00832AFA">
        <w:rPr>
          <w:rFonts w:ascii="Arial" w:eastAsia="Times New Roman" w:hAnsi="Arial" w:cs="Arial"/>
          <w:b/>
          <w:bCs/>
          <w:kern w:val="0"/>
          <w:sz w:val="28"/>
          <w:szCs w:val="28"/>
          <w:lang w:eastAsia="en-GB"/>
          <w14:ligatures w14:val="none"/>
        </w:rPr>
        <w:t xml:space="preserve">Stair, R., Reynolds, G., </w:t>
      </w:r>
      <w:proofErr w:type="spellStart"/>
      <w:r w:rsidRPr="00832AFA">
        <w:rPr>
          <w:rFonts w:ascii="Arial" w:eastAsia="Times New Roman" w:hAnsi="Arial" w:cs="Arial"/>
          <w:b/>
          <w:bCs/>
          <w:kern w:val="0"/>
          <w:sz w:val="28"/>
          <w:szCs w:val="28"/>
          <w:lang w:eastAsia="en-GB"/>
          <w14:ligatures w14:val="none"/>
        </w:rPr>
        <w:t>Aldcorn</w:t>
      </w:r>
      <w:proofErr w:type="spellEnd"/>
      <w:r w:rsidRPr="00832AFA">
        <w:rPr>
          <w:rFonts w:ascii="Arial" w:eastAsia="Times New Roman" w:hAnsi="Arial" w:cs="Arial"/>
          <w:b/>
          <w:bCs/>
          <w:kern w:val="0"/>
          <w:sz w:val="28"/>
          <w:szCs w:val="28"/>
          <w:lang w:eastAsia="en-GB"/>
          <w14:ligatures w14:val="none"/>
        </w:rPr>
        <w:t>, J. and Neufeld, D., 2015.</w:t>
      </w:r>
      <w:r w:rsidRPr="00832AFA">
        <w:rPr>
          <w:rFonts w:ascii="Arial" w:eastAsia="Times New Roman" w:hAnsi="Arial" w:cs="Arial"/>
          <w:kern w:val="0"/>
          <w:sz w:val="28"/>
          <w:szCs w:val="28"/>
          <w:lang w:eastAsia="en-GB"/>
          <w14:ligatures w14:val="none"/>
        </w:rPr>
        <w:t xml:space="preserve"> </w:t>
      </w:r>
      <w:r w:rsidRPr="00832AFA">
        <w:rPr>
          <w:rFonts w:ascii="Arial" w:eastAsia="Times New Roman" w:hAnsi="Arial" w:cs="Arial"/>
          <w:i/>
          <w:iCs/>
          <w:kern w:val="0"/>
          <w:sz w:val="28"/>
          <w:szCs w:val="28"/>
          <w:lang w:eastAsia="en-GB"/>
          <w14:ligatures w14:val="none"/>
        </w:rPr>
        <w:t>Principles of information systems.</w:t>
      </w:r>
      <w:r w:rsidRPr="00832AFA">
        <w:rPr>
          <w:rFonts w:ascii="Arial" w:eastAsia="Times New Roman" w:hAnsi="Arial" w:cs="Arial"/>
          <w:kern w:val="0"/>
          <w:sz w:val="28"/>
          <w:szCs w:val="28"/>
          <w:lang w:eastAsia="en-GB"/>
          <w14:ligatures w14:val="none"/>
        </w:rPr>
        <w:t xml:space="preserve"> Cengage Learning Canada Inc.</w:t>
      </w:r>
    </w:p>
    <w:p w14:paraId="14BA0106"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r w:rsidRPr="00832AFA">
        <w:rPr>
          <w:rFonts w:ascii="Arial" w:eastAsia="Times New Roman" w:hAnsi="Arial" w:cs="Arial"/>
          <w:b/>
          <w:bCs/>
          <w:kern w:val="0"/>
          <w:sz w:val="28"/>
          <w:szCs w:val="28"/>
          <w:lang w:eastAsia="en-GB"/>
          <w14:ligatures w14:val="none"/>
        </w:rPr>
        <w:t>Vega, D., 2016.</w:t>
      </w:r>
      <w:r w:rsidRPr="00832AFA">
        <w:rPr>
          <w:rFonts w:ascii="Arial" w:eastAsia="Times New Roman" w:hAnsi="Arial" w:cs="Arial"/>
          <w:kern w:val="0"/>
          <w:sz w:val="28"/>
          <w:szCs w:val="28"/>
          <w:lang w:eastAsia="en-GB"/>
          <w14:ligatures w14:val="none"/>
        </w:rPr>
        <w:t xml:space="preserve"> Present and future restaurant management competencies: an industry perspective (Doctoral dissertation, Kansas State University). Available at: </w:t>
      </w:r>
      <w:hyperlink r:id="rId23" w:tgtFrame="_new" w:history="1">
        <w:r w:rsidRPr="00832AFA">
          <w:rPr>
            <w:rFonts w:ascii="Arial" w:eastAsia="Times New Roman" w:hAnsi="Arial" w:cs="Arial"/>
            <w:color w:val="0000FF"/>
            <w:kern w:val="0"/>
            <w:sz w:val="28"/>
            <w:szCs w:val="28"/>
            <w:u w:val="single"/>
            <w:lang w:eastAsia="en-GB"/>
            <w14:ligatures w14:val="none"/>
          </w:rPr>
          <w:t>https://krex.k-state.edu/bitstream/handle/2097/34508/DanielVega2016.pdf?sequence=11</w:t>
        </w:r>
      </w:hyperlink>
    </w:p>
    <w:p w14:paraId="3EC5F95A" w14:textId="77777777" w:rsidR="00832AFA" w:rsidRPr="00832AFA" w:rsidRDefault="00832AFA" w:rsidP="00832AFA">
      <w:pPr>
        <w:spacing w:before="100" w:beforeAutospacing="1" w:after="100" w:afterAutospacing="1" w:line="240" w:lineRule="auto"/>
        <w:rPr>
          <w:rFonts w:ascii="Arial" w:eastAsia="Times New Roman" w:hAnsi="Arial" w:cs="Arial"/>
          <w:kern w:val="0"/>
          <w:sz w:val="28"/>
          <w:szCs w:val="28"/>
          <w:lang w:eastAsia="en-GB"/>
          <w14:ligatures w14:val="none"/>
        </w:rPr>
      </w:pPr>
      <w:r w:rsidRPr="00832AFA">
        <w:rPr>
          <w:rFonts w:ascii="Arial" w:eastAsia="Times New Roman" w:hAnsi="Arial" w:cs="Arial"/>
          <w:b/>
          <w:bCs/>
          <w:kern w:val="0"/>
          <w:sz w:val="28"/>
          <w:szCs w:val="28"/>
          <w:lang w:eastAsia="en-GB"/>
          <w14:ligatures w14:val="none"/>
        </w:rPr>
        <w:t>Wooten, L.P. and James, E.H., 2008.</w:t>
      </w:r>
      <w:r w:rsidRPr="00832AFA">
        <w:rPr>
          <w:rFonts w:ascii="Arial" w:eastAsia="Times New Roman" w:hAnsi="Arial" w:cs="Arial"/>
          <w:kern w:val="0"/>
          <w:sz w:val="28"/>
          <w:szCs w:val="28"/>
          <w:lang w:eastAsia="en-GB"/>
          <w14:ligatures w14:val="none"/>
        </w:rPr>
        <w:t xml:space="preserve"> Linking crisis management and leadership competencies: The role of human resource development. </w:t>
      </w:r>
      <w:r w:rsidRPr="00832AFA">
        <w:rPr>
          <w:rFonts w:ascii="Arial" w:eastAsia="Times New Roman" w:hAnsi="Arial" w:cs="Arial"/>
          <w:i/>
          <w:iCs/>
          <w:kern w:val="0"/>
          <w:sz w:val="28"/>
          <w:szCs w:val="28"/>
          <w:lang w:eastAsia="en-GB"/>
          <w14:ligatures w14:val="none"/>
        </w:rPr>
        <w:t>Advances in Developing Human Resources</w:t>
      </w:r>
      <w:r w:rsidRPr="00832AFA">
        <w:rPr>
          <w:rFonts w:ascii="Arial" w:eastAsia="Times New Roman" w:hAnsi="Arial" w:cs="Arial"/>
          <w:kern w:val="0"/>
          <w:sz w:val="28"/>
          <w:szCs w:val="28"/>
          <w:lang w:eastAsia="en-GB"/>
          <w14:ligatures w14:val="none"/>
        </w:rPr>
        <w:t xml:space="preserve">, 10(3), pp.352-379. Available at: </w:t>
      </w:r>
      <w:hyperlink r:id="rId24" w:tgtFrame="_new" w:history="1">
        <w:r w:rsidRPr="00832AFA">
          <w:rPr>
            <w:rFonts w:ascii="Arial" w:eastAsia="Times New Roman" w:hAnsi="Arial" w:cs="Arial"/>
            <w:color w:val="0000FF"/>
            <w:kern w:val="0"/>
            <w:sz w:val="28"/>
            <w:szCs w:val="28"/>
            <w:u w:val="single"/>
            <w:lang w:eastAsia="en-GB"/>
            <w14:ligatures w14:val="none"/>
          </w:rPr>
          <w:t>https://journals.sagepub.com/doi/abs/10.1177/1523422308316450</w:t>
        </w:r>
      </w:hyperlink>
    </w:p>
    <w:p w14:paraId="647EC008" w14:textId="77777777" w:rsidR="00832AFA" w:rsidRPr="00884325" w:rsidRDefault="00832AFA">
      <w:pPr>
        <w:rPr>
          <w:rFonts w:ascii="Arial" w:hAnsi="Arial" w:cs="Arial"/>
          <w:sz w:val="28"/>
          <w:szCs w:val="28"/>
        </w:rPr>
      </w:pPr>
    </w:p>
    <w:sectPr w:rsidR="00832AFA" w:rsidRPr="008843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7E1D9F" w14:textId="77777777" w:rsidR="00FF22DE" w:rsidRDefault="00FF22DE" w:rsidP="00FF22DE">
      <w:pPr>
        <w:spacing w:after="0" w:line="240" w:lineRule="auto"/>
      </w:pPr>
      <w:r>
        <w:separator/>
      </w:r>
    </w:p>
  </w:endnote>
  <w:endnote w:type="continuationSeparator" w:id="0">
    <w:p w14:paraId="18893118" w14:textId="77777777" w:rsidR="00FF22DE" w:rsidRDefault="00FF22DE" w:rsidP="00FF22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2915C6" w14:textId="77777777" w:rsidR="00FF22DE" w:rsidRDefault="00FF22DE" w:rsidP="00FF22DE">
      <w:pPr>
        <w:spacing w:after="0" w:line="240" w:lineRule="auto"/>
      </w:pPr>
      <w:r>
        <w:separator/>
      </w:r>
    </w:p>
  </w:footnote>
  <w:footnote w:type="continuationSeparator" w:id="0">
    <w:p w14:paraId="02E30429" w14:textId="77777777" w:rsidR="00FF22DE" w:rsidRDefault="00FF22DE" w:rsidP="00FF22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B70FA5"/>
    <w:multiLevelType w:val="hybridMultilevel"/>
    <w:tmpl w:val="C7A45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DC7F9C"/>
    <w:multiLevelType w:val="hybridMultilevel"/>
    <w:tmpl w:val="B854DE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625EA2"/>
    <w:multiLevelType w:val="hybridMultilevel"/>
    <w:tmpl w:val="85826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7041BA"/>
    <w:multiLevelType w:val="hybridMultilevel"/>
    <w:tmpl w:val="08C6F93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68528AF"/>
    <w:multiLevelType w:val="hybridMultilevel"/>
    <w:tmpl w:val="1A1CFC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0313481">
    <w:abstractNumId w:val="4"/>
  </w:num>
  <w:num w:numId="2" w16cid:durableId="980229935">
    <w:abstractNumId w:val="3"/>
  </w:num>
  <w:num w:numId="3" w16cid:durableId="740441937">
    <w:abstractNumId w:val="2"/>
  </w:num>
  <w:num w:numId="4" w16cid:durableId="1057124367">
    <w:abstractNumId w:val="1"/>
  </w:num>
  <w:num w:numId="5" w16cid:durableId="126555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AFA"/>
    <w:rsid w:val="004A3EBB"/>
    <w:rsid w:val="00591238"/>
    <w:rsid w:val="00832AFA"/>
    <w:rsid w:val="00884325"/>
    <w:rsid w:val="00D52DF1"/>
    <w:rsid w:val="00FF2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A4039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2A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2A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2A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2A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2A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2A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2A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2A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2A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A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2A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2A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2A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2A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2A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2A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2A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2AFA"/>
    <w:rPr>
      <w:rFonts w:eastAsiaTheme="majorEastAsia" w:cstheme="majorBidi"/>
      <w:color w:val="272727" w:themeColor="text1" w:themeTint="D8"/>
    </w:rPr>
  </w:style>
  <w:style w:type="paragraph" w:styleId="Title">
    <w:name w:val="Title"/>
    <w:basedOn w:val="Normal"/>
    <w:next w:val="Normal"/>
    <w:link w:val="TitleChar"/>
    <w:uiPriority w:val="10"/>
    <w:qFormat/>
    <w:rsid w:val="00832A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2A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2A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2A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2AFA"/>
    <w:pPr>
      <w:spacing w:before="160"/>
      <w:jc w:val="center"/>
    </w:pPr>
    <w:rPr>
      <w:i/>
      <w:iCs/>
      <w:color w:val="404040" w:themeColor="text1" w:themeTint="BF"/>
    </w:rPr>
  </w:style>
  <w:style w:type="character" w:customStyle="1" w:styleId="QuoteChar">
    <w:name w:val="Quote Char"/>
    <w:basedOn w:val="DefaultParagraphFont"/>
    <w:link w:val="Quote"/>
    <w:uiPriority w:val="29"/>
    <w:rsid w:val="00832AFA"/>
    <w:rPr>
      <w:i/>
      <w:iCs/>
      <w:color w:val="404040" w:themeColor="text1" w:themeTint="BF"/>
    </w:rPr>
  </w:style>
  <w:style w:type="paragraph" w:styleId="ListParagraph">
    <w:name w:val="List Paragraph"/>
    <w:basedOn w:val="Normal"/>
    <w:uiPriority w:val="34"/>
    <w:qFormat/>
    <w:rsid w:val="00832AFA"/>
    <w:pPr>
      <w:ind w:left="720"/>
      <w:contextualSpacing/>
    </w:pPr>
  </w:style>
  <w:style w:type="character" w:styleId="IntenseEmphasis">
    <w:name w:val="Intense Emphasis"/>
    <w:basedOn w:val="DefaultParagraphFont"/>
    <w:uiPriority w:val="21"/>
    <w:qFormat/>
    <w:rsid w:val="00832AFA"/>
    <w:rPr>
      <w:i/>
      <w:iCs/>
      <w:color w:val="0F4761" w:themeColor="accent1" w:themeShade="BF"/>
    </w:rPr>
  </w:style>
  <w:style w:type="paragraph" w:styleId="IntenseQuote">
    <w:name w:val="Intense Quote"/>
    <w:basedOn w:val="Normal"/>
    <w:next w:val="Normal"/>
    <w:link w:val="IntenseQuoteChar"/>
    <w:uiPriority w:val="30"/>
    <w:qFormat/>
    <w:rsid w:val="00832A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2AFA"/>
    <w:rPr>
      <w:i/>
      <w:iCs/>
      <w:color w:val="0F4761" w:themeColor="accent1" w:themeShade="BF"/>
    </w:rPr>
  </w:style>
  <w:style w:type="character" w:styleId="IntenseReference">
    <w:name w:val="Intense Reference"/>
    <w:basedOn w:val="DefaultParagraphFont"/>
    <w:uiPriority w:val="32"/>
    <w:qFormat/>
    <w:rsid w:val="00832AFA"/>
    <w:rPr>
      <w:b/>
      <w:bCs/>
      <w:smallCaps/>
      <w:color w:val="0F4761" w:themeColor="accent1" w:themeShade="BF"/>
      <w:spacing w:val="5"/>
    </w:rPr>
  </w:style>
  <w:style w:type="paragraph" w:customStyle="1" w:styleId="ql-align-center">
    <w:name w:val="ql-align-center"/>
    <w:basedOn w:val="Normal"/>
    <w:rsid w:val="00832AF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32AFA"/>
    <w:rPr>
      <w:b/>
      <w:bCs/>
    </w:rPr>
  </w:style>
  <w:style w:type="paragraph" w:styleId="NormalWeb">
    <w:name w:val="Normal (Web)"/>
    <w:basedOn w:val="Normal"/>
    <w:uiPriority w:val="99"/>
    <w:semiHidden/>
    <w:unhideWhenUsed/>
    <w:rsid w:val="00832AF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FF22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2DE"/>
  </w:style>
  <w:style w:type="paragraph" w:styleId="Footer">
    <w:name w:val="footer"/>
    <w:basedOn w:val="Normal"/>
    <w:link w:val="FooterChar"/>
    <w:uiPriority w:val="99"/>
    <w:unhideWhenUsed/>
    <w:rsid w:val="00FF22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2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976540">
      <w:bodyDiv w:val="1"/>
      <w:marLeft w:val="0"/>
      <w:marRight w:val="0"/>
      <w:marTop w:val="0"/>
      <w:marBottom w:val="0"/>
      <w:divBdr>
        <w:top w:val="none" w:sz="0" w:space="0" w:color="auto"/>
        <w:left w:val="none" w:sz="0" w:space="0" w:color="auto"/>
        <w:bottom w:val="none" w:sz="0" w:space="0" w:color="auto"/>
        <w:right w:val="none" w:sz="0" w:space="0" w:color="auto"/>
      </w:divBdr>
    </w:div>
    <w:div w:id="1332176295">
      <w:bodyDiv w:val="1"/>
      <w:marLeft w:val="0"/>
      <w:marRight w:val="0"/>
      <w:marTop w:val="0"/>
      <w:marBottom w:val="0"/>
      <w:divBdr>
        <w:top w:val="none" w:sz="0" w:space="0" w:color="auto"/>
        <w:left w:val="none" w:sz="0" w:space="0" w:color="auto"/>
        <w:bottom w:val="none" w:sz="0" w:space="0" w:color="auto"/>
        <w:right w:val="none" w:sz="0" w:space="0" w:color="auto"/>
      </w:divBdr>
    </w:div>
    <w:div w:id="2144536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278431916300743" TargetMode="External"/><Relationship Id="rId13" Type="http://schemas.openxmlformats.org/officeDocument/2006/relationships/hyperlink" Target="https://www.sciencedirect.com/science/article/pii/S0268401223000233" TargetMode="External"/><Relationship Id="rId18" Type="http://schemas.openxmlformats.org/officeDocument/2006/relationships/hyperlink" Target="https://www.emerald.com/insight/content/doi/10.1108/ijchm-08-2013-0367/full/htm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biblio.umsf.dp.ua/jspui/handle/123456789/6623" TargetMode="External"/><Relationship Id="rId7" Type="http://schemas.openxmlformats.org/officeDocument/2006/relationships/hyperlink" Target="https://journals.sagepub.com/doi/abs/10.1177/1742715008095186" TargetMode="External"/><Relationship Id="rId12" Type="http://schemas.openxmlformats.org/officeDocument/2006/relationships/hyperlink" Target="https://www.taylorfrancis.com/books/mono/10.4324/9781315773612/nation-branding-keith-dinnie" TargetMode="External"/><Relationship Id="rId17" Type="http://schemas.openxmlformats.org/officeDocument/2006/relationships/hyperlink" Target="https://journals.sagepub.com/doi/abs/10.1177/1938965510362871"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merald.com/insight/content/doi/10.1108/ijchm-10-2015-0549/full/html" TargetMode="External"/><Relationship Id="rId20" Type="http://schemas.openxmlformats.org/officeDocument/2006/relationships/hyperlink" Target="https://library.iated.org/view/MOUTA2024SKI"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com/insight/content/doi/10.1108/13673270610650085/full/html" TargetMode="External"/><Relationship Id="rId24" Type="http://schemas.openxmlformats.org/officeDocument/2006/relationships/hyperlink" Target="https://journals.sagepub.com/doi/abs/10.1177/1523422308316450" TargetMode="External"/><Relationship Id="rId5" Type="http://schemas.openxmlformats.org/officeDocument/2006/relationships/footnotes" Target="footnotes.xml"/><Relationship Id="rId15" Type="http://schemas.openxmlformats.org/officeDocument/2006/relationships/hyperlink" Target="https://www.emerald.com/insight/content/doi/10.1108/09596110810899086/full/ht" TargetMode="External"/><Relationship Id="rId23" Type="http://schemas.openxmlformats.org/officeDocument/2006/relationships/hyperlink" Target="https://krex.k-state.edu/bitstream/handle/2097/34508/DanielVega2016.pdf?sequence=11" TargetMode="External"/><Relationship Id="rId10" Type="http://schemas.openxmlformats.org/officeDocument/2006/relationships/hyperlink" Target="https://books.google.com/books?hl=en&amp;lr=&amp;id=HefeCwAAQBAJ" TargetMode="External"/><Relationship Id="rId19" Type="http://schemas.openxmlformats.org/officeDocument/2006/relationships/hyperlink" Target="https://www.jstor.org/stable/23043496" TargetMode="External"/><Relationship Id="rId4" Type="http://schemas.openxmlformats.org/officeDocument/2006/relationships/webSettings" Target="webSettings.xml"/><Relationship Id="rId9" Type="http://schemas.openxmlformats.org/officeDocument/2006/relationships/hyperlink" Target="https://so06.tci-thaijo.org/index.php/jber/article/view/278474" TargetMode="External"/><Relationship Id="rId14" Type="http://schemas.openxmlformats.org/officeDocument/2006/relationships/hyperlink" Target="https://www.taylorfrancis.com/books/mono/10.4324/9781315880884" TargetMode="External"/><Relationship Id="rId22" Type="http://schemas.openxmlformats.org/officeDocument/2006/relationships/hyperlink" Target="https://search.proquest.com/openview/307c79796635c649746e29c7ba21273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3546</Words>
  <Characters>20215</Characters>
  <Application>Microsoft Office Word</Application>
  <DocSecurity>0</DocSecurity>
  <Lines>168</Lines>
  <Paragraphs>47</Paragraphs>
  <ScaleCrop>false</ScaleCrop>
  <Company/>
  <LinksUpToDate>false</LinksUpToDate>
  <CharactersWithSpaces>23714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2025-05-04T11:28:00Z</dcterms:created>
  <dcterms:modified xsi:type="dcterms:W3CDTF">2025-05-04T11:29:00Z</dcterms:modified>
</cp:coreProperties>
</file>