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C8D6D" w14:textId="3D6CD34E" w:rsidR="00D7557E" w:rsidRPr="00537533" w:rsidRDefault="00D7557E" w:rsidP="00537533">
      <w:pPr>
        <w:pStyle w:val="Title"/>
        <w:rPr>
          <w:rFonts w:ascii="Arial" w:hAnsi="Arial" w:cs="Arial"/>
          <w:color w:val="000000" w:themeColor="text1"/>
        </w:rPr>
      </w:pPr>
      <w:r w:rsidRPr="00537533">
        <w:rPr>
          <w:rFonts w:ascii="Arial" w:hAnsi="Arial" w:cs="Arial"/>
          <w:noProof/>
        </w:rPr>
        <w:drawing>
          <wp:anchor distT="0" distB="0" distL="114300" distR="114300" simplePos="0" relativeHeight="251658240" behindDoc="0" locked="0" layoutInCell="1" allowOverlap="1" wp14:anchorId="7473FB6C" wp14:editId="30AD57C5">
            <wp:simplePos x="1457325" y="914400"/>
            <wp:positionH relativeFrom="margin">
              <wp:align>center</wp:align>
            </wp:positionH>
            <wp:positionV relativeFrom="paragraph">
              <wp:align>top</wp:align>
            </wp:positionV>
            <wp:extent cx="4655819" cy="2324100"/>
            <wp:effectExtent l="0" t="0" r="0" b="0"/>
            <wp:wrapSquare wrapText="bothSides"/>
            <wp:docPr id="2"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5819" cy="2324100"/>
                    </a:xfrm>
                    <a:prstGeom prst="rect">
                      <a:avLst/>
                    </a:prstGeom>
                    <a:noFill/>
                    <a:ln>
                      <a:noFill/>
                    </a:ln>
                  </pic:spPr>
                </pic:pic>
              </a:graphicData>
            </a:graphic>
          </wp:anchor>
        </w:drawing>
      </w:r>
      <w:r w:rsidR="00537533" w:rsidRPr="00537533">
        <w:rPr>
          <w:rFonts w:ascii="Arial" w:hAnsi="Arial" w:cs="Arial"/>
          <w:color w:val="000000" w:themeColor="text1"/>
        </w:rPr>
        <w:br w:type="textWrapping" w:clear="all"/>
      </w:r>
    </w:p>
    <w:p w14:paraId="2D690CF2" w14:textId="3E4D2D87" w:rsidR="00656F82" w:rsidRPr="00537533" w:rsidRDefault="00656F82" w:rsidP="002C089A">
      <w:pPr>
        <w:pStyle w:val="Title"/>
        <w:jc w:val="center"/>
        <w:rPr>
          <w:rFonts w:ascii="Arial" w:hAnsi="Arial" w:cs="Arial"/>
          <w:color w:val="000000" w:themeColor="text1"/>
        </w:rPr>
      </w:pPr>
      <w:r w:rsidRPr="00537533">
        <w:rPr>
          <w:rFonts w:ascii="Arial" w:hAnsi="Arial" w:cs="Arial"/>
          <w:color w:val="000000" w:themeColor="text1"/>
        </w:rPr>
        <w:t>BUSINESS DEVELOPMENT PROPOSAL</w:t>
      </w:r>
    </w:p>
    <w:p w14:paraId="3FA1ECA9" w14:textId="77777777" w:rsidR="002C089A" w:rsidRPr="00537533" w:rsidRDefault="002C089A" w:rsidP="00656F82">
      <w:pPr>
        <w:jc w:val="center"/>
        <w:rPr>
          <w:rFonts w:ascii="Arial" w:hAnsi="Arial" w:cs="Arial"/>
          <w:color w:val="000000" w:themeColor="text1"/>
        </w:rPr>
      </w:pPr>
    </w:p>
    <w:p w14:paraId="35FB0BC0" w14:textId="77777777" w:rsidR="002C089A" w:rsidRPr="00537533" w:rsidRDefault="002C089A" w:rsidP="00656F82">
      <w:pPr>
        <w:jc w:val="center"/>
        <w:rPr>
          <w:rFonts w:ascii="Arial" w:hAnsi="Arial" w:cs="Arial"/>
          <w:color w:val="000000" w:themeColor="text1"/>
        </w:rPr>
      </w:pPr>
    </w:p>
    <w:p w14:paraId="3AD6BA67" w14:textId="77777777" w:rsidR="00590661" w:rsidRPr="00537533" w:rsidRDefault="00656F82" w:rsidP="00656F82">
      <w:pPr>
        <w:jc w:val="center"/>
        <w:rPr>
          <w:rFonts w:ascii="Arial" w:hAnsi="Arial" w:cs="Arial"/>
          <w:b/>
          <w:bCs/>
          <w:color w:val="000000" w:themeColor="text1"/>
          <w:lang w:val="en-US"/>
        </w:rPr>
      </w:pPr>
      <w:r w:rsidRPr="00537533">
        <w:rPr>
          <w:rFonts w:ascii="Arial" w:hAnsi="Arial" w:cs="Arial"/>
          <w:color w:val="000000" w:themeColor="text1"/>
        </w:rPr>
        <w:t>“</w:t>
      </w:r>
      <w:r w:rsidR="002C089A" w:rsidRPr="00537533">
        <w:rPr>
          <w:rFonts w:ascii="Arial" w:hAnsi="Arial" w:cs="Arial"/>
          <w:b/>
          <w:bCs/>
          <w:color w:val="000000" w:themeColor="text1"/>
          <w:lang w:val="en-US"/>
        </w:rPr>
        <w:t>Expanding International Business Growth through Digital Payment Adoption in India</w:t>
      </w:r>
      <w:r w:rsidR="00590661" w:rsidRPr="00537533">
        <w:rPr>
          <w:rFonts w:ascii="Arial" w:hAnsi="Arial" w:cs="Arial"/>
          <w:b/>
          <w:bCs/>
          <w:color w:val="000000" w:themeColor="text1"/>
          <w:lang w:val="en-US"/>
        </w:rPr>
        <w:t>”</w:t>
      </w:r>
    </w:p>
    <w:p w14:paraId="32226CA4" w14:textId="04F80B50" w:rsidR="00656F82" w:rsidRPr="00537533" w:rsidRDefault="002C089A" w:rsidP="00656F82">
      <w:pPr>
        <w:jc w:val="center"/>
        <w:rPr>
          <w:rFonts w:ascii="Arial" w:hAnsi="Arial" w:cs="Arial"/>
          <w:color w:val="000000" w:themeColor="text1"/>
          <w:sz w:val="32"/>
          <w:szCs w:val="32"/>
        </w:rPr>
      </w:pPr>
      <w:r w:rsidRPr="00537533">
        <w:rPr>
          <w:rFonts w:ascii="Arial" w:hAnsi="Arial" w:cs="Arial"/>
          <w:b/>
          <w:bCs/>
          <w:color w:val="000000" w:themeColor="text1"/>
          <w:lang w:val="en-US"/>
        </w:rPr>
        <w:t xml:space="preserve"> </w:t>
      </w:r>
      <w:r w:rsidRPr="00537533">
        <w:rPr>
          <w:rFonts w:ascii="Arial" w:hAnsi="Arial" w:cs="Arial"/>
          <w:b/>
          <w:bCs/>
          <w:color w:val="000000" w:themeColor="text1"/>
          <w:sz w:val="32"/>
          <w:szCs w:val="32"/>
          <w:lang w:val="en-US"/>
        </w:rPr>
        <w:t>Paytm</w:t>
      </w:r>
    </w:p>
    <w:p w14:paraId="11344547" w14:textId="77777777" w:rsidR="002C089A" w:rsidRPr="00537533" w:rsidRDefault="002C089A" w:rsidP="00656F82">
      <w:pPr>
        <w:jc w:val="center"/>
        <w:rPr>
          <w:rFonts w:ascii="Arial" w:hAnsi="Arial" w:cs="Arial"/>
          <w:color w:val="000000" w:themeColor="text1"/>
        </w:rPr>
      </w:pPr>
    </w:p>
    <w:p w14:paraId="60A63F8B" w14:textId="49C9CFBE" w:rsidR="00656F82" w:rsidRPr="00537533" w:rsidRDefault="00656F82" w:rsidP="00656F82">
      <w:pPr>
        <w:jc w:val="center"/>
        <w:rPr>
          <w:rFonts w:ascii="Arial" w:hAnsi="Arial" w:cs="Arial"/>
          <w:b/>
          <w:bCs/>
          <w:color w:val="000000" w:themeColor="text1"/>
          <w:lang w:val="en-US"/>
        </w:rPr>
      </w:pPr>
      <w:r w:rsidRPr="00537533">
        <w:rPr>
          <w:rFonts w:ascii="Arial" w:hAnsi="Arial" w:cs="Arial"/>
          <w:b/>
          <w:bCs/>
          <w:color w:val="000000" w:themeColor="text1"/>
          <w:lang w:val="en-US"/>
        </w:rPr>
        <w:t xml:space="preserve">Module </w:t>
      </w:r>
      <w:r w:rsidR="00D7557E" w:rsidRPr="00537533">
        <w:rPr>
          <w:rFonts w:ascii="Arial" w:hAnsi="Arial" w:cs="Arial"/>
          <w:b/>
          <w:bCs/>
          <w:color w:val="000000" w:themeColor="text1"/>
          <w:lang w:val="en-US"/>
        </w:rPr>
        <w:t>code: LCMB7037</w:t>
      </w:r>
    </w:p>
    <w:p w14:paraId="64E09109" w14:textId="4DC7A302" w:rsidR="00656F82" w:rsidRPr="00537533" w:rsidRDefault="00656F82" w:rsidP="00656F82">
      <w:pPr>
        <w:jc w:val="center"/>
        <w:rPr>
          <w:rFonts w:ascii="Arial" w:hAnsi="Arial" w:cs="Arial"/>
          <w:b/>
          <w:bCs/>
          <w:color w:val="000000" w:themeColor="text1"/>
          <w:lang w:val="en-US"/>
        </w:rPr>
      </w:pPr>
      <w:r w:rsidRPr="00537533">
        <w:rPr>
          <w:rFonts w:ascii="Arial" w:hAnsi="Arial" w:cs="Arial"/>
          <w:b/>
          <w:bCs/>
          <w:color w:val="000000" w:themeColor="text1"/>
          <w:lang w:val="en-US"/>
        </w:rPr>
        <w:t>Name</w:t>
      </w:r>
      <w:r w:rsidR="00581A4D">
        <w:rPr>
          <w:rFonts w:ascii="Arial" w:hAnsi="Arial" w:cs="Arial"/>
          <w:b/>
          <w:bCs/>
          <w:color w:val="000000" w:themeColor="text1"/>
          <w:lang w:val="en-US"/>
        </w:rPr>
        <w:t>;</w:t>
      </w:r>
      <w:r w:rsidR="00D7557E" w:rsidRPr="00537533">
        <w:rPr>
          <w:rFonts w:ascii="Arial" w:hAnsi="Arial" w:cs="Arial"/>
          <w:b/>
          <w:bCs/>
          <w:color w:val="000000" w:themeColor="text1"/>
          <w:lang w:val="en-US"/>
        </w:rPr>
        <w:t xml:space="preserve"> Payal Balubhai</w:t>
      </w:r>
      <w:r w:rsidR="00581A4D">
        <w:rPr>
          <w:rFonts w:ascii="Arial" w:hAnsi="Arial" w:cs="Arial"/>
          <w:b/>
          <w:bCs/>
          <w:color w:val="000000" w:themeColor="text1"/>
          <w:lang w:val="en-US"/>
        </w:rPr>
        <w:t xml:space="preserve"> Odedra</w:t>
      </w:r>
    </w:p>
    <w:p w14:paraId="1628E26F" w14:textId="636C141F" w:rsidR="00656F82" w:rsidRPr="00537533" w:rsidRDefault="00656F82" w:rsidP="00656F82">
      <w:pPr>
        <w:jc w:val="center"/>
        <w:rPr>
          <w:rFonts w:ascii="Arial" w:hAnsi="Arial" w:cs="Arial"/>
          <w:b/>
          <w:bCs/>
          <w:color w:val="000000" w:themeColor="text1"/>
          <w:lang w:val="en-US"/>
        </w:rPr>
      </w:pPr>
      <w:r w:rsidRPr="00537533">
        <w:rPr>
          <w:rFonts w:ascii="Arial" w:hAnsi="Arial" w:cs="Arial"/>
          <w:b/>
          <w:bCs/>
          <w:color w:val="000000" w:themeColor="text1"/>
          <w:lang w:val="en-US"/>
        </w:rPr>
        <w:t xml:space="preserve">Student ID: </w:t>
      </w:r>
      <w:r w:rsidR="00D7557E" w:rsidRPr="00537533">
        <w:rPr>
          <w:rFonts w:ascii="Arial" w:hAnsi="Arial" w:cs="Arial"/>
          <w:b/>
          <w:bCs/>
          <w:color w:val="000000" w:themeColor="text1"/>
          <w:lang w:val="en-US"/>
        </w:rPr>
        <w:t>2439521</w:t>
      </w:r>
    </w:p>
    <w:p w14:paraId="45461A3A" w14:textId="77777777" w:rsidR="00656F82" w:rsidRPr="00537533" w:rsidRDefault="00656F82">
      <w:pPr>
        <w:rPr>
          <w:rFonts w:ascii="Arial" w:eastAsiaTheme="majorEastAsia" w:hAnsi="Arial" w:cs="Arial"/>
          <w:b/>
          <w:color w:val="000000" w:themeColor="text1"/>
          <w:sz w:val="24"/>
          <w:szCs w:val="40"/>
        </w:rPr>
      </w:pPr>
      <w:r w:rsidRPr="00537533">
        <w:rPr>
          <w:rFonts w:ascii="Arial" w:hAnsi="Arial" w:cs="Arial"/>
          <w:color w:val="000000" w:themeColor="text1"/>
        </w:rPr>
        <w:br w:type="page"/>
      </w:r>
    </w:p>
    <w:sdt>
      <w:sdtPr>
        <w:rPr>
          <w:rFonts w:ascii="Arial" w:eastAsiaTheme="minorHAnsi" w:hAnsi="Arial" w:cs="Arial"/>
          <w:color w:val="000000" w:themeColor="text1"/>
          <w:sz w:val="22"/>
          <w:szCs w:val="22"/>
          <w:lang w:val="en-AU"/>
          <w14:ligatures w14:val="standardContextual"/>
        </w:rPr>
        <w:id w:val="-872607183"/>
        <w:docPartObj>
          <w:docPartGallery w:val="Table of Contents"/>
          <w:docPartUnique/>
        </w:docPartObj>
      </w:sdtPr>
      <w:sdtEndPr>
        <w:rPr>
          <w:b/>
          <w:bCs/>
          <w:noProof/>
        </w:rPr>
      </w:sdtEndPr>
      <w:sdtContent>
        <w:p w14:paraId="1545CF3D" w14:textId="0DCD7ADC" w:rsidR="002C089A" w:rsidRPr="00537533" w:rsidRDefault="002C089A" w:rsidP="002C089A">
          <w:pPr>
            <w:pStyle w:val="TOCHeading"/>
            <w:jc w:val="center"/>
            <w:rPr>
              <w:rFonts w:ascii="Arial" w:hAnsi="Arial" w:cs="Arial"/>
              <w:b/>
              <w:bCs/>
              <w:color w:val="000000" w:themeColor="text1"/>
              <w:sz w:val="24"/>
              <w:szCs w:val="24"/>
            </w:rPr>
          </w:pPr>
          <w:r w:rsidRPr="00537533">
            <w:rPr>
              <w:rFonts w:ascii="Arial" w:hAnsi="Arial" w:cs="Arial"/>
              <w:color w:val="000000" w:themeColor="text1"/>
              <w:sz w:val="24"/>
              <w:szCs w:val="24"/>
            </w:rPr>
            <w:t>Table</w:t>
          </w:r>
          <w:r w:rsidRPr="00537533">
            <w:rPr>
              <w:rFonts w:ascii="Arial" w:hAnsi="Arial" w:cs="Arial"/>
              <w:b/>
              <w:bCs/>
              <w:color w:val="000000" w:themeColor="text1"/>
              <w:sz w:val="24"/>
              <w:szCs w:val="24"/>
            </w:rPr>
            <w:t xml:space="preserve"> of Contents</w:t>
          </w:r>
        </w:p>
        <w:p w14:paraId="2EEFC3B3" w14:textId="4C33E20C" w:rsidR="002C089A" w:rsidRPr="00537533" w:rsidRDefault="002C089A" w:rsidP="002C089A">
          <w:pPr>
            <w:pStyle w:val="TOC1"/>
            <w:tabs>
              <w:tab w:val="right" w:leader="dot" w:pos="9016"/>
            </w:tabs>
            <w:spacing w:line="480" w:lineRule="auto"/>
            <w:rPr>
              <w:rFonts w:ascii="Arial" w:hAnsi="Arial" w:cs="Arial"/>
              <w:noProof/>
              <w:color w:val="000000" w:themeColor="text1"/>
            </w:rPr>
          </w:pPr>
          <w:r w:rsidRPr="00537533">
            <w:rPr>
              <w:rFonts w:ascii="Arial" w:hAnsi="Arial" w:cs="Arial"/>
              <w:color w:val="000000" w:themeColor="text1"/>
            </w:rPr>
            <w:fldChar w:fldCharType="begin"/>
          </w:r>
          <w:r w:rsidRPr="00537533">
            <w:rPr>
              <w:rFonts w:ascii="Arial" w:hAnsi="Arial" w:cs="Arial"/>
              <w:color w:val="000000" w:themeColor="text1"/>
            </w:rPr>
            <w:instrText xml:space="preserve"> TOC \o "1-3" \h \z \u </w:instrText>
          </w:r>
          <w:r w:rsidRPr="00537533">
            <w:rPr>
              <w:rFonts w:ascii="Arial" w:hAnsi="Arial" w:cs="Arial"/>
              <w:color w:val="000000" w:themeColor="text1"/>
            </w:rPr>
            <w:fldChar w:fldCharType="separate"/>
          </w:r>
          <w:hyperlink w:anchor="_Toc231058658" w:history="1">
            <w:r w:rsidRPr="00537533">
              <w:rPr>
                <w:rStyle w:val="Hyperlink"/>
                <w:rFonts w:ascii="Arial" w:hAnsi="Arial" w:cs="Arial"/>
                <w:noProof/>
                <w:color w:val="000000" w:themeColor="text1"/>
              </w:rPr>
              <w:t>Introduction</w:t>
            </w:r>
            <w:r w:rsidRPr="00537533">
              <w:rPr>
                <w:rFonts w:ascii="Arial" w:hAnsi="Arial" w:cs="Arial"/>
                <w:noProof/>
                <w:webHidden/>
                <w:color w:val="000000" w:themeColor="text1"/>
              </w:rPr>
              <w:tab/>
            </w:r>
            <w:r w:rsidRPr="00537533">
              <w:rPr>
                <w:rFonts w:ascii="Arial" w:hAnsi="Arial" w:cs="Arial"/>
                <w:noProof/>
                <w:webHidden/>
                <w:color w:val="000000" w:themeColor="text1"/>
              </w:rPr>
              <w:fldChar w:fldCharType="begin"/>
            </w:r>
            <w:r w:rsidRPr="00537533">
              <w:rPr>
                <w:rFonts w:ascii="Arial" w:hAnsi="Arial" w:cs="Arial"/>
                <w:noProof/>
                <w:webHidden/>
                <w:color w:val="000000" w:themeColor="text1"/>
              </w:rPr>
              <w:instrText xml:space="preserve"> PAGEREF _Toc231058658 \h </w:instrText>
            </w:r>
            <w:r w:rsidRPr="00537533">
              <w:rPr>
                <w:rFonts w:ascii="Arial" w:hAnsi="Arial" w:cs="Arial"/>
                <w:noProof/>
                <w:webHidden/>
                <w:color w:val="000000" w:themeColor="text1"/>
              </w:rPr>
            </w:r>
            <w:r w:rsidRPr="00537533">
              <w:rPr>
                <w:rFonts w:ascii="Arial" w:hAnsi="Arial" w:cs="Arial"/>
                <w:noProof/>
                <w:webHidden/>
                <w:color w:val="000000" w:themeColor="text1"/>
              </w:rPr>
              <w:fldChar w:fldCharType="separate"/>
            </w:r>
            <w:r w:rsidRPr="00537533">
              <w:rPr>
                <w:rFonts w:ascii="Arial" w:hAnsi="Arial" w:cs="Arial"/>
                <w:noProof/>
                <w:webHidden/>
                <w:color w:val="000000" w:themeColor="text1"/>
              </w:rPr>
              <w:t>3</w:t>
            </w:r>
            <w:r w:rsidRPr="00537533">
              <w:rPr>
                <w:rFonts w:ascii="Arial" w:hAnsi="Arial" w:cs="Arial"/>
                <w:noProof/>
                <w:webHidden/>
                <w:color w:val="000000" w:themeColor="text1"/>
              </w:rPr>
              <w:fldChar w:fldCharType="end"/>
            </w:r>
          </w:hyperlink>
        </w:p>
        <w:p w14:paraId="3F337E19" w14:textId="6FCC2346" w:rsidR="002C089A" w:rsidRPr="00537533" w:rsidRDefault="002C089A" w:rsidP="002C089A">
          <w:pPr>
            <w:pStyle w:val="TOC1"/>
            <w:tabs>
              <w:tab w:val="right" w:leader="dot" w:pos="9016"/>
            </w:tabs>
            <w:spacing w:line="480" w:lineRule="auto"/>
            <w:rPr>
              <w:rFonts w:ascii="Arial" w:hAnsi="Arial" w:cs="Arial"/>
              <w:noProof/>
              <w:color w:val="000000" w:themeColor="text1"/>
            </w:rPr>
          </w:pPr>
          <w:hyperlink w:anchor="_Toc231058659" w:history="1">
            <w:r w:rsidRPr="00537533">
              <w:rPr>
                <w:rStyle w:val="Hyperlink"/>
                <w:rFonts w:ascii="Arial" w:hAnsi="Arial" w:cs="Arial"/>
                <w:noProof/>
                <w:color w:val="000000" w:themeColor="text1"/>
              </w:rPr>
              <w:t>Methodology</w:t>
            </w:r>
            <w:r w:rsidRPr="00537533">
              <w:rPr>
                <w:rFonts w:ascii="Arial" w:hAnsi="Arial" w:cs="Arial"/>
                <w:noProof/>
                <w:webHidden/>
                <w:color w:val="000000" w:themeColor="text1"/>
              </w:rPr>
              <w:tab/>
            </w:r>
            <w:r w:rsidRPr="00537533">
              <w:rPr>
                <w:rFonts w:ascii="Arial" w:hAnsi="Arial" w:cs="Arial"/>
                <w:noProof/>
                <w:webHidden/>
                <w:color w:val="000000" w:themeColor="text1"/>
              </w:rPr>
              <w:fldChar w:fldCharType="begin"/>
            </w:r>
            <w:r w:rsidRPr="00537533">
              <w:rPr>
                <w:rFonts w:ascii="Arial" w:hAnsi="Arial" w:cs="Arial"/>
                <w:noProof/>
                <w:webHidden/>
                <w:color w:val="000000" w:themeColor="text1"/>
              </w:rPr>
              <w:instrText xml:space="preserve"> PAGEREF _Toc231058659 \h </w:instrText>
            </w:r>
            <w:r w:rsidRPr="00537533">
              <w:rPr>
                <w:rFonts w:ascii="Arial" w:hAnsi="Arial" w:cs="Arial"/>
                <w:noProof/>
                <w:webHidden/>
                <w:color w:val="000000" w:themeColor="text1"/>
              </w:rPr>
            </w:r>
            <w:r w:rsidRPr="00537533">
              <w:rPr>
                <w:rFonts w:ascii="Arial" w:hAnsi="Arial" w:cs="Arial"/>
                <w:noProof/>
                <w:webHidden/>
                <w:color w:val="000000" w:themeColor="text1"/>
              </w:rPr>
              <w:fldChar w:fldCharType="separate"/>
            </w:r>
            <w:r w:rsidRPr="00537533">
              <w:rPr>
                <w:rFonts w:ascii="Arial" w:hAnsi="Arial" w:cs="Arial"/>
                <w:noProof/>
                <w:webHidden/>
                <w:color w:val="000000" w:themeColor="text1"/>
              </w:rPr>
              <w:t>6</w:t>
            </w:r>
            <w:r w:rsidRPr="00537533">
              <w:rPr>
                <w:rFonts w:ascii="Arial" w:hAnsi="Arial" w:cs="Arial"/>
                <w:noProof/>
                <w:webHidden/>
                <w:color w:val="000000" w:themeColor="text1"/>
              </w:rPr>
              <w:fldChar w:fldCharType="end"/>
            </w:r>
          </w:hyperlink>
        </w:p>
        <w:p w14:paraId="35795748" w14:textId="47C25151" w:rsidR="002C089A" w:rsidRPr="00537533" w:rsidRDefault="002C089A" w:rsidP="002C089A">
          <w:pPr>
            <w:pStyle w:val="TOC1"/>
            <w:tabs>
              <w:tab w:val="right" w:leader="dot" w:pos="9016"/>
            </w:tabs>
            <w:spacing w:line="480" w:lineRule="auto"/>
            <w:rPr>
              <w:rFonts w:ascii="Arial" w:hAnsi="Arial" w:cs="Arial"/>
              <w:noProof/>
              <w:color w:val="000000" w:themeColor="text1"/>
            </w:rPr>
          </w:pPr>
          <w:hyperlink w:anchor="_Toc231058660" w:history="1">
            <w:r w:rsidRPr="00537533">
              <w:rPr>
                <w:rStyle w:val="Hyperlink"/>
                <w:rFonts w:ascii="Arial" w:hAnsi="Arial" w:cs="Arial"/>
                <w:noProof/>
                <w:color w:val="000000" w:themeColor="text1"/>
              </w:rPr>
              <w:t>Market Research and Validation</w:t>
            </w:r>
            <w:r w:rsidRPr="00537533">
              <w:rPr>
                <w:rFonts w:ascii="Arial" w:hAnsi="Arial" w:cs="Arial"/>
                <w:noProof/>
                <w:webHidden/>
                <w:color w:val="000000" w:themeColor="text1"/>
              </w:rPr>
              <w:tab/>
            </w:r>
            <w:r w:rsidRPr="00537533">
              <w:rPr>
                <w:rFonts w:ascii="Arial" w:hAnsi="Arial" w:cs="Arial"/>
                <w:noProof/>
                <w:webHidden/>
                <w:color w:val="000000" w:themeColor="text1"/>
              </w:rPr>
              <w:fldChar w:fldCharType="begin"/>
            </w:r>
            <w:r w:rsidRPr="00537533">
              <w:rPr>
                <w:rFonts w:ascii="Arial" w:hAnsi="Arial" w:cs="Arial"/>
                <w:noProof/>
                <w:webHidden/>
                <w:color w:val="000000" w:themeColor="text1"/>
              </w:rPr>
              <w:instrText xml:space="preserve"> PAGEREF _Toc231058660 \h </w:instrText>
            </w:r>
            <w:r w:rsidRPr="00537533">
              <w:rPr>
                <w:rFonts w:ascii="Arial" w:hAnsi="Arial" w:cs="Arial"/>
                <w:noProof/>
                <w:webHidden/>
                <w:color w:val="000000" w:themeColor="text1"/>
              </w:rPr>
            </w:r>
            <w:r w:rsidRPr="00537533">
              <w:rPr>
                <w:rFonts w:ascii="Arial" w:hAnsi="Arial" w:cs="Arial"/>
                <w:noProof/>
                <w:webHidden/>
                <w:color w:val="000000" w:themeColor="text1"/>
              </w:rPr>
              <w:fldChar w:fldCharType="separate"/>
            </w:r>
            <w:r w:rsidRPr="00537533">
              <w:rPr>
                <w:rFonts w:ascii="Arial" w:hAnsi="Arial" w:cs="Arial"/>
                <w:noProof/>
                <w:webHidden/>
                <w:color w:val="000000" w:themeColor="text1"/>
              </w:rPr>
              <w:t>7</w:t>
            </w:r>
            <w:r w:rsidRPr="00537533">
              <w:rPr>
                <w:rFonts w:ascii="Arial" w:hAnsi="Arial" w:cs="Arial"/>
                <w:noProof/>
                <w:webHidden/>
                <w:color w:val="000000" w:themeColor="text1"/>
              </w:rPr>
              <w:fldChar w:fldCharType="end"/>
            </w:r>
          </w:hyperlink>
        </w:p>
        <w:p w14:paraId="0B16229A" w14:textId="62D2DE7F" w:rsidR="002C089A" w:rsidRPr="00537533" w:rsidRDefault="002C089A" w:rsidP="002C089A">
          <w:pPr>
            <w:pStyle w:val="TOC1"/>
            <w:tabs>
              <w:tab w:val="right" w:leader="dot" w:pos="9016"/>
            </w:tabs>
            <w:spacing w:line="480" w:lineRule="auto"/>
            <w:rPr>
              <w:rFonts w:ascii="Arial" w:hAnsi="Arial" w:cs="Arial"/>
              <w:noProof/>
              <w:color w:val="000000" w:themeColor="text1"/>
            </w:rPr>
          </w:pPr>
          <w:hyperlink w:anchor="_Toc231058661" w:history="1">
            <w:r w:rsidRPr="00537533">
              <w:rPr>
                <w:rStyle w:val="Hyperlink"/>
                <w:rFonts w:ascii="Arial" w:hAnsi="Arial" w:cs="Arial"/>
                <w:noProof/>
                <w:color w:val="000000" w:themeColor="text1"/>
              </w:rPr>
              <w:t>Risks</w:t>
            </w:r>
            <w:r w:rsidRPr="00537533">
              <w:rPr>
                <w:rFonts w:ascii="Arial" w:hAnsi="Arial" w:cs="Arial"/>
                <w:noProof/>
                <w:webHidden/>
                <w:color w:val="000000" w:themeColor="text1"/>
              </w:rPr>
              <w:tab/>
            </w:r>
            <w:r w:rsidRPr="00537533">
              <w:rPr>
                <w:rFonts w:ascii="Arial" w:hAnsi="Arial" w:cs="Arial"/>
                <w:noProof/>
                <w:webHidden/>
                <w:color w:val="000000" w:themeColor="text1"/>
              </w:rPr>
              <w:fldChar w:fldCharType="begin"/>
            </w:r>
            <w:r w:rsidRPr="00537533">
              <w:rPr>
                <w:rFonts w:ascii="Arial" w:hAnsi="Arial" w:cs="Arial"/>
                <w:noProof/>
                <w:webHidden/>
                <w:color w:val="000000" w:themeColor="text1"/>
              </w:rPr>
              <w:instrText xml:space="preserve"> PAGEREF _Toc231058661 \h </w:instrText>
            </w:r>
            <w:r w:rsidRPr="00537533">
              <w:rPr>
                <w:rFonts w:ascii="Arial" w:hAnsi="Arial" w:cs="Arial"/>
                <w:noProof/>
                <w:webHidden/>
                <w:color w:val="000000" w:themeColor="text1"/>
              </w:rPr>
            </w:r>
            <w:r w:rsidRPr="00537533">
              <w:rPr>
                <w:rFonts w:ascii="Arial" w:hAnsi="Arial" w:cs="Arial"/>
                <w:noProof/>
                <w:webHidden/>
                <w:color w:val="000000" w:themeColor="text1"/>
              </w:rPr>
              <w:fldChar w:fldCharType="separate"/>
            </w:r>
            <w:r w:rsidRPr="00537533">
              <w:rPr>
                <w:rFonts w:ascii="Arial" w:hAnsi="Arial" w:cs="Arial"/>
                <w:noProof/>
                <w:webHidden/>
                <w:color w:val="000000" w:themeColor="text1"/>
              </w:rPr>
              <w:t>9</w:t>
            </w:r>
            <w:r w:rsidRPr="00537533">
              <w:rPr>
                <w:rFonts w:ascii="Arial" w:hAnsi="Arial" w:cs="Arial"/>
                <w:noProof/>
                <w:webHidden/>
                <w:color w:val="000000" w:themeColor="text1"/>
              </w:rPr>
              <w:fldChar w:fldCharType="end"/>
            </w:r>
          </w:hyperlink>
        </w:p>
        <w:p w14:paraId="6B3A1F52" w14:textId="1C9725F9" w:rsidR="002C089A" w:rsidRPr="00537533" w:rsidRDefault="002C089A" w:rsidP="002C089A">
          <w:pPr>
            <w:pStyle w:val="TOC1"/>
            <w:tabs>
              <w:tab w:val="right" w:leader="dot" w:pos="9016"/>
            </w:tabs>
            <w:spacing w:line="480" w:lineRule="auto"/>
            <w:rPr>
              <w:rFonts w:ascii="Arial" w:hAnsi="Arial" w:cs="Arial"/>
              <w:noProof/>
              <w:color w:val="000000" w:themeColor="text1"/>
            </w:rPr>
          </w:pPr>
          <w:hyperlink w:anchor="_Toc231058662" w:history="1">
            <w:r w:rsidRPr="00537533">
              <w:rPr>
                <w:rStyle w:val="Hyperlink"/>
                <w:rFonts w:ascii="Arial" w:hAnsi="Arial" w:cs="Arial"/>
                <w:noProof/>
                <w:color w:val="000000" w:themeColor="text1"/>
              </w:rPr>
              <w:t>Timeline (Gantt Chart)</w:t>
            </w:r>
            <w:r w:rsidRPr="00537533">
              <w:rPr>
                <w:rFonts w:ascii="Arial" w:hAnsi="Arial" w:cs="Arial"/>
                <w:noProof/>
                <w:webHidden/>
                <w:color w:val="000000" w:themeColor="text1"/>
              </w:rPr>
              <w:tab/>
            </w:r>
            <w:r w:rsidRPr="00537533">
              <w:rPr>
                <w:rFonts w:ascii="Arial" w:hAnsi="Arial" w:cs="Arial"/>
                <w:noProof/>
                <w:webHidden/>
                <w:color w:val="000000" w:themeColor="text1"/>
              </w:rPr>
              <w:fldChar w:fldCharType="begin"/>
            </w:r>
            <w:r w:rsidRPr="00537533">
              <w:rPr>
                <w:rFonts w:ascii="Arial" w:hAnsi="Arial" w:cs="Arial"/>
                <w:noProof/>
                <w:webHidden/>
                <w:color w:val="000000" w:themeColor="text1"/>
              </w:rPr>
              <w:instrText xml:space="preserve"> PAGEREF _Toc231058662 \h </w:instrText>
            </w:r>
            <w:r w:rsidRPr="00537533">
              <w:rPr>
                <w:rFonts w:ascii="Arial" w:hAnsi="Arial" w:cs="Arial"/>
                <w:noProof/>
                <w:webHidden/>
                <w:color w:val="000000" w:themeColor="text1"/>
              </w:rPr>
            </w:r>
            <w:r w:rsidRPr="00537533">
              <w:rPr>
                <w:rFonts w:ascii="Arial" w:hAnsi="Arial" w:cs="Arial"/>
                <w:noProof/>
                <w:webHidden/>
                <w:color w:val="000000" w:themeColor="text1"/>
              </w:rPr>
              <w:fldChar w:fldCharType="separate"/>
            </w:r>
            <w:r w:rsidRPr="00537533">
              <w:rPr>
                <w:rFonts w:ascii="Arial" w:hAnsi="Arial" w:cs="Arial"/>
                <w:noProof/>
                <w:webHidden/>
                <w:color w:val="000000" w:themeColor="text1"/>
              </w:rPr>
              <w:t>10</w:t>
            </w:r>
            <w:r w:rsidRPr="00537533">
              <w:rPr>
                <w:rFonts w:ascii="Arial" w:hAnsi="Arial" w:cs="Arial"/>
                <w:noProof/>
                <w:webHidden/>
                <w:color w:val="000000" w:themeColor="text1"/>
              </w:rPr>
              <w:fldChar w:fldCharType="end"/>
            </w:r>
          </w:hyperlink>
        </w:p>
        <w:p w14:paraId="322C19B3" w14:textId="6D987BAD" w:rsidR="002C089A" w:rsidRPr="00537533" w:rsidRDefault="002C089A">
          <w:pPr>
            <w:rPr>
              <w:rFonts w:ascii="Arial" w:hAnsi="Arial" w:cs="Arial"/>
              <w:color w:val="000000" w:themeColor="text1"/>
            </w:rPr>
          </w:pPr>
          <w:r w:rsidRPr="00537533">
            <w:rPr>
              <w:rFonts w:ascii="Arial" w:hAnsi="Arial" w:cs="Arial"/>
              <w:b/>
              <w:bCs/>
              <w:noProof/>
              <w:color w:val="000000" w:themeColor="text1"/>
            </w:rPr>
            <w:fldChar w:fldCharType="end"/>
          </w:r>
        </w:p>
      </w:sdtContent>
    </w:sdt>
    <w:p w14:paraId="157BFDE2" w14:textId="77777777" w:rsidR="002C089A" w:rsidRPr="00537533" w:rsidRDefault="002C089A">
      <w:pPr>
        <w:rPr>
          <w:rFonts w:ascii="Arial" w:eastAsiaTheme="majorEastAsia" w:hAnsi="Arial" w:cs="Arial"/>
          <w:b/>
          <w:color w:val="000000" w:themeColor="text1"/>
          <w:sz w:val="24"/>
          <w:szCs w:val="40"/>
        </w:rPr>
      </w:pPr>
      <w:r w:rsidRPr="00537533">
        <w:rPr>
          <w:rFonts w:ascii="Arial" w:hAnsi="Arial" w:cs="Arial"/>
          <w:color w:val="000000" w:themeColor="text1"/>
        </w:rPr>
        <w:br w:type="page"/>
      </w:r>
    </w:p>
    <w:p w14:paraId="34126993" w14:textId="1E53F21D" w:rsidR="00122E56" w:rsidRPr="00537533" w:rsidRDefault="00122E56" w:rsidP="00656F82">
      <w:pPr>
        <w:pStyle w:val="Heading1"/>
        <w:jc w:val="left"/>
        <w:rPr>
          <w:rFonts w:cs="Arial"/>
          <w:color w:val="000000" w:themeColor="text1"/>
        </w:rPr>
      </w:pPr>
      <w:bookmarkStart w:id="0" w:name="_Toc231058658"/>
      <w:r w:rsidRPr="00537533">
        <w:rPr>
          <w:rFonts w:cs="Arial"/>
          <w:color w:val="000000" w:themeColor="text1"/>
        </w:rPr>
        <w:t>Introduction</w:t>
      </w:r>
      <w:bookmarkEnd w:id="0"/>
    </w:p>
    <w:p w14:paraId="416901F8" w14:textId="45CE7E5C"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Background</w:t>
      </w:r>
    </w:p>
    <w:p w14:paraId="26F0C3D9" w14:textId="41210CDC"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The world of financial transactions has undergone a major transformation thanks to digital transformation. </w:t>
      </w:r>
      <w:r w:rsidR="00AD683D" w:rsidRPr="00537533">
        <w:rPr>
          <w:rFonts w:ascii="Arial" w:hAnsi="Arial" w:cs="Arial"/>
          <w:color w:val="000000" w:themeColor="text1"/>
          <w:sz w:val="24"/>
          <w:szCs w:val="24"/>
        </w:rPr>
        <w:t xml:space="preserve">According to Sleiman et al (2023), </w:t>
      </w:r>
      <w:r w:rsidRPr="00537533">
        <w:rPr>
          <w:rFonts w:ascii="Arial" w:hAnsi="Arial" w:cs="Arial"/>
          <w:color w:val="000000" w:themeColor="text1"/>
          <w:sz w:val="24"/>
          <w:szCs w:val="24"/>
        </w:rPr>
        <w:t>With many people using smartphones, having access to the internet and using various financial technologies, businesses and consumers are more likely to move away from using cash for payment toward digital payment systems. Digital payments</w:t>
      </w:r>
      <w:r w:rsidR="00AD683D" w:rsidRPr="00537533">
        <w:rPr>
          <w:rFonts w:ascii="Arial" w:hAnsi="Arial" w:cs="Arial"/>
          <w:color w:val="000000" w:themeColor="text1"/>
          <w:sz w:val="24"/>
          <w:szCs w:val="24"/>
        </w:rPr>
        <w:t xml:space="preserve">, as observed by Banna et al (2022), </w:t>
      </w:r>
      <w:r w:rsidRPr="00537533">
        <w:rPr>
          <w:rFonts w:ascii="Arial" w:hAnsi="Arial" w:cs="Arial"/>
          <w:color w:val="000000" w:themeColor="text1"/>
          <w:sz w:val="24"/>
          <w:szCs w:val="24"/>
        </w:rPr>
        <w:t>offer enhanced convenience, security, efficiency and accessibility, a key part of today's economic development. The use of digital payment has been demonstrated to promote financial inclusion, enhance the efficiency of transactions, and boost economic growth by cutting down transaction costs and expanding access to financial services, among other benefits</w:t>
      </w:r>
      <w:r w:rsidR="00590661" w:rsidRPr="00537533">
        <w:rPr>
          <w:rFonts w:ascii="Arial" w:hAnsi="Arial" w:cs="Arial"/>
          <w:color w:val="000000" w:themeColor="text1"/>
          <w:sz w:val="24"/>
          <w:szCs w:val="24"/>
        </w:rPr>
        <w:t>.</w:t>
      </w:r>
    </w:p>
    <w:p w14:paraId="7D962F39" w14:textId="6D575D73"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Today India has become one of the largest and fastest digital payment markets in the world. The Government has made a number of initiatives to push the country towards cashless payments, including Digital India, Jan Dhan Yojana and Unified Payments Interface (UPI)</w:t>
      </w:r>
      <w:r w:rsidR="00AD683D" w:rsidRPr="00537533">
        <w:rPr>
          <w:rFonts w:ascii="Arial" w:hAnsi="Arial" w:cs="Arial"/>
          <w:color w:val="000000" w:themeColor="text1"/>
          <w:sz w:val="24"/>
          <w:szCs w:val="24"/>
        </w:rPr>
        <w:t xml:space="preserve"> (Sivathanu, 2019)</w:t>
      </w:r>
      <w:r w:rsidRPr="00537533">
        <w:rPr>
          <w:rFonts w:ascii="Arial" w:hAnsi="Arial" w:cs="Arial"/>
          <w:color w:val="000000" w:themeColor="text1"/>
          <w:sz w:val="24"/>
          <w:szCs w:val="24"/>
        </w:rPr>
        <w:t>. New devices such as smart phones, cheaper Internet services and better digital skills have also driven the growing use of electronic payments. Thus, digital transactions have become a part and parcel of economic activities in both cities and villages of India.</w:t>
      </w:r>
    </w:p>
    <w:p w14:paraId="059EA448" w14:textId="2EC6959D"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role played by UPI in the digital payment system in India has been transformative as it has made bank-to-bank transactions with mobile apps a reality</w:t>
      </w:r>
      <w:r w:rsidR="007667E7" w:rsidRPr="00537533">
        <w:rPr>
          <w:rFonts w:ascii="Arial" w:hAnsi="Arial" w:cs="Arial"/>
          <w:color w:val="000000" w:themeColor="text1"/>
          <w:sz w:val="24"/>
          <w:szCs w:val="24"/>
        </w:rPr>
        <w:t xml:space="preserve"> (EY India, 2024)</w:t>
      </w:r>
      <w:r w:rsidRPr="00537533">
        <w:rPr>
          <w:rFonts w:ascii="Arial" w:hAnsi="Arial" w:cs="Arial"/>
          <w:color w:val="000000" w:themeColor="text1"/>
          <w:sz w:val="24"/>
          <w:szCs w:val="24"/>
        </w:rPr>
        <w:t>. This proliferation of QR-code payment, digital wallets and mobile banking apps has transformed the way consumers buy goods and services, and for companies to gain greater insight into the customer and streamline their operations more effectively. Perceived usefulness, convenience and trust are found to be the major factors that affect consumers' acceptance of digital payment technologies (</w:t>
      </w:r>
      <w:r w:rsidR="00656F82" w:rsidRPr="00537533">
        <w:rPr>
          <w:rFonts w:ascii="Arial" w:hAnsi="Arial" w:cs="Arial"/>
          <w:color w:val="000000" w:themeColor="text1"/>
          <w:sz w:val="24"/>
          <w:szCs w:val="24"/>
        </w:rPr>
        <w:t>Sleiman et al.</w:t>
      </w:r>
      <w:r w:rsidRPr="00537533">
        <w:rPr>
          <w:rFonts w:ascii="Arial" w:hAnsi="Arial" w:cs="Arial"/>
          <w:color w:val="000000" w:themeColor="text1"/>
          <w:sz w:val="24"/>
          <w:szCs w:val="24"/>
        </w:rPr>
        <w:t>, 2023).</w:t>
      </w:r>
    </w:p>
    <w:p w14:paraId="32111A53" w14:textId="06507EE7"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International business development opportunities have also emerged due to the expanding digital payment services. The rising demand for efficient payment mechanisms in order to facilitate international transactions has been a result of globalisation, cross border trade, international tourism and overseas education. There are a host of operational complexities and high transaction costs that come with traditional payment methods, and extended processing times are a major issue. Digital payment systems provide more efficient, transparent and cheaper options, which helps to make international business operations more efficient and improve transaction transparency (</w:t>
      </w:r>
      <w:r w:rsidR="003F34F0" w:rsidRPr="00537533">
        <w:rPr>
          <w:rFonts w:ascii="Arial" w:hAnsi="Arial" w:cs="Arial"/>
          <w:color w:val="000000" w:themeColor="text1"/>
          <w:sz w:val="24"/>
          <w:szCs w:val="24"/>
        </w:rPr>
        <w:t>Kilay</w:t>
      </w:r>
      <w:r w:rsidRPr="00537533">
        <w:rPr>
          <w:rFonts w:ascii="Arial" w:hAnsi="Arial" w:cs="Arial"/>
          <w:color w:val="000000" w:themeColor="text1"/>
          <w:sz w:val="24"/>
          <w:szCs w:val="24"/>
        </w:rPr>
        <w:t xml:space="preserve"> et al., 2022).</w:t>
      </w:r>
    </w:p>
    <w:p w14:paraId="45637B49" w14:textId="55E81748"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growing digital payment ecosystem in India offers a strong opportunity for companies looking to expand overseas. The acceptance of UPI and tie-ups between Indian and foreign payment systems in the recent days show the potential of Indian payment technologies to facilitate international transactions</w:t>
      </w:r>
      <w:r w:rsidR="007667E7" w:rsidRPr="00537533">
        <w:rPr>
          <w:rFonts w:ascii="Arial" w:hAnsi="Arial" w:cs="Arial"/>
          <w:color w:val="000000" w:themeColor="text1"/>
          <w:sz w:val="24"/>
          <w:szCs w:val="24"/>
        </w:rPr>
        <w:t xml:space="preserve"> (NPCI, 2025)</w:t>
      </w:r>
      <w:r w:rsidRPr="00537533">
        <w:rPr>
          <w:rFonts w:ascii="Arial" w:hAnsi="Arial" w:cs="Arial"/>
          <w:color w:val="000000" w:themeColor="text1"/>
          <w:sz w:val="24"/>
          <w:szCs w:val="24"/>
        </w:rPr>
        <w:t>. Yet, factors like security risks, regulatory regulations, technological constraints, and competition are still playing a role in shaping the industry's growth. Hence, it is crucial that organisations grasp how digital payment adoption can help them enhance their international business presence.</w:t>
      </w:r>
    </w:p>
    <w:p w14:paraId="22C3FB3D" w14:textId="0905FA64"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Aim and Objectives</w:t>
      </w:r>
    </w:p>
    <w:p w14:paraId="538A25A8" w14:textId="77777777"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Aim</w:t>
      </w:r>
    </w:p>
    <w:p w14:paraId="4130AEEA" w14:textId="77777777"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 understand and analyse how digital payment systems can be leveraged for international business growth via strategic expansion opportunities in Paytm.</w:t>
      </w:r>
    </w:p>
    <w:p w14:paraId="4C965897" w14:textId="62466229"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Objectives</w:t>
      </w:r>
    </w:p>
    <w:p w14:paraId="5675F81D" w14:textId="131FE5ED" w:rsidR="00994BC7" w:rsidRPr="00537533" w:rsidRDefault="00994BC7" w:rsidP="00656F82">
      <w:pPr>
        <w:pStyle w:val="ListParagraph"/>
        <w:numPr>
          <w:ilvl w:val="0"/>
          <w:numId w:val="7"/>
        </w:num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 examine Paytm's digital payment systems and existing business model.</w:t>
      </w:r>
    </w:p>
    <w:p w14:paraId="06BC5A43" w14:textId="77777777" w:rsidR="00994BC7" w:rsidRPr="00537533" w:rsidRDefault="00994BC7" w:rsidP="00656F82">
      <w:pPr>
        <w:pStyle w:val="ListParagraph"/>
        <w:numPr>
          <w:ilvl w:val="0"/>
          <w:numId w:val="7"/>
        </w:num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 examine the impact of the digital payment adoption in the growth of international business.</w:t>
      </w:r>
    </w:p>
    <w:p w14:paraId="02DF7B22" w14:textId="17F96151" w:rsidR="00994BC7" w:rsidRPr="00537533" w:rsidRDefault="00994BC7" w:rsidP="00656F82">
      <w:pPr>
        <w:pStyle w:val="ListParagraph"/>
        <w:numPr>
          <w:ilvl w:val="0"/>
          <w:numId w:val="7"/>
        </w:num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 examine opportunities and challenges in international payment expansion.</w:t>
      </w:r>
    </w:p>
    <w:p w14:paraId="52838312" w14:textId="77777777" w:rsidR="00994BC7" w:rsidRPr="00537533" w:rsidRDefault="00994BC7" w:rsidP="00656F82">
      <w:pPr>
        <w:pStyle w:val="ListParagraph"/>
        <w:numPr>
          <w:ilvl w:val="0"/>
          <w:numId w:val="7"/>
        </w:num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 evaluate technological, regulatory and competitive factors for international growth.</w:t>
      </w:r>
    </w:p>
    <w:p w14:paraId="00081731" w14:textId="1122E79A" w:rsidR="00994BC7" w:rsidRPr="00537533" w:rsidRDefault="00994BC7" w:rsidP="00656F82">
      <w:pPr>
        <w:pStyle w:val="ListParagraph"/>
        <w:numPr>
          <w:ilvl w:val="0"/>
          <w:numId w:val="7"/>
        </w:num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 suggest strategic recommendations to improve Paytm's performance in the international business.</w:t>
      </w:r>
    </w:p>
    <w:p w14:paraId="64541A51" w14:textId="45819804" w:rsidR="00AD683D" w:rsidRPr="00537533" w:rsidRDefault="00AD683D"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Rationale</w:t>
      </w:r>
    </w:p>
    <w:p w14:paraId="155B958D" w14:textId="724ADD7B" w:rsidR="00AD683D" w:rsidRPr="00537533" w:rsidRDefault="00AD683D"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aim and objective have been designed to see how digital payment adoption can help in the growth of international business via Paytm. With the growing shift towards digital payments in business transactions, companies are looking beyond their borders to other markets. Paytm has carved a niche for itself in India's digital payment space and is an apt case study for international expansion. The purpose of the objectives is to analyse the existing business model, evaluate the effect of the digital payment on international business activities, understand the growth areas and challenges, understand external influencing factors and come up with strategic recommendations that can contribute to the sustainable growth of international business activities and its competitiveness for the company Paytm.</w:t>
      </w:r>
    </w:p>
    <w:p w14:paraId="66F9CE19" w14:textId="77777777" w:rsidR="00872B8F" w:rsidRPr="00537533" w:rsidRDefault="00872B8F" w:rsidP="00656F82">
      <w:pPr>
        <w:spacing w:line="360" w:lineRule="auto"/>
        <w:jc w:val="both"/>
        <w:rPr>
          <w:rFonts w:ascii="Arial" w:hAnsi="Arial" w:cs="Arial"/>
          <w:b/>
          <w:bCs/>
          <w:color w:val="000000" w:themeColor="text1"/>
          <w:sz w:val="24"/>
          <w:szCs w:val="24"/>
        </w:rPr>
      </w:pPr>
    </w:p>
    <w:p w14:paraId="2B34B450" w14:textId="5AA78081"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Company</w:t>
      </w:r>
    </w:p>
    <w:p w14:paraId="40152596" w14:textId="4DFF7A9F"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Paytm, owned by One 97 Communications Limited, is a leading digital payment and financial services company in India. Vijay Shekhar Sharma established the company in 2010 and started by providing mobile recharge </w:t>
      </w:r>
      <w:r w:rsidR="007331CB" w:rsidRPr="00537533">
        <w:rPr>
          <w:rFonts w:ascii="Arial" w:hAnsi="Arial" w:cs="Arial"/>
          <w:color w:val="000000" w:themeColor="text1"/>
          <w:sz w:val="24"/>
          <w:szCs w:val="24"/>
        </w:rPr>
        <w:t>services and</w:t>
      </w:r>
      <w:r w:rsidRPr="00537533">
        <w:rPr>
          <w:rFonts w:ascii="Arial" w:hAnsi="Arial" w:cs="Arial"/>
          <w:color w:val="000000" w:themeColor="text1"/>
          <w:sz w:val="24"/>
          <w:szCs w:val="24"/>
        </w:rPr>
        <w:t xml:space="preserve"> later transitioned to a full-fledged digital financial ecosystem. Today, Paytm has several services such as UPI payment, digital wallet, payments for merchants, QR code payment, payment gateway, ticket booking, bill payment, and financial services.</w:t>
      </w:r>
    </w:p>
    <w:p w14:paraId="064FC69C" w14:textId="6B359EBB"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Through technological innovation and the delivery of customer-centric services, the company has built a solid foothold in India's digital payment sector</w:t>
      </w:r>
      <w:r w:rsidR="00AD683D" w:rsidRPr="00537533">
        <w:rPr>
          <w:rFonts w:ascii="Arial" w:hAnsi="Arial" w:cs="Arial"/>
          <w:color w:val="000000" w:themeColor="text1"/>
          <w:sz w:val="24"/>
          <w:szCs w:val="24"/>
        </w:rPr>
        <w:t xml:space="preserve"> (One 97 Communications Ltd., 2025)</w:t>
      </w:r>
      <w:r w:rsidRPr="00537533">
        <w:rPr>
          <w:rFonts w:ascii="Arial" w:hAnsi="Arial" w:cs="Arial"/>
          <w:color w:val="000000" w:themeColor="text1"/>
          <w:sz w:val="24"/>
          <w:szCs w:val="24"/>
        </w:rPr>
        <w:t xml:space="preserve">. Paytm has a large infrastructure to facilitate online and offline </w:t>
      </w:r>
      <w:r w:rsidR="007331CB" w:rsidRPr="00537533">
        <w:rPr>
          <w:rFonts w:ascii="Arial" w:hAnsi="Arial" w:cs="Arial"/>
          <w:color w:val="000000" w:themeColor="text1"/>
          <w:sz w:val="24"/>
          <w:szCs w:val="24"/>
        </w:rPr>
        <w:t>transactions and</w:t>
      </w:r>
      <w:r w:rsidRPr="00537533">
        <w:rPr>
          <w:rFonts w:ascii="Arial" w:hAnsi="Arial" w:cs="Arial"/>
          <w:color w:val="000000" w:themeColor="text1"/>
          <w:sz w:val="24"/>
          <w:szCs w:val="24"/>
        </w:rPr>
        <w:t xml:space="preserve"> has served millions of users and merchants. It has a merchant network and integrated payment system that allows businesses to process digital payments easily and enhance customer experience.</w:t>
      </w:r>
    </w:p>
    <w:p w14:paraId="3D82FD5A" w14:textId="77777777"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Paytm's business is diversified with payment, merchant subscription, lending partnerships and financial services. The activities have helped to diversify the company's revenue and enhanced its competitiveness. Paytm stands as one of the most popular digital payment brands in India, even though it is competing with other payment platforms like PhonePe, Google Pay, Amazon Pay, BharatPe and Razorpay.</w:t>
      </w:r>
    </w:p>
    <w:p w14:paraId="1DA7E95E" w14:textId="4CBEA6BC"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Its technological capabilities, customer base and </w:t>
      </w:r>
      <w:r w:rsidR="007331CB" w:rsidRPr="00537533">
        <w:rPr>
          <w:rFonts w:ascii="Arial" w:hAnsi="Arial" w:cs="Arial"/>
          <w:color w:val="000000" w:themeColor="text1"/>
          <w:sz w:val="24"/>
          <w:szCs w:val="24"/>
        </w:rPr>
        <w:t>widespread</w:t>
      </w:r>
      <w:r w:rsidRPr="00537533">
        <w:rPr>
          <w:rFonts w:ascii="Arial" w:hAnsi="Arial" w:cs="Arial"/>
          <w:color w:val="000000" w:themeColor="text1"/>
          <w:sz w:val="24"/>
          <w:szCs w:val="24"/>
        </w:rPr>
        <w:t xml:space="preserve"> merchant network lends it a solid platform to grow from. With the growing penetration of digital payments across the globe, Paytm has the potential to delve into international business expansion and cross-border payment solutions.</w:t>
      </w:r>
    </w:p>
    <w:p w14:paraId="201DA4BC" w14:textId="77777777" w:rsidR="00537533" w:rsidRDefault="00537533" w:rsidP="00656F82">
      <w:pPr>
        <w:spacing w:line="360" w:lineRule="auto"/>
        <w:jc w:val="both"/>
        <w:rPr>
          <w:rFonts w:ascii="Arial" w:hAnsi="Arial" w:cs="Arial"/>
          <w:b/>
          <w:bCs/>
          <w:color w:val="000000" w:themeColor="text1"/>
          <w:sz w:val="24"/>
          <w:szCs w:val="24"/>
        </w:rPr>
      </w:pPr>
    </w:p>
    <w:p w14:paraId="0276C213" w14:textId="77777777" w:rsidR="00537533" w:rsidRDefault="00537533" w:rsidP="00656F82">
      <w:pPr>
        <w:spacing w:line="360" w:lineRule="auto"/>
        <w:jc w:val="both"/>
        <w:rPr>
          <w:rFonts w:ascii="Arial" w:hAnsi="Arial" w:cs="Arial"/>
          <w:b/>
          <w:bCs/>
          <w:color w:val="000000" w:themeColor="text1"/>
          <w:sz w:val="24"/>
          <w:szCs w:val="24"/>
        </w:rPr>
      </w:pPr>
    </w:p>
    <w:p w14:paraId="2697969C" w14:textId="2C4587C8"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Idea Description</w:t>
      </w:r>
    </w:p>
    <w:p w14:paraId="41CB3ED2" w14:textId="77777777"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This is a business development idea that would be based on the expansion of Paytm's business in the international market by promoting digital payments. The suggested plan is to harness India's fast-growing digital payment ecosystem and Paytm's technology prowess for facilitating overseas payments and international business operations.</w:t>
      </w:r>
    </w:p>
    <w:p w14:paraId="2D35CE8A" w14:textId="77777777"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recommendation in the proposed concept is that Paytm should increase its services to international payments and reach out to customers like international students, migrant workers, tourists, exporters and small businesses with international trade. Such groups often need secure, efficient and cost-effective payment mechanisms to make payments between countries. The addition of this feature will help Paytm overcome certain challenges in the traditional cross-border payment arena.</w:t>
      </w:r>
    </w:p>
    <w:p w14:paraId="04414C38" w14:textId="77777777"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Another significant piece of the proposal is through strategic partnerships. Foreign banks, payment providers and financial institutions can play a part in developing the seamless payment networks between countries. Such collaboration can enhance the interoperability of payment systems, which can boost the convenience of Paytm's services in overseas markets.</w:t>
      </w:r>
    </w:p>
    <w:p w14:paraId="5815A9C7" w14:textId="49680F55"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Technological innovation is also key to the proposed strategy. Implementing advanced cybersecurity systems, AI-powered fraud detection tools, and advanced authentication techniques can enhance the security of transactions and build trust among customers. According to research, trust and security are key factors in the adoption of digital payments and customer retention (</w:t>
      </w:r>
      <w:r w:rsidR="00656F82" w:rsidRPr="00537533">
        <w:rPr>
          <w:rFonts w:ascii="Arial" w:hAnsi="Arial" w:cs="Arial"/>
          <w:color w:val="000000" w:themeColor="text1"/>
          <w:sz w:val="24"/>
          <w:szCs w:val="24"/>
        </w:rPr>
        <w:t>Sleiman et al.</w:t>
      </w:r>
      <w:r w:rsidRPr="00537533">
        <w:rPr>
          <w:rFonts w:ascii="Arial" w:hAnsi="Arial" w:cs="Arial"/>
          <w:color w:val="000000" w:themeColor="text1"/>
          <w:sz w:val="24"/>
          <w:szCs w:val="24"/>
        </w:rPr>
        <w:t>, 2023).</w:t>
      </w:r>
    </w:p>
    <w:p w14:paraId="5739D388" w14:textId="77777777"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Moreover, the proposal underscores service to merchants, to facilitate international e-commerce and cross-border business transactions. With the rise of global e-commerce, businesses need to have a secure payment system that can handle international transactions. With strategic expansion and technological advancements, Paytm could become one of the major players in the global digital payment sector.</w:t>
      </w:r>
    </w:p>
    <w:p w14:paraId="1AC4D49C" w14:textId="77777777" w:rsidR="00537533" w:rsidRDefault="00537533" w:rsidP="002C089A">
      <w:pPr>
        <w:pStyle w:val="Heading1"/>
        <w:jc w:val="left"/>
        <w:rPr>
          <w:rFonts w:cs="Arial"/>
          <w:color w:val="000000" w:themeColor="text1"/>
        </w:rPr>
      </w:pPr>
      <w:bookmarkStart w:id="1" w:name="_Toc231058659"/>
    </w:p>
    <w:p w14:paraId="03B26677" w14:textId="21001225" w:rsidR="00122E56" w:rsidRPr="00537533" w:rsidRDefault="00122E56" w:rsidP="002C089A">
      <w:pPr>
        <w:pStyle w:val="Heading1"/>
        <w:jc w:val="left"/>
        <w:rPr>
          <w:rFonts w:cs="Arial"/>
          <w:color w:val="000000" w:themeColor="text1"/>
        </w:rPr>
      </w:pPr>
      <w:r w:rsidRPr="00537533">
        <w:rPr>
          <w:rFonts w:cs="Arial"/>
          <w:color w:val="000000" w:themeColor="text1"/>
        </w:rPr>
        <w:t>Methodology</w:t>
      </w:r>
      <w:bookmarkEnd w:id="1"/>
    </w:p>
    <w:p w14:paraId="6E119D5F" w14:textId="77777777"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Research Design</w:t>
      </w:r>
    </w:p>
    <w:p w14:paraId="6AFA1D1F" w14:textId="5A922666"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This research is qualitative research with secondary data analysis. The research is both descriptive and analytical in nature. The descriptive part will involve an analysis of the uptake of digital payment and international business growth, while the analytical part will involve the analysis of strategic opportunities and challenges of Paytm's international expansion. This is the reason for the qualitative research to be more appropriate since it can provide greater insight into business environments, technological innovations and consumer behaviour. It enables the researcher to understand the intricate connections between digital payment usage and international business operations (</w:t>
      </w:r>
      <w:r w:rsidR="003F34F0" w:rsidRPr="00537533">
        <w:rPr>
          <w:rFonts w:ascii="Arial" w:hAnsi="Arial" w:cs="Arial"/>
          <w:color w:val="000000" w:themeColor="text1"/>
          <w:sz w:val="24"/>
          <w:szCs w:val="24"/>
        </w:rPr>
        <w:t>Braun and Clarke, 2006</w:t>
      </w:r>
      <w:r w:rsidRPr="00537533">
        <w:rPr>
          <w:rFonts w:ascii="Arial" w:hAnsi="Arial" w:cs="Arial"/>
          <w:color w:val="000000" w:themeColor="text1"/>
          <w:sz w:val="24"/>
          <w:szCs w:val="24"/>
        </w:rPr>
        <w:t>).</w:t>
      </w:r>
    </w:p>
    <w:p w14:paraId="51C2B8A6" w14:textId="77777777" w:rsidR="00D7557E" w:rsidRPr="00537533" w:rsidRDefault="00D7557E" w:rsidP="00656F82">
      <w:pPr>
        <w:spacing w:line="360" w:lineRule="auto"/>
        <w:jc w:val="both"/>
        <w:rPr>
          <w:rFonts w:ascii="Arial" w:hAnsi="Arial" w:cs="Arial"/>
          <w:b/>
          <w:bCs/>
          <w:color w:val="000000" w:themeColor="text1"/>
          <w:sz w:val="24"/>
          <w:szCs w:val="24"/>
        </w:rPr>
      </w:pPr>
    </w:p>
    <w:p w14:paraId="12FC570E" w14:textId="444CCF8A"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Data Collection Method</w:t>
      </w:r>
    </w:p>
    <w:p w14:paraId="4F3FA389" w14:textId="5B51AA0B"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research is entirely secondary based and data collected from academic journals, government publications, company reports, industry reports and market research studies. Sources consist of the Paytm annual reports, RBI publications, NPCI reports, and open access journal articles pertaining to digital payments and international business. Secondary research gives you access to a lot of information about market trends, technological innovation and consumer behaviour as well as regulatory developments. It also allows for analysis of larger industry developments without having to collect the data firsthand (</w:t>
      </w:r>
      <w:r w:rsidR="003F34F0" w:rsidRPr="00537533">
        <w:rPr>
          <w:rFonts w:ascii="Arial" w:hAnsi="Arial" w:cs="Arial"/>
          <w:color w:val="000000" w:themeColor="text1"/>
          <w:sz w:val="24"/>
          <w:szCs w:val="24"/>
        </w:rPr>
        <w:t>Areco et al., 2021</w:t>
      </w:r>
      <w:r w:rsidRPr="00537533">
        <w:rPr>
          <w:rFonts w:ascii="Arial" w:hAnsi="Arial" w:cs="Arial"/>
          <w:color w:val="000000" w:themeColor="text1"/>
          <w:sz w:val="24"/>
          <w:szCs w:val="24"/>
        </w:rPr>
        <w:t>).</w:t>
      </w:r>
    </w:p>
    <w:p w14:paraId="0EDE750A" w14:textId="47CE4526"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Analytical Approach</w:t>
      </w:r>
    </w:p>
    <w:p w14:paraId="15FC6CC4" w14:textId="00CDD583"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This study utilizes the thematic analysis method as a tool in recognizing the patterns and themes that are found in the data that had been collected. Topics are digital payment, international business, technological innovation, consumer trust, competition and regulation. Thematic analysis is a popular method for qualitative research because it allows for the systematic analysis of complex information (</w:t>
      </w:r>
      <w:r w:rsidR="003F34F0" w:rsidRPr="00537533">
        <w:rPr>
          <w:rFonts w:ascii="Arial" w:hAnsi="Arial" w:cs="Arial"/>
          <w:color w:val="000000" w:themeColor="text1"/>
          <w:sz w:val="24"/>
          <w:szCs w:val="24"/>
        </w:rPr>
        <w:t>Braun and Clarke, 2006</w:t>
      </w:r>
      <w:r w:rsidRPr="00537533">
        <w:rPr>
          <w:rFonts w:ascii="Arial" w:hAnsi="Arial" w:cs="Arial"/>
          <w:color w:val="000000" w:themeColor="text1"/>
          <w:sz w:val="24"/>
          <w:szCs w:val="24"/>
        </w:rPr>
        <w:t>).</w:t>
      </w:r>
    </w:p>
    <w:p w14:paraId="575BCBA0" w14:textId="77777777" w:rsidR="00537533" w:rsidRDefault="00537533" w:rsidP="00656F82">
      <w:pPr>
        <w:spacing w:line="360" w:lineRule="auto"/>
        <w:jc w:val="both"/>
        <w:rPr>
          <w:rFonts w:ascii="Arial" w:hAnsi="Arial" w:cs="Arial"/>
          <w:b/>
          <w:bCs/>
          <w:color w:val="000000" w:themeColor="text1"/>
          <w:sz w:val="24"/>
          <w:szCs w:val="24"/>
        </w:rPr>
      </w:pPr>
    </w:p>
    <w:p w14:paraId="4190E86B" w14:textId="0C1D33E0"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Reliability and Validity</w:t>
      </w:r>
    </w:p>
    <w:p w14:paraId="4626A2A4" w14:textId="7160E198"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Credible and authoritative sources are used to enhance reliability, such as peer reviewed journals, official reports, and company publications. Data triangulation is used to reinforce the validity of the data, with information gathered from several sources compared to find common findings and conclusions (</w:t>
      </w:r>
      <w:r w:rsidR="00656F82" w:rsidRPr="00537533">
        <w:rPr>
          <w:rFonts w:ascii="Arial" w:hAnsi="Arial" w:cs="Arial"/>
          <w:color w:val="000000" w:themeColor="text1"/>
          <w:sz w:val="24"/>
          <w:szCs w:val="24"/>
        </w:rPr>
        <w:t>Meydan and Akkaş, 2024</w:t>
      </w:r>
      <w:r w:rsidRPr="00537533">
        <w:rPr>
          <w:rFonts w:ascii="Arial" w:hAnsi="Arial" w:cs="Arial"/>
          <w:color w:val="000000" w:themeColor="text1"/>
          <w:sz w:val="24"/>
          <w:szCs w:val="24"/>
        </w:rPr>
        <w:t>).</w:t>
      </w:r>
    </w:p>
    <w:p w14:paraId="4B96C16B" w14:textId="2A9F8E66"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Weaknesses of the Methodology</w:t>
      </w:r>
    </w:p>
    <w:p w14:paraId="6C3E410F" w14:textId="51A700A1"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The main constraint of the study is the reliance on secondary data. Without primary research, there is limited access to current customer, merchant and industry insights. Also, the long-term value of some sources could diminish due to fast changing technology in the digital payment field. Even with these drawbacks, the methodology selected is robust enough to </w:t>
      </w:r>
      <w:r w:rsidR="00E275D3" w:rsidRPr="00537533">
        <w:rPr>
          <w:rFonts w:ascii="Arial" w:hAnsi="Arial" w:cs="Arial"/>
          <w:color w:val="000000" w:themeColor="text1"/>
          <w:sz w:val="24"/>
          <w:szCs w:val="24"/>
        </w:rPr>
        <w:t>analyse</w:t>
      </w:r>
      <w:r w:rsidRPr="00537533">
        <w:rPr>
          <w:rFonts w:ascii="Arial" w:hAnsi="Arial" w:cs="Arial"/>
          <w:color w:val="000000" w:themeColor="text1"/>
          <w:sz w:val="24"/>
          <w:szCs w:val="24"/>
        </w:rPr>
        <w:t xml:space="preserve"> Paytm's business opportunities in overseas markets.</w:t>
      </w:r>
    </w:p>
    <w:p w14:paraId="66B366DB" w14:textId="4F7C3D08" w:rsidR="00122E56" w:rsidRPr="00537533" w:rsidRDefault="00122E56" w:rsidP="002C089A">
      <w:pPr>
        <w:pStyle w:val="Heading1"/>
        <w:jc w:val="left"/>
        <w:rPr>
          <w:rFonts w:cs="Arial"/>
          <w:color w:val="000000" w:themeColor="text1"/>
        </w:rPr>
      </w:pPr>
      <w:bookmarkStart w:id="2" w:name="_Toc231058660"/>
      <w:r w:rsidRPr="00537533">
        <w:rPr>
          <w:rFonts w:cs="Arial"/>
          <w:color w:val="000000" w:themeColor="text1"/>
        </w:rPr>
        <w:t>Market Research and Validation</w:t>
      </w:r>
      <w:bookmarkEnd w:id="2"/>
    </w:p>
    <w:p w14:paraId="760118E4" w14:textId="2B52BE88"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Digital Payment Market Trends in India</w:t>
      </w:r>
    </w:p>
    <w:p w14:paraId="06AE2001" w14:textId="2F62987A"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In the past ten years, the digital payment market in India has shown tremendous growth and has emerged as one of the biggest digital payment systems in the world. The growth has been attributed to a number of factors, such as quick technological progress, extensive smartphone adoption, low-cost internet access and policy support</w:t>
      </w:r>
      <w:r w:rsidR="007667E7" w:rsidRPr="00537533">
        <w:rPr>
          <w:rFonts w:ascii="Arial" w:hAnsi="Arial" w:cs="Arial"/>
          <w:color w:val="000000" w:themeColor="text1"/>
          <w:sz w:val="24"/>
          <w:szCs w:val="24"/>
        </w:rPr>
        <w:t xml:space="preserve"> (KPMG India, 2025)</w:t>
      </w:r>
      <w:r w:rsidRPr="00537533">
        <w:rPr>
          <w:rFonts w:ascii="Arial" w:hAnsi="Arial" w:cs="Arial"/>
          <w:color w:val="000000" w:themeColor="text1"/>
          <w:sz w:val="24"/>
          <w:szCs w:val="24"/>
        </w:rPr>
        <w:t>. With the launch of Unified Payments Interface (UPI), the payment landscape has undergone a transformation, allowing for real-time bank account to bank account transactions via mobile devices. Accordingly, the consumers and businesses have turned to digital transaction modes over the cash mode of transaction.</w:t>
      </w:r>
    </w:p>
    <w:p w14:paraId="15E0BAA9" w14:textId="03EA32CD" w:rsidR="00122E56"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With the increased digitization of payments and the rise of tech-enabled UPI, digital wallets, QR-code payments and mobile banking applications, India's digital economy has been </w:t>
      </w:r>
      <w:r w:rsidR="00AC74E0" w:rsidRPr="00537533">
        <w:rPr>
          <w:rFonts w:ascii="Arial" w:hAnsi="Arial" w:cs="Arial"/>
          <w:color w:val="000000" w:themeColor="text1"/>
          <w:sz w:val="24"/>
          <w:szCs w:val="24"/>
        </w:rPr>
        <w:t>bolstered,</w:t>
      </w:r>
      <w:r w:rsidRPr="00537533">
        <w:rPr>
          <w:rFonts w:ascii="Arial" w:hAnsi="Arial" w:cs="Arial"/>
          <w:color w:val="000000" w:themeColor="text1"/>
          <w:sz w:val="24"/>
          <w:szCs w:val="24"/>
        </w:rPr>
        <w:t xml:space="preserve"> and financial inclusion has been promoted both in urban and rural areas</w:t>
      </w:r>
      <w:r w:rsidR="007667E7" w:rsidRPr="00537533">
        <w:rPr>
          <w:rFonts w:ascii="Arial" w:hAnsi="Arial" w:cs="Arial"/>
          <w:color w:val="000000" w:themeColor="text1"/>
          <w:sz w:val="24"/>
          <w:szCs w:val="24"/>
        </w:rPr>
        <w:t xml:space="preserve"> (MeitY, 2025)</w:t>
      </w:r>
      <w:r w:rsidRPr="00537533">
        <w:rPr>
          <w:rFonts w:ascii="Arial" w:hAnsi="Arial" w:cs="Arial"/>
          <w:color w:val="000000" w:themeColor="text1"/>
          <w:sz w:val="24"/>
          <w:szCs w:val="24"/>
        </w:rPr>
        <w:t>. Research indicated that factors such as convenience, trust, perceived usefulness, and technological accessibility would play a significant role in consumer adoption of digital payment systems (</w:t>
      </w:r>
      <w:r w:rsidR="003F34F0" w:rsidRPr="00537533">
        <w:rPr>
          <w:rFonts w:ascii="Arial" w:hAnsi="Arial" w:cs="Arial"/>
          <w:color w:val="000000" w:themeColor="text1"/>
          <w:sz w:val="24"/>
          <w:szCs w:val="24"/>
        </w:rPr>
        <w:t>Sivathanu, 2019</w:t>
      </w:r>
      <w:r w:rsidRPr="00537533">
        <w:rPr>
          <w:rFonts w:ascii="Arial" w:hAnsi="Arial" w:cs="Arial"/>
          <w:color w:val="000000" w:themeColor="text1"/>
          <w:sz w:val="24"/>
          <w:szCs w:val="24"/>
        </w:rPr>
        <w:t>). Additionally, the Covid-19 pandemic hastened the adoption of digital payments as consumers increasingly were keen to use contactless methods to avoid physical touch points. Thus, digital payments have emerged as a crucial part of the economic and business operations in India.</w:t>
      </w:r>
    </w:p>
    <w:p w14:paraId="696594E6" w14:textId="77777777"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Demand Conditions for Digital Payments and International Transactions</w:t>
      </w:r>
    </w:p>
    <w:p w14:paraId="431EB8D4" w14:textId="4299C38F"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demand for digital payment systems is still growing as the international trade grows, overseas education also, migration, tourism and cross-border e-commerce. Payments are becoming faster, more convenient, transparent and cost-effective and consumers and businesses are looking for these features. For international students, migrant workers, and tourists, it is important to have efficient payment systems that allow them to make financial transactions across countries without paying high transaction rates and waiting a long time to finish the process.</w:t>
      </w:r>
    </w:p>
    <w:p w14:paraId="7D71EA50" w14:textId="1FF01BCB"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Infrastructure and Ecosystem Limitations</w:t>
      </w:r>
    </w:p>
    <w:p w14:paraId="2C586F4A" w14:textId="77777777" w:rsidR="00590661"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While there has been significant progress in adoption of digital payments, there are a number of limitations on the infrastructure and ecosystem that are hindering market development. The disparity in digital infrastructure availability is one of the key issues. Metropolitan and urban areas can enjoy fast Internet and sophisticated digital services, while some rural and remote areas can find it difficult to access these services, potentially limiting digital payment usage</w:t>
      </w:r>
      <w:r w:rsidR="007667E7" w:rsidRPr="00537533">
        <w:rPr>
          <w:rFonts w:ascii="Arial" w:hAnsi="Arial" w:cs="Arial"/>
          <w:color w:val="000000" w:themeColor="text1"/>
          <w:sz w:val="24"/>
          <w:szCs w:val="24"/>
        </w:rPr>
        <w:t xml:space="preserve"> (Deloitte, 2024). </w:t>
      </w:r>
      <w:r w:rsidRPr="00537533">
        <w:rPr>
          <w:rFonts w:ascii="Arial" w:hAnsi="Arial" w:cs="Arial"/>
          <w:color w:val="000000" w:themeColor="text1"/>
          <w:sz w:val="24"/>
          <w:szCs w:val="24"/>
        </w:rPr>
        <w:t xml:space="preserve">Another key issue in the digital payment space is cyber security. With the rise in transaction volume, payment providers are running an even greater risk of cyberattacks, data breaches, fraud and identity theft. If consumers think it's not secure, they will be hesitant to use digital payment systems. </w:t>
      </w:r>
    </w:p>
    <w:p w14:paraId="6B4A73FB" w14:textId="77777777" w:rsidR="00590661" w:rsidRPr="00537533" w:rsidRDefault="00590661" w:rsidP="00656F82">
      <w:pPr>
        <w:spacing w:line="360" w:lineRule="auto"/>
        <w:jc w:val="both"/>
        <w:rPr>
          <w:rFonts w:ascii="Arial" w:hAnsi="Arial" w:cs="Arial"/>
          <w:color w:val="000000" w:themeColor="text1"/>
          <w:sz w:val="24"/>
          <w:szCs w:val="24"/>
        </w:rPr>
      </w:pPr>
    </w:p>
    <w:p w14:paraId="015039E8" w14:textId="77777777" w:rsidR="00590661" w:rsidRPr="00537533" w:rsidRDefault="00590661" w:rsidP="00656F82">
      <w:pPr>
        <w:spacing w:line="360" w:lineRule="auto"/>
        <w:jc w:val="both"/>
        <w:rPr>
          <w:rFonts w:ascii="Arial" w:hAnsi="Arial" w:cs="Arial"/>
          <w:color w:val="000000" w:themeColor="text1"/>
          <w:sz w:val="24"/>
          <w:szCs w:val="24"/>
        </w:rPr>
      </w:pPr>
    </w:p>
    <w:p w14:paraId="0D0272A1" w14:textId="22506570" w:rsidR="00122E56" w:rsidRPr="00537533" w:rsidRDefault="00122E56" w:rsidP="00656F82">
      <w:pPr>
        <w:spacing w:line="360" w:lineRule="auto"/>
        <w:jc w:val="both"/>
        <w:rPr>
          <w:rFonts w:ascii="Arial" w:hAnsi="Arial" w:cs="Arial"/>
          <w:color w:val="000000" w:themeColor="text1"/>
          <w:sz w:val="24"/>
          <w:szCs w:val="24"/>
        </w:rPr>
      </w:pPr>
      <w:r w:rsidRPr="00537533">
        <w:rPr>
          <w:rFonts w:ascii="Arial" w:hAnsi="Arial" w:cs="Arial"/>
          <w:b/>
          <w:bCs/>
          <w:color w:val="000000" w:themeColor="text1"/>
          <w:sz w:val="24"/>
          <w:szCs w:val="24"/>
        </w:rPr>
        <w:t>Policy and Government Support</w:t>
      </w:r>
    </w:p>
    <w:p w14:paraId="747333E0" w14:textId="439B94E0" w:rsidR="00D85676" w:rsidRPr="00537533" w:rsidRDefault="00D85676"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adoption of digital payment has been greatly influenced by the government promotion in India. A number of initiatives like Jan Dhan Yojana, financial inclusion programmes, and Digital India have motivated consumers and businesses to use electronic payment options</w:t>
      </w:r>
      <w:r w:rsidR="007667E7" w:rsidRPr="00537533">
        <w:rPr>
          <w:rFonts w:ascii="Arial" w:hAnsi="Arial" w:cs="Arial"/>
          <w:color w:val="000000" w:themeColor="text1"/>
          <w:sz w:val="24"/>
          <w:szCs w:val="24"/>
        </w:rPr>
        <w:t xml:space="preserve"> (Government of India, 2025)</w:t>
      </w:r>
      <w:r w:rsidRPr="00537533">
        <w:rPr>
          <w:rFonts w:ascii="Arial" w:hAnsi="Arial" w:cs="Arial"/>
          <w:color w:val="000000" w:themeColor="text1"/>
          <w:sz w:val="24"/>
          <w:szCs w:val="24"/>
        </w:rPr>
        <w:t>. Such policies have contributed to better banking services and enhanced digital infrastructure, fostering conducive conditions for payment innovation.</w:t>
      </w:r>
    </w:p>
    <w:p w14:paraId="029A003B" w14:textId="1FDACAD1" w:rsidR="00D85676" w:rsidRPr="00537533" w:rsidRDefault="00D85676"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Reserve Bank of India (RBI) and the National Payments Corporation of India (NPCI) have also played a significant role in the evolution of the digital payment system. Their work in enhancing payment security, bolstering regulatory standards, and fostering technological advancements has boosted consumer trust in digital payments</w:t>
      </w:r>
      <w:r w:rsidR="00AD683D" w:rsidRPr="00537533">
        <w:rPr>
          <w:rFonts w:ascii="Arial" w:hAnsi="Arial" w:cs="Arial"/>
          <w:color w:val="000000" w:themeColor="text1"/>
          <w:sz w:val="24"/>
          <w:szCs w:val="24"/>
        </w:rPr>
        <w:t xml:space="preserve"> (RBI, 2025)</w:t>
      </w:r>
      <w:r w:rsidRPr="00537533">
        <w:rPr>
          <w:rFonts w:ascii="Arial" w:hAnsi="Arial" w:cs="Arial"/>
          <w:color w:val="000000" w:themeColor="text1"/>
          <w:sz w:val="24"/>
          <w:szCs w:val="24"/>
        </w:rPr>
        <w:t>. Furthermore, the government's push for cashless payments has spurred businesses and the merchant community to adopt digital payment systems.</w:t>
      </w:r>
    </w:p>
    <w:p w14:paraId="21711D79" w14:textId="60046E5A"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Technological Strength and Competitive Position</w:t>
      </w:r>
    </w:p>
    <w:p w14:paraId="02E50C26" w14:textId="05882AE2"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company has a large merchant network, payment gateways, QR-code payment and mobile application which make them competitive. Paytm has also made significant efforts to enhance the customer experience, increase efficiency and ensure the security of transactions, all through technological innovations. These capabilities are even more critical with the changing expectations of customers and increasing competition</w:t>
      </w:r>
      <w:r w:rsidR="00AD683D" w:rsidRPr="00537533">
        <w:rPr>
          <w:rFonts w:ascii="Arial" w:hAnsi="Arial" w:cs="Arial"/>
          <w:color w:val="000000" w:themeColor="text1"/>
          <w:sz w:val="24"/>
          <w:szCs w:val="24"/>
        </w:rPr>
        <w:t xml:space="preserve"> (PwC India, 2024)</w:t>
      </w:r>
      <w:r w:rsidRPr="00537533">
        <w:rPr>
          <w:rFonts w:ascii="Arial" w:hAnsi="Arial" w:cs="Arial"/>
          <w:color w:val="000000" w:themeColor="text1"/>
          <w:sz w:val="24"/>
          <w:szCs w:val="24"/>
        </w:rPr>
        <w:t>.</w:t>
      </w:r>
    </w:p>
    <w:p w14:paraId="6D042BA8" w14:textId="77777777"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But Paytm is strongly contending with the big boys like PhonePe, Google Pay, Amazon Pay, BharatPe and Razorpay. These players are also ploughing a lot of money in customer acquisition, technology development and strategic collaborations. Paytm will need to keep innovating its services and enhancing its customer relationships while also looking towards new market opportunities to stay competitive, especially in foreign markets.</w:t>
      </w:r>
    </w:p>
    <w:p w14:paraId="144F0078" w14:textId="7FA4B6C2"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Market Validation and Opportunity Assessment</w:t>
      </w:r>
    </w:p>
    <w:p w14:paraId="43A50DF8" w14:textId="4A432B2D" w:rsidR="00994BC7" w:rsidRPr="00537533" w:rsidRDefault="00537533"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Even though</w:t>
      </w:r>
      <w:r w:rsidR="00994BC7" w:rsidRPr="00537533">
        <w:rPr>
          <w:rFonts w:ascii="Arial" w:hAnsi="Arial" w:cs="Arial"/>
          <w:color w:val="000000" w:themeColor="text1"/>
          <w:sz w:val="24"/>
          <w:szCs w:val="24"/>
        </w:rPr>
        <w:t xml:space="preserve"> the market research shows that international growth is possible, and has good potential for it, it is possible to do it through the adoption of digital payments. The growing number of digital transactions, expansion of cross border trade and the acceptance of Indian payment technologies suggest a positive market environment. Digital financial services are gaining in acceptance by consumers, and businesses are taking the plunge and implementing digital payment solutions to increase efficiency and customer convenience.</w:t>
      </w:r>
    </w:p>
    <w:p w14:paraId="0461BAE8" w14:textId="1687FAF9"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Research shows that the adoption of digital payment has a positive impact on the customer experience, operational efficiency, and business performance, providing opportunities for sustainable growth and competitive advantage (</w:t>
      </w:r>
      <w:r w:rsidR="003F34F0" w:rsidRPr="00537533">
        <w:rPr>
          <w:rFonts w:ascii="Arial" w:hAnsi="Arial" w:cs="Arial"/>
          <w:color w:val="000000" w:themeColor="text1"/>
          <w:sz w:val="24"/>
          <w:szCs w:val="24"/>
        </w:rPr>
        <w:t>Kilay</w:t>
      </w:r>
      <w:r w:rsidRPr="00537533">
        <w:rPr>
          <w:rFonts w:ascii="Arial" w:hAnsi="Arial" w:cs="Arial"/>
          <w:color w:val="000000" w:themeColor="text1"/>
          <w:sz w:val="24"/>
          <w:szCs w:val="24"/>
        </w:rPr>
        <w:t xml:space="preserve"> et al., 2022). Thus, Paytm has ample opportunities to explore the global market and consolidate its position in the global digital payment ecosystem with its tech infrastructure, customer base and merchant network.</w:t>
      </w:r>
    </w:p>
    <w:p w14:paraId="5D4CD2EB" w14:textId="5296F5D5" w:rsidR="00122E56" w:rsidRPr="00537533" w:rsidRDefault="00122E56" w:rsidP="002C089A">
      <w:pPr>
        <w:pStyle w:val="Heading1"/>
        <w:jc w:val="left"/>
        <w:rPr>
          <w:rFonts w:cs="Arial"/>
          <w:color w:val="000000" w:themeColor="text1"/>
        </w:rPr>
      </w:pPr>
      <w:bookmarkStart w:id="3" w:name="_Toc231058661"/>
      <w:r w:rsidRPr="00537533">
        <w:rPr>
          <w:rFonts w:cs="Arial"/>
          <w:color w:val="000000" w:themeColor="text1"/>
        </w:rPr>
        <w:t>Risks</w:t>
      </w:r>
      <w:bookmarkEnd w:id="3"/>
    </w:p>
    <w:p w14:paraId="47FB2F4B" w14:textId="54849D4B" w:rsidR="00122E56" w:rsidRPr="00537533" w:rsidRDefault="00122E56"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Financial and Cost Risks</w:t>
      </w:r>
    </w:p>
    <w:p w14:paraId="642B97E9" w14:textId="77777777" w:rsidR="00FC4C7B" w:rsidRPr="00537533" w:rsidRDefault="00FC4C7B"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 gain entry into international markets, many technology infrastructure, cyber security systems, regulatory compliance and partnership development aspects must be invested. Unexpected expenses, fluctuations in currency and less certain returns on the market can affect profitability and strategic plans can be delayed.</w:t>
      </w:r>
    </w:p>
    <w:p w14:paraId="3E2A2CD3" w14:textId="0C7AF592" w:rsidR="00994BC7" w:rsidRPr="00537533" w:rsidRDefault="00994BC7"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Operational Risk and Partnership Risk.</w:t>
      </w:r>
    </w:p>
    <w:p w14:paraId="2F23CEB8" w14:textId="4C124F3D" w:rsidR="00FC4C7B" w:rsidRPr="00537533" w:rsidRDefault="00FC4C7B"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Paytm is set to expand its footprint overseas and working with foreign banks, payment companies and financial institutions could prove to be a </w:t>
      </w:r>
      <w:r w:rsidR="00AC74E0" w:rsidRPr="00537533">
        <w:rPr>
          <w:rFonts w:ascii="Arial" w:hAnsi="Arial" w:cs="Arial"/>
          <w:color w:val="000000" w:themeColor="text1"/>
          <w:sz w:val="24"/>
          <w:szCs w:val="24"/>
        </w:rPr>
        <w:t>gamechanger</w:t>
      </w:r>
      <w:r w:rsidRPr="00537533">
        <w:rPr>
          <w:rFonts w:ascii="Arial" w:hAnsi="Arial" w:cs="Arial"/>
          <w:color w:val="000000" w:themeColor="text1"/>
          <w:sz w:val="24"/>
          <w:szCs w:val="24"/>
        </w:rPr>
        <w:t>. Service delivery, operation efficiency, customer experience could be impacted if these relationships were disrupted.</w:t>
      </w:r>
    </w:p>
    <w:p w14:paraId="56A4DA7E" w14:textId="629CA99D" w:rsidR="00994BC7" w:rsidRPr="00537533" w:rsidRDefault="00994BC7"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Infrastructure Risks</w:t>
      </w:r>
    </w:p>
    <w:p w14:paraId="40577669" w14:textId="6895FA75" w:rsidR="00FC4C7B" w:rsidRPr="00537533" w:rsidRDefault="00FC4C7B"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There may be technological infrastructure, payment systems and Internet connectivity disparities between countries that can pose issues with service integration and consistency. The factors may increase cost of </w:t>
      </w:r>
      <w:r w:rsidR="00AC74E0" w:rsidRPr="00537533">
        <w:rPr>
          <w:rFonts w:ascii="Arial" w:hAnsi="Arial" w:cs="Arial"/>
          <w:color w:val="000000" w:themeColor="text1"/>
          <w:sz w:val="24"/>
          <w:szCs w:val="24"/>
        </w:rPr>
        <w:t>implementation and</w:t>
      </w:r>
      <w:r w:rsidRPr="00537533">
        <w:rPr>
          <w:rFonts w:ascii="Arial" w:hAnsi="Arial" w:cs="Arial"/>
          <w:color w:val="000000" w:themeColor="text1"/>
          <w:sz w:val="24"/>
          <w:szCs w:val="24"/>
        </w:rPr>
        <w:t xml:space="preserve"> affect customer satisfaction.</w:t>
      </w:r>
    </w:p>
    <w:p w14:paraId="0E63EAFC" w14:textId="456149C2" w:rsidR="00994BC7" w:rsidRPr="00537533" w:rsidRDefault="00994BC7"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Technological Risks</w:t>
      </w:r>
    </w:p>
    <w:p w14:paraId="3674AF00" w14:textId="77777777" w:rsidR="00D7557E" w:rsidRPr="00537533" w:rsidRDefault="00FC4C7B"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Cybersecurity threat, fraud, data breaches and technological failures remain a big concern. Security breach can be detrimental to Paytm's reputation, customer trust and loss of funds.</w:t>
      </w:r>
    </w:p>
    <w:p w14:paraId="4C9F6B1B" w14:textId="77777777" w:rsidR="00D7557E" w:rsidRPr="00537533" w:rsidRDefault="00D7557E" w:rsidP="00656F82">
      <w:pPr>
        <w:spacing w:line="360" w:lineRule="auto"/>
        <w:jc w:val="both"/>
        <w:rPr>
          <w:rFonts w:ascii="Arial" w:hAnsi="Arial" w:cs="Arial"/>
          <w:color w:val="000000" w:themeColor="text1"/>
          <w:sz w:val="24"/>
          <w:szCs w:val="24"/>
        </w:rPr>
      </w:pPr>
    </w:p>
    <w:p w14:paraId="23F4F485" w14:textId="77777777" w:rsidR="00D7557E" w:rsidRPr="00537533" w:rsidRDefault="00D7557E" w:rsidP="00656F82">
      <w:pPr>
        <w:spacing w:line="360" w:lineRule="auto"/>
        <w:jc w:val="both"/>
        <w:rPr>
          <w:rFonts w:ascii="Arial" w:hAnsi="Arial" w:cs="Arial"/>
          <w:color w:val="000000" w:themeColor="text1"/>
          <w:sz w:val="24"/>
          <w:szCs w:val="24"/>
        </w:rPr>
      </w:pPr>
    </w:p>
    <w:p w14:paraId="702F0E37" w14:textId="77777777" w:rsidR="00D7557E" w:rsidRPr="00537533" w:rsidRDefault="00D7557E" w:rsidP="00656F82">
      <w:pPr>
        <w:spacing w:line="360" w:lineRule="auto"/>
        <w:jc w:val="both"/>
        <w:rPr>
          <w:rFonts w:ascii="Arial" w:hAnsi="Arial" w:cs="Arial"/>
          <w:color w:val="000000" w:themeColor="text1"/>
          <w:sz w:val="24"/>
          <w:szCs w:val="24"/>
        </w:rPr>
      </w:pPr>
    </w:p>
    <w:p w14:paraId="4E385644" w14:textId="77777777" w:rsidR="00590661" w:rsidRPr="00537533" w:rsidRDefault="00590661" w:rsidP="00656F82">
      <w:pPr>
        <w:spacing w:line="360" w:lineRule="auto"/>
        <w:jc w:val="both"/>
        <w:rPr>
          <w:rFonts w:ascii="Arial" w:hAnsi="Arial" w:cs="Arial"/>
          <w:b/>
          <w:bCs/>
          <w:color w:val="000000" w:themeColor="text1"/>
          <w:sz w:val="24"/>
          <w:szCs w:val="24"/>
        </w:rPr>
      </w:pPr>
    </w:p>
    <w:p w14:paraId="07C1A4AD" w14:textId="77777777" w:rsidR="00590661" w:rsidRPr="00537533" w:rsidRDefault="00590661" w:rsidP="00656F82">
      <w:pPr>
        <w:spacing w:line="360" w:lineRule="auto"/>
        <w:jc w:val="both"/>
        <w:rPr>
          <w:rFonts w:ascii="Arial" w:hAnsi="Arial" w:cs="Arial"/>
          <w:b/>
          <w:bCs/>
          <w:color w:val="000000" w:themeColor="text1"/>
          <w:sz w:val="24"/>
          <w:szCs w:val="24"/>
        </w:rPr>
      </w:pPr>
    </w:p>
    <w:p w14:paraId="2291D236" w14:textId="62523B81" w:rsidR="00994BC7" w:rsidRPr="00537533" w:rsidRDefault="00994BC7" w:rsidP="00656F82">
      <w:pPr>
        <w:spacing w:line="360" w:lineRule="auto"/>
        <w:jc w:val="both"/>
        <w:rPr>
          <w:rFonts w:ascii="Arial" w:hAnsi="Arial" w:cs="Arial"/>
          <w:color w:val="000000" w:themeColor="text1"/>
          <w:sz w:val="24"/>
          <w:szCs w:val="24"/>
        </w:rPr>
      </w:pPr>
      <w:r w:rsidRPr="00537533">
        <w:rPr>
          <w:rFonts w:ascii="Arial" w:hAnsi="Arial" w:cs="Arial"/>
          <w:b/>
          <w:bCs/>
          <w:color w:val="000000" w:themeColor="text1"/>
          <w:sz w:val="24"/>
          <w:szCs w:val="24"/>
        </w:rPr>
        <w:t>Market and Regulatory Risks</w:t>
      </w:r>
    </w:p>
    <w:p w14:paraId="756A3193" w14:textId="0EA1BCE7" w:rsidR="00256E2A" w:rsidRPr="00537533" w:rsidRDefault="00FC4C7B" w:rsidP="00D7557E">
      <w:pPr>
        <w:spacing w:line="360" w:lineRule="auto"/>
        <w:jc w:val="both"/>
        <w:rPr>
          <w:rFonts w:ascii="Arial" w:hAnsi="Arial" w:cs="Arial"/>
          <w:b/>
          <w:color w:val="000000" w:themeColor="text1"/>
          <w:sz w:val="24"/>
          <w:szCs w:val="24"/>
        </w:rPr>
      </w:pPr>
      <w:bookmarkStart w:id="4" w:name="_Toc231058662"/>
      <w:r w:rsidRPr="00537533">
        <w:rPr>
          <w:rFonts w:ascii="Arial" w:hAnsi="Arial" w:cs="Arial"/>
          <w:color w:val="000000" w:themeColor="text1"/>
          <w:sz w:val="24"/>
          <w:szCs w:val="24"/>
        </w:rPr>
        <w:t xml:space="preserve">Government policies and regulations, financial policies and data protection requirements may affect international operations. Furthermore, market entry and market growth may be hindered by international payment providers and trends in the consumer </w:t>
      </w:r>
      <w:r w:rsidR="00D2042E" w:rsidRPr="00537533">
        <w:rPr>
          <w:rFonts w:ascii="Arial" w:hAnsi="Arial" w:cs="Arial"/>
          <w:color w:val="000000" w:themeColor="text1"/>
          <w:sz w:val="24"/>
          <w:szCs w:val="24"/>
        </w:rPr>
        <w:t>behaviour.</w:t>
      </w:r>
      <w:r w:rsidR="00D2042E" w:rsidRPr="00537533">
        <w:rPr>
          <w:rFonts w:ascii="Arial" w:hAnsi="Arial" w:cs="Arial"/>
          <w:color w:val="000000" w:themeColor="text1"/>
        </w:rPr>
        <w:t xml:space="preserve"> TimeLine</w:t>
      </w:r>
      <w:r w:rsidR="00256E2A" w:rsidRPr="00537533">
        <w:rPr>
          <w:rFonts w:ascii="Arial" w:hAnsi="Arial" w:cs="Arial"/>
          <w:color w:val="000000" w:themeColor="text1"/>
        </w:rPr>
        <w:t xml:space="preserve"> (Gantt Chart)</w:t>
      </w:r>
      <w:bookmarkEnd w:id="4"/>
    </w:p>
    <w:p w14:paraId="05FCD894" w14:textId="6AC0EECD" w:rsidR="00256E2A" w:rsidRPr="00537533" w:rsidRDefault="00FC4C7B"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The proposed project will be accomplished in 1</w:t>
      </w:r>
      <w:r w:rsidR="006B1098">
        <w:rPr>
          <w:rFonts w:ascii="Arial" w:hAnsi="Arial" w:cs="Arial"/>
          <w:color w:val="000000" w:themeColor="text1"/>
          <w:sz w:val="24"/>
          <w:szCs w:val="24"/>
        </w:rPr>
        <w:t>6</w:t>
      </w:r>
      <w:r w:rsidRPr="00537533">
        <w:rPr>
          <w:rFonts w:ascii="Arial" w:hAnsi="Arial" w:cs="Arial"/>
          <w:color w:val="000000" w:themeColor="text1"/>
          <w:sz w:val="24"/>
          <w:szCs w:val="24"/>
        </w:rPr>
        <w:t xml:space="preserve"> weeks. The timeline includes literature review, secondary data collection, market analysis, strategic recommendations, risk assessment and preparing the final report.</w:t>
      </w:r>
    </w:p>
    <w:tbl>
      <w:tblPr>
        <w:tblW w:w="1024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9"/>
        <w:gridCol w:w="1297"/>
        <w:gridCol w:w="1260"/>
        <w:gridCol w:w="1170"/>
        <w:gridCol w:w="1060"/>
        <w:gridCol w:w="949"/>
        <w:gridCol w:w="949"/>
        <w:gridCol w:w="992"/>
        <w:gridCol w:w="992"/>
      </w:tblGrid>
      <w:tr w:rsidR="006C4C95" w:rsidRPr="00537533" w14:paraId="3F9394EE" w14:textId="0E6E9436" w:rsidTr="00E57732">
        <w:trPr>
          <w:trHeight w:val="32"/>
          <w:tblCellSpacing w:w="15" w:type="dxa"/>
        </w:trPr>
        <w:tc>
          <w:tcPr>
            <w:tcW w:w="1533" w:type="dxa"/>
            <w:vAlign w:val="center"/>
            <w:hideMark/>
          </w:tcPr>
          <w:p w14:paraId="500D6920" w14:textId="77777777"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Activities</w:t>
            </w:r>
          </w:p>
        </w:tc>
        <w:tc>
          <w:tcPr>
            <w:tcW w:w="1267" w:type="dxa"/>
            <w:vAlign w:val="center"/>
            <w:hideMark/>
          </w:tcPr>
          <w:p w14:paraId="2D86D5C8" w14:textId="36329824"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Week -2</w:t>
            </w:r>
          </w:p>
        </w:tc>
        <w:tc>
          <w:tcPr>
            <w:tcW w:w="1230" w:type="dxa"/>
            <w:vAlign w:val="center"/>
            <w:hideMark/>
          </w:tcPr>
          <w:p w14:paraId="28C41560" w14:textId="4E035CC4"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Week -4</w:t>
            </w:r>
          </w:p>
        </w:tc>
        <w:tc>
          <w:tcPr>
            <w:tcW w:w="1140" w:type="dxa"/>
            <w:vAlign w:val="center"/>
            <w:hideMark/>
          </w:tcPr>
          <w:p w14:paraId="0574D4CD" w14:textId="720AB42D"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Week -6</w:t>
            </w:r>
          </w:p>
        </w:tc>
        <w:tc>
          <w:tcPr>
            <w:tcW w:w="1030" w:type="dxa"/>
            <w:vAlign w:val="center"/>
            <w:hideMark/>
          </w:tcPr>
          <w:p w14:paraId="6E14768A" w14:textId="1FAF0E8C"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Week -8</w:t>
            </w:r>
          </w:p>
        </w:tc>
        <w:tc>
          <w:tcPr>
            <w:tcW w:w="0" w:type="auto"/>
            <w:vAlign w:val="center"/>
            <w:hideMark/>
          </w:tcPr>
          <w:p w14:paraId="22148392" w14:textId="079B55C7"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Week-10</w:t>
            </w:r>
          </w:p>
        </w:tc>
        <w:tc>
          <w:tcPr>
            <w:tcW w:w="0" w:type="auto"/>
            <w:vAlign w:val="center"/>
            <w:hideMark/>
          </w:tcPr>
          <w:p w14:paraId="08084033" w14:textId="0727B538"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Week</w:t>
            </w:r>
            <w:r w:rsidR="00D7557E" w:rsidRPr="00537533">
              <w:rPr>
                <w:rFonts w:ascii="Arial" w:hAnsi="Arial" w:cs="Arial"/>
                <w:b/>
                <w:bCs/>
                <w:color w:val="000000" w:themeColor="text1"/>
                <w:sz w:val="24"/>
                <w:szCs w:val="24"/>
              </w:rPr>
              <w:t>-</w:t>
            </w:r>
            <w:r w:rsidRPr="00537533">
              <w:rPr>
                <w:rFonts w:ascii="Arial" w:hAnsi="Arial" w:cs="Arial"/>
                <w:b/>
                <w:bCs/>
                <w:color w:val="000000" w:themeColor="text1"/>
                <w:sz w:val="24"/>
                <w:szCs w:val="24"/>
              </w:rPr>
              <w:t>12</w:t>
            </w:r>
          </w:p>
        </w:tc>
        <w:tc>
          <w:tcPr>
            <w:tcW w:w="962" w:type="dxa"/>
          </w:tcPr>
          <w:p w14:paraId="2CB7105D" w14:textId="08A35238"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Week</w:t>
            </w:r>
            <w:r w:rsidR="00D7557E" w:rsidRPr="00537533">
              <w:rPr>
                <w:rFonts w:ascii="Arial" w:hAnsi="Arial" w:cs="Arial"/>
                <w:b/>
                <w:bCs/>
                <w:color w:val="000000" w:themeColor="text1"/>
                <w:sz w:val="24"/>
                <w:szCs w:val="24"/>
              </w:rPr>
              <w:t>-</w:t>
            </w:r>
            <w:r w:rsidRPr="00537533">
              <w:rPr>
                <w:rFonts w:ascii="Arial" w:hAnsi="Arial" w:cs="Arial"/>
                <w:b/>
                <w:bCs/>
                <w:color w:val="000000" w:themeColor="text1"/>
                <w:sz w:val="24"/>
                <w:szCs w:val="24"/>
              </w:rPr>
              <w:t>14</w:t>
            </w:r>
          </w:p>
        </w:tc>
        <w:tc>
          <w:tcPr>
            <w:tcW w:w="947" w:type="dxa"/>
          </w:tcPr>
          <w:p w14:paraId="4338A306" w14:textId="69C9BA29" w:rsidR="006C4C95" w:rsidRPr="00537533" w:rsidRDefault="006C4C95" w:rsidP="00656F82">
            <w:pPr>
              <w:spacing w:line="360" w:lineRule="auto"/>
              <w:jc w:val="both"/>
              <w:rPr>
                <w:rFonts w:ascii="Arial" w:hAnsi="Arial" w:cs="Arial"/>
                <w:b/>
                <w:bCs/>
                <w:color w:val="000000" w:themeColor="text1"/>
                <w:sz w:val="24"/>
                <w:szCs w:val="24"/>
              </w:rPr>
            </w:pPr>
            <w:r w:rsidRPr="00537533">
              <w:rPr>
                <w:rFonts w:ascii="Arial" w:hAnsi="Arial" w:cs="Arial"/>
                <w:b/>
                <w:bCs/>
                <w:color w:val="000000" w:themeColor="text1"/>
                <w:sz w:val="24"/>
                <w:szCs w:val="24"/>
              </w:rPr>
              <w:t>Week-16</w:t>
            </w:r>
          </w:p>
        </w:tc>
      </w:tr>
      <w:tr w:rsidR="006C4C95" w:rsidRPr="00537533" w14:paraId="65C4127E" w14:textId="6ED2FAFD" w:rsidTr="00E57732">
        <w:trPr>
          <w:trHeight w:val="45"/>
          <w:tblCellSpacing w:w="15" w:type="dxa"/>
        </w:trPr>
        <w:tc>
          <w:tcPr>
            <w:tcW w:w="1533" w:type="dxa"/>
            <w:vAlign w:val="center"/>
            <w:hideMark/>
          </w:tcPr>
          <w:p w14:paraId="1BC55557"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Topic selection and proposal planning</w:t>
            </w:r>
          </w:p>
        </w:tc>
        <w:tc>
          <w:tcPr>
            <w:tcW w:w="1267" w:type="dxa"/>
            <w:shd w:val="clear" w:color="auto" w:fill="ED7D31" w:themeFill="accent2"/>
            <w:vAlign w:val="center"/>
            <w:hideMark/>
          </w:tcPr>
          <w:p w14:paraId="7C67AD23"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230" w:type="dxa"/>
            <w:vAlign w:val="center"/>
            <w:hideMark/>
          </w:tcPr>
          <w:p w14:paraId="306A234F"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vAlign w:val="center"/>
            <w:hideMark/>
          </w:tcPr>
          <w:p w14:paraId="72D95075" w14:textId="77777777" w:rsidR="006C4C95" w:rsidRPr="00537533" w:rsidRDefault="006C4C95" w:rsidP="00656F82">
            <w:pPr>
              <w:spacing w:line="360" w:lineRule="auto"/>
              <w:jc w:val="both"/>
              <w:rPr>
                <w:rFonts w:ascii="Arial" w:hAnsi="Arial" w:cs="Arial"/>
                <w:color w:val="000000" w:themeColor="text1"/>
                <w:sz w:val="24"/>
                <w:szCs w:val="24"/>
              </w:rPr>
            </w:pPr>
          </w:p>
        </w:tc>
        <w:tc>
          <w:tcPr>
            <w:tcW w:w="1030" w:type="dxa"/>
            <w:vAlign w:val="center"/>
            <w:hideMark/>
          </w:tcPr>
          <w:p w14:paraId="15F092A4"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4936540D"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44435296"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1D8C9FF8"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2EF3A5A3"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26C375EB" w14:textId="54261D14" w:rsidTr="00E57732">
        <w:trPr>
          <w:trHeight w:val="31"/>
          <w:tblCellSpacing w:w="15" w:type="dxa"/>
        </w:trPr>
        <w:tc>
          <w:tcPr>
            <w:tcW w:w="1533" w:type="dxa"/>
            <w:vAlign w:val="center"/>
            <w:hideMark/>
          </w:tcPr>
          <w:p w14:paraId="2E0648FC"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Literature review</w:t>
            </w:r>
          </w:p>
        </w:tc>
        <w:tc>
          <w:tcPr>
            <w:tcW w:w="1267" w:type="dxa"/>
            <w:shd w:val="clear" w:color="auto" w:fill="ED7D31" w:themeFill="accent2"/>
            <w:vAlign w:val="center"/>
            <w:hideMark/>
          </w:tcPr>
          <w:p w14:paraId="422AC3E3"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230" w:type="dxa"/>
            <w:shd w:val="clear" w:color="auto" w:fill="4472C4" w:themeFill="accent1"/>
            <w:vAlign w:val="center"/>
            <w:hideMark/>
          </w:tcPr>
          <w:p w14:paraId="7DA9BB38"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140" w:type="dxa"/>
            <w:vAlign w:val="center"/>
            <w:hideMark/>
          </w:tcPr>
          <w:p w14:paraId="738058CA" w14:textId="77777777" w:rsidR="006C4C95" w:rsidRPr="00537533" w:rsidRDefault="006C4C95" w:rsidP="00656F82">
            <w:pPr>
              <w:spacing w:line="360" w:lineRule="auto"/>
              <w:jc w:val="both"/>
              <w:rPr>
                <w:rFonts w:ascii="Arial" w:hAnsi="Arial" w:cs="Arial"/>
                <w:color w:val="000000" w:themeColor="text1"/>
                <w:sz w:val="24"/>
                <w:szCs w:val="24"/>
              </w:rPr>
            </w:pPr>
          </w:p>
        </w:tc>
        <w:tc>
          <w:tcPr>
            <w:tcW w:w="1030" w:type="dxa"/>
            <w:vAlign w:val="center"/>
            <w:hideMark/>
          </w:tcPr>
          <w:p w14:paraId="1DDB2A8E"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7BFC5616"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1A7F754B"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0824BADD"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55367150"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7B8CA672" w14:textId="24A5FD3B" w:rsidTr="00E57732">
        <w:trPr>
          <w:trHeight w:val="31"/>
          <w:tblCellSpacing w:w="15" w:type="dxa"/>
        </w:trPr>
        <w:tc>
          <w:tcPr>
            <w:tcW w:w="1533" w:type="dxa"/>
            <w:vAlign w:val="center"/>
            <w:hideMark/>
          </w:tcPr>
          <w:p w14:paraId="338F90A3"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Secondary data collection</w:t>
            </w:r>
          </w:p>
        </w:tc>
        <w:tc>
          <w:tcPr>
            <w:tcW w:w="1267" w:type="dxa"/>
            <w:vAlign w:val="center"/>
            <w:hideMark/>
          </w:tcPr>
          <w:p w14:paraId="25AC9602"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shd w:val="clear" w:color="auto" w:fill="4472C4" w:themeFill="accent1"/>
            <w:vAlign w:val="center"/>
            <w:hideMark/>
          </w:tcPr>
          <w:p w14:paraId="69038791"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140" w:type="dxa"/>
            <w:shd w:val="clear" w:color="auto" w:fill="70AD47" w:themeFill="accent6"/>
            <w:vAlign w:val="center"/>
            <w:hideMark/>
          </w:tcPr>
          <w:p w14:paraId="4774B266"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030" w:type="dxa"/>
            <w:vAlign w:val="center"/>
            <w:hideMark/>
          </w:tcPr>
          <w:p w14:paraId="62ECBC08"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2EF67BF7"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40FE6C47"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0E95B1AE"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0EF07AE2"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220E3794" w14:textId="3AA6D74A" w:rsidTr="00E57732">
        <w:trPr>
          <w:trHeight w:val="45"/>
          <w:tblCellSpacing w:w="15" w:type="dxa"/>
        </w:trPr>
        <w:tc>
          <w:tcPr>
            <w:tcW w:w="1533" w:type="dxa"/>
            <w:vAlign w:val="center"/>
            <w:hideMark/>
          </w:tcPr>
          <w:p w14:paraId="5DDA6EA1"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Analysis of digital payment trends</w:t>
            </w:r>
          </w:p>
        </w:tc>
        <w:tc>
          <w:tcPr>
            <w:tcW w:w="1267" w:type="dxa"/>
            <w:vAlign w:val="center"/>
            <w:hideMark/>
          </w:tcPr>
          <w:p w14:paraId="1FD30336"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shd w:val="clear" w:color="auto" w:fill="4472C4" w:themeFill="accent1"/>
            <w:vAlign w:val="center"/>
            <w:hideMark/>
          </w:tcPr>
          <w:p w14:paraId="7D2EF798"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140" w:type="dxa"/>
            <w:shd w:val="clear" w:color="auto" w:fill="70AD47" w:themeFill="accent6"/>
            <w:vAlign w:val="center"/>
            <w:hideMark/>
          </w:tcPr>
          <w:p w14:paraId="0DDD7F47"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030" w:type="dxa"/>
            <w:vAlign w:val="center"/>
            <w:hideMark/>
          </w:tcPr>
          <w:p w14:paraId="0568806B"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15133023"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1C2A6916"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423A5D10"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2D9E0BA6"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41F5DA57" w14:textId="2331AA03" w:rsidTr="00E57732">
        <w:trPr>
          <w:trHeight w:val="31"/>
          <w:tblCellSpacing w:w="15" w:type="dxa"/>
        </w:trPr>
        <w:tc>
          <w:tcPr>
            <w:tcW w:w="1533" w:type="dxa"/>
            <w:vAlign w:val="center"/>
            <w:hideMark/>
          </w:tcPr>
          <w:p w14:paraId="1676E04A"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Company analysis (Paytm)</w:t>
            </w:r>
          </w:p>
        </w:tc>
        <w:tc>
          <w:tcPr>
            <w:tcW w:w="1267" w:type="dxa"/>
            <w:vAlign w:val="center"/>
            <w:hideMark/>
          </w:tcPr>
          <w:p w14:paraId="69874136"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vAlign w:val="center"/>
            <w:hideMark/>
          </w:tcPr>
          <w:p w14:paraId="04DD95A7"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shd w:val="clear" w:color="auto" w:fill="70AD47" w:themeFill="accent6"/>
            <w:vAlign w:val="center"/>
            <w:hideMark/>
          </w:tcPr>
          <w:p w14:paraId="43C2E3C3"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030" w:type="dxa"/>
            <w:shd w:val="clear" w:color="auto" w:fill="FFD966" w:themeFill="accent4" w:themeFillTint="99"/>
            <w:vAlign w:val="center"/>
            <w:hideMark/>
          </w:tcPr>
          <w:p w14:paraId="26A87D3E"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0" w:type="auto"/>
            <w:vAlign w:val="center"/>
            <w:hideMark/>
          </w:tcPr>
          <w:p w14:paraId="28D97F5A"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3AF772A4"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2D23D93A"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4353EC3D"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66C388D5" w14:textId="059AAE04" w:rsidTr="00E57732">
        <w:trPr>
          <w:trHeight w:val="31"/>
          <w:tblCellSpacing w:w="15" w:type="dxa"/>
        </w:trPr>
        <w:tc>
          <w:tcPr>
            <w:tcW w:w="1533" w:type="dxa"/>
            <w:vAlign w:val="center"/>
            <w:hideMark/>
          </w:tcPr>
          <w:p w14:paraId="0FC61081"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Market research and validation</w:t>
            </w:r>
          </w:p>
        </w:tc>
        <w:tc>
          <w:tcPr>
            <w:tcW w:w="1267" w:type="dxa"/>
            <w:vAlign w:val="center"/>
            <w:hideMark/>
          </w:tcPr>
          <w:p w14:paraId="3C73D09F"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vAlign w:val="center"/>
            <w:hideMark/>
          </w:tcPr>
          <w:p w14:paraId="42174099"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shd w:val="clear" w:color="auto" w:fill="70AD47" w:themeFill="accent6"/>
            <w:vAlign w:val="center"/>
            <w:hideMark/>
          </w:tcPr>
          <w:p w14:paraId="11160973"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1030" w:type="dxa"/>
            <w:shd w:val="clear" w:color="auto" w:fill="FFD966" w:themeFill="accent4" w:themeFillTint="99"/>
            <w:vAlign w:val="center"/>
            <w:hideMark/>
          </w:tcPr>
          <w:p w14:paraId="1575286B"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0" w:type="auto"/>
            <w:vAlign w:val="center"/>
            <w:hideMark/>
          </w:tcPr>
          <w:p w14:paraId="4A9C47B8"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6878362F"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744F1A03"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1A12785E"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58597DE9" w14:textId="51A0685E" w:rsidTr="00E57732">
        <w:trPr>
          <w:trHeight w:val="45"/>
          <w:tblCellSpacing w:w="15" w:type="dxa"/>
        </w:trPr>
        <w:tc>
          <w:tcPr>
            <w:tcW w:w="1533" w:type="dxa"/>
            <w:vAlign w:val="center"/>
            <w:hideMark/>
          </w:tcPr>
          <w:p w14:paraId="76653276"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Development of business growth strategy</w:t>
            </w:r>
          </w:p>
        </w:tc>
        <w:tc>
          <w:tcPr>
            <w:tcW w:w="1267" w:type="dxa"/>
            <w:vAlign w:val="center"/>
            <w:hideMark/>
          </w:tcPr>
          <w:p w14:paraId="234DC5F7"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vAlign w:val="center"/>
            <w:hideMark/>
          </w:tcPr>
          <w:p w14:paraId="79B05A30"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vAlign w:val="center"/>
            <w:hideMark/>
          </w:tcPr>
          <w:p w14:paraId="7D80CBE2" w14:textId="77777777" w:rsidR="006C4C95" w:rsidRPr="00537533" w:rsidRDefault="006C4C95" w:rsidP="00656F82">
            <w:pPr>
              <w:spacing w:line="360" w:lineRule="auto"/>
              <w:jc w:val="both"/>
              <w:rPr>
                <w:rFonts w:ascii="Arial" w:hAnsi="Arial" w:cs="Arial"/>
                <w:color w:val="000000" w:themeColor="text1"/>
                <w:sz w:val="24"/>
                <w:szCs w:val="24"/>
              </w:rPr>
            </w:pPr>
          </w:p>
        </w:tc>
        <w:tc>
          <w:tcPr>
            <w:tcW w:w="1030" w:type="dxa"/>
            <w:shd w:val="clear" w:color="auto" w:fill="FFD966" w:themeFill="accent4" w:themeFillTint="99"/>
            <w:vAlign w:val="center"/>
            <w:hideMark/>
          </w:tcPr>
          <w:p w14:paraId="511AA565"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0" w:type="auto"/>
            <w:shd w:val="clear" w:color="auto" w:fill="C45911" w:themeFill="accent2" w:themeFillShade="BF"/>
            <w:vAlign w:val="center"/>
            <w:hideMark/>
          </w:tcPr>
          <w:p w14:paraId="0647FD1F"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0" w:type="auto"/>
            <w:vAlign w:val="center"/>
            <w:hideMark/>
          </w:tcPr>
          <w:p w14:paraId="12C6312E"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09F5FB9E"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11D0BD29"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1CEC803D" w14:textId="0FF58DA9" w:rsidTr="00E57732">
        <w:trPr>
          <w:trHeight w:val="20"/>
          <w:tblCellSpacing w:w="15" w:type="dxa"/>
        </w:trPr>
        <w:tc>
          <w:tcPr>
            <w:tcW w:w="1533" w:type="dxa"/>
            <w:vAlign w:val="center"/>
            <w:hideMark/>
          </w:tcPr>
          <w:p w14:paraId="7C40496E"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Risk assessment</w:t>
            </w:r>
          </w:p>
        </w:tc>
        <w:tc>
          <w:tcPr>
            <w:tcW w:w="1267" w:type="dxa"/>
            <w:vAlign w:val="center"/>
            <w:hideMark/>
          </w:tcPr>
          <w:p w14:paraId="494DEF7B"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vAlign w:val="center"/>
            <w:hideMark/>
          </w:tcPr>
          <w:p w14:paraId="4DE91886"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vAlign w:val="center"/>
            <w:hideMark/>
          </w:tcPr>
          <w:p w14:paraId="025EBA87" w14:textId="77777777" w:rsidR="006C4C95" w:rsidRPr="00537533" w:rsidRDefault="006C4C95" w:rsidP="00656F82">
            <w:pPr>
              <w:spacing w:line="360" w:lineRule="auto"/>
              <w:jc w:val="both"/>
              <w:rPr>
                <w:rFonts w:ascii="Arial" w:hAnsi="Arial" w:cs="Arial"/>
                <w:color w:val="000000" w:themeColor="text1"/>
                <w:sz w:val="24"/>
                <w:szCs w:val="24"/>
              </w:rPr>
            </w:pPr>
          </w:p>
        </w:tc>
        <w:tc>
          <w:tcPr>
            <w:tcW w:w="1030" w:type="dxa"/>
            <w:shd w:val="clear" w:color="auto" w:fill="FFD966" w:themeFill="accent4" w:themeFillTint="99"/>
            <w:vAlign w:val="center"/>
            <w:hideMark/>
          </w:tcPr>
          <w:p w14:paraId="07268B76"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0" w:type="auto"/>
            <w:vAlign w:val="center"/>
            <w:hideMark/>
          </w:tcPr>
          <w:p w14:paraId="6CC0ED1B" w14:textId="702AF9A5"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40552155"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106C66A9"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5A4855F9"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20186795" w14:textId="24171989" w:rsidTr="00E57732">
        <w:trPr>
          <w:trHeight w:val="45"/>
          <w:tblCellSpacing w:w="15" w:type="dxa"/>
        </w:trPr>
        <w:tc>
          <w:tcPr>
            <w:tcW w:w="1533" w:type="dxa"/>
            <w:vAlign w:val="center"/>
            <w:hideMark/>
          </w:tcPr>
          <w:p w14:paraId="38006D24"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Writing and compilation of report</w:t>
            </w:r>
          </w:p>
        </w:tc>
        <w:tc>
          <w:tcPr>
            <w:tcW w:w="1267" w:type="dxa"/>
            <w:vAlign w:val="center"/>
            <w:hideMark/>
          </w:tcPr>
          <w:p w14:paraId="0367D4C6"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vAlign w:val="center"/>
            <w:hideMark/>
          </w:tcPr>
          <w:p w14:paraId="415A697A"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vAlign w:val="center"/>
            <w:hideMark/>
          </w:tcPr>
          <w:p w14:paraId="448D33FA" w14:textId="77777777" w:rsidR="006C4C95" w:rsidRPr="00537533" w:rsidRDefault="006C4C95" w:rsidP="00656F82">
            <w:pPr>
              <w:spacing w:line="360" w:lineRule="auto"/>
              <w:jc w:val="both"/>
              <w:rPr>
                <w:rFonts w:ascii="Arial" w:hAnsi="Arial" w:cs="Arial"/>
                <w:color w:val="000000" w:themeColor="text1"/>
                <w:sz w:val="24"/>
                <w:szCs w:val="24"/>
              </w:rPr>
            </w:pPr>
          </w:p>
        </w:tc>
        <w:tc>
          <w:tcPr>
            <w:tcW w:w="1030" w:type="dxa"/>
            <w:vAlign w:val="center"/>
            <w:hideMark/>
          </w:tcPr>
          <w:p w14:paraId="780FE2AC"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shd w:val="clear" w:color="auto" w:fill="C45911" w:themeFill="accent2" w:themeFillShade="BF"/>
            <w:vAlign w:val="center"/>
            <w:hideMark/>
          </w:tcPr>
          <w:p w14:paraId="1477CD0F"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0" w:type="auto"/>
            <w:vAlign w:val="center"/>
            <w:hideMark/>
          </w:tcPr>
          <w:p w14:paraId="53027391" w14:textId="074E3699"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247A531B"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253B5BB6"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49E437E4" w14:textId="713A1EC5" w:rsidTr="00E57732">
        <w:trPr>
          <w:trHeight w:val="45"/>
          <w:tblCellSpacing w:w="15" w:type="dxa"/>
        </w:trPr>
        <w:tc>
          <w:tcPr>
            <w:tcW w:w="1533" w:type="dxa"/>
            <w:vAlign w:val="center"/>
            <w:hideMark/>
          </w:tcPr>
          <w:p w14:paraId="634A73CD" w14:textId="4DEA32B3"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Review, editing of report</w:t>
            </w:r>
          </w:p>
        </w:tc>
        <w:tc>
          <w:tcPr>
            <w:tcW w:w="1267" w:type="dxa"/>
            <w:vAlign w:val="center"/>
            <w:hideMark/>
          </w:tcPr>
          <w:p w14:paraId="3A4973E9"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vAlign w:val="center"/>
            <w:hideMark/>
          </w:tcPr>
          <w:p w14:paraId="2EF095D3"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vAlign w:val="center"/>
            <w:hideMark/>
          </w:tcPr>
          <w:p w14:paraId="5EB093DF" w14:textId="77777777" w:rsidR="006C4C95" w:rsidRPr="00537533" w:rsidRDefault="006C4C95" w:rsidP="00656F82">
            <w:pPr>
              <w:spacing w:line="360" w:lineRule="auto"/>
              <w:jc w:val="both"/>
              <w:rPr>
                <w:rFonts w:ascii="Arial" w:hAnsi="Arial" w:cs="Arial"/>
                <w:color w:val="000000" w:themeColor="text1"/>
                <w:sz w:val="24"/>
                <w:szCs w:val="24"/>
              </w:rPr>
            </w:pPr>
          </w:p>
        </w:tc>
        <w:tc>
          <w:tcPr>
            <w:tcW w:w="1030" w:type="dxa"/>
            <w:vAlign w:val="center"/>
            <w:hideMark/>
          </w:tcPr>
          <w:p w14:paraId="3725B225"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hideMark/>
          </w:tcPr>
          <w:p w14:paraId="3C301101"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shd w:val="clear" w:color="auto" w:fill="7030A0"/>
            <w:vAlign w:val="center"/>
            <w:hideMark/>
          </w:tcPr>
          <w:p w14:paraId="1B092BDB" w14:textId="77777777"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962" w:type="dxa"/>
          </w:tcPr>
          <w:p w14:paraId="50ECC13F"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tcPr>
          <w:p w14:paraId="5DBB5A9C"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30E07B18" w14:textId="77777777" w:rsidTr="00E57732">
        <w:trPr>
          <w:trHeight w:val="45"/>
          <w:tblCellSpacing w:w="15" w:type="dxa"/>
        </w:trPr>
        <w:tc>
          <w:tcPr>
            <w:tcW w:w="1533" w:type="dxa"/>
            <w:vAlign w:val="center"/>
          </w:tcPr>
          <w:p w14:paraId="44E509F3" w14:textId="256F1984"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Proof Reading </w:t>
            </w:r>
          </w:p>
        </w:tc>
        <w:tc>
          <w:tcPr>
            <w:tcW w:w="1267" w:type="dxa"/>
            <w:vAlign w:val="center"/>
          </w:tcPr>
          <w:p w14:paraId="21BB96E8"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vAlign w:val="center"/>
          </w:tcPr>
          <w:p w14:paraId="3498FDC6"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vAlign w:val="center"/>
          </w:tcPr>
          <w:p w14:paraId="6C4C774F" w14:textId="77777777" w:rsidR="006C4C95" w:rsidRPr="00537533" w:rsidRDefault="006C4C95" w:rsidP="00656F82">
            <w:pPr>
              <w:spacing w:line="360" w:lineRule="auto"/>
              <w:jc w:val="both"/>
              <w:rPr>
                <w:rFonts w:ascii="Arial" w:hAnsi="Arial" w:cs="Arial"/>
                <w:color w:val="000000" w:themeColor="text1"/>
                <w:sz w:val="24"/>
                <w:szCs w:val="24"/>
              </w:rPr>
            </w:pPr>
          </w:p>
        </w:tc>
        <w:tc>
          <w:tcPr>
            <w:tcW w:w="1030" w:type="dxa"/>
            <w:vAlign w:val="center"/>
          </w:tcPr>
          <w:p w14:paraId="4C89FE7F"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tcPr>
          <w:p w14:paraId="64F51E15"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tcPr>
          <w:p w14:paraId="2A900491"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shd w:val="clear" w:color="auto" w:fill="BF8F00" w:themeFill="accent4" w:themeFillShade="BF"/>
          </w:tcPr>
          <w:p w14:paraId="720BE898" w14:textId="28CABF2D"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c>
          <w:tcPr>
            <w:tcW w:w="947" w:type="dxa"/>
          </w:tcPr>
          <w:p w14:paraId="4DE6F8B8" w14:textId="77777777" w:rsidR="006C4C95" w:rsidRPr="00537533" w:rsidRDefault="006C4C95" w:rsidP="00656F82">
            <w:pPr>
              <w:spacing w:line="360" w:lineRule="auto"/>
              <w:jc w:val="both"/>
              <w:rPr>
                <w:rFonts w:ascii="Arial" w:hAnsi="Arial" w:cs="Arial"/>
                <w:color w:val="000000" w:themeColor="text1"/>
                <w:sz w:val="24"/>
                <w:szCs w:val="24"/>
              </w:rPr>
            </w:pPr>
          </w:p>
        </w:tc>
      </w:tr>
      <w:tr w:rsidR="006C4C95" w:rsidRPr="00537533" w14:paraId="3DE426B0" w14:textId="77777777" w:rsidTr="00E57732">
        <w:trPr>
          <w:trHeight w:val="45"/>
          <w:tblCellSpacing w:w="15" w:type="dxa"/>
        </w:trPr>
        <w:tc>
          <w:tcPr>
            <w:tcW w:w="1533" w:type="dxa"/>
            <w:vAlign w:val="center"/>
          </w:tcPr>
          <w:p w14:paraId="6D00CD77" w14:textId="11C22A15" w:rsidR="006C4C95" w:rsidRPr="00537533" w:rsidRDefault="006C4C95"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Final Submission</w:t>
            </w:r>
          </w:p>
        </w:tc>
        <w:tc>
          <w:tcPr>
            <w:tcW w:w="1267" w:type="dxa"/>
            <w:vAlign w:val="center"/>
          </w:tcPr>
          <w:p w14:paraId="52D750D4" w14:textId="77777777" w:rsidR="006C4C95" w:rsidRPr="00537533" w:rsidRDefault="006C4C95" w:rsidP="00656F82">
            <w:pPr>
              <w:spacing w:line="360" w:lineRule="auto"/>
              <w:jc w:val="both"/>
              <w:rPr>
                <w:rFonts w:ascii="Arial" w:hAnsi="Arial" w:cs="Arial"/>
                <w:color w:val="000000" w:themeColor="text1"/>
                <w:sz w:val="24"/>
                <w:szCs w:val="24"/>
              </w:rPr>
            </w:pPr>
          </w:p>
        </w:tc>
        <w:tc>
          <w:tcPr>
            <w:tcW w:w="1230" w:type="dxa"/>
            <w:vAlign w:val="center"/>
          </w:tcPr>
          <w:p w14:paraId="2944C5EF" w14:textId="77777777" w:rsidR="006C4C95" w:rsidRPr="00537533" w:rsidRDefault="006C4C95" w:rsidP="00656F82">
            <w:pPr>
              <w:spacing w:line="360" w:lineRule="auto"/>
              <w:jc w:val="both"/>
              <w:rPr>
                <w:rFonts w:ascii="Arial" w:hAnsi="Arial" w:cs="Arial"/>
                <w:color w:val="000000" w:themeColor="text1"/>
                <w:sz w:val="24"/>
                <w:szCs w:val="24"/>
              </w:rPr>
            </w:pPr>
          </w:p>
        </w:tc>
        <w:tc>
          <w:tcPr>
            <w:tcW w:w="1140" w:type="dxa"/>
            <w:vAlign w:val="center"/>
          </w:tcPr>
          <w:p w14:paraId="4E6A3166" w14:textId="77777777" w:rsidR="006C4C95" w:rsidRPr="00537533" w:rsidRDefault="006C4C95" w:rsidP="00656F82">
            <w:pPr>
              <w:spacing w:line="360" w:lineRule="auto"/>
              <w:jc w:val="both"/>
              <w:rPr>
                <w:rFonts w:ascii="Arial" w:hAnsi="Arial" w:cs="Arial"/>
                <w:color w:val="000000" w:themeColor="text1"/>
                <w:sz w:val="24"/>
                <w:szCs w:val="24"/>
              </w:rPr>
            </w:pPr>
          </w:p>
        </w:tc>
        <w:tc>
          <w:tcPr>
            <w:tcW w:w="1030" w:type="dxa"/>
            <w:vAlign w:val="center"/>
          </w:tcPr>
          <w:p w14:paraId="5AF5EC25"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tcPr>
          <w:p w14:paraId="27713C55" w14:textId="77777777" w:rsidR="006C4C95" w:rsidRPr="00537533" w:rsidRDefault="006C4C95" w:rsidP="00656F82">
            <w:pPr>
              <w:spacing w:line="360" w:lineRule="auto"/>
              <w:jc w:val="both"/>
              <w:rPr>
                <w:rFonts w:ascii="Arial" w:hAnsi="Arial" w:cs="Arial"/>
                <w:color w:val="000000" w:themeColor="text1"/>
                <w:sz w:val="24"/>
                <w:szCs w:val="24"/>
              </w:rPr>
            </w:pPr>
          </w:p>
        </w:tc>
        <w:tc>
          <w:tcPr>
            <w:tcW w:w="0" w:type="auto"/>
            <w:vAlign w:val="center"/>
          </w:tcPr>
          <w:p w14:paraId="3E244A24" w14:textId="77777777" w:rsidR="006C4C95" w:rsidRPr="00537533" w:rsidRDefault="006C4C95" w:rsidP="00656F82">
            <w:pPr>
              <w:spacing w:line="360" w:lineRule="auto"/>
              <w:jc w:val="both"/>
              <w:rPr>
                <w:rFonts w:ascii="Arial" w:hAnsi="Arial" w:cs="Arial"/>
                <w:color w:val="000000" w:themeColor="text1"/>
                <w:sz w:val="24"/>
                <w:szCs w:val="24"/>
              </w:rPr>
            </w:pPr>
          </w:p>
        </w:tc>
        <w:tc>
          <w:tcPr>
            <w:tcW w:w="962" w:type="dxa"/>
          </w:tcPr>
          <w:p w14:paraId="113D28F0" w14:textId="77777777" w:rsidR="006C4C95" w:rsidRPr="00537533" w:rsidRDefault="006C4C95" w:rsidP="00656F82">
            <w:pPr>
              <w:spacing w:line="360" w:lineRule="auto"/>
              <w:jc w:val="both"/>
              <w:rPr>
                <w:rFonts w:ascii="Arial" w:hAnsi="Arial" w:cs="Arial"/>
                <w:color w:val="000000" w:themeColor="text1"/>
                <w:sz w:val="24"/>
                <w:szCs w:val="24"/>
              </w:rPr>
            </w:pPr>
          </w:p>
        </w:tc>
        <w:tc>
          <w:tcPr>
            <w:tcW w:w="947" w:type="dxa"/>
            <w:shd w:val="clear" w:color="auto" w:fill="FF7474"/>
          </w:tcPr>
          <w:p w14:paraId="72583B34" w14:textId="5273B732" w:rsidR="006C4C95" w:rsidRPr="00537533" w:rsidRDefault="006C4C95" w:rsidP="00656F82">
            <w:pPr>
              <w:spacing w:line="360" w:lineRule="auto"/>
              <w:jc w:val="both"/>
              <w:rPr>
                <w:rFonts w:ascii="Arial" w:hAnsi="Arial" w:cs="Arial"/>
                <w:color w:val="000000" w:themeColor="text1"/>
                <w:sz w:val="24"/>
                <w:szCs w:val="24"/>
              </w:rPr>
            </w:pPr>
            <w:r w:rsidRPr="00537533">
              <w:rPr>
                <w:rFonts w:ascii="Segoe UI Symbol" w:hAnsi="Segoe UI Symbol" w:cs="Segoe UI Symbol"/>
                <w:color w:val="000000" w:themeColor="text1"/>
                <w:sz w:val="24"/>
                <w:szCs w:val="24"/>
              </w:rPr>
              <w:t>✓</w:t>
            </w:r>
          </w:p>
        </w:tc>
      </w:tr>
    </w:tbl>
    <w:p w14:paraId="74BEA1BF" w14:textId="11364AAC" w:rsidR="00656F82" w:rsidRPr="00537533" w:rsidRDefault="00256E2A" w:rsidP="00656F82">
      <w:pPr>
        <w:spacing w:line="360" w:lineRule="auto"/>
        <w:jc w:val="both"/>
        <w:rPr>
          <w:rFonts w:ascii="Arial" w:hAnsi="Arial" w:cs="Arial"/>
          <w:color w:val="000000" w:themeColor="text1"/>
          <w:sz w:val="24"/>
          <w:szCs w:val="24"/>
        </w:rPr>
      </w:pPr>
      <w:r w:rsidRPr="00537533">
        <w:rPr>
          <w:rFonts w:ascii="Arial" w:hAnsi="Arial" w:cs="Arial"/>
          <w:color w:val="000000" w:themeColor="text1"/>
          <w:sz w:val="24"/>
          <w:szCs w:val="24"/>
        </w:rPr>
        <w:t xml:space="preserve">The </w:t>
      </w:r>
      <w:r w:rsidR="00D2042E" w:rsidRPr="00537533">
        <w:rPr>
          <w:rFonts w:ascii="Arial" w:hAnsi="Arial" w:cs="Arial"/>
          <w:color w:val="000000" w:themeColor="text1"/>
          <w:sz w:val="24"/>
          <w:szCs w:val="24"/>
        </w:rPr>
        <w:t>timeline</w:t>
      </w:r>
      <w:r w:rsidRPr="00537533">
        <w:rPr>
          <w:rFonts w:ascii="Arial" w:hAnsi="Arial" w:cs="Arial"/>
          <w:color w:val="000000" w:themeColor="text1"/>
          <w:sz w:val="24"/>
          <w:szCs w:val="24"/>
        </w:rPr>
        <w:t xml:space="preserve"> ensures that the research and business development proposal is carried out in a systematic way. First couple of weeks are spent on literature review and gathering secondary data, then market analysis and strategic evaluation. The last few weeks focus on report writing, review and submission to assure that all project goals are met within the project time frame.</w:t>
      </w:r>
    </w:p>
    <w:p w14:paraId="2C30CA78" w14:textId="047BD465" w:rsidR="00256E2A" w:rsidRPr="00C843E3" w:rsidRDefault="00656F82" w:rsidP="002C089A">
      <w:pPr>
        <w:pStyle w:val="Heading1"/>
        <w:jc w:val="left"/>
        <w:rPr>
          <w:color w:val="000000" w:themeColor="text1"/>
        </w:rPr>
      </w:pPr>
      <w:r w:rsidRPr="00C843E3">
        <w:rPr>
          <w:rFonts w:ascii="Times New Roman" w:hAnsi="Times New Roman" w:cs="Times New Roman"/>
          <w:color w:val="000000" w:themeColor="text1"/>
        </w:rPr>
        <w:t>References</w:t>
      </w:r>
    </w:p>
    <w:p w14:paraId="582F8830" w14:textId="6B140D63"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 xml:space="preserve">Areco, K.N., Konstantyner, T., Bandiera-Paiva, P., Balda, R.C., Costa-Nobre, D.T., Sanudo, A., Kiffer, C.R.V., Kawakami, M.D., Miyoshi, M.H., Marinonio, A.S.S. and Freitas, R. (2021) Operational challenges in the use of structured secondary data for health research. </w:t>
      </w:r>
      <w:r w:rsidRPr="00C843E3">
        <w:rPr>
          <w:rFonts w:ascii="Times New Roman" w:hAnsi="Times New Roman" w:cs="Times New Roman"/>
          <w:i/>
          <w:iCs/>
          <w:color w:val="000000" w:themeColor="text1"/>
          <w:sz w:val="24"/>
          <w:szCs w:val="24"/>
        </w:rPr>
        <w:t>Frontiers in Public Health</w:t>
      </w:r>
      <w:r w:rsidRPr="00C843E3">
        <w:rPr>
          <w:rFonts w:ascii="Times New Roman" w:hAnsi="Times New Roman" w:cs="Times New Roman"/>
          <w:color w:val="000000" w:themeColor="text1"/>
          <w:sz w:val="24"/>
          <w:szCs w:val="24"/>
        </w:rPr>
        <w:t xml:space="preserve">, 9, p.642163. </w:t>
      </w:r>
      <w:hyperlink r:id="rId9" w:history="1">
        <w:r w:rsidR="00D2042E" w:rsidRPr="008973EE">
          <w:rPr>
            <w:rStyle w:val="Hyperlink"/>
            <w:rFonts w:ascii="Times New Roman" w:hAnsi="Times New Roman" w:cs="Times New Roman"/>
            <w:sz w:val="24"/>
            <w:szCs w:val="24"/>
          </w:rPr>
          <w:t>https://www.frontiersin.org/journals/public-health/articles/10.3389/fpubh.2021.642163/full</w:t>
        </w:r>
      </w:hyperlink>
    </w:p>
    <w:p w14:paraId="32887ED1" w14:textId="15205D79"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Banna, H., Hassan, M.K. and Rashid, M. (202</w:t>
      </w:r>
      <w:r w:rsidR="006B1098">
        <w:rPr>
          <w:rFonts w:ascii="Times New Roman" w:hAnsi="Times New Roman" w:cs="Times New Roman"/>
          <w:color w:val="000000" w:themeColor="text1"/>
          <w:sz w:val="24"/>
          <w:szCs w:val="24"/>
        </w:rPr>
        <w:t>2</w:t>
      </w:r>
      <w:r w:rsidRPr="00C843E3">
        <w:rPr>
          <w:rFonts w:ascii="Times New Roman" w:hAnsi="Times New Roman" w:cs="Times New Roman"/>
          <w:color w:val="000000" w:themeColor="text1"/>
          <w:sz w:val="24"/>
          <w:szCs w:val="24"/>
        </w:rPr>
        <w:t xml:space="preserve">) Fintech-based financial inclusion and bank risk-taking: Evidence from OIC countries. </w:t>
      </w:r>
      <w:r w:rsidRPr="00C843E3">
        <w:rPr>
          <w:rFonts w:ascii="Times New Roman" w:hAnsi="Times New Roman" w:cs="Times New Roman"/>
          <w:i/>
          <w:iCs/>
          <w:color w:val="000000" w:themeColor="text1"/>
          <w:sz w:val="24"/>
          <w:szCs w:val="24"/>
        </w:rPr>
        <w:t>Journal of International Financial Markets, Institutions and Money</w:t>
      </w:r>
      <w:r w:rsidRPr="00C843E3">
        <w:rPr>
          <w:rFonts w:ascii="Times New Roman" w:hAnsi="Times New Roman" w:cs="Times New Roman"/>
          <w:color w:val="000000" w:themeColor="text1"/>
          <w:sz w:val="24"/>
          <w:szCs w:val="24"/>
        </w:rPr>
        <w:t>, 75, p.101447.</w:t>
      </w:r>
      <w:r w:rsidR="00D2042E">
        <w:rPr>
          <w:rFonts w:ascii="Times New Roman" w:hAnsi="Times New Roman" w:cs="Times New Roman"/>
          <w:color w:val="000000" w:themeColor="text1"/>
          <w:sz w:val="24"/>
          <w:szCs w:val="24"/>
        </w:rPr>
        <w:t xml:space="preserve"> </w:t>
      </w:r>
      <w:hyperlink r:id="rId10" w:history="1">
        <w:r w:rsidR="00D2042E" w:rsidRPr="008973EE">
          <w:rPr>
            <w:rStyle w:val="Hyperlink"/>
            <w:rFonts w:ascii="Times New Roman" w:hAnsi="Times New Roman" w:cs="Times New Roman"/>
            <w:sz w:val="24"/>
            <w:szCs w:val="24"/>
          </w:rPr>
          <w:t>https://ideas.repec.org/a/eee/intfin/v75y2021ics1042443121001578.html</w:t>
        </w:r>
      </w:hyperlink>
    </w:p>
    <w:p w14:paraId="3975E88D" w14:textId="06F0806C"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 xml:space="preserve">Braun, V. and Clarke, V. (2006) Using thematic analysis in psychology. </w:t>
      </w:r>
      <w:r w:rsidRPr="00C843E3">
        <w:rPr>
          <w:rFonts w:ascii="Times New Roman" w:hAnsi="Times New Roman" w:cs="Times New Roman"/>
          <w:i/>
          <w:iCs/>
          <w:color w:val="000000" w:themeColor="text1"/>
          <w:sz w:val="24"/>
          <w:szCs w:val="24"/>
        </w:rPr>
        <w:t>Qualitative Research in Psychology</w:t>
      </w:r>
      <w:r w:rsidRPr="00C843E3">
        <w:rPr>
          <w:rFonts w:ascii="Times New Roman" w:hAnsi="Times New Roman" w:cs="Times New Roman"/>
          <w:color w:val="000000" w:themeColor="text1"/>
          <w:sz w:val="24"/>
          <w:szCs w:val="24"/>
        </w:rPr>
        <w:t>, 3(2), pp.77–101.</w:t>
      </w:r>
      <w:r w:rsidR="00D2042E">
        <w:rPr>
          <w:rFonts w:ascii="Times New Roman" w:hAnsi="Times New Roman" w:cs="Times New Roman"/>
          <w:color w:val="000000" w:themeColor="text1"/>
          <w:sz w:val="24"/>
          <w:szCs w:val="24"/>
        </w:rPr>
        <w:t xml:space="preserve"> </w:t>
      </w:r>
      <w:hyperlink r:id="rId11" w:history="1">
        <w:r w:rsidR="00D2042E" w:rsidRPr="008973EE">
          <w:rPr>
            <w:rStyle w:val="Hyperlink"/>
            <w:rFonts w:ascii="Times New Roman" w:hAnsi="Times New Roman" w:cs="Times New Roman"/>
            <w:sz w:val="24"/>
            <w:szCs w:val="24"/>
          </w:rPr>
          <w:t>https://doi.org/10.1191/1478088706qp063oa</w:t>
        </w:r>
      </w:hyperlink>
    </w:p>
    <w:p w14:paraId="7B672DC7" w14:textId="7A865535"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Deloitte (2024) Future of corporate payments. [Accessed through]:</w:t>
      </w:r>
      <w:r w:rsidR="00D2042E">
        <w:rPr>
          <w:rFonts w:ascii="Times New Roman" w:hAnsi="Times New Roman" w:cs="Times New Roman"/>
          <w:color w:val="000000" w:themeColor="text1"/>
          <w:sz w:val="24"/>
          <w:szCs w:val="24"/>
        </w:rPr>
        <w:t xml:space="preserve"> </w:t>
      </w:r>
      <w:hyperlink r:id="rId12" w:history="1">
        <w:r w:rsidR="00D2042E" w:rsidRPr="008973EE">
          <w:rPr>
            <w:rStyle w:val="Hyperlink"/>
            <w:rFonts w:ascii="Times New Roman" w:hAnsi="Times New Roman" w:cs="Times New Roman"/>
            <w:sz w:val="24"/>
            <w:szCs w:val="24"/>
          </w:rPr>
          <w:t>https://www.deloitte.com/in/en/Industries/financial-services/spotlight-on-payments-technology-volume-february-2024/future-of-corporate-payments-february-2024.html</w:t>
        </w:r>
      </w:hyperlink>
      <w:r w:rsidRPr="00C843E3">
        <w:rPr>
          <w:rFonts w:ascii="Times New Roman" w:hAnsi="Times New Roman" w:cs="Times New Roman"/>
          <w:color w:val="000000" w:themeColor="text1"/>
          <w:sz w:val="24"/>
          <w:szCs w:val="24"/>
        </w:rPr>
        <w:t xml:space="preserve"> [Accessed on: 30 May 2026].</w:t>
      </w:r>
    </w:p>
    <w:p w14:paraId="40543337" w14:textId="6061B081"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EY India (2024) The digital payments ecosystem of India: Planning security today for a resilient tomorrow. [Accessed through]:</w:t>
      </w:r>
      <w:r w:rsidR="00D2042E">
        <w:rPr>
          <w:rFonts w:ascii="Times New Roman" w:hAnsi="Times New Roman" w:cs="Times New Roman"/>
          <w:color w:val="000000" w:themeColor="text1"/>
          <w:sz w:val="24"/>
          <w:szCs w:val="24"/>
        </w:rPr>
        <w:t xml:space="preserve"> </w:t>
      </w:r>
      <w:hyperlink r:id="rId13" w:history="1">
        <w:r w:rsidR="00D2042E" w:rsidRPr="008973EE">
          <w:rPr>
            <w:rStyle w:val="Hyperlink"/>
            <w:rFonts w:ascii="Times New Roman" w:hAnsi="Times New Roman" w:cs="Times New Roman"/>
            <w:sz w:val="24"/>
            <w:szCs w:val="24"/>
          </w:rPr>
          <w:t>https://www.ey.com/content/dam/ey-unified-site/ey-com/en-in/insights/payments/documents/ey-the-digital-payments-ecosystem-of-india.pdf</w:t>
        </w:r>
      </w:hyperlink>
      <w:r w:rsidRPr="00C843E3">
        <w:rPr>
          <w:rFonts w:ascii="Times New Roman" w:hAnsi="Times New Roman" w:cs="Times New Roman"/>
          <w:color w:val="000000" w:themeColor="text1"/>
          <w:sz w:val="24"/>
          <w:szCs w:val="24"/>
        </w:rPr>
        <w:t xml:space="preserve"> [Accessed on: 30 May 2026].</w:t>
      </w:r>
    </w:p>
    <w:p w14:paraId="793D8BA2" w14:textId="38187B84"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Government of India (2025) Digital India Programme. [Accessed through]:</w:t>
      </w:r>
      <w:r w:rsidR="00D2042E">
        <w:rPr>
          <w:rFonts w:ascii="Times New Roman" w:hAnsi="Times New Roman" w:cs="Times New Roman"/>
          <w:color w:val="000000" w:themeColor="text1"/>
          <w:sz w:val="24"/>
          <w:szCs w:val="24"/>
        </w:rPr>
        <w:t xml:space="preserve"> </w:t>
      </w:r>
      <w:hyperlink r:id="rId14" w:history="1">
        <w:r w:rsidR="00D2042E" w:rsidRPr="008973EE">
          <w:rPr>
            <w:rStyle w:val="Hyperlink"/>
            <w:rFonts w:ascii="Times New Roman" w:hAnsi="Times New Roman" w:cs="Times New Roman"/>
            <w:sz w:val="24"/>
            <w:szCs w:val="24"/>
          </w:rPr>
          <w:t>https://www.digitalindia.gov.in/about-us/</w:t>
        </w:r>
      </w:hyperlink>
      <w:r w:rsidRPr="00C843E3">
        <w:rPr>
          <w:rFonts w:ascii="Times New Roman" w:hAnsi="Times New Roman" w:cs="Times New Roman"/>
          <w:color w:val="000000" w:themeColor="text1"/>
          <w:sz w:val="24"/>
          <w:szCs w:val="24"/>
        </w:rPr>
        <w:t xml:space="preserve"> [Accessed on: 30 May 2026].</w:t>
      </w:r>
    </w:p>
    <w:p w14:paraId="4922D111" w14:textId="7AF0D04A"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 xml:space="preserve">Kilay, A.L., Simamora, B.H. and Putra, D.P. (2022) The influence of e-payment and e-commerce services on supply chain performance: Implications of open innovation and solutions for the digitalization of micro, small, and medium enterprises (MSMEs) in Indonesia. </w:t>
      </w:r>
      <w:r w:rsidRPr="00C843E3">
        <w:rPr>
          <w:rFonts w:ascii="Times New Roman" w:hAnsi="Times New Roman" w:cs="Times New Roman"/>
          <w:i/>
          <w:iCs/>
          <w:color w:val="000000" w:themeColor="text1"/>
          <w:sz w:val="24"/>
          <w:szCs w:val="24"/>
        </w:rPr>
        <w:t>Journal of Open Innovation: Technology, Market, and Complexity</w:t>
      </w:r>
      <w:r w:rsidRPr="00C843E3">
        <w:rPr>
          <w:rFonts w:ascii="Times New Roman" w:hAnsi="Times New Roman" w:cs="Times New Roman"/>
          <w:color w:val="000000" w:themeColor="text1"/>
          <w:sz w:val="24"/>
          <w:szCs w:val="24"/>
        </w:rPr>
        <w:t>, 8(3), p.119.</w:t>
      </w:r>
      <w:r w:rsidR="00D2042E">
        <w:rPr>
          <w:rFonts w:ascii="Times New Roman" w:hAnsi="Times New Roman" w:cs="Times New Roman"/>
          <w:color w:val="000000" w:themeColor="text1"/>
          <w:sz w:val="24"/>
          <w:szCs w:val="24"/>
        </w:rPr>
        <w:t xml:space="preserve"> </w:t>
      </w:r>
      <w:hyperlink r:id="rId15" w:history="1">
        <w:r w:rsidR="00D2042E" w:rsidRPr="008973EE">
          <w:rPr>
            <w:rStyle w:val="Hyperlink"/>
            <w:rFonts w:ascii="Times New Roman" w:hAnsi="Times New Roman" w:cs="Times New Roman"/>
            <w:sz w:val="24"/>
            <w:szCs w:val="24"/>
          </w:rPr>
          <w:t>https://www.sciencedirect.com/science/article/pii/S219985312200720X</w:t>
        </w:r>
      </w:hyperlink>
    </w:p>
    <w:p w14:paraId="57BB65E5" w14:textId="3C9E51B9"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KPMG India (2025) Digital payments vs. Digital risks: India’s fintech ambitions and bridging a trust gap with AI. [Accessed through]:</w:t>
      </w:r>
      <w:r w:rsidR="00D2042E">
        <w:rPr>
          <w:rFonts w:ascii="Times New Roman" w:hAnsi="Times New Roman" w:cs="Times New Roman"/>
          <w:color w:val="000000" w:themeColor="text1"/>
          <w:sz w:val="24"/>
          <w:szCs w:val="24"/>
        </w:rPr>
        <w:t xml:space="preserve"> </w:t>
      </w:r>
      <w:hyperlink r:id="rId16" w:history="1">
        <w:r w:rsidR="00D2042E" w:rsidRPr="008973EE">
          <w:rPr>
            <w:rStyle w:val="Hyperlink"/>
            <w:rFonts w:ascii="Times New Roman" w:hAnsi="Times New Roman" w:cs="Times New Roman"/>
            <w:sz w:val="24"/>
            <w:szCs w:val="24"/>
          </w:rPr>
          <w:t>https://kpmg.com/in/en/blogs/2025/07/digital-payments-vs-digital-risks-indias-fintech-ambitions-and-bridging-a-trust-gap-with-ai.html</w:t>
        </w:r>
      </w:hyperlink>
      <w:r w:rsidRPr="00C843E3">
        <w:rPr>
          <w:rFonts w:ascii="Times New Roman" w:hAnsi="Times New Roman" w:cs="Times New Roman"/>
          <w:color w:val="000000" w:themeColor="text1"/>
          <w:sz w:val="24"/>
          <w:szCs w:val="24"/>
        </w:rPr>
        <w:t xml:space="preserve"> [Accessed on: 30 May 2026].</w:t>
      </w:r>
    </w:p>
    <w:p w14:paraId="4B40F189" w14:textId="35512D65"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 xml:space="preserve">Meydan, C.H. and Akkaş, H. (2024) The role of triangulation in qualitative research: Converging perspectives. In: </w:t>
      </w:r>
      <w:r w:rsidRPr="00C843E3">
        <w:rPr>
          <w:rFonts w:ascii="Times New Roman" w:hAnsi="Times New Roman" w:cs="Times New Roman"/>
          <w:i/>
          <w:iCs/>
          <w:color w:val="000000" w:themeColor="text1"/>
          <w:sz w:val="24"/>
          <w:szCs w:val="24"/>
        </w:rPr>
        <w:t>Principles of Conducting Qualitative Research in Multicultural Settings</w:t>
      </w:r>
      <w:r w:rsidRPr="00C843E3">
        <w:rPr>
          <w:rFonts w:ascii="Times New Roman" w:hAnsi="Times New Roman" w:cs="Times New Roman"/>
          <w:color w:val="000000" w:themeColor="text1"/>
          <w:sz w:val="24"/>
          <w:szCs w:val="24"/>
        </w:rPr>
        <w:t>. Hershey, PA: IGI Global Scientific Publishing, pp.101–132.</w:t>
      </w:r>
      <w:r w:rsidR="00D2042E">
        <w:rPr>
          <w:rFonts w:ascii="Times New Roman" w:hAnsi="Times New Roman" w:cs="Times New Roman"/>
          <w:color w:val="000000" w:themeColor="text1"/>
          <w:sz w:val="24"/>
          <w:szCs w:val="24"/>
        </w:rPr>
        <w:t xml:space="preserve"> </w:t>
      </w:r>
      <w:hyperlink r:id="rId17" w:history="1">
        <w:r w:rsidR="00D2042E" w:rsidRPr="008973EE">
          <w:rPr>
            <w:rStyle w:val="Hyperlink"/>
            <w:rFonts w:ascii="Times New Roman" w:hAnsi="Times New Roman" w:cs="Times New Roman"/>
            <w:sz w:val="24"/>
            <w:szCs w:val="24"/>
          </w:rPr>
          <w:t>https://www.igi-global.com/chapter/the-role-of-triangulation-in-qualitative-research/351942</w:t>
        </w:r>
      </w:hyperlink>
    </w:p>
    <w:p w14:paraId="157EEB77" w14:textId="5D0D97BE"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Ministry of Electronics and Information Technology (MeitY) (2025) Estimation and Measurement of India’s Digital Economy. [Accessed through]:</w:t>
      </w:r>
      <w:r w:rsidR="00D2042E">
        <w:rPr>
          <w:rFonts w:ascii="Times New Roman" w:hAnsi="Times New Roman" w:cs="Times New Roman"/>
          <w:color w:val="000000" w:themeColor="text1"/>
          <w:sz w:val="24"/>
          <w:szCs w:val="24"/>
        </w:rPr>
        <w:t xml:space="preserve"> </w:t>
      </w:r>
      <w:hyperlink r:id="rId18" w:history="1">
        <w:r w:rsidR="00D2042E" w:rsidRPr="008973EE">
          <w:rPr>
            <w:rStyle w:val="Hyperlink"/>
            <w:rFonts w:ascii="Times New Roman" w:hAnsi="Times New Roman" w:cs="Times New Roman"/>
            <w:sz w:val="24"/>
            <w:szCs w:val="24"/>
          </w:rPr>
          <w:t>https://www.meity.gov.in/static/uploads/2025/01/5ff397f9e8152d5562ed4cef1a6b767b.pdf</w:t>
        </w:r>
      </w:hyperlink>
      <w:r w:rsidRPr="00C843E3">
        <w:rPr>
          <w:rFonts w:ascii="Times New Roman" w:hAnsi="Times New Roman" w:cs="Times New Roman"/>
          <w:color w:val="000000" w:themeColor="text1"/>
          <w:sz w:val="24"/>
          <w:szCs w:val="24"/>
        </w:rPr>
        <w:t xml:space="preserve"> [Accessed on: 30 May 2026].</w:t>
      </w:r>
    </w:p>
    <w:p w14:paraId="411BEDC7" w14:textId="6B93878E"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National Payments Corporation of India (NPCI) (2025) UPI Product Statistics and Digital Payments Reports. [Accessed through]:</w:t>
      </w:r>
      <w:r w:rsidR="00D2042E">
        <w:rPr>
          <w:rFonts w:ascii="Times New Roman" w:hAnsi="Times New Roman" w:cs="Times New Roman"/>
          <w:color w:val="000000" w:themeColor="text1"/>
          <w:sz w:val="24"/>
          <w:szCs w:val="24"/>
        </w:rPr>
        <w:t xml:space="preserve"> </w:t>
      </w:r>
      <w:hyperlink r:id="rId19" w:history="1">
        <w:r w:rsidR="00D2042E" w:rsidRPr="008973EE">
          <w:rPr>
            <w:rStyle w:val="Hyperlink"/>
            <w:rFonts w:ascii="Times New Roman" w:hAnsi="Times New Roman" w:cs="Times New Roman"/>
            <w:sz w:val="24"/>
            <w:szCs w:val="24"/>
          </w:rPr>
          <w:t>https://www.npci.org.in/what-we-do/upi/product-statistics</w:t>
        </w:r>
      </w:hyperlink>
      <w:r w:rsidRPr="00C843E3">
        <w:rPr>
          <w:rFonts w:ascii="Times New Roman" w:hAnsi="Times New Roman" w:cs="Times New Roman"/>
          <w:color w:val="000000" w:themeColor="text1"/>
          <w:sz w:val="24"/>
          <w:szCs w:val="24"/>
        </w:rPr>
        <w:t xml:space="preserve"> [Accessed on: 30 May 2026].</w:t>
      </w:r>
    </w:p>
    <w:p w14:paraId="677DB1F3" w14:textId="14F29E54"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One 97 Communications Ltd. (2025) Paytm Annual Report 2024–25. [Accessed through]:</w:t>
      </w:r>
      <w:r w:rsidR="00D2042E">
        <w:rPr>
          <w:rFonts w:ascii="Times New Roman" w:hAnsi="Times New Roman" w:cs="Times New Roman"/>
          <w:color w:val="000000" w:themeColor="text1"/>
          <w:sz w:val="24"/>
          <w:szCs w:val="24"/>
        </w:rPr>
        <w:t xml:space="preserve"> </w:t>
      </w:r>
      <w:hyperlink r:id="rId20" w:history="1">
        <w:r w:rsidR="00D2042E" w:rsidRPr="008973EE">
          <w:rPr>
            <w:rStyle w:val="Hyperlink"/>
            <w:rFonts w:ascii="Times New Roman" w:hAnsi="Times New Roman" w:cs="Times New Roman"/>
            <w:sz w:val="24"/>
            <w:szCs w:val="24"/>
          </w:rPr>
          <w:t>https://paytm.com/document/ir/agm/fy/-25/Paytm_Annual_Report_2025.pdf</w:t>
        </w:r>
      </w:hyperlink>
      <w:r w:rsidRPr="00C843E3">
        <w:rPr>
          <w:rFonts w:ascii="Times New Roman" w:hAnsi="Times New Roman" w:cs="Times New Roman"/>
          <w:color w:val="000000" w:themeColor="text1"/>
          <w:sz w:val="24"/>
          <w:szCs w:val="24"/>
        </w:rPr>
        <w:t xml:space="preserve"> [Accessed on: 30 May 2026].</w:t>
      </w:r>
    </w:p>
    <w:p w14:paraId="5C209C21" w14:textId="14E846B0"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PwC India (2024) Committed to India: The Future of Digital Payments. [Accessed through]:</w:t>
      </w:r>
      <w:r w:rsidR="00D2042E">
        <w:rPr>
          <w:rFonts w:ascii="Times New Roman" w:hAnsi="Times New Roman" w:cs="Times New Roman"/>
          <w:color w:val="000000" w:themeColor="text1"/>
          <w:sz w:val="24"/>
          <w:szCs w:val="24"/>
        </w:rPr>
        <w:t xml:space="preserve"> </w:t>
      </w:r>
      <w:hyperlink r:id="rId21" w:history="1">
        <w:r w:rsidR="00D2042E" w:rsidRPr="008973EE">
          <w:rPr>
            <w:rStyle w:val="Hyperlink"/>
            <w:rFonts w:ascii="Times New Roman" w:hAnsi="Times New Roman" w:cs="Times New Roman"/>
            <w:sz w:val="24"/>
            <w:szCs w:val="24"/>
          </w:rPr>
          <w:t>https://www.pwc.in/industries/financial-services/fintech/payments.html</w:t>
        </w:r>
      </w:hyperlink>
      <w:r w:rsidRPr="00C843E3">
        <w:rPr>
          <w:rFonts w:ascii="Times New Roman" w:hAnsi="Times New Roman" w:cs="Times New Roman"/>
          <w:color w:val="000000" w:themeColor="text1"/>
          <w:sz w:val="24"/>
          <w:szCs w:val="24"/>
        </w:rPr>
        <w:t xml:space="preserve"> [Accessed on: 30 May 2026].</w:t>
      </w:r>
    </w:p>
    <w:p w14:paraId="6A128A8F" w14:textId="1CE8386E"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Reserve Bank of India (RBI) (2025) Payments Vision 2025. [Accessed through]:</w:t>
      </w:r>
      <w:r w:rsidR="00D2042E">
        <w:rPr>
          <w:rFonts w:ascii="Times New Roman" w:hAnsi="Times New Roman" w:cs="Times New Roman"/>
          <w:color w:val="000000" w:themeColor="text1"/>
          <w:sz w:val="24"/>
          <w:szCs w:val="24"/>
        </w:rPr>
        <w:t xml:space="preserve"> </w:t>
      </w:r>
      <w:hyperlink r:id="rId22" w:history="1">
        <w:r w:rsidR="00D2042E" w:rsidRPr="008973EE">
          <w:rPr>
            <w:rStyle w:val="Hyperlink"/>
            <w:rFonts w:ascii="Times New Roman" w:hAnsi="Times New Roman" w:cs="Times New Roman"/>
            <w:sz w:val="24"/>
            <w:szCs w:val="24"/>
          </w:rPr>
          <w:t>https://rbidocs.rbi.org.in/rdocs/PublicationReport/Pdfs/PAYMENTSVISION2025844D11300C884DC4ACB8E56B7348F4D4.PDF</w:t>
        </w:r>
      </w:hyperlink>
      <w:r w:rsidRPr="00C843E3">
        <w:rPr>
          <w:rFonts w:ascii="Times New Roman" w:hAnsi="Times New Roman" w:cs="Times New Roman"/>
          <w:color w:val="000000" w:themeColor="text1"/>
          <w:sz w:val="24"/>
          <w:szCs w:val="24"/>
        </w:rPr>
        <w:t xml:space="preserve"> [Accessed on: 30 May 2026].</w:t>
      </w:r>
    </w:p>
    <w:p w14:paraId="645A715B" w14:textId="3F29B372"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 xml:space="preserve">Sivathanu, B. (2019) Adoption of digital payment systems in the era of demonetization in India: An empirical study. </w:t>
      </w:r>
      <w:r w:rsidRPr="00C843E3">
        <w:rPr>
          <w:rFonts w:ascii="Times New Roman" w:hAnsi="Times New Roman" w:cs="Times New Roman"/>
          <w:i/>
          <w:iCs/>
          <w:color w:val="000000" w:themeColor="text1"/>
          <w:sz w:val="24"/>
          <w:szCs w:val="24"/>
        </w:rPr>
        <w:t>Journal of Science and Technology Policy Management</w:t>
      </w:r>
      <w:r w:rsidRPr="00C843E3">
        <w:rPr>
          <w:rFonts w:ascii="Times New Roman" w:hAnsi="Times New Roman" w:cs="Times New Roman"/>
          <w:color w:val="000000" w:themeColor="text1"/>
          <w:sz w:val="24"/>
          <w:szCs w:val="24"/>
        </w:rPr>
        <w:t>, 10(1), pp.143–171.</w:t>
      </w:r>
      <w:r w:rsidR="00D2042E">
        <w:rPr>
          <w:rFonts w:ascii="Times New Roman" w:hAnsi="Times New Roman" w:cs="Times New Roman"/>
          <w:color w:val="000000" w:themeColor="text1"/>
          <w:sz w:val="24"/>
          <w:szCs w:val="24"/>
        </w:rPr>
        <w:t xml:space="preserve"> </w:t>
      </w:r>
      <w:hyperlink r:id="rId23" w:history="1">
        <w:r w:rsidR="00D2042E" w:rsidRPr="008973EE">
          <w:rPr>
            <w:rStyle w:val="Hyperlink"/>
            <w:rFonts w:ascii="Times New Roman" w:hAnsi="Times New Roman" w:cs="Times New Roman"/>
            <w:sz w:val="24"/>
            <w:szCs w:val="24"/>
          </w:rPr>
          <w:t>https://www.emerald.com/jstpm/article-abstract/10/1/143/450362</w:t>
        </w:r>
      </w:hyperlink>
    </w:p>
    <w:p w14:paraId="7CBB8EFD" w14:textId="49D4966B" w:rsidR="00656F82" w:rsidRPr="00C843E3" w:rsidRDefault="00656F82" w:rsidP="00656F82">
      <w:pPr>
        <w:spacing w:line="360" w:lineRule="auto"/>
        <w:jc w:val="both"/>
        <w:rPr>
          <w:rFonts w:ascii="Times New Roman" w:hAnsi="Times New Roman" w:cs="Times New Roman"/>
          <w:color w:val="000000" w:themeColor="text1"/>
          <w:sz w:val="24"/>
          <w:szCs w:val="24"/>
        </w:rPr>
      </w:pPr>
      <w:r w:rsidRPr="00C843E3">
        <w:rPr>
          <w:rFonts w:ascii="Times New Roman" w:hAnsi="Times New Roman" w:cs="Times New Roman"/>
          <w:color w:val="000000" w:themeColor="text1"/>
          <w:sz w:val="24"/>
          <w:szCs w:val="24"/>
        </w:rPr>
        <w:t xml:space="preserve">Sleiman, K.A.A., Juanli, L., Lei, H.Z., Rong, W., Yubo, W., Li, S., Cheng, J. and Amin, F. (2023) Factors that impacted mobile-payment adoption in China during the COVID-19 pandemic. </w:t>
      </w:r>
      <w:r w:rsidRPr="00C843E3">
        <w:rPr>
          <w:rFonts w:ascii="Times New Roman" w:hAnsi="Times New Roman" w:cs="Times New Roman"/>
          <w:i/>
          <w:iCs/>
          <w:color w:val="000000" w:themeColor="text1"/>
          <w:sz w:val="24"/>
          <w:szCs w:val="24"/>
        </w:rPr>
        <w:t>Heliyon</w:t>
      </w:r>
      <w:r w:rsidRPr="00C843E3">
        <w:rPr>
          <w:rFonts w:ascii="Times New Roman" w:hAnsi="Times New Roman" w:cs="Times New Roman"/>
          <w:color w:val="000000" w:themeColor="text1"/>
          <w:sz w:val="24"/>
          <w:szCs w:val="24"/>
        </w:rPr>
        <w:t>, 9(5).</w:t>
      </w:r>
      <w:r w:rsidR="00D2042E">
        <w:rPr>
          <w:rFonts w:ascii="Times New Roman" w:hAnsi="Times New Roman" w:cs="Times New Roman"/>
          <w:color w:val="000000" w:themeColor="text1"/>
          <w:sz w:val="24"/>
          <w:szCs w:val="24"/>
        </w:rPr>
        <w:t xml:space="preserve"> </w:t>
      </w:r>
      <w:hyperlink r:id="rId24" w:history="1">
        <w:r w:rsidR="00D2042E" w:rsidRPr="008973EE">
          <w:rPr>
            <w:rStyle w:val="Hyperlink"/>
            <w:rFonts w:ascii="Times New Roman" w:hAnsi="Times New Roman" w:cs="Times New Roman"/>
            <w:sz w:val="24"/>
            <w:szCs w:val="24"/>
          </w:rPr>
          <w:t>https://www.cell.com/heliyon/fulltext/S2405-8440(23)03404-7</w:t>
        </w:r>
      </w:hyperlink>
    </w:p>
    <w:p w14:paraId="3161246D" w14:textId="77777777" w:rsidR="00656F82" w:rsidRPr="00C843E3" w:rsidRDefault="00656F82" w:rsidP="00656F82">
      <w:pPr>
        <w:spacing w:line="360" w:lineRule="auto"/>
        <w:jc w:val="both"/>
        <w:rPr>
          <w:rFonts w:ascii="Times New Roman" w:hAnsi="Times New Roman" w:cs="Times New Roman"/>
          <w:color w:val="000000" w:themeColor="text1"/>
          <w:sz w:val="24"/>
          <w:szCs w:val="24"/>
        </w:rPr>
      </w:pPr>
    </w:p>
    <w:sectPr w:rsidR="00656F82" w:rsidRPr="00C843E3" w:rsidSect="00167D9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D86A3" w14:textId="77777777" w:rsidR="00E1524E" w:rsidRDefault="00E1524E" w:rsidP="00AE4594">
      <w:pPr>
        <w:spacing w:after="0" w:line="240" w:lineRule="auto"/>
      </w:pPr>
      <w:r>
        <w:separator/>
      </w:r>
    </w:p>
  </w:endnote>
  <w:endnote w:type="continuationSeparator" w:id="0">
    <w:p w14:paraId="4151D906" w14:textId="77777777" w:rsidR="00E1524E" w:rsidRDefault="00E1524E" w:rsidP="00AE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4142495"/>
      <w:docPartObj>
        <w:docPartGallery w:val="Page Numbers (Bottom of Page)"/>
        <w:docPartUnique/>
      </w:docPartObj>
    </w:sdtPr>
    <w:sdtEndPr>
      <w:rPr>
        <w:noProof/>
      </w:rPr>
    </w:sdtEndPr>
    <w:sdtContent>
      <w:p w14:paraId="5B383CD5" w14:textId="62FB2023" w:rsidR="00AE4594" w:rsidRDefault="00AE45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97FF6D" w14:textId="77777777" w:rsidR="00AE4594" w:rsidRDefault="00AE4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31345" w14:textId="77777777" w:rsidR="00E1524E" w:rsidRDefault="00E1524E" w:rsidP="00AE4594">
      <w:pPr>
        <w:spacing w:after="0" w:line="240" w:lineRule="auto"/>
      </w:pPr>
      <w:r>
        <w:separator/>
      </w:r>
    </w:p>
  </w:footnote>
  <w:footnote w:type="continuationSeparator" w:id="0">
    <w:p w14:paraId="09B7101C" w14:textId="77777777" w:rsidR="00E1524E" w:rsidRDefault="00E1524E" w:rsidP="00AE4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25D78"/>
    <w:multiLevelType w:val="multilevel"/>
    <w:tmpl w:val="40D0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15802"/>
    <w:multiLevelType w:val="multilevel"/>
    <w:tmpl w:val="21B8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66CC9"/>
    <w:multiLevelType w:val="multilevel"/>
    <w:tmpl w:val="31A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60257"/>
    <w:multiLevelType w:val="multilevel"/>
    <w:tmpl w:val="0884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9B3952"/>
    <w:multiLevelType w:val="multilevel"/>
    <w:tmpl w:val="65F4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341041"/>
    <w:multiLevelType w:val="hybridMultilevel"/>
    <w:tmpl w:val="8B62CB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574E2294"/>
    <w:multiLevelType w:val="multilevel"/>
    <w:tmpl w:val="8C900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902952">
    <w:abstractNumId w:val="0"/>
  </w:num>
  <w:num w:numId="2" w16cid:durableId="1908416955">
    <w:abstractNumId w:val="2"/>
  </w:num>
  <w:num w:numId="3" w16cid:durableId="842281451">
    <w:abstractNumId w:val="4"/>
  </w:num>
  <w:num w:numId="4" w16cid:durableId="758404473">
    <w:abstractNumId w:val="1"/>
  </w:num>
  <w:num w:numId="5" w16cid:durableId="1710372032">
    <w:abstractNumId w:val="6"/>
  </w:num>
  <w:num w:numId="6" w16cid:durableId="605892817">
    <w:abstractNumId w:val="3"/>
  </w:num>
  <w:num w:numId="7" w16cid:durableId="1619432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5E5"/>
    <w:rsid w:val="00037C33"/>
    <w:rsid w:val="0007637A"/>
    <w:rsid w:val="000972B7"/>
    <w:rsid w:val="000B129C"/>
    <w:rsid w:val="000F2A80"/>
    <w:rsid w:val="0011715E"/>
    <w:rsid w:val="00122E56"/>
    <w:rsid w:val="00167D9F"/>
    <w:rsid w:val="00256E2A"/>
    <w:rsid w:val="002C089A"/>
    <w:rsid w:val="003542A5"/>
    <w:rsid w:val="003B788B"/>
    <w:rsid w:val="003F34F0"/>
    <w:rsid w:val="0044064C"/>
    <w:rsid w:val="004B17AF"/>
    <w:rsid w:val="004E4A5C"/>
    <w:rsid w:val="00536153"/>
    <w:rsid w:val="00537533"/>
    <w:rsid w:val="00555ABB"/>
    <w:rsid w:val="00581A4D"/>
    <w:rsid w:val="00590661"/>
    <w:rsid w:val="00592E17"/>
    <w:rsid w:val="0059331B"/>
    <w:rsid w:val="005C4F4A"/>
    <w:rsid w:val="00650B57"/>
    <w:rsid w:val="00656F82"/>
    <w:rsid w:val="00660026"/>
    <w:rsid w:val="0066205C"/>
    <w:rsid w:val="006B1098"/>
    <w:rsid w:val="006C4C95"/>
    <w:rsid w:val="007331CB"/>
    <w:rsid w:val="007667E7"/>
    <w:rsid w:val="007B64EF"/>
    <w:rsid w:val="00845E23"/>
    <w:rsid w:val="00872B8F"/>
    <w:rsid w:val="008775B4"/>
    <w:rsid w:val="00891421"/>
    <w:rsid w:val="00994BC7"/>
    <w:rsid w:val="009D4403"/>
    <w:rsid w:val="009D7D8E"/>
    <w:rsid w:val="00A8246C"/>
    <w:rsid w:val="00A8692C"/>
    <w:rsid w:val="00AC74E0"/>
    <w:rsid w:val="00AD683D"/>
    <w:rsid w:val="00AE4594"/>
    <w:rsid w:val="00C07703"/>
    <w:rsid w:val="00C138EB"/>
    <w:rsid w:val="00C54C38"/>
    <w:rsid w:val="00C843E3"/>
    <w:rsid w:val="00CB693F"/>
    <w:rsid w:val="00CE65E5"/>
    <w:rsid w:val="00D2042E"/>
    <w:rsid w:val="00D7557E"/>
    <w:rsid w:val="00D85676"/>
    <w:rsid w:val="00DC3271"/>
    <w:rsid w:val="00DD32B4"/>
    <w:rsid w:val="00DF6156"/>
    <w:rsid w:val="00E02470"/>
    <w:rsid w:val="00E1410E"/>
    <w:rsid w:val="00E1524E"/>
    <w:rsid w:val="00E275D3"/>
    <w:rsid w:val="00E57732"/>
    <w:rsid w:val="00EA4949"/>
    <w:rsid w:val="00F54376"/>
    <w:rsid w:val="00F5451F"/>
    <w:rsid w:val="00F73230"/>
    <w:rsid w:val="00F7363A"/>
    <w:rsid w:val="00FB40AA"/>
    <w:rsid w:val="00FC1598"/>
    <w:rsid w:val="00FC4C7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7586F"/>
  <w15:chartTrackingRefBased/>
  <w15:docId w15:val="{CF57971A-F336-4833-BE89-A6CA2A6BE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A80"/>
    <w:pPr>
      <w:keepNext/>
      <w:keepLines/>
      <w:spacing w:before="360" w:after="80" w:line="360" w:lineRule="auto"/>
      <w:jc w:val="center"/>
      <w:outlineLvl w:val="0"/>
    </w:pPr>
    <w:rPr>
      <w:rFonts w:ascii="Arial" w:eastAsiaTheme="majorEastAsia" w:hAnsi="Arial" w:cstheme="majorBidi"/>
      <w:b/>
      <w:sz w:val="24"/>
      <w:szCs w:val="40"/>
    </w:rPr>
  </w:style>
  <w:style w:type="paragraph" w:styleId="Heading2">
    <w:name w:val="heading 2"/>
    <w:basedOn w:val="Normal"/>
    <w:next w:val="Normal"/>
    <w:link w:val="Heading2Char"/>
    <w:uiPriority w:val="9"/>
    <w:unhideWhenUsed/>
    <w:qFormat/>
    <w:rsid w:val="000F2A80"/>
    <w:pPr>
      <w:keepNext/>
      <w:keepLines/>
      <w:spacing w:before="160" w:after="80"/>
      <w:outlineLvl w:val="1"/>
    </w:pPr>
    <w:rPr>
      <w:rFonts w:ascii="Arial" w:eastAsiaTheme="majorEastAsia" w:hAnsi="Arial" w:cstheme="majorBidi"/>
      <w:b/>
      <w:color w:val="000000" w:themeColor="text1"/>
      <w:sz w:val="20"/>
      <w:szCs w:val="32"/>
    </w:rPr>
  </w:style>
  <w:style w:type="paragraph" w:styleId="Heading3">
    <w:name w:val="heading 3"/>
    <w:basedOn w:val="Normal"/>
    <w:next w:val="Normal"/>
    <w:link w:val="Heading3Char"/>
    <w:uiPriority w:val="9"/>
    <w:unhideWhenUsed/>
    <w:qFormat/>
    <w:rsid w:val="0044064C"/>
    <w:pPr>
      <w:keepNext/>
      <w:keepLines/>
      <w:spacing w:before="160" w:after="80"/>
      <w:outlineLvl w:val="2"/>
    </w:pPr>
    <w:rPr>
      <w:rFonts w:ascii="Times New Roman" w:eastAsiaTheme="majorEastAsia" w:hAnsi="Times New Roman" w:cstheme="majorBidi"/>
      <w:b/>
      <w:sz w:val="20"/>
      <w:szCs w:val="28"/>
    </w:rPr>
  </w:style>
  <w:style w:type="paragraph" w:styleId="Heading4">
    <w:name w:val="heading 4"/>
    <w:basedOn w:val="Normal"/>
    <w:next w:val="Normal"/>
    <w:link w:val="Heading4Char"/>
    <w:uiPriority w:val="9"/>
    <w:semiHidden/>
    <w:unhideWhenUsed/>
    <w:qFormat/>
    <w:rsid w:val="00CE65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65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65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5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5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5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2A80"/>
    <w:rPr>
      <w:rFonts w:ascii="Arial" w:eastAsiaTheme="majorEastAsia" w:hAnsi="Arial" w:cstheme="majorBidi"/>
      <w:b/>
      <w:color w:val="000000" w:themeColor="text1"/>
      <w:sz w:val="20"/>
      <w:szCs w:val="32"/>
    </w:rPr>
  </w:style>
  <w:style w:type="character" w:customStyle="1" w:styleId="Heading1Char">
    <w:name w:val="Heading 1 Char"/>
    <w:basedOn w:val="DefaultParagraphFont"/>
    <w:link w:val="Heading1"/>
    <w:uiPriority w:val="9"/>
    <w:rsid w:val="000F2A80"/>
    <w:rPr>
      <w:rFonts w:ascii="Arial" w:eastAsiaTheme="majorEastAsia" w:hAnsi="Arial" w:cstheme="majorBidi"/>
      <w:b/>
      <w:sz w:val="24"/>
      <w:szCs w:val="40"/>
    </w:rPr>
  </w:style>
  <w:style w:type="character" w:customStyle="1" w:styleId="Heading3Char">
    <w:name w:val="Heading 3 Char"/>
    <w:basedOn w:val="DefaultParagraphFont"/>
    <w:link w:val="Heading3"/>
    <w:uiPriority w:val="9"/>
    <w:rsid w:val="0044064C"/>
    <w:rPr>
      <w:rFonts w:ascii="Times New Roman" w:eastAsiaTheme="majorEastAsia" w:hAnsi="Times New Roman" w:cstheme="majorBidi"/>
      <w:b/>
      <w:sz w:val="20"/>
      <w:szCs w:val="28"/>
    </w:rPr>
  </w:style>
  <w:style w:type="character" w:customStyle="1" w:styleId="Heading4Char">
    <w:name w:val="Heading 4 Char"/>
    <w:basedOn w:val="DefaultParagraphFont"/>
    <w:link w:val="Heading4"/>
    <w:uiPriority w:val="9"/>
    <w:semiHidden/>
    <w:rsid w:val="00CE65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65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65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5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5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5E5"/>
    <w:rPr>
      <w:rFonts w:eastAsiaTheme="majorEastAsia" w:cstheme="majorBidi"/>
      <w:color w:val="272727" w:themeColor="text1" w:themeTint="D8"/>
    </w:rPr>
  </w:style>
  <w:style w:type="paragraph" w:styleId="Title">
    <w:name w:val="Title"/>
    <w:basedOn w:val="Normal"/>
    <w:next w:val="Normal"/>
    <w:link w:val="TitleChar"/>
    <w:uiPriority w:val="10"/>
    <w:qFormat/>
    <w:rsid w:val="00CE65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5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5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5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5E5"/>
    <w:pPr>
      <w:spacing w:before="160"/>
      <w:jc w:val="center"/>
    </w:pPr>
    <w:rPr>
      <w:i/>
      <w:iCs/>
      <w:color w:val="404040" w:themeColor="text1" w:themeTint="BF"/>
    </w:rPr>
  </w:style>
  <w:style w:type="character" w:customStyle="1" w:styleId="QuoteChar">
    <w:name w:val="Quote Char"/>
    <w:basedOn w:val="DefaultParagraphFont"/>
    <w:link w:val="Quote"/>
    <w:uiPriority w:val="29"/>
    <w:rsid w:val="00CE65E5"/>
    <w:rPr>
      <w:i/>
      <w:iCs/>
      <w:color w:val="404040" w:themeColor="text1" w:themeTint="BF"/>
    </w:rPr>
  </w:style>
  <w:style w:type="paragraph" w:styleId="ListParagraph">
    <w:name w:val="List Paragraph"/>
    <w:basedOn w:val="Normal"/>
    <w:uiPriority w:val="34"/>
    <w:qFormat/>
    <w:rsid w:val="00CE65E5"/>
    <w:pPr>
      <w:ind w:left="720"/>
      <w:contextualSpacing/>
    </w:pPr>
  </w:style>
  <w:style w:type="character" w:styleId="IntenseEmphasis">
    <w:name w:val="Intense Emphasis"/>
    <w:basedOn w:val="DefaultParagraphFont"/>
    <w:uiPriority w:val="21"/>
    <w:qFormat/>
    <w:rsid w:val="00CE65E5"/>
    <w:rPr>
      <w:i/>
      <w:iCs/>
      <w:color w:val="2F5496" w:themeColor="accent1" w:themeShade="BF"/>
    </w:rPr>
  </w:style>
  <w:style w:type="paragraph" w:styleId="IntenseQuote">
    <w:name w:val="Intense Quote"/>
    <w:basedOn w:val="Normal"/>
    <w:next w:val="Normal"/>
    <w:link w:val="IntenseQuoteChar"/>
    <w:uiPriority w:val="30"/>
    <w:qFormat/>
    <w:rsid w:val="00CE65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65E5"/>
    <w:rPr>
      <w:i/>
      <w:iCs/>
      <w:color w:val="2F5496" w:themeColor="accent1" w:themeShade="BF"/>
    </w:rPr>
  </w:style>
  <w:style w:type="character" w:styleId="IntenseReference">
    <w:name w:val="Intense Reference"/>
    <w:basedOn w:val="DefaultParagraphFont"/>
    <w:uiPriority w:val="32"/>
    <w:qFormat/>
    <w:rsid w:val="00CE65E5"/>
    <w:rPr>
      <w:b/>
      <w:bCs/>
      <w:smallCaps/>
      <w:color w:val="2F5496" w:themeColor="accent1" w:themeShade="BF"/>
      <w:spacing w:val="5"/>
    </w:rPr>
  </w:style>
  <w:style w:type="character" w:styleId="Hyperlink">
    <w:name w:val="Hyperlink"/>
    <w:basedOn w:val="DefaultParagraphFont"/>
    <w:uiPriority w:val="99"/>
    <w:unhideWhenUsed/>
    <w:rsid w:val="00656F82"/>
    <w:rPr>
      <w:color w:val="0563C1" w:themeColor="hyperlink"/>
      <w:u w:val="single"/>
    </w:rPr>
  </w:style>
  <w:style w:type="character" w:styleId="UnresolvedMention">
    <w:name w:val="Unresolved Mention"/>
    <w:basedOn w:val="DefaultParagraphFont"/>
    <w:uiPriority w:val="99"/>
    <w:semiHidden/>
    <w:unhideWhenUsed/>
    <w:rsid w:val="00656F82"/>
    <w:rPr>
      <w:color w:val="605E5C"/>
      <w:shd w:val="clear" w:color="auto" w:fill="E1DFDD"/>
    </w:rPr>
  </w:style>
  <w:style w:type="paragraph" w:styleId="TOCHeading">
    <w:name w:val="TOC Heading"/>
    <w:basedOn w:val="Heading1"/>
    <w:next w:val="Normal"/>
    <w:uiPriority w:val="39"/>
    <w:unhideWhenUsed/>
    <w:qFormat/>
    <w:rsid w:val="002C089A"/>
    <w:pPr>
      <w:spacing w:before="240" w:after="0" w:line="259" w:lineRule="auto"/>
      <w:jc w:val="left"/>
      <w:outlineLvl w:val="9"/>
    </w:pPr>
    <w:rPr>
      <w:rFonts w:asciiTheme="majorHAnsi" w:hAnsiTheme="majorHAns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2C089A"/>
    <w:pPr>
      <w:spacing w:after="100"/>
    </w:pPr>
  </w:style>
  <w:style w:type="paragraph" w:styleId="Header">
    <w:name w:val="header"/>
    <w:basedOn w:val="Normal"/>
    <w:link w:val="HeaderChar"/>
    <w:uiPriority w:val="99"/>
    <w:unhideWhenUsed/>
    <w:rsid w:val="00AE4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594"/>
  </w:style>
  <w:style w:type="paragraph" w:styleId="Footer">
    <w:name w:val="footer"/>
    <w:basedOn w:val="Normal"/>
    <w:link w:val="FooterChar"/>
    <w:uiPriority w:val="99"/>
    <w:unhideWhenUsed/>
    <w:rsid w:val="00AE4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y.com/content/dam/ey-unified-site/ey-com/en-in/insights/payments/documents/ey-the-digital-payments-ecosystem-of-india.pdf" TargetMode="External"/><Relationship Id="rId18" Type="http://schemas.openxmlformats.org/officeDocument/2006/relationships/hyperlink" Target="https://www.meity.gov.in/static/uploads/2025/01/5ff397f9e8152d5562ed4cef1a6b767b.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wc.in/industries/financial-services/fintech/payments.html" TargetMode="External"/><Relationship Id="rId7" Type="http://schemas.openxmlformats.org/officeDocument/2006/relationships/endnotes" Target="endnotes.xml"/><Relationship Id="rId12" Type="http://schemas.openxmlformats.org/officeDocument/2006/relationships/hyperlink" Target="https://www.deloitte.com/in/en/Industries/financial-services/spotlight-on-payments-technology-volume-february-2024/future-of-corporate-payments-february-2024.html" TargetMode="External"/><Relationship Id="rId17" Type="http://schemas.openxmlformats.org/officeDocument/2006/relationships/hyperlink" Target="https://www.igi-global.com/chapter/the-role-of-triangulation-in-qualitative-research/35194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kpmg.com/in/en/blogs/2025/07/digital-payments-vs-digital-risks-indias-fintech-ambitions-and-bridging-a-trust-gap-with-ai.html" TargetMode="External"/><Relationship Id="rId20" Type="http://schemas.openxmlformats.org/officeDocument/2006/relationships/hyperlink" Target="https://paytm.com/document/ir/agm/fy/-25/Paytm_Annual_Report_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91/1478088706qp063oa" TargetMode="External"/><Relationship Id="rId24" Type="http://schemas.openxmlformats.org/officeDocument/2006/relationships/hyperlink" Target="https://www.cell.com/heliyon/fulltext/S2405-8440(23)03404-7" TargetMode="External"/><Relationship Id="rId5" Type="http://schemas.openxmlformats.org/officeDocument/2006/relationships/webSettings" Target="webSettings.xml"/><Relationship Id="rId15" Type="http://schemas.openxmlformats.org/officeDocument/2006/relationships/hyperlink" Target="https://www.sciencedirect.com/science/article/pii/S219985312200720X" TargetMode="External"/><Relationship Id="rId23" Type="http://schemas.openxmlformats.org/officeDocument/2006/relationships/hyperlink" Target="https://www.emerald.com/jstpm/article-abstract/10/1/143/450362" TargetMode="External"/><Relationship Id="rId10" Type="http://schemas.openxmlformats.org/officeDocument/2006/relationships/hyperlink" Target="https://ideas.repec.org/a/eee/intfin/v75y2021ics1042443121001578.html" TargetMode="External"/><Relationship Id="rId19" Type="http://schemas.openxmlformats.org/officeDocument/2006/relationships/hyperlink" Target="https://www.npci.org.in/what-we-do/upi/product-statistics" TargetMode="External"/><Relationship Id="rId4" Type="http://schemas.openxmlformats.org/officeDocument/2006/relationships/settings" Target="settings.xml"/><Relationship Id="rId9" Type="http://schemas.openxmlformats.org/officeDocument/2006/relationships/hyperlink" Target="https://www.frontiersin.org/journals/public-health/articles/10.3389/fpubh.2021.642163/full" TargetMode="External"/><Relationship Id="rId14" Type="http://schemas.openxmlformats.org/officeDocument/2006/relationships/hyperlink" Target="https://www.digitalindia.gov.in/about-us/" TargetMode="External"/><Relationship Id="rId22" Type="http://schemas.openxmlformats.org/officeDocument/2006/relationships/hyperlink" Target="https://rbidocs.rbi.org.in/rdocs/PublicationReport/Pdfs/PAYMENTSVISION2025844D11300C884DC4ACB8E56B7348F4D4.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4D72B-6718-4675-B860-6789761BD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3854</Words>
  <Characters>21969</Characters>
  <Application>Microsoft Office Word</Application>
  <DocSecurity>0</DocSecurity>
  <Lines>183</Lines>
  <Paragraphs>51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vt:lpstr>
      <vt:lpstr>Methodology</vt:lpstr>
      <vt:lpstr>Market Research and Validation</vt:lpstr>
      <vt:lpstr>Risks</vt:lpstr>
      <vt:lpstr>References</vt:lpstr>
    </vt:vector>
  </TitlesOfParts>
  <Company/>
  <LinksUpToDate>false</LinksUpToDate>
  <CharactersWithSpaces>25772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payal odedra</dc:creator>
  <cp:keywords/>
  <dc:description/>
  <cp:lastModifiedBy>Jay Karavadra</cp:lastModifiedBy>
  <cp:revision>16</cp:revision>
  <dcterms:created xsi:type="dcterms:W3CDTF">2026-06-09T13:59:00Z</dcterms:created>
  <dcterms:modified xsi:type="dcterms:W3CDTF">2026-06-10T17:19:00Z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ec00aa75-9a87-4e6a-9445-f251c33581ab</vt:lpwstr>
  </property>
</Properties>
</file>