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FDA390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35A26">
              <w:rPr>
                <w:b/>
                <w:color w:val="auto"/>
                <w:sz w:val="32"/>
              </w:rPr>
              <w:t>Danielle Arran</w:t>
            </w:r>
          </w:p>
          <w:p w14:paraId="068BB534" w14:textId="77777777" w:rsidR="00F35A26" w:rsidRDefault="00F35A26"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C7A3424" w:rsidR="005A1BA3" w:rsidRDefault="00F35A26" w:rsidP="00340E9A">
            <w:pPr>
              <w:overflowPunct/>
              <w:autoSpaceDE/>
              <w:autoSpaceDN/>
              <w:adjustRightInd/>
              <w:ind w:right="237"/>
              <w:textAlignment w:val="auto"/>
              <w:rPr>
                <w:b/>
                <w:color w:val="auto"/>
                <w:sz w:val="32"/>
              </w:rPr>
            </w:pPr>
            <w:r>
              <w:rPr>
                <w:b/>
                <w:color w:val="auto"/>
                <w:sz w:val="32"/>
              </w:rPr>
              <w:t>1816534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603549">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603549">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211764A"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Throughout this work I will be utilising Gibbs’ reflective cycle</w:t>
      </w:r>
      <w:r w:rsidRPr="00F35A26">
        <w:rPr>
          <w:color w:val="auto"/>
          <w:sz w:val="24"/>
          <w:szCs w:val="22"/>
          <w:lang w:eastAsia="en-US"/>
        </w:rPr>
        <w:fldChar w:fldCharType="begin"/>
      </w:r>
      <w:r w:rsidRPr="00F35A26">
        <w:rPr>
          <w:color w:val="auto"/>
          <w:sz w:val="24"/>
          <w:szCs w:val="22"/>
          <w:lang w:eastAsia="en-US"/>
        </w:rPr>
        <w:instrText xml:space="preserve"> CITATION Gib88 \l 2057 </w:instrText>
      </w:r>
      <w:r w:rsidRPr="00F35A26">
        <w:rPr>
          <w:color w:val="auto"/>
          <w:sz w:val="24"/>
          <w:szCs w:val="22"/>
          <w:lang w:eastAsia="en-US"/>
        </w:rPr>
        <w:fldChar w:fldCharType="separate"/>
      </w:r>
      <w:r w:rsidRPr="00F35A26">
        <w:rPr>
          <w:noProof/>
          <w:color w:val="auto"/>
          <w:sz w:val="24"/>
          <w:szCs w:val="22"/>
          <w:lang w:eastAsia="en-US"/>
        </w:rPr>
        <w:t xml:space="preserve"> (Gibbs, 1988)</w:t>
      </w:r>
      <w:r w:rsidRPr="00F35A26">
        <w:rPr>
          <w:color w:val="auto"/>
          <w:sz w:val="24"/>
          <w:szCs w:val="22"/>
          <w:lang w:eastAsia="en-US"/>
        </w:rPr>
        <w:fldChar w:fldCharType="end"/>
      </w:r>
      <w:r w:rsidRPr="00F35A26">
        <w:rPr>
          <w:color w:val="auto"/>
          <w:sz w:val="24"/>
          <w:szCs w:val="22"/>
          <w:lang w:eastAsia="en-US"/>
        </w:rPr>
        <w:t xml:space="preserve"> Cited in</w:t>
      </w:r>
      <w:r w:rsidRPr="00F35A26">
        <w:rPr>
          <w:color w:val="auto"/>
          <w:sz w:val="24"/>
          <w:szCs w:val="22"/>
          <w:lang w:eastAsia="en-US"/>
        </w:rPr>
        <w:fldChar w:fldCharType="begin"/>
      </w:r>
      <w:r w:rsidRPr="00F35A26">
        <w:rPr>
          <w:color w:val="auto"/>
          <w:sz w:val="24"/>
          <w:szCs w:val="22"/>
          <w:lang w:eastAsia="en-US"/>
        </w:rPr>
        <w:instrText xml:space="preserve"> CITATION The19 \l 2057 </w:instrText>
      </w:r>
      <w:r w:rsidRPr="00F35A26">
        <w:rPr>
          <w:color w:val="auto"/>
          <w:sz w:val="24"/>
          <w:szCs w:val="22"/>
          <w:lang w:eastAsia="en-US"/>
        </w:rPr>
        <w:fldChar w:fldCharType="separate"/>
      </w:r>
      <w:r w:rsidRPr="00F35A26">
        <w:rPr>
          <w:noProof/>
          <w:color w:val="auto"/>
          <w:sz w:val="24"/>
          <w:szCs w:val="22"/>
          <w:lang w:eastAsia="en-US"/>
        </w:rPr>
        <w:t xml:space="preserve"> (The University of Edinburgh, 2019)</w:t>
      </w:r>
      <w:r w:rsidRPr="00F35A26">
        <w:rPr>
          <w:color w:val="auto"/>
          <w:sz w:val="24"/>
          <w:szCs w:val="22"/>
          <w:lang w:eastAsia="en-US"/>
        </w:rPr>
        <w:fldChar w:fldCharType="end"/>
      </w:r>
      <w:r w:rsidRPr="00F35A26">
        <w:rPr>
          <w:color w:val="auto"/>
          <w:sz w:val="24"/>
          <w:szCs w:val="22"/>
          <w:lang w:eastAsia="en-US"/>
        </w:rPr>
        <w:t xml:space="preserve"> in order to evaluate the effectiveness of coping strategies that I used while adapting to my role as Constable throughout tutorship. Gibbs’ (1988) reflective Cycle consists of 6 stages, starting with describing the experience that I will be reflecting on, I will then explain my feelings and thoughts on the experience, to establish the coping strategies I used. Once this has been done I will evaluate both my positive and negative coping strategies used and their impacts that I feel are relevant, before analysing the situation as a whole. I will conclude by highlighting points that I would include in the action plan part of the cycle, whereby I establish what coping strategies I would use in future and those I would change.</w:t>
      </w:r>
    </w:p>
    <w:p w14:paraId="02F3D312" w14:textId="3A6EF0C2"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 xml:space="preserve">Due to my previous role in South Wales Police as a Community Support Officer, I entered into the role of Constable with a realistic understanding of the nature of work and the pressures the job would entail. Despite this, I was extremely nervous about tutorship and questioned my competence to deal with situations. For example, I did not know how I would be able to compose myself when dealing with a sudden death, nor was I confident about my ability to use reasonable force in accordance with The Police and Criminal Evidence Act 1984 </w:t>
      </w:r>
      <w:r w:rsidRPr="00F35A26">
        <w:rPr>
          <w:color w:val="auto"/>
          <w:sz w:val="24"/>
          <w:szCs w:val="22"/>
          <w:lang w:eastAsia="en-US"/>
        </w:rPr>
        <w:fldChar w:fldCharType="begin"/>
      </w:r>
      <w:r w:rsidRPr="00F35A26">
        <w:rPr>
          <w:color w:val="auto"/>
          <w:sz w:val="24"/>
          <w:szCs w:val="22"/>
          <w:lang w:eastAsia="en-US"/>
        </w:rPr>
        <w:instrText xml:space="preserve"> CITATION Leg17 \l 2057 </w:instrText>
      </w:r>
      <w:r w:rsidRPr="00F35A26">
        <w:rPr>
          <w:color w:val="auto"/>
          <w:sz w:val="24"/>
          <w:szCs w:val="22"/>
          <w:lang w:eastAsia="en-US"/>
        </w:rPr>
        <w:fldChar w:fldCharType="separate"/>
      </w:r>
      <w:r w:rsidRPr="00F35A26">
        <w:rPr>
          <w:noProof/>
          <w:color w:val="auto"/>
          <w:sz w:val="24"/>
          <w:szCs w:val="22"/>
          <w:lang w:eastAsia="en-US"/>
        </w:rPr>
        <w:t>(Legislation.gov, 2017)</w:t>
      </w:r>
      <w:r w:rsidRPr="00F35A26">
        <w:rPr>
          <w:color w:val="auto"/>
          <w:sz w:val="24"/>
          <w:szCs w:val="22"/>
          <w:lang w:eastAsia="en-US"/>
        </w:rPr>
        <w:fldChar w:fldCharType="end"/>
      </w:r>
      <w:r w:rsidRPr="00F35A26">
        <w:rPr>
          <w:color w:val="auto"/>
          <w:sz w:val="24"/>
          <w:szCs w:val="22"/>
          <w:lang w:eastAsia="en-US"/>
        </w:rPr>
        <w:t xml:space="preserve">, against a person substantially larger and stronger than me. I also began to feel overwhelmed at the amount of paperwork I had to include for each incident, complying with timescales. </w:t>
      </w:r>
    </w:p>
    <w:p w14:paraId="5EF51960"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 xml:space="preserve">Being an optimistic person, I believe this naturally provided me with positive coping strategies, one of which would be to openly discuss events with my colleagues in a </w:t>
      </w:r>
      <w:r w:rsidRPr="00F35A26">
        <w:rPr>
          <w:color w:val="auto"/>
          <w:sz w:val="24"/>
          <w:szCs w:val="22"/>
          <w:lang w:eastAsia="en-US"/>
        </w:rPr>
        <w:lastRenderedPageBreak/>
        <w:t xml:space="preserve">safe and controlled environment, in compliance of the General Data Protection Regulation </w:t>
      </w:r>
      <w:r w:rsidRPr="00F35A26">
        <w:rPr>
          <w:color w:val="auto"/>
          <w:sz w:val="24"/>
          <w:szCs w:val="22"/>
          <w:lang w:eastAsia="en-US"/>
        </w:rPr>
        <w:fldChar w:fldCharType="begin"/>
      </w:r>
      <w:r w:rsidRPr="00F35A26">
        <w:rPr>
          <w:color w:val="auto"/>
          <w:sz w:val="24"/>
          <w:szCs w:val="22"/>
          <w:lang w:eastAsia="en-US"/>
        </w:rPr>
        <w:instrText xml:space="preserve"> CITATION Inf18 \l 2057 </w:instrText>
      </w:r>
      <w:r w:rsidRPr="00F35A26">
        <w:rPr>
          <w:color w:val="auto"/>
          <w:sz w:val="24"/>
          <w:szCs w:val="22"/>
          <w:lang w:eastAsia="en-US"/>
        </w:rPr>
        <w:fldChar w:fldCharType="separate"/>
      </w:r>
      <w:r w:rsidRPr="00F35A26">
        <w:rPr>
          <w:noProof/>
          <w:color w:val="auto"/>
          <w:sz w:val="24"/>
          <w:szCs w:val="22"/>
          <w:lang w:eastAsia="en-US"/>
        </w:rPr>
        <w:t>(Information Commissiononer's Office, 2018)</w:t>
      </w:r>
      <w:r w:rsidRPr="00F35A26">
        <w:rPr>
          <w:color w:val="auto"/>
          <w:sz w:val="24"/>
          <w:szCs w:val="22"/>
          <w:lang w:eastAsia="en-US"/>
        </w:rPr>
        <w:fldChar w:fldCharType="end"/>
      </w:r>
      <w:r w:rsidRPr="00F35A26">
        <w:rPr>
          <w:color w:val="auto"/>
          <w:sz w:val="24"/>
          <w:szCs w:val="22"/>
          <w:lang w:eastAsia="en-US"/>
        </w:rPr>
        <w:t xml:space="preserve">. According to </w:t>
      </w:r>
      <w:r w:rsidRPr="00F35A26">
        <w:rPr>
          <w:color w:val="auto"/>
          <w:sz w:val="24"/>
          <w:szCs w:val="22"/>
          <w:lang w:eastAsia="en-US"/>
        </w:rPr>
        <w:fldChar w:fldCharType="begin"/>
      </w:r>
      <w:r w:rsidRPr="00F35A26">
        <w:rPr>
          <w:color w:val="auto"/>
          <w:sz w:val="24"/>
          <w:szCs w:val="22"/>
          <w:lang w:eastAsia="en-US"/>
        </w:rPr>
        <w:instrText xml:space="preserve"> CITATION Sch86 \l 2057 </w:instrText>
      </w:r>
      <w:r w:rsidRPr="00F35A26">
        <w:rPr>
          <w:color w:val="auto"/>
          <w:sz w:val="24"/>
          <w:szCs w:val="22"/>
          <w:lang w:eastAsia="en-US"/>
        </w:rPr>
        <w:fldChar w:fldCharType="separate"/>
      </w:r>
      <w:r w:rsidRPr="00F35A26">
        <w:rPr>
          <w:noProof/>
          <w:color w:val="auto"/>
          <w:sz w:val="24"/>
          <w:szCs w:val="22"/>
          <w:lang w:eastAsia="en-US"/>
        </w:rPr>
        <w:t>(Scheier, et al., 1986)</w:t>
      </w:r>
      <w:r w:rsidRPr="00F35A26">
        <w:rPr>
          <w:color w:val="auto"/>
          <w:sz w:val="24"/>
          <w:szCs w:val="22"/>
          <w:lang w:eastAsia="en-US"/>
        </w:rPr>
        <w:fldChar w:fldCharType="end"/>
      </w:r>
      <w:r w:rsidRPr="00F35A26">
        <w:rPr>
          <w:color w:val="auto"/>
          <w:sz w:val="24"/>
          <w:szCs w:val="22"/>
          <w:lang w:eastAsia="en-US"/>
        </w:rPr>
        <w:t xml:space="preserve"> there is “Evidence of positive associations between optimism and such coping strategies as problem-focused coping, elaboration of coping and social support.” I believe that by obtaining support and reassurance from my colleagues and senior officers I was able to establish and overcome areas that needed improvement, such as confidence in decision making.</w:t>
      </w:r>
    </w:p>
    <w:p w14:paraId="7BDB6EC9"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 xml:space="preserve">Unfortunately, I have also used negative coping strategies such and an increased amount of smoking cigarettes during my tutorship, despite recognising this as a negative coping mechanism and the health implications it brings, I have continued this habit, often using this as a time away from the job to reflect on the negative aspects of the work that have an impact on me emotionally. A study conducted by </w:t>
      </w:r>
      <w:r w:rsidRPr="00F35A26">
        <w:rPr>
          <w:color w:val="auto"/>
          <w:sz w:val="24"/>
          <w:szCs w:val="22"/>
          <w:lang w:eastAsia="en-US"/>
        </w:rPr>
        <w:fldChar w:fldCharType="begin"/>
      </w:r>
      <w:r w:rsidRPr="00F35A26">
        <w:rPr>
          <w:color w:val="auto"/>
          <w:sz w:val="24"/>
          <w:szCs w:val="22"/>
          <w:lang w:eastAsia="en-US"/>
        </w:rPr>
        <w:instrText xml:space="preserve"> CITATION Ger09 \l 2057 </w:instrText>
      </w:r>
      <w:r w:rsidRPr="00F35A26">
        <w:rPr>
          <w:color w:val="auto"/>
          <w:sz w:val="24"/>
          <w:szCs w:val="22"/>
          <w:lang w:eastAsia="en-US"/>
        </w:rPr>
        <w:fldChar w:fldCharType="separate"/>
      </w:r>
      <w:r w:rsidRPr="00F35A26">
        <w:rPr>
          <w:noProof/>
          <w:color w:val="auto"/>
          <w:sz w:val="24"/>
          <w:szCs w:val="22"/>
          <w:lang w:eastAsia="en-US"/>
        </w:rPr>
        <w:t>(Gershon, et al., 2009)</w:t>
      </w:r>
      <w:r w:rsidRPr="00F35A26">
        <w:rPr>
          <w:color w:val="auto"/>
          <w:sz w:val="24"/>
          <w:szCs w:val="22"/>
          <w:lang w:eastAsia="en-US"/>
        </w:rPr>
        <w:fldChar w:fldCharType="end"/>
      </w:r>
      <w:r w:rsidRPr="00F35A26">
        <w:rPr>
          <w:color w:val="auto"/>
          <w:sz w:val="24"/>
          <w:szCs w:val="22"/>
          <w:lang w:eastAsia="en-US"/>
        </w:rPr>
        <w:t xml:space="preserve"> showed that “Officers who relied on negative or avoidant coping mechanisms reported both higher levels of perceived work stress and adverse health outcomes.” I will remain conscious of this study and the negative perception of the job this may bring. </w:t>
      </w:r>
    </w:p>
    <w:p w14:paraId="2C360FFA"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 xml:space="preserve">When considering the coping strategies that I used, it can be said that by discussing my thoughts and feelings it provided me with both positive feedback regarding my good communication skills to defuse conflict and constructive criticism about my acceptance that I cannot always control how events will unfold, combining this with a positive outlook, it has enabled me to build resilience as a constable and provided me with a more clear direction, which in turn, has reduced my stress levels whilst adjusting to my new role and shift work. </w:t>
      </w:r>
    </w:p>
    <w:p w14:paraId="310FC682"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r w:rsidRPr="00F35A26">
        <w:rPr>
          <w:color w:val="auto"/>
          <w:sz w:val="24"/>
          <w:szCs w:val="22"/>
          <w:lang w:eastAsia="en-US"/>
        </w:rPr>
        <w:t xml:space="preserve">By using Gibbs’ (1988) Model I have been able to constructively establish both the positive and negative coping strategies that I have used throughout tutorship and analyse the impact that they have had. Going forward, I will attempt to cease my smoking habit, being conscious of the perceived work stress this could cause and the health implications. Hopefully, by continuing to discuss my thoughts and feelings with my peers and officers of higher rank I can continue to reflect, progress and build my resilience throughout my career. </w:t>
      </w:r>
    </w:p>
    <w:p w14:paraId="453F3727" w14:textId="77777777" w:rsidR="00F35A26" w:rsidRPr="00F35A26" w:rsidRDefault="00F35A26" w:rsidP="00F35A26">
      <w:pPr>
        <w:overflowPunct/>
        <w:autoSpaceDE/>
        <w:autoSpaceDN/>
        <w:adjustRightInd/>
        <w:spacing w:after="160" w:line="360" w:lineRule="auto"/>
        <w:textAlignment w:val="auto"/>
        <w:rPr>
          <w:color w:val="auto"/>
          <w:sz w:val="24"/>
          <w:szCs w:val="22"/>
          <w:lang w:eastAsia="en-US"/>
        </w:rPr>
      </w:pPr>
    </w:p>
    <w:p w14:paraId="2533A96A" w14:textId="2704DC48" w:rsidR="00F35A26" w:rsidRPr="00F35A26" w:rsidRDefault="001B48B2" w:rsidP="00F35A26">
      <w:pPr>
        <w:overflowPunct/>
        <w:autoSpaceDE/>
        <w:autoSpaceDN/>
        <w:adjustRightInd/>
        <w:spacing w:after="160" w:line="360" w:lineRule="auto"/>
        <w:textAlignment w:val="auto"/>
        <w:rPr>
          <w:color w:val="auto"/>
          <w:sz w:val="24"/>
          <w:szCs w:val="22"/>
          <w:lang w:eastAsia="en-US"/>
        </w:rPr>
      </w:pPr>
      <w:r>
        <w:rPr>
          <w:color w:val="auto"/>
          <w:sz w:val="24"/>
          <w:szCs w:val="22"/>
          <w:lang w:eastAsia="en-US"/>
        </w:rPr>
        <w:t>Word Count: 659</w:t>
      </w:r>
    </w:p>
    <w:p w14:paraId="49F6FD9B"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4"/>
          <w:szCs w:val="24"/>
          <w:lang w:eastAsia="en-US"/>
        </w:rPr>
      </w:pPr>
      <w:r w:rsidRPr="00F35A26">
        <w:rPr>
          <w:color w:val="auto"/>
          <w:sz w:val="24"/>
          <w:szCs w:val="22"/>
          <w:lang w:eastAsia="en-US"/>
        </w:rPr>
        <w:lastRenderedPageBreak/>
        <w:fldChar w:fldCharType="begin"/>
      </w:r>
      <w:r w:rsidRPr="00F35A26">
        <w:rPr>
          <w:color w:val="auto"/>
          <w:sz w:val="24"/>
          <w:szCs w:val="22"/>
          <w:lang w:eastAsia="en-US"/>
        </w:rPr>
        <w:instrText xml:space="preserve"> BIBLIOGRAPHY  \l 2057 </w:instrText>
      </w:r>
      <w:r w:rsidRPr="00F35A26">
        <w:rPr>
          <w:color w:val="auto"/>
          <w:sz w:val="24"/>
          <w:szCs w:val="22"/>
          <w:lang w:eastAsia="en-US"/>
        </w:rPr>
        <w:fldChar w:fldCharType="separate"/>
      </w:r>
      <w:r w:rsidRPr="00F35A26">
        <w:rPr>
          <w:rFonts w:asciiTheme="minorHAnsi" w:hAnsiTheme="minorHAnsi" w:cs="Times New Roman"/>
          <w:noProof/>
          <w:color w:val="auto"/>
          <w:sz w:val="22"/>
          <w:szCs w:val="22"/>
          <w:lang w:eastAsia="en-US"/>
        </w:rPr>
        <w:t xml:space="preserve">Gershon, R. R. et al., 2009. Mental, Physical, and Behavioral Outcomes Associated With Perceived Work Stress in Police Officers. </w:t>
      </w:r>
      <w:r w:rsidRPr="00F35A26">
        <w:rPr>
          <w:rFonts w:asciiTheme="minorHAnsi" w:hAnsiTheme="minorHAnsi" w:cs="Times New Roman"/>
          <w:i/>
          <w:iCs/>
          <w:noProof/>
          <w:color w:val="auto"/>
          <w:sz w:val="22"/>
          <w:szCs w:val="22"/>
          <w:lang w:eastAsia="en-US"/>
        </w:rPr>
        <w:t xml:space="preserve">Criminal Justice and Behavior, </w:t>
      </w:r>
      <w:r w:rsidRPr="00F35A26">
        <w:rPr>
          <w:rFonts w:asciiTheme="minorHAnsi" w:hAnsiTheme="minorHAnsi" w:cs="Times New Roman"/>
          <w:noProof/>
          <w:color w:val="auto"/>
          <w:sz w:val="22"/>
          <w:szCs w:val="22"/>
          <w:lang w:eastAsia="en-US"/>
        </w:rPr>
        <w:t>36(3), pp. 275-289.</w:t>
      </w:r>
    </w:p>
    <w:p w14:paraId="236C02B2"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Gibbs, G., 1988. </w:t>
      </w:r>
      <w:r w:rsidRPr="00F35A26">
        <w:rPr>
          <w:rFonts w:asciiTheme="minorHAnsi" w:hAnsiTheme="minorHAnsi" w:cs="Times New Roman"/>
          <w:i/>
          <w:iCs/>
          <w:noProof/>
          <w:color w:val="auto"/>
          <w:sz w:val="22"/>
          <w:szCs w:val="22"/>
          <w:lang w:eastAsia="en-US"/>
        </w:rPr>
        <w:t xml:space="preserve">Learning by Doing: A guide to teaching and learning methods, </w:t>
      </w:r>
      <w:r w:rsidRPr="00F35A26">
        <w:rPr>
          <w:rFonts w:asciiTheme="minorHAnsi" w:hAnsiTheme="minorHAnsi" w:cs="Times New Roman"/>
          <w:noProof/>
          <w:color w:val="auto"/>
          <w:sz w:val="22"/>
          <w:szCs w:val="22"/>
          <w:lang w:eastAsia="en-US"/>
        </w:rPr>
        <w:t>Oxford: Further Education Unit. Oxford Polytechnic.</w:t>
      </w:r>
    </w:p>
    <w:p w14:paraId="01B022E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Information Commissiononer's Office, 2018. </w:t>
      </w:r>
      <w:r w:rsidRPr="00F35A26">
        <w:rPr>
          <w:rFonts w:asciiTheme="minorHAnsi" w:hAnsiTheme="minorHAnsi" w:cs="Times New Roman"/>
          <w:i/>
          <w:iCs/>
          <w:noProof/>
          <w:color w:val="auto"/>
          <w:sz w:val="22"/>
          <w:szCs w:val="22"/>
          <w:lang w:eastAsia="en-US"/>
        </w:rPr>
        <w:t xml:space="preserve">Guide to the General Data Protection Regulation (GDPR).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https://assets.publishing.service.gov.uk/government/uploads/system/uploads/attachment_data/file/711097/guide-to-the-general-data-protection-regulation-gdpr-1-0.pdf</w:t>
      </w:r>
      <w:r w:rsidRPr="00F35A26">
        <w:rPr>
          <w:rFonts w:asciiTheme="minorHAnsi" w:hAnsiTheme="minorHAnsi" w:cs="Times New Roman"/>
          <w:noProof/>
          <w:color w:val="auto"/>
          <w:sz w:val="22"/>
          <w:szCs w:val="22"/>
          <w:lang w:eastAsia="en-US"/>
        </w:rPr>
        <w:br/>
        <w:t>[Accessed 02 01 2020].</w:t>
      </w:r>
    </w:p>
    <w:p w14:paraId="5D37F99E"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Legislation.gov, 2017. </w:t>
      </w:r>
      <w:r w:rsidRPr="00F35A26">
        <w:rPr>
          <w:rFonts w:asciiTheme="minorHAnsi" w:hAnsiTheme="minorHAnsi" w:cs="Times New Roman"/>
          <w:i/>
          <w:iCs/>
          <w:noProof/>
          <w:color w:val="auto"/>
          <w:sz w:val="22"/>
          <w:szCs w:val="22"/>
          <w:lang w:eastAsia="en-US"/>
        </w:rPr>
        <w:t xml:space="preserve">Section 24 Police and Criminal Evidemce Act 1984.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http://www.legislation.gov.uk/ukpga/1984/60/section/24</w:t>
      </w:r>
      <w:r w:rsidRPr="00F35A26">
        <w:rPr>
          <w:rFonts w:asciiTheme="minorHAnsi" w:hAnsiTheme="minorHAnsi" w:cs="Times New Roman"/>
          <w:noProof/>
          <w:color w:val="auto"/>
          <w:sz w:val="22"/>
          <w:szCs w:val="22"/>
          <w:lang w:eastAsia="en-US"/>
        </w:rPr>
        <w:br/>
        <w:t>[Accessed 12 11 2019].</w:t>
      </w:r>
    </w:p>
    <w:p w14:paraId="47700C5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Scheier, M. F., Weintraub, J. K. &amp; Carver, C. S., 1986. Coping With Stress: Divergent Strategies Of Optimists and Pessimists. </w:t>
      </w:r>
      <w:r w:rsidRPr="00F35A26">
        <w:rPr>
          <w:rFonts w:asciiTheme="minorHAnsi" w:hAnsiTheme="minorHAnsi" w:cs="Times New Roman"/>
          <w:i/>
          <w:iCs/>
          <w:noProof/>
          <w:color w:val="auto"/>
          <w:sz w:val="22"/>
          <w:szCs w:val="22"/>
          <w:lang w:eastAsia="en-US"/>
        </w:rPr>
        <w:t xml:space="preserve">Journal of Personality and social psychology, </w:t>
      </w:r>
      <w:r w:rsidRPr="00F35A26">
        <w:rPr>
          <w:rFonts w:asciiTheme="minorHAnsi" w:hAnsiTheme="minorHAnsi" w:cs="Times New Roman"/>
          <w:noProof/>
          <w:color w:val="auto"/>
          <w:sz w:val="22"/>
          <w:szCs w:val="22"/>
          <w:lang w:eastAsia="en-US"/>
        </w:rPr>
        <w:t>51(6), pp. 1257-1264.</w:t>
      </w:r>
    </w:p>
    <w:p w14:paraId="30969D08"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The University of Edinburgh, 2019. </w:t>
      </w:r>
      <w:r w:rsidRPr="00F35A26">
        <w:rPr>
          <w:rFonts w:asciiTheme="minorHAnsi" w:hAnsiTheme="minorHAnsi" w:cs="Times New Roman"/>
          <w:i/>
          <w:iCs/>
          <w:noProof/>
          <w:color w:val="auto"/>
          <w:sz w:val="22"/>
          <w:szCs w:val="22"/>
          <w:lang w:eastAsia="en-US"/>
        </w:rPr>
        <w:t xml:space="preserve">Gibbs' reflective cycle.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https://www.ed.ac.uk/reflection/reflectors-toolkit/reflecting-on-experience/gibbs-reflective-cycle</w:t>
      </w:r>
      <w:r w:rsidRPr="00F35A26">
        <w:rPr>
          <w:rFonts w:asciiTheme="minorHAnsi" w:hAnsiTheme="minorHAnsi" w:cs="Times New Roman"/>
          <w:noProof/>
          <w:color w:val="auto"/>
          <w:sz w:val="22"/>
          <w:szCs w:val="22"/>
          <w:lang w:eastAsia="en-US"/>
        </w:rPr>
        <w:br/>
        <w:t>[Accessed 02 01 2020].</w:t>
      </w:r>
    </w:p>
    <w:p w14:paraId="670E1FB9" w14:textId="1D13088F" w:rsidR="00FF7784" w:rsidRPr="00270EEB" w:rsidRDefault="00F35A26" w:rsidP="00F35A26">
      <w:pPr>
        <w:ind w:right="237"/>
        <w:jc w:val="both"/>
        <w:rPr>
          <w:sz w:val="24"/>
          <w:szCs w:val="24"/>
        </w:rPr>
      </w:pPr>
      <w:r w:rsidRPr="00F35A26">
        <w:rPr>
          <w:color w:val="auto"/>
          <w:sz w:val="24"/>
          <w:szCs w:val="22"/>
          <w:lang w:eastAsia="en-US"/>
        </w:rPr>
        <w:fldChar w:fldCharType="end"/>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35A26">
          <w:headerReference w:type="even" r:id="rId11"/>
          <w:headerReference w:type="default" r:id="rId12"/>
          <w:footerReference w:type="even" r:id="rId13"/>
          <w:footerReference w:type="default" r:id="rId14"/>
          <w:headerReference w:type="first" r:id="rId15"/>
          <w:footerReference w:type="first" r:id="rId16"/>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55C5DA0"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Throughout this work, I will discuss a call that I attended in relation to an assault between two females. I will be showing my consideration of policies, guidelines and legislation before reflecting on the situational and environmental factors, my decisions and learning point using Gibbs’ reflective model as cited in </w:t>
      </w:r>
      <w:r w:rsidRPr="00F35A26">
        <w:rPr>
          <w:color w:val="auto"/>
          <w:sz w:val="24"/>
          <w:szCs w:val="24"/>
          <w:lang w:eastAsia="en-US"/>
        </w:rPr>
        <w:fldChar w:fldCharType="begin"/>
      </w:r>
      <w:r w:rsidRPr="00F35A26">
        <w:rPr>
          <w:color w:val="auto"/>
          <w:sz w:val="24"/>
          <w:szCs w:val="24"/>
          <w:lang w:eastAsia="en-US"/>
        </w:rPr>
        <w:instrText xml:space="preserve"> CITATION Uni19 \l 2057 </w:instrText>
      </w:r>
      <w:r w:rsidRPr="00F35A26">
        <w:rPr>
          <w:color w:val="auto"/>
          <w:sz w:val="24"/>
          <w:szCs w:val="24"/>
          <w:lang w:eastAsia="en-US"/>
        </w:rPr>
        <w:fldChar w:fldCharType="separate"/>
      </w:r>
      <w:r w:rsidRPr="00F35A26">
        <w:rPr>
          <w:noProof/>
          <w:color w:val="auto"/>
          <w:sz w:val="24"/>
          <w:szCs w:val="24"/>
          <w:lang w:eastAsia="en-US"/>
        </w:rPr>
        <w:t>(University of Edinburgh, 2019)</w:t>
      </w:r>
      <w:r w:rsidRPr="00F35A26">
        <w:rPr>
          <w:color w:val="auto"/>
          <w:sz w:val="24"/>
          <w:szCs w:val="24"/>
          <w:lang w:eastAsia="en-US"/>
        </w:rPr>
        <w:fldChar w:fldCharType="end"/>
      </w:r>
      <w:r w:rsidRPr="00F35A26">
        <w:rPr>
          <w:color w:val="auto"/>
          <w:sz w:val="24"/>
          <w:szCs w:val="24"/>
          <w:lang w:eastAsia="en-US"/>
        </w:rPr>
        <w:t>.</w:t>
      </w:r>
    </w:p>
    <w:p w14:paraId="13808909"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was instructed by the control room to attend an address in relation to a female being assaulted by her ex-partner’s mother, who had since left the address. The call was graded as a grade two response, in accordance with guidelines previously implemented by the Association of Chief Police officers, now known as the National </w:t>
      </w:r>
      <w:r w:rsidRPr="00F35A26">
        <w:rPr>
          <w:color w:val="auto"/>
          <w:sz w:val="24"/>
          <w:szCs w:val="24"/>
          <w:lang w:eastAsia="en-US"/>
        </w:rPr>
        <w:lastRenderedPageBreak/>
        <w:t xml:space="preserve">Police Chief’s Council </w:t>
      </w:r>
      <w:r w:rsidRPr="00F35A26">
        <w:rPr>
          <w:color w:val="auto"/>
          <w:sz w:val="24"/>
          <w:szCs w:val="24"/>
          <w:lang w:eastAsia="en-US"/>
        </w:rPr>
        <w:fldChar w:fldCharType="begin"/>
      </w:r>
      <w:r w:rsidRPr="00F35A26">
        <w:rPr>
          <w:color w:val="auto"/>
          <w:sz w:val="24"/>
          <w:szCs w:val="24"/>
          <w:lang w:eastAsia="en-US"/>
        </w:rPr>
        <w:instrText xml:space="preserve">CITATION Ass05 \l 2057 </w:instrText>
      </w:r>
      <w:r w:rsidRPr="00F35A26">
        <w:rPr>
          <w:color w:val="auto"/>
          <w:sz w:val="24"/>
          <w:szCs w:val="24"/>
          <w:lang w:eastAsia="en-US"/>
        </w:rPr>
        <w:fldChar w:fldCharType="separate"/>
      </w:r>
      <w:r w:rsidRPr="00F35A26">
        <w:rPr>
          <w:noProof/>
          <w:color w:val="auto"/>
          <w:sz w:val="24"/>
          <w:szCs w:val="24"/>
          <w:lang w:eastAsia="en-US"/>
        </w:rPr>
        <w:t>(Association of Cheif Police Officers, 2005)</w:t>
      </w:r>
      <w:r w:rsidRPr="00F35A26">
        <w:rPr>
          <w:color w:val="auto"/>
          <w:sz w:val="24"/>
          <w:szCs w:val="24"/>
          <w:lang w:eastAsia="en-US"/>
        </w:rPr>
        <w:fldChar w:fldCharType="end"/>
      </w:r>
      <w:r w:rsidRPr="00F35A26">
        <w:rPr>
          <w:color w:val="auto"/>
          <w:sz w:val="24"/>
          <w:szCs w:val="24"/>
          <w:lang w:eastAsia="en-US"/>
        </w:rPr>
        <w:t xml:space="preserve">. The National call handling standards state that an emergency response will be provided in the instance that there is serious injury caused, and as the control room had established there were no injuries and the suspect had left the address, this call did not meet the criteria. By utilising internal systems, it was found that the victim had previously been subject to domestic abuse from her ex-partner, whose mother was this incident’s suspect. I also identified that there was a child living at the address. This information and intelligence, started my progression through the National decision making model </w:t>
      </w:r>
      <w:r w:rsidRPr="00F35A26">
        <w:rPr>
          <w:color w:val="auto"/>
          <w:sz w:val="24"/>
          <w:szCs w:val="24"/>
          <w:lang w:eastAsia="en-US"/>
        </w:rPr>
        <w:fldChar w:fldCharType="begin"/>
      </w:r>
      <w:r w:rsidRPr="00F35A26">
        <w:rPr>
          <w:color w:val="auto"/>
          <w:sz w:val="24"/>
          <w:szCs w:val="24"/>
          <w:lang w:eastAsia="en-US"/>
        </w:rPr>
        <w:instrText xml:space="preserve"> CITATION Col14 \l 2057 </w:instrText>
      </w:r>
      <w:r w:rsidRPr="00F35A26">
        <w:rPr>
          <w:color w:val="auto"/>
          <w:sz w:val="24"/>
          <w:szCs w:val="24"/>
          <w:lang w:eastAsia="en-US"/>
        </w:rPr>
        <w:fldChar w:fldCharType="separate"/>
      </w:r>
      <w:r w:rsidRPr="00F35A26">
        <w:rPr>
          <w:noProof/>
          <w:color w:val="auto"/>
          <w:sz w:val="24"/>
          <w:szCs w:val="24"/>
          <w:lang w:eastAsia="en-US"/>
        </w:rPr>
        <w:t>(College of Policing, 2014)</w:t>
      </w:r>
      <w:r w:rsidRPr="00F35A26">
        <w:rPr>
          <w:color w:val="auto"/>
          <w:sz w:val="24"/>
          <w:szCs w:val="24"/>
          <w:lang w:eastAsia="en-US"/>
        </w:rPr>
        <w:fldChar w:fldCharType="end"/>
      </w:r>
      <w:r w:rsidRPr="00F35A26">
        <w:rPr>
          <w:color w:val="auto"/>
          <w:sz w:val="24"/>
          <w:szCs w:val="24"/>
          <w:lang w:eastAsia="en-US"/>
        </w:rPr>
        <w:t>, referred to throughout this work as NDM. At this point the risk of threat and harm was low.</w:t>
      </w:r>
    </w:p>
    <w:p w14:paraId="4515E3C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understood that an offence was common assault as defined under Section 39 of the Criminal Justice Act 1988 </w:t>
      </w:r>
      <w:r w:rsidRPr="00F35A26">
        <w:rPr>
          <w:color w:val="auto"/>
          <w:sz w:val="24"/>
          <w:szCs w:val="24"/>
          <w:lang w:eastAsia="en-US"/>
        </w:rPr>
        <w:fldChar w:fldCharType="begin"/>
      </w:r>
      <w:r w:rsidRPr="00F35A26">
        <w:rPr>
          <w:color w:val="auto"/>
          <w:sz w:val="24"/>
          <w:szCs w:val="24"/>
          <w:lang w:eastAsia="en-US"/>
        </w:rPr>
        <w:instrText xml:space="preserve"> CITATION Cri88 \l 2057 </w:instrText>
      </w:r>
      <w:r w:rsidRPr="00F35A26">
        <w:rPr>
          <w:color w:val="auto"/>
          <w:sz w:val="24"/>
          <w:szCs w:val="24"/>
          <w:lang w:eastAsia="en-US"/>
        </w:rPr>
        <w:fldChar w:fldCharType="separate"/>
      </w:r>
      <w:r w:rsidRPr="00F35A26">
        <w:rPr>
          <w:noProof/>
          <w:color w:val="auto"/>
          <w:sz w:val="24"/>
          <w:szCs w:val="24"/>
          <w:lang w:eastAsia="en-US"/>
        </w:rPr>
        <w:t>(Criminal justice Act, 1988)</w:t>
      </w:r>
      <w:r w:rsidRPr="00F35A26">
        <w:rPr>
          <w:color w:val="auto"/>
          <w:sz w:val="24"/>
          <w:szCs w:val="24"/>
          <w:lang w:eastAsia="en-US"/>
        </w:rPr>
        <w:fldChar w:fldCharType="end"/>
      </w:r>
      <w:r w:rsidRPr="00F35A26">
        <w:rPr>
          <w:color w:val="auto"/>
          <w:sz w:val="24"/>
          <w:szCs w:val="24"/>
          <w:lang w:eastAsia="en-US"/>
        </w:rPr>
        <w:t xml:space="preserve">, and this allowed me to accurately consider the powers and policies aspect of the NDM. I would utilise my powers of arrest under Section 24 (2) </w:t>
      </w:r>
      <w:r w:rsidRPr="00F35A26">
        <w:rPr>
          <w:color w:val="auto"/>
          <w:sz w:val="24"/>
          <w:szCs w:val="24"/>
          <w:lang w:eastAsia="en-US"/>
        </w:rPr>
        <w:fldChar w:fldCharType="begin"/>
      </w:r>
      <w:r w:rsidRPr="00F35A26">
        <w:rPr>
          <w:color w:val="auto"/>
          <w:sz w:val="24"/>
          <w:szCs w:val="24"/>
          <w:lang w:eastAsia="en-US"/>
        </w:rPr>
        <w:instrText xml:space="preserve"> CITATION Pol841 \l 2057 </w:instrText>
      </w:r>
      <w:r w:rsidRPr="00F35A26">
        <w:rPr>
          <w:color w:val="auto"/>
          <w:sz w:val="24"/>
          <w:szCs w:val="24"/>
          <w:lang w:eastAsia="en-US"/>
        </w:rPr>
        <w:fldChar w:fldCharType="separate"/>
      </w:r>
      <w:r w:rsidRPr="00F35A26">
        <w:rPr>
          <w:noProof/>
          <w:color w:val="auto"/>
          <w:sz w:val="24"/>
          <w:szCs w:val="24"/>
          <w:lang w:eastAsia="en-US"/>
        </w:rPr>
        <w:t>(Police and Criminal Evidence Act, 1984)</w:t>
      </w:r>
      <w:r w:rsidRPr="00F35A26">
        <w:rPr>
          <w:color w:val="auto"/>
          <w:sz w:val="24"/>
          <w:szCs w:val="24"/>
          <w:lang w:eastAsia="en-US"/>
        </w:rPr>
        <w:fldChar w:fldCharType="end"/>
      </w:r>
      <w:r w:rsidRPr="00F35A26">
        <w:rPr>
          <w:color w:val="auto"/>
          <w:sz w:val="24"/>
          <w:szCs w:val="24"/>
          <w:lang w:eastAsia="en-US"/>
        </w:rPr>
        <w:t xml:space="preserve">, whereby I had reasonable grounds for suspecting that an offence had been committed and I had identified the person guilty of it. I deemed that the arrest would be necessary in accordance with Section 24 (4) and (5) PACE 1984 </w:t>
      </w:r>
      <w:r w:rsidRPr="00F35A26">
        <w:rPr>
          <w:color w:val="auto"/>
          <w:sz w:val="24"/>
          <w:szCs w:val="24"/>
          <w:lang w:eastAsia="en-US"/>
        </w:rPr>
        <w:fldChar w:fldCharType="begin"/>
      </w:r>
      <w:r w:rsidRPr="00F35A26">
        <w:rPr>
          <w:color w:val="auto"/>
          <w:sz w:val="24"/>
          <w:szCs w:val="24"/>
          <w:lang w:eastAsia="en-US"/>
        </w:rPr>
        <w:instrText xml:space="preserve"> CITATION Pol841 \l 2057 </w:instrText>
      </w:r>
      <w:r w:rsidRPr="00F35A26">
        <w:rPr>
          <w:color w:val="auto"/>
          <w:sz w:val="24"/>
          <w:szCs w:val="24"/>
          <w:lang w:eastAsia="en-US"/>
        </w:rPr>
        <w:fldChar w:fldCharType="separate"/>
      </w:r>
      <w:r w:rsidRPr="00F35A26">
        <w:rPr>
          <w:noProof/>
          <w:color w:val="auto"/>
          <w:sz w:val="24"/>
          <w:szCs w:val="24"/>
          <w:lang w:eastAsia="en-US"/>
        </w:rPr>
        <w:t>(Police and Criminal Evidence Act, 1984)</w:t>
      </w:r>
      <w:r w:rsidRPr="00F35A26">
        <w:rPr>
          <w:color w:val="auto"/>
          <w:sz w:val="24"/>
          <w:szCs w:val="24"/>
          <w:lang w:eastAsia="en-US"/>
        </w:rPr>
        <w:fldChar w:fldCharType="end"/>
      </w:r>
      <w:r w:rsidRPr="00F35A26">
        <w:rPr>
          <w:color w:val="auto"/>
          <w:sz w:val="24"/>
          <w:szCs w:val="24"/>
          <w:lang w:eastAsia="en-US"/>
        </w:rPr>
        <w:t xml:space="preserve">, to allow the prompt and effective investigation of the offence but also to protect the vulnerable persons from the suspect, those being the victim and her child. </w:t>
      </w:r>
    </w:p>
    <w:p w14:paraId="73D11EE3"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Upon arrival at the address, I immediately asked the victim if she required any medical attention, to which she told me told me that she did not. Once this had been established, I made a conscious effort to build rapport with the victim, understanding the difficult situation that she was in, in a bid to ease any reservations she may have about reporting the incident. I did this by making generalised comment, such as complimenting her home and Christmas decorations before the conversation moved on to Christmas. I then asked the victim an open question to tell me what happened, she informed us that her ex-partners mother had arrived at the address to collect the victim’s son, as it was the victims’ ex-partners’ time to have the child. The circumstances around this were that the child’s father was not allowed to attend the address due to a restraining order and the paternal grandmother of the child would collect him during the fathers allocated hours. </w:t>
      </w:r>
    </w:p>
    <w:p w14:paraId="389AEE7D"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lastRenderedPageBreak/>
        <w:t xml:space="preserve">Whilst being told this information, I made sure that I practiced active listening skills by implementing the LEAPS communication model </w:t>
      </w:r>
      <w:r w:rsidRPr="00F35A26">
        <w:rPr>
          <w:color w:val="auto"/>
          <w:sz w:val="24"/>
          <w:szCs w:val="24"/>
          <w:lang w:eastAsia="en-US"/>
        </w:rPr>
        <w:fldChar w:fldCharType="begin"/>
      </w:r>
      <w:r w:rsidRPr="00F35A26">
        <w:rPr>
          <w:color w:val="auto"/>
          <w:sz w:val="24"/>
          <w:szCs w:val="24"/>
          <w:lang w:eastAsia="en-US"/>
        </w:rPr>
        <w:instrText xml:space="preserve"> CITATION Gue12 \l 2057 </w:instrText>
      </w:r>
      <w:r w:rsidRPr="00F35A26">
        <w:rPr>
          <w:color w:val="auto"/>
          <w:sz w:val="24"/>
          <w:szCs w:val="24"/>
          <w:lang w:eastAsia="en-US"/>
        </w:rPr>
        <w:fldChar w:fldCharType="separate"/>
      </w:r>
      <w:r w:rsidRPr="00F35A26">
        <w:rPr>
          <w:noProof/>
          <w:color w:val="auto"/>
          <w:sz w:val="24"/>
          <w:szCs w:val="24"/>
          <w:lang w:eastAsia="en-US"/>
        </w:rPr>
        <w:t>(Guest relationships Blog, 2012)</w:t>
      </w:r>
      <w:r w:rsidRPr="00F35A26">
        <w:rPr>
          <w:color w:val="auto"/>
          <w:sz w:val="24"/>
          <w:szCs w:val="24"/>
          <w:lang w:eastAsia="en-US"/>
        </w:rPr>
        <w:fldChar w:fldCharType="end"/>
      </w:r>
      <w:r w:rsidRPr="00F35A26">
        <w:rPr>
          <w:color w:val="auto"/>
          <w:sz w:val="24"/>
          <w:szCs w:val="24"/>
          <w:lang w:eastAsia="en-US"/>
        </w:rPr>
        <w:t xml:space="preserve"> by asking both open and closed questions throughout, I empathised and reassured the victim that I was not only listening, but understanding her situation. I continued this technique as the victim went on to explain that the child had been very unwell through the night and she had text the paternal grandmother, informing her that the child would not be leaving the maternal home as previously arranged due to his ill-health, however she had shown up anyway. </w:t>
      </w:r>
    </w:p>
    <w:p w14:paraId="2ABC0D59"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recognised that the victim was emotional while relaying the events to me as her voice became quieter and I noticed tears in her eyes. I reassured the victim that I appreciated that this was a sensitive topic, and explained that as a mother myself, I understood this was difficult for her. I asked the victim to take her time and assured her that I was happy to wait as long as it took for her to continue. This appeared to have the desired effect as the victim’s body language became more open, she straightened her posture, took a deep breath then divulged further information about the assault.</w:t>
      </w:r>
    </w:p>
    <w:p w14:paraId="0B58E44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The suspect and victim had a verbal argument and as the suspect went to pass the victim on the stairs, she barged her with her shoulder causing the victim to fall down two steps. There was no visible injury as a result of this and the victim believed it to be done intentionally. The suspect continued to be verbally aggressive before leaving. The child did not witness any of this and was safe in his room.</w:t>
      </w:r>
    </w:p>
    <w:p w14:paraId="6C3B370F"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The victim wished to make a formal complaint and provided a statement immediately to ensure the incident was dealt with comprehensively and in a timely manner. I continued using active listening skills such as non-verbal nodding and verbal acknowledgement tokens throughout.</w:t>
      </w:r>
    </w:p>
    <w:p w14:paraId="36BC3987"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victim showed me the text correspondence between herself and the suspect which I photographed as evidence before informing her that the suspect would be arrested for the assault. I made the decision, based on the situational circumstances, not to take the victims phone to download the text messages, as this would be her only means of contacting us, should the suspect return. Another factor I considered were potential repercussions from her violent ex-partner, and should he find out that his mother had been arrested due to her complaint, possible repercussions would </w:t>
      </w:r>
      <w:r w:rsidRPr="00F35A26">
        <w:rPr>
          <w:color w:val="auto"/>
          <w:sz w:val="24"/>
          <w:szCs w:val="24"/>
          <w:lang w:eastAsia="en-US"/>
        </w:rPr>
        <w:lastRenderedPageBreak/>
        <w:t xml:space="preserve">place her and her son at risk and she may have needed to call us.  During this time I was mindful to ensure that she understood what my role was, what the potential outcomes may be and asked for any questions or concerns she may have. I confirmed that she would be updated throughout the process in accordance with the Victims Code of practice </w:t>
      </w:r>
      <w:r w:rsidRPr="00F35A26">
        <w:rPr>
          <w:color w:val="auto"/>
          <w:sz w:val="24"/>
          <w:szCs w:val="24"/>
          <w:lang w:eastAsia="en-US"/>
        </w:rPr>
        <w:fldChar w:fldCharType="begin"/>
      </w:r>
      <w:r w:rsidRPr="00F35A26">
        <w:rPr>
          <w:color w:val="auto"/>
          <w:sz w:val="24"/>
          <w:szCs w:val="24"/>
          <w:lang w:eastAsia="en-US"/>
        </w:rPr>
        <w:instrText xml:space="preserve"> CITATION Min151 \l 2057 </w:instrText>
      </w:r>
      <w:r w:rsidRPr="00F35A26">
        <w:rPr>
          <w:color w:val="auto"/>
          <w:sz w:val="24"/>
          <w:szCs w:val="24"/>
          <w:lang w:eastAsia="en-US"/>
        </w:rPr>
        <w:fldChar w:fldCharType="separate"/>
      </w:r>
      <w:r w:rsidRPr="00F35A26">
        <w:rPr>
          <w:noProof/>
          <w:color w:val="auto"/>
          <w:sz w:val="24"/>
          <w:szCs w:val="24"/>
          <w:lang w:eastAsia="en-US"/>
        </w:rPr>
        <w:t>(Ministry of justice, 2015)</w:t>
      </w:r>
      <w:r w:rsidRPr="00F35A26">
        <w:rPr>
          <w:color w:val="auto"/>
          <w:sz w:val="24"/>
          <w:szCs w:val="24"/>
          <w:lang w:eastAsia="en-US"/>
        </w:rPr>
        <w:fldChar w:fldCharType="end"/>
      </w:r>
      <w:r w:rsidRPr="00F35A26">
        <w:rPr>
          <w:color w:val="auto"/>
          <w:sz w:val="24"/>
          <w:szCs w:val="24"/>
          <w:lang w:eastAsia="en-US"/>
        </w:rPr>
        <w:t>.</w:t>
      </w:r>
    </w:p>
    <w:p w14:paraId="6DF7CC47"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Having gathered all relevant information combined with the support of the victim, I re-assessed my decisions using the NDM </w:t>
      </w:r>
      <w:r w:rsidRPr="00F35A26">
        <w:rPr>
          <w:color w:val="auto"/>
          <w:sz w:val="24"/>
          <w:szCs w:val="24"/>
          <w:lang w:eastAsia="en-US"/>
        </w:rPr>
        <w:fldChar w:fldCharType="begin"/>
      </w:r>
      <w:r w:rsidRPr="00F35A26">
        <w:rPr>
          <w:color w:val="auto"/>
          <w:sz w:val="24"/>
          <w:szCs w:val="24"/>
          <w:lang w:eastAsia="en-US"/>
        </w:rPr>
        <w:instrText xml:space="preserve"> CITATION Col14 \l 2057 </w:instrText>
      </w:r>
      <w:r w:rsidRPr="00F35A26">
        <w:rPr>
          <w:color w:val="auto"/>
          <w:sz w:val="24"/>
          <w:szCs w:val="24"/>
          <w:lang w:eastAsia="en-US"/>
        </w:rPr>
        <w:fldChar w:fldCharType="separate"/>
      </w:r>
      <w:r w:rsidRPr="00F35A26">
        <w:rPr>
          <w:noProof/>
          <w:color w:val="auto"/>
          <w:sz w:val="24"/>
          <w:szCs w:val="24"/>
          <w:lang w:eastAsia="en-US"/>
        </w:rPr>
        <w:t>(College of Policing, 2014)</w:t>
      </w:r>
      <w:r w:rsidRPr="00F35A26">
        <w:rPr>
          <w:color w:val="auto"/>
          <w:sz w:val="24"/>
          <w:szCs w:val="24"/>
          <w:lang w:eastAsia="en-US"/>
        </w:rPr>
        <w:fldChar w:fldCharType="end"/>
      </w:r>
      <w:r w:rsidRPr="00F35A26">
        <w:rPr>
          <w:color w:val="auto"/>
          <w:sz w:val="24"/>
          <w:szCs w:val="24"/>
          <w:lang w:eastAsia="en-US"/>
        </w:rPr>
        <w:t xml:space="preserve">. The arrest was still necessary as the suspect could potentially turn up again and I had a duty to protect these vulnerable persons. </w:t>
      </w:r>
    </w:p>
    <w:p w14:paraId="5664B0A2"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Considering the environmental factors the victim asked us to inform selected neighbours, as they knew of the history, so that they would call us should her ex-partner or his mother return to the street. The victim’s mother also arrived at the address while we were there and all parties, including the neighbours were informed to call 999 should either individual turn up. Safeguarding the victim and her child was completed as much as possible at this time.</w:t>
      </w:r>
    </w:p>
    <w:p w14:paraId="6FD925F8" w14:textId="6DD34D32"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was now at the final stages of the NDM. Despite the information being that the female who has caused the assault was an older female with no previous criminal history, I still understood that her age, gender and history would not be a factor in the way we dealt with the call given the circumstances and I ensured that I did not stereotype any parties involved. I took positive action and arrested the</w:t>
      </w:r>
      <w:r w:rsidR="00200081">
        <w:rPr>
          <w:color w:val="auto"/>
          <w:sz w:val="24"/>
          <w:szCs w:val="24"/>
          <w:lang w:eastAsia="en-US"/>
        </w:rPr>
        <w:t xml:space="preserve"> suspect</w:t>
      </w:r>
      <w:r w:rsidRPr="00F35A26">
        <w:rPr>
          <w:color w:val="auto"/>
          <w:sz w:val="24"/>
          <w:szCs w:val="24"/>
          <w:lang w:eastAsia="en-US"/>
        </w:rPr>
        <w:t xml:space="preserve"> in compliance with Code C of PACE codes of practice, which provides requirements for the detention, treatment and questioning of suspects, for offences that are not related to terrorism </w:t>
      </w:r>
      <w:r w:rsidRPr="00F35A26">
        <w:rPr>
          <w:color w:val="auto"/>
          <w:sz w:val="24"/>
          <w:szCs w:val="24"/>
          <w:lang w:eastAsia="en-US"/>
        </w:rPr>
        <w:fldChar w:fldCharType="begin"/>
      </w:r>
      <w:r w:rsidRPr="00F35A26">
        <w:rPr>
          <w:color w:val="auto"/>
          <w:sz w:val="24"/>
          <w:szCs w:val="24"/>
          <w:lang w:eastAsia="en-US"/>
        </w:rPr>
        <w:instrText xml:space="preserve"> CITATION Hom191 \l 2057 </w:instrText>
      </w:r>
      <w:r w:rsidRPr="00F35A26">
        <w:rPr>
          <w:color w:val="auto"/>
          <w:sz w:val="24"/>
          <w:szCs w:val="24"/>
          <w:lang w:eastAsia="en-US"/>
        </w:rPr>
        <w:fldChar w:fldCharType="separate"/>
      </w:r>
      <w:r w:rsidRPr="00F35A26">
        <w:rPr>
          <w:noProof/>
          <w:color w:val="auto"/>
          <w:sz w:val="24"/>
          <w:szCs w:val="24"/>
          <w:lang w:eastAsia="en-US"/>
        </w:rPr>
        <w:t>(Home Office, 2019)</w:t>
      </w:r>
      <w:r w:rsidRPr="00F35A26">
        <w:rPr>
          <w:color w:val="auto"/>
          <w:sz w:val="24"/>
          <w:szCs w:val="24"/>
          <w:lang w:eastAsia="en-US"/>
        </w:rPr>
        <w:fldChar w:fldCharType="end"/>
      </w:r>
      <w:r w:rsidRPr="00F35A26">
        <w:rPr>
          <w:color w:val="auto"/>
          <w:sz w:val="24"/>
          <w:szCs w:val="24"/>
          <w:lang w:eastAsia="en-US"/>
        </w:rPr>
        <w:t xml:space="preserve">. The suspect was compliant with me and for this reason I used my discretion regarding use of force and decided not to use my police issued handcuffs. </w:t>
      </w:r>
    </w:p>
    <w:p w14:paraId="7892833E" w14:textId="77777777" w:rsidR="00F35A26" w:rsidRPr="00F35A26" w:rsidRDefault="00F35A26" w:rsidP="00200081">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will be using Gibbs’ (1988) reflection model as cited in </w:t>
      </w:r>
      <w:r w:rsidRPr="00F35A26">
        <w:rPr>
          <w:color w:val="auto"/>
          <w:sz w:val="24"/>
          <w:szCs w:val="24"/>
          <w:lang w:eastAsia="en-US"/>
        </w:rPr>
        <w:fldChar w:fldCharType="begin"/>
      </w:r>
      <w:r w:rsidRPr="00F35A26">
        <w:rPr>
          <w:color w:val="auto"/>
          <w:sz w:val="24"/>
          <w:szCs w:val="24"/>
          <w:lang w:eastAsia="en-US"/>
        </w:rPr>
        <w:instrText xml:space="preserve"> CITATION Uni19 \l 2057 </w:instrText>
      </w:r>
      <w:r w:rsidRPr="00F35A26">
        <w:rPr>
          <w:color w:val="auto"/>
          <w:sz w:val="24"/>
          <w:szCs w:val="24"/>
          <w:lang w:eastAsia="en-US"/>
        </w:rPr>
        <w:fldChar w:fldCharType="separate"/>
      </w:r>
      <w:r w:rsidRPr="00F35A26">
        <w:rPr>
          <w:noProof/>
          <w:color w:val="auto"/>
          <w:sz w:val="24"/>
          <w:szCs w:val="24"/>
          <w:lang w:eastAsia="en-US"/>
        </w:rPr>
        <w:t>(University of Edinburgh, 2019)</w:t>
      </w:r>
      <w:r w:rsidRPr="00F35A26">
        <w:rPr>
          <w:color w:val="auto"/>
          <w:sz w:val="24"/>
          <w:szCs w:val="24"/>
          <w:lang w:eastAsia="en-US"/>
        </w:rPr>
        <w:fldChar w:fldCharType="end"/>
      </w:r>
      <w:r w:rsidRPr="00F35A26">
        <w:rPr>
          <w:color w:val="auto"/>
          <w:sz w:val="24"/>
          <w:szCs w:val="24"/>
          <w:lang w:eastAsia="en-US"/>
        </w:rPr>
        <w:t xml:space="preserve">, referring to the above as the description of the situation. When evaluating the way this call was handled by me, I would say that I felt confident with the decisions that I made, I was able to establish the offence early on in the call, preserve evidence by the means of photography so as not to compromising the victims means of contact should either individual turn up. Without risk assessing the situation, this </w:t>
      </w:r>
      <w:r w:rsidRPr="00F35A26">
        <w:rPr>
          <w:color w:val="auto"/>
          <w:sz w:val="24"/>
          <w:szCs w:val="24"/>
          <w:lang w:eastAsia="en-US"/>
        </w:rPr>
        <w:lastRenderedPageBreak/>
        <w:t xml:space="preserve">would not have been a consideration. I also exercised excellent communication skills which not only reassured the victim but also gained her trust and co-operation. On reflection, I believe that it may have been a better option to have asked other units to conduct arrest enquiries as this would have not only assured the victim sooner that the female had been dealt with, but also would have minimised any chance of potential evidence being lost in regards to the suspects mobile phone data. </w:t>
      </w:r>
    </w:p>
    <w:p w14:paraId="27C1CDF2" w14:textId="77777777" w:rsidR="00F35A26" w:rsidRPr="00F35A26" w:rsidRDefault="00F35A26" w:rsidP="00200081">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Overall I can confidently say that this call was dealt with effectively and efficiently, the outcome was decided to be no further action but I am confident that despite there being a few hours time-lapse, and my consideration now, to have sent other police unit earlier, ultimately, the assault was one word against another and all things considered there was not anything more that I could have done to have provided a different outcome. I would use these skills in future, making a conscious effort to utilise my colleagues to assist me where timing of arrests can be completed faster. </w:t>
      </w:r>
    </w:p>
    <w:p w14:paraId="51069075" w14:textId="27A85E00" w:rsidR="00F35A26" w:rsidRPr="00F35A26" w:rsidRDefault="00F35A26" w:rsidP="00F35A26">
      <w:pPr>
        <w:overflowPunct/>
        <w:autoSpaceDE/>
        <w:autoSpaceDN/>
        <w:adjustRightInd/>
        <w:spacing w:after="160" w:line="259" w:lineRule="auto"/>
        <w:textAlignment w:val="auto"/>
        <w:rPr>
          <w:b/>
          <w:color w:val="auto"/>
          <w:sz w:val="24"/>
          <w:szCs w:val="24"/>
          <w:lang w:eastAsia="en-US"/>
        </w:rPr>
      </w:pPr>
      <w:r w:rsidRPr="00F35A26">
        <w:rPr>
          <w:b/>
          <w:color w:val="auto"/>
          <w:sz w:val="24"/>
          <w:szCs w:val="24"/>
          <w:lang w:eastAsia="en-US"/>
        </w:rPr>
        <w:t>Word Count: 154</w:t>
      </w:r>
      <w:r w:rsidR="00200081">
        <w:rPr>
          <w:b/>
          <w:color w:val="auto"/>
          <w:sz w:val="24"/>
          <w:szCs w:val="24"/>
          <w:lang w:eastAsia="en-US"/>
        </w:rPr>
        <w:t>4</w:t>
      </w:r>
      <w:r w:rsidRPr="00F35A26">
        <w:rPr>
          <w:b/>
          <w:color w:val="auto"/>
          <w:sz w:val="24"/>
          <w:szCs w:val="24"/>
          <w:lang w:eastAsia="en-US"/>
        </w:rPr>
        <w:t xml:space="preserve"> words</w:t>
      </w:r>
    </w:p>
    <w:p w14:paraId="51DEE84D" w14:textId="0D694777" w:rsidR="00F35A26" w:rsidRPr="00F35A26" w:rsidRDefault="00F35A26" w:rsidP="00F35A26">
      <w:pPr>
        <w:overflowPunct/>
        <w:autoSpaceDE/>
        <w:autoSpaceDN/>
        <w:adjustRightInd/>
        <w:spacing w:after="160" w:line="259" w:lineRule="auto"/>
        <w:textAlignment w:val="auto"/>
        <w:rPr>
          <w:b/>
          <w:color w:val="auto"/>
          <w:sz w:val="24"/>
          <w:szCs w:val="24"/>
          <w:lang w:eastAsia="en-US"/>
        </w:rPr>
      </w:pPr>
      <w:r w:rsidRPr="00F35A26">
        <w:rPr>
          <w:b/>
          <w:color w:val="auto"/>
          <w:sz w:val="24"/>
          <w:szCs w:val="24"/>
          <w:lang w:eastAsia="en-US"/>
        </w:rPr>
        <w:t>Reference list:</w:t>
      </w:r>
    </w:p>
    <w:p w14:paraId="6F82A9F0"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4"/>
          <w:szCs w:val="24"/>
          <w:lang w:eastAsia="en-US"/>
        </w:rPr>
      </w:pPr>
      <w:r w:rsidRPr="00F35A26">
        <w:rPr>
          <w:b/>
          <w:color w:val="auto"/>
          <w:sz w:val="24"/>
          <w:szCs w:val="24"/>
          <w:lang w:eastAsia="en-US"/>
        </w:rPr>
        <w:fldChar w:fldCharType="begin"/>
      </w:r>
      <w:r w:rsidRPr="00F35A26">
        <w:rPr>
          <w:b/>
          <w:color w:val="auto"/>
          <w:sz w:val="24"/>
          <w:szCs w:val="24"/>
          <w:lang w:eastAsia="en-US"/>
        </w:rPr>
        <w:instrText xml:space="preserve"> BIBLIOGRAPHY  \l 2057 </w:instrText>
      </w:r>
      <w:r w:rsidRPr="00F35A26">
        <w:rPr>
          <w:b/>
          <w:color w:val="auto"/>
          <w:sz w:val="24"/>
          <w:szCs w:val="24"/>
          <w:lang w:eastAsia="en-US"/>
        </w:rPr>
        <w:fldChar w:fldCharType="separate"/>
      </w:r>
      <w:r w:rsidRPr="00F35A26">
        <w:rPr>
          <w:rFonts w:asciiTheme="minorHAnsi" w:hAnsiTheme="minorHAnsi" w:cs="Times New Roman"/>
          <w:noProof/>
          <w:color w:val="auto"/>
          <w:sz w:val="22"/>
          <w:szCs w:val="22"/>
          <w:lang w:eastAsia="en-US"/>
        </w:rPr>
        <w:t xml:space="preserve">Association of Cheif Police Officers, 2005. </w:t>
      </w:r>
      <w:r w:rsidRPr="00F35A26">
        <w:rPr>
          <w:rFonts w:asciiTheme="minorHAnsi" w:hAnsiTheme="minorHAnsi" w:cs="Times New Roman"/>
          <w:i/>
          <w:iCs/>
          <w:noProof/>
          <w:color w:val="auto"/>
          <w:sz w:val="22"/>
          <w:szCs w:val="22"/>
          <w:lang w:eastAsia="en-US"/>
        </w:rPr>
        <w:t xml:space="preserve">National Call handling standards.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http://library.college.police.uk/docs/homeoffice/call_handling_standards.pdf</w:t>
      </w:r>
      <w:r w:rsidRPr="00F35A26">
        <w:rPr>
          <w:rFonts w:asciiTheme="minorHAnsi" w:hAnsiTheme="minorHAnsi" w:cs="Times New Roman"/>
          <w:noProof/>
          <w:color w:val="auto"/>
          <w:sz w:val="22"/>
          <w:szCs w:val="22"/>
          <w:lang w:eastAsia="en-US"/>
        </w:rPr>
        <w:br/>
        <w:t>[Accessed 06 01 2020].</w:t>
      </w:r>
    </w:p>
    <w:p w14:paraId="02BE3F7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College of Policing, 2014. </w:t>
      </w:r>
      <w:r w:rsidRPr="00F35A26">
        <w:rPr>
          <w:rFonts w:asciiTheme="minorHAnsi" w:hAnsiTheme="minorHAnsi" w:cs="Times New Roman"/>
          <w:i/>
          <w:iCs/>
          <w:noProof/>
          <w:color w:val="auto"/>
          <w:sz w:val="22"/>
          <w:szCs w:val="22"/>
          <w:lang w:eastAsia="en-US"/>
        </w:rPr>
        <w:t xml:space="preserve">National Decision Model.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https://www.app.college.police.uk/app-content/national-decision-model/the-national-decision-model/</w:t>
      </w:r>
      <w:r w:rsidRPr="00F35A26">
        <w:rPr>
          <w:rFonts w:asciiTheme="minorHAnsi" w:hAnsiTheme="minorHAnsi" w:cs="Times New Roman"/>
          <w:noProof/>
          <w:color w:val="auto"/>
          <w:sz w:val="22"/>
          <w:szCs w:val="22"/>
          <w:lang w:eastAsia="en-US"/>
        </w:rPr>
        <w:br/>
        <w:t>[Accessed 03 12 2020].</w:t>
      </w:r>
    </w:p>
    <w:p w14:paraId="5795ABFE"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Criminal justice Act, 1988. </w:t>
      </w:r>
      <w:r w:rsidRPr="00F35A26">
        <w:rPr>
          <w:rFonts w:asciiTheme="minorHAnsi" w:hAnsiTheme="minorHAnsi" w:cs="Times New Roman"/>
          <w:i/>
          <w:iCs/>
          <w:noProof/>
          <w:color w:val="auto"/>
          <w:sz w:val="22"/>
          <w:szCs w:val="22"/>
          <w:lang w:eastAsia="en-US"/>
        </w:rPr>
        <w:t xml:space="preserve">Legislation.gov.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https://www.legislation.gov.uk/ukpga/1988/33/section/39</w:t>
      </w:r>
      <w:r w:rsidRPr="00F35A26">
        <w:rPr>
          <w:rFonts w:asciiTheme="minorHAnsi" w:hAnsiTheme="minorHAnsi" w:cs="Times New Roman"/>
          <w:noProof/>
          <w:color w:val="auto"/>
          <w:sz w:val="22"/>
          <w:szCs w:val="22"/>
          <w:lang w:eastAsia="en-US"/>
        </w:rPr>
        <w:br/>
        <w:t>[Accessed 06 01 2020].</w:t>
      </w:r>
    </w:p>
    <w:p w14:paraId="23F42178"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Equality Act, 2010. </w:t>
      </w:r>
      <w:r w:rsidRPr="00F35A26">
        <w:rPr>
          <w:rFonts w:asciiTheme="minorHAnsi" w:hAnsiTheme="minorHAnsi" w:cs="Times New Roman"/>
          <w:i/>
          <w:iCs/>
          <w:noProof/>
          <w:color w:val="auto"/>
          <w:sz w:val="22"/>
          <w:szCs w:val="22"/>
          <w:lang w:eastAsia="en-US"/>
        </w:rPr>
        <w:t xml:space="preserve">Equality Act 2010.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https://www.legislation.gov.uk/ukpga/2010/15/section/1</w:t>
      </w:r>
      <w:r w:rsidRPr="00F35A26">
        <w:rPr>
          <w:rFonts w:asciiTheme="minorHAnsi" w:hAnsiTheme="minorHAnsi" w:cs="Times New Roman"/>
          <w:noProof/>
          <w:color w:val="auto"/>
          <w:sz w:val="22"/>
          <w:szCs w:val="22"/>
          <w:lang w:eastAsia="en-US"/>
        </w:rPr>
        <w:br/>
        <w:t>[Accessed 06 01 2020].</w:t>
      </w:r>
    </w:p>
    <w:p w14:paraId="67B4BC2D"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Guest relationships Blog, 2012. </w:t>
      </w:r>
      <w:r w:rsidRPr="00F35A26">
        <w:rPr>
          <w:rFonts w:asciiTheme="minorHAnsi" w:hAnsiTheme="minorHAnsi" w:cs="Times New Roman"/>
          <w:i/>
          <w:iCs/>
          <w:noProof/>
          <w:color w:val="auto"/>
          <w:sz w:val="22"/>
          <w:szCs w:val="22"/>
          <w:lang w:eastAsia="en-US"/>
        </w:rPr>
        <w:t xml:space="preserve">LEAPS Conflict Resolution – Listen, Empathize, Ask, Paraphrase, Solve.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https://guestrelationshipsblog.com/2012/06/conflict-resolution/</w:t>
      </w:r>
      <w:r w:rsidRPr="00F35A26">
        <w:rPr>
          <w:rFonts w:asciiTheme="minorHAnsi" w:hAnsiTheme="minorHAnsi" w:cs="Times New Roman"/>
          <w:noProof/>
          <w:color w:val="auto"/>
          <w:sz w:val="22"/>
          <w:szCs w:val="22"/>
          <w:lang w:eastAsia="en-US"/>
        </w:rPr>
        <w:br/>
        <w:t>[Accessed 19 11 2019].</w:t>
      </w:r>
    </w:p>
    <w:p w14:paraId="1BA4046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Home Office, 2019. </w:t>
      </w:r>
      <w:r w:rsidRPr="00F35A26">
        <w:rPr>
          <w:rFonts w:asciiTheme="minorHAnsi" w:hAnsiTheme="minorHAnsi" w:cs="Times New Roman"/>
          <w:i/>
          <w:iCs/>
          <w:noProof/>
          <w:color w:val="auto"/>
          <w:sz w:val="22"/>
          <w:szCs w:val="22"/>
          <w:lang w:eastAsia="en-US"/>
        </w:rPr>
        <w:t xml:space="preserve">Police and Criminal Evidence Act 1984 (PACE) codes of practice.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https://www.gov.uk/guidance/police-and-criminal-evidence-act-1984-pace-codes-of-practice</w:t>
      </w:r>
      <w:r w:rsidRPr="00F35A26">
        <w:rPr>
          <w:rFonts w:asciiTheme="minorHAnsi" w:hAnsiTheme="minorHAnsi" w:cs="Times New Roman"/>
          <w:noProof/>
          <w:color w:val="auto"/>
          <w:sz w:val="22"/>
          <w:szCs w:val="22"/>
          <w:lang w:eastAsia="en-US"/>
        </w:rPr>
        <w:br/>
        <w:t>[Accessed 06 01 2020].</w:t>
      </w:r>
    </w:p>
    <w:p w14:paraId="7E49DF7F"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lastRenderedPageBreak/>
        <w:t xml:space="preserve">Ministry of justice, 2015. </w:t>
      </w:r>
      <w:r w:rsidRPr="00F35A26">
        <w:rPr>
          <w:rFonts w:asciiTheme="minorHAnsi" w:hAnsiTheme="minorHAnsi" w:cs="Times New Roman"/>
          <w:i/>
          <w:iCs/>
          <w:noProof/>
          <w:color w:val="auto"/>
          <w:sz w:val="22"/>
          <w:szCs w:val="22"/>
          <w:lang w:eastAsia="en-US"/>
        </w:rPr>
        <w:t xml:space="preserve">Code of Practice for Victims of Crime.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https://assets.publishing.service.gov.uk/government/uploads/system/uploads/attachment_data/file/470212/code-of-practice-for-victims-of-crime.PDF</w:t>
      </w:r>
      <w:r w:rsidRPr="00F35A26">
        <w:rPr>
          <w:rFonts w:asciiTheme="minorHAnsi" w:hAnsiTheme="minorHAnsi" w:cs="Times New Roman"/>
          <w:noProof/>
          <w:color w:val="auto"/>
          <w:sz w:val="22"/>
          <w:szCs w:val="22"/>
          <w:lang w:eastAsia="en-US"/>
        </w:rPr>
        <w:br/>
        <w:t>[Accessed 06 01 2020].</w:t>
      </w:r>
    </w:p>
    <w:p w14:paraId="7310038B"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Police and Criminal Evidence Act, 1984. </w:t>
      </w:r>
      <w:r w:rsidRPr="00F35A26">
        <w:rPr>
          <w:rFonts w:asciiTheme="minorHAnsi" w:hAnsiTheme="minorHAnsi" w:cs="Times New Roman"/>
          <w:i/>
          <w:iCs/>
          <w:noProof/>
          <w:color w:val="auto"/>
          <w:sz w:val="22"/>
          <w:szCs w:val="22"/>
          <w:lang w:eastAsia="en-US"/>
        </w:rPr>
        <w:t xml:space="preserve">Police and Criminal Evidence Act 1984. </w:t>
      </w:r>
      <w:r w:rsidRPr="00F35A26">
        <w:rPr>
          <w:rFonts w:asciiTheme="minorHAnsi" w:hAnsiTheme="minorHAnsi" w:cs="Times New Roman"/>
          <w:noProof/>
          <w:color w:val="auto"/>
          <w:sz w:val="22"/>
          <w:szCs w:val="22"/>
          <w:lang w:eastAsia="en-US"/>
        </w:rPr>
        <w:t>s.l.:s.n.</w:t>
      </w:r>
    </w:p>
    <w:p w14:paraId="4864E7CD"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Police and Criminal Evidence Act, 1984. </w:t>
      </w:r>
      <w:r w:rsidRPr="00F35A26">
        <w:rPr>
          <w:rFonts w:asciiTheme="minorHAnsi" w:hAnsiTheme="minorHAnsi" w:cs="Times New Roman"/>
          <w:i/>
          <w:iCs/>
          <w:noProof/>
          <w:color w:val="auto"/>
          <w:sz w:val="22"/>
          <w:szCs w:val="22"/>
          <w:lang w:eastAsia="en-US"/>
        </w:rPr>
        <w:t xml:space="preserve">Police and Criminal Evidence Act 1984. </w:t>
      </w:r>
      <w:r w:rsidRPr="00F35A26">
        <w:rPr>
          <w:rFonts w:asciiTheme="minorHAnsi" w:hAnsiTheme="minorHAnsi" w:cs="Times New Roman"/>
          <w:noProof/>
          <w:color w:val="auto"/>
          <w:sz w:val="22"/>
          <w:szCs w:val="22"/>
          <w:lang w:eastAsia="en-US"/>
        </w:rPr>
        <w:t>s.l.:s.n.</w:t>
      </w:r>
    </w:p>
    <w:p w14:paraId="621D8A7F"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University of Edinburgh, 2019. </w:t>
      </w:r>
      <w:r w:rsidRPr="00F35A26">
        <w:rPr>
          <w:rFonts w:asciiTheme="minorHAnsi" w:hAnsiTheme="minorHAnsi" w:cs="Times New Roman"/>
          <w:i/>
          <w:iCs/>
          <w:noProof/>
          <w:color w:val="auto"/>
          <w:sz w:val="22"/>
          <w:szCs w:val="22"/>
          <w:lang w:eastAsia="en-US"/>
        </w:rPr>
        <w:t xml:space="preserve">Gibbs' reflective cycle.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https://www.ed.ac.uk/reflection/reflectors-toolkit/reflecting-on-experience/gibbs-reflective-cycle</w:t>
      </w:r>
      <w:r w:rsidRPr="00F35A26">
        <w:rPr>
          <w:rFonts w:asciiTheme="minorHAnsi" w:hAnsiTheme="minorHAnsi" w:cs="Times New Roman"/>
          <w:noProof/>
          <w:color w:val="auto"/>
          <w:sz w:val="22"/>
          <w:szCs w:val="22"/>
          <w:lang w:eastAsia="en-US"/>
        </w:rPr>
        <w:br/>
        <w:t>[Accessed 06 01 2020].</w:t>
      </w:r>
    </w:p>
    <w:p w14:paraId="1A730B74" w14:textId="225720FA" w:rsidR="008B28E7" w:rsidRPr="00270EEB" w:rsidRDefault="00F35A26" w:rsidP="00F35A26">
      <w:pPr>
        <w:ind w:right="237"/>
        <w:jc w:val="both"/>
        <w:rPr>
          <w:sz w:val="24"/>
          <w:szCs w:val="24"/>
        </w:rPr>
      </w:pPr>
      <w:r w:rsidRPr="00F35A26">
        <w:rPr>
          <w:b/>
          <w:color w:val="auto"/>
          <w:sz w:val="24"/>
          <w:szCs w:val="24"/>
          <w:lang w:eastAsia="en-US"/>
        </w:rPr>
        <w:fldChar w:fldCharType="end"/>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584ECE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This work will discuss the interview process regarding an incident whereby a male was alleged to have assaulted two females, one being his ex-partner. I will discuss evidence gathered, preparation of the interview and the legislation and guidelines I followed, before using Gibbs’ (1998 cited in </w:t>
      </w:r>
      <w:r w:rsidRPr="00F35A26">
        <w:rPr>
          <w:color w:val="auto"/>
          <w:sz w:val="24"/>
          <w:szCs w:val="24"/>
          <w:lang w:eastAsia="en-US"/>
        </w:rPr>
        <w:fldChar w:fldCharType="begin"/>
      </w:r>
      <w:r w:rsidRPr="00F35A26">
        <w:rPr>
          <w:color w:val="auto"/>
          <w:sz w:val="24"/>
          <w:szCs w:val="24"/>
          <w:lang w:eastAsia="en-US"/>
        </w:rPr>
        <w:instrText xml:space="preserve"> CITATION Uni19 \l 2057 </w:instrText>
      </w:r>
      <w:r w:rsidRPr="00F35A26">
        <w:rPr>
          <w:color w:val="auto"/>
          <w:sz w:val="24"/>
          <w:szCs w:val="24"/>
          <w:lang w:eastAsia="en-US"/>
        </w:rPr>
        <w:fldChar w:fldCharType="separate"/>
      </w:r>
      <w:r w:rsidRPr="00F35A26">
        <w:rPr>
          <w:noProof/>
          <w:color w:val="auto"/>
          <w:sz w:val="24"/>
          <w:szCs w:val="24"/>
          <w:lang w:eastAsia="en-US"/>
        </w:rPr>
        <w:t>(University of Edinburgh, 2019)</w:t>
      </w:r>
      <w:r w:rsidRPr="00F35A26">
        <w:rPr>
          <w:color w:val="auto"/>
          <w:sz w:val="24"/>
          <w:szCs w:val="24"/>
          <w:lang w:eastAsia="en-US"/>
        </w:rPr>
        <w:fldChar w:fldCharType="end"/>
      </w:r>
      <w:r w:rsidRPr="00F35A26">
        <w:rPr>
          <w:color w:val="auto"/>
          <w:sz w:val="24"/>
          <w:szCs w:val="24"/>
          <w:lang w:eastAsia="en-US"/>
        </w:rPr>
        <w:t xml:space="preserve"> reflections model to discuss my thoughts on the interview process and what I may do different going forward.</w:t>
      </w:r>
    </w:p>
    <w:p w14:paraId="3781C33F"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When I received this case the two victim statements were obtained, and suspect had been arrested. The outstanding actions required, were to obtain two witness statements and the interview the suspect.</w:t>
      </w:r>
    </w:p>
    <w:p w14:paraId="082C137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To understand the circumstances surrounding the arrest, I read the two completed victim statements which enabled me to identify that the allegations were that the male had attended the address of female two, to collect the children he shares with </w:t>
      </w:r>
      <w:r w:rsidRPr="00F35A26">
        <w:rPr>
          <w:color w:val="auto"/>
          <w:sz w:val="24"/>
          <w:szCs w:val="24"/>
          <w:lang w:eastAsia="en-US"/>
        </w:rPr>
        <w:lastRenderedPageBreak/>
        <w:t>female one and assaults ensued after a verbal altercation. I established a number of inconsistencies between the two victim statements.</w:t>
      </w:r>
    </w:p>
    <w:p w14:paraId="1DF486D1" w14:textId="012AF84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Female one said the suspect walked into the address, swearing and shouting as he made his way directly through to the kitchen at the back of the property where she was cutting pizza. The argument moved toward the front of the address where the male pinned her to the bathroom door by her throat. She hit him with the pizza cutter to get him off, he released her and took both children to a vehicle with another male and a female occupant and left.</w:t>
      </w:r>
    </w:p>
    <w:p w14:paraId="48E4C2B0" w14:textId="688359D6"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Female two stated that the male walked into the address shouting for his children, checked the front room’s, then went to the kitchen and shouted at female one who ran toward him in temper. He pushed her out of the way resulting in her colliding with the wall, and, as he was walking away, female one threw the pizza slicer at him, hitting him in the head. Female two tried to stop him leaving at the front door where he pushed her out of the way. He and the children got in a vehicle with a male and female occupant, before leaving. </w:t>
      </w:r>
    </w:p>
    <w:p w14:paraId="0B0DADB6"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By following the PEACE framework model explained by </w:t>
      </w:r>
      <w:r w:rsidRPr="00F35A26">
        <w:rPr>
          <w:color w:val="auto"/>
          <w:sz w:val="24"/>
          <w:szCs w:val="24"/>
          <w:lang w:eastAsia="en-US"/>
        </w:rPr>
        <w:fldChar w:fldCharType="begin"/>
      </w:r>
      <w:r w:rsidRPr="00F35A26">
        <w:rPr>
          <w:color w:val="auto"/>
          <w:sz w:val="24"/>
          <w:szCs w:val="24"/>
          <w:lang w:eastAsia="en-US"/>
        </w:rPr>
        <w:instrText xml:space="preserve"> CITATION col19 \l 2057 </w:instrText>
      </w:r>
      <w:r w:rsidRPr="00F35A26">
        <w:rPr>
          <w:color w:val="auto"/>
          <w:sz w:val="24"/>
          <w:szCs w:val="24"/>
          <w:lang w:eastAsia="en-US"/>
        </w:rPr>
        <w:fldChar w:fldCharType="separate"/>
      </w:r>
      <w:r w:rsidRPr="00F35A26">
        <w:rPr>
          <w:noProof/>
          <w:color w:val="auto"/>
          <w:sz w:val="24"/>
          <w:szCs w:val="24"/>
          <w:lang w:eastAsia="en-US"/>
        </w:rPr>
        <w:t>(College of Policing, 2019)</w:t>
      </w:r>
      <w:r w:rsidRPr="00F35A26">
        <w:rPr>
          <w:color w:val="auto"/>
          <w:sz w:val="24"/>
          <w:szCs w:val="24"/>
          <w:lang w:eastAsia="en-US"/>
        </w:rPr>
        <w:fldChar w:fldCharType="end"/>
      </w:r>
      <w:r w:rsidRPr="00F35A26">
        <w:rPr>
          <w:color w:val="auto"/>
          <w:sz w:val="24"/>
          <w:szCs w:val="24"/>
          <w:lang w:eastAsia="en-US"/>
        </w:rPr>
        <w:t xml:space="preserve">, to ensure a fair interview, the officer must plan and prepare for interview. I started this by cross referencing all available evidence for corroboration and inconsistencies. </w:t>
      </w:r>
    </w:p>
    <w:p w14:paraId="26CDD571"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College of Policing </w:t>
      </w:r>
      <w:r w:rsidRPr="00F35A26">
        <w:rPr>
          <w:color w:val="auto"/>
          <w:sz w:val="24"/>
          <w:szCs w:val="24"/>
          <w:lang w:eastAsia="en-US"/>
        </w:rPr>
        <w:fldChar w:fldCharType="begin"/>
      </w:r>
      <w:r w:rsidRPr="00F35A26">
        <w:rPr>
          <w:color w:val="auto"/>
          <w:sz w:val="24"/>
          <w:szCs w:val="24"/>
          <w:lang w:eastAsia="en-US"/>
        </w:rPr>
        <w:instrText xml:space="preserve">CITATION col19 \n  \l 2057 </w:instrText>
      </w:r>
      <w:r w:rsidRPr="00F35A26">
        <w:rPr>
          <w:color w:val="auto"/>
          <w:sz w:val="24"/>
          <w:szCs w:val="24"/>
          <w:lang w:eastAsia="en-US"/>
        </w:rPr>
        <w:fldChar w:fldCharType="separate"/>
      </w:r>
      <w:r w:rsidRPr="00F35A26">
        <w:rPr>
          <w:noProof/>
          <w:color w:val="auto"/>
          <w:sz w:val="24"/>
          <w:szCs w:val="24"/>
          <w:lang w:eastAsia="en-US"/>
        </w:rPr>
        <w:t>(2019)</w:t>
      </w:r>
      <w:r w:rsidRPr="00F35A26">
        <w:rPr>
          <w:color w:val="auto"/>
          <w:sz w:val="24"/>
          <w:szCs w:val="24"/>
          <w:lang w:eastAsia="en-US"/>
        </w:rPr>
        <w:fldChar w:fldCharType="end"/>
      </w:r>
      <w:r w:rsidRPr="00F35A26">
        <w:rPr>
          <w:color w:val="auto"/>
          <w:sz w:val="24"/>
          <w:szCs w:val="24"/>
          <w:lang w:eastAsia="en-US"/>
        </w:rPr>
        <w:t xml:space="preserve"> states that “The aim of all professional interviewers is to obtain a full and accurate account. To do this they must ask the right questions.” I believe this starts with gathering evidence so I made contact with the two outstanding witnesses and to minimise delay, a colleague obtained their statements while I started noting questions to ask in the suspect in interview, by doing this, it would not have a negative impact on the time the suspect spent in custody. The statements did not include any assaults.</w:t>
      </w:r>
    </w:p>
    <w:p w14:paraId="41821DF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decided to start the interview by asking questions surrounding his relationship with the complainants and his own children, my intention behind this was to ensure that the Crown Prosecution Service would have a better understanding of the history and would also provide context for the incident. </w:t>
      </w:r>
    </w:p>
    <w:p w14:paraId="37C4D610" w14:textId="1390BE7E"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lastRenderedPageBreak/>
        <w:t xml:space="preserve">My consideration regarding the Crown Prosecution Service was made as I am aware that all charging decisions regarding domestic related incidents are made by the Crown Prosecution service and </w:t>
      </w:r>
      <w:r w:rsidR="000058EA">
        <w:rPr>
          <w:color w:val="auto"/>
          <w:sz w:val="24"/>
          <w:szCs w:val="24"/>
          <w:lang w:eastAsia="en-US"/>
        </w:rPr>
        <w:t>not</w:t>
      </w:r>
      <w:r w:rsidRPr="00F35A26">
        <w:rPr>
          <w:color w:val="auto"/>
          <w:sz w:val="24"/>
          <w:szCs w:val="24"/>
          <w:lang w:eastAsia="en-US"/>
        </w:rPr>
        <w:t xml:space="preserve"> within the Police Service </w:t>
      </w:r>
      <w:r w:rsidRPr="00F35A26">
        <w:rPr>
          <w:color w:val="auto"/>
          <w:sz w:val="24"/>
          <w:szCs w:val="24"/>
          <w:lang w:eastAsia="en-US"/>
        </w:rPr>
        <w:fldChar w:fldCharType="begin"/>
      </w:r>
      <w:r w:rsidRPr="00F35A26">
        <w:rPr>
          <w:color w:val="auto"/>
          <w:sz w:val="24"/>
          <w:szCs w:val="24"/>
          <w:lang w:eastAsia="en-US"/>
        </w:rPr>
        <w:instrText xml:space="preserve"> CITATION Cro15 \l 2057 </w:instrText>
      </w:r>
      <w:r w:rsidRPr="00F35A26">
        <w:rPr>
          <w:color w:val="auto"/>
          <w:sz w:val="24"/>
          <w:szCs w:val="24"/>
          <w:lang w:eastAsia="en-US"/>
        </w:rPr>
        <w:fldChar w:fldCharType="separate"/>
      </w:r>
      <w:r w:rsidRPr="00F35A26">
        <w:rPr>
          <w:noProof/>
          <w:color w:val="auto"/>
          <w:sz w:val="24"/>
          <w:szCs w:val="24"/>
          <w:lang w:eastAsia="en-US"/>
        </w:rPr>
        <w:t>(Crown Prosecution Service, 2015)</w:t>
      </w:r>
      <w:r w:rsidRPr="00F35A26">
        <w:rPr>
          <w:color w:val="auto"/>
          <w:sz w:val="24"/>
          <w:szCs w:val="24"/>
          <w:lang w:eastAsia="en-US"/>
        </w:rPr>
        <w:fldChar w:fldCharType="end"/>
      </w:r>
    </w:p>
    <w:p w14:paraId="15550047"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structured my questions around the chronological layout of events that I established from the statement, while including the points to prove for common assault including reckless actions and lawful excuse. </w:t>
      </w:r>
    </w:p>
    <w:p w14:paraId="78F85CCF"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Common assault is defined under section 39</w:t>
      </w:r>
      <w:r w:rsidRPr="00F35A26">
        <w:rPr>
          <w:color w:val="auto"/>
          <w:sz w:val="24"/>
          <w:szCs w:val="24"/>
          <w:lang w:eastAsia="en-US"/>
        </w:rPr>
        <w:fldChar w:fldCharType="begin"/>
      </w:r>
      <w:r w:rsidRPr="00F35A26">
        <w:rPr>
          <w:color w:val="auto"/>
          <w:sz w:val="24"/>
          <w:szCs w:val="24"/>
          <w:lang w:eastAsia="en-US"/>
        </w:rPr>
        <w:instrText xml:space="preserve"> CITATION Cri88 \l 2057 </w:instrText>
      </w:r>
      <w:r w:rsidRPr="00F35A26">
        <w:rPr>
          <w:color w:val="auto"/>
          <w:sz w:val="24"/>
          <w:szCs w:val="24"/>
          <w:lang w:eastAsia="en-US"/>
        </w:rPr>
        <w:fldChar w:fldCharType="separate"/>
      </w:r>
      <w:r w:rsidRPr="00F35A26">
        <w:rPr>
          <w:noProof/>
          <w:color w:val="auto"/>
          <w:sz w:val="24"/>
          <w:szCs w:val="24"/>
          <w:lang w:eastAsia="en-US"/>
        </w:rPr>
        <w:t xml:space="preserve"> (Criminal Justice Act, 1988)</w:t>
      </w:r>
      <w:r w:rsidRPr="00F35A26">
        <w:rPr>
          <w:color w:val="auto"/>
          <w:sz w:val="24"/>
          <w:szCs w:val="24"/>
          <w:lang w:eastAsia="en-US"/>
        </w:rPr>
        <w:fldChar w:fldCharType="end"/>
      </w:r>
      <w:r w:rsidRPr="00F35A26">
        <w:rPr>
          <w:color w:val="auto"/>
          <w:sz w:val="24"/>
          <w:szCs w:val="24"/>
          <w:lang w:eastAsia="en-US"/>
        </w:rPr>
        <w:t xml:space="preserve"> as a summary offence whereby a person could use threatening words or actions toward another, as well as physical violence and covers both intentional and reckless actions. Should a physical act be used, the offence will then be described as battery. There does not have to be any injury incurred for the incident to fall under this category </w:t>
      </w:r>
      <w:r w:rsidRPr="00F35A26">
        <w:rPr>
          <w:color w:val="auto"/>
          <w:sz w:val="24"/>
          <w:szCs w:val="24"/>
          <w:lang w:eastAsia="en-US"/>
        </w:rPr>
        <w:fldChar w:fldCharType="begin"/>
      </w:r>
      <w:r w:rsidRPr="00F35A26">
        <w:rPr>
          <w:color w:val="auto"/>
          <w:sz w:val="24"/>
          <w:szCs w:val="24"/>
          <w:lang w:eastAsia="en-US"/>
        </w:rPr>
        <w:instrText xml:space="preserve"> CITATION Sen18 \l 2057 </w:instrText>
      </w:r>
      <w:r w:rsidRPr="00F35A26">
        <w:rPr>
          <w:color w:val="auto"/>
          <w:sz w:val="24"/>
          <w:szCs w:val="24"/>
          <w:lang w:eastAsia="en-US"/>
        </w:rPr>
        <w:fldChar w:fldCharType="separate"/>
      </w:r>
      <w:r w:rsidRPr="00F35A26">
        <w:rPr>
          <w:noProof/>
          <w:color w:val="auto"/>
          <w:sz w:val="24"/>
          <w:szCs w:val="24"/>
          <w:lang w:eastAsia="en-US"/>
        </w:rPr>
        <w:t>(Sentencing Council, 2018)</w:t>
      </w:r>
      <w:r w:rsidRPr="00F35A26">
        <w:rPr>
          <w:color w:val="auto"/>
          <w:sz w:val="24"/>
          <w:szCs w:val="24"/>
          <w:lang w:eastAsia="en-US"/>
        </w:rPr>
        <w:fldChar w:fldCharType="end"/>
      </w:r>
      <w:r w:rsidRPr="00F35A26">
        <w:rPr>
          <w:color w:val="auto"/>
          <w:sz w:val="24"/>
          <w:szCs w:val="24"/>
          <w:lang w:eastAsia="en-US"/>
        </w:rPr>
        <w:t xml:space="preserve">. </w:t>
      </w:r>
    </w:p>
    <w:p w14:paraId="6B0D7A2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When deciding what questions to ask, I made a conscious effort to ensure that my questioning was not oppressive and used open questions to ensure they were not leading and closed questions where absolutely necessary, so that the interview could serve its purpose of providing the suspect with the opportunity to provide their account. </w:t>
      </w:r>
    </w:p>
    <w:p w14:paraId="7F149EF5" w14:textId="21CC4A16"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Once my questions had been structured, I enquired with custody regarding the suspect’s welfare and their request for legal representation. The suspect was ready to be interviewed and had requested to have a solicitor, who I contacted to request attend the Police Station for the interview. I considered others who may need to be </w:t>
      </w:r>
      <w:r w:rsidR="000058EA" w:rsidRPr="00F35A26">
        <w:rPr>
          <w:color w:val="auto"/>
          <w:sz w:val="24"/>
          <w:szCs w:val="24"/>
          <w:lang w:eastAsia="en-US"/>
        </w:rPr>
        <w:t>present but</w:t>
      </w:r>
      <w:r w:rsidRPr="00F35A26">
        <w:rPr>
          <w:color w:val="auto"/>
          <w:sz w:val="24"/>
          <w:szCs w:val="24"/>
          <w:lang w:eastAsia="en-US"/>
        </w:rPr>
        <w:t xml:space="preserve"> established that the suspect did not require an appropriate adult or interpreter.</w:t>
      </w:r>
    </w:p>
    <w:p w14:paraId="55230707" w14:textId="13EBD26F"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met the Solicitor and booked us both into the custody suite with the custody sergeant before entering a private room for the solicitors briefing. I explained what offence his client was arrested for</w:t>
      </w:r>
      <w:r w:rsidR="000058EA">
        <w:rPr>
          <w:color w:val="auto"/>
          <w:sz w:val="24"/>
          <w:szCs w:val="24"/>
          <w:lang w:eastAsia="en-US"/>
        </w:rPr>
        <w:t>,</w:t>
      </w:r>
      <w:r w:rsidRPr="00F35A26">
        <w:rPr>
          <w:color w:val="auto"/>
          <w:sz w:val="24"/>
          <w:szCs w:val="24"/>
          <w:lang w:eastAsia="en-US"/>
        </w:rPr>
        <w:t xml:space="preserve"> the date, time and place as well as the statements that I would be putting forward for his client to comment on. </w:t>
      </w:r>
    </w:p>
    <w:p w14:paraId="3BD17248"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During a briefing, it is the Police officer’s discretion regarding disclosure of evidence and is not compulsory until a not guilty plea is entered in court </w:t>
      </w:r>
      <w:r w:rsidRPr="00F35A26">
        <w:rPr>
          <w:color w:val="auto"/>
          <w:sz w:val="24"/>
          <w:szCs w:val="24"/>
          <w:lang w:eastAsia="en-US"/>
        </w:rPr>
        <w:fldChar w:fldCharType="begin"/>
      </w:r>
      <w:r w:rsidRPr="00F35A26">
        <w:rPr>
          <w:color w:val="auto"/>
          <w:sz w:val="24"/>
          <w:szCs w:val="24"/>
          <w:lang w:eastAsia="en-US"/>
        </w:rPr>
        <w:instrText xml:space="preserve"> CITATION McK19 \l 2057 </w:instrText>
      </w:r>
      <w:r w:rsidRPr="00F35A26">
        <w:rPr>
          <w:color w:val="auto"/>
          <w:sz w:val="24"/>
          <w:szCs w:val="24"/>
          <w:lang w:eastAsia="en-US"/>
        </w:rPr>
        <w:fldChar w:fldCharType="separate"/>
      </w:r>
      <w:r w:rsidRPr="00F35A26">
        <w:rPr>
          <w:noProof/>
          <w:color w:val="auto"/>
          <w:sz w:val="24"/>
          <w:szCs w:val="24"/>
          <w:lang w:eastAsia="en-US"/>
        </w:rPr>
        <w:t>(McKeown-Beumont, 2019)</w:t>
      </w:r>
      <w:r w:rsidRPr="00F35A26">
        <w:rPr>
          <w:color w:val="auto"/>
          <w:sz w:val="24"/>
          <w:szCs w:val="24"/>
          <w:lang w:eastAsia="en-US"/>
        </w:rPr>
        <w:fldChar w:fldCharType="end"/>
      </w:r>
      <w:r w:rsidRPr="00F35A26">
        <w:rPr>
          <w:color w:val="auto"/>
          <w:sz w:val="24"/>
          <w:szCs w:val="24"/>
          <w:lang w:eastAsia="en-US"/>
        </w:rPr>
        <w:t xml:space="preserve">. Once the briefing was complete, I ensured the interview room was clean, free </w:t>
      </w:r>
      <w:r w:rsidRPr="00F35A26">
        <w:rPr>
          <w:color w:val="auto"/>
          <w:sz w:val="24"/>
          <w:szCs w:val="24"/>
          <w:lang w:eastAsia="en-US"/>
        </w:rPr>
        <w:lastRenderedPageBreak/>
        <w:t xml:space="preserve">from any dangerous items and had a working recording machine. I collected the suspect from the cell, updating the custody record accordingly before leaving him with his solicitor in the interview room to obtain his legal advice in private. </w:t>
      </w:r>
    </w:p>
    <w:p w14:paraId="6D1A0CB8"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When the Solicitor confirmed that he and the defendant were ready, my colleague and I entered the interview room where I introduced myself to the defendant and asked after his welfare. The male stated that he was ok and had been reading a book while in custody, I asked for his thoughts on this book and this conversation enabled me to build rapport with the suspect while also filling the silence while I set up the discs in order to record the interview, complying with Code F of the Police and Criminal evidence Act 1984 Codes of Practice </w:t>
      </w:r>
      <w:r w:rsidRPr="00F35A26">
        <w:rPr>
          <w:color w:val="auto"/>
          <w:sz w:val="24"/>
          <w:szCs w:val="24"/>
          <w:lang w:eastAsia="en-US"/>
        </w:rPr>
        <w:fldChar w:fldCharType="begin"/>
      </w:r>
      <w:r w:rsidRPr="00F35A26">
        <w:rPr>
          <w:color w:val="auto"/>
          <w:sz w:val="24"/>
          <w:szCs w:val="24"/>
          <w:lang w:eastAsia="en-US"/>
        </w:rPr>
        <w:instrText xml:space="preserve"> CITATION Gov13 \l 2057 </w:instrText>
      </w:r>
      <w:r w:rsidRPr="00F35A26">
        <w:rPr>
          <w:color w:val="auto"/>
          <w:sz w:val="24"/>
          <w:szCs w:val="24"/>
          <w:lang w:eastAsia="en-US"/>
        </w:rPr>
        <w:fldChar w:fldCharType="separate"/>
      </w:r>
      <w:r w:rsidRPr="00F35A26">
        <w:rPr>
          <w:noProof/>
          <w:color w:val="auto"/>
          <w:sz w:val="24"/>
          <w:szCs w:val="24"/>
          <w:lang w:eastAsia="en-US"/>
        </w:rPr>
        <w:t>(Gov.uk, 2013)</w:t>
      </w:r>
      <w:r w:rsidRPr="00F35A26">
        <w:rPr>
          <w:color w:val="auto"/>
          <w:sz w:val="24"/>
          <w:szCs w:val="24"/>
          <w:lang w:eastAsia="en-US"/>
        </w:rPr>
        <w:fldChar w:fldCharType="end"/>
      </w:r>
      <w:r w:rsidRPr="00F35A26">
        <w:rPr>
          <w:color w:val="auto"/>
          <w:sz w:val="24"/>
          <w:szCs w:val="24"/>
          <w:lang w:eastAsia="en-US"/>
        </w:rPr>
        <w:t xml:space="preserve">. This conversation allowed me to engage with the suspect and explain the objectives and expectations of the interview process, following the PEACE interview model </w:t>
      </w:r>
      <w:r w:rsidRPr="00F35A26">
        <w:rPr>
          <w:color w:val="auto"/>
          <w:sz w:val="24"/>
          <w:szCs w:val="24"/>
          <w:lang w:eastAsia="en-US"/>
        </w:rPr>
        <w:fldChar w:fldCharType="begin"/>
      </w:r>
      <w:r w:rsidRPr="00F35A26">
        <w:rPr>
          <w:color w:val="auto"/>
          <w:sz w:val="24"/>
          <w:szCs w:val="24"/>
          <w:lang w:eastAsia="en-US"/>
        </w:rPr>
        <w:instrText xml:space="preserve"> CITATION col19 \l 2057 </w:instrText>
      </w:r>
      <w:r w:rsidRPr="00F35A26">
        <w:rPr>
          <w:color w:val="auto"/>
          <w:sz w:val="24"/>
          <w:szCs w:val="24"/>
          <w:lang w:eastAsia="en-US"/>
        </w:rPr>
        <w:fldChar w:fldCharType="separate"/>
      </w:r>
      <w:r w:rsidRPr="00F35A26">
        <w:rPr>
          <w:noProof/>
          <w:color w:val="auto"/>
          <w:sz w:val="24"/>
          <w:szCs w:val="24"/>
          <w:lang w:eastAsia="en-US"/>
        </w:rPr>
        <w:t>(College of Policing, 2019)</w:t>
      </w:r>
      <w:r w:rsidRPr="00F35A26">
        <w:rPr>
          <w:color w:val="auto"/>
          <w:sz w:val="24"/>
          <w:szCs w:val="24"/>
          <w:lang w:eastAsia="en-US"/>
        </w:rPr>
        <w:fldChar w:fldCharType="end"/>
      </w:r>
      <w:r w:rsidRPr="00F35A26">
        <w:rPr>
          <w:color w:val="auto"/>
          <w:sz w:val="24"/>
          <w:szCs w:val="24"/>
          <w:lang w:eastAsia="en-US"/>
        </w:rPr>
        <w:t>.</w:t>
      </w:r>
    </w:p>
    <w:p w14:paraId="1B66E382"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confirmed that all present were ready to start and commenced the recording and interview by saying the words “This interview is being visually recorded” introducing myself also stating the date and time. I asked all present to identify themselves, before asking the suspect to confirm that everyone had identified themselves. </w:t>
      </w:r>
    </w:p>
    <w:p w14:paraId="5532C505"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cautioned the suspect with the ‘when questioned’ caution in compliance with PACE code C </w:t>
      </w:r>
      <w:r w:rsidRPr="00F35A26">
        <w:rPr>
          <w:color w:val="auto"/>
          <w:sz w:val="24"/>
          <w:szCs w:val="24"/>
          <w:lang w:eastAsia="en-US"/>
        </w:rPr>
        <w:fldChar w:fldCharType="begin"/>
      </w:r>
      <w:r w:rsidRPr="00F35A26">
        <w:rPr>
          <w:color w:val="auto"/>
          <w:sz w:val="24"/>
          <w:szCs w:val="24"/>
          <w:lang w:eastAsia="en-US"/>
        </w:rPr>
        <w:instrText xml:space="preserve"> CITATION Gov13 \l 2057 </w:instrText>
      </w:r>
      <w:r w:rsidRPr="00F35A26">
        <w:rPr>
          <w:color w:val="auto"/>
          <w:sz w:val="24"/>
          <w:szCs w:val="24"/>
          <w:lang w:eastAsia="en-US"/>
        </w:rPr>
        <w:fldChar w:fldCharType="separate"/>
      </w:r>
      <w:r w:rsidRPr="00F35A26">
        <w:rPr>
          <w:noProof/>
          <w:color w:val="auto"/>
          <w:sz w:val="24"/>
          <w:szCs w:val="24"/>
          <w:lang w:eastAsia="en-US"/>
        </w:rPr>
        <w:t>(Gov.uk, 2013)</w:t>
      </w:r>
      <w:r w:rsidRPr="00F35A26">
        <w:rPr>
          <w:color w:val="auto"/>
          <w:sz w:val="24"/>
          <w:szCs w:val="24"/>
          <w:lang w:eastAsia="en-US"/>
        </w:rPr>
        <w:fldChar w:fldCharType="end"/>
      </w:r>
      <w:r w:rsidRPr="00F35A26">
        <w:rPr>
          <w:color w:val="auto"/>
          <w:sz w:val="24"/>
          <w:szCs w:val="24"/>
          <w:lang w:eastAsia="en-US"/>
        </w:rPr>
        <w:t>.  I explained the caution in simple terms, confirming the suspects understanding on each broken down point. I reiterated my expectations of the interview before commencing with my pre-planned questions.</w:t>
      </w:r>
    </w:p>
    <w:p w14:paraId="17BD4602"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suspect gave a full account of his version of events, which, unbeknown to him was confirmed by the two witness statements and the victim statement of female two. </w:t>
      </w:r>
    </w:p>
    <w:p w14:paraId="53337180"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Considering the PEACE model</w:t>
      </w:r>
      <w:r w:rsidRPr="00F35A26">
        <w:rPr>
          <w:color w:val="auto"/>
          <w:sz w:val="24"/>
          <w:szCs w:val="24"/>
          <w:lang w:eastAsia="en-US"/>
        </w:rPr>
        <w:fldChar w:fldCharType="begin"/>
      </w:r>
      <w:r w:rsidRPr="00F35A26">
        <w:rPr>
          <w:color w:val="auto"/>
          <w:sz w:val="24"/>
          <w:szCs w:val="24"/>
          <w:lang w:eastAsia="en-US"/>
        </w:rPr>
        <w:instrText xml:space="preserve"> CITATION col19 \l 2057 </w:instrText>
      </w:r>
      <w:r w:rsidRPr="00F35A26">
        <w:rPr>
          <w:color w:val="auto"/>
          <w:sz w:val="24"/>
          <w:szCs w:val="24"/>
          <w:lang w:eastAsia="en-US"/>
        </w:rPr>
        <w:fldChar w:fldCharType="separate"/>
      </w:r>
      <w:r w:rsidRPr="00F35A26">
        <w:rPr>
          <w:noProof/>
          <w:color w:val="auto"/>
          <w:sz w:val="24"/>
          <w:szCs w:val="24"/>
          <w:lang w:eastAsia="en-US"/>
        </w:rPr>
        <w:t xml:space="preserve"> (College of Policing, 2019)</w:t>
      </w:r>
      <w:r w:rsidRPr="00F35A26">
        <w:rPr>
          <w:color w:val="auto"/>
          <w:sz w:val="24"/>
          <w:szCs w:val="24"/>
          <w:lang w:eastAsia="en-US"/>
        </w:rPr>
        <w:fldChar w:fldCharType="end"/>
      </w:r>
      <w:r w:rsidRPr="00F35A26">
        <w:rPr>
          <w:color w:val="auto"/>
          <w:sz w:val="24"/>
          <w:szCs w:val="24"/>
          <w:lang w:eastAsia="en-US"/>
        </w:rPr>
        <w:t xml:space="preserve"> I clarified points by challenging claims made, ensuring that on occasions, wording used was probed, providing the suspect with the opportunity to confirm his version of events fully, ensuring I understood by paraphrasing and adopting active listening skills such as nodding and audible acknowledgement of his points. I followed the LEAPS model </w:t>
      </w:r>
      <w:r w:rsidRPr="00F35A26">
        <w:rPr>
          <w:color w:val="auto"/>
          <w:sz w:val="24"/>
          <w:szCs w:val="24"/>
          <w:lang w:eastAsia="en-US"/>
        </w:rPr>
        <w:fldChar w:fldCharType="begin"/>
      </w:r>
      <w:r w:rsidRPr="00F35A26">
        <w:rPr>
          <w:color w:val="auto"/>
          <w:sz w:val="24"/>
          <w:szCs w:val="24"/>
          <w:lang w:eastAsia="en-US"/>
        </w:rPr>
        <w:instrText xml:space="preserve"> CITATION IKO17 \l 2057 </w:instrText>
      </w:r>
      <w:r w:rsidRPr="00F35A26">
        <w:rPr>
          <w:color w:val="auto"/>
          <w:sz w:val="24"/>
          <w:szCs w:val="24"/>
          <w:lang w:eastAsia="en-US"/>
        </w:rPr>
        <w:fldChar w:fldCharType="separate"/>
      </w:r>
      <w:r w:rsidRPr="00F35A26">
        <w:rPr>
          <w:noProof/>
          <w:color w:val="auto"/>
          <w:sz w:val="24"/>
          <w:szCs w:val="24"/>
          <w:lang w:eastAsia="en-US"/>
        </w:rPr>
        <w:t>(IKON Training, 2017)</w:t>
      </w:r>
      <w:r w:rsidRPr="00F35A26">
        <w:rPr>
          <w:color w:val="auto"/>
          <w:sz w:val="24"/>
          <w:szCs w:val="24"/>
          <w:lang w:eastAsia="en-US"/>
        </w:rPr>
        <w:fldChar w:fldCharType="end"/>
      </w:r>
      <w:r w:rsidRPr="00F35A26">
        <w:rPr>
          <w:color w:val="auto"/>
          <w:sz w:val="24"/>
          <w:szCs w:val="24"/>
          <w:lang w:eastAsia="en-US"/>
        </w:rPr>
        <w:t xml:space="preserve">, for this and I believe that, by engaging with the suspect in this </w:t>
      </w:r>
      <w:r w:rsidRPr="00F35A26">
        <w:rPr>
          <w:color w:val="auto"/>
          <w:sz w:val="24"/>
          <w:szCs w:val="24"/>
          <w:lang w:eastAsia="en-US"/>
        </w:rPr>
        <w:lastRenderedPageBreak/>
        <w:t xml:space="preserve">way, it assisted in assuring them that I was maintaining my impartiality while establishing the facts. </w:t>
      </w:r>
    </w:p>
    <w:p w14:paraId="77960CD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During the interview, I was mindful of the potential for a rise in conflict and considered Betari’s box theory </w:t>
      </w:r>
      <w:r w:rsidRPr="00F35A26">
        <w:rPr>
          <w:color w:val="auto"/>
          <w:sz w:val="24"/>
          <w:szCs w:val="24"/>
          <w:lang w:eastAsia="en-US"/>
        </w:rPr>
        <w:fldChar w:fldCharType="begin"/>
      </w:r>
      <w:r w:rsidRPr="00F35A26">
        <w:rPr>
          <w:color w:val="auto"/>
          <w:sz w:val="24"/>
          <w:szCs w:val="24"/>
          <w:lang w:eastAsia="en-US"/>
        </w:rPr>
        <w:instrText xml:space="preserve"> CITATION Pol12 \l 2057 </w:instrText>
      </w:r>
      <w:r w:rsidRPr="00F35A26">
        <w:rPr>
          <w:color w:val="auto"/>
          <w:sz w:val="24"/>
          <w:szCs w:val="24"/>
          <w:lang w:eastAsia="en-US"/>
        </w:rPr>
        <w:fldChar w:fldCharType="separate"/>
      </w:r>
      <w:r w:rsidRPr="00F35A26">
        <w:rPr>
          <w:noProof/>
          <w:color w:val="auto"/>
          <w:sz w:val="24"/>
          <w:szCs w:val="24"/>
          <w:lang w:eastAsia="en-US"/>
        </w:rPr>
        <w:t>(Police Geek, 2012)</w:t>
      </w:r>
      <w:r w:rsidRPr="00F35A26">
        <w:rPr>
          <w:color w:val="auto"/>
          <w:sz w:val="24"/>
          <w:szCs w:val="24"/>
          <w:lang w:eastAsia="en-US"/>
        </w:rPr>
        <w:fldChar w:fldCharType="end"/>
      </w:r>
      <w:r w:rsidRPr="00F35A26">
        <w:rPr>
          <w:color w:val="auto"/>
          <w:sz w:val="24"/>
          <w:szCs w:val="24"/>
          <w:lang w:eastAsia="en-US"/>
        </w:rPr>
        <w:t xml:space="preserve"> throughout the process, whereby I was aware that should attitudes and behaviour of the suspect become hostile, if I mirrored this, then tensions could escalate. </w:t>
      </w:r>
    </w:p>
    <w:p w14:paraId="5278AAE4"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Once all the information was obtained, I closed the interview by stating “I am now going to conclude this interview” before asking the suspect if he wished to add or clarify anything further. I provided the suspect with a document explaining what will happen to the recordings and explained that all the information would be reviewed to make a charging decision by the Crown Prosecution service </w:t>
      </w:r>
      <w:r w:rsidRPr="00F35A26">
        <w:rPr>
          <w:color w:val="auto"/>
          <w:sz w:val="24"/>
          <w:szCs w:val="24"/>
          <w:lang w:eastAsia="en-US"/>
        </w:rPr>
        <w:fldChar w:fldCharType="begin"/>
      </w:r>
      <w:r w:rsidRPr="00F35A26">
        <w:rPr>
          <w:color w:val="auto"/>
          <w:sz w:val="24"/>
          <w:szCs w:val="24"/>
          <w:lang w:eastAsia="en-US"/>
        </w:rPr>
        <w:instrText xml:space="preserve"> CITATION Cro15 \l 2057 </w:instrText>
      </w:r>
      <w:r w:rsidRPr="00F35A26">
        <w:rPr>
          <w:color w:val="auto"/>
          <w:sz w:val="24"/>
          <w:szCs w:val="24"/>
          <w:lang w:eastAsia="en-US"/>
        </w:rPr>
        <w:fldChar w:fldCharType="separate"/>
      </w:r>
      <w:r w:rsidRPr="00F35A26">
        <w:rPr>
          <w:noProof/>
          <w:color w:val="auto"/>
          <w:sz w:val="24"/>
          <w:szCs w:val="24"/>
          <w:lang w:eastAsia="en-US"/>
        </w:rPr>
        <w:t>(Crown Prosecution Service, 2015)</w:t>
      </w:r>
      <w:r w:rsidRPr="00F35A26">
        <w:rPr>
          <w:color w:val="auto"/>
          <w:sz w:val="24"/>
          <w:szCs w:val="24"/>
          <w:lang w:eastAsia="en-US"/>
        </w:rPr>
        <w:fldChar w:fldCharType="end"/>
      </w:r>
      <w:r w:rsidRPr="00F35A26">
        <w:rPr>
          <w:color w:val="auto"/>
          <w:sz w:val="24"/>
          <w:szCs w:val="24"/>
          <w:lang w:eastAsia="en-US"/>
        </w:rPr>
        <w:t>.</w:t>
      </w:r>
    </w:p>
    <w:p w14:paraId="7A40CB9C"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returned the defendant to his cell, escorted the solicitor out of the building and updated the custody log with all actions. During the entirety of the interview process I ensured I adhered to the PACE codes C and E </w:t>
      </w:r>
      <w:r w:rsidRPr="00F35A26">
        <w:rPr>
          <w:color w:val="auto"/>
          <w:sz w:val="24"/>
          <w:szCs w:val="24"/>
          <w:lang w:eastAsia="en-US"/>
        </w:rPr>
        <w:fldChar w:fldCharType="begin"/>
      </w:r>
      <w:r w:rsidRPr="00F35A26">
        <w:rPr>
          <w:color w:val="auto"/>
          <w:sz w:val="24"/>
          <w:szCs w:val="24"/>
          <w:lang w:eastAsia="en-US"/>
        </w:rPr>
        <w:instrText xml:space="preserve"> CITATION Heand \l 2057 </w:instrText>
      </w:r>
      <w:r w:rsidRPr="00F35A26">
        <w:rPr>
          <w:color w:val="auto"/>
          <w:sz w:val="24"/>
          <w:szCs w:val="24"/>
          <w:lang w:eastAsia="en-US"/>
        </w:rPr>
        <w:fldChar w:fldCharType="separate"/>
      </w:r>
      <w:r w:rsidRPr="00F35A26">
        <w:rPr>
          <w:noProof/>
          <w:color w:val="auto"/>
          <w:sz w:val="24"/>
          <w:szCs w:val="24"/>
          <w:lang w:eastAsia="en-US"/>
        </w:rPr>
        <w:t>(Health and Safety Executive, n.d)</w:t>
      </w:r>
      <w:r w:rsidRPr="00F35A26">
        <w:rPr>
          <w:color w:val="auto"/>
          <w:sz w:val="24"/>
          <w:szCs w:val="24"/>
          <w:lang w:eastAsia="en-US"/>
        </w:rPr>
        <w:fldChar w:fldCharType="end"/>
      </w:r>
      <w:r w:rsidRPr="00F35A26">
        <w:rPr>
          <w:color w:val="auto"/>
          <w:sz w:val="24"/>
          <w:szCs w:val="24"/>
          <w:lang w:eastAsia="en-US"/>
        </w:rPr>
        <w:t xml:space="preserve"> and added a summary of the interview to the incident log, explaining that although the interviewee confirmed his presence and the verbal altercation, he denied assaulting anyone and stated that he had been assaulted, of which he would make a formal complaint upon his release.</w:t>
      </w:r>
    </w:p>
    <w:p w14:paraId="22D01742"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included the fact this had been all obtained statements, although one was explained to be in self-defence.  Self-defence is a defence under common law and also 76 (4) of the Criminal Justice and Immigration Act 2008 </w:t>
      </w:r>
      <w:r w:rsidRPr="00F35A26">
        <w:rPr>
          <w:color w:val="auto"/>
          <w:sz w:val="24"/>
          <w:szCs w:val="24"/>
          <w:lang w:eastAsia="en-US"/>
        </w:rPr>
        <w:fldChar w:fldCharType="begin"/>
      </w:r>
      <w:r w:rsidRPr="00F35A26">
        <w:rPr>
          <w:color w:val="auto"/>
          <w:sz w:val="24"/>
          <w:szCs w:val="24"/>
          <w:lang w:eastAsia="en-US"/>
        </w:rPr>
        <w:instrText xml:space="preserve"> CITATION Cro19 \l 2057 </w:instrText>
      </w:r>
      <w:r w:rsidRPr="00F35A26">
        <w:rPr>
          <w:color w:val="auto"/>
          <w:sz w:val="24"/>
          <w:szCs w:val="24"/>
          <w:lang w:eastAsia="en-US"/>
        </w:rPr>
        <w:fldChar w:fldCharType="separate"/>
      </w:r>
      <w:r w:rsidRPr="00F35A26">
        <w:rPr>
          <w:noProof/>
          <w:color w:val="auto"/>
          <w:sz w:val="24"/>
          <w:szCs w:val="24"/>
          <w:lang w:eastAsia="en-US"/>
        </w:rPr>
        <w:t>(Crown Prosecution Service, 2019)</w:t>
      </w:r>
      <w:r w:rsidRPr="00F35A26">
        <w:rPr>
          <w:color w:val="auto"/>
          <w:sz w:val="24"/>
          <w:szCs w:val="24"/>
          <w:lang w:eastAsia="en-US"/>
        </w:rPr>
        <w:fldChar w:fldCharType="end"/>
      </w:r>
      <w:r w:rsidRPr="00F35A26">
        <w:rPr>
          <w:color w:val="auto"/>
          <w:sz w:val="24"/>
          <w:szCs w:val="24"/>
          <w:lang w:eastAsia="en-US"/>
        </w:rPr>
        <w:t xml:space="preserve"> when considering assault of varying degrees.</w:t>
      </w:r>
    </w:p>
    <w:p w14:paraId="241914EC"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Using Gibb’s (1988) model of reflection as cited in </w:t>
      </w:r>
      <w:r w:rsidRPr="00F35A26">
        <w:rPr>
          <w:color w:val="auto"/>
          <w:sz w:val="24"/>
          <w:szCs w:val="24"/>
          <w:lang w:eastAsia="en-US"/>
        </w:rPr>
        <w:fldChar w:fldCharType="begin"/>
      </w:r>
      <w:r w:rsidRPr="00F35A26">
        <w:rPr>
          <w:color w:val="auto"/>
          <w:sz w:val="24"/>
          <w:szCs w:val="24"/>
          <w:lang w:eastAsia="en-US"/>
        </w:rPr>
        <w:instrText xml:space="preserve"> CITATION Uni19 \l 2057 </w:instrText>
      </w:r>
      <w:r w:rsidRPr="00F35A26">
        <w:rPr>
          <w:color w:val="auto"/>
          <w:sz w:val="24"/>
          <w:szCs w:val="24"/>
          <w:lang w:eastAsia="en-US"/>
        </w:rPr>
        <w:fldChar w:fldCharType="separate"/>
      </w:r>
      <w:r w:rsidRPr="00F35A26">
        <w:rPr>
          <w:noProof/>
          <w:color w:val="auto"/>
          <w:sz w:val="24"/>
          <w:szCs w:val="24"/>
          <w:lang w:eastAsia="en-US"/>
        </w:rPr>
        <w:t>(University of Edinburgh, 2019)</w:t>
      </w:r>
      <w:r w:rsidRPr="00F35A26">
        <w:rPr>
          <w:color w:val="auto"/>
          <w:sz w:val="24"/>
          <w:szCs w:val="24"/>
          <w:lang w:eastAsia="en-US"/>
        </w:rPr>
        <w:fldChar w:fldCharType="end"/>
      </w:r>
      <w:r w:rsidRPr="00F35A26">
        <w:rPr>
          <w:color w:val="auto"/>
          <w:sz w:val="24"/>
          <w:szCs w:val="24"/>
          <w:lang w:eastAsia="en-US"/>
        </w:rPr>
        <w:t xml:space="preserve"> I would say that I conducted enquiries as efficiently as possible, utilising my colleagues to assist while I prepared for the interview , complying with the PACE codes of practice and the Criminal procedure and Investigations Act 1996 Codes of practice </w:t>
      </w:r>
      <w:r w:rsidRPr="00F35A26">
        <w:rPr>
          <w:color w:val="auto"/>
          <w:sz w:val="24"/>
          <w:szCs w:val="24"/>
          <w:lang w:eastAsia="en-US"/>
        </w:rPr>
        <w:fldChar w:fldCharType="begin"/>
      </w:r>
      <w:r w:rsidRPr="00F35A26">
        <w:rPr>
          <w:color w:val="auto"/>
          <w:sz w:val="24"/>
          <w:szCs w:val="24"/>
          <w:lang w:eastAsia="en-US"/>
        </w:rPr>
        <w:instrText xml:space="preserve"> CITATION Min152 \l 2057 </w:instrText>
      </w:r>
      <w:r w:rsidRPr="00F35A26">
        <w:rPr>
          <w:color w:val="auto"/>
          <w:sz w:val="24"/>
          <w:szCs w:val="24"/>
          <w:lang w:eastAsia="en-US"/>
        </w:rPr>
        <w:fldChar w:fldCharType="separate"/>
      </w:r>
      <w:r w:rsidRPr="00F35A26">
        <w:rPr>
          <w:noProof/>
          <w:color w:val="auto"/>
          <w:sz w:val="24"/>
          <w:szCs w:val="24"/>
          <w:lang w:eastAsia="en-US"/>
        </w:rPr>
        <w:t>(Minstry of Justice, 2015)</w:t>
      </w:r>
      <w:r w:rsidRPr="00F35A26">
        <w:rPr>
          <w:color w:val="auto"/>
          <w:sz w:val="24"/>
          <w:szCs w:val="24"/>
          <w:lang w:eastAsia="en-US"/>
        </w:rPr>
        <w:fldChar w:fldCharType="end"/>
      </w:r>
      <w:r w:rsidRPr="00F35A26">
        <w:rPr>
          <w:color w:val="auto"/>
          <w:sz w:val="24"/>
          <w:szCs w:val="24"/>
          <w:lang w:eastAsia="en-US"/>
        </w:rPr>
        <w:t>.</w:t>
      </w:r>
    </w:p>
    <w:p w14:paraId="71446252"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An adjustment I would make going forward would be to request advice from longer serving officers regarding questions asked, I would be able to utilise past questions put to suspects in interview, to speed up my interview preparations. I will continue to </w:t>
      </w:r>
      <w:r w:rsidRPr="00F35A26">
        <w:rPr>
          <w:color w:val="auto"/>
          <w:sz w:val="24"/>
          <w:szCs w:val="24"/>
          <w:lang w:eastAsia="en-US"/>
        </w:rPr>
        <w:lastRenderedPageBreak/>
        <w:t>follow the PEACE framework</w:t>
      </w:r>
      <w:r w:rsidRPr="00F35A26">
        <w:rPr>
          <w:color w:val="auto"/>
          <w:sz w:val="24"/>
          <w:szCs w:val="24"/>
          <w:lang w:eastAsia="en-US"/>
        </w:rPr>
        <w:fldChar w:fldCharType="begin"/>
      </w:r>
      <w:r w:rsidRPr="00F35A26">
        <w:rPr>
          <w:color w:val="auto"/>
          <w:sz w:val="24"/>
          <w:szCs w:val="24"/>
          <w:lang w:eastAsia="en-US"/>
        </w:rPr>
        <w:instrText xml:space="preserve"> CITATION col19 \l 2057 </w:instrText>
      </w:r>
      <w:r w:rsidRPr="00F35A26">
        <w:rPr>
          <w:color w:val="auto"/>
          <w:sz w:val="24"/>
          <w:szCs w:val="24"/>
          <w:lang w:eastAsia="en-US"/>
        </w:rPr>
        <w:fldChar w:fldCharType="separate"/>
      </w:r>
      <w:r w:rsidRPr="00F35A26">
        <w:rPr>
          <w:noProof/>
          <w:color w:val="auto"/>
          <w:sz w:val="24"/>
          <w:szCs w:val="24"/>
          <w:lang w:eastAsia="en-US"/>
        </w:rPr>
        <w:t xml:space="preserve"> (College of Policing, 2019)</w:t>
      </w:r>
      <w:r w:rsidRPr="00F35A26">
        <w:rPr>
          <w:color w:val="auto"/>
          <w:sz w:val="24"/>
          <w:szCs w:val="24"/>
          <w:lang w:eastAsia="en-US"/>
        </w:rPr>
        <w:fldChar w:fldCharType="end"/>
      </w:r>
      <w:r w:rsidRPr="00F35A26">
        <w:rPr>
          <w:color w:val="auto"/>
          <w:sz w:val="24"/>
          <w:szCs w:val="24"/>
          <w:lang w:eastAsia="en-US"/>
        </w:rPr>
        <w:t xml:space="preserve"> and with experience, will ensure that I work on my timings as efficiently as possible. </w:t>
      </w:r>
    </w:p>
    <w:p w14:paraId="3AD0B537" w14:textId="7E68098C" w:rsidR="00F35A26" w:rsidRPr="00F35A26" w:rsidRDefault="001B48B2" w:rsidP="00F35A26">
      <w:pPr>
        <w:overflowPunct/>
        <w:autoSpaceDE/>
        <w:autoSpaceDN/>
        <w:adjustRightInd/>
        <w:spacing w:after="160" w:line="360" w:lineRule="auto"/>
        <w:textAlignment w:val="auto"/>
        <w:rPr>
          <w:b/>
          <w:color w:val="auto"/>
          <w:sz w:val="24"/>
          <w:szCs w:val="24"/>
          <w:lang w:eastAsia="en-US"/>
        </w:rPr>
      </w:pPr>
      <w:r>
        <w:rPr>
          <w:b/>
          <w:color w:val="auto"/>
          <w:sz w:val="24"/>
          <w:szCs w:val="24"/>
          <w:lang w:eastAsia="en-US"/>
        </w:rPr>
        <w:t>Word Count: 1644</w:t>
      </w:r>
      <w:r w:rsidR="00F35A26" w:rsidRPr="00F35A26">
        <w:rPr>
          <w:b/>
          <w:color w:val="auto"/>
          <w:sz w:val="24"/>
          <w:szCs w:val="24"/>
          <w:lang w:eastAsia="en-US"/>
        </w:rPr>
        <w:t xml:space="preserve"> words</w:t>
      </w:r>
    </w:p>
    <w:p w14:paraId="51862750" w14:textId="12ACC963" w:rsidR="00F35A26" w:rsidRPr="00F35A26" w:rsidRDefault="00603549" w:rsidP="00F35A26">
      <w:pPr>
        <w:overflowPunct/>
        <w:autoSpaceDE/>
        <w:autoSpaceDN/>
        <w:adjustRightInd/>
        <w:spacing w:after="160" w:line="360" w:lineRule="auto"/>
        <w:textAlignment w:val="auto"/>
        <w:rPr>
          <w:b/>
          <w:color w:val="auto"/>
          <w:sz w:val="24"/>
          <w:szCs w:val="24"/>
          <w:lang w:eastAsia="en-US"/>
        </w:rPr>
      </w:pPr>
      <w:r>
        <w:rPr>
          <w:b/>
          <w:color w:val="auto"/>
          <w:sz w:val="24"/>
          <w:szCs w:val="24"/>
          <w:lang w:eastAsia="en-US"/>
        </w:rPr>
        <w:t>R</w:t>
      </w:r>
      <w:r w:rsidR="00F35A26" w:rsidRPr="00F35A26">
        <w:rPr>
          <w:b/>
          <w:color w:val="auto"/>
          <w:sz w:val="24"/>
          <w:szCs w:val="24"/>
          <w:lang w:eastAsia="en-US"/>
        </w:rPr>
        <w:t>eference list:</w:t>
      </w:r>
    </w:p>
    <w:p w14:paraId="229F068D"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4"/>
          <w:szCs w:val="24"/>
          <w:lang w:eastAsia="en-US"/>
        </w:rPr>
      </w:pPr>
      <w:r w:rsidRPr="00F35A26">
        <w:rPr>
          <w:b/>
          <w:color w:val="auto"/>
          <w:sz w:val="24"/>
          <w:szCs w:val="24"/>
          <w:lang w:eastAsia="en-US"/>
        </w:rPr>
        <w:fldChar w:fldCharType="begin"/>
      </w:r>
      <w:r w:rsidRPr="00F35A26">
        <w:rPr>
          <w:b/>
          <w:color w:val="auto"/>
          <w:sz w:val="24"/>
          <w:szCs w:val="24"/>
          <w:lang w:eastAsia="en-US"/>
        </w:rPr>
        <w:instrText xml:space="preserve"> BIBLIOGRAPHY  \l 2057 </w:instrText>
      </w:r>
      <w:r w:rsidRPr="00F35A26">
        <w:rPr>
          <w:b/>
          <w:color w:val="auto"/>
          <w:sz w:val="24"/>
          <w:szCs w:val="24"/>
          <w:lang w:eastAsia="en-US"/>
        </w:rPr>
        <w:fldChar w:fldCharType="separate"/>
      </w:r>
      <w:r w:rsidRPr="00F35A26">
        <w:rPr>
          <w:rFonts w:asciiTheme="minorHAnsi" w:hAnsiTheme="minorHAnsi" w:cs="Times New Roman"/>
          <w:noProof/>
          <w:color w:val="auto"/>
          <w:sz w:val="22"/>
          <w:szCs w:val="22"/>
          <w:lang w:eastAsia="en-US"/>
        </w:rPr>
        <w:t xml:space="preserve">College of Policing, 2019. </w:t>
      </w:r>
      <w:r w:rsidRPr="00F35A26">
        <w:rPr>
          <w:rFonts w:asciiTheme="minorHAnsi" w:hAnsiTheme="minorHAnsi" w:cs="Times New Roman"/>
          <w:i/>
          <w:iCs/>
          <w:noProof/>
          <w:color w:val="auto"/>
          <w:sz w:val="22"/>
          <w:szCs w:val="22"/>
          <w:lang w:eastAsia="en-US"/>
        </w:rPr>
        <w:t xml:space="preserve">Investigative Interviewing.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https://www.app.college.police.uk/app-content/investigations/investigative-interviewing/#top</w:t>
      </w:r>
      <w:r w:rsidRPr="00F35A26">
        <w:rPr>
          <w:rFonts w:asciiTheme="minorHAnsi" w:hAnsiTheme="minorHAnsi" w:cs="Times New Roman"/>
          <w:noProof/>
          <w:color w:val="auto"/>
          <w:sz w:val="22"/>
          <w:szCs w:val="22"/>
          <w:lang w:eastAsia="en-US"/>
        </w:rPr>
        <w:br/>
        <w:t>[Accessed 07 01 2020].</w:t>
      </w:r>
    </w:p>
    <w:p w14:paraId="49CB0492"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Criminal Justice Act, 1988. </w:t>
      </w:r>
      <w:r w:rsidRPr="00F35A26">
        <w:rPr>
          <w:rFonts w:asciiTheme="minorHAnsi" w:hAnsiTheme="minorHAnsi" w:cs="Times New Roman"/>
          <w:i/>
          <w:iCs/>
          <w:noProof/>
          <w:color w:val="auto"/>
          <w:sz w:val="22"/>
          <w:szCs w:val="22"/>
          <w:lang w:eastAsia="en-US"/>
        </w:rPr>
        <w:t xml:space="preserve">Criminal justice Act 1988.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http://www.legislation.gov.uk/ukpga/1988/33/section/39/2012-11-05?timeline=true</w:t>
      </w:r>
      <w:r w:rsidRPr="00F35A26">
        <w:rPr>
          <w:rFonts w:asciiTheme="minorHAnsi" w:hAnsiTheme="minorHAnsi" w:cs="Times New Roman"/>
          <w:noProof/>
          <w:color w:val="auto"/>
          <w:sz w:val="22"/>
          <w:szCs w:val="22"/>
          <w:lang w:eastAsia="en-US"/>
        </w:rPr>
        <w:br/>
        <w:t>[Accessed 15 01 2020].</w:t>
      </w:r>
    </w:p>
    <w:p w14:paraId="0C7B3B78"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Crown Prosecution Service, 2015. </w:t>
      </w:r>
      <w:r w:rsidRPr="00F35A26">
        <w:rPr>
          <w:rFonts w:asciiTheme="minorHAnsi" w:hAnsiTheme="minorHAnsi" w:cs="Times New Roman"/>
          <w:i/>
          <w:iCs/>
          <w:noProof/>
          <w:color w:val="auto"/>
          <w:sz w:val="22"/>
          <w:szCs w:val="22"/>
          <w:lang w:eastAsia="en-US"/>
        </w:rPr>
        <w:t xml:space="preserve">Domestic abuse Charging Advice Sheet.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https://www.cps.gov.uk/sites/default/files/documents/publications/domestic_abuse_charging_advice_sheet_2015.pdf</w:t>
      </w:r>
      <w:r w:rsidRPr="00F35A26">
        <w:rPr>
          <w:rFonts w:asciiTheme="minorHAnsi" w:hAnsiTheme="minorHAnsi" w:cs="Times New Roman"/>
          <w:noProof/>
          <w:color w:val="auto"/>
          <w:sz w:val="22"/>
          <w:szCs w:val="22"/>
          <w:lang w:eastAsia="en-US"/>
        </w:rPr>
        <w:br/>
        <w:t>[Accessed 14 01 2020].</w:t>
      </w:r>
    </w:p>
    <w:p w14:paraId="6EA529AE"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Crown Prosecution Service, 2019. </w:t>
      </w:r>
      <w:r w:rsidRPr="00F35A26">
        <w:rPr>
          <w:rFonts w:asciiTheme="minorHAnsi" w:hAnsiTheme="minorHAnsi" w:cs="Times New Roman"/>
          <w:i/>
          <w:iCs/>
          <w:noProof/>
          <w:color w:val="auto"/>
          <w:sz w:val="22"/>
          <w:szCs w:val="22"/>
          <w:lang w:eastAsia="en-US"/>
        </w:rPr>
        <w:t xml:space="preserve">Self-Defence and the Prevention of Crime.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https://www.cps.gov.uk/legal-guidance/self-defence-and-prevention-crime</w:t>
      </w:r>
      <w:r w:rsidRPr="00F35A26">
        <w:rPr>
          <w:rFonts w:asciiTheme="minorHAnsi" w:hAnsiTheme="minorHAnsi" w:cs="Times New Roman"/>
          <w:noProof/>
          <w:color w:val="auto"/>
          <w:sz w:val="22"/>
          <w:szCs w:val="22"/>
          <w:lang w:eastAsia="en-US"/>
        </w:rPr>
        <w:br/>
        <w:t>[Accessed 15 01 2020].</w:t>
      </w:r>
    </w:p>
    <w:p w14:paraId="513CF62A"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Gov.uk, 2013. </w:t>
      </w:r>
      <w:r w:rsidRPr="00F35A26">
        <w:rPr>
          <w:rFonts w:asciiTheme="minorHAnsi" w:hAnsiTheme="minorHAnsi" w:cs="Times New Roman"/>
          <w:i/>
          <w:iCs/>
          <w:noProof/>
          <w:color w:val="auto"/>
          <w:sz w:val="22"/>
          <w:szCs w:val="22"/>
          <w:lang w:eastAsia="en-US"/>
        </w:rPr>
        <w:t xml:space="preserve">Police and Criminal Evidence Act 1984 (PACE) codes of practice.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https://www.gov.uk/guidance/police-and-criminal-evidence-act-1984-pace-codes-of-practice</w:t>
      </w:r>
      <w:r w:rsidRPr="00F35A26">
        <w:rPr>
          <w:rFonts w:asciiTheme="minorHAnsi" w:hAnsiTheme="minorHAnsi" w:cs="Times New Roman"/>
          <w:noProof/>
          <w:color w:val="auto"/>
          <w:sz w:val="22"/>
          <w:szCs w:val="22"/>
          <w:lang w:eastAsia="en-US"/>
        </w:rPr>
        <w:br/>
        <w:t>[Accessed 11 11 2019].</w:t>
      </w:r>
    </w:p>
    <w:p w14:paraId="2ABC9023"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Health and Safety Executive, n.d. </w:t>
      </w:r>
      <w:r w:rsidRPr="00F35A26">
        <w:rPr>
          <w:rFonts w:asciiTheme="minorHAnsi" w:hAnsiTheme="minorHAnsi" w:cs="Times New Roman"/>
          <w:i/>
          <w:iCs/>
          <w:noProof/>
          <w:color w:val="auto"/>
          <w:sz w:val="22"/>
          <w:szCs w:val="22"/>
          <w:lang w:eastAsia="en-US"/>
        </w:rPr>
        <w:t xml:space="preserve">Interviewing suspects.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https://www.hse.gov.uk/enforce/enforcementguide/investigation/witness-questioning.htm#</w:t>
      </w:r>
      <w:r w:rsidRPr="00F35A26">
        <w:rPr>
          <w:rFonts w:asciiTheme="minorHAnsi" w:hAnsiTheme="minorHAnsi" w:cs="Times New Roman"/>
          <w:noProof/>
          <w:color w:val="auto"/>
          <w:sz w:val="22"/>
          <w:szCs w:val="22"/>
          <w:lang w:eastAsia="en-US"/>
        </w:rPr>
        <w:br/>
        <w:t>[Accessed 15 01 2020].</w:t>
      </w:r>
    </w:p>
    <w:p w14:paraId="1EF25141"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Human Rights Act, 1998. </w:t>
      </w:r>
      <w:r w:rsidRPr="00F35A26">
        <w:rPr>
          <w:rFonts w:asciiTheme="minorHAnsi" w:hAnsiTheme="minorHAnsi" w:cs="Times New Roman"/>
          <w:i/>
          <w:iCs/>
          <w:noProof/>
          <w:color w:val="auto"/>
          <w:sz w:val="22"/>
          <w:szCs w:val="22"/>
          <w:lang w:eastAsia="en-US"/>
        </w:rPr>
        <w:t xml:space="preserve">Human Rigts Act 1998.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https://www.legislation.gov.uk/ukpga/1998/42/schedule/1/part/I/chapter/4</w:t>
      </w:r>
      <w:r w:rsidRPr="00F35A26">
        <w:rPr>
          <w:rFonts w:asciiTheme="minorHAnsi" w:hAnsiTheme="minorHAnsi" w:cs="Times New Roman"/>
          <w:noProof/>
          <w:color w:val="auto"/>
          <w:sz w:val="22"/>
          <w:szCs w:val="22"/>
          <w:lang w:eastAsia="en-US"/>
        </w:rPr>
        <w:br/>
        <w:t>[Accessed 16 01 2020].</w:t>
      </w:r>
    </w:p>
    <w:p w14:paraId="5123E97A"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IKON Training, 2017. </w:t>
      </w:r>
      <w:r w:rsidRPr="00F35A26">
        <w:rPr>
          <w:rFonts w:asciiTheme="minorHAnsi" w:hAnsiTheme="minorHAnsi" w:cs="Times New Roman"/>
          <w:i/>
          <w:iCs/>
          <w:noProof/>
          <w:color w:val="auto"/>
          <w:sz w:val="22"/>
          <w:szCs w:val="22"/>
          <w:lang w:eastAsia="en-US"/>
        </w:rPr>
        <w:t xml:space="preserve">Ikon Training.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http://www.ikontraining.co.uk/wp-content/uploads/2017/01/LEAPS.pdf</w:t>
      </w:r>
      <w:r w:rsidRPr="00F35A26">
        <w:rPr>
          <w:rFonts w:asciiTheme="minorHAnsi" w:hAnsiTheme="minorHAnsi" w:cs="Times New Roman"/>
          <w:noProof/>
          <w:color w:val="auto"/>
          <w:sz w:val="22"/>
          <w:szCs w:val="22"/>
          <w:lang w:eastAsia="en-US"/>
        </w:rPr>
        <w:br/>
        <w:t>[Accessed 15 01 2020].</w:t>
      </w:r>
    </w:p>
    <w:p w14:paraId="69C0D65E"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McKeown-Beumont, C. S., 2019. </w:t>
      </w:r>
      <w:r w:rsidRPr="00F35A26">
        <w:rPr>
          <w:rFonts w:asciiTheme="minorHAnsi" w:hAnsiTheme="minorHAnsi" w:cs="Times New Roman"/>
          <w:i/>
          <w:iCs/>
          <w:noProof/>
          <w:color w:val="auto"/>
          <w:sz w:val="22"/>
          <w:szCs w:val="22"/>
          <w:lang w:eastAsia="en-US"/>
        </w:rPr>
        <w:t xml:space="preserve">A Practical guide to advising clients at the police station. </w:t>
      </w:r>
      <w:r w:rsidRPr="00F35A26">
        <w:rPr>
          <w:rFonts w:asciiTheme="minorHAnsi" w:hAnsiTheme="minorHAnsi" w:cs="Times New Roman"/>
          <w:noProof/>
          <w:color w:val="auto"/>
          <w:sz w:val="22"/>
          <w:szCs w:val="22"/>
          <w:lang w:eastAsia="en-US"/>
        </w:rPr>
        <w:t>Somerset: Law Brief Publishing.</w:t>
      </w:r>
    </w:p>
    <w:p w14:paraId="25ECC751"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Minstry of Justice, 2015. </w:t>
      </w:r>
      <w:r w:rsidRPr="00F35A26">
        <w:rPr>
          <w:rFonts w:asciiTheme="minorHAnsi" w:hAnsiTheme="minorHAnsi" w:cs="Times New Roman"/>
          <w:i/>
          <w:iCs/>
          <w:noProof/>
          <w:color w:val="auto"/>
          <w:sz w:val="22"/>
          <w:szCs w:val="22"/>
          <w:lang w:eastAsia="en-US"/>
        </w:rPr>
        <w:t xml:space="preserve">Criminal Procedure and Investigations Act 1996 (section 23(1)) Code of Practice.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https://www.gov.uk/government/publications/criminal-procedure-and-investigations-</w:t>
      </w:r>
      <w:r w:rsidRPr="00F35A26">
        <w:rPr>
          <w:rFonts w:asciiTheme="minorHAnsi" w:hAnsiTheme="minorHAnsi" w:cs="Times New Roman"/>
          <w:noProof/>
          <w:color w:val="auto"/>
          <w:sz w:val="22"/>
          <w:szCs w:val="22"/>
          <w:u w:val="single"/>
          <w:lang w:eastAsia="en-US"/>
        </w:rPr>
        <w:lastRenderedPageBreak/>
        <w:t>act-code-of-practice</w:t>
      </w:r>
      <w:r w:rsidRPr="00F35A26">
        <w:rPr>
          <w:rFonts w:asciiTheme="minorHAnsi" w:hAnsiTheme="minorHAnsi" w:cs="Times New Roman"/>
          <w:noProof/>
          <w:color w:val="auto"/>
          <w:sz w:val="22"/>
          <w:szCs w:val="22"/>
          <w:lang w:eastAsia="en-US"/>
        </w:rPr>
        <w:br/>
        <w:t>[Accessed 16 01 2020].</w:t>
      </w:r>
    </w:p>
    <w:p w14:paraId="07A728E0"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Police (Detention and Bail) Act 2011, 2011. </w:t>
      </w:r>
      <w:r w:rsidRPr="00F35A26">
        <w:rPr>
          <w:rFonts w:asciiTheme="minorHAnsi" w:hAnsiTheme="minorHAnsi" w:cs="Times New Roman"/>
          <w:i/>
          <w:iCs/>
          <w:noProof/>
          <w:color w:val="auto"/>
          <w:sz w:val="22"/>
          <w:szCs w:val="22"/>
          <w:lang w:eastAsia="en-US"/>
        </w:rPr>
        <w:t xml:space="preserve">Police (Detention and Bail) Act 2011 Explanatory notes.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http://www.legislation.gov.uk/ukpga/2011/9/notes/division/4/1?view=plain</w:t>
      </w:r>
      <w:r w:rsidRPr="00F35A26">
        <w:rPr>
          <w:rFonts w:asciiTheme="minorHAnsi" w:hAnsiTheme="minorHAnsi" w:cs="Times New Roman"/>
          <w:noProof/>
          <w:color w:val="auto"/>
          <w:sz w:val="22"/>
          <w:szCs w:val="22"/>
          <w:lang w:eastAsia="en-US"/>
        </w:rPr>
        <w:br/>
        <w:t>[Accessed 16 01 2020].</w:t>
      </w:r>
    </w:p>
    <w:p w14:paraId="32D7C090"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Police Geek, 2012. </w:t>
      </w:r>
      <w:r w:rsidRPr="00F35A26">
        <w:rPr>
          <w:rFonts w:asciiTheme="minorHAnsi" w:hAnsiTheme="minorHAnsi" w:cs="Times New Roman"/>
          <w:i/>
          <w:iCs/>
          <w:noProof/>
          <w:color w:val="auto"/>
          <w:sz w:val="22"/>
          <w:szCs w:val="22"/>
          <w:lang w:eastAsia="en-US"/>
        </w:rPr>
        <w:t xml:space="preserve">The Cycle of conflict.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https://policegeek.wordpress.com/2012/05/22/the-cycle-of-conflict/</w:t>
      </w:r>
      <w:r w:rsidRPr="00F35A26">
        <w:rPr>
          <w:rFonts w:asciiTheme="minorHAnsi" w:hAnsiTheme="minorHAnsi" w:cs="Times New Roman"/>
          <w:noProof/>
          <w:color w:val="auto"/>
          <w:sz w:val="22"/>
          <w:szCs w:val="22"/>
          <w:lang w:eastAsia="en-US"/>
        </w:rPr>
        <w:br/>
        <w:t>[Accessed 15 01 2020].</w:t>
      </w:r>
    </w:p>
    <w:p w14:paraId="1A032E14"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Sentencing Council, 2018. </w:t>
      </w:r>
      <w:r w:rsidRPr="00F35A26">
        <w:rPr>
          <w:rFonts w:asciiTheme="minorHAnsi" w:hAnsiTheme="minorHAnsi" w:cs="Times New Roman"/>
          <w:i/>
          <w:iCs/>
          <w:noProof/>
          <w:color w:val="auto"/>
          <w:sz w:val="22"/>
          <w:szCs w:val="22"/>
          <w:lang w:eastAsia="en-US"/>
        </w:rPr>
        <w:t xml:space="preserve">Assault offences explained.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https://www.sentencingcouncil.org.uk/blog/post/assault-offences-explained/</w:t>
      </w:r>
      <w:r w:rsidRPr="00F35A26">
        <w:rPr>
          <w:rFonts w:asciiTheme="minorHAnsi" w:hAnsiTheme="minorHAnsi" w:cs="Times New Roman"/>
          <w:noProof/>
          <w:color w:val="auto"/>
          <w:sz w:val="22"/>
          <w:szCs w:val="22"/>
          <w:lang w:eastAsia="en-US"/>
        </w:rPr>
        <w:br/>
        <w:t>[Accessed 15 01 2020].</w:t>
      </w:r>
    </w:p>
    <w:p w14:paraId="070B7FF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University of Edinburgh, 2019. </w:t>
      </w:r>
      <w:r w:rsidRPr="00F35A26">
        <w:rPr>
          <w:rFonts w:asciiTheme="minorHAnsi" w:hAnsiTheme="minorHAnsi" w:cs="Times New Roman"/>
          <w:i/>
          <w:iCs/>
          <w:noProof/>
          <w:color w:val="auto"/>
          <w:sz w:val="22"/>
          <w:szCs w:val="22"/>
          <w:lang w:eastAsia="en-US"/>
        </w:rPr>
        <w:t xml:space="preserve">Gibbs' reflective cycle.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https://www.ed.ac.uk/reflection/reflectors-toolkit/reflecting-on-experience/gibbs-reflective-cycle</w:t>
      </w:r>
      <w:r w:rsidRPr="00F35A26">
        <w:rPr>
          <w:rFonts w:asciiTheme="minorHAnsi" w:hAnsiTheme="minorHAnsi" w:cs="Times New Roman"/>
          <w:noProof/>
          <w:color w:val="auto"/>
          <w:sz w:val="22"/>
          <w:szCs w:val="22"/>
          <w:lang w:eastAsia="en-US"/>
        </w:rPr>
        <w:br/>
        <w:t>[Accessed 06 01 2020].</w:t>
      </w:r>
    </w:p>
    <w:p w14:paraId="4E9085BF" w14:textId="5F392A9A" w:rsidR="00025650" w:rsidRPr="00270EEB" w:rsidRDefault="00F35A26" w:rsidP="00F35A26">
      <w:pPr>
        <w:ind w:right="237"/>
        <w:jc w:val="both"/>
        <w:rPr>
          <w:sz w:val="24"/>
          <w:szCs w:val="24"/>
        </w:rPr>
      </w:pPr>
      <w:r w:rsidRPr="00F35A26">
        <w:rPr>
          <w:b/>
          <w:color w:val="auto"/>
          <w:sz w:val="24"/>
          <w:szCs w:val="24"/>
          <w:lang w:eastAsia="en-US"/>
        </w:rPr>
        <w:fldChar w:fldCharType="end"/>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DF88B7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This work will look at an incident I dealt with, discussing the considerations I made around the National Decision Model, National Intelligence Model, policies in place for dealing with youths within the criminal justice system and crime outcomes that I thought of utilising. I will aim to back up my decisions and thoughts with theories and discussions. I received a victim’s report of criminal damage, whereby a youth had </w:t>
      </w:r>
      <w:r w:rsidRPr="00F35A26">
        <w:rPr>
          <w:color w:val="auto"/>
          <w:sz w:val="24"/>
          <w:szCs w:val="24"/>
          <w:lang w:eastAsia="en-US"/>
        </w:rPr>
        <w:lastRenderedPageBreak/>
        <w:t xml:space="preserve">kicked their front door and damaged the electricity box. The victim was concerned as the male who caused this had previously caused them alarm and distress by repeatedly knocking the door and running away over an 18 month period, amounting to them feeling harassed. Understandably, the victim was concerned that this was escalating and requested Police action. </w:t>
      </w:r>
    </w:p>
    <w:p w14:paraId="130C26E9" w14:textId="58F4A63E"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auto"/>
          <w:sz w:val="24"/>
          <w:szCs w:val="24"/>
          <w:lang w:eastAsia="en-US"/>
        </w:rPr>
        <w:t xml:space="preserve">My Initial considerations were that this was not a live incident and had taken place the day before. I was able to collate all the information and intelligence to start my progression through the National Decision making model </w:t>
      </w:r>
      <w:r w:rsidRPr="00F35A26">
        <w:rPr>
          <w:color w:val="auto"/>
          <w:sz w:val="24"/>
          <w:szCs w:val="24"/>
          <w:lang w:eastAsia="en-US"/>
        </w:rPr>
        <w:fldChar w:fldCharType="begin"/>
      </w:r>
      <w:r w:rsidRPr="00F35A26">
        <w:rPr>
          <w:color w:val="auto"/>
          <w:sz w:val="24"/>
          <w:szCs w:val="24"/>
          <w:lang w:eastAsia="en-US"/>
        </w:rPr>
        <w:instrText xml:space="preserve"> CITATION The14 \l 2057 </w:instrText>
      </w:r>
      <w:r w:rsidRPr="00F35A26">
        <w:rPr>
          <w:color w:val="auto"/>
          <w:sz w:val="24"/>
          <w:szCs w:val="24"/>
          <w:lang w:eastAsia="en-US"/>
        </w:rPr>
        <w:fldChar w:fldCharType="separate"/>
      </w:r>
      <w:r w:rsidRPr="00F35A26">
        <w:rPr>
          <w:noProof/>
          <w:color w:val="auto"/>
          <w:sz w:val="24"/>
          <w:szCs w:val="24"/>
          <w:lang w:eastAsia="en-US"/>
        </w:rPr>
        <w:t>(The College of Policing, 2014)</w:t>
      </w:r>
      <w:r w:rsidRPr="00F35A26">
        <w:rPr>
          <w:color w:val="auto"/>
          <w:sz w:val="24"/>
          <w:szCs w:val="24"/>
          <w:lang w:eastAsia="en-US"/>
        </w:rPr>
        <w:fldChar w:fldCharType="end"/>
      </w:r>
      <w:r w:rsidRPr="00F35A26">
        <w:rPr>
          <w:color w:val="auto"/>
          <w:sz w:val="24"/>
          <w:szCs w:val="24"/>
          <w:lang w:eastAsia="en-US"/>
        </w:rPr>
        <w:t xml:space="preserve">. As I had the details of the incident, location and persons involved on the system I utilised the THRIVE model, which is described by </w:t>
      </w:r>
      <w:r w:rsidRPr="00F35A26">
        <w:rPr>
          <w:color w:val="auto"/>
          <w:sz w:val="24"/>
          <w:szCs w:val="24"/>
          <w:lang w:eastAsia="en-US"/>
        </w:rPr>
        <w:fldChar w:fldCharType="begin"/>
      </w:r>
      <w:r w:rsidRPr="00F35A26">
        <w:rPr>
          <w:color w:val="auto"/>
          <w:sz w:val="24"/>
          <w:szCs w:val="24"/>
          <w:lang w:eastAsia="en-US"/>
        </w:rPr>
        <w:instrText xml:space="preserve"> CITATION Her19 \l 2057 </w:instrText>
      </w:r>
      <w:r w:rsidRPr="00F35A26">
        <w:rPr>
          <w:color w:val="auto"/>
          <w:sz w:val="24"/>
          <w:szCs w:val="24"/>
          <w:lang w:eastAsia="en-US"/>
        </w:rPr>
        <w:fldChar w:fldCharType="separate"/>
      </w:r>
      <w:r w:rsidRPr="00F35A26">
        <w:rPr>
          <w:noProof/>
          <w:color w:val="auto"/>
          <w:sz w:val="24"/>
          <w:szCs w:val="24"/>
          <w:lang w:eastAsia="en-US"/>
        </w:rPr>
        <w:t>(Her Majesty’s Inspectorate of Constabulary and Fire &amp; Rescue Services, 2019)</w:t>
      </w:r>
      <w:r w:rsidRPr="00F35A26">
        <w:rPr>
          <w:color w:val="auto"/>
          <w:sz w:val="24"/>
          <w:szCs w:val="24"/>
          <w:lang w:eastAsia="en-US"/>
        </w:rPr>
        <w:fldChar w:fldCharType="end"/>
      </w:r>
      <w:r w:rsidRPr="00F35A26">
        <w:rPr>
          <w:color w:val="auto"/>
          <w:sz w:val="24"/>
          <w:szCs w:val="24"/>
          <w:lang w:eastAsia="en-US"/>
        </w:rPr>
        <w:t xml:space="preserve"> as a “</w:t>
      </w:r>
      <w:r w:rsidRPr="00F35A26">
        <w:rPr>
          <w:color w:val="282828"/>
          <w:sz w:val="24"/>
          <w:szCs w:val="24"/>
          <w:lang w:eastAsia="en-US"/>
        </w:rPr>
        <w:t>Risk assessment tool used by forces. It stands for Threat, Harm, Risk, Investigation opportunities, Vulnerability of the victim and the Engagement level required to resolve the issue.”</w:t>
      </w:r>
    </w:p>
    <w:p w14:paraId="543D6CB8" w14:textId="77777777"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282828"/>
          <w:sz w:val="24"/>
          <w:szCs w:val="24"/>
          <w:lang w:eastAsia="en-US"/>
        </w:rPr>
        <w:t>Considering this, I established that the first three elements would be low as the youth had left the area and had not returned. I focused secondly on the investigative opportunities which would be revealed by conducting further enquires. By contacting the victim, I would be able to determine their vulnerability while also gaining further information, enabling me to establish powers, policies, options and possible contingencies surrounding this call.</w:t>
      </w:r>
    </w:p>
    <w:p w14:paraId="5380B1E6" w14:textId="77777777"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282828"/>
          <w:sz w:val="24"/>
          <w:szCs w:val="24"/>
          <w:lang w:eastAsia="en-US"/>
        </w:rPr>
        <w:t xml:space="preserve">Initial contact with the victim was over the phone and as I was aware that they had previously been victim of anti-social behaviour as defined by </w:t>
      </w:r>
      <w:r w:rsidRPr="00F35A26">
        <w:rPr>
          <w:color w:val="282828"/>
          <w:sz w:val="24"/>
          <w:szCs w:val="24"/>
          <w:lang w:eastAsia="en-US"/>
        </w:rPr>
        <w:fldChar w:fldCharType="begin"/>
      </w:r>
      <w:r w:rsidRPr="00F35A26">
        <w:rPr>
          <w:color w:val="282828"/>
          <w:sz w:val="24"/>
          <w:szCs w:val="24"/>
          <w:lang w:eastAsia="en-US"/>
        </w:rPr>
        <w:instrText xml:space="preserve"> CITATION Ant14 \l 2057 </w:instrText>
      </w:r>
      <w:r w:rsidRPr="00F35A26">
        <w:rPr>
          <w:color w:val="282828"/>
          <w:sz w:val="24"/>
          <w:szCs w:val="24"/>
          <w:lang w:eastAsia="en-US"/>
        </w:rPr>
        <w:fldChar w:fldCharType="separate"/>
      </w:r>
      <w:r w:rsidRPr="00F35A26">
        <w:rPr>
          <w:noProof/>
          <w:color w:val="282828"/>
          <w:sz w:val="24"/>
          <w:szCs w:val="24"/>
          <w:lang w:eastAsia="en-US"/>
        </w:rPr>
        <w:t>(Anti-social Behaviour, Crime and Policing Act, 2014)</w:t>
      </w:r>
      <w:r w:rsidRPr="00F35A26">
        <w:rPr>
          <w:color w:val="282828"/>
          <w:sz w:val="24"/>
          <w:szCs w:val="24"/>
          <w:lang w:eastAsia="en-US"/>
        </w:rPr>
        <w:fldChar w:fldCharType="end"/>
      </w:r>
      <w:r w:rsidRPr="00F35A26">
        <w:rPr>
          <w:color w:val="282828"/>
          <w:sz w:val="24"/>
          <w:szCs w:val="24"/>
          <w:lang w:eastAsia="en-US"/>
        </w:rPr>
        <w:t xml:space="preserve">, I assured them that I understood what had been reported and empathised with the history surrounding the issue. I asked the victim open questions, allowing them to tell me what had happened. Throughout the call, I followed the LEAPS model </w:t>
      </w:r>
      <w:r w:rsidRPr="00F35A26">
        <w:rPr>
          <w:color w:val="282828"/>
          <w:sz w:val="24"/>
          <w:szCs w:val="24"/>
          <w:lang w:eastAsia="en-US"/>
        </w:rPr>
        <w:fldChar w:fldCharType="begin"/>
      </w:r>
      <w:r w:rsidRPr="00F35A26">
        <w:rPr>
          <w:color w:val="282828"/>
          <w:sz w:val="24"/>
          <w:szCs w:val="24"/>
          <w:lang w:eastAsia="en-US"/>
        </w:rPr>
        <w:instrText xml:space="preserve"> CITATION Gue12 \l 2057 </w:instrText>
      </w:r>
      <w:r w:rsidRPr="00F35A26">
        <w:rPr>
          <w:color w:val="282828"/>
          <w:sz w:val="24"/>
          <w:szCs w:val="24"/>
          <w:lang w:eastAsia="en-US"/>
        </w:rPr>
        <w:fldChar w:fldCharType="separate"/>
      </w:r>
      <w:r w:rsidRPr="00F35A26">
        <w:rPr>
          <w:noProof/>
          <w:color w:val="282828"/>
          <w:sz w:val="24"/>
          <w:szCs w:val="24"/>
          <w:lang w:eastAsia="en-US"/>
        </w:rPr>
        <w:t>(Guest relationships Blog, 2012)</w:t>
      </w:r>
      <w:r w:rsidRPr="00F35A26">
        <w:rPr>
          <w:color w:val="282828"/>
          <w:sz w:val="24"/>
          <w:szCs w:val="24"/>
          <w:lang w:eastAsia="en-US"/>
        </w:rPr>
        <w:fldChar w:fldCharType="end"/>
      </w:r>
      <w:r w:rsidRPr="00F35A26">
        <w:rPr>
          <w:color w:val="282828"/>
          <w:sz w:val="24"/>
          <w:szCs w:val="24"/>
          <w:lang w:eastAsia="en-US"/>
        </w:rPr>
        <w:t xml:space="preserve"> of active listening by providing verbal acknowledgements and asking questions based on points made throughout the call, paraphrasing the emotional impact that this had had on them and summarising towards the end of the call.  This built trust in me from the victim which contributed to the support that the victim provided. Victim support is essential during an investigation as ultimately, they provide the information and evidence that </w:t>
      </w:r>
      <w:r w:rsidRPr="00F35A26">
        <w:rPr>
          <w:color w:val="282828"/>
          <w:sz w:val="24"/>
          <w:szCs w:val="24"/>
          <w:lang w:eastAsia="en-US"/>
        </w:rPr>
        <w:lastRenderedPageBreak/>
        <w:t xml:space="preserve">we require for our investigations to have a positive outcome </w:t>
      </w:r>
      <w:r w:rsidRPr="00F35A26">
        <w:rPr>
          <w:color w:val="282828"/>
          <w:sz w:val="24"/>
          <w:szCs w:val="24"/>
          <w:lang w:eastAsia="en-US"/>
        </w:rPr>
        <w:fldChar w:fldCharType="begin"/>
      </w:r>
      <w:r w:rsidRPr="00F35A26">
        <w:rPr>
          <w:color w:val="282828"/>
          <w:sz w:val="24"/>
          <w:szCs w:val="24"/>
          <w:lang w:eastAsia="en-US"/>
        </w:rPr>
        <w:instrText xml:space="preserve"> CITATION Col19 \l 2057 </w:instrText>
      </w:r>
      <w:r w:rsidRPr="00F35A26">
        <w:rPr>
          <w:color w:val="282828"/>
          <w:sz w:val="24"/>
          <w:szCs w:val="24"/>
          <w:lang w:eastAsia="en-US"/>
        </w:rPr>
        <w:fldChar w:fldCharType="separate"/>
      </w:r>
      <w:r w:rsidRPr="00F35A26">
        <w:rPr>
          <w:noProof/>
          <w:color w:val="282828"/>
          <w:sz w:val="24"/>
          <w:szCs w:val="24"/>
          <w:lang w:eastAsia="en-US"/>
        </w:rPr>
        <w:t>(College of Policing , 2019)</w:t>
      </w:r>
      <w:r w:rsidRPr="00F35A26">
        <w:rPr>
          <w:color w:val="282828"/>
          <w:sz w:val="24"/>
          <w:szCs w:val="24"/>
          <w:lang w:eastAsia="en-US"/>
        </w:rPr>
        <w:fldChar w:fldCharType="end"/>
      </w:r>
      <w:r w:rsidRPr="00F35A26">
        <w:rPr>
          <w:color w:val="282828"/>
          <w:sz w:val="24"/>
          <w:szCs w:val="24"/>
          <w:lang w:eastAsia="en-US"/>
        </w:rPr>
        <w:t>.</w:t>
      </w:r>
    </w:p>
    <w:p w14:paraId="0B35A358" w14:textId="77777777"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282828"/>
          <w:sz w:val="24"/>
          <w:szCs w:val="24"/>
          <w:lang w:eastAsia="en-US"/>
        </w:rPr>
        <w:t xml:space="preserve">My conversation with the victim allowed me to establish the name of the suspect and highlighted an evidential opportunity, as he had CCTV that caught the incident. The account provided by the victim confirmed that he was a victim of Criminal damage as defined by section 1 of the Criminal Damage Act </w:t>
      </w:r>
      <w:r w:rsidRPr="00F35A26">
        <w:rPr>
          <w:color w:val="282828"/>
          <w:sz w:val="24"/>
          <w:szCs w:val="24"/>
          <w:lang w:eastAsia="en-US"/>
        </w:rPr>
        <w:fldChar w:fldCharType="begin"/>
      </w:r>
      <w:r w:rsidRPr="00F35A26">
        <w:rPr>
          <w:color w:val="282828"/>
          <w:sz w:val="24"/>
          <w:szCs w:val="24"/>
          <w:lang w:eastAsia="en-US"/>
        </w:rPr>
        <w:instrText xml:space="preserve"> CITATION Cri71 \l 2057 </w:instrText>
      </w:r>
      <w:r w:rsidRPr="00F35A26">
        <w:rPr>
          <w:color w:val="282828"/>
          <w:sz w:val="24"/>
          <w:szCs w:val="24"/>
          <w:lang w:eastAsia="en-US"/>
        </w:rPr>
        <w:fldChar w:fldCharType="separate"/>
      </w:r>
      <w:r w:rsidRPr="00F35A26">
        <w:rPr>
          <w:noProof/>
          <w:color w:val="282828"/>
          <w:sz w:val="24"/>
          <w:szCs w:val="24"/>
          <w:lang w:eastAsia="en-US"/>
        </w:rPr>
        <w:t>(Criminal Damage Act, 1971)</w:t>
      </w:r>
      <w:r w:rsidRPr="00F35A26">
        <w:rPr>
          <w:color w:val="282828"/>
          <w:sz w:val="24"/>
          <w:szCs w:val="24"/>
          <w:lang w:eastAsia="en-US"/>
        </w:rPr>
        <w:fldChar w:fldCharType="end"/>
      </w:r>
      <w:r w:rsidRPr="00F35A26">
        <w:rPr>
          <w:color w:val="282828"/>
          <w:sz w:val="24"/>
          <w:szCs w:val="24"/>
          <w:lang w:eastAsia="en-US"/>
        </w:rPr>
        <w:t xml:space="preserve"> and anti-social behaviour, as this had caused both him and his family alarm and distress as defined under section 2 (1) (a), (b) and (c) </w:t>
      </w:r>
      <w:r w:rsidRPr="00F35A26">
        <w:rPr>
          <w:color w:val="282828"/>
          <w:sz w:val="24"/>
          <w:szCs w:val="24"/>
          <w:lang w:eastAsia="en-US"/>
        </w:rPr>
        <w:fldChar w:fldCharType="begin"/>
      </w:r>
      <w:r w:rsidRPr="00F35A26">
        <w:rPr>
          <w:color w:val="282828"/>
          <w:sz w:val="24"/>
          <w:szCs w:val="24"/>
          <w:lang w:eastAsia="en-US"/>
        </w:rPr>
        <w:instrText xml:space="preserve"> CITATION Ant14 \l 2057 </w:instrText>
      </w:r>
      <w:r w:rsidRPr="00F35A26">
        <w:rPr>
          <w:color w:val="282828"/>
          <w:sz w:val="24"/>
          <w:szCs w:val="24"/>
          <w:lang w:eastAsia="en-US"/>
        </w:rPr>
        <w:fldChar w:fldCharType="separate"/>
      </w:r>
      <w:r w:rsidRPr="00F35A26">
        <w:rPr>
          <w:noProof/>
          <w:color w:val="282828"/>
          <w:sz w:val="24"/>
          <w:szCs w:val="24"/>
          <w:lang w:eastAsia="en-US"/>
        </w:rPr>
        <w:t>(Anti-social Behaviour, Crime and Policing Act, 2014)</w:t>
      </w:r>
      <w:r w:rsidRPr="00F35A26">
        <w:rPr>
          <w:color w:val="282828"/>
          <w:sz w:val="24"/>
          <w:szCs w:val="24"/>
          <w:lang w:eastAsia="en-US"/>
        </w:rPr>
        <w:fldChar w:fldCharType="end"/>
      </w:r>
      <w:r w:rsidRPr="00F35A26">
        <w:rPr>
          <w:color w:val="282828"/>
          <w:sz w:val="24"/>
          <w:szCs w:val="24"/>
          <w:lang w:eastAsia="en-US"/>
        </w:rPr>
        <w:t>.</w:t>
      </w:r>
    </w:p>
    <w:p w14:paraId="23C811D4" w14:textId="77777777"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282828"/>
          <w:sz w:val="24"/>
          <w:szCs w:val="24"/>
          <w:lang w:eastAsia="en-US"/>
        </w:rPr>
        <w:t xml:space="preserve">According to </w:t>
      </w:r>
      <w:r w:rsidRPr="00F35A26">
        <w:rPr>
          <w:color w:val="282828"/>
          <w:sz w:val="24"/>
          <w:szCs w:val="24"/>
          <w:lang w:eastAsia="en-US"/>
        </w:rPr>
        <w:fldChar w:fldCharType="begin"/>
      </w:r>
      <w:r w:rsidRPr="00F35A26">
        <w:rPr>
          <w:color w:val="282828"/>
          <w:sz w:val="24"/>
          <w:szCs w:val="24"/>
          <w:lang w:eastAsia="en-US"/>
        </w:rPr>
        <w:instrText xml:space="preserve">CITATION Inn14 \l 2057 </w:instrText>
      </w:r>
      <w:r w:rsidRPr="00F35A26">
        <w:rPr>
          <w:color w:val="282828"/>
          <w:sz w:val="24"/>
          <w:szCs w:val="24"/>
          <w:lang w:eastAsia="en-US"/>
        </w:rPr>
        <w:fldChar w:fldCharType="separate"/>
      </w:r>
      <w:r w:rsidRPr="00F35A26">
        <w:rPr>
          <w:noProof/>
          <w:color w:val="282828"/>
          <w:sz w:val="24"/>
          <w:szCs w:val="24"/>
          <w:lang w:eastAsia="en-US"/>
        </w:rPr>
        <w:t>(Innes, 2015)</w:t>
      </w:r>
      <w:r w:rsidRPr="00F35A26">
        <w:rPr>
          <w:color w:val="282828"/>
          <w:sz w:val="24"/>
          <w:szCs w:val="24"/>
          <w:lang w:eastAsia="en-US"/>
        </w:rPr>
        <w:fldChar w:fldCharType="end"/>
      </w:r>
      <w:r w:rsidRPr="00F35A26">
        <w:rPr>
          <w:color w:val="282828"/>
          <w:sz w:val="24"/>
          <w:szCs w:val="24"/>
          <w:lang w:eastAsia="en-US"/>
        </w:rPr>
        <w:t xml:space="preserve">, a signal crime is the perception by the local community that crime is getting worse in the area, based on the activity of low level crime. Innes’ work echoes that of </w:t>
      </w:r>
      <w:r w:rsidRPr="00F35A26">
        <w:rPr>
          <w:color w:val="282828"/>
          <w:sz w:val="24"/>
          <w:szCs w:val="24"/>
          <w:lang w:eastAsia="en-US"/>
        </w:rPr>
        <w:fldChar w:fldCharType="begin"/>
      </w:r>
      <w:r w:rsidRPr="00F35A26">
        <w:rPr>
          <w:color w:val="282828"/>
          <w:sz w:val="24"/>
          <w:szCs w:val="24"/>
          <w:lang w:eastAsia="en-US"/>
        </w:rPr>
        <w:instrText xml:space="preserve"> CITATION Wil82 \l 2057 </w:instrText>
      </w:r>
      <w:r w:rsidRPr="00F35A26">
        <w:rPr>
          <w:color w:val="282828"/>
          <w:sz w:val="24"/>
          <w:szCs w:val="24"/>
          <w:lang w:eastAsia="en-US"/>
        </w:rPr>
        <w:fldChar w:fldCharType="separate"/>
      </w:r>
      <w:r w:rsidRPr="00F35A26">
        <w:rPr>
          <w:noProof/>
          <w:color w:val="282828"/>
          <w:sz w:val="24"/>
          <w:szCs w:val="24"/>
          <w:lang w:eastAsia="en-US"/>
        </w:rPr>
        <w:t>(Wilson &amp; Kelling, 1982)</w:t>
      </w:r>
      <w:r w:rsidRPr="00F35A26">
        <w:rPr>
          <w:color w:val="282828"/>
          <w:sz w:val="24"/>
          <w:szCs w:val="24"/>
          <w:lang w:eastAsia="en-US"/>
        </w:rPr>
        <w:fldChar w:fldCharType="end"/>
      </w:r>
      <w:r w:rsidRPr="00F35A26">
        <w:rPr>
          <w:color w:val="282828"/>
          <w:sz w:val="24"/>
          <w:szCs w:val="24"/>
          <w:lang w:eastAsia="en-US"/>
        </w:rPr>
        <w:t xml:space="preserve"> Broken window theory, who found that “untended behaviour” led to a breakdown in control and also that “if a window in a building is broken and is left unrepaired, all the rest of the windows will soon be broken.”</w:t>
      </w:r>
    </w:p>
    <w:p w14:paraId="4D60C7F5" w14:textId="77777777" w:rsidR="00F35A26" w:rsidRPr="00F35A26" w:rsidRDefault="00F35A26" w:rsidP="00F35A26">
      <w:pPr>
        <w:overflowPunct/>
        <w:autoSpaceDE/>
        <w:autoSpaceDN/>
        <w:adjustRightInd/>
        <w:spacing w:after="160" w:line="360" w:lineRule="auto"/>
        <w:textAlignment w:val="auto"/>
        <w:rPr>
          <w:color w:val="282828"/>
          <w:sz w:val="24"/>
          <w:szCs w:val="24"/>
          <w:lang w:eastAsia="en-US"/>
        </w:rPr>
      </w:pPr>
      <w:r w:rsidRPr="00F35A26">
        <w:rPr>
          <w:color w:val="282828"/>
          <w:sz w:val="24"/>
          <w:szCs w:val="24"/>
          <w:lang w:eastAsia="en-US"/>
        </w:rPr>
        <w:t xml:space="preserve">The area in which this offence took place is often stereotyped locally as being a run down and troublesome area. Considering the damage caused to the door and electricity box, based on the above theories, this had the potential to have a negative impact on the local residents as well as the perception of them. </w:t>
      </w:r>
    </w:p>
    <w:p w14:paraId="14E3E8F5"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At this stage in the investigation I was able to combine all the information with the social and environmental factors, to decide what options were available to me, however, to confirm the correct course of action, I made the decision that I must exhaust all evidential opportunities. I had been attached to a separate call while dealing with this matter and upon my return to the station I recognised that it would not be appropriate for me to conduct house to house or CCTV enquiries due to the time of night. To ensure that this would be dealt with in a timely manner, I requested the assistance to the local Police Community Support officer to conduct these enquiries the following day in order for me to deal with this incident upon my return to duty. </w:t>
      </w:r>
    </w:p>
    <w:p w14:paraId="066CC883"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By briefing the PCSO, they were now aware of the behaviour in the area and going forward, they too would be able to conduct targeted patrols in the area, potentially </w:t>
      </w:r>
      <w:r w:rsidRPr="00F35A26">
        <w:rPr>
          <w:color w:val="auto"/>
          <w:sz w:val="24"/>
          <w:szCs w:val="24"/>
          <w:lang w:eastAsia="en-US"/>
        </w:rPr>
        <w:lastRenderedPageBreak/>
        <w:t xml:space="preserve">deterring anti-social behaviour and crime whilst reassuring the community that we are taking positive action </w:t>
      </w:r>
      <w:r w:rsidRPr="00F35A26">
        <w:rPr>
          <w:color w:val="auto"/>
          <w:sz w:val="24"/>
          <w:szCs w:val="24"/>
          <w:lang w:eastAsia="en-US"/>
        </w:rPr>
        <w:fldChar w:fldCharType="begin"/>
      </w:r>
      <w:r w:rsidRPr="00F35A26">
        <w:rPr>
          <w:color w:val="auto"/>
          <w:sz w:val="24"/>
          <w:szCs w:val="24"/>
          <w:lang w:eastAsia="en-US"/>
        </w:rPr>
        <w:instrText xml:space="preserve"> CITATION Fab18 \l 2057 </w:instrText>
      </w:r>
      <w:r w:rsidRPr="00F35A26">
        <w:rPr>
          <w:color w:val="auto"/>
          <w:sz w:val="24"/>
          <w:szCs w:val="24"/>
          <w:lang w:eastAsia="en-US"/>
        </w:rPr>
        <w:fldChar w:fldCharType="separate"/>
      </w:r>
      <w:r w:rsidRPr="00F35A26">
        <w:rPr>
          <w:noProof/>
          <w:color w:val="auto"/>
          <w:sz w:val="24"/>
          <w:szCs w:val="24"/>
          <w:lang w:eastAsia="en-US"/>
        </w:rPr>
        <w:t>(Faber, 2018)</w:t>
      </w:r>
      <w:r w:rsidRPr="00F35A26">
        <w:rPr>
          <w:color w:val="auto"/>
          <w:sz w:val="24"/>
          <w:szCs w:val="24"/>
          <w:lang w:eastAsia="en-US"/>
        </w:rPr>
        <w:fldChar w:fldCharType="end"/>
      </w:r>
      <w:r w:rsidRPr="00F35A26">
        <w:rPr>
          <w:color w:val="auto"/>
          <w:sz w:val="24"/>
          <w:szCs w:val="24"/>
          <w:lang w:eastAsia="en-US"/>
        </w:rPr>
        <w:t>.</w:t>
      </w:r>
    </w:p>
    <w:p w14:paraId="16550456"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process of targeted patrols would also be covered by the National intelligence model </w:t>
      </w:r>
      <w:r w:rsidRPr="00F35A26">
        <w:rPr>
          <w:color w:val="auto"/>
          <w:sz w:val="24"/>
          <w:szCs w:val="24"/>
          <w:lang w:eastAsia="en-US"/>
        </w:rPr>
        <w:fldChar w:fldCharType="begin"/>
      </w:r>
      <w:r w:rsidRPr="00F35A26">
        <w:rPr>
          <w:color w:val="auto"/>
          <w:sz w:val="24"/>
          <w:szCs w:val="24"/>
          <w:lang w:eastAsia="en-US"/>
        </w:rPr>
        <w:instrText xml:space="preserve"> CITATION Hom13 \l 2057 </w:instrText>
      </w:r>
      <w:r w:rsidRPr="00F35A26">
        <w:rPr>
          <w:color w:val="auto"/>
          <w:sz w:val="24"/>
          <w:szCs w:val="24"/>
          <w:lang w:eastAsia="en-US"/>
        </w:rPr>
        <w:fldChar w:fldCharType="separate"/>
      </w:r>
      <w:r w:rsidRPr="00F35A26">
        <w:rPr>
          <w:noProof/>
          <w:color w:val="auto"/>
          <w:sz w:val="24"/>
          <w:szCs w:val="24"/>
          <w:lang w:eastAsia="en-US"/>
        </w:rPr>
        <w:t>(Home Office, 2013)</w:t>
      </w:r>
      <w:r w:rsidRPr="00F35A26">
        <w:rPr>
          <w:color w:val="auto"/>
          <w:sz w:val="24"/>
          <w:szCs w:val="24"/>
          <w:lang w:eastAsia="en-US"/>
        </w:rPr>
        <w:fldChar w:fldCharType="end"/>
      </w:r>
      <w:r w:rsidRPr="00F35A26">
        <w:rPr>
          <w:color w:val="auto"/>
          <w:sz w:val="24"/>
          <w:szCs w:val="24"/>
          <w:lang w:eastAsia="en-US"/>
        </w:rPr>
        <w:t xml:space="preserve">, whereby evidence based policing uses statistics based on information and intelligence held, to accurately and appropriately deploy officers to specific areas at certain times to tackle and deter crime based on emerging patterns which assist informed predictions of how these are likely to progress. </w:t>
      </w:r>
    </w:p>
    <w:p w14:paraId="56941A4D"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Upon my return to duty, an email from the local PCSO informed me that they had conducted house to house enquiries and unfortunately no persons had seen the incident taking place, however, they had managed to obtain a copy of the CCTV and confirmed that they too had been able to identify the male suspect as the youth named by the victim. </w:t>
      </w:r>
    </w:p>
    <w:p w14:paraId="0AC1EB9F"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The footage showed the youth outside the property before going out of view towards the left, He re-emerged from the left, this time in the front garden. Due to the location of the camera, the male is seen approaching the front of the property before going out of shot, at this time a loud ‘thud’ noise could be heard before the youth was back in shot exiting the garden at speed towards the left of the property. Despite the footage putting the youth at the scene at the time of the incident, the offence itself was not captured. This, combined with the fact that only one collision noise could be heard, made it difficult to establish if his actions had caused the damage to the front door or the electricity box directly next to the door.</w:t>
      </w:r>
    </w:p>
    <w:p w14:paraId="4C78D89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attended the address of the victim after viewing the footage to discuss the options available to us and them going forward.</w:t>
      </w:r>
    </w:p>
    <w:p w14:paraId="531A5B5E"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Before my visit, I requested an authorised colleague to conduct checks using the Police National computer also known as PNC checks. A PNC check is used by authorised professionals to obtain details on an individual regarding their previous offences and warning markers, amongst other information </w:t>
      </w:r>
      <w:r w:rsidRPr="00F35A26">
        <w:rPr>
          <w:color w:val="auto"/>
          <w:sz w:val="24"/>
          <w:szCs w:val="24"/>
          <w:lang w:eastAsia="en-US"/>
        </w:rPr>
        <w:fldChar w:fldCharType="begin"/>
      </w:r>
      <w:r w:rsidRPr="00F35A26">
        <w:rPr>
          <w:color w:val="auto"/>
          <w:sz w:val="24"/>
          <w:szCs w:val="24"/>
          <w:lang w:eastAsia="en-US"/>
        </w:rPr>
        <w:instrText xml:space="preserve"> CITATION Hom14 \l 2057 </w:instrText>
      </w:r>
      <w:r w:rsidRPr="00F35A26">
        <w:rPr>
          <w:color w:val="auto"/>
          <w:sz w:val="24"/>
          <w:szCs w:val="24"/>
          <w:lang w:eastAsia="en-US"/>
        </w:rPr>
        <w:fldChar w:fldCharType="separate"/>
      </w:r>
      <w:r w:rsidRPr="00F35A26">
        <w:rPr>
          <w:noProof/>
          <w:color w:val="auto"/>
          <w:sz w:val="24"/>
          <w:szCs w:val="24"/>
          <w:lang w:eastAsia="en-US"/>
        </w:rPr>
        <w:t>(Home Office, 2014)</w:t>
      </w:r>
      <w:r w:rsidRPr="00F35A26">
        <w:rPr>
          <w:color w:val="auto"/>
          <w:sz w:val="24"/>
          <w:szCs w:val="24"/>
          <w:lang w:eastAsia="en-US"/>
        </w:rPr>
        <w:fldChar w:fldCharType="end"/>
      </w:r>
      <w:r w:rsidRPr="00F35A26">
        <w:rPr>
          <w:color w:val="auto"/>
          <w:sz w:val="24"/>
          <w:szCs w:val="24"/>
          <w:lang w:eastAsia="en-US"/>
        </w:rPr>
        <w:t xml:space="preserve">. In policing, a warning marker, is placed against a person’s name so that officers can make both dynamic and static risk assessments around an individual and their behaviour. An example of this would be that, if a person has assaulted a police officer, this warning marker would be placed against their name so that future </w:t>
      </w:r>
      <w:r w:rsidRPr="00F35A26">
        <w:rPr>
          <w:color w:val="auto"/>
          <w:sz w:val="24"/>
          <w:szCs w:val="24"/>
          <w:lang w:eastAsia="en-US"/>
        </w:rPr>
        <w:lastRenderedPageBreak/>
        <w:t xml:space="preserve">officers consider the risk to themselves when dealing with that individual in future. I made this request so that I could be aware of any warning markers we held on our system for him as well as past convictions. </w:t>
      </w:r>
    </w:p>
    <w:p w14:paraId="353013AB"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It was necessary for me to know of the suspect’s previous convictions as I was considering, whether he would be eligible for restorative justice. Restorative justice is a method used in policing in a bid to tackle crime in a less formal way, it gives the victim and offender a chance to both voice and hear the impact that the crime has had on the individual </w:t>
      </w:r>
      <w:r w:rsidRPr="00F35A26">
        <w:rPr>
          <w:color w:val="auto"/>
          <w:sz w:val="24"/>
          <w:szCs w:val="24"/>
          <w:lang w:eastAsia="en-US"/>
        </w:rPr>
        <w:fldChar w:fldCharType="begin"/>
      </w:r>
      <w:r w:rsidRPr="00F35A26">
        <w:rPr>
          <w:color w:val="auto"/>
          <w:sz w:val="24"/>
          <w:szCs w:val="24"/>
          <w:lang w:eastAsia="en-US"/>
        </w:rPr>
        <w:instrText xml:space="preserve"> CITATION Res16 \l 2057 </w:instrText>
      </w:r>
      <w:r w:rsidRPr="00F35A26">
        <w:rPr>
          <w:color w:val="auto"/>
          <w:sz w:val="24"/>
          <w:szCs w:val="24"/>
          <w:lang w:eastAsia="en-US"/>
        </w:rPr>
        <w:fldChar w:fldCharType="separate"/>
      </w:r>
      <w:r w:rsidRPr="00F35A26">
        <w:rPr>
          <w:noProof/>
          <w:color w:val="auto"/>
          <w:sz w:val="24"/>
          <w:szCs w:val="24"/>
          <w:lang w:eastAsia="en-US"/>
        </w:rPr>
        <w:t>(Restorative Justice Council, 2016)</w:t>
      </w:r>
      <w:r w:rsidRPr="00F35A26">
        <w:rPr>
          <w:color w:val="auto"/>
          <w:sz w:val="24"/>
          <w:szCs w:val="24"/>
          <w:lang w:eastAsia="en-US"/>
        </w:rPr>
        <w:fldChar w:fldCharType="end"/>
      </w:r>
      <w:r w:rsidRPr="00F35A26">
        <w:rPr>
          <w:color w:val="auto"/>
          <w:sz w:val="24"/>
          <w:szCs w:val="24"/>
          <w:lang w:eastAsia="en-US"/>
        </w:rPr>
        <w:t xml:space="preserve">. A person who has been dealt with using the restorative justice route will have the incident on their record but will not be arrested. If a person has been dealt with via restorative justice, they would not be eligible to be dealt with via this method for the next twelve months and would be dealt with via other means, should they commit offences. </w:t>
      </w:r>
    </w:p>
    <w:p w14:paraId="106F5DE4"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The checks came back with no warning markers and no previous criminal history. Restorative justice was now an option I was able to provide the victim with, while also confirming no known risks linked to the offender.</w:t>
      </w:r>
    </w:p>
    <w:p w14:paraId="1B71B458"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implications that a criminal record would have on the youth could potentially be detrimental to their future goals and aspirations, and, in accordance with </w:t>
      </w:r>
      <w:r w:rsidRPr="00F35A26">
        <w:rPr>
          <w:color w:val="auto"/>
          <w:sz w:val="24"/>
          <w:szCs w:val="24"/>
          <w:lang w:eastAsia="en-US"/>
        </w:rPr>
        <w:fldChar w:fldCharType="begin"/>
      </w:r>
      <w:r w:rsidRPr="00F35A26">
        <w:rPr>
          <w:color w:val="auto"/>
          <w:sz w:val="24"/>
          <w:szCs w:val="24"/>
          <w:lang w:eastAsia="en-US"/>
        </w:rPr>
        <w:instrText xml:space="preserve"> CITATION Uni90 \l 2057 </w:instrText>
      </w:r>
      <w:r w:rsidRPr="00F35A26">
        <w:rPr>
          <w:color w:val="auto"/>
          <w:sz w:val="24"/>
          <w:szCs w:val="24"/>
          <w:lang w:eastAsia="en-US"/>
        </w:rPr>
        <w:fldChar w:fldCharType="separate"/>
      </w:r>
      <w:r w:rsidRPr="00F35A26">
        <w:rPr>
          <w:noProof/>
          <w:color w:val="auto"/>
          <w:sz w:val="24"/>
          <w:szCs w:val="24"/>
          <w:lang w:eastAsia="en-US"/>
        </w:rPr>
        <w:t>(United Nations Human Rights office of the High Commisioner, 1990)</w:t>
      </w:r>
      <w:r w:rsidRPr="00F35A26">
        <w:rPr>
          <w:color w:val="auto"/>
          <w:sz w:val="24"/>
          <w:szCs w:val="24"/>
          <w:lang w:eastAsia="en-US"/>
        </w:rPr>
        <w:fldChar w:fldCharType="end"/>
      </w:r>
      <w:r w:rsidRPr="00F35A26">
        <w:rPr>
          <w:color w:val="auto"/>
          <w:sz w:val="24"/>
          <w:szCs w:val="24"/>
          <w:lang w:eastAsia="en-US"/>
        </w:rPr>
        <w:t>, the best interests of the child, a person below the age of eighteen, had to be a primary consideration.</w:t>
      </w:r>
    </w:p>
    <w:p w14:paraId="74205681"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Under article 37(b) of the </w:t>
      </w:r>
      <w:r w:rsidRPr="00F35A26">
        <w:rPr>
          <w:bCs/>
          <w:color w:val="303030"/>
          <w:sz w:val="24"/>
          <w:szCs w:val="24"/>
          <w:lang w:eastAsia="en-US"/>
        </w:rPr>
        <w:t xml:space="preserve">Convention on the Rights of the Child </w:t>
      </w:r>
      <w:r w:rsidRPr="00F35A26">
        <w:rPr>
          <w:bCs/>
          <w:color w:val="303030"/>
          <w:sz w:val="24"/>
          <w:szCs w:val="24"/>
          <w:lang w:eastAsia="en-US"/>
        </w:rPr>
        <w:fldChar w:fldCharType="begin"/>
      </w:r>
      <w:r w:rsidRPr="00F35A26">
        <w:rPr>
          <w:bCs/>
          <w:color w:val="303030"/>
          <w:sz w:val="24"/>
          <w:szCs w:val="24"/>
          <w:lang w:eastAsia="en-US"/>
        </w:rPr>
        <w:instrText xml:space="preserve"> CITATION Uni90 \l 2057 </w:instrText>
      </w:r>
      <w:r w:rsidRPr="00F35A26">
        <w:rPr>
          <w:bCs/>
          <w:color w:val="303030"/>
          <w:sz w:val="24"/>
          <w:szCs w:val="24"/>
          <w:lang w:eastAsia="en-US"/>
        </w:rPr>
        <w:fldChar w:fldCharType="separate"/>
      </w:r>
      <w:r w:rsidRPr="00F35A26">
        <w:rPr>
          <w:noProof/>
          <w:color w:val="303030"/>
          <w:sz w:val="24"/>
          <w:szCs w:val="24"/>
          <w:lang w:eastAsia="en-US"/>
        </w:rPr>
        <w:t>(United Nations Human Rights office of the High Commisioner, 1990)</w:t>
      </w:r>
      <w:r w:rsidRPr="00F35A26">
        <w:rPr>
          <w:bCs/>
          <w:color w:val="303030"/>
          <w:sz w:val="24"/>
          <w:szCs w:val="24"/>
          <w:lang w:eastAsia="en-US"/>
        </w:rPr>
        <w:fldChar w:fldCharType="end"/>
      </w:r>
      <w:r w:rsidRPr="00F35A26">
        <w:rPr>
          <w:bCs/>
          <w:color w:val="303030"/>
          <w:sz w:val="24"/>
          <w:szCs w:val="24"/>
          <w:lang w:eastAsia="en-US"/>
        </w:rPr>
        <w:t>, “</w:t>
      </w:r>
      <w:r w:rsidRPr="00F35A26">
        <w:rPr>
          <w:color w:val="auto"/>
          <w:sz w:val="24"/>
          <w:szCs w:val="24"/>
          <w:lang w:eastAsia="en-US"/>
        </w:rPr>
        <w:t>The arrest, detention or imprisonment of a child shall be in conformity with the law and shall be used only as a measure of last resort”.</w:t>
      </w:r>
    </w:p>
    <w:p w14:paraId="17A37818"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was of the belief that the arrest was not a viable option but would still provide the victim with the option of formal complaint, explaining that an arrest would not take place.</w:t>
      </w:r>
    </w:p>
    <w:p w14:paraId="7542F37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While at the victims home, they explained that their sibling had been murdered and as a result of his death they had installed CCTV on their property and felt vulnerable in their own home. Given this information, it is understandable that the incident that I was dealing with had caused them considerably more distress than it may have for </w:t>
      </w:r>
      <w:r w:rsidRPr="00F35A26">
        <w:rPr>
          <w:color w:val="auto"/>
          <w:sz w:val="24"/>
          <w:szCs w:val="24"/>
          <w:lang w:eastAsia="en-US"/>
        </w:rPr>
        <w:lastRenderedPageBreak/>
        <w:t xml:space="preserve">another person. I explained that although I could not relate to their loss and circumstances, I understood the impact that his death and this incident had had on them and reassured them that I would do what I could to help them. I asked the victim if they wished to be referred to Victim Focus which is a charity that we work closely with, that provide victims of crime with the support and resources during the investigation process, as well as providing after care once the incident is finalised </w:t>
      </w:r>
      <w:r w:rsidRPr="00F35A26">
        <w:rPr>
          <w:color w:val="auto"/>
          <w:sz w:val="24"/>
          <w:szCs w:val="24"/>
          <w:lang w:eastAsia="en-US"/>
        </w:rPr>
        <w:fldChar w:fldCharType="begin"/>
      </w:r>
      <w:r w:rsidRPr="00F35A26">
        <w:rPr>
          <w:color w:val="auto"/>
          <w:sz w:val="24"/>
          <w:szCs w:val="24"/>
          <w:lang w:eastAsia="en-US"/>
        </w:rPr>
        <w:instrText xml:space="preserve"> CITATION Sou16 \l 2057 </w:instrText>
      </w:r>
      <w:r w:rsidRPr="00F35A26">
        <w:rPr>
          <w:color w:val="auto"/>
          <w:sz w:val="24"/>
          <w:szCs w:val="24"/>
          <w:lang w:eastAsia="en-US"/>
        </w:rPr>
        <w:fldChar w:fldCharType="separate"/>
      </w:r>
      <w:r w:rsidRPr="00F35A26">
        <w:rPr>
          <w:noProof/>
          <w:color w:val="auto"/>
          <w:sz w:val="24"/>
          <w:szCs w:val="24"/>
          <w:lang w:eastAsia="en-US"/>
        </w:rPr>
        <w:t>(South Wales Victim Focus, 2016)</w:t>
      </w:r>
      <w:r w:rsidRPr="00F35A26">
        <w:rPr>
          <w:color w:val="auto"/>
          <w:sz w:val="24"/>
          <w:szCs w:val="24"/>
          <w:lang w:eastAsia="en-US"/>
        </w:rPr>
        <w:fldChar w:fldCharType="end"/>
      </w:r>
      <w:r w:rsidRPr="00F35A26">
        <w:rPr>
          <w:color w:val="auto"/>
          <w:sz w:val="24"/>
          <w:szCs w:val="24"/>
          <w:lang w:eastAsia="en-US"/>
        </w:rPr>
        <w:t>.</w:t>
      </w:r>
    </w:p>
    <w:p w14:paraId="24838975"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The victim stated that they did not wish to be referred for this service. As consent is required to pass on their details, I confirmed that I would respect their wishes, but should they change their mind, this would be an option of support that they could accept.</w:t>
      </w:r>
    </w:p>
    <w:p w14:paraId="653D03FA"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The victim informed me that a footprint had been left on the front door after the incident, but was washed away the same night due to the rain and although he explained that the handle now stayed up after being lifted but was still able to use the locking mechanism as normal. The victim explained that due to the footprint, he was satisfied that this was that cause of the noise heard on the CCTV and could not account for how the electricity box had been damaged and confirmed that there was no footage in relation to this. </w:t>
      </w:r>
    </w:p>
    <w:p w14:paraId="70CE69AE"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explained to the Victim that as the necessity criteria </w:t>
      </w:r>
      <w:r w:rsidRPr="00F35A26">
        <w:rPr>
          <w:color w:val="auto"/>
          <w:sz w:val="24"/>
          <w:szCs w:val="24"/>
          <w:lang w:eastAsia="en-US"/>
        </w:rPr>
        <w:fldChar w:fldCharType="begin"/>
      </w:r>
      <w:r w:rsidRPr="00F35A26">
        <w:rPr>
          <w:color w:val="auto"/>
          <w:sz w:val="24"/>
          <w:szCs w:val="24"/>
          <w:lang w:eastAsia="en-US"/>
        </w:rPr>
        <w:instrText xml:space="preserve"> CITATION Pol84 \l 2057 </w:instrText>
      </w:r>
      <w:r w:rsidRPr="00F35A26">
        <w:rPr>
          <w:color w:val="auto"/>
          <w:sz w:val="24"/>
          <w:szCs w:val="24"/>
          <w:lang w:eastAsia="en-US"/>
        </w:rPr>
        <w:fldChar w:fldCharType="separate"/>
      </w:r>
      <w:r w:rsidRPr="00F35A26">
        <w:rPr>
          <w:noProof/>
          <w:color w:val="auto"/>
          <w:sz w:val="24"/>
          <w:szCs w:val="24"/>
          <w:lang w:eastAsia="en-US"/>
        </w:rPr>
        <w:t>(Police and Criminal Evidence Act, 1984)</w:t>
      </w:r>
      <w:r w:rsidRPr="00F35A26">
        <w:rPr>
          <w:color w:val="auto"/>
          <w:sz w:val="24"/>
          <w:szCs w:val="24"/>
          <w:lang w:eastAsia="en-US"/>
        </w:rPr>
        <w:fldChar w:fldCharType="end"/>
      </w:r>
      <w:r w:rsidRPr="00F35A26">
        <w:rPr>
          <w:color w:val="auto"/>
          <w:sz w:val="24"/>
          <w:szCs w:val="24"/>
          <w:lang w:eastAsia="en-US"/>
        </w:rPr>
        <w:t xml:space="preserve"> to arrest the youth had not been met, he had the choice to complete a victim statement and I would ask the youth to complete a voluntary attendance interview or he could sign my Police issued electronic pocket notebook confirming that he wished for this to be dealt with via restorative justice. After explaining to the victim what Restorative justice was, they believed that this would be the more appropriate course of action considering the youth’s age and the minimal damage. </w:t>
      </w:r>
    </w:p>
    <w:p w14:paraId="39B92C93"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agreed that once I had discussed this incident with the offender in company with an appropriate adult, I would update the victim. This was offered both out of courtesy and in compliance with the victim’s code of practice </w:t>
      </w:r>
      <w:r w:rsidRPr="00F35A26">
        <w:rPr>
          <w:color w:val="auto"/>
          <w:sz w:val="24"/>
          <w:szCs w:val="24"/>
          <w:lang w:eastAsia="en-US"/>
        </w:rPr>
        <w:fldChar w:fldCharType="begin"/>
      </w:r>
      <w:r w:rsidRPr="00F35A26">
        <w:rPr>
          <w:color w:val="auto"/>
          <w:sz w:val="24"/>
          <w:szCs w:val="24"/>
          <w:lang w:eastAsia="en-US"/>
        </w:rPr>
        <w:instrText xml:space="preserve"> CITATION Min15 \l 2057 </w:instrText>
      </w:r>
      <w:r w:rsidRPr="00F35A26">
        <w:rPr>
          <w:color w:val="auto"/>
          <w:sz w:val="24"/>
          <w:szCs w:val="24"/>
          <w:lang w:eastAsia="en-US"/>
        </w:rPr>
        <w:fldChar w:fldCharType="separate"/>
      </w:r>
      <w:r w:rsidRPr="00F35A26">
        <w:rPr>
          <w:noProof/>
          <w:color w:val="auto"/>
          <w:sz w:val="24"/>
          <w:szCs w:val="24"/>
          <w:lang w:eastAsia="en-US"/>
        </w:rPr>
        <w:t>(Ministry of Justice, 2015)</w:t>
      </w:r>
      <w:r w:rsidRPr="00F35A26">
        <w:rPr>
          <w:color w:val="auto"/>
          <w:sz w:val="24"/>
          <w:szCs w:val="24"/>
          <w:lang w:eastAsia="en-US"/>
        </w:rPr>
        <w:fldChar w:fldCharType="end"/>
      </w:r>
      <w:r w:rsidRPr="00F35A26">
        <w:rPr>
          <w:color w:val="auto"/>
          <w:sz w:val="24"/>
          <w:szCs w:val="24"/>
          <w:lang w:eastAsia="en-US"/>
        </w:rPr>
        <w:t>.</w:t>
      </w:r>
    </w:p>
    <w:p w14:paraId="0FEFE0B1"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 attended at the care home where the youth was residing, to implement the second part of the restorative justice phase, which would be discussing the incident with the youth in company with his support worker to act as an appropriate adult. </w:t>
      </w:r>
    </w:p>
    <w:p w14:paraId="008B9F40"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lastRenderedPageBreak/>
        <w:t xml:space="preserve">An appropriate adult is defined under section 63 B of the Police and Criminal evidence Act 1984, which lists who may and may not act as an appropriate adult </w:t>
      </w:r>
      <w:r w:rsidRPr="00F35A26">
        <w:rPr>
          <w:color w:val="auto"/>
          <w:sz w:val="24"/>
          <w:szCs w:val="24"/>
          <w:lang w:eastAsia="en-US"/>
        </w:rPr>
        <w:fldChar w:fldCharType="begin"/>
      </w:r>
      <w:r w:rsidRPr="00F35A26">
        <w:rPr>
          <w:color w:val="auto"/>
          <w:sz w:val="24"/>
          <w:szCs w:val="24"/>
          <w:lang w:eastAsia="en-US"/>
        </w:rPr>
        <w:instrText xml:space="preserve"> CITATION You14 \l 2057 </w:instrText>
      </w:r>
      <w:r w:rsidRPr="00F35A26">
        <w:rPr>
          <w:color w:val="auto"/>
          <w:sz w:val="24"/>
          <w:szCs w:val="24"/>
          <w:lang w:eastAsia="en-US"/>
        </w:rPr>
        <w:fldChar w:fldCharType="separate"/>
      </w:r>
      <w:r w:rsidRPr="00F35A26">
        <w:rPr>
          <w:noProof/>
          <w:color w:val="auto"/>
          <w:sz w:val="24"/>
          <w:szCs w:val="24"/>
          <w:lang w:eastAsia="en-US"/>
        </w:rPr>
        <w:t>(Youth Justice Board for England and Wales, 2014)</w:t>
      </w:r>
      <w:r w:rsidRPr="00F35A26">
        <w:rPr>
          <w:color w:val="auto"/>
          <w:sz w:val="24"/>
          <w:szCs w:val="24"/>
          <w:lang w:eastAsia="en-US"/>
        </w:rPr>
        <w:fldChar w:fldCharType="end"/>
      </w:r>
      <w:r w:rsidRPr="00F35A26">
        <w:rPr>
          <w:color w:val="auto"/>
          <w:sz w:val="24"/>
          <w:szCs w:val="24"/>
          <w:lang w:eastAsia="en-US"/>
        </w:rPr>
        <w:t>.</w:t>
      </w:r>
    </w:p>
    <w:p w14:paraId="07690F87"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By having the support worker present, I was able to inform them of this incident, in turn, allowing them to put measures in place to assist him in future care plans.</w:t>
      </w:r>
    </w:p>
    <w:p w14:paraId="64856723" w14:textId="77777777" w:rsidR="00F35A26" w:rsidRPr="00F35A26" w:rsidRDefault="00F35A26" w:rsidP="00F35A26">
      <w:pPr>
        <w:tabs>
          <w:tab w:val="left" w:pos="7230"/>
        </w:tabs>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It has been said that Problem oriented policing works well, as a range of interventions would have a larger impact than one single course of action (Goldstein cited in </w:t>
      </w:r>
      <w:r w:rsidRPr="00F35A26">
        <w:rPr>
          <w:color w:val="auto"/>
          <w:sz w:val="24"/>
          <w:szCs w:val="24"/>
          <w:lang w:eastAsia="en-US"/>
        </w:rPr>
        <w:fldChar w:fldCharType="begin"/>
      </w:r>
      <w:r w:rsidRPr="00F35A26">
        <w:rPr>
          <w:color w:val="auto"/>
          <w:sz w:val="24"/>
          <w:szCs w:val="24"/>
          <w:lang w:eastAsia="en-US"/>
        </w:rPr>
        <w:instrText xml:space="preserve"> CITATION Bul12 \l 2057 </w:instrText>
      </w:r>
      <w:r w:rsidRPr="00F35A26">
        <w:rPr>
          <w:color w:val="auto"/>
          <w:sz w:val="24"/>
          <w:szCs w:val="24"/>
          <w:lang w:eastAsia="en-US"/>
        </w:rPr>
        <w:fldChar w:fldCharType="separate"/>
      </w:r>
      <w:r w:rsidRPr="00F35A26">
        <w:rPr>
          <w:noProof/>
          <w:color w:val="auto"/>
          <w:sz w:val="24"/>
          <w:szCs w:val="24"/>
          <w:lang w:eastAsia="en-US"/>
        </w:rPr>
        <w:t>(Bullock, et al., 2012)</w:t>
      </w:r>
      <w:r w:rsidRPr="00F35A26">
        <w:rPr>
          <w:color w:val="auto"/>
          <w:sz w:val="24"/>
          <w:szCs w:val="24"/>
          <w:lang w:eastAsia="en-US"/>
        </w:rPr>
        <w:fldChar w:fldCharType="end"/>
      </w:r>
      <w:r w:rsidRPr="00F35A26">
        <w:rPr>
          <w:color w:val="auto"/>
          <w:sz w:val="24"/>
          <w:szCs w:val="24"/>
          <w:lang w:eastAsia="en-US"/>
        </w:rPr>
        <w:t xml:space="preserve">. Bullock et al. goes on to explain the a multi-agency approach, used in conjunction with the SARA model (Eck and Spellman 1987 cited in </w:t>
      </w:r>
      <w:r w:rsidRPr="00F35A26">
        <w:rPr>
          <w:color w:val="auto"/>
          <w:sz w:val="24"/>
          <w:szCs w:val="24"/>
          <w:lang w:eastAsia="en-US"/>
        </w:rPr>
        <w:fldChar w:fldCharType="begin"/>
      </w:r>
      <w:r w:rsidRPr="00F35A26">
        <w:rPr>
          <w:color w:val="auto"/>
          <w:sz w:val="24"/>
          <w:szCs w:val="24"/>
          <w:lang w:eastAsia="en-US"/>
        </w:rPr>
        <w:instrText xml:space="preserve"> CITATION Bul12 \l 2057 </w:instrText>
      </w:r>
      <w:r w:rsidRPr="00F35A26">
        <w:rPr>
          <w:color w:val="auto"/>
          <w:sz w:val="24"/>
          <w:szCs w:val="24"/>
          <w:lang w:eastAsia="en-US"/>
        </w:rPr>
        <w:fldChar w:fldCharType="separate"/>
      </w:r>
      <w:r w:rsidRPr="00F35A26">
        <w:rPr>
          <w:noProof/>
          <w:color w:val="auto"/>
          <w:sz w:val="24"/>
          <w:szCs w:val="24"/>
          <w:lang w:eastAsia="en-US"/>
        </w:rPr>
        <w:t>(Bullock, et al., 2012)</w:t>
      </w:r>
      <w:r w:rsidRPr="00F35A26">
        <w:rPr>
          <w:color w:val="auto"/>
          <w:sz w:val="24"/>
          <w:szCs w:val="24"/>
          <w:lang w:eastAsia="en-US"/>
        </w:rPr>
        <w:fldChar w:fldCharType="end"/>
      </w:r>
      <w:r w:rsidRPr="00F35A26">
        <w:rPr>
          <w:color w:val="auto"/>
          <w:sz w:val="24"/>
          <w:szCs w:val="24"/>
          <w:lang w:eastAsia="en-US"/>
        </w:rPr>
        <w:t xml:space="preserve"> assists in building a more accurate insight during the national intelligence model cycle, thus directing the police service where needed, with both the help and guidance of other agencies. </w:t>
      </w:r>
    </w:p>
    <w:p w14:paraId="6CD29ECA"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Initially, the youth offender was very defensive and denied the being involved in the incident, however, once I explained that he had been identified by two people and captured on CCTV, he admitted the offence and accepted responsibility. As the victim did not wish to have an apology, no further action was taken other than words of advice and an explanation as to what restorative justice is. By the end of the call, I had built rapport with the male which I believe would provide him with a more positive perception of the police, a point which is confirmed by </w:t>
      </w:r>
      <w:r w:rsidRPr="00F35A26">
        <w:rPr>
          <w:color w:val="auto"/>
          <w:sz w:val="24"/>
          <w:szCs w:val="24"/>
          <w:lang w:eastAsia="en-US"/>
        </w:rPr>
        <w:fldChar w:fldCharType="begin"/>
      </w:r>
      <w:r w:rsidRPr="00F35A26">
        <w:rPr>
          <w:color w:val="auto"/>
          <w:sz w:val="24"/>
          <w:szCs w:val="24"/>
          <w:lang w:eastAsia="en-US"/>
        </w:rPr>
        <w:instrText xml:space="preserve"> CITATION Nor09 \l 2057 </w:instrText>
      </w:r>
      <w:r w:rsidRPr="00F35A26">
        <w:rPr>
          <w:color w:val="auto"/>
          <w:sz w:val="24"/>
          <w:szCs w:val="24"/>
          <w:lang w:eastAsia="en-US"/>
        </w:rPr>
        <w:fldChar w:fldCharType="separate"/>
      </w:r>
      <w:r w:rsidRPr="00F35A26">
        <w:rPr>
          <w:noProof/>
          <w:color w:val="auto"/>
          <w:sz w:val="24"/>
          <w:szCs w:val="24"/>
          <w:lang w:eastAsia="en-US"/>
        </w:rPr>
        <w:t>(Norman, 2009)</w:t>
      </w:r>
      <w:r w:rsidRPr="00F35A26">
        <w:rPr>
          <w:color w:val="auto"/>
          <w:sz w:val="24"/>
          <w:szCs w:val="24"/>
          <w:lang w:eastAsia="en-US"/>
        </w:rPr>
        <w:fldChar w:fldCharType="end"/>
      </w:r>
      <w:r w:rsidRPr="00F35A26">
        <w:rPr>
          <w:color w:val="auto"/>
          <w:sz w:val="24"/>
          <w:szCs w:val="24"/>
          <w:lang w:eastAsia="en-US"/>
        </w:rPr>
        <w:t xml:space="preserve">, hopefully ensuring future compliance from him should me or my colleagues have to deal with him for any reason. </w:t>
      </w:r>
    </w:p>
    <w:p w14:paraId="67229149"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 xml:space="preserve">Throughout this incident I ensured that I recorded all actions considered, discussed and taken, retaining the electronic documentation signed by both the victim, offender and appropriate adult, in compliance with the Criminal Procedure and Investigations Act 1996 </w:t>
      </w:r>
      <w:r w:rsidRPr="00F35A26">
        <w:rPr>
          <w:color w:val="auto"/>
          <w:sz w:val="24"/>
          <w:szCs w:val="24"/>
          <w:lang w:eastAsia="en-US"/>
        </w:rPr>
        <w:fldChar w:fldCharType="begin"/>
      </w:r>
      <w:r w:rsidRPr="00F35A26">
        <w:rPr>
          <w:color w:val="auto"/>
          <w:sz w:val="24"/>
          <w:szCs w:val="24"/>
          <w:lang w:eastAsia="en-US"/>
        </w:rPr>
        <w:instrText xml:space="preserve"> CITATION Min152 \l 2057 </w:instrText>
      </w:r>
      <w:r w:rsidRPr="00F35A26">
        <w:rPr>
          <w:color w:val="auto"/>
          <w:sz w:val="24"/>
          <w:szCs w:val="24"/>
          <w:lang w:eastAsia="en-US"/>
        </w:rPr>
        <w:fldChar w:fldCharType="separate"/>
      </w:r>
      <w:r w:rsidRPr="00F35A26">
        <w:rPr>
          <w:noProof/>
          <w:color w:val="auto"/>
          <w:sz w:val="24"/>
          <w:szCs w:val="24"/>
          <w:lang w:eastAsia="en-US"/>
        </w:rPr>
        <w:t>(Minstry of Justice, 2015)</w:t>
      </w:r>
      <w:r w:rsidRPr="00F35A26">
        <w:rPr>
          <w:color w:val="auto"/>
          <w:sz w:val="24"/>
          <w:szCs w:val="24"/>
          <w:lang w:eastAsia="en-US"/>
        </w:rPr>
        <w:fldChar w:fldCharType="end"/>
      </w:r>
      <w:r w:rsidRPr="00F35A26">
        <w:rPr>
          <w:color w:val="auto"/>
          <w:sz w:val="24"/>
          <w:szCs w:val="24"/>
          <w:lang w:eastAsia="en-US"/>
        </w:rPr>
        <w:t>.</w:t>
      </w:r>
    </w:p>
    <w:p w14:paraId="342C788F" w14:textId="77777777" w:rsidR="00F35A26" w:rsidRPr="00F35A26" w:rsidRDefault="00F35A26" w:rsidP="00F35A26">
      <w:pPr>
        <w:overflowPunct/>
        <w:autoSpaceDE/>
        <w:autoSpaceDN/>
        <w:adjustRightInd/>
        <w:spacing w:after="160" w:line="360" w:lineRule="auto"/>
        <w:textAlignment w:val="auto"/>
        <w:rPr>
          <w:color w:val="auto"/>
          <w:sz w:val="24"/>
          <w:szCs w:val="24"/>
          <w:lang w:eastAsia="en-US"/>
        </w:rPr>
      </w:pPr>
      <w:r w:rsidRPr="00F35A26">
        <w:rPr>
          <w:color w:val="auto"/>
          <w:sz w:val="24"/>
          <w:szCs w:val="24"/>
          <w:lang w:eastAsia="en-US"/>
        </w:rPr>
        <w:t>I will be concluding this work by using Gibbs’ (1988 cited in</w:t>
      </w:r>
      <w:r w:rsidRPr="00F35A26">
        <w:rPr>
          <w:color w:val="auto"/>
          <w:sz w:val="24"/>
          <w:szCs w:val="24"/>
          <w:lang w:eastAsia="en-US"/>
        </w:rPr>
        <w:fldChar w:fldCharType="begin"/>
      </w:r>
      <w:r w:rsidRPr="00F35A26">
        <w:rPr>
          <w:color w:val="auto"/>
          <w:sz w:val="24"/>
          <w:szCs w:val="24"/>
          <w:lang w:eastAsia="en-US"/>
        </w:rPr>
        <w:instrText xml:space="preserve"> CITATION The19 \l 2057 </w:instrText>
      </w:r>
      <w:r w:rsidRPr="00F35A26">
        <w:rPr>
          <w:color w:val="auto"/>
          <w:sz w:val="24"/>
          <w:szCs w:val="24"/>
          <w:lang w:eastAsia="en-US"/>
        </w:rPr>
        <w:fldChar w:fldCharType="separate"/>
      </w:r>
      <w:r w:rsidRPr="00F35A26">
        <w:rPr>
          <w:noProof/>
          <w:color w:val="auto"/>
          <w:sz w:val="24"/>
          <w:szCs w:val="24"/>
          <w:lang w:eastAsia="en-US"/>
        </w:rPr>
        <w:t xml:space="preserve"> (The University of Edinburgh, 2019)</w:t>
      </w:r>
      <w:r w:rsidRPr="00F35A26">
        <w:rPr>
          <w:color w:val="auto"/>
          <w:sz w:val="24"/>
          <w:szCs w:val="24"/>
          <w:lang w:eastAsia="en-US"/>
        </w:rPr>
        <w:fldChar w:fldCharType="end"/>
      </w:r>
      <w:r w:rsidRPr="00F35A26">
        <w:rPr>
          <w:color w:val="auto"/>
          <w:sz w:val="24"/>
          <w:szCs w:val="24"/>
          <w:lang w:eastAsia="en-US"/>
        </w:rPr>
        <w:t xml:space="preserve"> reflective cycle to analyse the way in which I dealt with this incident. Throughout dealing with this incident I felt confident in my ability to establish offences and disposal methods by utilising the NDM throughout. I was careful to treat all parties with respect and courtesy, using integrity in accordance with the code of ethics. With hindsight, I could have conducted evidential enquiries sooner, however I </w:t>
      </w:r>
      <w:r w:rsidRPr="00F35A26">
        <w:rPr>
          <w:color w:val="auto"/>
          <w:sz w:val="24"/>
          <w:szCs w:val="24"/>
          <w:lang w:eastAsia="en-US"/>
        </w:rPr>
        <w:lastRenderedPageBreak/>
        <w:t xml:space="preserve">would counter-argue this due to the nature of my role as a response officer, timings were out of my control on this occasion. Going forward I would request advice from colleagues and supervisors regarding areas I am uncertain of instead of allowing myself to ponder on subjects, creating anxiety and worry as I did while considering the appropriate disposal method. I was of the opinion that Restorative justice was the best outcome for the youth, while still adhering to the victims’ needs, however I was aware that ultimately the decision had to be that of the victim. Overall, I would handle similar calls with the same approach, taking advice from colleagues sooner and having more confidence in my decision making. </w:t>
      </w:r>
    </w:p>
    <w:p w14:paraId="2919D407" w14:textId="77777777" w:rsidR="00F35A26" w:rsidRPr="00F35A26" w:rsidRDefault="00F35A26" w:rsidP="00F35A26">
      <w:pPr>
        <w:overflowPunct/>
        <w:autoSpaceDE/>
        <w:autoSpaceDN/>
        <w:adjustRightInd/>
        <w:spacing w:after="160" w:line="360" w:lineRule="auto"/>
        <w:textAlignment w:val="auto"/>
        <w:rPr>
          <w:b/>
          <w:color w:val="auto"/>
          <w:sz w:val="24"/>
          <w:szCs w:val="24"/>
          <w:lang w:eastAsia="en-US"/>
        </w:rPr>
      </w:pPr>
      <w:r w:rsidRPr="00F35A26">
        <w:rPr>
          <w:b/>
          <w:color w:val="auto"/>
          <w:sz w:val="24"/>
          <w:szCs w:val="24"/>
          <w:lang w:eastAsia="en-US"/>
        </w:rPr>
        <w:t>Word Count: 2596 words.</w:t>
      </w:r>
    </w:p>
    <w:p w14:paraId="740D2DD7" w14:textId="77777777" w:rsidR="00F35A26" w:rsidRPr="00F35A26" w:rsidRDefault="00F35A26" w:rsidP="00F35A26">
      <w:pPr>
        <w:overflowPunct/>
        <w:autoSpaceDE/>
        <w:autoSpaceDN/>
        <w:adjustRightInd/>
        <w:spacing w:after="160" w:line="259" w:lineRule="auto"/>
        <w:textAlignment w:val="auto"/>
        <w:rPr>
          <w:b/>
          <w:color w:val="auto"/>
          <w:sz w:val="24"/>
          <w:szCs w:val="24"/>
          <w:lang w:eastAsia="en-US"/>
        </w:rPr>
      </w:pPr>
      <w:r w:rsidRPr="00F35A26">
        <w:rPr>
          <w:b/>
          <w:color w:val="auto"/>
          <w:sz w:val="24"/>
          <w:szCs w:val="24"/>
          <w:lang w:eastAsia="en-US"/>
        </w:rPr>
        <w:t>Reference list.</w:t>
      </w:r>
    </w:p>
    <w:p w14:paraId="38A47D3A"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4"/>
          <w:szCs w:val="24"/>
          <w:lang w:eastAsia="en-US"/>
        </w:rPr>
      </w:pPr>
      <w:r w:rsidRPr="00F35A26">
        <w:rPr>
          <w:b/>
          <w:color w:val="auto"/>
          <w:sz w:val="24"/>
          <w:szCs w:val="24"/>
          <w:lang w:eastAsia="en-US"/>
        </w:rPr>
        <w:fldChar w:fldCharType="begin"/>
      </w:r>
      <w:r w:rsidRPr="00F35A26">
        <w:rPr>
          <w:b/>
          <w:color w:val="auto"/>
          <w:sz w:val="24"/>
          <w:szCs w:val="24"/>
          <w:lang w:eastAsia="en-US"/>
        </w:rPr>
        <w:instrText xml:space="preserve"> BIBLIOGRAPHY  \l 2057 </w:instrText>
      </w:r>
      <w:r w:rsidRPr="00F35A26">
        <w:rPr>
          <w:b/>
          <w:color w:val="auto"/>
          <w:sz w:val="24"/>
          <w:szCs w:val="24"/>
          <w:lang w:eastAsia="en-US"/>
        </w:rPr>
        <w:fldChar w:fldCharType="separate"/>
      </w:r>
      <w:r w:rsidRPr="00F35A26">
        <w:rPr>
          <w:rFonts w:asciiTheme="minorHAnsi" w:hAnsiTheme="minorHAnsi" w:cs="Times New Roman"/>
          <w:noProof/>
          <w:color w:val="auto"/>
          <w:sz w:val="22"/>
          <w:szCs w:val="22"/>
          <w:lang w:eastAsia="en-US"/>
        </w:rPr>
        <w:t xml:space="preserve">Anti-social Behaviour, Crime and Policing Act, 2014. </w:t>
      </w:r>
      <w:r w:rsidRPr="00F35A26">
        <w:rPr>
          <w:rFonts w:asciiTheme="minorHAnsi" w:hAnsiTheme="minorHAnsi" w:cs="Times New Roman"/>
          <w:i/>
          <w:iCs/>
          <w:noProof/>
          <w:color w:val="auto"/>
          <w:sz w:val="22"/>
          <w:szCs w:val="22"/>
          <w:lang w:eastAsia="en-US"/>
        </w:rPr>
        <w:t xml:space="preserve">Anti-social Behaviour, Crime and Policing Act 2014.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http://www.legislation.gov.uk/ukpga/2014/12/section/2/enacted</w:t>
      </w:r>
      <w:r w:rsidRPr="00F35A26">
        <w:rPr>
          <w:rFonts w:asciiTheme="minorHAnsi" w:hAnsiTheme="minorHAnsi" w:cs="Times New Roman"/>
          <w:noProof/>
          <w:color w:val="auto"/>
          <w:sz w:val="22"/>
          <w:szCs w:val="22"/>
          <w:lang w:eastAsia="en-US"/>
        </w:rPr>
        <w:br/>
        <w:t>[Accessed 16 01 2020].</w:t>
      </w:r>
    </w:p>
    <w:p w14:paraId="1964F81C"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Bullock, K., Erol, R. &amp; Tilley, N., 2012. </w:t>
      </w:r>
      <w:r w:rsidRPr="00F35A26">
        <w:rPr>
          <w:rFonts w:asciiTheme="minorHAnsi" w:hAnsiTheme="minorHAnsi" w:cs="Times New Roman"/>
          <w:i/>
          <w:iCs/>
          <w:noProof/>
          <w:color w:val="auto"/>
          <w:sz w:val="22"/>
          <w:szCs w:val="22"/>
          <w:lang w:eastAsia="en-US"/>
        </w:rPr>
        <w:t xml:space="preserve">Problem-oriented Policing and Partnerships. Implementing and evidence-based approach to crime reduction. </w:t>
      </w:r>
      <w:r w:rsidRPr="00F35A26">
        <w:rPr>
          <w:rFonts w:asciiTheme="minorHAnsi" w:hAnsiTheme="minorHAnsi" w:cs="Times New Roman"/>
          <w:noProof/>
          <w:color w:val="auto"/>
          <w:sz w:val="22"/>
          <w:szCs w:val="22"/>
          <w:lang w:eastAsia="en-US"/>
        </w:rPr>
        <w:t>2nd ed. Oxon: Routledge.</w:t>
      </w:r>
    </w:p>
    <w:p w14:paraId="518EFC13"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College of Policing , 2019. </w:t>
      </w:r>
      <w:r w:rsidRPr="00F35A26">
        <w:rPr>
          <w:rFonts w:asciiTheme="minorHAnsi" w:hAnsiTheme="minorHAnsi" w:cs="Times New Roman"/>
          <w:i/>
          <w:iCs/>
          <w:noProof/>
          <w:color w:val="auto"/>
          <w:sz w:val="22"/>
          <w:szCs w:val="22"/>
          <w:lang w:eastAsia="en-US"/>
        </w:rPr>
        <w:t xml:space="preserve">Working with victims and witnesses.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https://www.app.college.police.uk/app-content/investigations/victims-and-witnesses/</w:t>
      </w:r>
      <w:r w:rsidRPr="00F35A26">
        <w:rPr>
          <w:rFonts w:asciiTheme="minorHAnsi" w:hAnsiTheme="minorHAnsi" w:cs="Times New Roman"/>
          <w:noProof/>
          <w:color w:val="auto"/>
          <w:sz w:val="22"/>
          <w:szCs w:val="22"/>
          <w:lang w:eastAsia="en-US"/>
        </w:rPr>
        <w:br/>
        <w:t>[Accessed 18 01 2020].</w:t>
      </w:r>
    </w:p>
    <w:p w14:paraId="75693DB0"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Criminal Damage Act, 1971. </w:t>
      </w:r>
      <w:r w:rsidRPr="00F35A26">
        <w:rPr>
          <w:rFonts w:asciiTheme="minorHAnsi" w:hAnsiTheme="minorHAnsi" w:cs="Times New Roman"/>
          <w:i/>
          <w:iCs/>
          <w:noProof/>
          <w:color w:val="auto"/>
          <w:sz w:val="22"/>
          <w:szCs w:val="22"/>
          <w:lang w:eastAsia="en-US"/>
        </w:rPr>
        <w:t xml:space="preserve">Criminal Damage Act 1971.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http://www.legislation.gov.uk/ukpga/1971/48/contents</w:t>
      </w:r>
      <w:r w:rsidRPr="00F35A26">
        <w:rPr>
          <w:rFonts w:asciiTheme="minorHAnsi" w:hAnsiTheme="minorHAnsi" w:cs="Times New Roman"/>
          <w:noProof/>
          <w:color w:val="auto"/>
          <w:sz w:val="22"/>
          <w:szCs w:val="22"/>
          <w:lang w:eastAsia="en-US"/>
        </w:rPr>
        <w:br/>
        <w:t>[Accessed 16 01 2020].</w:t>
      </w:r>
    </w:p>
    <w:p w14:paraId="61709281"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Faber, S., 2018. </w:t>
      </w:r>
      <w:r w:rsidRPr="00F35A26">
        <w:rPr>
          <w:rFonts w:asciiTheme="minorHAnsi" w:hAnsiTheme="minorHAnsi" w:cs="Times New Roman"/>
          <w:i/>
          <w:iCs/>
          <w:noProof/>
          <w:color w:val="auto"/>
          <w:sz w:val="22"/>
          <w:szCs w:val="22"/>
          <w:lang w:eastAsia="en-US"/>
        </w:rPr>
        <w:t xml:space="preserve">What Are the Three Types of Police Patrols?.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https://classroom.synonym.com/what-are-the-three-types-of-police-patrols-13583683.html</w:t>
      </w:r>
      <w:r w:rsidRPr="00F35A26">
        <w:rPr>
          <w:rFonts w:asciiTheme="minorHAnsi" w:hAnsiTheme="minorHAnsi" w:cs="Times New Roman"/>
          <w:noProof/>
          <w:color w:val="auto"/>
          <w:sz w:val="22"/>
          <w:szCs w:val="22"/>
          <w:lang w:eastAsia="en-US"/>
        </w:rPr>
        <w:br/>
        <w:t>[Accessed 16 01 2020].</w:t>
      </w:r>
    </w:p>
    <w:p w14:paraId="36B14B96"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Guest relationships Blog, 2012. </w:t>
      </w:r>
      <w:r w:rsidRPr="00F35A26">
        <w:rPr>
          <w:rFonts w:asciiTheme="minorHAnsi" w:hAnsiTheme="minorHAnsi" w:cs="Times New Roman"/>
          <w:i/>
          <w:iCs/>
          <w:noProof/>
          <w:color w:val="auto"/>
          <w:sz w:val="22"/>
          <w:szCs w:val="22"/>
          <w:lang w:eastAsia="en-US"/>
        </w:rPr>
        <w:t xml:space="preserve">LEAPS Conflict Resolution – Listen, Empathize, Ask, Paraphrase, Solve.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https://guestrelationshipsblog.com/2012/06/conflict-resolution/</w:t>
      </w:r>
      <w:r w:rsidRPr="00F35A26">
        <w:rPr>
          <w:rFonts w:asciiTheme="minorHAnsi" w:hAnsiTheme="minorHAnsi" w:cs="Times New Roman"/>
          <w:noProof/>
          <w:color w:val="auto"/>
          <w:sz w:val="22"/>
          <w:szCs w:val="22"/>
          <w:lang w:eastAsia="en-US"/>
        </w:rPr>
        <w:br/>
        <w:t>[Accessed 19 11 2019].</w:t>
      </w:r>
    </w:p>
    <w:p w14:paraId="4AAD8279"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Hammond, J. S., Keeney, R. L. &amp; Raiffa, H., 1998. Thr Hidden Trap in Decision Making. </w:t>
      </w:r>
      <w:r w:rsidRPr="00F35A26">
        <w:rPr>
          <w:rFonts w:asciiTheme="minorHAnsi" w:hAnsiTheme="minorHAnsi" w:cs="Times New Roman"/>
          <w:i/>
          <w:iCs/>
          <w:noProof/>
          <w:color w:val="auto"/>
          <w:sz w:val="22"/>
          <w:szCs w:val="22"/>
          <w:lang w:eastAsia="en-US"/>
        </w:rPr>
        <w:t xml:space="preserve">Harvard Business Review, </w:t>
      </w:r>
      <w:r w:rsidRPr="00F35A26">
        <w:rPr>
          <w:rFonts w:asciiTheme="minorHAnsi" w:hAnsiTheme="minorHAnsi" w:cs="Times New Roman"/>
          <w:noProof/>
          <w:color w:val="auto"/>
          <w:sz w:val="22"/>
          <w:szCs w:val="22"/>
          <w:lang w:eastAsia="en-US"/>
        </w:rPr>
        <w:t>09, 1(8), p. 6.</w:t>
      </w:r>
    </w:p>
    <w:p w14:paraId="7D7332A5"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Her Majesty’s Inspectorate of Constabulary and Fire &amp; Rescue Services, 2019. </w:t>
      </w:r>
      <w:r w:rsidRPr="00F35A26">
        <w:rPr>
          <w:rFonts w:asciiTheme="minorHAnsi" w:hAnsiTheme="minorHAnsi" w:cs="Times New Roman"/>
          <w:i/>
          <w:iCs/>
          <w:noProof/>
          <w:color w:val="auto"/>
          <w:sz w:val="22"/>
          <w:szCs w:val="22"/>
          <w:lang w:eastAsia="en-US"/>
        </w:rPr>
        <w:t xml:space="preserve">THRIVE.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https://www.justiceinspectorates.gov.uk/hmicfrs/glossary/thrive/</w:t>
      </w:r>
      <w:r w:rsidRPr="00F35A26">
        <w:rPr>
          <w:rFonts w:asciiTheme="minorHAnsi" w:hAnsiTheme="minorHAnsi" w:cs="Times New Roman"/>
          <w:noProof/>
          <w:color w:val="auto"/>
          <w:sz w:val="22"/>
          <w:szCs w:val="22"/>
          <w:lang w:eastAsia="en-US"/>
        </w:rPr>
        <w:br/>
        <w:t>[Accessed 16 01 2020].</w:t>
      </w:r>
    </w:p>
    <w:p w14:paraId="476AEA36"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lastRenderedPageBreak/>
        <w:t xml:space="preserve">Home Office, 2013. </w:t>
      </w:r>
      <w:r w:rsidRPr="00F35A26">
        <w:rPr>
          <w:rFonts w:asciiTheme="minorHAnsi" w:hAnsiTheme="minorHAnsi" w:cs="Times New Roman"/>
          <w:i/>
          <w:iCs/>
          <w:noProof/>
          <w:color w:val="auto"/>
          <w:sz w:val="22"/>
          <w:szCs w:val="22"/>
          <w:lang w:eastAsia="en-US"/>
        </w:rPr>
        <w:t xml:space="preserve">Code of practice National Intelligence Model.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http://library.college.police.uk/docs/npia/NIM-Code-of-Practice.pdf</w:t>
      </w:r>
      <w:r w:rsidRPr="00F35A26">
        <w:rPr>
          <w:rFonts w:asciiTheme="minorHAnsi" w:hAnsiTheme="minorHAnsi" w:cs="Times New Roman"/>
          <w:noProof/>
          <w:color w:val="auto"/>
          <w:sz w:val="22"/>
          <w:szCs w:val="22"/>
          <w:lang w:eastAsia="en-US"/>
        </w:rPr>
        <w:br/>
        <w:t>[Accessed 16 01 2020].</w:t>
      </w:r>
    </w:p>
    <w:p w14:paraId="6BA806A3"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Home Office, 2014. </w:t>
      </w:r>
      <w:r w:rsidRPr="00F35A26">
        <w:rPr>
          <w:rFonts w:asciiTheme="minorHAnsi" w:hAnsiTheme="minorHAnsi" w:cs="Times New Roman"/>
          <w:i/>
          <w:iCs/>
          <w:noProof/>
          <w:color w:val="auto"/>
          <w:sz w:val="22"/>
          <w:szCs w:val="22"/>
          <w:lang w:eastAsia="en-US"/>
        </w:rPr>
        <w:t xml:space="preserve">Police National Computer (PNC).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https://assets.publishing.service.gov.uk/government/uploads/system/uploads/attachment_data/file/488515/PNC_v5.0_EXT_clean.pdf</w:t>
      </w:r>
      <w:r w:rsidRPr="00F35A26">
        <w:rPr>
          <w:rFonts w:asciiTheme="minorHAnsi" w:hAnsiTheme="minorHAnsi" w:cs="Times New Roman"/>
          <w:noProof/>
          <w:color w:val="auto"/>
          <w:sz w:val="22"/>
          <w:szCs w:val="22"/>
          <w:lang w:eastAsia="en-US"/>
        </w:rPr>
        <w:br/>
        <w:t>[Accessed 18 01 2020].</w:t>
      </w:r>
    </w:p>
    <w:p w14:paraId="28138012"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Innes, M., 2015. Signal Crimes: Social Reactions to Crime, Disorder and Control. </w:t>
      </w:r>
      <w:r w:rsidRPr="00F35A26">
        <w:rPr>
          <w:rFonts w:asciiTheme="minorHAnsi" w:hAnsiTheme="minorHAnsi" w:cs="Times New Roman"/>
          <w:i/>
          <w:iCs/>
          <w:noProof/>
          <w:color w:val="auto"/>
          <w:sz w:val="22"/>
          <w:szCs w:val="22"/>
          <w:lang w:eastAsia="en-US"/>
        </w:rPr>
        <w:t xml:space="preserve">Policing: A Journal of Policy and Practice,, </w:t>
      </w:r>
      <w:r w:rsidRPr="00F35A26">
        <w:rPr>
          <w:rFonts w:asciiTheme="minorHAnsi" w:hAnsiTheme="minorHAnsi" w:cs="Times New Roman"/>
          <w:noProof/>
          <w:color w:val="auto"/>
          <w:sz w:val="22"/>
          <w:szCs w:val="22"/>
          <w:lang w:eastAsia="en-US"/>
        </w:rPr>
        <w:t>9(3), pp. 296-297.</w:t>
      </w:r>
    </w:p>
    <w:p w14:paraId="0F24F8E6"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Ministry of Justice, 2015. </w:t>
      </w:r>
      <w:r w:rsidRPr="00F35A26">
        <w:rPr>
          <w:rFonts w:asciiTheme="minorHAnsi" w:hAnsiTheme="minorHAnsi" w:cs="Times New Roman"/>
          <w:i/>
          <w:iCs/>
          <w:noProof/>
          <w:color w:val="auto"/>
          <w:sz w:val="22"/>
          <w:szCs w:val="22"/>
          <w:lang w:eastAsia="en-US"/>
        </w:rPr>
        <w:t xml:space="preserve">Code of Practice for victims of crime.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https://www.newarkandsherwoodccg.nhs.uk/media/26793/conflict-resolution-level-1-workbook.pdf</w:t>
      </w:r>
      <w:r w:rsidRPr="00F35A26">
        <w:rPr>
          <w:rFonts w:asciiTheme="minorHAnsi" w:hAnsiTheme="minorHAnsi" w:cs="Times New Roman"/>
          <w:noProof/>
          <w:color w:val="auto"/>
          <w:sz w:val="22"/>
          <w:szCs w:val="22"/>
          <w:lang w:eastAsia="en-US"/>
        </w:rPr>
        <w:br/>
        <w:t>[Accessed 19 11 2019].</w:t>
      </w:r>
    </w:p>
    <w:p w14:paraId="186D588A"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Minstry of Justice, 2015. </w:t>
      </w:r>
      <w:r w:rsidRPr="00F35A26">
        <w:rPr>
          <w:rFonts w:asciiTheme="minorHAnsi" w:hAnsiTheme="minorHAnsi" w:cs="Times New Roman"/>
          <w:i/>
          <w:iCs/>
          <w:noProof/>
          <w:color w:val="auto"/>
          <w:sz w:val="22"/>
          <w:szCs w:val="22"/>
          <w:lang w:eastAsia="en-US"/>
        </w:rPr>
        <w:t xml:space="preserve">Criminal Procedure and Investigations Act 1996 (section 23(1)) Code of Practice.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https://www.gov.uk/government/publications/criminal-procedure-and-investigations-act-code-of-practice</w:t>
      </w:r>
      <w:r w:rsidRPr="00F35A26">
        <w:rPr>
          <w:rFonts w:asciiTheme="minorHAnsi" w:hAnsiTheme="minorHAnsi" w:cs="Times New Roman"/>
          <w:noProof/>
          <w:color w:val="auto"/>
          <w:sz w:val="22"/>
          <w:szCs w:val="22"/>
          <w:lang w:eastAsia="en-US"/>
        </w:rPr>
        <w:br/>
        <w:t>[Accessed 16 01 2020].</w:t>
      </w:r>
    </w:p>
    <w:p w14:paraId="35EA5676"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Norman, J., 2009. Seen and Not Heard: Young People's Perceptions of the Police. </w:t>
      </w:r>
      <w:r w:rsidRPr="00F35A26">
        <w:rPr>
          <w:rFonts w:asciiTheme="minorHAnsi" w:hAnsiTheme="minorHAnsi" w:cs="Times New Roman"/>
          <w:i/>
          <w:iCs/>
          <w:noProof/>
          <w:color w:val="auto"/>
          <w:sz w:val="22"/>
          <w:szCs w:val="22"/>
          <w:lang w:eastAsia="en-US"/>
        </w:rPr>
        <w:t xml:space="preserve">Policing: A Journal of Policy and Practice, </w:t>
      </w:r>
      <w:r w:rsidRPr="00F35A26">
        <w:rPr>
          <w:rFonts w:asciiTheme="minorHAnsi" w:hAnsiTheme="minorHAnsi" w:cs="Times New Roman"/>
          <w:noProof/>
          <w:color w:val="auto"/>
          <w:sz w:val="22"/>
          <w:szCs w:val="22"/>
          <w:lang w:eastAsia="en-US"/>
        </w:rPr>
        <w:t>3(4), pp. 364-372.</w:t>
      </w:r>
    </w:p>
    <w:p w14:paraId="7A03CCC6"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Police and Criminal Evidence Act, 1984. </w:t>
      </w:r>
      <w:r w:rsidRPr="00F35A26">
        <w:rPr>
          <w:rFonts w:asciiTheme="minorHAnsi" w:hAnsiTheme="minorHAnsi" w:cs="Times New Roman"/>
          <w:i/>
          <w:iCs/>
          <w:noProof/>
          <w:color w:val="auto"/>
          <w:sz w:val="22"/>
          <w:szCs w:val="22"/>
          <w:lang w:eastAsia="en-US"/>
        </w:rPr>
        <w:t xml:space="preserve">Police and Criminal Evidence Act 1984. </w:t>
      </w:r>
      <w:r w:rsidRPr="00F35A26">
        <w:rPr>
          <w:rFonts w:asciiTheme="minorHAnsi" w:hAnsiTheme="minorHAnsi" w:cs="Times New Roman"/>
          <w:noProof/>
          <w:color w:val="auto"/>
          <w:sz w:val="22"/>
          <w:szCs w:val="22"/>
          <w:lang w:eastAsia="en-US"/>
        </w:rPr>
        <w:t>s.l.:s.n.</w:t>
      </w:r>
    </w:p>
    <w:p w14:paraId="7ED3B4F2"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Restorative Justice Council, 2016. </w:t>
      </w:r>
      <w:r w:rsidRPr="00F35A26">
        <w:rPr>
          <w:rFonts w:asciiTheme="minorHAnsi" w:hAnsiTheme="minorHAnsi" w:cs="Times New Roman"/>
          <w:i/>
          <w:iCs/>
          <w:noProof/>
          <w:color w:val="auto"/>
          <w:sz w:val="22"/>
          <w:szCs w:val="22"/>
          <w:lang w:eastAsia="en-US"/>
        </w:rPr>
        <w:t xml:space="preserve">What is Restorative Justice?.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https://restorativejustice.org.uk/criminal-justice</w:t>
      </w:r>
      <w:r w:rsidRPr="00F35A26">
        <w:rPr>
          <w:rFonts w:asciiTheme="minorHAnsi" w:hAnsiTheme="minorHAnsi" w:cs="Times New Roman"/>
          <w:noProof/>
          <w:color w:val="auto"/>
          <w:sz w:val="22"/>
          <w:szCs w:val="22"/>
          <w:lang w:eastAsia="en-US"/>
        </w:rPr>
        <w:br/>
        <w:t>[Accessed 16 01 2020].</w:t>
      </w:r>
    </w:p>
    <w:p w14:paraId="1AD1B335"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South Wales Victim Focus, 2016. </w:t>
      </w:r>
      <w:r w:rsidRPr="00F35A26">
        <w:rPr>
          <w:rFonts w:asciiTheme="minorHAnsi" w:hAnsiTheme="minorHAnsi" w:cs="Times New Roman"/>
          <w:i/>
          <w:iCs/>
          <w:noProof/>
          <w:color w:val="auto"/>
          <w:sz w:val="22"/>
          <w:szCs w:val="22"/>
          <w:lang w:eastAsia="en-US"/>
        </w:rPr>
        <w:t xml:space="preserve">What We Do.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https://www.southwalesvictimfocus.org.uk/what-we-do/</w:t>
      </w:r>
      <w:r w:rsidRPr="00F35A26">
        <w:rPr>
          <w:rFonts w:asciiTheme="minorHAnsi" w:hAnsiTheme="minorHAnsi" w:cs="Times New Roman"/>
          <w:noProof/>
          <w:color w:val="auto"/>
          <w:sz w:val="22"/>
          <w:szCs w:val="22"/>
          <w:lang w:eastAsia="en-US"/>
        </w:rPr>
        <w:br/>
        <w:t>[Accessed 16 01 2020].</w:t>
      </w:r>
    </w:p>
    <w:p w14:paraId="79D4C580"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The College of Policing, 2014. </w:t>
      </w:r>
      <w:r w:rsidRPr="00F35A26">
        <w:rPr>
          <w:rFonts w:asciiTheme="minorHAnsi" w:hAnsiTheme="minorHAnsi" w:cs="Times New Roman"/>
          <w:i/>
          <w:iCs/>
          <w:noProof/>
          <w:color w:val="auto"/>
          <w:sz w:val="22"/>
          <w:szCs w:val="22"/>
          <w:lang w:eastAsia="en-US"/>
        </w:rPr>
        <w:t xml:space="preserve">National decision making model.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https://www.app.college.police.uk/app-content/national-decision-model/the-national-decision-model/</w:t>
      </w:r>
      <w:r w:rsidRPr="00F35A26">
        <w:rPr>
          <w:rFonts w:asciiTheme="minorHAnsi" w:hAnsiTheme="minorHAnsi" w:cs="Times New Roman"/>
          <w:noProof/>
          <w:color w:val="auto"/>
          <w:sz w:val="22"/>
          <w:szCs w:val="22"/>
          <w:lang w:eastAsia="en-US"/>
        </w:rPr>
        <w:br/>
        <w:t>[Accessed 19 11 2019].</w:t>
      </w:r>
    </w:p>
    <w:p w14:paraId="72A9CA1D"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The University of Edinburgh, 2019. </w:t>
      </w:r>
      <w:r w:rsidRPr="00F35A26">
        <w:rPr>
          <w:rFonts w:asciiTheme="minorHAnsi" w:hAnsiTheme="minorHAnsi" w:cs="Times New Roman"/>
          <w:i/>
          <w:iCs/>
          <w:noProof/>
          <w:color w:val="auto"/>
          <w:sz w:val="22"/>
          <w:szCs w:val="22"/>
          <w:lang w:eastAsia="en-US"/>
        </w:rPr>
        <w:t xml:space="preserve">Gibbs' reflective cycle.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https://www.ed.ac.uk/reflection/reflectors-toolkit/reflecting-on-experience/gibbs-reflective-cycle</w:t>
      </w:r>
      <w:r w:rsidRPr="00F35A26">
        <w:rPr>
          <w:rFonts w:asciiTheme="minorHAnsi" w:hAnsiTheme="minorHAnsi" w:cs="Times New Roman"/>
          <w:noProof/>
          <w:color w:val="auto"/>
          <w:sz w:val="22"/>
          <w:szCs w:val="22"/>
          <w:lang w:eastAsia="en-US"/>
        </w:rPr>
        <w:br/>
        <w:t>[Accessed 02 01 2020].</w:t>
      </w:r>
    </w:p>
    <w:p w14:paraId="76BBBC3C"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United Nations Human Rights office of the High Commisioner, 1990. </w:t>
      </w:r>
      <w:r w:rsidRPr="00F35A26">
        <w:rPr>
          <w:rFonts w:asciiTheme="minorHAnsi" w:hAnsiTheme="minorHAnsi" w:cs="Times New Roman"/>
          <w:i/>
          <w:iCs/>
          <w:noProof/>
          <w:color w:val="auto"/>
          <w:sz w:val="22"/>
          <w:szCs w:val="22"/>
          <w:lang w:eastAsia="en-US"/>
        </w:rPr>
        <w:t xml:space="preserve">Convention on the Rights of the Child.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https://www.ohchr.org/en/professionalinterest/pages/crc.aspx</w:t>
      </w:r>
      <w:r w:rsidRPr="00F35A26">
        <w:rPr>
          <w:rFonts w:asciiTheme="minorHAnsi" w:hAnsiTheme="minorHAnsi" w:cs="Times New Roman"/>
          <w:noProof/>
          <w:color w:val="auto"/>
          <w:sz w:val="22"/>
          <w:szCs w:val="22"/>
          <w:lang w:eastAsia="en-US"/>
        </w:rPr>
        <w:br/>
        <w:t>[Accessed 16 01 2020].</w:t>
      </w:r>
    </w:p>
    <w:p w14:paraId="1B3133D3"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lastRenderedPageBreak/>
        <w:t xml:space="preserve">Wilson, J. Q. &amp; Kelling, G. L., 1982. </w:t>
      </w:r>
      <w:r w:rsidRPr="00F35A26">
        <w:rPr>
          <w:rFonts w:asciiTheme="minorHAnsi" w:hAnsiTheme="minorHAnsi" w:cs="Times New Roman"/>
          <w:i/>
          <w:iCs/>
          <w:noProof/>
          <w:color w:val="auto"/>
          <w:sz w:val="22"/>
          <w:szCs w:val="22"/>
          <w:lang w:eastAsia="en-US"/>
        </w:rPr>
        <w:t xml:space="preserve">Broken Windows. The police and neighborhood safety.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http://www.lakeclaire.org/docs/BrokenWindows-AtlantaicMonthly-March82.pdf</w:t>
      </w:r>
      <w:r w:rsidRPr="00F35A26">
        <w:rPr>
          <w:rFonts w:asciiTheme="minorHAnsi" w:hAnsiTheme="minorHAnsi" w:cs="Times New Roman"/>
          <w:noProof/>
          <w:color w:val="auto"/>
          <w:sz w:val="22"/>
          <w:szCs w:val="22"/>
          <w:lang w:eastAsia="en-US"/>
        </w:rPr>
        <w:br/>
        <w:t>[Accessed 18 01 2020].</w:t>
      </w:r>
    </w:p>
    <w:p w14:paraId="499DDA07" w14:textId="77777777" w:rsidR="00F35A26" w:rsidRPr="00F35A26" w:rsidRDefault="00F35A26" w:rsidP="00F35A26">
      <w:pPr>
        <w:overflowPunct/>
        <w:autoSpaceDE/>
        <w:autoSpaceDN/>
        <w:adjustRightInd/>
        <w:spacing w:after="160" w:line="259" w:lineRule="auto"/>
        <w:textAlignment w:val="auto"/>
        <w:rPr>
          <w:rFonts w:asciiTheme="minorHAnsi" w:hAnsiTheme="minorHAnsi" w:cs="Times New Roman"/>
          <w:noProof/>
          <w:color w:val="auto"/>
          <w:sz w:val="22"/>
          <w:szCs w:val="22"/>
          <w:lang w:eastAsia="en-US"/>
        </w:rPr>
      </w:pPr>
      <w:r w:rsidRPr="00F35A26">
        <w:rPr>
          <w:rFonts w:asciiTheme="minorHAnsi" w:hAnsiTheme="minorHAnsi" w:cs="Times New Roman"/>
          <w:noProof/>
          <w:color w:val="auto"/>
          <w:sz w:val="22"/>
          <w:szCs w:val="22"/>
          <w:lang w:eastAsia="en-US"/>
        </w:rPr>
        <w:t xml:space="preserve">Youth Justice Board for England and Wales, 2014. </w:t>
      </w:r>
      <w:r w:rsidRPr="00F35A26">
        <w:rPr>
          <w:rFonts w:asciiTheme="minorHAnsi" w:hAnsiTheme="minorHAnsi" w:cs="Times New Roman"/>
          <w:i/>
          <w:iCs/>
          <w:noProof/>
          <w:color w:val="auto"/>
          <w:sz w:val="22"/>
          <w:szCs w:val="22"/>
          <w:lang w:eastAsia="en-US"/>
        </w:rPr>
        <w:t xml:space="preserve">Appropriate adults: guide for youth justice professionals. </w:t>
      </w:r>
      <w:r w:rsidRPr="00F35A26">
        <w:rPr>
          <w:rFonts w:asciiTheme="minorHAnsi" w:hAnsiTheme="minorHAnsi" w:cs="Times New Roman"/>
          <w:noProof/>
          <w:color w:val="auto"/>
          <w:sz w:val="22"/>
          <w:szCs w:val="22"/>
          <w:lang w:eastAsia="en-US"/>
        </w:rPr>
        <w:t xml:space="preserve">[Online] </w:t>
      </w:r>
      <w:r w:rsidRPr="00F35A26">
        <w:rPr>
          <w:rFonts w:asciiTheme="minorHAnsi" w:hAnsiTheme="minorHAnsi" w:cs="Times New Roman"/>
          <w:noProof/>
          <w:color w:val="auto"/>
          <w:sz w:val="22"/>
          <w:szCs w:val="22"/>
          <w:lang w:eastAsia="en-US"/>
        </w:rPr>
        <w:br/>
        <w:t xml:space="preserve">Available at: </w:t>
      </w:r>
      <w:r w:rsidRPr="00F35A26">
        <w:rPr>
          <w:rFonts w:asciiTheme="minorHAnsi" w:hAnsiTheme="minorHAnsi" w:cs="Times New Roman"/>
          <w:noProof/>
          <w:color w:val="auto"/>
          <w:sz w:val="22"/>
          <w:szCs w:val="22"/>
          <w:u w:val="single"/>
          <w:lang w:eastAsia="en-US"/>
        </w:rPr>
        <w:t>https://www.gov.uk/guidance/appropriate-adults-guide-for-youth-justice-professionals#appropriate-adults-and-the-law</w:t>
      </w:r>
      <w:r w:rsidRPr="00F35A26">
        <w:rPr>
          <w:rFonts w:asciiTheme="minorHAnsi" w:hAnsiTheme="minorHAnsi" w:cs="Times New Roman"/>
          <w:noProof/>
          <w:color w:val="auto"/>
          <w:sz w:val="22"/>
          <w:szCs w:val="22"/>
          <w:lang w:eastAsia="en-US"/>
        </w:rPr>
        <w:br/>
        <w:t>[Accessed 16 01 2020].</w:t>
      </w:r>
    </w:p>
    <w:p w14:paraId="4C50E184" w14:textId="47C2171C" w:rsidR="00025650" w:rsidRPr="00270EEB" w:rsidRDefault="00F35A26" w:rsidP="00F35A26">
      <w:pPr>
        <w:ind w:right="237"/>
        <w:jc w:val="both"/>
        <w:rPr>
          <w:sz w:val="24"/>
          <w:szCs w:val="24"/>
        </w:rPr>
      </w:pPr>
      <w:r w:rsidRPr="00F35A26">
        <w:rPr>
          <w:b/>
          <w:color w:val="auto"/>
          <w:sz w:val="24"/>
          <w:szCs w:val="24"/>
          <w:lang w:eastAsia="en-US"/>
        </w:rPr>
        <w:fldChar w:fldCharType="end"/>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F35A26">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7114F6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750DB">
        <w:rPr>
          <w:rFonts w:eastAsia="Arial"/>
          <w:color w:val="000000" w:themeColor="text1"/>
          <w:sz w:val="24"/>
          <w:szCs w:val="24"/>
        </w:rPr>
        <w:tab/>
      </w:r>
      <w:r w:rsidR="006750DB">
        <w:rPr>
          <w:noProof/>
        </w:rPr>
        <w:drawing>
          <wp:inline distT="0" distB="0" distL="0" distR="0" wp14:anchorId="04F4282B" wp14:editId="1A15C5E6">
            <wp:extent cx="1689735" cy="53434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25714" cy="545725"/>
                    </a:xfrm>
                    <a:prstGeom prst="rect">
                      <a:avLst/>
                    </a:prstGeom>
                  </pic:spPr>
                </pic:pic>
              </a:graphicData>
            </a:graphic>
          </wp:inline>
        </w:drawing>
      </w:r>
      <w:r w:rsidR="006750DB">
        <w:rPr>
          <w:rFonts w:eastAsia="Arial"/>
          <w:color w:val="000000" w:themeColor="text1"/>
          <w:sz w:val="24"/>
          <w:szCs w:val="24"/>
        </w:rPr>
        <w:tab/>
      </w:r>
      <w:r w:rsidR="00603549">
        <w:rPr>
          <w:rFonts w:eastAsia="Arial"/>
          <w:color w:val="000000" w:themeColor="text1"/>
          <w:sz w:val="24"/>
          <w:szCs w:val="24"/>
        </w:rPr>
        <w:t xml:space="preserve">Danielle Arran </w:t>
      </w:r>
      <w:r w:rsidRPr="5848403C">
        <w:rPr>
          <w:rFonts w:eastAsia="Arial"/>
          <w:color w:val="000000" w:themeColor="text1"/>
          <w:sz w:val="24"/>
          <w:szCs w:val="24"/>
        </w:rPr>
        <w:t xml:space="preserve"> (Learner</w:t>
      </w:r>
      <w:r w:rsidR="00334F9F">
        <w:rPr>
          <w:rFonts w:eastAsia="Arial"/>
          <w:color w:val="000000" w:themeColor="text1"/>
          <w:sz w:val="24"/>
          <w:szCs w:val="24"/>
        </w:rPr>
        <w:t xml:space="preserve"> 1816534)</w:t>
      </w:r>
      <w:r w:rsidR="00334F9F">
        <w:rPr>
          <w:rFonts w:eastAsia="Arial"/>
          <w:color w:val="000000" w:themeColor="text1"/>
          <w:sz w:val="24"/>
          <w:szCs w:val="24"/>
        </w:rPr>
        <w:tab/>
      </w:r>
      <w:r w:rsidR="00334F9F">
        <w:rPr>
          <w:rFonts w:eastAsia="Arial"/>
          <w:color w:val="000000" w:themeColor="text1"/>
          <w:sz w:val="24"/>
          <w:szCs w:val="24"/>
        </w:rPr>
        <w:tab/>
      </w:r>
    </w:p>
    <w:p w14:paraId="5473B39D" w14:textId="25489F28" w:rsidR="5848403C" w:rsidRDefault="5848403C" w:rsidP="5848403C">
      <w:pPr>
        <w:jc w:val="both"/>
        <w:rPr>
          <w:rFonts w:eastAsia="Arial"/>
          <w:color w:val="000000" w:themeColor="text1"/>
          <w:sz w:val="24"/>
          <w:szCs w:val="24"/>
        </w:rPr>
      </w:pPr>
    </w:p>
    <w:p w14:paraId="4EC5D203" w14:textId="35B4F0A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34F9F">
        <w:rPr>
          <w:rFonts w:eastAsia="Arial"/>
          <w:color w:val="000000" w:themeColor="text1"/>
          <w:sz w:val="24"/>
          <w:szCs w:val="24"/>
        </w:rPr>
        <w:t>19/01/2020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F35A26">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9F1C32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7D5730">
        <w:rPr>
          <w:rFonts w:eastAsia="Arial"/>
          <w:color w:val="000000" w:themeColor="text1"/>
          <w:sz w:val="24"/>
          <w:szCs w:val="24"/>
        </w:rPr>
        <w:tab/>
      </w:r>
      <w:r w:rsidR="008F652E">
        <w:rPr>
          <w:noProof/>
        </w:rPr>
        <w:drawing>
          <wp:inline distT="0" distB="0" distL="0" distR="0" wp14:anchorId="220ED346" wp14:editId="573AC771">
            <wp:extent cx="1428750" cy="6716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448319" cy="680877"/>
                    </a:xfrm>
                    <a:prstGeom prst="rect">
                      <a:avLst/>
                    </a:prstGeom>
                  </pic:spPr>
                </pic:pic>
              </a:graphicData>
            </a:graphic>
          </wp:inline>
        </w:drawing>
      </w:r>
      <w:r w:rsidR="008F652E">
        <w:rPr>
          <w:rFonts w:eastAsia="Arial"/>
          <w:color w:val="000000" w:themeColor="text1"/>
          <w:sz w:val="24"/>
          <w:szCs w:val="24"/>
        </w:rPr>
        <w:tab/>
      </w:r>
      <w:r w:rsidR="00334F9F">
        <w:rPr>
          <w:rFonts w:eastAsia="Arial"/>
          <w:color w:val="000000" w:themeColor="text1"/>
          <w:sz w:val="24"/>
          <w:szCs w:val="24"/>
        </w:rPr>
        <w:t>Danielle Arran</w:t>
      </w:r>
      <w:r w:rsidRPr="5848403C">
        <w:rPr>
          <w:rFonts w:eastAsia="Arial"/>
          <w:color w:val="000000" w:themeColor="text1"/>
          <w:sz w:val="24"/>
          <w:szCs w:val="24"/>
        </w:rPr>
        <w:t xml:space="preserve"> (Learner</w:t>
      </w:r>
      <w:r w:rsidR="00546A86">
        <w:rPr>
          <w:rFonts w:eastAsia="Arial"/>
          <w:color w:val="000000" w:themeColor="text1"/>
          <w:sz w:val="24"/>
          <w:szCs w:val="24"/>
        </w:rPr>
        <w:t xml:space="preserve"> 1816534</w:t>
      </w:r>
      <w:r w:rsidRPr="5848403C">
        <w:rPr>
          <w:rFonts w:eastAsia="Arial"/>
          <w:color w:val="000000" w:themeColor="text1"/>
          <w:sz w:val="24"/>
          <w:szCs w:val="24"/>
        </w:rPr>
        <w:t>)</w:t>
      </w:r>
    </w:p>
    <w:p w14:paraId="3EC01EFA" w14:textId="0F1AEED0" w:rsidR="5848403C" w:rsidRDefault="5848403C" w:rsidP="5848403C">
      <w:pPr>
        <w:jc w:val="both"/>
        <w:rPr>
          <w:rFonts w:eastAsia="Arial"/>
          <w:color w:val="000000" w:themeColor="text1"/>
          <w:sz w:val="24"/>
          <w:szCs w:val="24"/>
        </w:rPr>
      </w:pPr>
    </w:p>
    <w:p w14:paraId="6058463E" w14:textId="71C6A7E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34F9F">
        <w:rPr>
          <w:rFonts w:eastAsia="Arial"/>
          <w:color w:val="000000" w:themeColor="text1"/>
          <w:sz w:val="24"/>
          <w:szCs w:val="24"/>
        </w:rPr>
        <w:t>19/01/2020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15767047" w14:textId="77777777" w:rsidR="001F76AE"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024A9AD6" w14:textId="5A743C09" w:rsidR="5848403C" w:rsidRDefault="5848403C" w:rsidP="5848403C">
      <w:pPr>
        <w:jc w:val="both"/>
        <w:rPr>
          <w:rFonts w:eastAsia="Arial"/>
          <w:color w:val="000000" w:themeColor="text1"/>
          <w:sz w:val="24"/>
          <w:szCs w:val="24"/>
        </w:rPr>
      </w:pP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233560A7" w:rsidR="5848403C" w:rsidRDefault="5848403C" w:rsidP="5848403C">
      <w:pPr>
        <w:rPr>
          <w:rFonts w:eastAsia="Arial"/>
          <w:color w:val="000000" w:themeColor="text1"/>
          <w:sz w:val="24"/>
          <w:szCs w:val="24"/>
        </w:rPr>
      </w:pPr>
    </w:p>
    <w:p w14:paraId="51C9BB90" w14:textId="14BCFE55" w:rsidR="008F652E" w:rsidRDefault="008F652E" w:rsidP="5848403C">
      <w:pPr>
        <w:rPr>
          <w:rFonts w:eastAsia="Arial"/>
          <w:color w:val="000000" w:themeColor="text1"/>
          <w:sz w:val="24"/>
          <w:szCs w:val="24"/>
        </w:rPr>
      </w:pPr>
      <w:r>
        <w:rPr>
          <w:rFonts w:eastAsia="Arial"/>
          <w:color w:val="000000" w:themeColor="text1"/>
          <w:sz w:val="24"/>
          <w:szCs w:val="24"/>
        </w:rPr>
        <w:t>Unable to obtain signature of tutor Constable 5945 Mccourt</w:t>
      </w:r>
    </w:p>
    <w:p w14:paraId="3175CCC2" w14:textId="39F229DC" w:rsidR="008F652E" w:rsidRDefault="008F652E" w:rsidP="5848403C">
      <w:pPr>
        <w:rPr>
          <w:rFonts w:eastAsia="Arial"/>
          <w:color w:val="000000" w:themeColor="text1"/>
          <w:sz w:val="24"/>
          <w:szCs w:val="24"/>
        </w:rPr>
      </w:pPr>
      <w:r>
        <w:rPr>
          <w:rFonts w:eastAsia="Arial"/>
          <w:color w:val="000000" w:themeColor="text1"/>
          <w:sz w:val="24"/>
          <w:szCs w:val="24"/>
        </w:rPr>
        <w:t>Supervising officer Police Sergeant 2260 Kamaratov-Jones</w:t>
      </w:r>
      <w:bookmarkStart w:id="18" w:name="_GoBack"/>
      <w:bookmarkEnd w:id="18"/>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F35A26">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F4D2E4" w14:textId="77777777" w:rsidR="00040D74" w:rsidRDefault="00040D74">
      <w:r>
        <w:separator/>
      </w:r>
    </w:p>
  </w:endnote>
  <w:endnote w:type="continuationSeparator" w:id="0">
    <w:p w14:paraId="734CE7DD" w14:textId="77777777" w:rsidR="00040D74" w:rsidRDefault="00040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755953" w14:textId="38E4E2B4" w:rsidR="00200081" w:rsidRDefault="008F652E" w:rsidP="008F652E">
    <w:pPr>
      <w:pStyle w:val="Footer"/>
      <w:rPr>
        <w:sz w:val="17"/>
      </w:rPr>
    </w:pPr>
    <w:bookmarkStart w:id="2" w:name="TITUS1FooterEvenPages"/>
    <w:r>
      <w:rPr>
        <w:sz w:val="17"/>
      </w:rPr>
      <w:t> </w:t>
    </w:r>
  </w:p>
  <w:bookmarkEnd w:id="2"/>
  <w:p w14:paraId="7D6D2F6A" w14:textId="03AC44DE" w:rsidR="00200081" w:rsidRDefault="00200081" w:rsidP="00F35A26">
    <w:pPr>
      <w:pStyle w:val="Footer"/>
      <w:jc w:val="right"/>
    </w:pPr>
    <w:r>
      <w:fldChar w:fldCharType="begin"/>
    </w:r>
    <w:r>
      <w:instrText xml:space="preserve"> PAGE   \* MERGEFORMAT </w:instrText>
    </w:r>
    <w:r>
      <w:fldChar w:fldCharType="separate"/>
    </w:r>
    <w:r w:rsidR="008F652E">
      <w:rPr>
        <w:noProof/>
      </w:rPr>
      <w:t>8</w:t>
    </w:r>
    <w:r>
      <w:rPr>
        <w:noProof/>
      </w:rPr>
      <w:fldChar w:fldCharType="end"/>
    </w:r>
  </w:p>
  <w:p w14:paraId="60C0F1AA" w14:textId="77777777" w:rsidR="00200081" w:rsidRPr="00BB5EAA" w:rsidRDefault="00200081" w:rsidP="00F35A26">
    <w:pPr>
      <w:pStyle w:val="Footer"/>
      <w:ind w:right="360"/>
      <w:jc w:val="center"/>
    </w:pPr>
  </w:p>
  <w:p w14:paraId="20005303" w14:textId="77777777" w:rsidR="00200081" w:rsidRDefault="002000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4FF69F" w14:textId="18A3479C" w:rsidR="00200081" w:rsidRDefault="008F652E" w:rsidP="008F652E">
    <w:pPr>
      <w:pStyle w:val="Footer"/>
      <w:rPr>
        <w:sz w:val="17"/>
      </w:rPr>
    </w:pPr>
    <w:bookmarkStart w:id="3" w:name="TITUS1FooterPrimary"/>
    <w:r>
      <w:rPr>
        <w:sz w:val="17"/>
      </w:rPr>
      <w:t> </w:t>
    </w:r>
  </w:p>
  <w:bookmarkEnd w:id="3"/>
  <w:p w14:paraId="50521BFA" w14:textId="7054ABC7" w:rsidR="00200081" w:rsidRDefault="00200081">
    <w:pPr>
      <w:pStyle w:val="Footer"/>
      <w:jc w:val="right"/>
    </w:pPr>
    <w:r>
      <w:fldChar w:fldCharType="begin"/>
    </w:r>
    <w:r>
      <w:instrText xml:space="preserve"> PAGE   \* MERGEFORMAT </w:instrText>
    </w:r>
    <w:r>
      <w:fldChar w:fldCharType="separate"/>
    </w:r>
    <w:r w:rsidR="008F652E">
      <w:rPr>
        <w:noProof/>
      </w:rPr>
      <w:t>7</w:t>
    </w:r>
    <w:r>
      <w:rPr>
        <w:noProof/>
      </w:rPr>
      <w:fldChar w:fldCharType="end"/>
    </w:r>
  </w:p>
  <w:p w14:paraId="790812FF" w14:textId="77777777" w:rsidR="00200081" w:rsidRPr="00BB5EAA" w:rsidRDefault="002000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9EE80" w14:textId="471EBEF0" w:rsidR="00200081" w:rsidRDefault="008F652E" w:rsidP="008F652E">
    <w:pPr>
      <w:pStyle w:val="Footer"/>
      <w:rPr>
        <w:sz w:val="17"/>
      </w:rPr>
    </w:pPr>
    <w:bookmarkStart w:id="5" w:name="TITUS1FooterFirstPage"/>
    <w:r>
      <w:rPr>
        <w:sz w:val="17"/>
      </w:rPr>
      <w:t> </w:t>
    </w:r>
  </w:p>
  <w:bookmarkEnd w:id="5"/>
  <w:p w14:paraId="61A2CF31" w14:textId="0222E91E" w:rsidR="00200081" w:rsidRDefault="00200081" w:rsidP="00F35A26">
    <w:pPr>
      <w:pStyle w:val="Footer"/>
      <w:jc w:val="right"/>
    </w:pPr>
    <w:r>
      <w:fldChar w:fldCharType="begin"/>
    </w:r>
    <w:r>
      <w:instrText xml:space="preserve"> PAGE   \* MERGEFORMAT </w:instrText>
    </w:r>
    <w:r>
      <w:fldChar w:fldCharType="separate"/>
    </w:r>
    <w:r w:rsidR="008F652E">
      <w:rPr>
        <w:noProof/>
      </w:rPr>
      <w:t>1</w:t>
    </w:r>
    <w:r>
      <w:rPr>
        <w:noProof/>
      </w:rPr>
      <w:fldChar w:fldCharType="end"/>
    </w:r>
  </w:p>
  <w:p w14:paraId="3DF37A12" w14:textId="77777777" w:rsidR="00200081" w:rsidRPr="00BB5EAA" w:rsidRDefault="00200081" w:rsidP="00F35A26">
    <w:pPr>
      <w:pStyle w:val="Footer"/>
      <w:ind w:right="360"/>
      <w:jc w:val="center"/>
    </w:pPr>
  </w:p>
  <w:p w14:paraId="35A924A2" w14:textId="77777777" w:rsidR="00200081" w:rsidRDefault="002000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D0B96" w14:textId="64093DA1" w:rsidR="00200081" w:rsidRDefault="008F652E" w:rsidP="008F652E">
    <w:pPr>
      <w:pStyle w:val="Footer"/>
      <w:rPr>
        <w:sz w:val="17"/>
      </w:rPr>
    </w:pPr>
    <w:bookmarkStart w:id="8" w:name="TITUS2FooterEvenPages"/>
    <w:r>
      <w:rPr>
        <w:sz w:val="17"/>
      </w:rPr>
      <w:t> </w:t>
    </w:r>
  </w:p>
  <w:bookmarkEnd w:id="8"/>
  <w:p w14:paraId="511E5000" w14:textId="77777777" w:rsidR="00200081" w:rsidRDefault="00200081" w:rsidP="00F35A26">
    <w:pPr>
      <w:pStyle w:val="Footer"/>
      <w:jc w:val="right"/>
    </w:pPr>
  </w:p>
  <w:p w14:paraId="13C26012" w14:textId="3D323485" w:rsidR="00200081" w:rsidRDefault="00200081" w:rsidP="00F35A26">
    <w:pPr>
      <w:pStyle w:val="Footer"/>
      <w:jc w:val="right"/>
    </w:pPr>
    <w:r>
      <w:fldChar w:fldCharType="begin"/>
    </w:r>
    <w:r>
      <w:instrText xml:space="preserve"> PAGE   \* MERGEFORMAT </w:instrText>
    </w:r>
    <w:r>
      <w:fldChar w:fldCharType="separate"/>
    </w:r>
    <w:r w:rsidR="008F652E">
      <w:rPr>
        <w:noProof/>
      </w:rPr>
      <w:t>30</w:t>
    </w:r>
    <w:r>
      <w:rPr>
        <w:noProof/>
      </w:rPr>
      <w:fldChar w:fldCharType="end"/>
    </w:r>
  </w:p>
  <w:p w14:paraId="22EC5F91" w14:textId="77777777" w:rsidR="00200081" w:rsidRPr="00BB5EAA" w:rsidRDefault="00200081" w:rsidP="00F35A26">
    <w:pPr>
      <w:pStyle w:val="Footer"/>
      <w:ind w:right="360"/>
      <w:jc w:val="center"/>
    </w:pPr>
  </w:p>
  <w:p w14:paraId="611B0D06" w14:textId="77777777" w:rsidR="00200081" w:rsidRDefault="002000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46E07" w14:textId="71AACB5A" w:rsidR="00200081" w:rsidRDefault="008F652E" w:rsidP="008F652E">
    <w:pPr>
      <w:pStyle w:val="Footer"/>
      <w:rPr>
        <w:sz w:val="17"/>
      </w:rPr>
    </w:pPr>
    <w:bookmarkStart w:id="9" w:name="TITUS2FooterPrimary"/>
    <w:r>
      <w:rPr>
        <w:sz w:val="17"/>
      </w:rPr>
      <w:t> </w:t>
    </w:r>
  </w:p>
  <w:bookmarkEnd w:id="9"/>
  <w:p w14:paraId="671B4C3E" w14:textId="77777777" w:rsidR="00200081" w:rsidRDefault="00200081">
    <w:pPr>
      <w:pStyle w:val="Footer"/>
      <w:jc w:val="right"/>
    </w:pPr>
  </w:p>
  <w:p w14:paraId="07EDE407" w14:textId="057735C7" w:rsidR="00200081" w:rsidRDefault="00200081">
    <w:pPr>
      <w:pStyle w:val="Footer"/>
      <w:jc w:val="right"/>
    </w:pPr>
    <w:r>
      <w:fldChar w:fldCharType="begin"/>
    </w:r>
    <w:r>
      <w:instrText xml:space="preserve"> PAGE   \* MERGEFORMAT </w:instrText>
    </w:r>
    <w:r>
      <w:fldChar w:fldCharType="separate"/>
    </w:r>
    <w:r w:rsidR="008F652E">
      <w:rPr>
        <w:noProof/>
      </w:rPr>
      <w:t>31</w:t>
    </w:r>
    <w:r>
      <w:rPr>
        <w:noProof/>
      </w:rPr>
      <w:fldChar w:fldCharType="end"/>
    </w:r>
  </w:p>
  <w:p w14:paraId="4C51A015" w14:textId="77777777" w:rsidR="00200081" w:rsidRPr="00BB5EAA" w:rsidRDefault="0020008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0E328" w14:textId="78468B49" w:rsidR="00200081" w:rsidRDefault="008F652E" w:rsidP="008F652E">
    <w:pPr>
      <w:pStyle w:val="Footer"/>
      <w:rPr>
        <w:sz w:val="17"/>
      </w:rPr>
    </w:pPr>
    <w:bookmarkStart w:id="11" w:name="TITUS2FooterFirstPage"/>
    <w:r>
      <w:rPr>
        <w:sz w:val="17"/>
      </w:rPr>
      <w:t> </w:t>
    </w:r>
  </w:p>
  <w:bookmarkEnd w:id="11"/>
  <w:p w14:paraId="3CFF9D4E" w14:textId="77777777" w:rsidR="00200081" w:rsidRDefault="00200081" w:rsidP="00F35A26">
    <w:pPr>
      <w:pStyle w:val="Footer"/>
      <w:jc w:val="right"/>
    </w:pPr>
  </w:p>
  <w:p w14:paraId="302758D0" w14:textId="5AA1BB60" w:rsidR="00200081" w:rsidRDefault="00200081" w:rsidP="00F35A26">
    <w:pPr>
      <w:pStyle w:val="Footer"/>
      <w:jc w:val="right"/>
    </w:pPr>
    <w:r>
      <w:fldChar w:fldCharType="begin"/>
    </w:r>
    <w:r>
      <w:instrText xml:space="preserve"> PAGE   \* MERGEFORMAT </w:instrText>
    </w:r>
    <w:r>
      <w:fldChar w:fldCharType="separate"/>
    </w:r>
    <w:r w:rsidR="008F652E">
      <w:rPr>
        <w:noProof/>
      </w:rPr>
      <w:t>9</w:t>
    </w:r>
    <w:r>
      <w:rPr>
        <w:noProof/>
      </w:rPr>
      <w:fldChar w:fldCharType="end"/>
    </w:r>
  </w:p>
  <w:p w14:paraId="7086F0F6" w14:textId="77777777" w:rsidR="00200081" w:rsidRPr="00BB5EAA" w:rsidRDefault="00200081" w:rsidP="00F35A26">
    <w:pPr>
      <w:pStyle w:val="Footer"/>
      <w:ind w:right="360"/>
      <w:jc w:val="center"/>
    </w:pPr>
  </w:p>
  <w:p w14:paraId="1D880C3E" w14:textId="77777777" w:rsidR="00200081" w:rsidRDefault="0020008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23BE0" w14:textId="7640D12B" w:rsidR="00200081" w:rsidRDefault="008F652E" w:rsidP="008F652E">
    <w:pPr>
      <w:pStyle w:val="Footer"/>
      <w:rPr>
        <w:sz w:val="17"/>
      </w:rPr>
    </w:pPr>
    <w:bookmarkStart w:id="14" w:name="TITUS3FooterEvenPages"/>
    <w:r>
      <w:rPr>
        <w:sz w:val="17"/>
      </w:rPr>
      <w:t> </w:t>
    </w:r>
  </w:p>
  <w:bookmarkEnd w:id="14"/>
  <w:p w14:paraId="6C66FDA0" w14:textId="77777777" w:rsidR="00200081" w:rsidRDefault="00200081" w:rsidP="00F35A26">
    <w:pPr>
      <w:pStyle w:val="Footer"/>
      <w:jc w:val="right"/>
    </w:pPr>
  </w:p>
  <w:p w14:paraId="62BFB041" w14:textId="77777777" w:rsidR="00200081" w:rsidRDefault="00200081" w:rsidP="00F35A26">
    <w:pPr>
      <w:pStyle w:val="Footer"/>
      <w:jc w:val="right"/>
    </w:pPr>
    <w:r>
      <w:fldChar w:fldCharType="begin"/>
    </w:r>
    <w:r>
      <w:instrText xml:space="preserve"> PAGE   \* MERGEFORMAT </w:instrText>
    </w:r>
    <w:r>
      <w:fldChar w:fldCharType="separate"/>
    </w:r>
    <w:r>
      <w:rPr>
        <w:noProof/>
      </w:rPr>
      <w:t>32</w:t>
    </w:r>
    <w:r>
      <w:rPr>
        <w:noProof/>
      </w:rPr>
      <w:fldChar w:fldCharType="end"/>
    </w:r>
  </w:p>
  <w:p w14:paraId="6ED98A12" w14:textId="77777777" w:rsidR="00200081" w:rsidRPr="00BB5EAA" w:rsidRDefault="00200081" w:rsidP="00F35A26">
    <w:pPr>
      <w:pStyle w:val="Footer"/>
      <w:ind w:right="360"/>
      <w:jc w:val="center"/>
    </w:pPr>
  </w:p>
  <w:p w14:paraId="2A92DA4A" w14:textId="77777777" w:rsidR="00200081" w:rsidRDefault="0020008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10D400" w14:textId="4FE9714B" w:rsidR="00200081" w:rsidRDefault="008F652E" w:rsidP="008F652E">
    <w:pPr>
      <w:pStyle w:val="Footer"/>
      <w:rPr>
        <w:sz w:val="17"/>
      </w:rPr>
    </w:pPr>
    <w:bookmarkStart w:id="15" w:name="TITUS3FooterPrimary"/>
    <w:r>
      <w:rPr>
        <w:sz w:val="17"/>
      </w:rPr>
      <w:t> </w:t>
    </w:r>
  </w:p>
  <w:bookmarkEnd w:id="15"/>
  <w:p w14:paraId="5C67A51B" w14:textId="77777777" w:rsidR="00200081" w:rsidRDefault="00200081">
    <w:pPr>
      <w:pStyle w:val="Footer"/>
      <w:jc w:val="right"/>
    </w:pPr>
  </w:p>
  <w:p w14:paraId="67A1F8F6" w14:textId="42A16109" w:rsidR="00200081" w:rsidRDefault="00200081">
    <w:pPr>
      <w:pStyle w:val="Footer"/>
      <w:jc w:val="right"/>
    </w:pPr>
    <w:r>
      <w:fldChar w:fldCharType="begin"/>
    </w:r>
    <w:r>
      <w:instrText xml:space="preserve"> PAGE   \* MERGEFORMAT </w:instrText>
    </w:r>
    <w:r>
      <w:fldChar w:fldCharType="separate"/>
    </w:r>
    <w:r w:rsidR="008F652E">
      <w:rPr>
        <w:noProof/>
      </w:rPr>
      <w:t>33</w:t>
    </w:r>
    <w:r>
      <w:rPr>
        <w:noProof/>
      </w:rPr>
      <w:fldChar w:fldCharType="end"/>
    </w:r>
  </w:p>
  <w:p w14:paraId="4BD8E409" w14:textId="77777777" w:rsidR="00200081" w:rsidRPr="00BB5EAA" w:rsidRDefault="0020008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4DDB1D" w14:textId="5AD21437" w:rsidR="00200081" w:rsidRDefault="008F652E" w:rsidP="008F652E">
    <w:pPr>
      <w:pStyle w:val="Footer"/>
      <w:rPr>
        <w:sz w:val="17"/>
      </w:rPr>
    </w:pPr>
    <w:bookmarkStart w:id="17" w:name="TITUS3FooterFirstPage"/>
    <w:r>
      <w:rPr>
        <w:sz w:val="17"/>
      </w:rPr>
      <w:t> </w:t>
    </w:r>
  </w:p>
  <w:bookmarkEnd w:id="17"/>
  <w:p w14:paraId="44A94DAB" w14:textId="77777777" w:rsidR="00200081" w:rsidRDefault="00200081" w:rsidP="00F35A26">
    <w:pPr>
      <w:pStyle w:val="Footer"/>
      <w:jc w:val="right"/>
    </w:pPr>
  </w:p>
  <w:p w14:paraId="50DBAD38" w14:textId="7507BAE7" w:rsidR="00200081" w:rsidRDefault="00200081" w:rsidP="00F35A26">
    <w:pPr>
      <w:pStyle w:val="Footer"/>
      <w:jc w:val="right"/>
    </w:pPr>
    <w:r>
      <w:fldChar w:fldCharType="begin"/>
    </w:r>
    <w:r>
      <w:instrText xml:space="preserve"> PAGE   \* MERGEFORMAT </w:instrText>
    </w:r>
    <w:r>
      <w:fldChar w:fldCharType="separate"/>
    </w:r>
    <w:r w:rsidR="008F652E">
      <w:rPr>
        <w:noProof/>
      </w:rPr>
      <w:t>32</w:t>
    </w:r>
    <w:r>
      <w:rPr>
        <w:noProof/>
      </w:rPr>
      <w:fldChar w:fldCharType="end"/>
    </w:r>
  </w:p>
  <w:p w14:paraId="16911457" w14:textId="77777777" w:rsidR="00200081" w:rsidRPr="00BB5EAA" w:rsidRDefault="00200081" w:rsidP="00F35A26">
    <w:pPr>
      <w:pStyle w:val="Footer"/>
      <w:ind w:right="360"/>
      <w:jc w:val="center"/>
    </w:pPr>
  </w:p>
  <w:p w14:paraId="24C8887E" w14:textId="77777777" w:rsidR="00200081" w:rsidRDefault="0020008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D1E1E" w14:textId="48342DC7" w:rsidR="00200081" w:rsidRDefault="008F652E" w:rsidP="008F652E">
    <w:pPr>
      <w:pStyle w:val="Footer"/>
      <w:rPr>
        <w:sz w:val="17"/>
      </w:rPr>
    </w:pPr>
    <w:bookmarkStart w:id="21" w:name="TITUS4FooterEvenPages"/>
    <w:r>
      <w:rPr>
        <w:sz w:val="17"/>
      </w:rPr>
      <w:t> </w:t>
    </w:r>
  </w:p>
  <w:bookmarkEnd w:id="21"/>
  <w:p w14:paraId="2EC1EE0D" w14:textId="77777777" w:rsidR="00200081" w:rsidRDefault="00200081" w:rsidP="00F35A26">
    <w:pPr>
      <w:pStyle w:val="Footer"/>
      <w:jc w:val="right"/>
    </w:pPr>
  </w:p>
  <w:p w14:paraId="6FF91F0A" w14:textId="77777777" w:rsidR="00200081" w:rsidRDefault="00200081" w:rsidP="00F35A26">
    <w:pPr>
      <w:pStyle w:val="Footer"/>
      <w:jc w:val="right"/>
    </w:pPr>
    <w:r>
      <w:fldChar w:fldCharType="begin"/>
    </w:r>
    <w:r>
      <w:instrText xml:space="preserve"> PAGE   \* MERGEFORMAT </w:instrText>
    </w:r>
    <w:r>
      <w:fldChar w:fldCharType="separate"/>
    </w:r>
    <w:r>
      <w:rPr>
        <w:noProof/>
      </w:rPr>
      <w:t>32</w:t>
    </w:r>
    <w:r>
      <w:rPr>
        <w:noProof/>
      </w:rPr>
      <w:fldChar w:fldCharType="end"/>
    </w:r>
  </w:p>
  <w:p w14:paraId="4328C109" w14:textId="77777777" w:rsidR="00200081" w:rsidRPr="00BB5EAA" w:rsidRDefault="00200081" w:rsidP="00F35A26">
    <w:pPr>
      <w:pStyle w:val="Footer"/>
      <w:ind w:right="360"/>
      <w:jc w:val="center"/>
    </w:pPr>
  </w:p>
  <w:p w14:paraId="0D826099" w14:textId="77777777" w:rsidR="00200081" w:rsidRDefault="0020008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CA6546" w14:textId="4BC24B55" w:rsidR="00200081" w:rsidRDefault="008F652E" w:rsidP="008F652E">
    <w:pPr>
      <w:pStyle w:val="Footer"/>
      <w:rPr>
        <w:sz w:val="17"/>
      </w:rPr>
    </w:pPr>
    <w:bookmarkStart w:id="22" w:name="TITUS4FooterPrimary"/>
    <w:r>
      <w:rPr>
        <w:sz w:val="17"/>
      </w:rPr>
      <w:t> </w:t>
    </w:r>
  </w:p>
  <w:bookmarkEnd w:id="22"/>
  <w:p w14:paraId="11989E42" w14:textId="77777777" w:rsidR="00200081" w:rsidRDefault="00200081">
    <w:pPr>
      <w:pStyle w:val="Footer"/>
      <w:jc w:val="right"/>
    </w:pPr>
  </w:p>
  <w:p w14:paraId="5F9BF888" w14:textId="77777777" w:rsidR="00200081" w:rsidRDefault="00200081">
    <w:pPr>
      <w:pStyle w:val="Footer"/>
      <w:jc w:val="right"/>
    </w:pPr>
    <w:r>
      <w:fldChar w:fldCharType="begin"/>
    </w:r>
    <w:r>
      <w:instrText xml:space="preserve"> PAGE   \* MERGEFORMAT </w:instrText>
    </w:r>
    <w:r>
      <w:fldChar w:fldCharType="separate"/>
    </w:r>
    <w:r>
      <w:rPr>
        <w:noProof/>
      </w:rPr>
      <w:t>31</w:t>
    </w:r>
    <w:r>
      <w:rPr>
        <w:noProof/>
      </w:rPr>
      <w:fldChar w:fldCharType="end"/>
    </w:r>
  </w:p>
  <w:p w14:paraId="7D9A6BE5" w14:textId="77777777" w:rsidR="00200081" w:rsidRPr="00BB5EAA" w:rsidRDefault="0020008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150E3" w14:textId="0BFAA552" w:rsidR="00200081" w:rsidRDefault="008F652E" w:rsidP="008F652E">
    <w:pPr>
      <w:pStyle w:val="Footer"/>
      <w:rPr>
        <w:sz w:val="17"/>
      </w:rPr>
    </w:pPr>
    <w:bookmarkStart w:id="24" w:name="TITUS4FooterFirstPage"/>
    <w:r>
      <w:rPr>
        <w:sz w:val="17"/>
      </w:rPr>
      <w:t> </w:t>
    </w:r>
  </w:p>
  <w:bookmarkEnd w:id="24"/>
  <w:p w14:paraId="155190AC" w14:textId="77777777" w:rsidR="00200081" w:rsidRDefault="00200081" w:rsidP="00F35A26">
    <w:pPr>
      <w:pStyle w:val="Footer"/>
      <w:jc w:val="right"/>
    </w:pPr>
  </w:p>
  <w:p w14:paraId="2E78FFB0" w14:textId="10832F07" w:rsidR="00200081" w:rsidRDefault="00200081" w:rsidP="00F35A26">
    <w:pPr>
      <w:pStyle w:val="Footer"/>
      <w:jc w:val="right"/>
    </w:pPr>
    <w:r>
      <w:fldChar w:fldCharType="begin"/>
    </w:r>
    <w:r>
      <w:instrText xml:space="preserve"> PAGE   \* MERGEFORMAT </w:instrText>
    </w:r>
    <w:r>
      <w:fldChar w:fldCharType="separate"/>
    </w:r>
    <w:r w:rsidR="008F652E">
      <w:rPr>
        <w:noProof/>
      </w:rPr>
      <w:t>34</w:t>
    </w:r>
    <w:r>
      <w:rPr>
        <w:noProof/>
      </w:rPr>
      <w:fldChar w:fldCharType="end"/>
    </w:r>
  </w:p>
  <w:p w14:paraId="72F5DA14" w14:textId="77777777" w:rsidR="00200081" w:rsidRPr="00BB5EAA" w:rsidRDefault="00200081" w:rsidP="00F35A26">
    <w:pPr>
      <w:pStyle w:val="Footer"/>
      <w:ind w:right="360"/>
      <w:jc w:val="center"/>
    </w:pPr>
  </w:p>
  <w:p w14:paraId="2C38B7A3" w14:textId="77777777" w:rsidR="00200081" w:rsidRDefault="00200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7EE292" w14:textId="77777777" w:rsidR="00040D74" w:rsidRDefault="00040D74">
      <w:r>
        <w:separator/>
      </w:r>
    </w:p>
  </w:footnote>
  <w:footnote w:type="continuationSeparator" w:id="0">
    <w:p w14:paraId="31434904" w14:textId="77777777" w:rsidR="00040D74" w:rsidRDefault="00040D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3A33F" w14:textId="0A487D45" w:rsidR="00200081" w:rsidRDefault="008F652E" w:rsidP="008F652E">
    <w:pPr>
      <w:pStyle w:val="Header"/>
      <w:rPr>
        <w:sz w:val="17"/>
      </w:rPr>
    </w:pPr>
    <w:bookmarkStart w:id="0" w:name="TITUS1HeaderEvenPages"/>
    <w:r>
      <w:rPr>
        <w:sz w:val="17"/>
      </w:rPr>
      <w:t> </w:t>
    </w:r>
  </w:p>
  <w:bookmarkEnd w:id="0"/>
  <w:p w14:paraId="27932F82" w14:textId="77777777" w:rsidR="00200081" w:rsidRDefault="00200081" w:rsidP="00334F9F">
    <w:pPr>
      <w:pStyle w:val="Header"/>
    </w:pPr>
  </w:p>
  <w:p w14:paraId="3E0B2422" w14:textId="77777777" w:rsidR="00200081" w:rsidRDefault="002000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EA9B4" w14:textId="36C77447" w:rsidR="00200081" w:rsidRDefault="008F652E" w:rsidP="008F652E">
    <w:pPr>
      <w:pStyle w:val="Header"/>
      <w:rPr>
        <w:sz w:val="17"/>
      </w:rPr>
    </w:pPr>
    <w:bookmarkStart w:id="1" w:name="TITUS1HeaderPrimary"/>
    <w:r>
      <w:rPr>
        <w:sz w:val="17"/>
      </w:rPr>
      <w:t> </w:t>
    </w:r>
  </w:p>
  <w:bookmarkEnd w:id="1"/>
  <w:p w14:paraId="7709744D" w14:textId="77777777" w:rsidR="00200081" w:rsidRDefault="002000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372BA" w14:textId="4A7FCFE8" w:rsidR="00200081" w:rsidRDefault="008F652E" w:rsidP="008F652E">
    <w:pPr>
      <w:pStyle w:val="Header"/>
      <w:rPr>
        <w:sz w:val="17"/>
      </w:rPr>
    </w:pPr>
    <w:bookmarkStart w:id="4" w:name="TITUS1HeaderFirstPage"/>
    <w:r>
      <w:rPr>
        <w:sz w:val="17"/>
      </w:rPr>
      <w:t> </w:t>
    </w:r>
  </w:p>
  <w:bookmarkEnd w:id="4"/>
  <w:p w14:paraId="5B521EA2" w14:textId="77777777" w:rsidR="00200081" w:rsidRDefault="002000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6F717" w14:textId="752D07EE" w:rsidR="00200081" w:rsidRDefault="008F652E" w:rsidP="008F652E">
    <w:pPr>
      <w:pStyle w:val="Header"/>
      <w:rPr>
        <w:sz w:val="17"/>
      </w:rPr>
    </w:pPr>
    <w:bookmarkStart w:id="6" w:name="TITUS2HeaderEvenPages"/>
    <w:r>
      <w:rPr>
        <w:sz w:val="17"/>
      </w:rPr>
      <w:t> </w:t>
    </w:r>
  </w:p>
  <w:bookmarkEnd w:id="6"/>
  <w:p w14:paraId="5C5F2A72" w14:textId="77777777" w:rsidR="00200081" w:rsidRDefault="00200081" w:rsidP="00F35A26">
    <w:pPr>
      <w:pStyle w:val="Header"/>
    </w:pPr>
  </w:p>
  <w:p w14:paraId="5CD3E3A8" w14:textId="77777777" w:rsidR="00200081" w:rsidRDefault="002000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6F9D4" w14:textId="3AB92890" w:rsidR="00200081" w:rsidRDefault="008F652E" w:rsidP="008F652E">
    <w:pPr>
      <w:pStyle w:val="Header"/>
      <w:rPr>
        <w:sz w:val="17"/>
      </w:rPr>
    </w:pPr>
    <w:bookmarkStart w:id="7" w:name="TITUS2HeaderPrimary"/>
    <w:r>
      <w:rPr>
        <w:sz w:val="17"/>
      </w:rPr>
      <w:t> </w:t>
    </w:r>
  </w:p>
  <w:bookmarkEnd w:id="7"/>
  <w:p w14:paraId="59F3954B" w14:textId="77777777" w:rsidR="00200081" w:rsidRDefault="002000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DF336" w14:textId="1AFE9B7F" w:rsidR="00200081" w:rsidRDefault="008F652E" w:rsidP="008F652E">
    <w:pPr>
      <w:pStyle w:val="Header"/>
      <w:rPr>
        <w:sz w:val="17"/>
      </w:rPr>
    </w:pPr>
    <w:bookmarkStart w:id="10" w:name="TITUS2HeaderFirstPage"/>
    <w:r>
      <w:rPr>
        <w:sz w:val="17"/>
      </w:rPr>
      <w:t> </w:t>
    </w:r>
  </w:p>
  <w:bookmarkEnd w:id="10"/>
  <w:p w14:paraId="532C2678" w14:textId="77777777" w:rsidR="00200081" w:rsidRDefault="00200081" w:rsidP="00F35A26">
    <w:pPr>
      <w:pStyle w:val="Header"/>
    </w:pPr>
  </w:p>
  <w:p w14:paraId="469B52D0" w14:textId="77777777" w:rsidR="00200081" w:rsidRDefault="0020008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05D45" w14:textId="1A8A6A0C" w:rsidR="00200081" w:rsidRDefault="008F652E" w:rsidP="008F652E">
    <w:pPr>
      <w:pStyle w:val="Header"/>
      <w:rPr>
        <w:sz w:val="17"/>
      </w:rPr>
    </w:pPr>
    <w:bookmarkStart w:id="12" w:name="TITUS3HeaderEvenPages"/>
    <w:r>
      <w:rPr>
        <w:sz w:val="17"/>
      </w:rPr>
      <w:t> </w:t>
    </w:r>
  </w:p>
  <w:bookmarkEnd w:id="12"/>
  <w:p w14:paraId="43742A58" w14:textId="77777777" w:rsidR="00200081" w:rsidRDefault="00200081" w:rsidP="00F35A26">
    <w:pPr>
      <w:pStyle w:val="Header"/>
    </w:pPr>
  </w:p>
  <w:p w14:paraId="31A71388" w14:textId="77777777" w:rsidR="00200081" w:rsidRDefault="0020008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8A562" w14:textId="535581FE" w:rsidR="00200081" w:rsidRDefault="008F652E" w:rsidP="008F652E">
    <w:pPr>
      <w:pStyle w:val="Header"/>
      <w:rPr>
        <w:sz w:val="17"/>
      </w:rPr>
    </w:pPr>
    <w:bookmarkStart w:id="13" w:name="TITUS3HeaderPrimary"/>
    <w:r>
      <w:rPr>
        <w:sz w:val="17"/>
      </w:rPr>
      <w:t> </w:t>
    </w:r>
  </w:p>
  <w:bookmarkEnd w:id="13"/>
  <w:p w14:paraId="5DE1F315" w14:textId="77777777" w:rsidR="00200081" w:rsidRDefault="0020008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32A78" w14:textId="4F273D00" w:rsidR="00200081" w:rsidRDefault="008F652E" w:rsidP="008F652E">
    <w:pPr>
      <w:pStyle w:val="Header"/>
      <w:rPr>
        <w:sz w:val="17"/>
      </w:rPr>
    </w:pPr>
    <w:bookmarkStart w:id="16" w:name="TITUS3HeaderFirstPage"/>
    <w:r>
      <w:rPr>
        <w:sz w:val="17"/>
      </w:rPr>
      <w:t> </w:t>
    </w:r>
  </w:p>
  <w:bookmarkEnd w:id="16"/>
  <w:p w14:paraId="6B65CB28" w14:textId="77777777" w:rsidR="00200081" w:rsidRDefault="00200081" w:rsidP="00F35A26">
    <w:pPr>
      <w:pStyle w:val="Header"/>
    </w:pPr>
  </w:p>
  <w:p w14:paraId="7372302C" w14:textId="77777777" w:rsidR="00200081" w:rsidRDefault="0020008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BF75D" w14:textId="389D473F" w:rsidR="00200081" w:rsidRDefault="008F652E" w:rsidP="008F652E">
    <w:pPr>
      <w:pStyle w:val="Header"/>
      <w:rPr>
        <w:sz w:val="17"/>
      </w:rPr>
    </w:pPr>
    <w:bookmarkStart w:id="19" w:name="TITUS4HeaderEvenPages"/>
    <w:r>
      <w:rPr>
        <w:sz w:val="17"/>
      </w:rPr>
      <w:t> </w:t>
    </w:r>
  </w:p>
  <w:bookmarkEnd w:id="19"/>
  <w:p w14:paraId="1304BD1D" w14:textId="77777777" w:rsidR="00200081" w:rsidRDefault="00200081" w:rsidP="00F35A26">
    <w:pPr>
      <w:pStyle w:val="Header"/>
    </w:pPr>
  </w:p>
  <w:p w14:paraId="43ED9196" w14:textId="77777777" w:rsidR="00200081" w:rsidRDefault="0020008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20A26" w14:textId="1D95F9E8" w:rsidR="00200081" w:rsidRDefault="008F652E" w:rsidP="008F652E">
    <w:pPr>
      <w:pStyle w:val="Header"/>
      <w:rPr>
        <w:sz w:val="17"/>
      </w:rPr>
    </w:pPr>
    <w:bookmarkStart w:id="20" w:name="TITUS4HeaderPrimary"/>
    <w:r>
      <w:rPr>
        <w:sz w:val="17"/>
      </w:rPr>
      <w:t> </w:t>
    </w:r>
  </w:p>
  <w:bookmarkEnd w:id="20"/>
  <w:p w14:paraId="6B22E668" w14:textId="77777777" w:rsidR="00200081" w:rsidRDefault="0020008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52335" w14:textId="53A937CD" w:rsidR="00200081" w:rsidRDefault="008F652E" w:rsidP="008F652E">
    <w:pPr>
      <w:pStyle w:val="Header"/>
      <w:rPr>
        <w:sz w:val="17"/>
      </w:rPr>
    </w:pPr>
    <w:bookmarkStart w:id="23" w:name="TITUS4HeaderFirstPage"/>
    <w:r>
      <w:rPr>
        <w:sz w:val="17"/>
      </w:rPr>
      <w:t> </w:t>
    </w:r>
  </w:p>
  <w:bookmarkEnd w:id="23"/>
  <w:p w14:paraId="6AB51556" w14:textId="77777777" w:rsidR="00200081" w:rsidRDefault="00200081" w:rsidP="00F35A26">
    <w:pPr>
      <w:pStyle w:val="Header"/>
    </w:pPr>
  </w:p>
  <w:p w14:paraId="673DB523" w14:textId="77777777" w:rsidR="00200081" w:rsidRDefault="002000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8EA"/>
    <w:rsid w:val="00020EEC"/>
    <w:rsid w:val="00025650"/>
    <w:rsid w:val="00026FAB"/>
    <w:rsid w:val="00027B1F"/>
    <w:rsid w:val="0003088B"/>
    <w:rsid w:val="000325D9"/>
    <w:rsid w:val="00033C47"/>
    <w:rsid w:val="000372B2"/>
    <w:rsid w:val="0004040E"/>
    <w:rsid w:val="0004079F"/>
    <w:rsid w:val="000407DC"/>
    <w:rsid w:val="00040D74"/>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3725"/>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48B2"/>
    <w:rsid w:val="001C0E74"/>
    <w:rsid w:val="001C6CEC"/>
    <w:rsid w:val="001D1C68"/>
    <w:rsid w:val="001D229F"/>
    <w:rsid w:val="001D6162"/>
    <w:rsid w:val="001E7592"/>
    <w:rsid w:val="001F3878"/>
    <w:rsid w:val="001F4552"/>
    <w:rsid w:val="001F6939"/>
    <w:rsid w:val="001F76AE"/>
    <w:rsid w:val="00200081"/>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4F9F"/>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6A86"/>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3549"/>
    <w:rsid w:val="00606E27"/>
    <w:rsid w:val="006108C9"/>
    <w:rsid w:val="00615C7E"/>
    <w:rsid w:val="0062158D"/>
    <w:rsid w:val="00630F39"/>
    <w:rsid w:val="006326D1"/>
    <w:rsid w:val="00632E0A"/>
    <w:rsid w:val="00633165"/>
    <w:rsid w:val="00636B6C"/>
    <w:rsid w:val="006447DE"/>
    <w:rsid w:val="00652334"/>
    <w:rsid w:val="0065276E"/>
    <w:rsid w:val="00654329"/>
    <w:rsid w:val="00654CEC"/>
    <w:rsid w:val="00655507"/>
    <w:rsid w:val="006712A7"/>
    <w:rsid w:val="006733CC"/>
    <w:rsid w:val="00674FC2"/>
    <w:rsid w:val="006750DB"/>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5730"/>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652E"/>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35A26"/>
    <w:rsid w:val="00F4043E"/>
    <w:rsid w:val="00F40CB5"/>
    <w:rsid w:val="00F41BBC"/>
    <w:rsid w:val="00F43B9D"/>
    <w:rsid w:val="00F444F0"/>
    <w:rsid w:val="00F50847"/>
    <w:rsid w:val="00F53F27"/>
    <w:rsid w:val="00F546D1"/>
    <w:rsid w:val="00F6513F"/>
    <w:rsid w:val="00F66272"/>
    <w:rsid w:val="00F66399"/>
    <w:rsid w:val="00F665BB"/>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F35A26"/>
    <w:pPr>
      <w:overflowPunct/>
      <w:autoSpaceDE/>
      <w:autoSpaceDN/>
      <w:adjustRightInd/>
      <w:spacing w:after="160" w:line="259" w:lineRule="auto"/>
      <w:textAlignment w:val="auto"/>
    </w:pPr>
    <w:rPr>
      <w:rFonts w:asciiTheme="minorHAnsi" w:hAnsiTheme="minorHAnsi" w:cs="Times New Roman"/>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eader" Target="header5.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header" Target="header6.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2.png"/><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4.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footer" Target="foot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B7D86B4-008F-4CFE-8C2D-E7F8D8680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34</Pages>
  <Words>9040</Words>
  <Characters>52347</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Arran,Danielle swp6480</cp:lastModifiedBy>
  <cp:revision>6</cp:revision>
  <cp:lastPrinted>2020-01-19T16:43:00Z</cp:lastPrinted>
  <dcterms:created xsi:type="dcterms:W3CDTF">2020-01-19T16:48:00Z</dcterms:created>
  <dcterms:modified xsi:type="dcterms:W3CDTF">2020-01-19T17:04:00Z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6fb358cf-b69c-4af5-8b03-d30ef6f6439f</vt:lpwstr>
  </property>
  <property fmtid="{D5CDD505-2E9C-101B-9397-08002B2CF9AE}" pid="4" name="Classification">
    <vt:lpwstr>OFFICIAL</vt:lpwstr>
  </property>
  <property fmtid="{D5CDD505-2E9C-101B-9397-08002B2CF9AE}" pid="5" name="Visibility">
    <vt:lpwstr>NOT VISIBLE</vt:lpwstr>
  </property>
</Properties>
</file>