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6A22B394" w:rsidP="7D1D1796" w:rsidRDefault="6A22B394" w14:paraId="65825D62" w14:textId="40F9295F">
      <w:pPr>
        <w:pStyle w:val="Normal"/>
      </w:pPr>
      <w:r w:rsidR="6A22B394">
        <w:rPr/>
        <w:t xml:space="preserve">In the legal system of the United Kingdom, consent is a basic concept that forms the basis of several legal areas, including criminal law. This essay aims to critically assess the UK's conception of consent and how important it is in battery cases. Although permission is widely </w:t>
      </w:r>
      <w:r w:rsidR="6A22B394">
        <w:rPr/>
        <w:t>recognised</w:t>
      </w:r>
      <w:r w:rsidR="6A22B394">
        <w:rPr/>
        <w:t xml:space="preserve"> as a defense against battery accusations, a careful analysis is necessary due to the complexity of its application, interpretation, and abuse potential.</w:t>
      </w:r>
      <w:r w:rsidR="63FAB4D1">
        <w:rPr/>
        <w:t xml:space="preserve"> </w:t>
      </w:r>
      <w:r w:rsidR="5B2CBCE4">
        <w:rPr/>
        <w:t>The concept of consent is significantly shaped by the ethical and philosophical dimensions of criminal law, which have an impact on case law as well as legal concepts. By looking at these elements, one can have a better understanding of the moral principles that support the legal definition of consent in the context of criminal law.</w:t>
      </w:r>
    </w:p>
    <w:p w:rsidR="5103DDE6" w:rsidP="7D1D1796" w:rsidRDefault="5103DDE6" w14:paraId="28FB5893" w14:textId="42AB8313">
      <w:pPr>
        <w:pStyle w:val="Normal"/>
        <w:rPr>
          <w:rFonts w:ascii="Calibri" w:hAnsi="Calibri" w:eastAsia="Calibri" w:cs="Calibri"/>
          <w:noProof w:val="0"/>
          <w:sz w:val="22"/>
          <w:szCs w:val="22"/>
          <w:lang w:val="en-US"/>
        </w:rPr>
      </w:pPr>
      <w:r w:rsidR="5103DDE6">
        <w:rPr/>
        <w:t>Determining</w:t>
      </w:r>
      <w:r w:rsidR="5103DDE6">
        <w:rPr/>
        <w:t xml:space="preserve"> Consent in the Battery Context, </w:t>
      </w:r>
      <w:r w:rsidR="5103DDE6">
        <w:rPr/>
        <w:t>establishing</w:t>
      </w:r>
      <w:r w:rsidR="5103DDE6">
        <w:rPr/>
        <w:t xml:space="preserve"> a clear understanding of consent is crucial before beginning the evaluation, especially in the context of batteries. Battery, as used in criminal law, describes the willful and illegal use of force against another person. In this situation, consent acts as a </w:t>
      </w:r>
      <w:r w:rsidR="5103DDE6">
        <w:rPr/>
        <w:t>defense</w:t>
      </w:r>
      <w:r w:rsidR="5103DDE6">
        <w:rPr/>
        <w:t xml:space="preserve"> by implying that the victim knew and voluntarily consented to the use of force.</w:t>
      </w:r>
      <w:r w:rsidR="30433456">
        <w:rPr/>
        <w:t xml:space="preserve"> </w:t>
      </w:r>
      <w:r w:rsidR="5103DDE6">
        <w:rPr/>
        <w:t xml:space="preserve">Both explicit and implicit consent, Understanding the difference between explicit and implied consent is essential to </w:t>
      </w:r>
      <w:r w:rsidR="5103DDE6">
        <w:rPr/>
        <w:t>determining</w:t>
      </w:r>
      <w:r w:rsidR="5103DDE6">
        <w:rPr/>
        <w:t xml:space="preserve"> its applicability in battery instances. Implied permission is inferred from the circumstances or the </w:t>
      </w:r>
      <w:r w:rsidR="5103DDE6">
        <w:rPr/>
        <w:t>behaviour</w:t>
      </w:r>
      <w:r w:rsidR="5103DDE6">
        <w:rPr/>
        <w:t xml:space="preserve"> of the parties, </w:t>
      </w:r>
      <w:r w:rsidR="5103DDE6">
        <w:rPr/>
        <w:t>whereas</w:t>
      </w:r>
      <w:r w:rsidR="5103DDE6">
        <w:rPr/>
        <w:t xml:space="preserve"> express consent is overt, verbal, and </w:t>
      </w:r>
      <w:r w:rsidR="5103DDE6">
        <w:rPr/>
        <w:t>frequently</w:t>
      </w:r>
      <w:r w:rsidR="5103DDE6">
        <w:rPr/>
        <w:t xml:space="preserve"> obtained through explicit communication. </w:t>
      </w:r>
      <w:r w:rsidR="5103DDE6">
        <w:rPr/>
        <w:t>Determining</w:t>
      </w:r>
      <w:r w:rsidR="5103DDE6">
        <w:rPr/>
        <w:t xml:space="preserve"> the extent of implied permission is difficult since it might be ambiguous and subjective.</w:t>
      </w:r>
      <w:r w:rsidR="3B96E6E1">
        <w:rPr/>
        <w:t xml:space="preserve"> </w:t>
      </w:r>
      <w:r w:rsidR="1906C771">
        <w:rPr/>
        <w:t>In the UK, permission can protect a person from violence charges. The idea that people have the right to autonomy over their own bodies is acknowledged by the legal system.</w:t>
      </w:r>
    </w:p>
    <w:p w:rsidR="1906C771" w:rsidP="7D1D1796" w:rsidRDefault="1906C771" w14:paraId="33CB5D11" w14:textId="01587463">
      <w:pPr>
        <w:pStyle w:val="Normal"/>
        <w:rPr>
          <w:rFonts w:ascii="Calibri" w:hAnsi="Calibri" w:eastAsia="Calibri" w:cs="Calibri"/>
          <w:noProof w:val="0"/>
          <w:sz w:val="22"/>
          <w:szCs w:val="22"/>
          <w:lang w:val="en-US"/>
        </w:rPr>
      </w:pPr>
      <w:r w:rsidR="1906C771">
        <w:rPr/>
        <w:t xml:space="preserve"> </w:t>
      </w:r>
      <w:r w:rsidR="1906C771">
        <w:rPr/>
        <w:t>In order for</w:t>
      </w:r>
      <w:r w:rsidR="1906C771">
        <w:rPr/>
        <w:t xml:space="preserve"> consent to be admissible as a </w:t>
      </w:r>
      <w:r w:rsidR="1906C771">
        <w:rPr/>
        <w:t>defence</w:t>
      </w:r>
      <w:r w:rsidR="1906C771">
        <w:rPr/>
        <w:t xml:space="preserve">, it needs to be freely given, informed, and not </w:t>
      </w:r>
      <w:r w:rsidR="1906C771">
        <w:rPr/>
        <w:t>acquired</w:t>
      </w:r>
      <w:r w:rsidR="1906C771">
        <w:rPr/>
        <w:t xml:space="preserve"> by force or intimidation. </w:t>
      </w:r>
      <w:r w:rsidR="1906C771">
        <w:rPr/>
        <w:t>The person giving permission has to be able to comprehend the nature of the action they are consenting to.</w:t>
      </w:r>
      <w:r w:rsidR="1906C771">
        <w:rPr/>
        <w:t xml:space="preserve"> </w:t>
      </w:r>
      <w:r w:rsidR="3B96E6E1">
        <w:rPr/>
        <w:t xml:space="preserve">Difficulties in Obtaining Sincere Consent, </w:t>
      </w:r>
      <w:r w:rsidR="33B4AA92">
        <w:rPr/>
        <w:t>although</w:t>
      </w:r>
      <w:r w:rsidR="3B96E6E1">
        <w:rPr/>
        <w:t xml:space="preserve"> permission is a legally </w:t>
      </w:r>
      <w:r w:rsidR="3B96E6E1">
        <w:rPr/>
        <w:t>recognised</w:t>
      </w:r>
      <w:r w:rsidR="3B96E6E1">
        <w:rPr/>
        <w:t xml:space="preserve"> </w:t>
      </w:r>
      <w:r w:rsidR="3B96E6E1">
        <w:rPr/>
        <w:t>d</w:t>
      </w:r>
      <w:r w:rsidR="3B96E6E1">
        <w:rPr/>
        <w:t>efence</w:t>
      </w:r>
      <w:r w:rsidR="3B96E6E1">
        <w:rPr/>
        <w:t>,</w:t>
      </w:r>
      <w:r w:rsidR="3B96E6E1">
        <w:rPr/>
        <w:t xml:space="preserve"> there are several difficulties in using it. The capacity to prove sincere and voluntary consent is one of the </w:t>
      </w:r>
      <w:r w:rsidR="3B96E6E1">
        <w:rPr/>
        <w:t>m</w:t>
      </w:r>
      <w:r w:rsidR="3B96E6E1">
        <w:rPr/>
        <w:t>ain issues</w:t>
      </w:r>
      <w:r w:rsidR="3B96E6E1">
        <w:rPr/>
        <w:t>.</w:t>
      </w:r>
      <w:r w:rsidR="3B96E6E1">
        <w:rPr/>
        <w:t xml:space="preserve"> The validity of permission might be questioned by elements like coercion, duress, intoxication, or the existence of an unequal power dynamic. </w:t>
      </w:r>
      <w:r w:rsidR="54269C84">
        <w:rPr/>
        <w:t xml:space="preserve">The idea of permission has taken on </w:t>
      </w:r>
      <w:r w:rsidR="14D8BF8B">
        <w:rPr/>
        <w:t>a new</w:t>
      </w:r>
      <w:r w:rsidR="54269C84">
        <w:rPr/>
        <w:t xml:space="preserve"> meaning in the digital era. </w:t>
      </w:r>
    </w:p>
    <w:p w:rsidR="54269C84" w:rsidP="7D1D1796" w:rsidRDefault="54269C84" w14:paraId="417084C6" w14:textId="4636F15F">
      <w:pPr>
        <w:pStyle w:val="Normal"/>
        <w:rPr>
          <w:rFonts w:ascii="Calibri" w:hAnsi="Calibri" w:eastAsia="Calibri" w:cs="Calibri"/>
          <w:noProof w:val="0"/>
          <w:sz w:val="22"/>
          <w:szCs w:val="22"/>
          <w:lang w:val="en-US"/>
        </w:rPr>
      </w:pPr>
      <w:r w:rsidR="54269C84">
        <w:rPr/>
        <w:t xml:space="preserve">When it comes to instances involving technology—like private photos released without permission—the legal system needs to change to meet </w:t>
      </w:r>
      <w:r w:rsidR="54269C84">
        <w:rPr/>
        <w:t>new issues</w:t>
      </w:r>
      <w:r w:rsidR="54269C84">
        <w:rPr/>
        <w:t xml:space="preserve">. The necessity for a strong legal framework that manages the intricacies of contemporary communication is highlighted by the ease with which digital manipulation can occur as well as the possibility of non-consensual sharing of sensitive content. </w:t>
      </w:r>
      <w:r w:rsidR="3B96E6E1">
        <w:rPr/>
        <w:t>The legal system has the challenge of distinguishing between genuine consent and instances in which permission is solely the result of outside influences.</w:t>
      </w:r>
      <w:r w:rsidR="7F443659">
        <w:rPr/>
        <w:t xml:space="preserve"> </w:t>
      </w:r>
    </w:p>
    <w:p w:rsidR="00916528" w:rsidP="7D1D1796" w:rsidRDefault="00916528" w14:paraId="06D37828" w14:textId="5E6BCC76">
      <w:pPr>
        <w:pStyle w:val="Normal"/>
        <w:rPr>
          <w:rFonts w:ascii="Calibri" w:hAnsi="Calibri" w:eastAsia="Calibri" w:cs="Calibri"/>
          <w:noProof w:val="0"/>
          <w:sz w:val="22"/>
          <w:szCs w:val="22"/>
          <w:lang w:val="en-US"/>
        </w:rPr>
      </w:pPr>
      <w:r w:rsidR="00916528">
        <w:rPr/>
        <w:t xml:space="preserve">According to (Edwards, 2018) the concept of consent is significantly shaped by the ethical and philosophical dimensions of criminal law, which </w:t>
      </w:r>
      <w:r w:rsidR="00916528">
        <w:rPr/>
        <w:t>impact</w:t>
      </w:r>
      <w:r w:rsidR="00916528">
        <w:rPr/>
        <w:t xml:space="preserve"> case law and legal concepts.</w:t>
      </w:r>
      <w:r w:rsidRPr="7D1D1796" w:rsidR="28DBD923">
        <w:rPr>
          <w:rFonts w:ascii="Calibri" w:hAnsi="Calibri" w:eastAsia="Calibri" w:cs="Calibri"/>
          <w:noProof w:val="0"/>
          <w:sz w:val="22"/>
          <w:szCs w:val="22"/>
          <w:lang w:val="en-US"/>
        </w:rPr>
        <w:t xml:space="preserve"> By looking at these elements, one can have a better understanding of the moral principles that support the legal definition of consent in the context of criminal law.</w:t>
      </w:r>
      <w:r w:rsidRPr="7D1D1796" w:rsidR="5AFBB8A4">
        <w:rPr>
          <w:rFonts w:ascii="Calibri" w:hAnsi="Calibri" w:eastAsia="Calibri" w:cs="Calibri"/>
          <w:noProof w:val="0"/>
          <w:sz w:val="22"/>
          <w:szCs w:val="22"/>
          <w:lang w:val="en-US"/>
        </w:rPr>
        <w:t xml:space="preserve"> </w:t>
      </w:r>
    </w:p>
    <w:p w:rsidR="5A3FBE31" w:rsidP="7D1D1796" w:rsidRDefault="5A3FBE31" w14:paraId="1BEEAFA8" w14:textId="70A0F0E8">
      <w:pPr>
        <w:pStyle w:val="Normal"/>
        <w:rPr>
          <w:rFonts w:ascii="Calibri" w:hAnsi="Calibri" w:eastAsia="Calibri" w:cs="Calibri"/>
          <w:noProof w:val="0"/>
          <w:sz w:val="22"/>
          <w:szCs w:val="22"/>
          <w:lang w:val="en-US"/>
        </w:rPr>
      </w:pPr>
      <w:r w:rsidRPr="7D1D1796" w:rsidR="5A3FBE31">
        <w:rPr>
          <w:rFonts w:ascii="Calibri" w:hAnsi="Calibri" w:eastAsia="Calibri" w:cs="Calibri"/>
          <w:noProof w:val="0"/>
          <w:sz w:val="22"/>
          <w:szCs w:val="22"/>
          <w:lang w:val="en-US"/>
        </w:rPr>
        <w:t>Autonomy and Individual Rights</w:t>
      </w:r>
      <w:r w:rsidRPr="7D1D1796" w:rsidR="606785D4">
        <w:rPr>
          <w:rFonts w:ascii="Calibri" w:hAnsi="Calibri" w:eastAsia="Calibri" w:cs="Calibri"/>
          <w:noProof w:val="0"/>
          <w:sz w:val="22"/>
          <w:szCs w:val="22"/>
          <w:lang w:val="en-US"/>
        </w:rPr>
        <w:t>,</w:t>
      </w:r>
      <w:r w:rsidRPr="7D1D1796" w:rsidR="5A3FBE31">
        <w:rPr>
          <w:rFonts w:ascii="Calibri" w:hAnsi="Calibri" w:eastAsia="Calibri" w:cs="Calibri"/>
          <w:noProof w:val="0"/>
          <w:sz w:val="22"/>
          <w:szCs w:val="22"/>
          <w:lang w:val="en-US"/>
        </w:rPr>
        <w:t xml:space="preserve"> </w:t>
      </w:r>
      <w:r w:rsidRPr="7D1D1796" w:rsidR="0608B898">
        <w:rPr>
          <w:rFonts w:ascii="Calibri" w:hAnsi="Calibri" w:eastAsia="Calibri" w:cs="Calibri"/>
          <w:noProof w:val="0"/>
          <w:sz w:val="22"/>
          <w:szCs w:val="22"/>
          <w:lang w:val="en-US"/>
        </w:rPr>
        <w:t>From</w:t>
      </w:r>
      <w:r w:rsidRPr="7D1D1796" w:rsidR="0608B898">
        <w:rPr>
          <w:rFonts w:ascii="Calibri" w:hAnsi="Calibri" w:eastAsia="Calibri" w:cs="Calibri"/>
          <w:noProof w:val="0"/>
          <w:sz w:val="22"/>
          <w:szCs w:val="22"/>
          <w:lang w:val="en-US"/>
        </w:rPr>
        <w:t xml:space="preserve"> a philosophical standpoint, </w:t>
      </w:r>
      <w:r w:rsidRPr="7D1D1796" w:rsidR="0608B898">
        <w:rPr>
          <w:rFonts w:ascii="Calibri" w:hAnsi="Calibri" w:eastAsia="Calibri" w:cs="Calibri"/>
          <w:noProof w:val="0"/>
          <w:sz w:val="22"/>
          <w:szCs w:val="22"/>
          <w:lang w:val="en-US"/>
        </w:rPr>
        <w:t>The</w:t>
      </w:r>
      <w:r w:rsidRPr="7D1D1796" w:rsidR="0608B898">
        <w:rPr>
          <w:rFonts w:ascii="Calibri" w:hAnsi="Calibri" w:eastAsia="Calibri" w:cs="Calibri"/>
          <w:noProof w:val="0"/>
          <w:sz w:val="22"/>
          <w:szCs w:val="22"/>
          <w:lang w:val="en-US"/>
        </w:rPr>
        <w:t xml:space="preserve"> principle of autonomy, a fundamental idea in moral philosophy, is at the heart of consent. The right of an individual to make decisions </w:t>
      </w:r>
      <w:r w:rsidRPr="7D1D1796" w:rsidR="0608B898">
        <w:rPr>
          <w:rFonts w:ascii="Calibri" w:hAnsi="Calibri" w:eastAsia="Calibri" w:cs="Calibri"/>
          <w:noProof w:val="0"/>
          <w:sz w:val="22"/>
          <w:szCs w:val="22"/>
          <w:lang w:val="en-US"/>
        </w:rPr>
        <w:t>regarding</w:t>
      </w:r>
      <w:r w:rsidRPr="7D1D1796" w:rsidR="0608B898">
        <w:rPr>
          <w:rFonts w:ascii="Calibri" w:hAnsi="Calibri" w:eastAsia="Calibri" w:cs="Calibri"/>
          <w:noProof w:val="0"/>
          <w:sz w:val="22"/>
          <w:szCs w:val="22"/>
          <w:lang w:val="en-US"/>
        </w:rPr>
        <w:t xml:space="preserve"> their own body and life is affirmed by autonomy. From a philosophical perspective, a just and moral society depends on the acceptance and </w:t>
      </w:r>
      <w:r w:rsidRPr="7D1D1796" w:rsidR="0608B898">
        <w:rPr>
          <w:rFonts w:ascii="Calibri" w:hAnsi="Calibri" w:eastAsia="Calibri" w:cs="Calibri"/>
          <w:noProof w:val="0"/>
          <w:sz w:val="22"/>
          <w:szCs w:val="22"/>
          <w:lang w:val="en-US"/>
        </w:rPr>
        <w:t>defence</w:t>
      </w:r>
      <w:r w:rsidRPr="7D1D1796" w:rsidR="0608B898">
        <w:rPr>
          <w:rFonts w:ascii="Calibri" w:hAnsi="Calibri" w:eastAsia="Calibri" w:cs="Calibri"/>
          <w:noProof w:val="0"/>
          <w:sz w:val="22"/>
          <w:szCs w:val="22"/>
          <w:lang w:val="en-US"/>
        </w:rPr>
        <w:t xml:space="preserve"> of human autonomy.</w:t>
      </w:r>
      <w:r w:rsidRPr="7D1D1796" w:rsidR="11CF9FF6">
        <w:rPr>
          <w:rFonts w:ascii="Calibri" w:hAnsi="Calibri" w:eastAsia="Calibri" w:cs="Calibri"/>
          <w:noProof w:val="0"/>
          <w:sz w:val="22"/>
          <w:szCs w:val="22"/>
          <w:lang w:val="en-US"/>
        </w:rPr>
        <w:t xml:space="preserve"> </w:t>
      </w:r>
      <w:r w:rsidRPr="7D1D1796" w:rsidR="440F884C">
        <w:rPr>
          <w:rFonts w:ascii="Calibri" w:hAnsi="Calibri" w:eastAsia="Calibri" w:cs="Calibri"/>
          <w:noProof w:val="0"/>
          <w:sz w:val="22"/>
          <w:szCs w:val="22"/>
          <w:lang w:val="en-US"/>
        </w:rPr>
        <w:t>(Díaz 2022)</w:t>
      </w:r>
      <w:r w:rsidRPr="7D1D1796" w:rsidR="730DDBFC">
        <w:rPr>
          <w:rFonts w:ascii="Calibri" w:hAnsi="Calibri" w:eastAsia="Calibri" w:cs="Calibri"/>
          <w:noProof w:val="0"/>
          <w:sz w:val="22"/>
          <w:szCs w:val="22"/>
          <w:lang w:val="en-US"/>
        </w:rPr>
        <w:t xml:space="preserve"> </w:t>
      </w:r>
    </w:p>
    <w:p w:rsidR="03922255" w:rsidP="7D1D1796" w:rsidRDefault="03922255" w14:paraId="0FC87CDE" w14:textId="05C5CDB2">
      <w:pPr>
        <w:pStyle w:val="Normal"/>
        <w:rPr>
          <w:rFonts w:ascii="Calibri" w:hAnsi="Calibri" w:eastAsia="Calibri" w:cs="Calibri"/>
          <w:noProof w:val="0"/>
          <w:sz w:val="22"/>
          <w:szCs w:val="22"/>
          <w:lang w:val="en-US"/>
        </w:rPr>
      </w:pPr>
      <w:r w:rsidRPr="7D1D1796" w:rsidR="03922255">
        <w:rPr>
          <w:rFonts w:ascii="Calibri" w:hAnsi="Calibri" w:eastAsia="Calibri" w:cs="Calibri"/>
          <w:noProof w:val="0"/>
          <w:sz w:val="22"/>
          <w:szCs w:val="22"/>
          <w:lang w:val="en-US"/>
        </w:rPr>
        <w:t xml:space="preserve">There are restrictions on what can be consented to, even though it is a legally </w:t>
      </w:r>
      <w:r w:rsidRPr="7D1D1796" w:rsidR="03922255">
        <w:rPr>
          <w:rFonts w:ascii="Calibri" w:hAnsi="Calibri" w:eastAsia="Calibri" w:cs="Calibri"/>
          <w:noProof w:val="0"/>
          <w:sz w:val="22"/>
          <w:szCs w:val="22"/>
          <w:lang w:val="en-US"/>
        </w:rPr>
        <w:t>recognised</w:t>
      </w:r>
      <w:r w:rsidRPr="7D1D1796" w:rsidR="03922255">
        <w:rPr>
          <w:rFonts w:ascii="Calibri" w:hAnsi="Calibri" w:eastAsia="Calibri" w:cs="Calibri"/>
          <w:noProof w:val="0"/>
          <w:sz w:val="22"/>
          <w:szCs w:val="22"/>
          <w:lang w:val="en-US"/>
        </w:rPr>
        <w:t xml:space="preserve"> </w:t>
      </w:r>
      <w:r w:rsidRPr="7D1D1796" w:rsidR="03922255">
        <w:rPr>
          <w:rFonts w:ascii="Calibri" w:hAnsi="Calibri" w:eastAsia="Calibri" w:cs="Calibri"/>
          <w:noProof w:val="0"/>
          <w:sz w:val="22"/>
          <w:szCs w:val="22"/>
          <w:lang w:val="en-US"/>
        </w:rPr>
        <w:t>defence</w:t>
      </w:r>
      <w:r w:rsidRPr="7D1D1796" w:rsidR="03922255">
        <w:rPr>
          <w:rFonts w:ascii="Calibri" w:hAnsi="Calibri" w:eastAsia="Calibri" w:cs="Calibri"/>
          <w:noProof w:val="0"/>
          <w:sz w:val="22"/>
          <w:szCs w:val="22"/>
          <w:lang w:val="en-US"/>
        </w:rPr>
        <w:t xml:space="preserve">. Consent to light physical contact, for instance, might not extend to serious or life-threatening </w:t>
      </w:r>
      <w:r w:rsidRPr="7D1D1796" w:rsidR="0A38E0B0">
        <w:rPr>
          <w:rFonts w:ascii="Calibri" w:hAnsi="Calibri" w:eastAsia="Calibri" w:cs="Calibri"/>
          <w:noProof w:val="0"/>
          <w:sz w:val="22"/>
          <w:szCs w:val="22"/>
          <w:lang w:val="en-US"/>
        </w:rPr>
        <w:t xml:space="preserve">injuries. </w:t>
      </w:r>
      <w:r w:rsidRPr="7D1D1796" w:rsidR="0A38E0B0">
        <w:rPr>
          <w:rFonts w:ascii="Calibri" w:hAnsi="Calibri" w:eastAsia="Calibri" w:cs="Calibri"/>
          <w:noProof w:val="0"/>
          <w:sz w:val="22"/>
          <w:szCs w:val="22"/>
          <w:lang w:val="en-US"/>
        </w:rPr>
        <w:t>The</w:t>
      </w:r>
      <w:r w:rsidRPr="7D1D1796" w:rsidR="03922255">
        <w:rPr>
          <w:rFonts w:ascii="Calibri" w:hAnsi="Calibri" w:eastAsia="Calibri" w:cs="Calibri"/>
          <w:noProof w:val="0"/>
          <w:sz w:val="22"/>
          <w:szCs w:val="22"/>
          <w:lang w:val="en-US"/>
        </w:rPr>
        <w:t xml:space="preserve"> legal system takes into account whether the harm produced was greater than what a reasonable person would have expected, as well as whether the consent was reasonable.</w:t>
      </w:r>
      <w:r w:rsidRPr="7D1D1796" w:rsidR="03922255">
        <w:rPr>
          <w:rFonts w:ascii="Calibri" w:hAnsi="Calibri" w:eastAsia="Calibri" w:cs="Calibri"/>
          <w:noProof w:val="0"/>
          <w:sz w:val="22"/>
          <w:szCs w:val="22"/>
          <w:lang w:val="en-US"/>
        </w:rPr>
        <w:t xml:space="preserve"> (O’Neill, 20</w:t>
      </w:r>
      <w:r w:rsidRPr="7D1D1796" w:rsidR="15BD813D">
        <w:rPr>
          <w:rFonts w:ascii="Calibri" w:hAnsi="Calibri" w:eastAsia="Calibri" w:cs="Calibri"/>
          <w:noProof w:val="0"/>
          <w:sz w:val="22"/>
          <w:szCs w:val="22"/>
          <w:lang w:val="en-US"/>
        </w:rPr>
        <w:t>0</w:t>
      </w:r>
      <w:r w:rsidRPr="7D1D1796" w:rsidR="03922255">
        <w:rPr>
          <w:rFonts w:ascii="Calibri" w:hAnsi="Calibri" w:eastAsia="Calibri" w:cs="Calibri"/>
          <w:noProof w:val="0"/>
          <w:sz w:val="22"/>
          <w:szCs w:val="22"/>
          <w:lang w:val="en-US"/>
        </w:rPr>
        <w:t xml:space="preserve">3) </w:t>
      </w:r>
      <w:r w:rsidRPr="7D1D1796" w:rsidR="440F884C">
        <w:rPr>
          <w:rFonts w:ascii="Calibri" w:hAnsi="Calibri" w:eastAsia="Calibri" w:cs="Calibri"/>
          <w:noProof w:val="0"/>
          <w:sz w:val="22"/>
          <w:szCs w:val="22"/>
          <w:lang w:val="en-US"/>
        </w:rPr>
        <w:t xml:space="preserve">According to the research of (College of policing, 2016) </w:t>
      </w:r>
      <w:r w:rsidRPr="7D1D1796" w:rsidR="0608B898">
        <w:rPr>
          <w:rFonts w:ascii="Calibri" w:hAnsi="Calibri" w:eastAsia="Calibri" w:cs="Calibri"/>
          <w:noProof w:val="0"/>
          <w:sz w:val="22"/>
          <w:szCs w:val="22"/>
          <w:lang w:val="en-US"/>
        </w:rPr>
        <w:t xml:space="preserve">Application of </w:t>
      </w:r>
      <w:r w:rsidRPr="7D1D1796" w:rsidR="0608B898">
        <w:rPr>
          <w:rFonts w:ascii="Calibri" w:hAnsi="Calibri" w:eastAsia="Calibri" w:cs="Calibri"/>
          <w:noProof w:val="0"/>
          <w:sz w:val="22"/>
          <w:szCs w:val="22"/>
          <w:lang w:val="en-US"/>
        </w:rPr>
        <w:t xml:space="preserve">Law, Legal doctrines are </w:t>
      </w:r>
      <w:r w:rsidRPr="7D1D1796" w:rsidR="0608B898">
        <w:rPr>
          <w:rFonts w:ascii="Calibri" w:hAnsi="Calibri" w:eastAsia="Calibri" w:cs="Calibri"/>
          <w:noProof w:val="0"/>
          <w:sz w:val="22"/>
          <w:szCs w:val="22"/>
          <w:lang w:val="en-US"/>
        </w:rPr>
        <w:t>frequently</w:t>
      </w:r>
      <w:r w:rsidRPr="7D1D1796" w:rsidR="0608B898">
        <w:rPr>
          <w:rFonts w:ascii="Calibri" w:hAnsi="Calibri" w:eastAsia="Calibri" w:cs="Calibri"/>
          <w:noProof w:val="0"/>
          <w:sz w:val="22"/>
          <w:szCs w:val="22"/>
          <w:lang w:val="en-US"/>
        </w:rPr>
        <w:t xml:space="preserve"> consistent with the idea of autonomy in philosophy. Laws are intended to safeguard an individual's right to make decisions about their own body, and consent is understood as an expression of personal autonomy. This is reflected in case law, which highlights the significance of free and informed decision-making in </w:t>
      </w:r>
      <w:r w:rsidRPr="7D1D1796" w:rsidR="0608B898">
        <w:rPr>
          <w:rFonts w:ascii="Calibri" w:hAnsi="Calibri" w:eastAsia="Calibri" w:cs="Calibri"/>
          <w:noProof w:val="0"/>
          <w:sz w:val="22"/>
          <w:szCs w:val="22"/>
          <w:lang w:val="en-US"/>
        </w:rPr>
        <w:t>determining</w:t>
      </w:r>
      <w:r w:rsidRPr="7D1D1796" w:rsidR="0608B898">
        <w:rPr>
          <w:rFonts w:ascii="Calibri" w:hAnsi="Calibri" w:eastAsia="Calibri" w:cs="Calibri"/>
          <w:noProof w:val="0"/>
          <w:sz w:val="22"/>
          <w:szCs w:val="22"/>
          <w:lang w:val="en-US"/>
        </w:rPr>
        <w:t xml:space="preserve"> the validity of consent.</w:t>
      </w:r>
      <w:r w:rsidRPr="7D1D1796" w:rsidR="2101C351">
        <w:rPr>
          <w:rFonts w:ascii="Calibri" w:hAnsi="Calibri" w:eastAsia="Calibri" w:cs="Calibri"/>
          <w:noProof w:val="0"/>
          <w:sz w:val="22"/>
          <w:szCs w:val="22"/>
          <w:lang w:val="en-US"/>
        </w:rPr>
        <w:t xml:space="preserve"> </w:t>
      </w:r>
      <w:r w:rsidRPr="7D1D1796" w:rsidR="5D99EA76">
        <w:rPr>
          <w:rFonts w:ascii="Calibri" w:hAnsi="Calibri" w:eastAsia="Calibri" w:cs="Calibri"/>
          <w:noProof w:val="0"/>
          <w:sz w:val="22"/>
          <w:szCs w:val="22"/>
          <w:lang w:val="en-US"/>
        </w:rPr>
        <w:t xml:space="preserve">Informed Consent and Rational Decision-Making: </w:t>
      </w:r>
      <w:r w:rsidRPr="7D1D1796" w:rsidR="5D99EA76">
        <w:rPr>
          <w:rFonts w:ascii="Calibri" w:hAnsi="Calibri" w:eastAsia="Calibri" w:cs="Calibri"/>
          <w:noProof w:val="0"/>
          <w:sz w:val="22"/>
          <w:szCs w:val="22"/>
          <w:lang w:val="en-US"/>
        </w:rPr>
        <w:t xml:space="preserve">From a philosophical standpoint, </w:t>
      </w:r>
      <w:r w:rsidRPr="7D1D1796" w:rsidR="5D99EA76">
        <w:rPr>
          <w:rFonts w:ascii="Calibri" w:hAnsi="Calibri" w:eastAsia="Calibri" w:cs="Calibri"/>
          <w:noProof w:val="0"/>
          <w:sz w:val="22"/>
          <w:szCs w:val="22"/>
          <w:lang w:val="en-US"/>
        </w:rPr>
        <w:t>The</w:t>
      </w:r>
      <w:r w:rsidRPr="7D1D1796" w:rsidR="5D99EA76">
        <w:rPr>
          <w:rFonts w:ascii="Calibri" w:hAnsi="Calibri" w:eastAsia="Calibri" w:cs="Calibri"/>
          <w:noProof w:val="0"/>
          <w:sz w:val="22"/>
          <w:szCs w:val="22"/>
          <w:lang w:val="en-US"/>
        </w:rPr>
        <w:t xml:space="preserve"> principle of autonomy, a fundamental idea in moral philosophy, is at the heart of consent. The right of an individual to make decisions </w:t>
      </w:r>
      <w:r w:rsidRPr="7D1D1796" w:rsidR="5D99EA76">
        <w:rPr>
          <w:rFonts w:ascii="Calibri" w:hAnsi="Calibri" w:eastAsia="Calibri" w:cs="Calibri"/>
          <w:noProof w:val="0"/>
          <w:sz w:val="22"/>
          <w:szCs w:val="22"/>
          <w:lang w:val="en-US"/>
        </w:rPr>
        <w:t>regarding</w:t>
      </w:r>
      <w:r w:rsidRPr="7D1D1796" w:rsidR="5D99EA76">
        <w:rPr>
          <w:rFonts w:ascii="Calibri" w:hAnsi="Calibri" w:eastAsia="Calibri" w:cs="Calibri"/>
          <w:noProof w:val="0"/>
          <w:sz w:val="22"/>
          <w:szCs w:val="22"/>
          <w:lang w:val="en-US"/>
        </w:rPr>
        <w:t xml:space="preserve"> their own body and life is affirmed by autonomy. From a philosophical perspective, a just and moral society depends on the acceptance and </w:t>
      </w:r>
      <w:r w:rsidRPr="7D1D1796" w:rsidR="5D99EA76">
        <w:rPr>
          <w:rFonts w:ascii="Calibri" w:hAnsi="Calibri" w:eastAsia="Calibri" w:cs="Calibri"/>
          <w:noProof w:val="0"/>
          <w:sz w:val="22"/>
          <w:szCs w:val="22"/>
          <w:lang w:val="en-US"/>
        </w:rPr>
        <w:t>defen</w:t>
      </w:r>
      <w:r w:rsidRPr="7D1D1796" w:rsidR="5D99EA76">
        <w:rPr>
          <w:rFonts w:ascii="Calibri" w:hAnsi="Calibri" w:eastAsia="Calibri" w:cs="Calibri"/>
          <w:noProof w:val="0"/>
          <w:sz w:val="22"/>
          <w:szCs w:val="22"/>
          <w:lang w:val="en-US"/>
        </w:rPr>
        <w:t>ce</w:t>
      </w:r>
      <w:r w:rsidRPr="7D1D1796" w:rsidR="5D99EA76">
        <w:rPr>
          <w:rFonts w:ascii="Calibri" w:hAnsi="Calibri" w:eastAsia="Calibri" w:cs="Calibri"/>
          <w:noProof w:val="0"/>
          <w:sz w:val="22"/>
          <w:szCs w:val="22"/>
          <w:lang w:val="en-US"/>
        </w:rPr>
        <w:t xml:space="preserve"> of human autonomy. (NICE, 2018)</w:t>
      </w:r>
      <w:r w:rsidRPr="7D1D1796" w:rsidR="31216143">
        <w:rPr>
          <w:rFonts w:ascii="Calibri" w:hAnsi="Calibri" w:eastAsia="Calibri" w:cs="Calibri"/>
          <w:noProof w:val="0"/>
          <w:sz w:val="22"/>
          <w:szCs w:val="22"/>
          <w:lang w:val="en-US"/>
        </w:rPr>
        <w:t xml:space="preserve"> </w:t>
      </w:r>
      <w:r w:rsidRPr="7D1D1796" w:rsidR="5D99EA76">
        <w:rPr>
          <w:rFonts w:ascii="Calibri" w:hAnsi="Calibri" w:eastAsia="Calibri" w:cs="Calibri"/>
          <w:noProof w:val="0"/>
          <w:sz w:val="22"/>
          <w:szCs w:val="22"/>
          <w:lang w:val="en-US"/>
        </w:rPr>
        <w:t xml:space="preserve">Application of Law, Legal doctrines are </w:t>
      </w:r>
      <w:r w:rsidRPr="7D1D1796" w:rsidR="5D99EA76">
        <w:rPr>
          <w:rFonts w:ascii="Calibri" w:hAnsi="Calibri" w:eastAsia="Calibri" w:cs="Calibri"/>
          <w:noProof w:val="0"/>
          <w:sz w:val="22"/>
          <w:szCs w:val="22"/>
          <w:lang w:val="en-US"/>
        </w:rPr>
        <w:t>frequently</w:t>
      </w:r>
      <w:r w:rsidRPr="7D1D1796" w:rsidR="5D99EA76">
        <w:rPr>
          <w:rFonts w:ascii="Calibri" w:hAnsi="Calibri" w:eastAsia="Calibri" w:cs="Calibri"/>
          <w:noProof w:val="0"/>
          <w:sz w:val="22"/>
          <w:szCs w:val="22"/>
          <w:lang w:val="en-US"/>
        </w:rPr>
        <w:t xml:space="preserve"> consistent with the idea of autonomy in philosophy. Laws are intended to safeguard an individual's right to make decisions about their own body, and consent is understood as an expression of personal autonomy. This is reflected in case law, which highlights the significance of free and informed decision-making in </w:t>
      </w:r>
      <w:r w:rsidRPr="7D1D1796" w:rsidR="5D99EA76">
        <w:rPr>
          <w:rFonts w:ascii="Calibri" w:hAnsi="Calibri" w:eastAsia="Calibri" w:cs="Calibri"/>
          <w:noProof w:val="0"/>
          <w:sz w:val="22"/>
          <w:szCs w:val="22"/>
          <w:lang w:val="en-US"/>
        </w:rPr>
        <w:t>determining</w:t>
      </w:r>
      <w:r w:rsidRPr="7D1D1796" w:rsidR="5D99EA76">
        <w:rPr>
          <w:rFonts w:ascii="Calibri" w:hAnsi="Calibri" w:eastAsia="Calibri" w:cs="Calibri"/>
          <w:noProof w:val="0"/>
          <w:sz w:val="22"/>
          <w:szCs w:val="22"/>
          <w:lang w:val="en-US"/>
        </w:rPr>
        <w:t xml:space="preserve"> the validity of consent.</w:t>
      </w:r>
      <w:r w:rsidRPr="7D1D1796" w:rsidR="4891610D">
        <w:rPr>
          <w:rFonts w:ascii="Calibri" w:hAnsi="Calibri" w:eastAsia="Calibri" w:cs="Calibri"/>
          <w:noProof w:val="0"/>
          <w:sz w:val="22"/>
          <w:szCs w:val="22"/>
          <w:lang w:val="en-US"/>
        </w:rPr>
        <w:t xml:space="preserve"> (www.england.nhs.uk, n.d.)</w:t>
      </w:r>
      <w:r w:rsidRPr="7D1D1796" w:rsidR="1CAC834A">
        <w:rPr>
          <w:rFonts w:ascii="Calibri" w:hAnsi="Calibri" w:eastAsia="Calibri" w:cs="Calibri"/>
          <w:noProof w:val="0"/>
          <w:sz w:val="22"/>
          <w:szCs w:val="22"/>
          <w:lang w:val="en-US"/>
        </w:rPr>
        <w:t xml:space="preserve"> </w:t>
      </w:r>
      <w:r w:rsidRPr="7D1D1796" w:rsidR="1EC4FD44">
        <w:rPr>
          <w:rFonts w:ascii="Calibri" w:hAnsi="Calibri" w:eastAsia="Calibri" w:cs="Calibri"/>
          <w:noProof w:val="0"/>
          <w:sz w:val="22"/>
          <w:szCs w:val="22"/>
          <w:lang w:val="en-US"/>
        </w:rPr>
        <w:t xml:space="preserve">Power Dynamics and Coercion: Philosophical Perspective, Power dynamics are examined as part of the ethical analysis of consent. Philosophers contend that in circumstances when one person has substantial influence over the other, genuine consent cannot occur since the weaker party can feel pressured into giving in. Therefore, </w:t>
      </w:r>
      <w:r w:rsidRPr="7D1D1796" w:rsidR="1EC4FD44">
        <w:rPr>
          <w:rFonts w:ascii="Calibri" w:hAnsi="Calibri" w:eastAsia="Calibri" w:cs="Calibri"/>
          <w:noProof w:val="0"/>
          <w:sz w:val="22"/>
          <w:szCs w:val="22"/>
          <w:lang w:val="en-US"/>
        </w:rPr>
        <w:t>addressing</w:t>
      </w:r>
      <w:r w:rsidRPr="7D1D1796" w:rsidR="1EC4FD44">
        <w:rPr>
          <w:rFonts w:ascii="Calibri" w:hAnsi="Calibri" w:eastAsia="Calibri" w:cs="Calibri"/>
          <w:noProof w:val="0"/>
          <w:sz w:val="22"/>
          <w:szCs w:val="22"/>
          <w:lang w:val="en-US"/>
        </w:rPr>
        <w:t xml:space="preserve"> and </w:t>
      </w:r>
      <w:r w:rsidRPr="7D1D1796" w:rsidR="1EC4FD44">
        <w:rPr>
          <w:rFonts w:ascii="Calibri" w:hAnsi="Calibri" w:eastAsia="Calibri" w:cs="Calibri"/>
          <w:noProof w:val="0"/>
          <w:sz w:val="22"/>
          <w:szCs w:val="22"/>
          <w:lang w:val="en-US"/>
        </w:rPr>
        <w:t>minimising</w:t>
      </w:r>
      <w:r w:rsidRPr="7D1D1796" w:rsidR="1EC4FD44">
        <w:rPr>
          <w:rFonts w:ascii="Calibri" w:hAnsi="Calibri" w:eastAsia="Calibri" w:cs="Calibri"/>
          <w:noProof w:val="0"/>
          <w:sz w:val="22"/>
          <w:szCs w:val="22"/>
          <w:lang w:val="en-US"/>
        </w:rPr>
        <w:t xml:space="preserve"> power inequalities is necessary to respect consent.</w:t>
      </w:r>
      <w:r w:rsidRPr="7D1D1796" w:rsidR="35FA96B5">
        <w:rPr>
          <w:rFonts w:ascii="Calibri" w:hAnsi="Calibri" w:eastAsia="Calibri" w:cs="Calibri"/>
          <w:noProof w:val="0"/>
          <w:sz w:val="22"/>
          <w:szCs w:val="22"/>
          <w:lang w:val="en-US"/>
        </w:rPr>
        <w:t xml:space="preserve"> (Home Office, 2015)</w:t>
      </w:r>
      <w:r w:rsidRPr="7D1D1796" w:rsidR="2B7EF731">
        <w:rPr>
          <w:rFonts w:ascii="Calibri" w:hAnsi="Calibri" w:eastAsia="Calibri" w:cs="Calibri"/>
          <w:noProof w:val="0"/>
          <w:sz w:val="22"/>
          <w:szCs w:val="22"/>
          <w:lang w:val="en-US"/>
        </w:rPr>
        <w:t xml:space="preserve"> </w:t>
      </w:r>
      <w:r w:rsidRPr="7D1D1796" w:rsidR="1EC4FD44">
        <w:rPr>
          <w:rFonts w:ascii="Calibri" w:hAnsi="Calibri" w:eastAsia="Calibri" w:cs="Calibri"/>
          <w:noProof w:val="0"/>
          <w:sz w:val="22"/>
          <w:szCs w:val="22"/>
          <w:lang w:val="en-US"/>
        </w:rPr>
        <w:t xml:space="preserve">Legal Application, </w:t>
      </w:r>
      <w:r w:rsidRPr="7D1D1796" w:rsidR="1EC4FD44">
        <w:rPr>
          <w:rFonts w:ascii="Calibri" w:hAnsi="Calibri" w:eastAsia="Calibri" w:cs="Calibri"/>
          <w:noProof w:val="0"/>
          <w:sz w:val="22"/>
          <w:szCs w:val="22"/>
          <w:lang w:val="en-US"/>
        </w:rPr>
        <w:t>It</w:t>
      </w:r>
      <w:r w:rsidRPr="7D1D1796" w:rsidR="1EC4FD44">
        <w:rPr>
          <w:rFonts w:ascii="Calibri" w:hAnsi="Calibri" w:eastAsia="Calibri" w:cs="Calibri"/>
          <w:noProof w:val="0"/>
          <w:sz w:val="22"/>
          <w:szCs w:val="22"/>
          <w:lang w:val="en-US"/>
        </w:rPr>
        <w:t xml:space="preserve"> is acknowledged by legal principles that coercion and power disparities must be addressed. Case law </w:t>
      </w:r>
      <w:r w:rsidRPr="7D1D1796" w:rsidR="1EC4FD44">
        <w:rPr>
          <w:rFonts w:ascii="Calibri" w:hAnsi="Calibri" w:eastAsia="Calibri" w:cs="Calibri"/>
          <w:noProof w:val="0"/>
          <w:sz w:val="22"/>
          <w:szCs w:val="22"/>
          <w:lang w:val="en-US"/>
        </w:rPr>
        <w:t>frequently</w:t>
      </w:r>
      <w:r w:rsidRPr="7D1D1796" w:rsidR="1EC4FD44">
        <w:rPr>
          <w:rFonts w:ascii="Calibri" w:hAnsi="Calibri" w:eastAsia="Calibri" w:cs="Calibri"/>
          <w:noProof w:val="0"/>
          <w:sz w:val="22"/>
          <w:szCs w:val="22"/>
          <w:lang w:val="en-US"/>
        </w:rPr>
        <w:t xml:space="preserve"> examines circumstances in which </w:t>
      </w:r>
      <w:r w:rsidRPr="7D1D1796" w:rsidR="1EC4FD44">
        <w:rPr>
          <w:rFonts w:ascii="Calibri" w:hAnsi="Calibri" w:eastAsia="Calibri" w:cs="Calibri"/>
          <w:noProof w:val="0"/>
          <w:sz w:val="22"/>
          <w:szCs w:val="22"/>
          <w:lang w:val="en-US"/>
        </w:rPr>
        <w:t>there appears to be</w:t>
      </w:r>
      <w:r w:rsidRPr="7D1D1796" w:rsidR="1EC4FD44">
        <w:rPr>
          <w:rFonts w:ascii="Calibri" w:hAnsi="Calibri" w:eastAsia="Calibri" w:cs="Calibri"/>
          <w:noProof w:val="0"/>
          <w:sz w:val="22"/>
          <w:szCs w:val="22"/>
          <w:lang w:val="en-US"/>
        </w:rPr>
        <w:t xml:space="preserve"> an obvious power imbalance or where one party may have had undue influence. The ethical concern for the voluntariness of agreements may lead to the invalidation of consent obtained under duress or force.</w:t>
      </w:r>
      <w:r w:rsidRPr="7D1D1796" w:rsidR="61624F08">
        <w:rPr>
          <w:rFonts w:ascii="Calibri" w:hAnsi="Calibri" w:eastAsia="Calibri" w:cs="Calibri"/>
          <w:noProof w:val="0"/>
          <w:sz w:val="22"/>
          <w:szCs w:val="22"/>
          <w:lang w:val="en-US"/>
        </w:rPr>
        <w:t xml:space="preserve"> (Women's Aid, 2018)</w:t>
      </w:r>
      <w:r w:rsidRPr="7D1D1796" w:rsidR="2662A6FB">
        <w:rPr>
          <w:rFonts w:ascii="Calibri" w:hAnsi="Calibri" w:eastAsia="Calibri" w:cs="Calibri"/>
          <w:noProof w:val="0"/>
          <w:sz w:val="22"/>
          <w:szCs w:val="22"/>
          <w:lang w:val="en-US"/>
        </w:rPr>
        <w:t xml:space="preserve"> </w:t>
      </w:r>
      <w:r w:rsidRPr="7D1D1796" w:rsidR="23666872">
        <w:rPr>
          <w:rFonts w:ascii="Calibri" w:hAnsi="Calibri" w:eastAsia="Calibri" w:cs="Calibri"/>
          <w:noProof w:val="0"/>
          <w:sz w:val="22"/>
          <w:szCs w:val="22"/>
          <w:lang w:val="en-US"/>
        </w:rPr>
        <w:t xml:space="preserve">Cultural Relativism and Cultural Sensitivity </w:t>
      </w:r>
      <w:r w:rsidRPr="7D1D1796" w:rsidR="61624F08">
        <w:rPr>
          <w:rFonts w:ascii="Calibri" w:hAnsi="Calibri" w:eastAsia="Calibri" w:cs="Calibri"/>
          <w:noProof w:val="0"/>
          <w:sz w:val="22"/>
          <w:szCs w:val="22"/>
          <w:lang w:val="en-US"/>
        </w:rPr>
        <w:t xml:space="preserve">Philosophical Perspective, </w:t>
      </w:r>
      <w:r w:rsidRPr="7D1D1796" w:rsidR="61624F08">
        <w:rPr>
          <w:rFonts w:ascii="Calibri" w:hAnsi="Calibri" w:eastAsia="Calibri" w:cs="Calibri"/>
          <w:noProof w:val="0"/>
          <w:sz w:val="22"/>
          <w:szCs w:val="22"/>
          <w:lang w:val="en-US"/>
        </w:rPr>
        <w:t>Given</w:t>
      </w:r>
      <w:r w:rsidRPr="7D1D1796" w:rsidR="61624F08">
        <w:rPr>
          <w:rFonts w:ascii="Calibri" w:hAnsi="Calibri" w:eastAsia="Calibri" w:cs="Calibri"/>
          <w:noProof w:val="0"/>
          <w:sz w:val="22"/>
          <w:szCs w:val="22"/>
          <w:lang w:val="en-US"/>
        </w:rPr>
        <w:t xml:space="preserve"> that various cultures may have different norms and expectations surrounding permission, ethical considerations in consent extend to cultural relativism. Philosophical debates </w:t>
      </w:r>
      <w:r w:rsidRPr="7D1D1796" w:rsidR="61624F08">
        <w:rPr>
          <w:rFonts w:ascii="Calibri" w:hAnsi="Calibri" w:eastAsia="Calibri" w:cs="Calibri"/>
          <w:noProof w:val="0"/>
          <w:sz w:val="22"/>
          <w:szCs w:val="22"/>
          <w:lang w:val="en-US"/>
        </w:rPr>
        <w:t>emphasise</w:t>
      </w:r>
      <w:r w:rsidRPr="7D1D1796" w:rsidR="61624F08">
        <w:rPr>
          <w:rFonts w:ascii="Calibri" w:hAnsi="Calibri" w:eastAsia="Calibri" w:cs="Calibri"/>
          <w:noProof w:val="0"/>
          <w:sz w:val="22"/>
          <w:szCs w:val="22"/>
          <w:lang w:val="en-US"/>
        </w:rPr>
        <w:t xml:space="preserve"> the significance of cultural sensitivity and the necessity of avoiding forcing a single set of cultural norms on heterogeneous groups.</w:t>
      </w:r>
      <w:r w:rsidRPr="7D1D1796" w:rsidR="4413F5D9">
        <w:rPr>
          <w:rFonts w:ascii="Calibri" w:hAnsi="Calibri" w:eastAsia="Calibri" w:cs="Calibri"/>
          <w:noProof w:val="0"/>
          <w:sz w:val="22"/>
          <w:szCs w:val="22"/>
          <w:lang w:val="en-US"/>
        </w:rPr>
        <w:t xml:space="preserve"> (Cherry, 2023)</w:t>
      </w:r>
      <w:r w:rsidRPr="7D1D1796" w:rsidR="64C18340">
        <w:rPr>
          <w:rFonts w:ascii="Calibri" w:hAnsi="Calibri" w:eastAsia="Calibri" w:cs="Calibri"/>
          <w:noProof w:val="0"/>
          <w:sz w:val="22"/>
          <w:szCs w:val="22"/>
          <w:lang w:val="en-US"/>
        </w:rPr>
        <w:t xml:space="preserve"> </w:t>
      </w:r>
      <w:r w:rsidRPr="7D1D1796" w:rsidR="61624F08">
        <w:rPr>
          <w:rFonts w:ascii="Calibri" w:hAnsi="Calibri" w:eastAsia="Calibri" w:cs="Calibri"/>
          <w:noProof w:val="0"/>
          <w:sz w:val="22"/>
          <w:szCs w:val="22"/>
          <w:lang w:val="en-US"/>
        </w:rPr>
        <w:t xml:space="preserve">Legal Application, </w:t>
      </w:r>
      <w:r w:rsidRPr="7D1D1796" w:rsidR="61624F08">
        <w:rPr>
          <w:rFonts w:ascii="Calibri" w:hAnsi="Calibri" w:eastAsia="Calibri" w:cs="Calibri"/>
          <w:noProof w:val="0"/>
          <w:sz w:val="22"/>
          <w:szCs w:val="22"/>
          <w:lang w:val="en-US"/>
        </w:rPr>
        <w:t>The</w:t>
      </w:r>
      <w:r w:rsidRPr="7D1D1796" w:rsidR="61624F08">
        <w:rPr>
          <w:rFonts w:ascii="Calibri" w:hAnsi="Calibri" w:eastAsia="Calibri" w:cs="Calibri"/>
          <w:noProof w:val="0"/>
          <w:sz w:val="22"/>
          <w:szCs w:val="22"/>
          <w:lang w:val="en-US"/>
        </w:rPr>
        <w:t xml:space="preserve"> influence of cultural environment on consent is becoming more widely acknowledged by the legal system. Case law may consider cultural variations in assessing the legitimacy of consent. A more complex understanding of consent among varied groups is being </w:t>
      </w:r>
      <w:r w:rsidRPr="7D1D1796" w:rsidR="61624F08">
        <w:rPr>
          <w:rFonts w:ascii="Calibri" w:hAnsi="Calibri" w:eastAsia="Calibri" w:cs="Calibri"/>
          <w:noProof w:val="0"/>
          <w:sz w:val="22"/>
          <w:szCs w:val="22"/>
          <w:lang w:val="en-US"/>
        </w:rPr>
        <w:t>emphasised</w:t>
      </w:r>
      <w:r w:rsidRPr="7D1D1796" w:rsidR="61624F08">
        <w:rPr>
          <w:rFonts w:ascii="Calibri" w:hAnsi="Calibri" w:eastAsia="Calibri" w:cs="Calibri"/>
          <w:noProof w:val="0"/>
          <w:sz w:val="22"/>
          <w:szCs w:val="22"/>
          <w:lang w:val="en-US"/>
        </w:rPr>
        <w:t xml:space="preserve"> by the evolution of legal norms, which are becoming more culturally sensitive.</w:t>
      </w:r>
      <w:r w:rsidRPr="7D1D1796" w:rsidR="4201C141">
        <w:rPr>
          <w:rFonts w:ascii="Calibri" w:hAnsi="Calibri" w:eastAsia="Calibri" w:cs="Calibri"/>
          <w:noProof w:val="0"/>
          <w:sz w:val="22"/>
          <w:szCs w:val="22"/>
          <w:lang w:val="en-US"/>
        </w:rPr>
        <w:t xml:space="preserve"> (Sieck, 2021)</w:t>
      </w:r>
      <w:r w:rsidRPr="7D1D1796" w:rsidR="2718D3A5">
        <w:rPr>
          <w:rFonts w:ascii="Calibri" w:hAnsi="Calibri" w:eastAsia="Calibri" w:cs="Calibri"/>
          <w:noProof w:val="0"/>
          <w:sz w:val="22"/>
          <w:szCs w:val="22"/>
          <w:lang w:val="en-US"/>
        </w:rPr>
        <w:t xml:space="preserve"> Responsibility and Accountability, </w:t>
      </w:r>
      <w:r w:rsidRPr="7D1D1796" w:rsidR="0E6E0BC4">
        <w:rPr>
          <w:rFonts w:ascii="Calibri" w:hAnsi="Calibri" w:eastAsia="Calibri" w:cs="Calibri"/>
          <w:noProof w:val="0"/>
          <w:sz w:val="22"/>
          <w:szCs w:val="22"/>
          <w:lang w:val="en-US"/>
        </w:rPr>
        <w:t>Philosophical Viewpoint, Discussions on consent ethics also address the concepts of accountability and responsibility. When someone gives their informed, voluntary agreement to an activity, they are held ethically accountable for it.</w:t>
      </w:r>
      <w:r w:rsidRPr="7D1D1796" w:rsidR="60C878A3">
        <w:rPr>
          <w:rFonts w:ascii="Calibri" w:hAnsi="Calibri" w:eastAsia="Calibri" w:cs="Calibri"/>
          <w:noProof w:val="0"/>
          <w:sz w:val="22"/>
          <w:szCs w:val="22"/>
          <w:lang w:val="en-US"/>
        </w:rPr>
        <w:t xml:space="preserve"> </w:t>
      </w:r>
      <w:r w:rsidRPr="7D1D1796" w:rsidR="0E6E0BC4">
        <w:rPr>
          <w:rFonts w:ascii="Calibri" w:hAnsi="Calibri" w:eastAsia="Calibri" w:cs="Calibri"/>
          <w:noProof w:val="0"/>
          <w:sz w:val="22"/>
          <w:szCs w:val="22"/>
          <w:lang w:val="en-US"/>
        </w:rPr>
        <w:t xml:space="preserve">Legal Application, Consent is </w:t>
      </w:r>
      <w:r w:rsidRPr="7D1D1796" w:rsidR="0E6E0BC4">
        <w:rPr>
          <w:rFonts w:ascii="Calibri" w:hAnsi="Calibri" w:eastAsia="Calibri" w:cs="Calibri"/>
          <w:noProof w:val="0"/>
          <w:sz w:val="22"/>
          <w:szCs w:val="22"/>
          <w:lang w:val="en-US"/>
        </w:rPr>
        <w:t>frequently</w:t>
      </w:r>
      <w:r w:rsidRPr="7D1D1796" w:rsidR="0E6E0BC4">
        <w:rPr>
          <w:rFonts w:ascii="Calibri" w:hAnsi="Calibri" w:eastAsia="Calibri" w:cs="Calibri"/>
          <w:noProof w:val="0"/>
          <w:sz w:val="22"/>
          <w:szCs w:val="22"/>
          <w:lang w:val="en-US"/>
        </w:rPr>
        <w:t xml:space="preserve"> associated with personal accountability by legal standards. But the law needs to find a middle ground between enforcing personal responsibility and </w:t>
      </w:r>
      <w:r w:rsidRPr="7D1D1796" w:rsidR="0E6E0BC4">
        <w:rPr>
          <w:rFonts w:ascii="Calibri" w:hAnsi="Calibri" w:eastAsia="Calibri" w:cs="Calibri"/>
          <w:noProof w:val="0"/>
          <w:sz w:val="22"/>
          <w:szCs w:val="22"/>
          <w:lang w:val="en-US"/>
        </w:rPr>
        <w:t>identifying</w:t>
      </w:r>
      <w:r w:rsidRPr="7D1D1796" w:rsidR="0E6E0BC4">
        <w:rPr>
          <w:rFonts w:ascii="Calibri" w:hAnsi="Calibri" w:eastAsia="Calibri" w:cs="Calibri"/>
          <w:noProof w:val="0"/>
          <w:sz w:val="22"/>
          <w:szCs w:val="22"/>
          <w:lang w:val="en-US"/>
        </w:rPr>
        <w:t xml:space="preserve"> circumstances in which the voluntariness of consent is compromised by outside forces. This fine line can be walked by case law to </w:t>
      </w:r>
      <w:r w:rsidRPr="7D1D1796" w:rsidR="0E6E0BC4">
        <w:rPr>
          <w:rFonts w:ascii="Calibri" w:hAnsi="Calibri" w:eastAsia="Calibri" w:cs="Calibri"/>
          <w:noProof w:val="0"/>
          <w:sz w:val="22"/>
          <w:szCs w:val="22"/>
          <w:lang w:val="en-US"/>
        </w:rPr>
        <w:t>provide</w:t>
      </w:r>
      <w:r w:rsidRPr="7D1D1796" w:rsidR="0E6E0BC4">
        <w:rPr>
          <w:rFonts w:ascii="Calibri" w:hAnsi="Calibri" w:eastAsia="Calibri" w:cs="Calibri"/>
          <w:noProof w:val="0"/>
          <w:sz w:val="22"/>
          <w:szCs w:val="22"/>
          <w:lang w:val="en-US"/>
        </w:rPr>
        <w:t xml:space="preserve"> a just and fair legal conclusion.</w:t>
      </w:r>
    </w:p>
    <w:p w:rsidR="7EAD5FF4" w:rsidP="7D1D1796" w:rsidRDefault="7EAD5FF4" w14:paraId="5E831B05" w14:textId="2569B00A">
      <w:pPr>
        <w:pStyle w:val="Normal"/>
        <w:rPr>
          <w:rFonts w:ascii="Calibri" w:hAnsi="Calibri" w:eastAsia="Calibri" w:cs="Calibri"/>
          <w:noProof w:val="0"/>
          <w:sz w:val="22"/>
          <w:szCs w:val="22"/>
          <w:lang w:val="en-US"/>
        </w:rPr>
      </w:pPr>
      <w:r w:rsidRPr="7D1D1796" w:rsidR="7EAD5FF4">
        <w:rPr>
          <w:rFonts w:ascii="Calibri" w:hAnsi="Calibri" w:eastAsia="Calibri" w:cs="Calibri"/>
          <w:noProof w:val="0"/>
          <w:sz w:val="22"/>
          <w:szCs w:val="22"/>
          <w:lang w:val="en-US"/>
        </w:rPr>
        <w:t xml:space="preserve">In conclusion, the idea of permission is a complex and dynamic area of criminal law in the United Kingdom, especially when it comes to situations involving battery. Although permission is an important </w:t>
      </w:r>
      <w:r w:rsidRPr="7D1D1796" w:rsidR="7EAD5FF4">
        <w:rPr>
          <w:rFonts w:ascii="Calibri" w:hAnsi="Calibri" w:eastAsia="Calibri" w:cs="Calibri"/>
          <w:noProof w:val="0"/>
          <w:sz w:val="22"/>
          <w:szCs w:val="22"/>
          <w:lang w:val="en-US"/>
        </w:rPr>
        <w:t>defence</w:t>
      </w:r>
      <w:r w:rsidRPr="7D1D1796" w:rsidR="7EAD5FF4">
        <w:rPr>
          <w:rFonts w:ascii="Calibri" w:hAnsi="Calibri" w:eastAsia="Calibri" w:cs="Calibri"/>
          <w:noProof w:val="0"/>
          <w:sz w:val="22"/>
          <w:szCs w:val="22"/>
          <w:lang w:val="en-US"/>
        </w:rPr>
        <w:t xml:space="preserve">, applying it correctly necessitates a complex understanding of a number of variables, such as capacity, power relationships, and cultural context. Maintaining a delicate balance between safeguarding the most vulnerable and upholding autonomy calls for constant legal review and adjustment. A careful and thorough approach to consent in battery cases is necessary as the legal system develops in order to guarantee that everyone's rights and dignity are </w:t>
      </w:r>
      <w:r w:rsidRPr="7D1D1796" w:rsidR="7EAD5FF4">
        <w:rPr>
          <w:rFonts w:ascii="Calibri" w:hAnsi="Calibri" w:eastAsia="Calibri" w:cs="Calibri"/>
          <w:noProof w:val="0"/>
          <w:sz w:val="22"/>
          <w:szCs w:val="22"/>
          <w:lang w:val="en-US"/>
        </w:rPr>
        <w:t>respected</w:t>
      </w:r>
      <w:r w:rsidRPr="7D1D1796" w:rsidR="7EAD5FF4">
        <w:rPr>
          <w:rFonts w:ascii="Calibri" w:hAnsi="Calibri" w:eastAsia="Calibri" w:cs="Calibri"/>
          <w:noProof w:val="0"/>
          <w:sz w:val="22"/>
          <w:szCs w:val="22"/>
          <w:lang w:val="en-US"/>
        </w:rPr>
        <w:t xml:space="preserve"> and that justice is done.</w:t>
      </w:r>
      <w:r w:rsidRPr="7D1D1796" w:rsidR="3F342B7F">
        <w:rPr>
          <w:rFonts w:ascii="Calibri" w:hAnsi="Calibri" w:eastAsia="Calibri" w:cs="Calibri"/>
          <w:noProof w:val="0"/>
          <w:sz w:val="22"/>
          <w:szCs w:val="22"/>
          <w:lang w:val="en-US"/>
        </w:rPr>
        <w:t xml:space="preserve"> A moral basis for the comprehension of consent is provided by the ethical and philosophical components of criminal law. These factors </w:t>
      </w:r>
      <w:r w:rsidRPr="7D1D1796" w:rsidR="3F342B7F">
        <w:rPr>
          <w:rFonts w:ascii="Calibri" w:hAnsi="Calibri" w:eastAsia="Calibri" w:cs="Calibri"/>
          <w:noProof w:val="0"/>
          <w:sz w:val="22"/>
          <w:szCs w:val="22"/>
          <w:lang w:val="en-US"/>
        </w:rPr>
        <w:t>impact</w:t>
      </w:r>
      <w:r w:rsidRPr="7D1D1796" w:rsidR="3F342B7F">
        <w:rPr>
          <w:rFonts w:ascii="Calibri" w:hAnsi="Calibri" w:eastAsia="Calibri" w:cs="Calibri"/>
          <w:noProof w:val="0"/>
          <w:sz w:val="22"/>
          <w:szCs w:val="22"/>
          <w:lang w:val="en-US"/>
        </w:rPr>
        <w:t xml:space="preserve"> legal doctrines and are </w:t>
      </w:r>
      <w:r w:rsidRPr="7D1D1796" w:rsidR="3F342B7F">
        <w:rPr>
          <w:rFonts w:ascii="Calibri" w:hAnsi="Calibri" w:eastAsia="Calibri" w:cs="Calibri"/>
          <w:noProof w:val="0"/>
          <w:sz w:val="22"/>
          <w:szCs w:val="22"/>
          <w:lang w:val="en-US"/>
        </w:rPr>
        <w:t>evident</w:t>
      </w:r>
      <w:r w:rsidRPr="7D1D1796" w:rsidR="3F342B7F">
        <w:rPr>
          <w:rFonts w:ascii="Calibri" w:hAnsi="Calibri" w:eastAsia="Calibri" w:cs="Calibri"/>
          <w:noProof w:val="0"/>
          <w:sz w:val="22"/>
          <w:szCs w:val="22"/>
          <w:lang w:val="en-US"/>
        </w:rPr>
        <w:t xml:space="preserve"> in pertinent case law, forming the framework of consent in the legal system. Understanding and resolving concerns like autonomy, responsibility, power relations, informed decision-making, and cultural sensitivity helps to create a more thorough and morally solid framework for </w:t>
      </w:r>
      <w:r w:rsidRPr="7D1D1796" w:rsidR="3F342B7F">
        <w:rPr>
          <w:rFonts w:ascii="Calibri" w:hAnsi="Calibri" w:eastAsia="Calibri" w:cs="Calibri"/>
          <w:noProof w:val="0"/>
          <w:sz w:val="22"/>
          <w:szCs w:val="22"/>
          <w:lang w:val="en-US"/>
        </w:rPr>
        <w:t>comprehending</w:t>
      </w:r>
      <w:r w:rsidRPr="7D1D1796" w:rsidR="3F342B7F">
        <w:rPr>
          <w:rFonts w:ascii="Calibri" w:hAnsi="Calibri" w:eastAsia="Calibri" w:cs="Calibri"/>
          <w:noProof w:val="0"/>
          <w:sz w:val="22"/>
          <w:szCs w:val="22"/>
          <w:lang w:val="en-US"/>
        </w:rPr>
        <w:t xml:space="preserve"> consent in criminal law. The legal environment surrounding consent will continue to be informed and shaped by continuing philosophical and ethical discussions as society values change.</w:t>
      </w:r>
    </w:p>
    <w:p w:rsidR="7D1D1796" w:rsidP="7D1D1796" w:rsidRDefault="7D1D1796" w14:paraId="0681394C" w14:textId="40C20D34">
      <w:pPr>
        <w:pStyle w:val="Normal"/>
        <w:rPr>
          <w:rFonts w:ascii="Calibri" w:hAnsi="Calibri" w:eastAsia="Calibri" w:cs="Calibri"/>
          <w:noProof w:val="0"/>
          <w:sz w:val="22"/>
          <w:szCs w:val="22"/>
          <w:lang w:val="en-US"/>
        </w:rPr>
      </w:pPr>
    </w:p>
    <w:p w:rsidR="513637C9" w:rsidP="7D1D1796" w:rsidRDefault="513637C9" w14:paraId="223AD7A4" w14:textId="0DA55C66">
      <w:pPr>
        <w:pStyle w:val="Heading1"/>
        <w:spacing w:before="0" w:beforeAutospacing="off" w:after="360" w:afterAutospacing="off" w:line="360" w:lineRule="auto"/>
        <w:jc w:val="left"/>
        <w:rPr>
          <w:rFonts w:ascii="Calibri" w:hAnsi="Calibri" w:eastAsia="Calibri" w:cs="Calibri" w:asciiTheme="minorAscii" w:hAnsiTheme="minorAscii" w:eastAsiaTheme="minorAscii" w:cstheme="minorAscii"/>
          <w:b w:val="1"/>
          <w:bCs w:val="1"/>
          <w:noProof w:val="0"/>
          <w:color w:val="auto"/>
          <w:sz w:val="28"/>
          <w:szCs w:val="28"/>
          <w:u w:val="single"/>
          <w:lang w:val="en-US"/>
        </w:rPr>
      </w:pPr>
      <w:r w:rsidRPr="7D1D1796" w:rsidR="513637C9">
        <w:rPr>
          <w:rFonts w:ascii="Calibri" w:hAnsi="Calibri" w:eastAsia="Calibri" w:cs="Calibri" w:asciiTheme="minorAscii" w:hAnsiTheme="minorAscii" w:eastAsiaTheme="minorAscii" w:cstheme="minorAscii"/>
          <w:b w:val="1"/>
          <w:bCs w:val="1"/>
          <w:noProof w:val="0"/>
          <w:color w:val="auto"/>
          <w:sz w:val="28"/>
          <w:szCs w:val="28"/>
          <w:u w:val="single"/>
          <w:lang w:val="en-US"/>
        </w:rPr>
        <w:t>Reference list</w:t>
      </w:r>
    </w:p>
    <w:p w:rsidR="513637C9" w:rsidP="7D1D1796" w:rsidRDefault="513637C9" w14:paraId="58D54C00" w14:textId="5EA738DB">
      <w:pPr>
        <w:spacing w:before="0" w:beforeAutospacing="off" w:after="240" w:afterAutospacing="off" w:line="360" w:lineRule="auto"/>
      </w:pPr>
      <w:r w:rsidRPr="7D1D1796" w:rsidR="513637C9">
        <w:rPr>
          <w:rFonts w:ascii="Times New Roman" w:hAnsi="Times New Roman" w:eastAsia="Times New Roman" w:cs="Times New Roman"/>
          <w:noProof w:val="0"/>
          <w:sz w:val="24"/>
          <w:szCs w:val="24"/>
          <w:lang w:val="en-US"/>
        </w:rPr>
        <w:t xml:space="preserve">Cherry, K. (2023). </w:t>
      </w:r>
      <w:r w:rsidRPr="7D1D1796" w:rsidR="513637C9">
        <w:rPr>
          <w:rFonts w:ascii="Times New Roman" w:hAnsi="Times New Roman" w:eastAsia="Times New Roman" w:cs="Times New Roman"/>
          <w:i w:val="1"/>
          <w:iCs w:val="1"/>
          <w:noProof w:val="0"/>
          <w:sz w:val="24"/>
          <w:szCs w:val="24"/>
          <w:lang w:val="en-US"/>
        </w:rPr>
        <w:t>Understanding Cultural Relativism and Its Importance</w:t>
      </w:r>
      <w:r w:rsidRPr="7D1D1796" w:rsidR="513637C9">
        <w:rPr>
          <w:rFonts w:ascii="Times New Roman" w:hAnsi="Times New Roman" w:eastAsia="Times New Roman" w:cs="Times New Roman"/>
          <w:noProof w:val="0"/>
          <w:sz w:val="24"/>
          <w:szCs w:val="24"/>
          <w:lang w:val="en-US"/>
        </w:rPr>
        <w:t xml:space="preserve">. [online] Verywell Mind. Available at: </w:t>
      </w:r>
      <w:hyperlink r:id="Rd7a4f98e1288496a">
        <w:r w:rsidRPr="7D1D1796" w:rsidR="513637C9">
          <w:rPr>
            <w:rStyle w:val="Hyperlink"/>
            <w:rFonts w:ascii="Times New Roman" w:hAnsi="Times New Roman" w:eastAsia="Times New Roman" w:cs="Times New Roman"/>
            <w:noProof w:val="0"/>
            <w:sz w:val="24"/>
            <w:szCs w:val="24"/>
            <w:lang w:val="en-US"/>
          </w:rPr>
          <w:t>https://www.verywellmind.com/understanding-cultural-relativism-7549709</w:t>
        </w:r>
      </w:hyperlink>
      <w:r w:rsidRPr="7D1D1796" w:rsidR="513637C9">
        <w:rPr>
          <w:rFonts w:ascii="Times New Roman" w:hAnsi="Times New Roman" w:eastAsia="Times New Roman" w:cs="Times New Roman"/>
          <w:noProof w:val="0"/>
          <w:sz w:val="24"/>
          <w:szCs w:val="24"/>
          <w:lang w:val="en-US"/>
        </w:rPr>
        <w:t>.</w:t>
      </w:r>
    </w:p>
    <w:p w:rsidR="513637C9" w:rsidP="7D1D1796" w:rsidRDefault="513637C9" w14:paraId="62A931E5" w14:textId="7E725D5B">
      <w:pPr>
        <w:spacing w:before="0" w:beforeAutospacing="off" w:after="240" w:afterAutospacing="off" w:line="360" w:lineRule="auto"/>
      </w:pPr>
      <w:r w:rsidRPr="7D1D1796" w:rsidR="513637C9">
        <w:rPr>
          <w:rFonts w:ascii="Times New Roman" w:hAnsi="Times New Roman" w:eastAsia="Times New Roman" w:cs="Times New Roman"/>
          <w:noProof w:val="0"/>
          <w:sz w:val="24"/>
          <w:szCs w:val="24"/>
          <w:lang w:val="en-US"/>
        </w:rPr>
        <w:t xml:space="preserve">College of policing (2016). </w:t>
      </w:r>
      <w:r w:rsidRPr="7D1D1796" w:rsidR="513637C9">
        <w:rPr>
          <w:rFonts w:ascii="Times New Roman" w:hAnsi="Times New Roman" w:eastAsia="Times New Roman" w:cs="Times New Roman"/>
          <w:i w:val="1"/>
          <w:iCs w:val="1"/>
          <w:noProof w:val="0"/>
          <w:sz w:val="24"/>
          <w:szCs w:val="24"/>
          <w:lang w:val="en-US"/>
        </w:rPr>
        <w:t>Legal application</w:t>
      </w:r>
      <w:r w:rsidRPr="7D1D1796" w:rsidR="513637C9">
        <w:rPr>
          <w:rFonts w:ascii="Times New Roman" w:hAnsi="Times New Roman" w:eastAsia="Times New Roman" w:cs="Times New Roman"/>
          <w:noProof w:val="0"/>
          <w:sz w:val="24"/>
          <w:szCs w:val="24"/>
          <w:lang w:val="en-US"/>
        </w:rPr>
        <w:t xml:space="preserve">. [online] College of Policing. Available at: </w:t>
      </w:r>
      <w:hyperlink r:id="Red861dcde5374c06">
        <w:r w:rsidRPr="7D1D1796" w:rsidR="513637C9">
          <w:rPr>
            <w:rStyle w:val="Hyperlink"/>
            <w:rFonts w:ascii="Times New Roman" w:hAnsi="Times New Roman" w:eastAsia="Times New Roman" w:cs="Times New Roman"/>
            <w:noProof w:val="0"/>
            <w:sz w:val="24"/>
            <w:szCs w:val="24"/>
            <w:lang w:val="en-US"/>
          </w:rPr>
          <w:t>https://www.college.police.uk/app/stop-and-search/legal/legal-application</w:t>
        </w:r>
      </w:hyperlink>
      <w:r w:rsidRPr="7D1D1796" w:rsidR="513637C9">
        <w:rPr>
          <w:rFonts w:ascii="Times New Roman" w:hAnsi="Times New Roman" w:eastAsia="Times New Roman" w:cs="Times New Roman"/>
          <w:noProof w:val="0"/>
          <w:sz w:val="24"/>
          <w:szCs w:val="24"/>
          <w:lang w:val="en-US"/>
        </w:rPr>
        <w:t>.</w:t>
      </w:r>
    </w:p>
    <w:p w:rsidR="513637C9" w:rsidP="7D1D1796" w:rsidRDefault="513637C9" w14:paraId="1CEFA4B1" w14:textId="4C809731">
      <w:pPr>
        <w:spacing w:before="0" w:beforeAutospacing="off" w:after="240" w:afterAutospacing="off" w:line="360" w:lineRule="auto"/>
      </w:pPr>
      <w:r w:rsidRPr="7D1D1796" w:rsidR="513637C9">
        <w:rPr>
          <w:rFonts w:ascii="Times New Roman" w:hAnsi="Times New Roman" w:eastAsia="Times New Roman" w:cs="Times New Roman"/>
          <w:noProof w:val="0"/>
          <w:sz w:val="24"/>
          <w:szCs w:val="24"/>
          <w:lang w:val="en-US"/>
        </w:rPr>
        <w:t xml:space="preserve">Díaz, D. (2022). </w:t>
      </w:r>
      <w:r w:rsidRPr="7D1D1796" w:rsidR="513637C9">
        <w:rPr>
          <w:rFonts w:ascii="Times New Roman" w:hAnsi="Times New Roman" w:eastAsia="Times New Roman" w:cs="Times New Roman"/>
          <w:i w:val="1"/>
          <w:iCs w:val="1"/>
          <w:noProof w:val="0"/>
          <w:sz w:val="24"/>
          <w:szCs w:val="24"/>
          <w:lang w:val="en-US"/>
        </w:rPr>
        <w:t>What is the philosophy of law?</w:t>
      </w:r>
      <w:r w:rsidRPr="7D1D1796" w:rsidR="513637C9">
        <w:rPr>
          <w:rFonts w:ascii="Times New Roman" w:hAnsi="Times New Roman" w:eastAsia="Times New Roman" w:cs="Times New Roman"/>
          <w:noProof w:val="0"/>
          <w:sz w:val="24"/>
          <w:szCs w:val="24"/>
          <w:lang w:val="en-US"/>
        </w:rPr>
        <w:t xml:space="preserve"> [online] University of Lincoln. Available at: </w:t>
      </w:r>
      <w:hyperlink r:id="R30087bec40ef44b3">
        <w:r w:rsidRPr="7D1D1796" w:rsidR="513637C9">
          <w:rPr>
            <w:rStyle w:val="Hyperlink"/>
            <w:rFonts w:ascii="Times New Roman" w:hAnsi="Times New Roman" w:eastAsia="Times New Roman" w:cs="Times New Roman"/>
            <w:noProof w:val="0"/>
            <w:sz w:val="24"/>
            <w:szCs w:val="24"/>
            <w:lang w:val="en-US"/>
          </w:rPr>
          <w:t>https://online.lincoln.ac.uk/what-is-the-philosophy-of-law/</w:t>
        </w:r>
      </w:hyperlink>
      <w:r w:rsidRPr="7D1D1796" w:rsidR="513637C9">
        <w:rPr>
          <w:rFonts w:ascii="Times New Roman" w:hAnsi="Times New Roman" w:eastAsia="Times New Roman" w:cs="Times New Roman"/>
          <w:noProof w:val="0"/>
          <w:sz w:val="24"/>
          <w:szCs w:val="24"/>
          <w:lang w:val="en-US"/>
        </w:rPr>
        <w:t>.</w:t>
      </w:r>
    </w:p>
    <w:p w:rsidR="513637C9" w:rsidP="7D1D1796" w:rsidRDefault="513637C9" w14:paraId="471353B9" w14:textId="51E00DB5">
      <w:pPr>
        <w:spacing w:before="0" w:beforeAutospacing="off" w:after="240" w:afterAutospacing="off" w:line="360" w:lineRule="auto"/>
      </w:pPr>
      <w:r w:rsidRPr="7D1D1796" w:rsidR="513637C9">
        <w:rPr>
          <w:rFonts w:ascii="Times New Roman" w:hAnsi="Times New Roman" w:eastAsia="Times New Roman" w:cs="Times New Roman"/>
          <w:noProof w:val="0"/>
          <w:sz w:val="24"/>
          <w:szCs w:val="24"/>
          <w:lang w:val="en-US"/>
        </w:rPr>
        <w:t xml:space="preserve">Edwards, J. (2018). </w:t>
      </w:r>
      <w:r w:rsidRPr="7D1D1796" w:rsidR="513637C9">
        <w:rPr>
          <w:rFonts w:ascii="Times New Roman" w:hAnsi="Times New Roman" w:eastAsia="Times New Roman" w:cs="Times New Roman"/>
          <w:i w:val="1"/>
          <w:iCs w:val="1"/>
          <w:noProof w:val="0"/>
          <w:sz w:val="24"/>
          <w:szCs w:val="24"/>
          <w:lang w:val="en-US"/>
        </w:rPr>
        <w:t>Theories of Criminal Law (Stanford Encyclopedia of Philosophy)</w:t>
      </w:r>
      <w:r w:rsidRPr="7D1D1796" w:rsidR="513637C9">
        <w:rPr>
          <w:rFonts w:ascii="Times New Roman" w:hAnsi="Times New Roman" w:eastAsia="Times New Roman" w:cs="Times New Roman"/>
          <w:noProof w:val="0"/>
          <w:sz w:val="24"/>
          <w:szCs w:val="24"/>
          <w:lang w:val="en-US"/>
        </w:rPr>
        <w:t xml:space="preserve">. [online] Stanford.edu. Available at: </w:t>
      </w:r>
      <w:hyperlink r:id="R31c58c87fba94c77">
        <w:r w:rsidRPr="7D1D1796" w:rsidR="513637C9">
          <w:rPr>
            <w:rStyle w:val="Hyperlink"/>
            <w:rFonts w:ascii="Times New Roman" w:hAnsi="Times New Roman" w:eastAsia="Times New Roman" w:cs="Times New Roman"/>
            <w:noProof w:val="0"/>
            <w:sz w:val="24"/>
            <w:szCs w:val="24"/>
            <w:lang w:val="en-US"/>
          </w:rPr>
          <w:t>https://plato.stanford.edu/entries/criminal-law/</w:t>
        </w:r>
      </w:hyperlink>
      <w:r w:rsidRPr="7D1D1796" w:rsidR="513637C9">
        <w:rPr>
          <w:rFonts w:ascii="Times New Roman" w:hAnsi="Times New Roman" w:eastAsia="Times New Roman" w:cs="Times New Roman"/>
          <w:noProof w:val="0"/>
          <w:sz w:val="24"/>
          <w:szCs w:val="24"/>
          <w:lang w:val="en-US"/>
        </w:rPr>
        <w:t>.</w:t>
      </w:r>
    </w:p>
    <w:p w:rsidR="513637C9" w:rsidP="7D1D1796" w:rsidRDefault="513637C9" w14:paraId="226A076D" w14:textId="3516AB1D">
      <w:pPr>
        <w:spacing w:before="0" w:beforeAutospacing="off" w:after="240" w:afterAutospacing="off" w:line="360" w:lineRule="auto"/>
      </w:pPr>
      <w:r w:rsidRPr="7D1D1796" w:rsidR="513637C9">
        <w:rPr>
          <w:rFonts w:ascii="Times New Roman" w:hAnsi="Times New Roman" w:eastAsia="Times New Roman" w:cs="Times New Roman"/>
          <w:noProof w:val="0"/>
          <w:sz w:val="24"/>
          <w:szCs w:val="24"/>
          <w:lang w:val="en-US"/>
        </w:rPr>
        <w:t xml:space="preserve">Health and Care Professions Council (2021). </w:t>
      </w:r>
      <w:r w:rsidRPr="7D1D1796" w:rsidR="513637C9">
        <w:rPr>
          <w:rFonts w:ascii="Times New Roman" w:hAnsi="Times New Roman" w:eastAsia="Times New Roman" w:cs="Times New Roman"/>
          <w:i w:val="1"/>
          <w:iCs w:val="1"/>
          <w:noProof w:val="0"/>
          <w:sz w:val="24"/>
          <w:szCs w:val="24"/>
          <w:lang w:val="en-US"/>
        </w:rPr>
        <w:t>Consent and Confidentiality</w:t>
      </w:r>
      <w:r w:rsidRPr="7D1D1796" w:rsidR="513637C9">
        <w:rPr>
          <w:rFonts w:ascii="Times New Roman" w:hAnsi="Times New Roman" w:eastAsia="Times New Roman" w:cs="Times New Roman"/>
          <w:noProof w:val="0"/>
          <w:sz w:val="24"/>
          <w:szCs w:val="24"/>
          <w:lang w:val="en-US"/>
        </w:rPr>
        <w:t xml:space="preserve">. [online] </w:t>
      </w:r>
      <w:hyperlink>
        <w:r w:rsidRPr="7D1D1796" w:rsidR="513637C9">
          <w:rPr>
            <w:rStyle w:val="Hyperlink"/>
            <w:rFonts w:ascii="Times New Roman" w:hAnsi="Times New Roman" w:eastAsia="Times New Roman" w:cs="Times New Roman"/>
            <w:noProof w:val="0"/>
            <w:sz w:val="24"/>
            <w:szCs w:val="24"/>
            <w:lang w:val="en-US"/>
          </w:rPr>
          <w:t>www.hcpc-uk.org</w:t>
        </w:r>
      </w:hyperlink>
      <w:r w:rsidRPr="7D1D1796" w:rsidR="513637C9">
        <w:rPr>
          <w:rFonts w:ascii="Times New Roman" w:hAnsi="Times New Roman" w:eastAsia="Times New Roman" w:cs="Times New Roman"/>
          <w:noProof w:val="0"/>
          <w:sz w:val="24"/>
          <w:szCs w:val="24"/>
          <w:lang w:val="en-US"/>
        </w:rPr>
        <w:t xml:space="preserve">. Available at: </w:t>
      </w:r>
      <w:hyperlink r:id="Rf3aa0037bc454352">
        <w:r w:rsidRPr="7D1D1796" w:rsidR="513637C9">
          <w:rPr>
            <w:rStyle w:val="Hyperlink"/>
            <w:rFonts w:ascii="Times New Roman" w:hAnsi="Times New Roman" w:eastAsia="Times New Roman" w:cs="Times New Roman"/>
            <w:noProof w:val="0"/>
            <w:sz w:val="24"/>
            <w:szCs w:val="24"/>
            <w:lang w:val="en-US"/>
          </w:rPr>
          <w:t>https://www.hcpc-uk.org/standards/meeting-our-standards/confidentiality/guidance-on-confidentiality/consent-and-confidentiality/</w:t>
        </w:r>
      </w:hyperlink>
      <w:r w:rsidRPr="7D1D1796" w:rsidR="513637C9">
        <w:rPr>
          <w:rFonts w:ascii="Times New Roman" w:hAnsi="Times New Roman" w:eastAsia="Times New Roman" w:cs="Times New Roman"/>
          <w:noProof w:val="0"/>
          <w:sz w:val="24"/>
          <w:szCs w:val="24"/>
          <w:lang w:val="en-US"/>
        </w:rPr>
        <w:t>.</w:t>
      </w:r>
    </w:p>
    <w:p w:rsidR="513637C9" w:rsidP="7D1D1796" w:rsidRDefault="513637C9" w14:paraId="12020123" w14:textId="56A609B1">
      <w:pPr>
        <w:spacing w:before="0" w:beforeAutospacing="off" w:after="240" w:afterAutospacing="off" w:line="360" w:lineRule="auto"/>
      </w:pPr>
      <w:r w:rsidRPr="7D1D1796" w:rsidR="513637C9">
        <w:rPr>
          <w:rFonts w:ascii="Times New Roman" w:hAnsi="Times New Roman" w:eastAsia="Times New Roman" w:cs="Times New Roman"/>
          <w:noProof w:val="0"/>
          <w:sz w:val="24"/>
          <w:szCs w:val="24"/>
          <w:lang w:val="en-US"/>
        </w:rPr>
        <w:t xml:space="preserve">Hodder Education Magazines. (2017). </w:t>
      </w:r>
      <w:r w:rsidRPr="7D1D1796" w:rsidR="513637C9">
        <w:rPr>
          <w:rFonts w:ascii="Times New Roman" w:hAnsi="Times New Roman" w:eastAsia="Times New Roman" w:cs="Times New Roman"/>
          <w:i w:val="1"/>
          <w:iCs w:val="1"/>
          <w:noProof w:val="0"/>
          <w:sz w:val="24"/>
          <w:szCs w:val="24"/>
          <w:lang w:val="en-US"/>
        </w:rPr>
        <w:t>Informed consent and the tort of battery</w:t>
      </w:r>
      <w:r w:rsidRPr="7D1D1796" w:rsidR="513637C9">
        <w:rPr>
          <w:rFonts w:ascii="Times New Roman" w:hAnsi="Times New Roman" w:eastAsia="Times New Roman" w:cs="Times New Roman"/>
          <w:noProof w:val="0"/>
          <w:sz w:val="24"/>
          <w:szCs w:val="24"/>
          <w:lang w:val="en-US"/>
        </w:rPr>
        <w:t xml:space="preserve">. [online] Available at: </w:t>
      </w:r>
      <w:hyperlink r:id="R7e7fcdc1b8ee4c6d">
        <w:r w:rsidRPr="7D1D1796" w:rsidR="513637C9">
          <w:rPr>
            <w:rStyle w:val="Hyperlink"/>
            <w:rFonts w:ascii="Times New Roman" w:hAnsi="Times New Roman" w:eastAsia="Times New Roman" w:cs="Times New Roman"/>
            <w:noProof w:val="0"/>
            <w:sz w:val="24"/>
            <w:szCs w:val="24"/>
            <w:lang w:val="en-US"/>
          </w:rPr>
          <w:t>https://www.hoddereducationmagazines.com/magazine/a-level-law-review/13/1/informed-consent-and-the-tort-of-battery/</w:t>
        </w:r>
      </w:hyperlink>
      <w:r w:rsidRPr="7D1D1796" w:rsidR="513637C9">
        <w:rPr>
          <w:rFonts w:ascii="Times New Roman" w:hAnsi="Times New Roman" w:eastAsia="Times New Roman" w:cs="Times New Roman"/>
          <w:noProof w:val="0"/>
          <w:sz w:val="24"/>
          <w:szCs w:val="24"/>
          <w:lang w:val="en-US"/>
        </w:rPr>
        <w:t xml:space="preserve"> [Accessed 10 Nov. 2023].</w:t>
      </w:r>
    </w:p>
    <w:p w:rsidR="513637C9" w:rsidP="7D1D1796" w:rsidRDefault="513637C9" w14:paraId="03186F5F" w14:textId="610C89D6">
      <w:pPr>
        <w:spacing w:before="0" w:beforeAutospacing="off" w:after="240" w:afterAutospacing="off" w:line="360" w:lineRule="auto"/>
      </w:pPr>
      <w:r w:rsidRPr="7D1D1796" w:rsidR="513637C9">
        <w:rPr>
          <w:rFonts w:ascii="Times New Roman" w:hAnsi="Times New Roman" w:eastAsia="Times New Roman" w:cs="Times New Roman"/>
          <w:noProof w:val="0"/>
          <w:sz w:val="24"/>
          <w:szCs w:val="24"/>
          <w:lang w:val="en-US"/>
        </w:rPr>
        <w:t xml:space="preserve">Home Office (2015). </w:t>
      </w:r>
      <w:r w:rsidRPr="7D1D1796" w:rsidR="513637C9">
        <w:rPr>
          <w:rFonts w:ascii="Times New Roman" w:hAnsi="Times New Roman" w:eastAsia="Times New Roman" w:cs="Times New Roman"/>
          <w:i w:val="1"/>
          <w:iCs w:val="1"/>
          <w:noProof w:val="0"/>
          <w:sz w:val="24"/>
          <w:szCs w:val="24"/>
          <w:lang w:val="en-US"/>
        </w:rPr>
        <w:t>Coercive or controlling behaviour now a crime</w:t>
      </w:r>
      <w:r w:rsidRPr="7D1D1796" w:rsidR="513637C9">
        <w:rPr>
          <w:rFonts w:ascii="Times New Roman" w:hAnsi="Times New Roman" w:eastAsia="Times New Roman" w:cs="Times New Roman"/>
          <w:noProof w:val="0"/>
          <w:sz w:val="24"/>
          <w:szCs w:val="24"/>
          <w:lang w:val="en-US"/>
        </w:rPr>
        <w:t xml:space="preserve">. [online] GOV.UK. Available at: </w:t>
      </w:r>
      <w:hyperlink r:id="Ree93d10ee6c144b2">
        <w:r w:rsidRPr="7D1D1796" w:rsidR="513637C9">
          <w:rPr>
            <w:rStyle w:val="Hyperlink"/>
            <w:rFonts w:ascii="Times New Roman" w:hAnsi="Times New Roman" w:eastAsia="Times New Roman" w:cs="Times New Roman"/>
            <w:noProof w:val="0"/>
            <w:sz w:val="24"/>
            <w:szCs w:val="24"/>
            <w:lang w:val="en-US"/>
          </w:rPr>
          <w:t>https://www.gov.uk/government/news/coercive-or-controlling-behaviour-now-a-crime</w:t>
        </w:r>
      </w:hyperlink>
      <w:r w:rsidRPr="7D1D1796" w:rsidR="513637C9">
        <w:rPr>
          <w:rFonts w:ascii="Times New Roman" w:hAnsi="Times New Roman" w:eastAsia="Times New Roman" w:cs="Times New Roman"/>
          <w:noProof w:val="0"/>
          <w:sz w:val="24"/>
          <w:szCs w:val="24"/>
          <w:lang w:val="en-US"/>
        </w:rPr>
        <w:t>.</w:t>
      </w:r>
    </w:p>
    <w:p w:rsidR="513637C9" w:rsidP="7D1D1796" w:rsidRDefault="513637C9" w14:paraId="569A3C57" w14:textId="0FC3DF83">
      <w:pPr>
        <w:spacing w:before="0" w:beforeAutospacing="off" w:after="240" w:afterAutospacing="off" w:line="360" w:lineRule="auto"/>
      </w:pPr>
      <w:r w:rsidRPr="7D1D1796" w:rsidR="513637C9">
        <w:rPr>
          <w:rFonts w:ascii="Times New Roman" w:hAnsi="Times New Roman" w:eastAsia="Times New Roman" w:cs="Times New Roman"/>
          <w:noProof w:val="0"/>
          <w:sz w:val="24"/>
          <w:szCs w:val="24"/>
          <w:lang w:val="en-US"/>
        </w:rPr>
        <w:t xml:space="preserve">Musmade, P.B., Nijhawan, L.P., Udupa, N., Bairy, K., Bhat, K., Janodia, M. and Muddukrishna, B. (2013). Informed Consent: Issues and Challenges. </w:t>
      </w:r>
      <w:r w:rsidRPr="7D1D1796" w:rsidR="513637C9">
        <w:rPr>
          <w:rFonts w:ascii="Times New Roman" w:hAnsi="Times New Roman" w:eastAsia="Times New Roman" w:cs="Times New Roman"/>
          <w:i w:val="1"/>
          <w:iCs w:val="1"/>
          <w:noProof w:val="0"/>
          <w:sz w:val="24"/>
          <w:szCs w:val="24"/>
          <w:lang w:val="en-US"/>
        </w:rPr>
        <w:t>Journal of Advanced Pharmaceutical Technology &amp; Research</w:t>
      </w:r>
      <w:r w:rsidRPr="7D1D1796" w:rsidR="513637C9">
        <w:rPr>
          <w:rFonts w:ascii="Times New Roman" w:hAnsi="Times New Roman" w:eastAsia="Times New Roman" w:cs="Times New Roman"/>
          <w:noProof w:val="0"/>
          <w:sz w:val="24"/>
          <w:szCs w:val="24"/>
          <w:lang w:val="en-US"/>
        </w:rPr>
        <w:t>, [online] 4(3), p.134. doi:https://doi.org/10.4103/2231-4040.116779.</w:t>
      </w:r>
    </w:p>
    <w:p w:rsidR="513637C9" w:rsidP="7D1D1796" w:rsidRDefault="513637C9" w14:paraId="180B16BC" w14:textId="63E999C3">
      <w:pPr>
        <w:spacing w:before="0" w:beforeAutospacing="off" w:after="240" w:afterAutospacing="off" w:line="360" w:lineRule="auto"/>
      </w:pPr>
      <w:r w:rsidRPr="7D1D1796" w:rsidR="513637C9">
        <w:rPr>
          <w:rFonts w:ascii="Times New Roman" w:hAnsi="Times New Roman" w:eastAsia="Times New Roman" w:cs="Times New Roman"/>
          <w:noProof w:val="0"/>
          <w:sz w:val="24"/>
          <w:szCs w:val="24"/>
          <w:lang w:val="en-US"/>
        </w:rPr>
        <w:t xml:space="preserve">NICE (2018). </w:t>
      </w:r>
      <w:r w:rsidRPr="7D1D1796" w:rsidR="513637C9">
        <w:rPr>
          <w:rFonts w:ascii="Times New Roman" w:hAnsi="Times New Roman" w:eastAsia="Times New Roman" w:cs="Times New Roman"/>
          <w:i w:val="1"/>
          <w:iCs w:val="1"/>
          <w:noProof w:val="0"/>
          <w:sz w:val="24"/>
          <w:szCs w:val="24"/>
          <w:lang w:val="en-US"/>
        </w:rPr>
        <w:t>Recommendations | Decision-making and Mental Capacity | Guidance | NICE</w:t>
      </w:r>
      <w:r w:rsidRPr="7D1D1796" w:rsidR="513637C9">
        <w:rPr>
          <w:rFonts w:ascii="Times New Roman" w:hAnsi="Times New Roman" w:eastAsia="Times New Roman" w:cs="Times New Roman"/>
          <w:noProof w:val="0"/>
          <w:sz w:val="24"/>
          <w:szCs w:val="24"/>
          <w:lang w:val="en-US"/>
        </w:rPr>
        <w:t xml:space="preserve">. [online] Nice.org.uk. Available at: </w:t>
      </w:r>
      <w:hyperlink r:id="R85a5ca30a9cb46a2">
        <w:r w:rsidRPr="7D1D1796" w:rsidR="513637C9">
          <w:rPr>
            <w:rStyle w:val="Hyperlink"/>
            <w:rFonts w:ascii="Times New Roman" w:hAnsi="Times New Roman" w:eastAsia="Times New Roman" w:cs="Times New Roman"/>
            <w:noProof w:val="0"/>
            <w:sz w:val="24"/>
            <w:szCs w:val="24"/>
            <w:lang w:val="en-US"/>
          </w:rPr>
          <w:t>https://www.nice.org.uk/guidance/ng108/chapter/Recommendations</w:t>
        </w:r>
      </w:hyperlink>
      <w:r w:rsidRPr="7D1D1796" w:rsidR="513637C9">
        <w:rPr>
          <w:rFonts w:ascii="Times New Roman" w:hAnsi="Times New Roman" w:eastAsia="Times New Roman" w:cs="Times New Roman"/>
          <w:noProof w:val="0"/>
          <w:sz w:val="24"/>
          <w:szCs w:val="24"/>
          <w:lang w:val="en-US"/>
        </w:rPr>
        <w:t>.</w:t>
      </w:r>
    </w:p>
    <w:p w:rsidR="513637C9" w:rsidP="7D1D1796" w:rsidRDefault="513637C9" w14:paraId="71C566B3" w14:textId="6082FDF1">
      <w:pPr>
        <w:spacing w:before="0" w:beforeAutospacing="off" w:after="240" w:afterAutospacing="off" w:line="360" w:lineRule="auto"/>
      </w:pPr>
      <w:r w:rsidRPr="7D1D1796" w:rsidR="513637C9">
        <w:rPr>
          <w:rFonts w:ascii="Times New Roman" w:hAnsi="Times New Roman" w:eastAsia="Times New Roman" w:cs="Times New Roman"/>
          <w:noProof w:val="0"/>
          <w:sz w:val="24"/>
          <w:szCs w:val="24"/>
          <w:lang w:val="en-US"/>
        </w:rPr>
        <w:t xml:space="preserve">O’Neill, O. (2003). Some limits of informed consent. </w:t>
      </w:r>
      <w:r w:rsidRPr="7D1D1796" w:rsidR="513637C9">
        <w:rPr>
          <w:rFonts w:ascii="Times New Roman" w:hAnsi="Times New Roman" w:eastAsia="Times New Roman" w:cs="Times New Roman"/>
          <w:i w:val="1"/>
          <w:iCs w:val="1"/>
          <w:noProof w:val="0"/>
          <w:sz w:val="24"/>
          <w:szCs w:val="24"/>
          <w:lang w:val="en-US"/>
        </w:rPr>
        <w:t>Journal of Medical Ethics</w:t>
      </w:r>
      <w:r w:rsidRPr="7D1D1796" w:rsidR="513637C9">
        <w:rPr>
          <w:rFonts w:ascii="Times New Roman" w:hAnsi="Times New Roman" w:eastAsia="Times New Roman" w:cs="Times New Roman"/>
          <w:noProof w:val="0"/>
          <w:sz w:val="24"/>
          <w:szCs w:val="24"/>
          <w:lang w:val="en-US"/>
        </w:rPr>
        <w:t>, 29(1), pp.4–7. doi:https://doi.org/10.1136/jme.29.1.4.</w:t>
      </w:r>
    </w:p>
    <w:p w:rsidR="513637C9" w:rsidP="7D1D1796" w:rsidRDefault="513637C9" w14:paraId="1AC08D48" w14:textId="38A0CCA2">
      <w:pPr>
        <w:spacing w:before="0" w:beforeAutospacing="off" w:after="240" w:afterAutospacing="off" w:line="360" w:lineRule="auto"/>
      </w:pPr>
      <w:r w:rsidRPr="7D1D1796" w:rsidR="513637C9">
        <w:rPr>
          <w:rFonts w:ascii="Times New Roman" w:hAnsi="Times New Roman" w:eastAsia="Times New Roman" w:cs="Times New Roman"/>
          <w:noProof w:val="0"/>
          <w:sz w:val="24"/>
          <w:szCs w:val="24"/>
          <w:lang w:val="en-US"/>
        </w:rPr>
        <w:t xml:space="preserve">Sieck, W. (2021). </w:t>
      </w:r>
      <w:r w:rsidRPr="7D1D1796" w:rsidR="513637C9">
        <w:rPr>
          <w:rFonts w:ascii="Times New Roman" w:hAnsi="Times New Roman" w:eastAsia="Times New Roman" w:cs="Times New Roman"/>
          <w:i w:val="1"/>
          <w:iCs w:val="1"/>
          <w:noProof w:val="0"/>
          <w:sz w:val="24"/>
          <w:szCs w:val="24"/>
          <w:lang w:val="en-US"/>
        </w:rPr>
        <w:t>What is Cultural Sensitivity and How Does it Develop?</w:t>
      </w:r>
      <w:r w:rsidRPr="7D1D1796" w:rsidR="513637C9">
        <w:rPr>
          <w:rFonts w:ascii="Times New Roman" w:hAnsi="Times New Roman" w:eastAsia="Times New Roman" w:cs="Times New Roman"/>
          <w:noProof w:val="0"/>
          <w:sz w:val="24"/>
          <w:szCs w:val="24"/>
          <w:lang w:val="en-US"/>
        </w:rPr>
        <w:t xml:space="preserve"> [online] Global Cognition. Available at: </w:t>
      </w:r>
      <w:hyperlink r:id="R119670fcceef440c">
        <w:r w:rsidRPr="7D1D1796" w:rsidR="513637C9">
          <w:rPr>
            <w:rStyle w:val="Hyperlink"/>
            <w:rFonts w:ascii="Times New Roman" w:hAnsi="Times New Roman" w:eastAsia="Times New Roman" w:cs="Times New Roman"/>
            <w:noProof w:val="0"/>
            <w:sz w:val="24"/>
            <w:szCs w:val="24"/>
            <w:lang w:val="en-US"/>
          </w:rPr>
          <w:t>https://www.globalcognition.org/what-is-cultural-sensitivity/</w:t>
        </w:r>
      </w:hyperlink>
      <w:r w:rsidRPr="7D1D1796" w:rsidR="513637C9">
        <w:rPr>
          <w:rFonts w:ascii="Times New Roman" w:hAnsi="Times New Roman" w:eastAsia="Times New Roman" w:cs="Times New Roman"/>
          <w:noProof w:val="0"/>
          <w:sz w:val="24"/>
          <w:szCs w:val="24"/>
          <w:lang w:val="en-US"/>
        </w:rPr>
        <w:t>.</w:t>
      </w:r>
    </w:p>
    <w:p w:rsidR="513637C9" w:rsidP="7D1D1796" w:rsidRDefault="513637C9" w14:paraId="7822B59D" w14:textId="58CF23D0">
      <w:pPr>
        <w:spacing w:before="0" w:beforeAutospacing="off" w:after="240" w:afterAutospacing="off" w:line="360" w:lineRule="auto"/>
      </w:pPr>
      <w:r w:rsidRPr="7D1D1796" w:rsidR="513637C9">
        <w:rPr>
          <w:rFonts w:ascii="Times New Roman" w:hAnsi="Times New Roman" w:eastAsia="Times New Roman" w:cs="Times New Roman"/>
          <w:noProof w:val="0"/>
          <w:sz w:val="24"/>
          <w:szCs w:val="24"/>
          <w:lang w:val="en-US"/>
        </w:rPr>
        <w:t xml:space="preserve">Women's Aid (2018). </w:t>
      </w:r>
      <w:r w:rsidRPr="7D1D1796" w:rsidR="513637C9">
        <w:rPr>
          <w:rFonts w:ascii="Times New Roman" w:hAnsi="Times New Roman" w:eastAsia="Times New Roman" w:cs="Times New Roman"/>
          <w:i w:val="1"/>
          <w:iCs w:val="1"/>
          <w:noProof w:val="0"/>
          <w:sz w:val="24"/>
          <w:szCs w:val="24"/>
          <w:lang w:val="en-US"/>
        </w:rPr>
        <w:t>Coercive control - Womens Aid</w:t>
      </w:r>
      <w:r w:rsidRPr="7D1D1796" w:rsidR="513637C9">
        <w:rPr>
          <w:rFonts w:ascii="Times New Roman" w:hAnsi="Times New Roman" w:eastAsia="Times New Roman" w:cs="Times New Roman"/>
          <w:noProof w:val="0"/>
          <w:sz w:val="24"/>
          <w:szCs w:val="24"/>
          <w:lang w:val="en-US"/>
        </w:rPr>
        <w:t xml:space="preserve">. [online] Womens Aid. Available at: </w:t>
      </w:r>
      <w:hyperlink r:id="Ree68e767a018401e">
        <w:r w:rsidRPr="7D1D1796" w:rsidR="513637C9">
          <w:rPr>
            <w:rStyle w:val="Hyperlink"/>
            <w:rFonts w:ascii="Times New Roman" w:hAnsi="Times New Roman" w:eastAsia="Times New Roman" w:cs="Times New Roman"/>
            <w:noProof w:val="0"/>
            <w:sz w:val="24"/>
            <w:szCs w:val="24"/>
            <w:lang w:val="en-US"/>
          </w:rPr>
          <w:t>https://www.womensaid.org.uk/information-support/what-is-domestic-abuse/coercive-control/</w:t>
        </w:r>
      </w:hyperlink>
      <w:r w:rsidRPr="7D1D1796" w:rsidR="513637C9">
        <w:rPr>
          <w:rFonts w:ascii="Times New Roman" w:hAnsi="Times New Roman" w:eastAsia="Times New Roman" w:cs="Times New Roman"/>
          <w:noProof w:val="0"/>
          <w:sz w:val="24"/>
          <w:szCs w:val="24"/>
          <w:lang w:val="en-US"/>
        </w:rPr>
        <w:t>.</w:t>
      </w:r>
    </w:p>
    <w:p w:rsidR="513637C9" w:rsidP="7D1D1796" w:rsidRDefault="513637C9" w14:paraId="2A8702EE" w14:textId="5EB42605">
      <w:pPr>
        <w:spacing w:before="0" w:beforeAutospacing="off" w:after="240" w:afterAutospacing="off" w:line="360" w:lineRule="auto"/>
      </w:pPr>
      <w:hyperlink>
        <w:r w:rsidRPr="7D1D1796" w:rsidR="513637C9">
          <w:rPr>
            <w:rStyle w:val="Hyperlink"/>
            <w:rFonts w:ascii="Times New Roman" w:hAnsi="Times New Roman" w:eastAsia="Times New Roman" w:cs="Times New Roman"/>
            <w:noProof w:val="0"/>
            <w:sz w:val="24"/>
            <w:szCs w:val="24"/>
            <w:lang w:val="en-US"/>
          </w:rPr>
          <w:t>www.england.nhs.uk</w:t>
        </w:r>
      </w:hyperlink>
      <w:r w:rsidRPr="7D1D1796" w:rsidR="513637C9">
        <w:rPr>
          <w:rFonts w:ascii="Times New Roman" w:hAnsi="Times New Roman" w:eastAsia="Times New Roman" w:cs="Times New Roman"/>
          <w:noProof w:val="0"/>
          <w:sz w:val="24"/>
          <w:szCs w:val="24"/>
          <w:lang w:val="en-US"/>
        </w:rPr>
        <w:t xml:space="preserve">. (n.d.). </w:t>
      </w:r>
      <w:r w:rsidRPr="7D1D1796" w:rsidR="513637C9">
        <w:rPr>
          <w:rFonts w:ascii="Times New Roman" w:hAnsi="Times New Roman" w:eastAsia="Times New Roman" w:cs="Times New Roman"/>
          <w:i w:val="1"/>
          <w:iCs w:val="1"/>
          <w:noProof w:val="0"/>
          <w:sz w:val="24"/>
          <w:szCs w:val="24"/>
          <w:lang w:val="en-US"/>
        </w:rPr>
        <w:t>NHS England» Decision making and consent</w:t>
      </w:r>
      <w:r w:rsidRPr="7D1D1796" w:rsidR="513637C9">
        <w:rPr>
          <w:rFonts w:ascii="Times New Roman" w:hAnsi="Times New Roman" w:eastAsia="Times New Roman" w:cs="Times New Roman"/>
          <w:noProof w:val="0"/>
          <w:sz w:val="24"/>
          <w:szCs w:val="24"/>
          <w:lang w:val="en-US"/>
        </w:rPr>
        <w:t xml:space="preserve">. [online] Available at: </w:t>
      </w:r>
      <w:hyperlink r:id="R6cfb8ede1e774f04">
        <w:r w:rsidRPr="7D1D1796" w:rsidR="513637C9">
          <w:rPr>
            <w:rStyle w:val="Hyperlink"/>
            <w:rFonts w:ascii="Times New Roman" w:hAnsi="Times New Roman" w:eastAsia="Times New Roman" w:cs="Times New Roman"/>
            <w:noProof w:val="0"/>
            <w:sz w:val="24"/>
            <w:szCs w:val="24"/>
            <w:lang w:val="en-US"/>
          </w:rPr>
          <w:t>https://www.england.nhs.uk/personalisedcare/shared-decision-making/why-is-shared-decision-making-important/decision-making-and-content/</w:t>
        </w:r>
      </w:hyperlink>
      <w:r w:rsidRPr="7D1D1796" w:rsidR="513637C9">
        <w:rPr>
          <w:rFonts w:ascii="Times New Roman" w:hAnsi="Times New Roman" w:eastAsia="Times New Roman" w:cs="Times New Roman"/>
          <w:noProof w:val="0"/>
          <w:sz w:val="24"/>
          <w:szCs w:val="24"/>
          <w:lang w:val="en-US"/>
        </w:rPr>
        <w:t>.</w:t>
      </w:r>
    </w:p>
    <w:p w:rsidR="7D1D1796" w:rsidP="7D1D1796" w:rsidRDefault="7D1D1796" w14:paraId="484998E9" w14:textId="7E0E2A28">
      <w:pPr>
        <w:pStyle w:val="Normal"/>
        <w:rPr>
          <w:rFonts w:ascii="Calibri" w:hAnsi="Calibri" w:eastAsia="Calibri" w:cs="Calibri"/>
          <w:noProof w:val="0"/>
          <w:sz w:val="22"/>
          <w:szCs w:val="22"/>
          <w:lang w:val="en-US"/>
        </w:rPr>
      </w:pPr>
    </w:p>
    <w:p w:rsidR="7D1D1796" w:rsidP="7D1D1796" w:rsidRDefault="7D1D1796" w14:paraId="5152A712" w14:textId="1A012DF9">
      <w:pPr>
        <w:pStyle w:val="Normal"/>
        <w:rPr>
          <w:rFonts w:ascii="Calibri" w:hAnsi="Calibri" w:eastAsia="Calibri" w:cs="Calibri"/>
          <w:noProof w:val="0"/>
          <w:sz w:val="22"/>
          <w:szCs w:val="22"/>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oel="http://schemas.microsoft.com/office/2019/extlst" xmlns:int2="http://schemas.microsoft.com/office/intelligence/2020/intelligence">
  <int2:observations>
    <int2:entireDocument int2:id="f3PxVuHT">
      <int2:extLst>
        <oel:ext uri="E302BA01-7950-474C-9AD3-286E660C40A8">
          <int2:similaritySummary int2:version="1" int2:runId="1699649105046" int2:tilesCheckedInThisRun="6" int2:totalNumOfTiles="6" int2:similarityAnnotationCount="0" int2:numWords="0" int2:numFlaggedWords="0"/>
        </oel:ext>
      </int2:extLst>
    </int2:entireDocument>
  </int2:observations>
  <int2:intelligenceSettings/>
  <int2:onDemandWorkflows>
    <int2:onDemandWorkflow int2:type="SimilarityCheck" int2:paragraphVersions="3A2E9169-6E16B066 007A191C-5752990E 65825D62-74554CBF 61783A91-650D9A3C 6E7345C7-58B7FB56 7B714B67-37F674A0 63C7FEEB-29915C46 3EFCC4C4-4E4ED776 0FC87CDE-1C185089 58212665-053CD58C 484998E9-28805C4C 5152A712-1A012DF9"/>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A2E445C"/>
    <w:rsid w:val="00916528"/>
    <w:rsid w:val="03922255"/>
    <w:rsid w:val="054A3A83"/>
    <w:rsid w:val="0608B898"/>
    <w:rsid w:val="07ADC1DC"/>
    <w:rsid w:val="09D8774E"/>
    <w:rsid w:val="0A38E0B0"/>
    <w:rsid w:val="0A390DCD"/>
    <w:rsid w:val="0DC60DCC"/>
    <w:rsid w:val="0E6E0BC4"/>
    <w:rsid w:val="0F61DE2D"/>
    <w:rsid w:val="0F812C15"/>
    <w:rsid w:val="11CF9FF6"/>
    <w:rsid w:val="14D8BF8B"/>
    <w:rsid w:val="15BD813D"/>
    <w:rsid w:val="16A4C360"/>
    <w:rsid w:val="17B4B83D"/>
    <w:rsid w:val="1906C771"/>
    <w:rsid w:val="1950889E"/>
    <w:rsid w:val="1C0DACCF"/>
    <w:rsid w:val="1CAC834A"/>
    <w:rsid w:val="1EC4FD44"/>
    <w:rsid w:val="1F454D91"/>
    <w:rsid w:val="2101C351"/>
    <w:rsid w:val="214974A9"/>
    <w:rsid w:val="21B88ADF"/>
    <w:rsid w:val="2262541D"/>
    <w:rsid w:val="23666872"/>
    <w:rsid w:val="23E132E3"/>
    <w:rsid w:val="2662A6FB"/>
    <w:rsid w:val="2718D3A5"/>
    <w:rsid w:val="27FE775C"/>
    <w:rsid w:val="28DBD923"/>
    <w:rsid w:val="299A47BD"/>
    <w:rsid w:val="2A2E445C"/>
    <w:rsid w:val="2B7EF731"/>
    <w:rsid w:val="30433456"/>
    <w:rsid w:val="31216143"/>
    <w:rsid w:val="336DACB3"/>
    <w:rsid w:val="33B4AA92"/>
    <w:rsid w:val="34C5FD16"/>
    <w:rsid w:val="35FA96B5"/>
    <w:rsid w:val="37A9327A"/>
    <w:rsid w:val="3A179023"/>
    <w:rsid w:val="3B2F54E6"/>
    <w:rsid w:val="3B96E6E1"/>
    <w:rsid w:val="3F342B7F"/>
    <w:rsid w:val="4201C141"/>
    <w:rsid w:val="42EEE0C4"/>
    <w:rsid w:val="436F67FD"/>
    <w:rsid w:val="440F884C"/>
    <w:rsid w:val="4413F5D9"/>
    <w:rsid w:val="4529ABEA"/>
    <w:rsid w:val="468A669B"/>
    <w:rsid w:val="4891610D"/>
    <w:rsid w:val="4A965E2F"/>
    <w:rsid w:val="4B96CFE8"/>
    <w:rsid w:val="4C0B1AC3"/>
    <w:rsid w:val="4C2B6BDD"/>
    <w:rsid w:val="4EA9FB48"/>
    <w:rsid w:val="5103DDE6"/>
    <w:rsid w:val="513637C9"/>
    <w:rsid w:val="54269C84"/>
    <w:rsid w:val="59339780"/>
    <w:rsid w:val="5996F2DE"/>
    <w:rsid w:val="5A3FBE31"/>
    <w:rsid w:val="5AFBB8A4"/>
    <w:rsid w:val="5B2CBCE4"/>
    <w:rsid w:val="5D99EA76"/>
    <w:rsid w:val="5F7BAF0C"/>
    <w:rsid w:val="60071E73"/>
    <w:rsid w:val="606785D4"/>
    <w:rsid w:val="60C878A3"/>
    <w:rsid w:val="61177F6D"/>
    <w:rsid w:val="61624F08"/>
    <w:rsid w:val="63A26294"/>
    <w:rsid w:val="63FAB4D1"/>
    <w:rsid w:val="64C18340"/>
    <w:rsid w:val="65BC4C74"/>
    <w:rsid w:val="6734C8A3"/>
    <w:rsid w:val="6A22B394"/>
    <w:rsid w:val="6C191A8E"/>
    <w:rsid w:val="7097E965"/>
    <w:rsid w:val="72AC9EA3"/>
    <w:rsid w:val="730DDBFC"/>
    <w:rsid w:val="74580FC9"/>
    <w:rsid w:val="7884A8E9"/>
    <w:rsid w:val="7A1F8148"/>
    <w:rsid w:val="7D1D1796"/>
    <w:rsid w:val="7E3A033A"/>
    <w:rsid w:val="7EAD5FF4"/>
    <w:rsid w:val="7F4436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2E445C"/>
  <w15:chartTrackingRefBased/>
  <w15:docId w15:val="{EC0FC36C-CCAC-43C1-9D80-63A2BE00736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verywellmind.com/understanding-cultural-relativism-7549709" TargetMode="External" Id="Rd7a4f98e1288496a" /><Relationship Type="http://schemas.openxmlformats.org/officeDocument/2006/relationships/hyperlink" Target="https://www.college.police.uk/app/stop-and-search/legal/legal-application" TargetMode="External" Id="Red861dcde5374c06" /><Relationship Type="http://schemas.openxmlformats.org/officeDocument/2006/relationships/hyperlink" Target="https://online.lincoln.ac.uk/what-is-the-philosophy-of-law/" TargetMode="External" Id="R30087bec40ef44b3" /><Relationship Type="http://schemas.openxmlformats.org/officeDocument/2006/relationships/hyperlink" Target="https://plato.stanford.edu/entries/criminal-law/" TargetMode="External" Id="R31c58c87fba94c77" /><Relationship Type="http://schemas.openxmlformats.org/officeDocument/2006/relationships/hyperlink" Target="https://www.hcpc-uk.org/standards/meeting-our-standards/confidentiality/guidance-on-confidentiality/consent-and-confidentiality/" TargetMode="External" Id="Rf3aa0037bc454352" /><Relationship Type="http://schemas.openxmlformats.org/officeDocument/2006/relationships/hyperlink" Target="https://www.hoddereducationmagazines.com/magazine/a-level-law-review/13/1/informed-consent-and-the-tort-of-battery/" TargetMode="External" Id="R7e7fcdc1b8ee4c6d" /><Relationship Type="http://schemas.openxmlformats.org/officeDocument/2006/relationships/hyperlink" Target="https://www.gov.uk/government/news/coercive-or-controlling-behaviour-now-a-crime" TargetMode="External" Id="Ree93d10ee6c144b2" /><Relationship Type="http://schemas.openxmlformats.org/officeDocument/2006/relationships/hyperlink" Target="https://www.nice.org.uk/guidance/ng108/chapter/Recommendations" TargetMode="External" Id="R85a5ca30a9cb46a2" /><Relationship Type="http://schemas.openxmlformats.org/officeDocument/2006/relationships/hyperlink" Target="https://www.globalcognition.org/what-is-cultural-sensitivity/" TargetMode="External" Id="R119670fcceef440c" /><Relationship Type="http://schemas.openxmlformats.org/officeDocument/2006/relationships/hyperlink" Target="https://www.womensaid.org.uk/information-support/what-is-domestic-abuse/coercive-control/" TargetMode="External" Id="Ree68e767a018401e" /><Relationship Type="http://schemas.openxmlformats.org/officeDocument/2006/relationships/hyperlink" Target="https://www.england.nhs.uk/personalisedcare/shared-decision-making/why-is-shared-decision-making-important/decision-making-and-content/" TargetMode="External" Id="R6cfb8ede1e774f04" /><Relationship Type="http://schemas.microsoft.com/office/2020/10/relationships/intelligence" Target="intelligence2.xml" Id="R847b0eceef904c0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2023-11-10T17:24:21.9035984Z</dcterms:created>
  <dcterms:modified xsi:type="dcterms:W3CDTF">2023-11-10T21:42:34.8220225Z</dcterms:modified>
  <dc:creator>Luke Darnell (2306084)</dc:creator>
  <lastModifiedBy>Luke Darnell (2306084)</lastModifiedBy>
</coreProperties>
</file>