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CFD5C16" wp14:paraId="7CA5499A" wp14:textId="5D9F78BE">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7CFD5C16" w:rsidR="116186C6">
        <w:rPr>
          <w:rFonts w:ascii="Calibri" w:hAnsi="Calibri" w:eastAsia="Calibri" w:cs="Calibri"/>
          <w:b w:val="0"/>
          <w:bCs w:val="0"/>
          <w:i w:val="0"/>
          <w:iCs w:val="0"/>
          <w:caps w:val="0"/>
          <w:smallCaps w:val="0"/>
          <w:noProof w:val="0"/>
          <w:color w:val="000000" w:themeColor="text1" w:themeTint="FF" w:themeShade="FF"/>
          <w:sz w:val="24"/>
          <w:szCs w:val="24"/>
          <w:lang w:val="en-US"/>
        </w:rPr>
        <w:t>University of Wales Trinity Saint David</w:t>
      </w:r>
    </w:p>
    <w:p xmlns:wp14="http://schemas.microsoft.com/office/word/2010/wordml" w:rsidP="7CFD5C16" wp14:paraId="47F3F6C9" wp14:textId="7AAE817C">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7CFD5C16" w:rsidR="116186C6">
        <w:rPr>
          <w:rFonts w:ascii="Calibri" w:hAnsi="Calibri" w:eastAsia="Calibri" w:cs="Calibri"/>
          <w:b w:val="0"/>
          <w:bCs w:val="0"/>
          <w:i w:val="0"/>
          <w:iCs w:val="0"/>
          <w:caps w:val="0"/>
          <w:smallCaps w:val="0"/>
          <w:noProof w:val="0"/>
          <w:color w:val="000000" w:themeColor="text1" w:themeTint="FF" w:themeShade="FF"/>
          <w:sz w:val="24"/>
          <w:szCs w:val="24"/>
          <w:lang w:val="en-US"/>
        </w:rPr>
        <w:t>Lecturer: Helen Evans</w:t>
      </w:r>
    </w:p>
    <w:p xmlns:wp14="http://schemas.microsoft.com/office/word/2010/wordml" w:rsidP="7CFD5C16" wp14:paraId="46340A40" wp14:textId="15E381FE">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7CFD5C16" w:rsidR="116186C6">
        <w:rPr>
          <w:rFonts w:ascii="Calibri" w:hAnsi="Calibri" w:eastAsia="Calibri" w:cs="Calibri"/>
          <w:b w:val="0"/>
          <w:bCs w:val="0"/>
          <w:i w:val="0"/>
          <w:iCs w:val="0"/>
          <w:caps w:val="0"/>
          <w:smallCaps w:val="0"/>
          <w:noProof w:val="0"/>
          <w:color w:val="000000" w:themeColor="text1" w:themeTint="FF" w:themeShade="FF"/>
          <w:sz w:val="24"/>
          <w:szCs w:val="24"/>
          <w:lang w:val="en-US"/>
        </w:rPr>
        <w:t>Student name: Sophie Walters</w:t>
      </w:r>
    </w:p>
    <w:p xmlns:wp14="http://schemas.microsoft.com/office/word/2010/wordml" w:rsidP="7CFD5C16" wp14:paraId="41A55D35" wp14:textId="338823A8">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7CFD5C16" w:rsidR="116186C6">
        <w:rPr>
          <w:rFonts w:ascii="Calibri" w:hAnsi="Calibri" w:eastAsia="Calibri" w:cs="Calibri"/>
          <w:b w:val="0"/>
          <w:bCs w:val="0"/>
          <w:i w:val="0"/>
          <w:iCs w:val="0"/>
          <w:caps w:val="0"/>
          <w:smallCaps w:val="0"/>
          <w:noProof w:val="0"/>
          <w:color w:val="000000" w:themeColor="text1" w:themeTint="FF" w:themeShade="FF"/>
          <w:sz w:val="24"/>
          <w:szCs w:val="24"/>
          <w:lang w:val="en-US"/>
        </w:rPr>
        <w:t>Student number: 2517510</w:t>
      </w:r>
    </w:p>
    <w:p xmlns:wp14="http://schemas.microsoft.com/office/word/2010/wordml" w:rsidP="7CFD5C16" wp14:paraId="29DE3598" wp14:textId="14B48583">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7CFD5C16" w:rsidR="116186C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Course: Business and management </w:t>
      </w:r>
    </w:p>
    <w:p xmlns:wp14="http://schemas.microsoft.com/office/word/2010/wordml" w:rsidP="7CFD5C16" wp14:paraId="65DEA9E7" wp14:textId="109D118D">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7CFD5C16" w:rsidR="116186C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Module: Contemporary management approaches </w:t>
      </w:r>
    </w:p>
    <w:p xmlns:wp14="http://schemas.microsoft.com/office/word/2010/wordml" w:rsidP="7CFD5C16" wp14:paraId="518B900D" wp14:textId="0735FC8D">
      <w:pPr>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7CFD5C16" w:rsidR="116186C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Assignment title: Management approaches of Sw &amp; Co </w:t>
      </w:r>
    </w:p>
    <w:p xmlns:wp14="http://schemas.microsoft.com/office/word/2010/wordml" w:rsidP="7CFD5C16" wp14:paraId="127093F2" wp14:textId="7FC41C1E">
      <w:pPr>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7CFD5C16" w:rsidR="116186C6">
        <w:rPr>
          <w:rFonts w:ascii="Calibri" w:hAnsi="Calibri" w:eastAsia="Calibri" w:cs="Calibri"/>
          <w:b w:val="0"/>
          <w:bCs w:val="0"/>
          <w:i w:val="0"/>
          <w:iCs w:val="0"/>
          <w:caps w:val="0"/>
          <w:smallCaps w:val="0"/>
          <w:noProof w:val="0"/>
          <w:color w:val="000000" w:themeColor="text1" w:themeTint="FF" w:themeShade="FF"/>
          <w:sz w:val="24"/>
          <w:szCs w:val="24"/>
          <w:lang w:val="en-US"/>
        </w:rPr>
        <w:t>Word count:</w:t>
      </w:r>
    </w:p>
    <w:p xmlns:wp14="http://schemas.microsoft.com/office/word/2010/wordml" w:rsidP="7CFD5C16" wp14:paraId="179AB64C" wp14:textId="743E2B47">
      <w:pPr>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7CFD5C16" w:rsidR="116186C6">
        <w:rPr>
          <w:rFonts w:ascii="Calibri" w:hAnsi="Calibri" w:eastAsia="Calibri" w:cs="Calibri"/>
          <w:b w:val="0"/>
          <w:bCs w:val="0"/>
          <w:i w:val="0"/>
          <w:iCs w:val="0"/>
          <w:caps w:val="0"/>
          <w:smallCaps w:val="0"/>
          <w:noProof w:val="0"/>
          <w:color w:val="000000" w:themeColor="text1" w:themeTint="FF" w:themeShade="FF"/>
          <w:sz w:val="24"/>
          <w:szCs w:val="24"/>
          <w:lang w:val="en-US"/>
        </w:rPr>
        <w:t>Submission date:</w:t>
      </w:r>
    </w:p>
    <w:p xmlns:wp14="http://schemas.microsoft.com/office/word/2010/wordml" w:rsidP="7CFD5C16" wp14:paraId="0BF82DEA" wp14:textId="6BA32253">
      <w:pPr>
        <w:spacing w:before="0" w:beforeAutospacing="off" w:after="160" w:afterAutospacing="off" w:line="257" w:lineRule="auto"/>
        <w:rPr>
          <w:rFonts w:ascii="Calibri" w:hAnsi="Calibri" w:eastAsia="Calibri" w:cs="Calibri"/>
          <w:noProof w:val="0"/>
          <w:sz w:val="22"/>
          <w:szCs w:val="22"/>
          <w:lang w:val="en-GB"/>
        </w:rPr>
      </w:pPr>
    </w:p>
    <w:p xmlns:wp14="http://schemas.microsoft.com/office/word/2010/wordml" w:rsidP="7CFD5C16" wp14:paraId="7C14FAE9" wp14:textId="09F690C4">
      <w:pPr>
        <w:spacing w:before="0" w:beforeAutospacing="off" w:after="160" w:afterAutospacing="off" w:line="257" w:lineRule="auto"/>
        <w:rPr>
          <w:rFonts w:ascii="Calibri" w:hAnsi="Calibri" w:eastAsia="Calibri" w:cs="Calibri"/>
          <w:noProof w:val="0"/>
          <w:sz w:val="22"/>
          <w:szCs w:val="22"/>
          <w:lang w:val="en-GB"/>
        </w:rPr>
      </w:pPr>
    </w:p>
    <w:p xmlns:wp14="http://schemas.microsoft.com/office/word/2010/wordml" w:rsidP="7CFD5C16" wp14:paraId="05968916" wp14:textId="6C47CBA0">
      <w:pPr>
        <w:spacing w:before="0" w:beforeAutospacing="off" w:after="160" w:afterAutospacing="off" w:line="257" w:lineRule="auto"/>
        <w:rPr>
          <w:rFonts w:ascii="Calibri" w:hAnsi="Calibri" w:eastAsia="Calibri" w:cs="Calibri"/>
          <w:noProof w:val="0"/>
          <w:sz w:val="22"/>
          <w:szCs w:val="22"/>
          <w:lang w:val="en-GB"/>
        </w:rPr>
      </w:pPr>
    </w:p>
    <w:p xmlns:wp14="http://schemas.microsoft.com/office/word/2010/wordml" w:rsidP="7CFD5C16" wp14:paraId="438C1F9B" wp14:textId="1AE1A26F">
      <w:pPr>
        <w:spacing w:before="0" w:beforeAutospacing="off" w:after="160" w:afterAutospacing="off" w:line="257" w:lineRule="auto"/>
        <w:rPr>
          <w:rFonts w:ascii="Calibri" w:hAnsi="Calibri" w:eastAsia="Calibri" w:cs="Calibri"/>
          <w:noProof w:val="0"/>
          <w:sz w:val="22"/>
          <w:szCs w:val="22"/>
          <w:lang w:val="en-GB"/>
        </w:rPr>
      </w:pPr>
    </w:p>
    <w:p xmlns:wp14="http://schemas.microsoft.com/office/word/2010/wordml" w:rsidP="7CFD5C16" wp14:paraId="7CBFD2A6" wp14:textId="36C40BCF">
      <w:pPr>
        <w:spacing w:before="0" w:beforeAutospacing="off" w:after="160" w:afterAutospacing="off" w:line="257" w:lineRule="auto"/>
        <w:rPr>
          <w:rFonts w:ascii="Calibri" w:hAnsi="Calibri" w:eastAsia="Calibri" w:cs="Calibri"/>
          <w:noProof w:val="0"/>
          <w:sz w:val="22"/>
          <w:szCs w:val="22"/>
          <w:lang w:val="en-GB"/>
        </w:rPr>
      </w:pPr>
    </w:p>
    <w:p xmlns:wp14="http://schemas.microsoft.com/office/word/2010/wordml" w:rsidP="7CFD5C16" wp14:paraId="65ED8FE4" wp14:textId="271341BF">
      <w:pPr>
        <w:spacing w:before="0" w:beforeAutospacing="off" w:after="160" w:afterAutospacing="off" w:line="257" w:lineRule="auto"/>
        <w:rPr>
          <w:rFonts w:ascii="Calibri" w:hAnsi="Calibri" w:eastAsia="Calibri" w:cs="Calibri"/>
          <w:noProof w:val="0"/>
          <w:sz w:val="22"/>
          <w:szCs w:val="22"/>
          <w:lang w:val="en-GB"/>
        </w:rPr>
      </w:pPr>
    </w:p>
    <w:p xmlns:wp14="http://schemas.microsoft.com/office/word/2010/wordml" w:rsidP="7CFD5C16" wp14:paraId="47F423D6" wp14:textId="35909CEE">
      <w:pPr>
        <w:spacing w:before="0" w:beforeAutospacing="off" w:after="160" w:afterAutospacing="off" w:line="257" w:lineRule="auto"/>
        <w:rPr>
          <w:rFonts w:ascii="Calibri" w:hAnsi="Calibri" w:eastAsia="Calibri" w:cs="Calibri"/>
          <w:noProof w:val="0"/>
          <w:sz w:val="22"/>
          <w:szCs w:val="22"/>
          <w:lang w:val="en-GB"/>
        </w:rPr>
      </w:pPr>
    </w:p>
    <w:p xmlns:wp14="http://schemas.microsoft.com/office/word/2010/wordml" w:rsidP="7CFD5C16" wp14:paraId="3770A392" wp14:textId="5AF5C0AD">
      <w:pPr>
        <w:spacing w:before="0" w:beforeAutospacing="off" w:after="160" w:afterAutospacing="off" w:line="257" w:lineRule="auto"/>
        <w:rPr>
          <w:rFonts w:ascii="Calibri" w:hAnsi="Calibri" w:eastAsia="Calibri" w:cs="Calibri"/>
          <w:noProof w:val="0"/>
          <w:sz w:val="22"/>
          <w:szCs w:val="22"/>
          <w:lang w:val="en-GB"/>
        </w:rPr>
      </w:pPr>
    </w:p>
    <w:p xmlns:wp14="http://schemas.microsoft.com/office/word/2010/wordml" w:rsidP="7CFD5C16" wp14:paraId="7250A9C9" wp14:textId="0188B335">
      <w:pPr>
        <w:spacing w:before="0" w:beforeAutospacing="off" w:after="160" w:afterAutospacing="off" w:line="257" w:lineRule="auto"/>
        <w:rPr>
          <w:rFonts w:ascii="Calibri" w:hAnsi="Calibri" w:eastAsia="Calibri" w:cs="Calibri"/>
          <w:noProof w:val="0"/>
          <w:sz w:val="22"/>
          <w:szCs w:val="22"/>
          <w:lang w:val="en-GB"/>
        </w:rPr>
      </w:pPr>
    </w:p>
    <w:p xmlns:wp14="http://schemas.microsoft.com/office/word/2010/wordml" w:rsidP="7CFD5C16" wp14:paraId="27F0077D" wp14:textId="645205B0">
      <w:pPr>
        <w:spacing w:before="0" w:beforeAutospacing="off" w:after="160" w:afterAutospacing="off" w:line="257" w:lineRule="auto"/>
        <w:rPr>
          <w:rFonts w:ascii="Calibri" w:hAnsi="Calibri" w:eastAsia="Calibri" w:cs="Calibri"/>
          <w:noProof w:val="0"/>
          <w:sz w:val="22"/>
          <w:szCs w:val="22"/>
          <w:lang w:val="en-GB"/>
        </w:rPr>
      </w:pPr>
    </w:p>
    <w:p xmlns:wp14="http://schemas.microsoft.com/office/word/2010/wordml" w:rsidP="7CFD5C16" wp14:paraId="5E8104A7" wp14:textId="5306AA6A">
      <w:pPr>
        <w:spacing w:before="0" w:beforeAutospacing="off" w:after="160" w:afterAutospacing="off" w:line="257" w:lineRule="auto"/>
        <w:rPr>
          <w:rFonts w:ascii="Calibri" w:hAnsi="Calibri" w:eastAsia="Calibri" w:cs="Calibri"/>
          <w:noProof w:val="0"/>
          <w:sz w:val="22"/>
          <w:szCs w:val="22"/>
          <w:lang w:val="en-GB"/>
        </w:rPr>
      </w:pPr>
    </w:p>
    <w:p xmlns:wp14="http://schemas.microsoft.com/office/word/2010/wordml" w:rsidP="7CFD5C16" wp14:paraId="2F35BF7C" wp14:textId="0013CFC3">
      <w:pPr>
        <w:spacing w:before="0" w:beforeAutospacing="off" w:after="160" w:afterAutospacing="off" w:line="257" w:lineRule="auto"/>
        <w:rPr>
          <w:rFonts w:ascii="Calibri" w:hAnsi="Calibri" w:eastAsia="Calibri" w:cs="Calibri"/>
          <w:noProof w:val="0"/>
          <w:sz w:val="22"/>
          <w:szCs w:val="22"/>
          <w:lang w:val="en-GB"/>
        </w:rPr>
      </w:pPr>
    </w:p>
    <w:p xmlns:wp14="http://schemas.microsoft.com/office/word/2010/wordml" w:rsidP="7CFD5C16" wp14:paraId="64C382EF" wp14:textId="4AC46EF9">
      <w:pPr>
        <w:spacing w:before="0" w:beforeAutospacing="off" w:after="160" w:afterAutospacing="off" w:line="257" w:lineRule="auto"/>
        <w:rPr>
          <w:rFonts w:ascii="Calibri" w:hAnsi="Calibri" w:eastAsia="Calibri" w:cs="Calibri"/>
          <w:noProof w:val="0"/>
          <w:sz w:val="22"/>
          <w:szCs w:val="22"/>
          <w:lang w:val="en-GB"/>
        </w:rPr>
      </w:pPr>
    </w:p>
    <w:p xmlns:wp14="http://schemas.microsoft.com/office/word/2010/wordml" w:rsidP="7CFD5C16" wp14:paraId="07BDE883" wp14:textId="77AD0648">
      <w:pPr>
        <w:spacing w:before="0" w:beforeAutospacing="off" w:after="160" w:afterAutospacing="off" w:line="257" w:lineRule="auto"/>
        <w:rPr>
          <w:rFonts w:ascii="Calibri" w:hAnsi="Calibri" w:eastAsia="Calibri" w:cs="Calibri"/>
          <w:noProof w:val="0"/>
          <w:sz w:val="22"/>
          <w:szCs w:val="22"/>
          <w:lang w:val="en-GB"/>
        </w:rPr>
      </w:pPr>
    </w:p>
    <w:p xmlns:wp14="http://schemas.microsoft.com/office/word/2010/wordml" w:rsidP="7CFD5C16" wp14:paraId="46CD2424" wp14:textId="13578667">
      <w:pPr>
        <w:spacing w:before="0" w:beforeAutospacing="off" w:after="160" w:afterAutospacing="off" w:line="257" w:lineRule="auto"/>
        <w:rPr>
          <w:rFonts w:ascii="Calibri" w:hAnsi="Calibri" w:eastAsia="Calibri" w:cs="Calibri"/>
          <w:noProof w:val="0"/>
          <w:sz w:val="22"/>
          <w:szCs w:val="22"/>
          <w:lang w:val="en-GB"/>
        </w:rPr>
      </w:pPr>
    </w:p>
    <w:p xmlns:wp14="http://schemas.microsoft.com/office/word/2010/wordml" w:rsidP="7CFD5C16" wp14:paraId="1C42DF2D" wp14:textId="4BAA5B72">
      <w:pPr>
        <w:spacing w:before="0" w:beforeAutospacing="off" w:after="160" w:afterAutospacing="off" w:line="257" w:lineRule="auto"/>
        <w:rPr>
          <w:rFonts w:ascii="Calibri" w:hAnsi="Calibri" w:eastAsia="Calibri" w:cs="Calibri"/>
          <w:noProof w:val="0"/>
          <w:sz w:val="22"/>
          <w:szCs w:val="22"/>
          <w:lang w:val="en-GB"/>
        </w:rPr>
      </w:pPr>
    </w:p>
    <w:p xmlns:wp14="http://schemas.microsoft.com/office/word/2010/wordml" w:rsidP="7CFD5C16" wp14:paraId="691BD9C6" wp14:textId="613B7771">
      <w:pPr>
        <w:spacing w:before="0" w:beforeAutospacing="off" w:after="160" w:afterAutospacing="off" w:line="257" w:lineRule="auto"/>
        <w:rPr>
          <w:rFonts w:ascii="Calibri" w:hAnsi="Calibri" w:eastAsia="Calibri" w:cs="Calibri"/>
          <w:noProof w:val="0"/>
          <w:sz w:val="22"/>
          <w:szCs w:val="22"/>
          <w:lang w:val="en-GB"/>
        </w:rPr>
      </w:pPr>
    </w:p>
    <w:p xmlns:wp14="http://schemas.microsoft.com/office/word/2010/wordml" w:rsidP="7CFD5C16" wp14:paraId="07704C83" wp14:textId="2378ECD3">
      <w:pPr>
        <w:spacing w:before="0" w:beforeAutospacing="off" w:after="160" w:afterAutospacing="off" w:line="257" w:lineRule="auto"/>
        <w:rPr>
          <w:rFonts w:ascii="Calibri" w:hAnsi="Calibri" w:eastAsia="Calibri" w:cs="Calibri"/>
          <w:noProof w:val="0"/>
          <w:sz w:val="22"/>
          <w:szCs w:val="22"/>
          <w:lang w:val="en-GB"/>
        </w:rPr>
      </w:pPr>
    </w:p>
    <w:p xmlns:wp14="http://schemas.microsoft.com/office/word/2010/wordml" w:rsidP="7CFD5C16" wp14:paraId="2C1810E3" wp14:textId="2AD3AECF">
      <w:pPr>
        <w:spacing w:before="0" w:beforeAutospacing="off" w:after="160" w:afterAutospacing="off" w:line="257" w:lineRule="auto"/>
        <w:rPr>
          <w:rFonts w:ascii="Calibri" w:hAnsi="Calibri" w:eastAsia="Calibri" w:cs="Calibri"/>
          <w:noProof w:val="0"/>
          <w:sz w:val="22"/>
          <w:szCs w:val="22"/>
          <w:lang w:val="en-GB"/>
        </w:rPr>
      </w:pPr>
    </w:p>
    <w:p xmlns:wp14="http://schemas.microsoft.com/office/word/2010/wordml" w:rsidP="7CFD5C16" wp14:paraId="410E3A2A" wp14:textId="3BD75113">
      <w:pPr>
        <w:spacing w:before="0" w:beforeAutospacing="off" w:after="160" w:afterAutospacing="off" w:line="257" w:lineRule="auto"/>
        <w:rPr>
          <w:rFonts w:ascii="Calibri" w:hAnsi="Calibri" w:eastAsia="Calibri" w:cs="Calibri"/>
          <w:noProof w:val="0"/>
          <w:sz w:val="22"/>
          <w:szCs w:val="22"/>
          <w:lang w:val="en-GB"/>
        </w:rPr>
      </w:pPr>
    </w:p>
    <w:p xmlns:wp14="http://schemas.microsoft.com/office/word/2010/wordml" w:rsidP="7CFD5C16" wp14:paraId="680FAFC0" wp14:textId="4DF08324">
      <w:pPr>
        <w:spacing w:before="0" w:beforeAutospacing="off" w:after="160" w:afterAutospacing="off" w:line="257" w:lineRule="auto"/>
        <w:rPr>
          <w:rFonts w:ascii="Calibri" w:hAnsi="Calibri" w:eastAsia="Calibri" w:cs="Calibri"/>
          <w:noProof w:val="0"/>
          <w:sz w:val="22"/>
          <w:szCs w:val="22"/>
          <w:lang w:val="en-GB"/>
        </w:rPr>
      </w:pPr>
    </w:p>
    <w:p xmlns:wp14="http://schemas.microsoft.com/office/word/2010/wordml" w:rsidP="7CFD5C16" wp14:paraId="1C4A67C6" wp14:textId="32ED840F">
      <w:pPr>
        <w:spacing w:before="0" w:beforeAutospacing="off" w:after="160" w:afterAutospacing="off" w:line="257" w:lineRule="auto"/>
      </w:pPr>
      <w:r w:rsidRPr="7CFD5C16" w:rsidR="524E2AC0">
        <w:rPr>
          <w:rFonts w:ascii="Calibri" w:hAnsi="Calibri" w:eastAsia="Calibri" w:cs="Calibri"/>
          <w:noProof w:val="0"/>
          <w:sz w:val="22"/>
          <w:szCs w:val="22"/>
          <w:lang w:val="en-US"/>
        </w:rPr>
        <w:t xml:space="preserve">This assignment will explore the business strategies of a small beauty and training academy in South Wales.  The business provides eyelash, brow and nail treatments, and sells professional products, while the training facility offers accredited beauty training. </w:t>
      </w:r>
    </w:p>
    <w:p xmlns:wp14="http://schemas.microsoft.com/office/word/2010/wordml" w:rsidP="7CFD5C16" wp14:paraId="0CC8832F" wp14:textId="639FF50B">
      <w:pPr>
        <w:spacing w:before="0" w:beforeAutospacing="off" w:after="160" w:afterAutospacing="off" w:line="257" w:lineRule="auto"/>
        <w:rPr>
          <w:rFonts w:ascii="Calibri" w:hAnsi="Calibri" w:eastAsia="Calibri" w:cs="Calibri"/>
          <w:noProof w:val="0"/>
          <w:sz w:val="22"/>
          <w:szCs w:val="22"/>
          <w:lang w:val="en-US"/>
        </w:rPr>
      </w:pPr>
      <w:r w:rsidRPr="7CFD5C16" w:rsidR="524E2AC0">
        <w:rPr>
          <w:rFonts w:ascii="Calibri" w:hAnsi="Calibri" w:eastAsia="Calibri" w:cs="Calibri"/>
          <w:noProof w:val="0"/>
          <w:sz w:val="22"/>
          <w:szCs w:val="22"/>
          <w:lang w:val="en-US"/>
        </w:rPr>
        <w:t xml:space="preserve"> </w:t>
      </w:r>
      <w:r w:rsidRPr="7CFD5C16" w:rsidR="524E2AC0">
        <w:rPr>
          <w:rFonts w:ascii="Calibri" w:hAnsi="Calibri" w:eastAsia="Calibri" w:cs="Calibri"/>
          <w:noProof w:val="0"/>
          <w:sz w:val="22"/>
          <w:szCs w:val="22"/>
          <w:lang w:val="en-US"/>
        </w:rPr>
        <w:t xml:space="preserve">The team includes a director serving as the CEO and head educator, a manager handling accreditation and client services, and a trainee </w:t>
      </w:r>
      <w:r w:rsidRPr="7CFD5C16" w:rsidR="524E2AC0">
        <w:rPr>
          <w:rFonts w:ascii="Calibri" w:hAnsi="Calibri" w:eastAsia="Calibri" w:cs="Calibri"/>
          <w:noProof w:val="0"/>
          <w:sz w:val="22"/>
          <w:szCs w:val="22"/>
          <w:lang w:val="en-US"/>
        </w:rPr>
        <w:t>assisting</w:t>
      </w:r>
      <w:r w:rsidRPr="7CFD5C16" w:rsidR="524E2AC0">
        <w:rPr>
          <w:rFonts w:ascii="Calibri" w:hAnsi="Calibri" w:eastAsia="Calibri" w:cs="Calibri"/>
          <w:noProof w:val="0"/>
          <w:sz w:val="22"/>
          <w:szCs w:val="22"/>
          <w:lang w:val="en-US"/>
        </w:rPr>
        <w:t xml:space="preserve"> with operations and treatments. Drawing on direct experience, this assignment discusses how the </w:t>
      </w:r>
      <w:r w:rsidRPr="7CFD5C16" w:rsidR="524E2AC0">
        <w:rPr>
          <w:rFonts w:ascii="Calibri" w:hAnsi="Calibri" w:eastAsia="Calibri" w:cs="Calibri"/>
          <w:noProof w:val="0"/>
          <w:sz w:val="22"/>
          <w:szCs w:val="22"/>
          <w:lang w:val="en-US"/>
        </w:rPr>
        <w:t>organisation</w:t>
      </w:r>
      <w:r w:rsidRPr="7CFD5C16" w:rsidR="524E2AC0">
        <w:rPr>
          <w:rFonts w:ascii="Calibri" w:hAnsi="Calibri" w:eastAsia="Calibri" w:cs="Calibri"/>
          <w:noProof w:val="0"/>
          <w:sz w:val="22"/>
          <w:szCs w:val="22"/>
          <w:lang w:val="en-US"/>
        </w:rPr>
        <w:t xml:space="preserve"> manages its structure, leadership, motivation, communication, and culture</w:t>
      </w:r>
      <w:r w:rsidRPr="7CFD5C16" w:rsidR="524E2AC0">
        <w:rPr>
          <w:rFonts w:ascii="Calibri" w:hAnsi="Calibri" w:eastAsia="Calibri" w:cs="Calibri"/>
          <w:noProof w:val="0"/>
          <w:sz w:val="22"/>
          <w:szCs w:val="22"/>
          <w:lang w:val="en-US"/>
        </w:rPr>
        <w:t xml:space="preserve">.  </w:t>
      </w:r>
    </w:p>
    <w:p xmlns:wp14="http://schemas.microsoft.com/office/word/2010/wordml" w:rsidP="7CFD5C16" wp14:paraId="35153BDB" wp14:textId="0B72A4D3">
      <w:pPr>
        <w:spacing w:before="0" w:beforeAutospacing="off" w:after="160" w:afterAutospacing="off" w:line="257" w:lineRule="auto"/>
      </w:pPr>
      <w:r w:rsidRPr="7CFD5C16" w:rsidR="524E2AC0">
        <w:rPr>
          <w:rFonts w:ascii="Calibri" w:hAnsi="Calibri" w:eastAsia="Calibri" w:cs="Calibri"/>
          <w:noProof w:val="0"/>
          <w:sz w:val="22"/>
          <w:szCs w:val="22"/>
          <w:lang w:val="en-US"/>
        </w:rPr>
        <w:t xml:space="preserve"> </w:t>
      </w:r>
      <w:r w:rsidRPr="7CFD5C16" w:rsidR="524E2AC0">
        <w:rPr>
          <w:rFonts w:ascii="Calibri" w:hAnsi="Calibri" w:eastAsia="Calibri" w:cs="Calibri"/>
          <w:noProof w:val="0"/>
          <w:sz w:val="22"/>
          <w:szCs w:val="22"/>
          <w:lang w:val="en-US"/>
        </w:rPr>
        <w:t xml:space="preserve">In business, management theories help clarify business operations and highlight areas that may require improvement. These include Mintzberg's </w:t>
      </w:r>
      <w:r w:rsidRPr="7CFD5C16" w:rsidR="524E2AC0">
        <w:rPr>
          <w:rFonts w:ascii="Calibri" w:hAnsi="Calibri" w:eastAsia="Calibri" w:cs="Calibri"/>
          <w:noProof w:val="0"/>
          <w:sz w:val="22"/>
          <w:szCs w:val="22"/>
          <w:lang w:val="en-US"/>
        </w:rPr>
        <w:t>organisational</w:t>
      </w:r>
      <w:r w:rsidRPr="7CFD5C16" w:rsidR="524E2AC0">
        <w:rPr>
          <w:rFonts w:ascii="Calibri" w:hAnsi="Calibri" w:eastAsia="Calibri" w:cs="Calibri"/>
          <w:noProof w:val="0"/>
          <w:sz w:val="22"/>
          <w:szCs w:val="22"/>
          <w:lang w:val="en-US"/>
        </w:rPr>
        <w:t xml:space="preserve"> structures, Lewin's leadership styles, McGregor's and Herzberg's theories, Maslow's hierarchy of needs, Vroom's expectancy theory, Shannon and Weaver's communication model, and Schein's culture framework. These models </w:t>
      </w:r>
      <w:r w:rsidRPr="7CFD5C16" w:rsidR="524E2AC0">
        <w:rPr>
          <w:rFonts w:ascii="Calibri" w:hAnsi="Calibri" w:eastAsia="Calibri" w:cs="Calibri"/>
          <w:noProof w:val="0"/>
          <w:sz w:val="22"/>
          <w:szCs w:val="22"/>
          <w:lang w:val="en-US"/>
        </w:rPr>
        <w:t>analyse</w:t>
      </w:r>
      <w:r w:rsidRPr="7CFD5C16" w:rsidR="524E2AC0">
        <w:rPr>
          <w:rFonts w:ascii="Calibri" w:hAnsi="Calibri" w:eastAsia="Calibri" w:cs="Calibri"/>
          <w:noProof w:val="0"/>
          <w:sz w:val="22"/>
          <w:szCs w:val="22"/>
          <w:lang w:val="en-US"/>
        </w:rPr>
        <w:t xml:space="preserve"> how </w:t>
      </w:r>
      <w:r w:rsidRPr="7CFD5C16" w:rsidR="524E2AC0">
        <w:rPr>
          <w:rFonts w:ascii="Calibri" w:hAnsi="Calibri" w:eastAsia="Calibri" w:cs="Calibri"/>
          <w:noProof w:val="0"/>
          <w:sz w:val="22"/>
          <w:szCs w:val="22"/>
          <w:lang w:val="en-US"/>
        </w:rPr>
        <w:t>organisational</w:t>
      </w:r>
      <w:r w:rsidRPr="7CFD5C16" w:rsidR="524E2AC0">
        <w:rPr>
          <w:rFonts w:ascii="Calibri" w:hAnsi="Calibri" w:eastAsia="Calibri" w:cs="Calibri"/>
          <w:noProof w:val="0"/>
          <w:sz w:val="22"/>
          <w:szCs w:val="22"/>
          <w:lang w:val="en-US"/>
        </w:rPr>
        <w:t xml:space="preserve"> approaches support performance, culture, and sustainability in microenterprise.</w:t>
      </w:r>
    </w:p>
    <w:p xmlns:wp14="http://schemas.microsoft.com/office/word/2010/wordml" w:rsidP="7CFD5C16" wp14:paraId="5699E61E" wp14:textId="24D1FE55">
      <w:pPr>
        <w:spacing w:before="0" w:beforeAutospacing="off" w:after="160" w:afterAutospacing="off" w:line="257" w:lineRule="auto"/>
      </w:pPr>
      <w:r w:rsidRPr="7CFD5C16" w:rsidR="524E2AC0">
        <w:rPr>
          <w:rFonts w:ascii="Calibri" w:hAnsi="Calibri" w:eastAsia="Calibri" w:cs="Calibri"/>
          <w:noProof w:val="0"/>
          <w:sz w:val="22"/>
          <w:szCs w:val="22"/>
          <w:lang w:val="en-US"/>
        </w:rPr>
        <w:t>Mintzberg (1980) defines microbusinesses as having simple structures. At the academy, the director is responsible for delivering the learning curriculum and outcomes, and is accountable for staff development and ensuring legal compliance.</w:t>
      </w:r>
    </w:p>
    <w:p xmlns:wp14="http://schemas.microsoft.com/office/word/2010/wordml" w:rsidP="7CFD5C16" wp14:paraId="5488131D" wp14:textId="6EDD7E88">
      <w:pPr>
        <w:spacing w:before="0" w:beforeAutospacing="off" w:after="160" w:afterAutospacing="off" w:line="257" w:lineRule="auto"/>
      </w:pPr>
      <w:r w:rsidRPr="7CFD5C16" w:rsidR="524E2AC0">
        <w:rPr>
          <w:rFonts w:ascii="Calibri" w:hAnsi="Calibri" w:eastAsia="Calibri" w:cs="Calibri"/>
          <w:noProof w:val="0"/>
          <w:sz w:val="22"/>
          <w:szCs w:val="22"/>
          <w:lang w:val="en-US"/>
        </w:rPr>
        <w:t>The manager’s role includes teaching the theory side of the work, placing orders, staying in touch with clients, and taking care of various admin and day-to-day tasks. The trainee supports the salon by helping deliver treatments, setting up materials, keeping the space clean, and welcoming clients as they arrive.</w:t>
      </w:r>
    </w:p>
    <w:p xmlns:wp14="http://schemas.microsoft.com/office/word/2010/wordml" w:rsidP="7CFD5C16" wp14:paraId="150DBB86" wp14:textId="250393CE">
      <w:pPr>
        <w:spacing w:before="0" w:beforeAutospacing="off" w:after="160" w:afterAutospacing="off" w:line="257" w:lineRule="auto"/>
      </w:pPr>
      <w:r w:rsidRPr="7CFD5C16" w:rsidR="524E2AC0">
        <w:rPr>
          <w:rFonts w:ascii="Calibri" w:hAnsi="Calibri" w:eastAsia="Calibri" w:cs="Calibri"/>
          <w:noProof w:val="0"/>
          <w:sz w:val="22"/>
          <w:szCs w:val="22"/>
          <w:lang w:val="en-US"/>
        </w:rPr>
        <w:t xml:space="preserve"> This flat structure reduces hierarchy and enables quick decisions, which is valuable when trends and expectations shift.</w:t>
      </w:r>
    </w:p>
    <w:p xmlns:wp14="http://schemas.microsoft.com/office/word/2010/wordml" w:rsidP="7CFD5C16" wp14:paraId="55C34EF1" wp14:textId="6BBE9E1C">
      <w:pPr>
        <w:spacing w:before="0" w:beforeAutospacing="off" w:after="160" w:afterAutospacing="off" w:line="257" w:lineRule="auto"/>
      </w:pPr>
      <w:r w:rsidRPr="7CFD5C16" w:rsidR="524E2AC0">
        <w:rPr>
          <w:rFonts w:ascii="Calibri" w:hAnsi="Calibri" w:eastAsia="Calibri" w:cs="Calibri"/>
          <w:noProof w:val="0"/>
          <w:sz w:val="22"/>
          <w:szCs w:val="22"/>
          <w:lang w:val="en-US"/>
        </w:rPr>
        <w:t>This structure allows the director and manager to address daily priorities and resolve issues together, promoting accountability and supportive relationships (Mullins &amp; McLean, 2019). The academy’s use of Lewin’s democratic leadership style aligns with McGregor’s (1960) Theory Y, which suggests that 'giving people autonomy encourages motivation and positive performance' (Lewin et al., 1939). In practice, the director works together with the manager in key areas such as training, marketing, and scheduling.</w:t>
      </w:r>
    </w:p>
    <w:p xmlns:wp14="http://schemas.microsoft.com/office/word/2010/wordml" w:rsidP="7CFD5C16" wp14:paraId="134E89F2" wp14:textId="68BD00EA">
      <w:pPr>
        <w:spacing w:before="0" w:beforeAutospacing="off" w:after="160" w:afterAutospacing="off" w:line="257" w:lineRule="auto"/>
      </w:pPr>
      <w:r w:rsidRPr="7CFD5C16" w:rsidR="524E2AC0">
        <w:rPr>
          <w:rFonts w:ascii="Calibri" w:hAnsi="Calibri" w:eastAsia="Calibri" w:cs="Calibri"/>
          <w:noProof w:val="0"/>
          <w:sz w:val="22"/>
          <w:szCs w:val="22"/>
          <w:lang w:val="en-US"/>
        </w:rPr>
        <w:t>This aligns with McGregor's (1960) Theory Y, which posits that autonomy fosters motivation and responsibility, empowering managers to innovate and tailor training programs to encourage creativity.</w:t>
      </w:r>
    </w:p>
    <w:p xmlns:wp14="http://schemas.microsoft.com/office/word/2010/wordml" w:rsidP="7CFD5C16" wp14:paraId="51ED775E" wp14:textId="2A212AFB">
      <w:pPr>
        <w:spacing w:before="0" w:beforeAutospacing="off" w:after="160" w:afterAutospacing="off" w:line="257" w:lineRule="auto"/>
      </w:pPr>
      <w:r w:rsidRPr="7CFD5C16" w:rsidR="524E2AC0">
        <w:rPr>
          <w:rFonts w:ascii="Calibri" w:hAnsi="Calibri" w:eastAsia="Calibri" w:cs="Calibri"/>
          <w:noProof w:val="0"/>
          <w:sz w:val="22"/>
          <w:szCs w:val="22"/>
          <w:lang w:val="en-US"/>
        </w:rPr>
        <w:t>Despite these strengths, a simple structure can pose challenges. With single management, the operational load still falls on the director. This increases the risk of decision fatigue and burnout.</w:t>
      </w:r>
    </w:p>
    <w:p xmlns:wp14="http://schemas.microsoft.com/office/word/2010/wordml" w:rsidP="7CFD5C16" wp14:paraId="0C771C7A" wp14:textId="27BC0CD9">
      <w:pPr>
        <w:spacing w:before="0" w:beforeAutospacing="off" w:after="160" w:afterAutospacing="off" w:line="257" w:lineRule="auto"/>
      </w:pPr>
      <w:r w:rsidRPr="7CFD5C16" w:rsidR="524E2AC0">
        <w:rPr>
          <w:rFonts w:ascii="Calibri" w:hAnsi="Calibri" w:eastAsia="Calibri" w:cs="Calibri"/>
          <w:noProof w:val="0"/>
          <w:sz w:val="22"/>
          <w:szCs w:val="22"/>
          <w:lang w:val="en-US"/>
        </w:rPr>
        <w:t xml:space="preserve">Mintzberg (1980) suggests that simple </w:t>
      </w:r>
      <w:r w:rsidRPr="7CFD5C16" w:rsidR="524E2AC0">
        <w:rPr>
          <w:rFonts w:ascii="Calibri" w:hAnsi="Calibri" w:eastAsia="Calibri" w:cs="Calibri"/>
          <w:noProof w:val="0"/>
          <w:sz w:val="22"/>
          <w:szCs w:val="22"/>
          <w:lang w:val="en-US"/>
        </w:rPr>
        <w:t>organisational</w:t>
      </w:r>
      <w:r w:rsidRPr="7CFD5C16" w:rsidR="524E2AC0">
        <w:rPr>
          <w:rFonts w:ascii="Calibri" w:hAnsi="Calibri" w:eastAsia="Calibri" w:cs="Calibri"/>
          <w:noProof w:val="0"/>
          <w:sz w:val="22"/>
          <w:szCs w:val="22"/>
          <w:lang w:val="en-US"/>
        </w:rPr>
        <w:t xml:space="preserve"> structures can create bottlenecks when too many decisions rely on one person. Although overlapping roles can increase flexibility, they can also blur </w:t>
      </w:r>
      <w:r w:rsidRPr="7CFD5C16" w:rsidR="524E2AC0">
        <w:rPr>
          <w:rFonts w:ascii="Calibri" w:hAnsi="Calibri" w:eastAsia="Calibri" w:cs="Calibri"/>
          <w:noProof w:val="0"/>
          <w:sz w:val="22"/>
          <w:szCs w:val="22"/>
          <w:lang w:val="en-US"/>
        </w:rPr>
        <w:t>boundaries</w:t>
      </w:r>
      <w:r w:rsidRPr="7CFD5C16" w:rsidR="524E2AC0">
        <w:rPr>
          <w:rFonts w:ascii="Calibri" w:hAnsi="Calibri" w:eastAsia="Calibri" w:cs="Calibri"/>
          <w:noProof w:val="0"/>
          <w:sz w:val="22"/>
          <w:szCs w:val="22"/>
          <w:lang w:val="en-US"/>
        </w:rPr>
        <w:t xml:space="preserve"> adding pressure during busy periods or when staff are absent. To address this, the </w:t>
      </w:r>
      <w:r w:rsidRPr="7CFD5C16" w:rsidR="524E2AC0">
        <w:rPr>
          <w:rFonts w:ascii="Calibri" w:hAnsi="Calibri" w:eastAsia="Calibri" w:cs="Calibri"/>
          <w:noProof w:val="0"/>
          <w:sz w:val="22"/>
          <w:szCs w:val="22"/>
          <w:lang w:val="en-US"/>
        </w:rPr>
        <w:t>organisation</w:t>
      </w:r>
      <w:r w:rsidRPr="7CFD5C16" w:rsidR="524E2AC0">
        <w:rPr>
          <w:rFonts w:ascii="Calibri" w:hAnsi="Calibri" w:eastAsia="Calibri" w:cs="Calibri"/>
          <w:noProof w:val="0"/>
          <w:sz w:val="22"/>
          <w:szCs w:val="22"/>
          <w:lang w:val="en-US"/>
        </w:rPr>
        <w:t xml:space="preserve"> would </w:t>
      </w:r>
      <w:r w:rsidRPr="7CFD5C16" w:rsidR="524E2AC0">
        <w:rPr>
          <w:rFonts w:ascii="Calibri" w:hAnsi="Calibri" w:eastAsia="Calibri" w:cs="Calibri"/>
          <w:noProof w:val="0"/>
          <w:sz w:val="22"/>
          <w:szCs w:val="22"/>
          <w:lang w:val="en-US"/>
        </w:rPr>
        <w:t>benefit</w:t>
      </w:r>
      <w:r w:rsidRPr="7CFD5C16" w:rsidR="524E2AC0">
        <w:rPr>
          <w:rFonts w:ascii="Calibri" w:hAnsi="Calibri" w:eastAsia="Calibri" w:cs="Calibri"/>
          <w:noProof w:val="0"/>
          <w:sz w:val="22"/>
          <w:szCs w:val="22"/>
          <w:lang w:val="en-US"/>
        </w:rPr>
        <w:t xml:space="preserve"> from defining each role clearly through written job </w:t>
      </w:r>
      <w:r w:rsidRPr="7CFD5C16" w:rsidR="7BA4CA3B">
        <w:rPr>
          <w:rFonts w:ascii="Calibri" w:hAnsi="Calibri" w:eastAsia="Calibri" w:cs="Calibri"/>
          <w:noProof w:val="0"/>
          <w:sz w:val="22"/>
          <w:szCs w:val="22"/>
          <w:lang w:val="en-US"/>
        </w:rPr>
        <w:t>descriptions,</w:t>
      </w:r>
      <w:r w:rsidRPr="7CFD5C16" w:rsidR="524E2AC0">
        <w:rPr>
          <w:rFonts w:ascii="Calibri" w:hAnsi="Calibri" w:eastAsia="Calibri" w:cs="Calibri"/>
          <w:noProof w:val="0"/>
          <w:sz w:val="22"/>
          <w:szCs w:val="22"/>
          <w:lang w:val="en-US"/>
        </w:rPr>
        <w:t xml:space="preserve"> which would also help to review workloads regularly and adjust tasks to avoid overwhelming staff. In addition, documenting key processes would help ensure that work continues smoothly whenever someone is absent. Together, these steps help clarify responsibilities, keep the business running effectively, and reduce the risk of relying too heavily on one individual.</w:t>
      </w:r>
    </w:p>
    <w:p xmlns:wp14="http://schemas.microsoft.com/office/word/2010/wordml" w:rsidP="7CFD5C16" wp14:paraId="6E85ED9D" wp14:textId="6CEF5C64">
      <w:pPr>
        <w:spacing w:before="0" w:beforeAutospacing="off" w:after="160" w:afterAutospacing="off" w:line="257" w:lineRule="auto"/>
      </w:pPr>
      <w:r w:rsidRPr="7CFD5C16" w:rsidR="524E2AC0">
        <w:rPr>
          <w:rFonts w:ascii="Calibri" w:hAnsi="Calibri" w:eastAsia="Calibri" w:cs="Calibri"/>
          <w:noProof w:val="0"/>
          <w:sz w:val="22"/>
          <w:szCs w:val="22"/>
          <w:lang w:val="en-US"/>
        </w:rPr>
        <w:t>At the academy, motivation is intrinsic and extrinsic, according to Herzberg's (1959) two-factor theory. Hygiene factors, such as pay, safety, flexibility, and communication, reduce dissatisfaction. Motivators such as recognition, course development and autonomy drive satisfaction. Recognition, responsibility, and achievement fueled motivation.</w:t>
      </w:r>
    </w:p>
    <w:p xmlns:wp14="http://schemas.microsoft.com/office/word/2010/wordml" w:rsidP="7CFD5C16" wp14:paraId="2670B44C" wp14:textId="15113D18">
      <w:pPr>
        <w:spacing w:before="0" w:beforeAutospacing="off" w:after="160" w:afterAutospacing="off" w:line="257" w:lineRule="auto"/>
      </w:pPr>
      <w:r w:rsidRPr="7CFD5C16" w:rsidR="524E2AC0">
        <w:rPr>
          <w:rFonts w:ascii="Calibri" w:hAnsi="Calibri" w:eastAsia="Calibri" w:cs="Calibri"/>
          <w:noProof w:val="0"/>
          <w:sz w:val="22"/>
          <w:szCs w:val="22"/>
          <w:lang w:val="en-US"/>
        </w:rPr>
        <w:t>Maslow's (1943) hierarchy of needs is relevant in this setting. Basic needs, such as job security, are met through stable employment. Social and esteem needs are fulfilled through teamwork, feedback, and responsibilities.</w:t>
      </w:r>
    </w:p>
    <w:p xmlns:wp14="http://schemas.microsoft.com/office/word/2010/wordml" w:rsidP="7CFD5C16" wp14:paraId="3E2F0FFD" wp14:textId="64DE4424">
      <w:pPr>
        <w:spacing w:before="0" w:beforeAutospacing="off" w:after="160" w:afterAutospacing="off" w:line="257" w:lineRule="auto"/>
      </w:pPr>
      <w:r w:rsidRPr="7CFD5C16" w:rsidR="524E2AC0">
        <w:rPr>
          <w:rFonts w:ascii="Calibri" w:hAnsi="Calibri" w:eastAsia="Calibri" w:cs="Calibri"/>
          <w:noProof w:val="0"/>
          <w:sz w:val="22"/>
          <w:szCs w:val="22"/>
          <w:lang w:val="en-US"/>
        </w:rPr>
        <w:t>Self-actualisation is supported through CPD workshops and opportunities to take on more strategic responsibilities. These experiences help staff grow and build confidence. Vroom’s (1964) expectancy theory suggests that when people see a clear link between their effort and rewards such as recognition or bonuses their motivation and commitment increase. In practice, this means managers are more likely to take initiative and put in extra hours when they feel their work is genuinely valued.</w:t>
      </w:r>
    </w:p>
    <w:p xmlns:wp14="http://schemas.microsoft.com/office/word/2010/wordml" w:rsidP="7CFD5C16" wp14:paraId="5F86F91F" wp14:textId="750A423D">
      <w:pPr>
        <w:spacing w:before="0" w:beforeAutospacing="off" w:after="160" w:afterAutospacing="off" w:line="257" w:lineRule="auto"/>
      </w:pPr>
      <w:r w:rsidRPr="7CFD5C16" w:rsidR="524E2AC0">
        <w:rPr>
          <w:rFonts w:ascii="Calibri" w:hAnsi="Calibri" w:eastAsia="Calibri" w:cs="Calibri"/>
          <w:noProof w:val="0"/>
          <w:sz w:val="22"/>
          <w:szCs w:val="22"/>
          <w:lang w:val="en-US"/>
        </w:rPr>
        <w:t>One challenge to motivation in the academy is the limited room for career progression. Autonomy and recognition can motivate staff in the short term, but without clear pathways for advancement, long-term growth can slow down. To address this, the salon could outline specific development options, including additional certifications, specialist roles, or leadership opportunities within new modules. Making these pathways visible and accessible would help sustain motivation and improve retention.</w:t>
      </w:r>
    </w:p>
    <w:p xmlns:wp14="http://schemas.microsoft.com/office/word/2010/wordml" w:rsidP="7CFD5C16" wp14:paraId="68E5B7A2" wp14:textId="25500F4E">
      <w:pPr>
        <w:spacing w:before="0" w:beforeAutospacing="off" w:after="160" w:afterAutospacing="off" w:line="257" w:lineRule="auto"/>
      </w:pPr>
      <w:r w:rsidRPr="7CFD5C16" w:rsidR="524E2AC0">
        <w:rPr>
          <w:rFonts w:ascii="Calibri" w:hAnsi="Calibri" w:eastAsia="Calibri" w:cs="Calibri"/>
          <w:noProof w:val="0"/>
          <w:sz w:val="22"/>
          <w:szCs w:val="22"/>
          <w:lang w:val="en-US"/>
        </w:rPr>
        <w:t>Communication within the academy is mostly informal—often direct, quick, and carried out through WhatsApp.</w:t>
      </w:r>
    </w:p>
    <w:p xmlns:wp14="http://schemas.microsoft.com/office/word/2010/wordml" w:rsidP="7CFD5C16" wp14:paraId="78BE2B10" wp14:textId="5220F717">
      <w:pPr>
        <w:spacing w:before="0" w:beforeAutospacing="off" w:after="160" w:afterAutospacing="off" w:line="257" w:lineRule="auto"/>
      </w:pPr>
      <w:r w:rsidRPr="7CFD5C16" w:rsidR="524E2AC0">
        <w:rPr>
          <w:rFonts w:ascii="Calibri" w:hAnsi="Calibri" w:eastAsia="Calibri" w:cs="Calibri"/>
          <w:noProof w:val="0"/>
          <w:sz w:val="22"/>
          <w:szCs w:val="22"/>
          <w:lang w:val="en-US"/>
        </w:rPr>
        <w:t>This approach works well for a small, flexible team because it allows quick coordination. However, informal messages may lead to confusion when context isn’t fully explained. The Shannon Weaver model (Shannon &amp; Weaver, 1949) explains how “noise” — things like vague wording or assumptions — can distort a message. A clear example of this happened when the director asked for a “short course.” The manager misunderstood this to mean a half-day training session and prepared a full set of materials. Only later did the director explain that she actually wanted a short video module for the online portal, which naturally caused some frustration. Similar miscommunications also occur with clients.</w:t>
      </w:r>
    </w:p>
    <w:p xmlns:wp14="http://schemas.microsoft.com/office/word/2010/wordml" w:rsidP="7CFD5C16" wp14:paraId="713685BE" wp14:textId="49CEF878">
      <w:pPr>
        <w:spacing w:before="0" w:beforeAutospacing="off" w:after="160" w:afterAutospacing="off" w:line="257" w:lineRule="auto"/>
      </w:pPr>
      <w:r w:rsidRPr="7CFD5C16" w:rsidR="524E2AC0">
        <w:rPr>
          <w:rFonts w:ascii="Calibri" w:hAnsi="Calibri" w:eastAsia="Calibri" w:cs="Calibri"/>
          <w:noProof w:val="0"/>
          <w:sz w:val="22"/>
          <w:szCs w:val="22"/>
          <w:lang w:val="en-US"/>
        </w:rPr>
        <w:t xml:space="preserve"> When a lash technician said extensions would last “several weeks with maintenance,” one client interpreted this as up to seven weeks with no maintenance at all.</w:t>
      </w:r>
    </w:p>
    <w:p xmlns:wp14="http://schemas.microsoft.com/office/word/2010/wordml" w:rsidP="7CFD5C16" wp14:paraId="6F15BE79" wp14:textId="5B5922E8">
      <w:pPr>
        <w:spacing w:before="0" w:beforeAutospacing="off" w:after="160" w:afterAutospacing="off" w:line="257" w:lineRule="auto"/>
      </w:pPr>
      <w:r w:rsidRPr="7CFD5C16" w:rsidR="524E2AC0">
        <w:rPr>
          <w:rFonts w:ascii="Calibri" w:hAnsi="Calibri" w:eastAsia="Calibri" w:cs="Calibri"/>
          <w:noProof w:val="0"/>
          <w:sz w:val="22"/>
          <w:szCs w:val="22"/>
          <w:lang w:val="en-US"/>
        </w:rPr>
        <w:t>To reduce these types of issues, the organisation could standardise its terminology, provide written instructions where needed, and ensure that all client information is clear and consistent. These steps would help prevent misunderstandings and support clearer communication as the academy continues to grow.</w:t>
      </w:r>
    </w:p>
    <w:p xmlns:wp14="http://schemas.microsoft.com/office/word/2010/wordml" w:rsidP="7CFD5C16" wp14:paraId="09C0AB03" wp14:textId="3DC5D6D7">
      <w:pPr>
        <w:spacing w:before="0" w:beforeAutospacing="off" w:after="160" w:afterAutospacing="off" w:line="257" w:lineRule="auto"/>
      </w:pPr>
      <w:r w:rsidRPr="7CFD5C16" w:rsidR="524E2AC0">
        <w:rPr>
          <w:rFonts w:ascii="Calibri" w:hAnsi="Calibri" w:eastAsia="Calibri" w:cs="Calibri"/>
          <w:noProof w:val="0"/>
          <w:sz w:val="22"/>
          <w:szCs w:val="22"/>
          <w:lang w:val="en-US"/>
        </w:rPr>
        <w:t xml:space="preserve"> </w:t>
      </w:r>
    </w:p>
    <w:p xmlns:wp14="http://schemas.microsoft.com/office/word/2010/wordml" w:rsidP="7CFD5C16" wp14:paraId="5B28A751" wp14:textId="444FCC6F">
      <w:pPr>
        <w:spacing w:before="0" w:beforeAutospacing="off" w:after="160" w:afterAutospacing="off" w:line="257" w:lineRule="auto"/>
      </w:pPr>
      <w:r w:rsidRPr="7CFD5C16" w:rsidR="524E2AC0">
        <w:rPr>
          <w:rFonts w:ascii="Calibri" w:hAnsi="Calibri" w:eastAsia="Calibri" w:cs="Calibri"/>
          <w:noProof w:val="0"/>
          <w:sz w:val="22"/>
          <w:szCs w:val="22"/>
          <w:lang w:val="en-US"/>
        </w:rPr>
        <w:t xml:space="preserve">The salon and academy create a warm and supportive culture that values creativity. The director's hands-on leadership drives this. Schein's (2010) model </w:t>
      </w:r>
      <w:r w:rsidRPr="7CFD5C16" w:rsidR="524E2AC0">
        <w:rPr>
          <w:rFonts w:ascii="Calibri" w:hAnsi="Calibri" w:eastAsia="Calibri" w:cs="Calibri"/>
          <w:noProof w:val="0"/>
          <w:sz w:val="22"/>
          <w:szCs w:val="22"/>
          <w:lang w:val="en-US"/>
        </w:rPr>
        <w:t>identifies</w:t>
      </w:r>
      <w:r w:rsidRPr="7CFD5C16" w:rsidR="524E2AC0">
        <w:rPr>
          <w:rFonts w:ascii="Calibri" w:hAnsi="Calibri" w:eastAsia="Calibri" w:cs="Calibri"/>
          <w:noProof w:val="0"/>
          <w:sz w:val="22"/>
          <w:szCs w:val="22"/>
          <w:lang w:val="en-US"/>
        </w:rPr>
        <w:t xml:space="preserve"> artefacts such as a welcoming setting, strong branding, and digital resources. The declared values include empowerment, learner confidence, and </w:t>
      </w:r>
      <w:r w:rsidRPr="7CFD5C16" w:rsidR="524E2AC0">
        <w:rPr>
          <w:rFonts w:ascii="Calibri" w:hAnsi="Calibri" w:eastAsia="Calibri" w:cs="Calibri"/>
          <w:noProof w:val="0"/>
          <w:sz w:val="22"/>
          <w:szCs w:val="22"/>
          <w:lang w:val="en-US"/>
        </w:rPr>
        <w:t>high standards</w:t>
      </w:r>
      <w:r w:rsidRPr="7CFD5C16" w:rsidR="524E2AC0">
        <w:rPr>
          <w:rFonts w:ascii="Calibri" w:hAnsi="Calibri" w:eastAsia="Calibri" w:cs="Calibri"/>
          <w:noProof w:val="0"/>
          <w:sz w:val="22"/>
          <w:szCs w:val="22"/>
          <w:lang w:val="en-US"/>
        </w:rPr>
        <w:t xml:space="preserve">. The culture rests on trust, </w:t>
      </w:r>
      <w:r w:rsidRPr="7CFD5C16" w:rsidR="524E2AC0">
        <w:rPr>
          <w:rFonts w:ascii="Calibri" w:hAnsi="Calibri" w:eastAsia="Calibri" w:cs="Calibri"/>
          <w:noProof w:val="0"/>
          <w:sz w:val="22"/>
          <w:szCs w:val="22"/>
          <w:lang w:val="en-US"/>
        </w:rPr>
        <w:t>personalised</w:t>
      </w:r>
      <w:r w:rsidRPr="7CFD5C16" w:rsidR="524E2AC0">
        <w:rPr>
          <w:rFonts w:ascii="Calibri" w:hAnsi="Calibri" w:eastAsia="Calibri" w:cs="Calibri"/>
          <w:noProof w:val="0"/>
          <w:sz w:val="22"/>
          <w:szCs w:val="22"/>
          <w:lang w:val="en-US"/>
        </w:rPr>
        <w:t xml:space="preserve"> learning, and professional pride. Handy's (1993) person-task culture is </w:t>
      </w:r>
      <w:r w:rsidRPr="7CFD5C16" w:rsidR="524E2AC0">
        <w:rPr>
          <w:rFonts w:ascii="Calibri" w:hAnsi="Calibri" w:eastAsia="Calibri" w:cs="Calibri"/>
          <w:noProof w:val="0"/>
          <w:sz w:val="22"/>
          <w:szCs w:val="22"/>
          <w:lang w:val="en-US"/>
        </w:rPr>
        <w:t>characterised</w:t>
      </w:r>
      <w:r w:rsidRPr="7CFD5C16" w:rsidR="524E2AC0">
        <w:rPr>
          <w:rFonts w:ascii="Calibri" w:hAnsi="Calibri" w:eastAsia="Calibri" w:cs="Calibri"/>
          <w:noProof w:val="0"/>
          <w:sz w:val="22"/>
          <w:szCs w:val="22"/>
          <w:lang w:val="en-US"/>
        </w:rPr>
        <w:t xml:space="preserve"> by strong relationships, flexibility, and shared </w:t>
      </w:r>
      <w:r w:rsidRPr="7CFD5C16" w:rsidR="524E2AC0">
        <w:rPr>
          <w:rFonts w:ascii="Calibri" w:hAnsi="Calibri" w:eastAsia="Calibri" w:cs="Calibri"/>
          <w:noProof w:val="0"/>
          <w:sz w:val="22"/>
          <w:szCs w:val="22"/>
          <w:lang w:val="en-US"/>
        </w:rPr>
        <w:t>expertise</w:t>
      </w:r>
      <w:r w:rsidRPr="7CFD5C16" w:rsidR="524E2AC0">
        <w:rPr>
          <w:rFonts w:ascii="Calibri" w:hAnsi="Calibri" w:eastAsia="Calibri" w:cs="Calibri"/>
          <w:noProof w:val="0"/>
          <w:sz w:val="22"/>
          <w:szCs w:val="22"/>
          <w:lang w:val="en-US"/>
        </w:rPr>
        <w:t xml:space="preserve"> that guide the daily work. The director and manager solved problems together. While this culture encourages creativity and 'supports student </w:t>
      </w:r>
      <w:r w:rsidRPr="7CFD5C16" w:rsidR="1B8A6DBD">
        <w:rPr>
          <w:rFonts w:ascii="Calibri" w:hAnsi="Calibri" w:eastAsia="Calibri" w:cs="Calibri"/>
          <w:noProof w:val="0"/>
          <w:sz w:val="22"/>
          <w:szCs w:val="22"/>
          <w:lang w:val="en-US"/>
        </w:rPr>
        <w:t>learning,</w:t>
      </w:r>
      <w:r w:rsidRPr="7CFD5C16" w:rsidR="524E2AC0">
        <w:rPr>
          <w:rFonts w:ascii="Calibri" w:hAnsi="Calibri" w:eastAsia="Calibri" w:cs="Calibri"/>
          <w:noProof w:val="0"/>
          <w:sz w:val="22"/>
          <w:szCs w:val="22"/>
          <w:lang w:val="en-US"/>
        </w:rPr>
        <w:t xml:space="preserve"> it can lead to high stress during busy periods (Robbins &amp; Judge, 2020). To ease this pressure, the salon would </w:t>
      </w:r>
      <w:r w:rsidRPr="7CFD5C16" w:rsidR="524E2AC0">
        <w:rPr>
          <w:rFonts w:ascii="Calibri" w:hAnsi="Calibri" w:eastAsia="Calibri" w:cs="Calibri"/>
          <w:noProof w:val="0"/>
          <w:sz w:val="22"/>
          <w:szCs w:val="22"/>
          <w:lang w:val="en-US"/>
        </w:rPr>
        <w:t>benefit</w:t>
      </w:r>
      <w:r w:rsidRPr="7CFD5C16" w:rsidR="524E2AC0">
        <w:rPr>
          <w:rFonts w:ascii="Calibri" w:hAnsi="Calibri" w:eastAsia="Calibri" w:cs="Calibri"/>
          <w:noProof w:val="0"/>
          <w:sz w:val="22"/>
          <w:szCs w:val="22"/>
          <w:lang w:val="en-US"/>
        </w:rPr>
        <w:t xml:space="preserve"> from putting formal procedures in place and using digital systems for scheduling, resource management, and documentation. These tools help create consistency, balance the workload, and reduce strain on staff.</w:t>
      </w:r>
    </w:p>
    <w:p xmlns:wp14="http://schemas.microsoft.com/office/word/2010/wordml" w:rsidP="7CFD5C16" wp14:paraId="37711F67" wp14:textId="07E44CB0">
      <w:pPr>
        <w:spacing w:before="0" w:beforeAutospacing="off" w:after="160" w:afterAutospacing="off" w:line="257" w:lineRule="auto"/>
      </w:pPr>
      <w:r w:rsidRPr="7CFD5C16" w:rsidR="524E2AC0">
        <w:rPr>
          <w:rFonts w:ascii="Calibri" w:hAnsi="Calibri" w:eastAsia="Calibri" w:cs="Calibri"/>
          <w:noProof w:val="0"/>
          <w:sz w:val="22"/>
          <w:szCs w:val="22"/>
          <w:lang w:val="en-US"/>
        </w:rPr>
        <w:t>In conclusion, the organisation demonstrates the effective use of contemporary management approaches across structure, leadership, motivation, communication, and culture.</w:t>
      </w:r>
    </w:p>
    <w:p xmlns:wp14="http://schemas.microsoft.com/office/word/2010/wordml" w:rsidP="7CFD5C16" wp14:paraId="66FF2ECD" wp14:textId="51C166A3">
      <w:pPr>
        <w:spacing w:before="0" w:beforeAutospacing="off" w:after="160" w:afterAutospacing="off" w:line="257" w:lineRule="auto"/>
      </w:pPr>
      <w:r w:rsidRPr="7CFD5C16" w:rsidR="524E2AC0">
        <w:rPr>
          <w:rFonts w:ascii="Calibri" w:hAnsi="Calibri" w:eastAsia="Calibri" w:cs="Calibri"/>
          <w:noProof w:val="0"/>
          <w:sz w:val="22"/>
          <w:szCs w:val="22"/>
          <w:lang w:val="en-US"/>
        </w:rPr>
        <w:t>Using a flat organisational structure, in line with Mintzberg’s (1980) framework, helps the academy make decisions quickly. The leadership approach, which reflects Lewin et al.’s (1939) idea of democratic leadership, encourages 'autonomy, collaboration, and creativity' (Lewin et al. 1939). Motivation is supported through recognition, development opportunities, and performance-linked rewards, echoing Herzberg’s (1959) two-factor theory. Communication is effective, though it can sometimes be affected by ambiguity, as described in Shannon and Weaver’s (1949) model. The culture itself is supportive and focused on learners, consistent with Schein’s (2010) perspective on organisational culture.</w:t>
      </w:r>
    </w:p>
    <w:p xmlns:wp14="http://schemas.microsoft.com/office/word/2010/wordml" w:rsidP="7CFD5C16" wp14:paraId="698E3419" wp14:textId="1DBB7B8A">
      <w:pPr>
        <w:spacing w:before="0" w:beforeAutospacing="off" w:after="160" w:afterAutospacing="off" w:line="257" w:lineRule="auto"/>
      </w:pPr>
      <w:r w:rsidRPr="7CFD5C16" w:rsidR="524E2AC0">
        <w:rPr>
          <w:rFonts w:ascii="Calibri" w:hAnsi="Calibri" w:eastAsia="Calibri" w:cs="Calibri"/>
          <w:noProof w:val="0"/>
          <w:sz w:val="22"/>
          <w:szCs w:val="22"/>
          <w:lang w:val="en-US"/>
        </w:rPr>
        <w:t>Applying these theories highlights both strengths and areas for development. The business would benefit from clearer procedures, firmer role boundaries, and more defined long-term development pathways. As a microbusiness, it needs to adapt these theoretical principles to its own context to improve performance, consistency, and resilience.</w:t>
      </w:r>
    </w:p>
    <w:p xmlns:wp14="http://schemas.microsoft.com/office/word/2010/wordml" w:rsidP="7CFD5C16" wp14:paraId="2F27465F" wp14:textId="7F17E44F">
      <w:pPr>
        <w:spacing w:before="0" w:beforeAutospacing="off" w:after="160" w:afterAutospacing="off" w:line="257" w:lineRule="auto"/>
      </w:pPr>
      <w:r w:rsidRPr="7CFD5C16" w:rsidR="524E2AC0">
        <w:rPr>
          <w:rFonts w:ascii="Calibri" w:hAnsi="Calibri" w:eastAsia="Calibri" w:cs="Calibri"/>
          <w:noProof w:val="0"/>
          <w:sz w:val="22"/>
          <w:szCs w:val="22"/>
          <w:lang w:val="en-US"/>
        </w:rPr>
        <w:t xml:space="preserve">Looking more closely at the </w:t>
      </w:r>
      <w:r w:rsidRPr="7CFD5C16" w:rsidR="524E2AC0">
        <w:rPr>
          <w:rFonts w:ascii="Calibri" w:hAnsi="Calibri" w:eastAsia="Calibri" w:cs="Calibri"/>
          <w:noProof w:val="0"/>
          <w:sz w:val="22"/>
          <w:szCs w:val="22"/>
          <w:lang w:val="en-US"/>
        </w:rPr>
        <w:t>organisation</w:t>
      </w:r>
      <w:r w:rsidRPr="7CFD5C16" w:rsidR="524E2AC0">
        <w:rPr>
          <w:rFonts w:ascii="Calibri" w:hAnsi="Calibri" w:eastAsia="Calibri" w:cs="Calibri"/>
          <w:noProof w:val="0"/>
          <w:sz w:val="22"/>
          <w:szCs w:val="22"/>
          <w:lang w:val="en-US"/>
        </w:rPr>
        <w:t xml:space="preserve"> through these models also brings attention to some strategic gaps. Although communication is usually quick and personal, it can lack structure, which may in turn increase the likelihood of misunderstandings. Introducing more formal systems would help </w:t>
      </w:r>
      <w:r w:rsidRPr="7CFD5C16" w:rsidR="524E2AC0">
        <w:rPr>
          <w:rFonts w:ascii="Calibri" w:hAnsi="Calibri" w:eastAsia="Calibri" w:cs="Calibri"/>
          <w:noProof w:val="0"/>
          <w:sz w:val="22"/>
          <w:szCs w:val="22"/>
          <w:lang w:val="en-US"/>
        </w:rPr>
        <w:t>maintain</w:t>
      </w:r>
      <w:r w:rsidRPr="7CFD5C16" w:rsidR="524E2AC0">
        <w:rPr>
          <w:rFonts w:ascii="Calibri" w:hAnsi="Calibri" w:eastAsia="Calibri" w:cs="Calibri"/>
          <w:noProof w:val="0"/>
          <w:sz w:val="22"/>
          <w:szCs w:val="22"/>
          <w:lang w:val="en-US"/>
        </w:rPr>
        <w:t xml:space="preserve"> clarity as the </w:t>
      </w:r>
      <w:r w:rsidRPr="7CFD5C16" w:rsidR="524E2AC0">
        <w:rPr>
          <w:rFonts w:ascii="Calibri" w:hAnsi="Calibri" w:eastAsia="Calibri" w:cs="Calibri"/>
          <w:noProof w:val="0"/>
          <w:sz w:val="22"/>
          <w:szCs w:val="22"/>
          <w:lang w:val="en-US"/>
        </w:rPr>
        <w:t>organisation</w:t>
      </w:r>
      <w:r w:rsidRPr="7CFD5C16" w:rsidR="524E2AC0">
        <w:rPr>
          <w:rFonts w:ascii="Calibri" w:hAnsi="Calibri" w:eastAsia="Calibri" w:cs="Calibri"/>
          <w:noProof w:val="0"/>
          <w:sz w:val="22"/>
          <w:szCs w:val="22"/>
          <w:lang w:val="en-US"/>
        </w:rPr>
        <w:t xml:space="preserve"> grows. The limited opportunities for career progression—common in small businesses also suggest the need for clearer development routes to </w:t>
      </w:r>
      <w:r w:rsidRPr="7CFD5C16" w:rsidR="524E2AC0">
        <w:rPr>
          <w:rFonts w:ascii="Calibri" w:hAnsi="Calibri" w:eastAsia="Calibri" w:cs="Calibri"/>
          <w:noProof w:val="0"/>
          <w:sz w:val="22"/>
          <w:szCs w:val="22"/>
          <w:lang w:val="en-US"/>
        </w:rPr>
        <w:t>maintain</w:t>
      </w:r>
      <w:r w:rsidRPr="7CFD5C16" w:rsidR="524E2AC0">
        <w:rPr>
          <w:rFonts w:ascii="Calibri" w:hAnsi="Calibri" w:eastAsia="Calibri" w:cs="Calibri"/>
          <w:noProof w:val="0"/>
          <w:sz w:val="22"/>
          <w:szCs w:val="22"/>
          <w:lang w:val="en-US"/>
        </w:rPr>
        <w:t xml:space="preserve"> long-term engagement.</w:t>
      </w:r>
    </w:p>
    <w:p xmlns:wp14="http://schemas.microsoft.com/office/word/2010/wordml" w:rsidP="7CFD5C16" wp14:paraId="3F75A0B1" wp14:textId="636D5FC0">
      <w:pPr>
        <w:spacing w:before="0" w:beforeAutospacing="off" w:after="160" w:afterAutospacing="off" w:line="257" w:lineRule="auto"/>
      </w:pPr>
      <w:r w:rsidRPr="7CFD5C16" w:rsidR="524E2AC0">
        <w:rPr>
          <w:rFonts w:ascii="Calibri" w:hAnsi="Calibri" w:eastAsia="Calibri" w:cs="Calibri"/>
          <w:noProof w:val="0"/>
          <w:sz w:val="22"/>
          <w:szCs w:val="22"/>
          <w:lang w:val="en-US"/>
        </w:rPr>
        <w:t>Overall, looking at the business through these management theories shows that, while it works well, making some planned improvements to its structure, communication, and staff development will help build resilience, keep the business sustainable, and support future growth.</w:t>
      </w:r>
    </w:p>
    <w:p xmlns:wp14="http://schemas.microsoft.com/office/word/2010/wordml" w:rsidP="7CFD5C16" wp14:paraId="21FAD0F9" wp14:textId="5D3912A8">
      <w:pPr>
        <w:spacing w:before="0" w:beforeAutospacing="off" w:after="160" w:afterAutospacing="off" w:line="257" w:lineRule="auto"/>
        <w:rPr>
          <w:rFonts w:ascii="Calibri" w:hAnsi="Calibri" w:eastAsia="Calibri" w:cs="Calibri"/>
          <w:noProof w:val="0"/>
          <w:sz w:val="22"/>
          <w:szCs w:val="22"/>
          <w:lang w:val="en-US"/>
        </w:rPr>
      </w:pPr>
    </w:p>
    <w:p xmlns:wp14="http://schemas.microsoft.com/office/word/2010/wordml" wp14:paraId="5E5787A5" wp14:textId="2DF70CB0"/>
    <w:p w:rsidR="7CFD5C16" w:rsidRDefault="7CFD5C16" w14:paraId="4C696E62" w14:textId="3DD42188"/>
    <w:p w:rsidR="7CFD5C16" w:rsidRDefault="7CFD5C16" w14:paraId="3712A759" w14:textId="209450ED"/>
    <w:p w:rsidR="7CFD5C16" w:rsidRDefault="7CFD5C16" w14:paraId="54C97D76" w14:textId="76108CC2"/>
    <w:p w:rsidR="7CFD5C16" w:rsidRDefault="7CFD5C16" w14:paraId="77F1DA15" w14:textId="76FC482C"/>
    <w:p w:rsidR="7CFD5C16" w:rsidRDefault="7CFD5C16" w14:paraId="20AD542C" w14:textId="1B231ACF"/>
    <w:p w:rsidR="7CFD5C16" w:rsidP="7CFD5C16" w:rsidRDefault="7CFD5C16" w14:paraId="63F014FE" w14:textId="77BA865F">
      <w:pPr>
        <w:pStyle w:val="Heading1"/>
        <w:rPr>
          <w:rFonts w:ascii="Times New Roman" w:hAnsi="Times New Roman" w:eastAsia="Times New Roman" w:cs="Times New Roman"/>
          <w:b w:val="1"/>
          <w:bCs w:val="1"/>
          <w:noProof w:val="0"/>
          <w:sz w:val="22"/>
          <w:szCs w:val="22"/>
          <w:lang w:val="en-GB"/>
        </w:rPr>
      </w:pPr>
    </w:p>
    <w:p w:rsidR="3006B5FE" w:rsidP="7CFD5C16" w:rsidRDefault="3006B5FE" w14:paraId="168E2F72" w14:textId="1FBF64DE">
      <w:pPr>
        <w:pStyle w:val="Heading1"/>
        <w:rPr>
          <w:rFonts w:ascii="Times New Roman" w:hAnsi="Times New Roman" w:eastAsia="Times New Roman" w:cs="Times New Roman"/>
          <w:b w:val="1"/>
          <w:bCs w:val="1"/>
          <w:noProof w:val="0"/>
          <w:sz w:val="20"/>
          <w:szCs w:val="20"/>
          <w:lang w:val="en-GB"/>
        </w:rPr>
      </w:pPr>
      <w:r w:rsidRPr="7CFD5C16" w:rsidR="3006B5FE">
        <w:rPr>
          <w:rFonts w:ascii="Times New Roman" w:hAnsi="Times New Roman" w:eastAsia="Times New Roman" w:cs="Times New Roman"/>
          <w:b w:val="1"/>
          <w:bCs w:val="1"/>
          <w:noProof w:val="0"/>
          <w:sz w:val="20"/>
          <w:szCs w:val="20"/>
          <w:lang w:val="en-GB"/>
        </w:rPr>
        <w:t>References</w:t>
      </w:r>
    </w:p>
    <w:p w:rsidR="3006B5FE" w:rsidP="7CFD5C16" w:rsidRDefault="3006B5FE" w14:paraId="3F1A785D" w14:textId="2E87205B">
      <w:pPr>
        <w:spacing w:before="0" w:beforeAutospacing="off" w:after="0" w:afterAutospacing="off" w:line="480" w:lineRule="auto"/>
        <w:ind w:left="720" w:right="0" w:hanging="720"/>
        <w:rPr>
          <w:rFonts w:ascii="Times New Roman" w:hAnsi="Times New Roman" w:eastAsia="Times New Roman" w:cs="Times New Roman"/>
          <w:noProof w:val="0"/>
          <w:sz w:val="20"/>
          <w:szCs w:val="20"/>
          <w:lang w:val="en-GB"/>
        </w:rPr>
      </w:pPr>
      <w:r w:rsidRPr="7CFD5C16" w:rsidR="3006B5FE">
        <w:rPr>
          <w:rFonts w:ascii="Times New Roman" w:hAnsi="Times New Roman" w:eastAsia="Times New Roman" w:cs="Times New Roman"/>
          <w:noProof w:val="0"/>
          <w:sz w:val="20"/>
          <w:szCs w:val="20"/>
          <w:lang w:val="en-GB"/>
        </w:rPr>
        <w:t xml:space="preserve">Handy, C. (1993). </w:t>
      </w:r>
      <w:r w:rsidRPr="7CFD5C16" w:rsidR="3006B5FE">
        <w:rPr>
          <w:rFonts w:ascii="Times New Roman" w:hAnsi="Times New Roman" w:eastAsia="Times New Roman" w:cs="Times New Roman"/>
          <w:i w:val="1"/>
          <w:iCs w:val="1"/>
          <w:noProof w:val="0"/>
          <w:sz w:val="20"/>
          <w:szCs w:val="20"/>
          <w:lang w:val="en-GB"/>
        </w:rPr>
        <w:t>Understanding Organizations</w:t>
      </w:r>
      <w:r w:rsidRPr="7CFD5C16" w:rsidR="3006B5FE">
        <w:rPr>
          <w:rFonts w:ascii="Times New Roman" w:hAnsi="Times New Roman" w:eastAsia="Times New Roman" w:cs="Times New Roman"/>
          <w:noProof w:val="0"/>
          <w:sz w:val="20"/>
          <w:szCs w:val="20"/>
          <w:lang w:val="en-GB"/>
        </w:rPr>
        <w:t xml:space="preserve"> (4th ed.). Penguin Books.</w:t>
      </w:r>
    </w:p>
    <w:p w:rsidR="3006B5FE" w:rsidP="7CFD5C16" w:rsidRDefault="3006B5FE" w14:paraId="2DAD19DC" w14:textId="6416FEE1">
      <w:pPr>
        <w:spacing w:before="0" w:beforeAutospacing="off" w:after="0" w:afterAutospacing="off" w:line="480" w:lineRule="auto"/>
        <w:ind w:left="720" w:right="0" w:hanging="720"/>
        <w:rPr>
          <w:rFonts w:ascii="Times New Roman" w:hAnsi="Times New Roman" w:eastAsia="Times New Roman" w:cs="Times New Roman"/>
          <w:noProof w:val="0"/>
          <w:sz w:val="20"/>
          <w:szCs w:val="20"/>
          <w:lang w:val="en-GB"/>
        </w:rPr>
      </w:pPr>
      <w:r w:rsidRPr="7CFD5C16" w:rsidR="3006B5FE">
        <w:rPr>
          <w:rFonts w:ascii="Times New Roman" w:hAnsi="Times New Roman" w:eastAsia="Times New Roman" w:cs="Times New Roman"/>
          <w:noProof w:val="0"/>
          <w:sz w:val="20"/>
          <w:szCs w:val="20"/>
          <w:lang w:val="en-GB"/>
        </w:rPr>
        <w:t xml:space="preserve">Herzberg, F. (1959). </w:t>
      </w:r>
      <w:r w:rsidRPr="7CFD5C16" w:rsidR="3006B5FE">
        <w:rPr>
          <w:rFonts w:ascii="Times New Roman" w:hAnsi="Times New Roman" w:eastAsia="Times New Roman" w:cs="Times New Roman"/>
          <w:i w:val="1"/>
          <w:iCs w:val="1"/>
          <w:noProof w:val="0"/>
          <w:sz w:val="20"/>
          <w:szCs w:val="20"/>
          <w:lang w:val="en-GB"/>
        </w:rPr>
        <w:t>The Motivation to Work</w:t>
      </w:r>
      <w:r w:rsidRPr="7CFD5C16" w:rsidR="3006B5FE">
        <w:rPr>
          <w:rFonts w:ascii="Times New Roman" w:hAnsi="Times New Roman" w:eastAsia="Times New Roman" w:cs="Times New Roman"/>
          <w:noProof w:val="0"/>
          <w:sz w:val="20"/>
          <w:szCs w:val="20"/>
          <w:lang w:val="en-GB"/>
        </w:rPr>
        <w:t xml:space="preserve"> (2nd ed.). John Wiley &amp; Sons.</w:t>
      </w:r>
    </w:p>
    <w:p w:rsidR="3006B5FE" w:rsidP="7CFD5C16" w:rsidRDefault="3006B5FE" w14:paraId="084836DC" w14:textId="6DE1451D">
      <w:pPr>
        <w:spacing w:before="0" w:beforeAutospacing="off" w:after="0" w:afterAutospacing="off" w:line="480" w:lineRule="auto"/>
        <w:ind w:left="720" w:right="0" w:hanging="720"/>
        <w:rPr>
          <w:sz w:val="20"/>
          <w:szCs w:val="20"/>
        </w:rPr>
      </w:pPr>
      <w:r w:rsidRPr="7CFD5C16" w:rsidR="3006B5FE">
        <w:rPr>
          <w:rFonts w:ascii="Times New Roman" w:hAnsi="Times New Roman" w:eastAsia="Times New Roman" w:cs="Times New Roman"/>
          <w:i w:val="1"/>
          <w:iCs w:val="1"/>
          <w:noProof w:val="0"/>
          <w:sz w:val="20"/>
          <w:szCs w:val="20"/>
          <w:lang w:val="en-GB"/>
        </w:rPr>
        <w:t>Herzberg’s Two-Factor Theory: Motivation &amp; Hygiene</w:t>
      </w:r>
      <w:r w:rsidRPr="7CFD5C16" w:rsidR="3006B5FE">
        <w:rPr>
          <w:rFonts w:ascii="Times New Roman" w:hAnsi="Times New Roman" w:eastAsia="Times New Roman" w:cs="Times New Roman"/>
          <w:noProof w:val="0"/>
          <w:sz w:val="20"/>
          <w:szCs w:val="20"/>
          <w:lang w:val="en-GB"/>
        </w:rPr>
        <w:t xml:space="preserve">. (2025, November 6). Psychological Scales &amp; Instruments Database; Psychological Scales &amp; Instruments Database. </w:t>
      </w:r>
      <w:hyperlink r:id="R51864bf0cd664670">
        <w:r w:rsidRPr="7CFD5C16" w:rsidR="3006B5FE">
          <w:rPr>
            <w:rStyle w:val="Hyperlink"/>
            <w:rFonts w:ascii="Times New Roman" w:hAnsi="Times New Roman" w:eastAsia="Times New Roman" w:cs="Times New Roman"/>
            <w:noProof w:val="0"/>
            <w:sz w:val="20"/>
            <w:szCs w:val="20"/>
            <w:lang w:val="en-GB"/>
          </w:rPr>
          <w:t>https://db.arabpsychology.com/two-factor-theory/</w:t>
        </w:r>
      </w:hyperlink>
    </w:p>
    <w:p w:rsidR="3006B5FE" w:rsidP="7CFD5C16" w:rsidRDefault="3006B5FE" w14:paraId="666F093D" w14:textId="56128395">
      <w:pPr>
        <w:spacing w:before="0" w:beforeAutospacing="off" w:after="0" w:afterAutospacing="off" w:line="480" w:lineRule="auto"/>
        <w:ind w:left="720" w:right="0" w:hanging="720"/>
        <w:rPr>
          <w:sz w:val="20"/>
          <w:szCs w:val="20"/>
        </w:rPr>
      </w:pPr>
      <w:r w:rsidRPr="7CFD5C16" w:rsidR="3006B5FE">
        <w:rPr>
          <w:rFonts w:ascii="Times New Roman" w:hAnsi="Times New Roman" w:eastAsia="Times New Roman" w:cs="Times New Roman"/>
          <w:noProof w:val="0"/>
          <w:sz w:val="20"/>
          <w:szCs w:val="20"/>
          <w:lang w:val="en-GB"/>
        </w:rPr>
        <w:t xml:space="preserve">Juneja, P. (2025). </w:t>
      </w:r>
      <w:r w:rsidRPr="7CFD5C16" w:rsidR="3006B5FE">
        <w:rPr>
          <w:rFonts w:ascii="Times New Roman" w:hAnsi="Times New Roman" w:eastAsia="Times New Roman" w:cs="Times New Roman"/>
          <w:i w:val="1"/>
          <w:iCs w:val="1"/>
          <w:noProof w:val="0"/>
          <w:sz w:val="20"/>
          <w:szCs w:val="20"/>
          <w:lang w:val="en-GB"/>
        </w:rPr>
        <w:t>Theory X and Theory Y</w:t>
      </w:r>
      <w:r w:rsidRPr="7CFD5C16" w:rsidR="3006B5FE">
        <w:rPr>
          <w:rFonts w:ascii="Times New Roman" w:hAnsi="Times New Roman" w:eastAsia="Times New Roman" w:cs="Times New Roman"/>
          <w:noProof w:val="0"/>
          <w:sz w:val="20"/>
          <w:szCs w:val="20"/>
          <w:lang w:val="en-GB"/>
        </w:rPr>
        <w:t xml:space="preserve">. Managementstudyguide.com. </w:t>
      </w:r>
      <w:hyperlink r:id="R9c2e018365464542">
        <w:r w:rsidRPr="7CFD5C16" w:rsidR="3006B5FE">
          <w:rPr>
            <w:rStyle w:val="Hyperlink"/>
            <w:rFonts w:ascii="Times New Roman" w:hAnsi="Times New Roman" w:eastAsia="Times New Roman" w:cs="Times New Roman"/>
            <w:noProof w:val="0"/>
            <w:sz w:val="20"/>
            <w:szCs w:val="20"/>
            <w:lang w:val="en-GB"/>
          </w:rPr>
          <w:t>https://www.managementstudyguide.com/theory-x-y-motivation.htm</w:t>
        </w:r>
      </w:hyperlink>
    </w:p>
    <w:p w:rsidR="3006B5FE" w:rsidP="7CFD5C16" w:rsidRDefault="3006B5FE" w14:paraId="5C9EFDE0" w14:textId="0DD49D6B">
      <w:pPr>
        <w:spacing w:before="0" w:beforeAutospacing="off" w:after="0" w:afterAutospacing="off" w:line="480" w:lineRule="auto"/>
        <w:ind w:left="720" w:right="0" w:hanging="720"/>
        <w:rPr>
          <w:sz w:val="20"/>
          <w:szCs w:val="20"/>
        </w:rPr>
      </w:pPr>
      <w:r w:rsidRPr="7CFD5C16" w:rsidR="3006B5FE">
        <w:rPr>
          <w:rFonts w:ascii="Times New Roman" w:hAnsi="Times New Roman" w:eastAsia="Times New Roman" w:cs="Times New Roman"/>
          <w:noProof w:val="0"/>
          <w:sz w:val="20"/>
          <w:szCs w:val="20"/>
          <w:lang w:val="en-GB"/>
        </w:rPr>
        <w:t xml:space="preserve">Lewin, K., Lippitt, R., &amp; White, R. K. (1939). Patterns of Aggressive </w:t>
      </w:r>
      <w:r w:rsidRPr="7CFD5C16" w:rsidR="3006B5FE">
        <w:rPr>
          <w:rFonts w:ascii="Times New Roman" w:hAnsi="Times New Roman" w:eastAsia="Times New Roman" w:cs="Times New Roman"/>
          <w:noProof w:val="0"/>
          <w:sz w:val="20"/>
          <w:szCs w:val="20"/>
          <w:lang w:val="en-GB"/>
        </w:rPr>
        <w:t>Behavior</w:t>
      </w:r>
      <w:r w:rsidRPr="7CFD5C16" w:rsidR="3006B5FE">
        <w:rPr>
          <w:rFonts w:ascii="Times New Roman" w:hAnsi="Times New Roman" w:eastAsia="Times New Roman" w:cs="Times New Roman"/>
          <w:noProof w:val="0"/>
          <w:sz w:val="20"/>
          <w:szCs w:val="20"/>
          <w:lang w:val="en-GB"/>
        </w:rPr>
        <w:t xml:space="preserve"> in Experimentally Created “Social Climates.” </w:t>
      </w:r>
      <w:r w:rsidRPr="7CFD5C16" w:rsidR="3006B5FE">
        <w:rPr>
          <w:rFonts w:ascii="Times New Roman" w:hAnsi="Times New Roman" w:eastAsia="Times New Roman" w:cs="Times New Roman"/>
          <w:i w:val="1"/>
          <w:iCs w:val="1"/>
          <w:noProof w:val="0"/>
          <w:sz w:val="20"/>
          <w:szCs w:val="20"/>
          <w:lang w:val="en-GB"/>
        </w:rPr>
        <w:t>The Journal of Social Psychology</w:t>
      </w:r>
      <w:r w:rsidRPr="7CFD5C16" w:rsidR="3006B5FE">
        <w:rPr>
          <w:rFonts w:ascii="Times New Roman" w:hAnsi="Times New Roman" w:eastAsia="Times New Roman" w:cs="Times New Roman"/>
          <w:noProof w:val="0"/>
          <w:sz w:val="20"/>
          <w:szCs w:val="20"/>
          <w:lang w:val="en-GB"/>
        </w:rPr>
        <w:t xml:space="preserve">, </w:t>
      </w:r>
      <w:r w:rsidRPr="7CFD5C16" w:rsidR="3006B5FE">
        <w:rPr>
          <w:rFonts w:ascii="Times New Roman" w:hAnsi="Times New Roman" w:eastAsia="Times New Roman" w:cs="Times New Roman"/>
          <w:i w:val="1"/>
          <w:iCs w:val="1"/>
          <w:noProof w:val="0"/>
          <w:sz w:val="20"/>
          <w:szCs w:val="20"/>
          <w:lang w:val="en-GB"/>
        </w:rPr>
        <w:t>10</w:t>
      </w:r>
      <w:r w:rsidRPr="7CFD5C16" w:rsidR="3006B5FE">
        <w:rPr>
          <w:rFonts w:ascii="Times New Roman" w:hAnsi="Times New Roman" w:eastAsia="Times New Roman" w:cs="Times New Roman"/>
          <w:noProof w:val="0"/>
          <w:sz w:val="20"/>
          <w:szCs w:val="20"/>
          <w:lang w:val="en-GB"/>
        </w:rPr>
        <w:t xml:space="preserve">(2), 271–299. </w:t>
      </w:r>
      <w:hyperlink r:id="R025256477b48404b">
        <w:r w:rsidRPr="7CFD5C16" w:rsidR="3006B5FE">
          <w:rPr>
            <w:rStyle w:val="Hyperlink"/>
            <w:rFonts w:ascii="Times New Roman" w:hAnsi="Times New Roman" w:eastAsia="Times New Roman" w:cs="Times New Roman"/>
            <w:noProof w:val="0"/>
            <w:sz w:val="20"/>
            <w:szCs w:val="20"/>
            <w:lang w:val="en-GB"/>
          </w:rPr>
          <w:t>https://doi.org/10.1080/00224545.1939.9713366</w:t>
        </w:r>
      </w:hyperlink>
    </w:p>
    <w:p w:rsidR="3006B5FE" w:rsidP="7CFD5C16" w:rsidRDefault="3006B5FE" w14:paraId="46EFE06C" w14:textId="00BCB852">
      <w:pPr>
        <w:spacing w:before="0" w:beforeAutospacing="off" w:after="0" w:afterAutospacing="off" w:line="480" w:lineRule="auto"/>
        <w:ind w:left="720" w:right="0" w:hanging="720"/>
        <w:rPr>
          <w:rFonts w:ascii="Times New Roman" w:hAnsi="Times New Roman" w:eastAsia="Times New Roman" w:cs="Times New Roman"/>
          <w:noProof w:val="0"/>
          <w:sz w:val="20"/>
          <w:szCs w:val="20"/>
          <w:lang w:val="en-GB"/>
        </w:rPr>
      </w:pPr>
      <w:r w:rsidRPr="7CFD5C16" w:rsidR="3006B5FE">
        <w:rPr>
          <w:rFonts w:ascii="Times New Roman" w:hAnsi="Times New Roman" w:eastAsia="Times New Roman" w:cs="Times New Roman"/>
          <w:noProof w:val="0"/>
          <w:sz w:val="20"/>
          <w:szCs w:val="20"/>
          <w:lang w:val="en-GB"/>
        </w:rPr>
        <w:t xml:space="preserve">Maslow, A. H. (1943). </w:t>
      </w:r>
      <w:r w:rsidRPr="7CFD5C16" w:rsidR="3006B5FE">
        <w:rPr>
          <w:rFonts w:ascii="Times New Roman" w:hAnsi="Times New Roman" w:eastAsia="Times New Roman" w:cs="Times New Roman"/>
          <w:i w:val="1"/>
          <w:iCs w:val="1"/>
          <w:noProof w:val="0"/>
          <w:sz w:val="20"/>
          <w:szCs w:val="20"/>
          <w:lang w:val="en-GB"/>
        </w:rPr>
        <w:t>A theory of human motivation. Psychological Review</w:t>
      </w:r>
      <w:r w:rsidRPr="7CFD5C16" w:rsidR="3006B5FE">
        <w:rPr>
          <w:rFonts w:ascii="Times New Roman" w:hAnsi="Times New Roman" w:eastAsia="Times New Roman" w:cs="Times New Roman"/>
          <w:noProof w:val="0"/>
          <w:sz w:val="20"/>
          <w:szCs w:val="20"/>
          <w:lang w:val="en-GB"/>
        </w:rPr>
        <w:t xml:space="preserve">. </w:t>
      </w:r>
      <w:r w:rsidRPr="7CFD5C16" w:rsidR="3006B5FE">
        <w:rPr>
          <w:rFonts w:ascii="Times New Roman" w:hAnsi="Times New Roman" w:eastAsia="Times New Roman" w:cs="Times New Roman"/>
          <w:noProof w:val="0"/>
          <w:sz w:val="20"/>
          <w:szCs w:val="20"/>
          <w:lang w:val="en-GB"/>
        </w:rPr>
        <w:t>Eyrolles</w:t>
      </w:r>
      <w:r w:rsidRPr="7CFD5C16" w:rsidR="3006B5FE">
        <w:rPr>
          <w:rFonts w:ascii="Times New Roman" w:hAnsi="Times New Roman" w:eastAsia="Times New Roman" w:cs="Times New Roman"/>
          <w:noProof w:val="0"/>
          <w:sz w:val="20"/>
          <w:szCs w:val="20"/>
          <w:lang w:val="en-GB"/>
        </w:rPr>
        <w:t xml:space="preserve">, </w:t>
      </w:r>
      <w:r w:rsidRPr="7CFD5C16" w:rsidR="3006B5FE">
        <w:rPr>
          <w:rFonts w:ascii="Times New Roman" w:hAnsi="Times New Roman" w:eastAsia="Times New Roman" w:cs="Times New Roman"/>
          <w:noProof w:val="0"/>
          <w:sz w:val="20"/>
          <w:szCs w:val="20"/>
          <w:lang w:val="en-GB"/>
        </w:rPr>
        <w:t>Dl ,</w:t>
      </w:r>
      <w:r w:rsidRPr="7CFD5C16" w:rsidR="3006B5FE">
        <w:rPr>
          <w:rFonts w:ascii="Times New Roman" w:hAnsi="Times New Roman" w:eastAsia="Times New Roman" w:cs="Times New Roman"/>
          <w:noProof w:val="0"/>
          <w:sz w:val="20"/>
          <w:szCs w:val="20"/>
          <w:lang w:val="en-GB"/>
        </w:rPr>
        <w:t xml:space="preserve"> Cop.</w:t>
      </w:r>
    </w:p>
    <w:p w:rsidR="3006B5FE" w:rsidP="7CFD5C16" w:rsidRDefault="3006B5FE" w14:paraId="549C5930" w14:textId="010A6439">
      <w:pPr>
        <w:spacing w:before="0" w:beforeAutospacing="off" w:after="0" w:afterAutospacing="off" w:line="480" w:lineRule="auto"/>
        <w:ind w:left="720" w:right="0" w:hanging="720"/>
        <w:rPr>
          <w:rFonts w:ascii="Times New Roman" w:hAnsi="Times New Roman" w:eastAsia="Times New Roman" w:cs="Times New Roman"/>
          <w:noProof w:val="0"/>
          <w:sz w:val="20"/>
          <w:szCs w:val="20"/>
          <w:lang w:val="en-GB"/>
        </w:rPr>
      </w:pPr>
      <w:r w:rsidRPr="7CFD5C16" w:rsidR="3006B5FE">
        <w:rPr>
          <w:rFonts w:ascii="Times New Roman" w:hAnsi="Times New Roman" w:eastAsia="Times New Roman" w:cs="Times New Roman"/>
          <w:noProof w:val="0"/>
          <w:sz w:val="20"/>
          <w:szCs w:val="20"/>
          <w:lang w:val="en-GB"/>
        </w:rPr>
        <w:t xml:space="preserve">McGregor, D. (1960). </w:t>
      </w:r>
      <w:r w:rsidRPr="7CFD5C16" w:rsidR="3006B5FE">
        <w:rPr>
          <w:rFonts w:ascii="Times New Roman" w:hAnsi="Times New Roman" w:eastAsia="Times New Roman" w:cs="Times New Roman"/>
          <w:i w:val="1"/>
          <w:iCs w:val="1"/>
          <w:noProof w:val="0"/>
          <w:sz w:val="20"/>
          <w:szCs w:val="20"/>
          <w:lang w:val="en-GB"/>
        </w:rPr>
        <w:t>The Human Side of Enterprise</w:t>
      </w:r>
      <w:r w:rsidRPr="7CFD5C16" w:rsidR="3006B5FE">
        <w:rPr>
          <w:rFonts w:ascii="Times New Roman" w:hAnsi="Times New Roman" w:eastAsia="Times New Roman" w:cs="Times New Roman"/>
          <w:noProof w:val="0"/>
          <w:sz w:val="20"/>
          <w:szCs w:val="20"/>
          <w:lang w:val="en-GB"/>
        </w:rPr>
        <w:t xml:space="preserve">. </w:t>
      </w:r>
      <w:r w:rsidRPr="7CFD5C16" w:rsidR="3006B5FE">
        <w:rPr>
          <w:rFonts w:ascii="Times New Roman" w:hAnsi="Times New Roman" w:eastAsia="Times New Roman" w:cs="Times New Roman"/>
          <w:noProof w:val="0"/>
          <w:sz w:val="20"/>
          <w:szCs w:val="20"/>
          <w:lang w:val="en-GB"/>
        </w:rPr>
        <w:t>Mcgraw-Hill</w:t>
      </w:r>
      <w:r w:rsidRPr="7CFD5C16" w:rsidR="3006B5FE">
        <w:rPr>
          <w:rFonts w:ascii="Times New Roman" w:hAnsi="Times New Roman" w:eastAsia="Times New Roman" w:cs="Times New Roman"/>
          <w:noProof w:val="0"/>
          <w:sz w:val="20"/>
          <w:szCs w:val="20"/>
          <w:lang w:val="en-GB"/>
        </w:rPr>
        <w:t>.</w:t>
      </w:r>
    </w:p>
    <w:p w:rsidR="3006B5FE" w:rsidP="7CFD5C16" w:rsidRDefault="3006B5FE" w14:paraId="566432B0" w14:textId="29740AA3">
      <w:pPr>
        <w:spacing w:before="0" w:beforeAutospacing="off" w:after="0" w:afterAutospacing="off" w:line="480" w:lineRule="auto"/>
        <w:ind w:left="720" w:right="0" w:hanging="720"/>
        <w:rPr>
          <w:sz w:val="20"/>
          <w:szCs w:val="20"/>
        </w:rPr>
      </w:pPr>
      <w:r w:rsidRPr="7CFD5C16" w:rsidR="3006B5FE">
        <w:rPr>
          <w:rFonts w:ascii="Times New Roman" w:hAnsi="Times New Roman" w:eastAsia="Times New Roman" w:cs="Times New Roman"/>
          <w:noProof w:val="0"/>
          <w:sz w:val="20"/>
          <w:szCs w:val="20"/>
          <w:lang w:val="en-GB"/>
        </w:rPr>
        <w:t xml:space="preserve">Mintzberg, H. (1980). Structure in 5’s: A Synthesis of the Research on Organization Design. </w:t>
      </w:r>
      <w:r w:rsidRPr="7CFD5C16" w:rsidR="3006B5FE">
        <w:rPr>
          <w:rFonts w:ascii="Times New Roman" w:hAnsi="Times New Roman" w:eastAsia="Times New Roman" w:cs="Times New Roman"/>
          <w:i w:val="1"/>
          <w:iCs w:val="1"/>
          <w:noProof w:val="0"/>
          <w:sz w:val="20"/>
          <w:szCs w:val="20"/>
          <w:lang w:val="en-GB"/>
        </w:rPr>
        <w:t>Management Science</w:t>
      </w:r>
      <w:r w:rsidRPr="7CFD5C16" w:rsidR="3006B5FE">
        <w:rPr>
          <w:rFonts w:ascii="Times New Roman" w:hAnsi="Times New Roman" w:eastAsia="Times New Roman" w:cs="Times New Roman"/>
          <w:noProof w:val="0"/>
          <w:sz w:val="20"/>
          <w:szCs w:val="20"/>
          <w:lang w:val="en-GB"/>
        </w:rPr>
        <w:t xml:space="preserve">, </w:t>
      </w:r>
      <w:r w:rsidRPr="7CFD5C16" w:rsidR="3006B5FE">
        <w:rPr>
          <w:rFonts w:ascii="Times New Roman" w:hAnsi="Times New Roman" w:eastAsia="Times New Roman" w:cs="Times New Roman"/>
          <w:i w:val="1"/>
          <w:iCs w:val="1"/>
          <w:noProof w:val="0"/>
          <w:sz w:val="20"/>
          <w:szCs w:val="20"/>
          <w:lang w:val="en-GB"/>
        </w:rPr>
        <w:t>26</w:t>
      </w:r>
      <w:r w:rsidRPr="7CFD5C16" w:rsidR="3006B5FE">
        <w:rPr>
          <w:rFonts w:ascii="Times New Roman" w:hAnsi="Times New Roman" w:eastAsia="Times New Roman" w:cs="Times New Roman"/>
          <w:noProof w:val="0"/>
          <w:sz w:val="20"/>
          <w:szCs w:val="20"/>
          <w:lang w:val="en-GB"/>
        </w:rPr>
        <w:t xml:space="preserve">(3), 322–341. </w:t>
      </w:r>
      <w:hyperlink r:id="R92af4c0056744737">
        <w:r w:rsidRPr="7CFD5C16" w:rsidR="3006B5FE">
          <w:rPr>
            <w:rStyle w:val="Hyperlink"/>
            <w:rFonts w:ascii="Times New Roman" w:hAnsi="Times New Roman" w:eastAsia="Times New Roman" w:cs="Times New Roman"/>
            <w:noProof w:val="0"/>
            <w:sz w:val="20"/>
            <w:szCs w:val="20"/>
            <w:lang w:val="en-GB"/>
          </w:rPr>
          <w:t>https://doi.org/10.1287/mnsc.26.3.322</w:t>
        </w:r>
      </w:hyperlink>
    </w:p>
    <w:p w:rsidR="3006B5FE" w:rsidP="7CFD5C16" w:rsidRDefault="3006B5FE" w14:paraId="09F648FC" w14:textId="6D9CB3B1">
      <w:pPr>
        <w:spacing w:before="0" w:beforeAutospacing="off" w:after="0" w:afterAutospacing="off" w:line="480" w:lineRule="auto"/>
        <w:ind w:left="720" w:right="0" w:hanging="720"/>
        <w:rPr>
          <w:rFonts w:ascii="Times New Roman" w:hAnsi="Times New Roman" w:eastAsia="Times New Roman" w:cs="Times New Roman"/>
          <w:noProof w:val="0"/>
          <w:sz w:val="20"/>
          <w:szCs w:val="20"/>
          <w:lang w:val="en-GB"/>
        </w:rPr>
      </w:pPr>
      <w:r w:rsidRPr="7CFD5C16" w:rsidR="3006B5FE">
        <w:rPr>
          <w:rFonts w:ascii="Times New Roman" w:hAnsi="Times New Roman" w:eastAsia="Times New Roman" w:cs="Times New Roman"/>
          <w:noProof w:val="0"/>
          <w:sz w:val="20"/>
          <w:szCs w:val="20"/>
          <w:lang w:val="en-GB"/>
        </w:rPr>
        <w:t xml:space="preserve">Mullins, L. J. (2019). </w:t>
      </w:r>
      <w:r w:rsidRPr="7CFD5C16" w:rsidR="3006B5FE">
        <w:rPr>
          <w:rFonts w:ascii="Times New Roman" w:hAnsi="Times New Roman" w:eastAsia="Times New Roman" w:cs="Times New Roman"/>
          <w:i w:val="1"/>
          <w:iCs w:val="1"/>
          <w:noProof w:val="0"/>
          <w:sz w:val="20"/>
          <w:szCs w:val="20"/>
          <w:lang w:val="en-GB"/>
        </w:rPr>
        <w:t>Organisational Behaviour in the Workplace</w:t>
      </w:r>
      <w:r w:rsidRPr="7CFD5C16" w:rsidR="3006B5FE">
        <w:rPr>
          <w:rFonts w:ascii="Times New Roman" w:hAnsi="Times New Roman" w:eastAsia="Times New Roman" w:cs="Times New Roman"/>
          <w:noProof w:val="0"/>
          <w:sz w:val="20"/>
          <w:szCs w:val="20"/>
          <w:lang w:val="en-GB"/>
        </w:rPr>
        <w:t xml:space="preserve"> (12th ed.). Pearson.</w:t>
      </w:r>
    </w:p>
    <w:p w:rsidR="3006B5FE" w:rsidP="7CFD5C16" w:rsidRDefault="3006B5FE" w14:paraId="4B1D316D" w14:textId="49B2CC50">
      <w:pPr>
        <w:spacing w:before="0" w:beforeAutospacing="off" w:after="0" w:afterAutospacing="off" w:line="480" w:lineRule="auto"/>
        <w:ind w:left="720" w:right="0" w:hanging="720"/>
        <w:rPr>
          <w:rFonts w:ascii="Times New Roman" w:hAnsi="Times New Roman" w:eastAsia="Times New Roman" w:cs="Times New Roman"/>
          <w:noProof w:val="0"/>
          <w:sz w:val="20"/>
          <w:szCs w:val="20"/>
          <w:lang w:val="en-GB"/>
        </w:rPr>
      </w:pPr>
      <w:r w:rsidRPr="7CFD5C16" w:rsidR="3006B5FE">
        <w:rPr>
          <w:rFonts w:ascii="Times New Roman" w:hAnsi="Times New Roman" w:eastAsia="Times New Roman" w:cs="Times New Roman"/>
          <w:noProof w:val="0"/>
          <w:sz w:val="20"/>
          <w:szCs w:val="20"/>
          <w:lang w:val="en-GB"/>
        </w:rPr>
        <w:t xml:space="preserve">Robbins, S. P., &amp; Judge, T. A. (2019). </w:t>
      </w:r>
      <w:r w:rsidRPr="7CFD5C16" w:rsidR="3006B5FE">
        <w:rPr>
          <w:rFonts w:ascii="Times New Roman" w:hAnsi="Times New Roman" w:eastAsia="Times New Roman" w:cs="Times New Roman"/>
          <w:i w:val="1"/>
          <w:iCs w:val="1"/>
          <w:noProof w:val="0"/>
          <w:sz w:val="20"/>
          <w:szCs w:val="20"/>
          <w:lang w:val="en-GB"/>
        </w:rPr>
        <w:t xml:space="preserve">Organizational </w:t>
      </w:r>
      <w:r w:rsidRPr="7CFD5C16" w:rsidR="3006B5FE">
        <w:rPr>
          <w:rFonts w:ascii="Times New Roman" w:hAnsi="Times New Roman" w:eastAsia="Times New Roman" w:cs="Times New Roman"/>
          <w:i w:val="1"/>
          <w:iCs w:val="1"/>
          <w:noProof w:val="0"/>
          <w:sz w:val="20"/>
          <w:szCs w:val="20"/>
          <w:lang w:val="en-GB"/>
        </w:rPr>
        <w:t>behavior</w:t>
      </w:r>
      <w:r w:rsidRPr="7CFD5C16" w:rsidR="3006B5FE">
        <w:rPr>
          <w:rFonts w:ascii="Times New Roman" w:hAnsi="Times New Roman" w:eastAsia="Times New Roman" w:cs="Times New Roman"/>
          <w:noProof w:val="0"/>
          <w:sz w:val="20"/>
          <w:szCs w:val="20"/>
          <w:lang w:val="en-GB"/>
        </w:rPr>
        <w:t xml:space="preserve"> (18th ed.). Harlow, England Pearson.</w:t>
      </w:r>
    </w:p>
    <w:p w:rsidR="3006B5FE" w:rsidP="7CFD5C16" w:rsidRDefault="3006B5FE" w14:paraId="02192F9E" w14:textId="3DF334BB">
      <w:pPr>
        <w:spacing w:before="0" w:beforeAutospacing="off" w:after="0" w:afterAutospacing="off" w:line="480" w:lineRule="auto"/>
        <w:ind w:left="720" w:right="0" w:hanging="720"/>
        <w:rPr>
          <w:rFonts w:ascii="Times New Roman" w:hAnsi="Times New Roman" w:eastAsia="Times New Roman" w:cs="Times New Roman"/>
          <w:noProof w:val="0"/>
          <w:sz w:val="20"/>
          <w:szCs w:val="20"/>
          <w:lang w:val="en-GB"/>
        </w:rPr>
      </w:pPr>
      <w:r w:rsidRPr="7CFD5C16" w:rsidR="3006B5FE">
        <w:rPr>
          <w:rFonts w:ascii="Times New Roman" w:hAnsi="Times New Roman" w:eastAsia="Times New Roman" w:cs="Times New Roman"/>
          <w:noProof w:val="0"/>
          <w:sz w:val="20"/>
          <w:szCs w:val="20"/>
          <w:lang w:val="en-GB"/>
        </w:rPr>
        <w:t xml:space="preserve">Schein, E. H. (2010). </w:t>
      </w:r>
      <w:r w:rsidRPr="7CFD5C16" w:rsidR="3006B5FE">
        <w:rPr>
          <w:rFonts w:ascii="Times New Roman" w:hAnsi="Times New Roman" w:eastAsia="Times New Roman" w:cs="Times New Roman"/>
          <w:i w:val="1"/>
          <w:iCs w:val="1"/>
          <w:noProof w:val="0"/>
          <w:sz w:val="20"/>
          <w:szCs w:val="20"/>
          <w:lang w:val="en-GB"/>
        </w:rPr>
        <w:t>Organizational Culture and Leadership</w:t>
      </w:r>
      <w:r w:rsidRPr="7CFD5C16" w:rsidR="3006B5FE">
        <w:rPr>
          <w:rFonts w:ascii="Times New Roman" w:hAnsi="Times New Roman" w:eastAsia="Times New Roman" w:cs="Times New Roman"/>
          <w:noProof w:val="0"/>
          <w:sz w:val="20"/>
          <w:szCs w:val="20"/>
          <w:lang w:val="en-GB"/>
        </w:rPr>
        <w:t xml:space="preserve"> (4th ed.). Jossey-Bass.</w:t>
      </w:r>
    </w:p>
    <w:p w:rsidR="3006B5FE" w:rsidP="7CFD5C16" w:rsidRDefault="3006B5FE" w14:paraId="1E49939F" w14:textId="3301C28C">
      <w:pPr>
        <w:spacing w:before="0" w:beforeAutospacing="off" w:after="0" w:afterAutospacing="off" w:line="480" w:lineRule="auto"/>
        <w:ind w:left="720" w:right="0" w:hanging="720"/>
        <w:rPr>
          <w:sz w:val="20"/>
          <w:szCs w:val="20"/>
        </w:rPr>
      </w:pPr>
      <w:r w:rsidRPr="7CFD5C16" w:rsidR="3006B5FE">
        <w:rPr>
          <w:rFonts w:ascii="Times New Roman" w:hAnsi="Times New Roman" w:eastAsia="Times New Roman" w:cs="Times New Roman"/>
          <w:i w:val="1"/>
          <w:iCs w:val="1"/>
          <w:noProof w:val="0"/>
          <w:sz w:val="20"/>
          <w:szCs w:val="20"/>
          <w:lang w:val="en-GB"/>
        </w:rPr>
        <w:t>SD Development: Lewin’s Leadership Styles</w:t>
      </w:r>
      <w:r w:rsidRPr="7CFD5C16" w:rsidR="3006B5FE">
        <w:rPr>
          <w:rFonts w:ascii="Times New Roman" w:hAnsi="Times New Roman" w:eastAsia="Times New Roman" w:cs="Times New Roman"/>
          <w:noProof w:val="0"/>
          <w:sz w:val="20"/>
          <w:szCs w:val="20"/>
          <w:lang w:val="en-GB"/>
        </w:rPr>
        <w:t xml:space="preserve">. (2020). Sddevelopment.be. </w:t>
      </w:r>
      <w:hyperlink r:id="Ra0be654160724351">
        <w:r w:rsidRPr="7CFD5C16" w:rsidR="3006B5FE">
          <w:rPr>
            <w:rStyle w:val="Hyperlink"/>
            <w:rFonts w:ascii="Times New Roman" w:hAnsi="Times New Roman" w:eastAsia="Times New Roman" w:cs="Times New Roman"/>
            <w:noProof w:val="0"/>
            <w:sz w:val="20"/>
            <w:szCs w:val="20"/>
            <w:lang w:val="en-GB"/>
          </w:rPr>
          <w:t>https://patterns.sddevelopment.be/concepts/leadership-styles/</w:t>
        </w:r>
      </w:hyperlink>
    </w:p>
    <w:p w:rsidR="3006B5FE" w:rsidP="7CFD5C16" w:rsidRDefault="3006B5FE" w14:paraId="5AEA46D4" w14:textId="29342C8E">
      <w:pPr>
        <w:spacing w:before="0" w:beforeAutospacing="off" w:after="0" w:afterAutospacing="off" w:line="480" w:lineRule="auto"/>
        <w:ind w:left="720" w:right="0" w:hanging="720"/>
        <w:rPr>
          <w:sz w:val="20"/>
          <w:szCs w:val="20"/>
        </w:rPr>
      </w:pPr>
      <w:r w:rsidRPr="7CFD5C16" w:rsidR="3006B5FE">
        <w:rPr>
          <w:rFonts w:ascii="Times New Roman" w:hAnsi="Times New Roman" w:eastAsia="Times New Roman" w:cs="Times New Roman"/>
          <w:noProof w:val="0"/>
          <w:sz w:val="20"/>
          <w:szCs w:val="20"/>
          <w:lang w:val="en-GB"/>
        </w:rPr>
        <w:t xml:space="preserve">Shannon, C. E., &amp; Weaver, W. (1949). </w:t>
      </w:r>
      <w:r w:rsidRPr="7CFD5C16" w:rsidR="3006B5FE">
        <w:rPr>
          <w:rFonts w:ascii="Times New Roman" w:hAnsi="Times New Roman" w:eastAsia="Times New Roman" w:cs="Times New Roman"/>
          <w:i w:val="1"/>
          <w:iCs w:val="1"/>
          <w:noProof w:val="0"/>
          <w:sz w:val="20"/>
          <w:szCs w:val="20"/>
          <w:lang w:val="en-GB"/>
        </w:rPr>
        <w:t>The Mathematical Theory of Communication</w:t>
      </w:r>
      <w:r w:rsidRPr="7CFD5C16" w:rsidR="3006B5FE">
        <w:rPr>
          <w:rFonts w:ascii="Times New Roman" w:hAnsi="Times New Roman" w:eastAsia="Times New Roman" w:cs="Times New Roman"/>
          <w:noProof w:val="0"/>
          <w:sz w:val="20"/>
          <w:szCs w:val="20"/>
          <w:lang w:val="en-GB"/>
        </w:rPr>
        <w:t xml:space="preserve">. University Of Illinois Press. </w:t>
      </w:r>
      <w:hyperlink r:id="Rc072b4a47a524f2d">
        <w:r w:rsidRPr="7CFD5C16" w:rsidR="3006B5FE">
          <w:rPr>
            <w:rStyle w:val="Hyperlink"/>
            <w:rFonts w:ascii="Times New Roman" w:hAnsi="Times New Roman" w:eastAsia="Times New Roman" w:cs="Times New Roman"/>
            <w:noProof w:val="0"/>
            <w:sz w:val="20"/>
            <w:szCs w:val="20"/>
            <w:lang w:val="en-GB"/>
          </w:rPr>
          <w:t>https://pure.mpg.de/rest/items/item_2383164_3/component/file_2383163/content</w:t>
        </w:r>
      </w:hyperlink>
    </w:p>
    <w:p w:rsidR="3006B5FE" w:rsidP="7CFD5C16" w:rsidRDefault="3006B5FE" w14:paraId="56BEE59D" w14:textId="7F6615AE">
      <w:pPr>
        <w:spacing w:before="0" w:beforeAutospacing="off" w:after="0" w:afterAutospacing="off" w:line="480" w:lineRule="auto"/>
        <w:ind w:left="720" w:right="0" w:hanging="720"/>
        <w:rPr>
          <w:sz w:val="20"/>
          <w:szCs w:val="20"/>
        </w:rPr>
      </w:pPr>
      <w:r w:rsidRPr="7CFD5C16" w:rsidR="3006B5FE">
        <w:rPr>
          <w:rFonts w:ascii="Times New Roman" w:hAnsi="Times New Roman" w:eastAsia="Times New Roman" w:cs="Times New Roman"/>
          <w:noProof w:val="0"/>
          <w:sz w:val="20"/>
          <w:szCs w:val="20"/>
          <w:lang w:val="en-GB"/>
        </w:rPr>
        <w:t xml:space="preserve">University of Cambridge. (2016). </w:t>
      </w:r>
      <w:r w:rsidRPr="7CFD5C16" w:rsidR="3006B5FE">
        <w:rPr>
          <w:rFonts w:ascii="Times New Roman" w:hAnsi="Times New Roman" w:eastAsia="Times New Roman" w:cs="Times New Roman"/>
          <w:i w:val="1"/>
          <w:iCs w:val="1"/>
          <w:noProof w:val="0"/>
          <w:sz w:val="20"/>
          <w:szCs w:val="20"/>
          <w:lang w:val="en-GB"/>
        </w:rPr>
        <w:t>Vroom’s Expectancy Theory</w:t>
      </w:r>
      <w:r w:rsidRPr="7CFD5C16" w:rsidR="3006B5FE">
        <w:rPr>
          <w:rFonts w:ascii="Times New Roman" w:hAnsi="Times New Roman" w:eastAsia="Times New Roman" w:cs="Times New Roman"/>
          <w:noProof w:val="0"/>
          <w:sz w:val="20"/>
          <w:szCs w:val="20"/>
          <w:lang w:val="en-GB"/>
        </w:rPr>
        <w:t xml:space="preserve">. Vroom’s Expectancy Theory; University of Cambridge. </w:t>
      </w:r>
      <w:hyperlink r:id="R330aa0b8f5fa4ed6">
        <w:r w:rsidRPr="7CFD5C16" w:rsidR="3006B5FE">
          <w:rPr>
            <w:rStyle w:val="Hyperlink"/>
            <w:rFonts w:ascii="Times New Roman" w:hAnsi="Times New Roman" w:eastAsia="Times New Roman" w:cs="Times New Roman"/>
            <w:noProof w:val="0"/>
            <w:sz w:val="20"/>
            <w:szCs w:val="20"/>
            <w:lang w:val="en-GB"/>
          </w:rPr>
          <w:t>https://www.ifm.eng.cam.ac.uk/research/dstools/vrooms-expectancy-theory/</w:t>
        </w:r>
      </w:hyperlink>
    </w:p>
    <w:p w:rsidR="3006B5FE" w:rsidP="7CFD5C16" w:rsidRDefault="3006B5FE" w14:paraId="5B36E22E" w14:textId="597FBA26">
      <w:pPr>
        <w:spacing w:before="0" w:beforeAutospacing="off" w:after="0" w:afterAutospacing="off" w:line="480" w:lineRule="auto"/>
        <w:ind w:left="720" w:right="0" w:hanging="720"/>
        <w:rPr>
          <w:rFonts w:ascii="Times New Roman" w:hAnsi="Times New Roman" w:eastAsia="Times New Roman" w:cs="Times New Roman"/>
          <w:noProof w:val="0"/>
          <w:sz w:val="20"/>
          <w:szCs w:val="20"/>
          <w:lang w:val="en-GB"/>
        </w:rPr>
      </w:pPr>
      <w:r w:rsidRPr="7CFD5C16" w:rsidR="3006B5FE">
        <w:rPr>
          <w:rFonts w:ascii="Times New Roman" w:hAnsi="Times New Roman" w:eastAsia="Times New Roman" w:cs="Times New Roman"/>
          <w:noProof w:val="0"/>
          <w:sz w:val="20"/>
          <w:szCs w:val="20"/>
          <w:lang w:val="en-GB"/>
        </w:rPr>
        <w:t xml:space="preserve">Vroom, V. H. (1964). </w:t>
      </w:r>
      <w:r w:rsidRPr="7CFD5C16" w:rsidR="3006B5FE">
        <w:rPr>
          <w:rFonts w:ascii="Times New Roman" w:hAnsi="Times New Roman" w:eastAsia="Times New Roman" w:cs="Times New Roman"/>
          <w:i w:val="1"/>
          <w:iCs w:val="1"/>
          <w:noProof w:val="0"/>
          <w:sz w:val="20"/>
          <w:szCs w:val="20"/>
          <w:lang w:val="en-GB"/>
        </w:rPr>
        <w:t>Work and motivation</w:t>
      </w:r>
      <w:r w:rsidRPr="7CFD5C16" w:rsidR="3006B5FE">
        <w:rPr>
          <w:rFonts w:ascii="Times New Roman" w:hAnsi="Times New Roman" w:eastAsia="Times New Roman" w:cs="Times New Roman"/>
          <w:noProof w:val="0"/>
          <w:sz w:val="20"/>
          <w:szCs w:val="20"/>
          <w:lang w:val="en-GB"/>
        </w:rPr>
        <w:t>. Wiley.</w:t>
      </w:r>
    </w:p>
    <w:p w:rsidR="7CFD5C16" w:rsidRDefault="7CFD5C16" w14:paraId="41411B83" w14:textId="4EE6AF46"/>
    <w:sectPr>
      <w:pgSz w:w="11906" w:h="16838" w:orient="portrait"/>
      <w:pgMar w:top="1440" w:right="1440" w:bottom="1440" w:left="1440" w:header="720" w:footer="720" w:gutter="0"/>
      <w:cols w:space="720"/>
      <w:docGrid w:linePitch="360"/>
      <w:headerReference w:type="default" r:id="Rb52f888776cc4b9e"/>
      <w:footerReference w:type="default" r:id="R2f0d449d48ed4fc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CFD5C16" w:rsidTr="7CFD5C16" w14:paraId="36255705">
      <w:trPr>
        <w:trHeight w:val="300"/>
      </w:trPr>
      <w:tc>
        <w:tcPr>
          <w:tcW w:w="3005" w:type="dxa"/>
          <w:tcMar/>
        </w:tcPr>
        <w:p w:rsidR="7CFD5C16" w:rsidP="7CFD5C16" w:rsidRDefault="7CFD5C16" w14:paraId="36AEAB83" w14:textId="5CFC30B9">
          <w:pPr>
            <w:pStyle w:val="Header"/>
            <w:bidi w:val="0"/>
            <w:ind w:left="-115"/>
            <w:jc w:val="left"/>
          </w:pPr>
        </w:p>
      </w:tc>
      <w:tc>
        <w:tcPr>
          <w:tcW w:w="3005" w:type="dxa"/>
          <w:tcMar/>
        </w:tcPr>
        <w:p w:rsidR="7CFD5C16" w:rsidP="7CFD5C16" w:rsidRDefault="7CFD5C16" w14:paraId="617B3B47" w14:textId="6F59974A">
          <w:pPr>
            <w:pStyle w:val="Header"/>
            <w:bidi w:val="0"/>
            <w:jc w:val="center"/>
          </w:pPr>
        </w:p>
      </w:tc>
      <w:tc>
        <w:tcPr>
          <w:tcW w:w="3005" w:type="dxa"/>
          <w:tcMar/>
        </w:tcPr>
        <w:p w:rsidR="7CFD5C16" w:rsidP="7CFD5C16" w:rsidRDefault="7CFD5C16" w14:paraId="2EC34A4D" w14:textId="625E8799">
          <w:pPr>
            <w:pStyle w:val="Header"/>
            <w:bidi w:val="0"/>
            <w:ind w:right="-115"/>
            <w:jc w:val="right"/>
          </w:pPr>
          <w:r>
            <w:fldChar w:fldCharType="begin"/>
          </w:r>
          <w:r>
            <w:instrText xml:space="preserve">PAGE</w:instrText>
          </w:r>
          <w:r>
            <w:fldChar w:fldCharType="separate"/>
          </w:r>
          <w:r>
            <w:fldChar w:fldCharType="end"/>
          </w:r>
        </w:p>
      </w:tc>
    </w:tr>
  </w:tbl>
  <w:p w:rsidR="7CFD5C16" w:rsidP="7CFD5C16" w:rsidRDefault="7CFD5C16" w14:paraId="1B252547" w14:textId="5947816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CFD5C16" w:rsidTr="7CFD5C16" w14:paraId="6B1C603D">
      <w:trPr>
        <w:trHeight w:val="300"/>
      </w:trPr>
      <w:tc>
        <w:tcPr>
          <w:tcW w:w="3005" w:type="dxa"/>
          <w:tcMar/>
        </w:tcPr>
        <w:p w:rsidR="7CFD5C16" w:rsidP="7CFD5C16" w:rsidRDefault="7CFD5C16" w14:paraId="63A6D4A6" w14:textId="5560ADBC">
          <w:pPr>
            <w:pStyle w:val="Header"/>
            <w:bidi w:val="0"/>
            <w:ind w:left="-115"/>
            <w:jc w:val="left"/>
          </w:pPr>
        </w:p>
      </w:tc>
      <w:tc>
        <w:tcPr>
          <w:tcW w:w="3005" w:type="dxa"/>
          <w:tcMar/>
        </w:tcPr>
        <w:p w:rsidR="7CFD5C16" w:rsidP="7CFD5C16" w:rsidRDefault="7CFD5C16" w14:paraId="2D107665" w14:textId="68199757">
          <w:pPr>
            <w:pStyle w:val="Header"/>
            <w:tabs>
              <w:tab w:val="center" w:leader="none" w:pos="4680"/>
              <w:tab w:val="right" w:leader="none" w:pos="9360"/>
            </w:tabs>
            <w:bidi w:val="0"/>
            <w:spacing w:after="0" w:line="240" w:lineRule="auto"/>
            <w:jc w:val="center"/>
            <w:rPr>
              <w:noProof w:val="0"/>
              <w:lang w:val="en-GB"/>
            </w:rPr>
          </w:pPr>
          <w:r w:rsidRPr="7CFD5C16" w:rsidR="7CFD5C16">
            <w:rPr>
              <w:rFonts w:ascii="Aptos" w:hAnsi="Aptos" w:eastAsia="Aptos" w:cs="Aptos"/>
              <w:b w:val="0"/>
              <w:bCs w:val="0"/>
              <w:i w:val="0"/>
              <w:iCs w:val="0"/>
              <w:caps w:val="0"/>
              <w:smallCaps w:val="0"/>
              <w:noProof w:val="0"/>
              <w:color w:val="000000" w:themeColor="text1" w:themeTint="FF" w:themeShade="FF"/>
              <w:sz w:val="24"/>
              <w:szCs w:val="24"/>
              <w:lang w:val="en-US"/>
            </w:rPr>
            <w:t>BMSP4013</w:t>
          </w:r>
        </w:p>
        <w:p w:rsidR="7CFD5C16" w:rsidP="7CFD5C16" w:rsidRDefault="7CFD5C16" w14:paraId="2F54150D" w14:textId="4AEF8B54">
          <w:pPr>
            <w:pStyle w:val="Header"/>
            <w:bidi w:val="0"/>
            <w:jc w:val="center"/>
          </w:pPr>
        </w:p>
      </w:tc>
      <w:tc>
        <w:tcPr>
          <w:tcW w:w="3005" w:type="dxa"/>
          <w:tcMar/>
        </w:tcPr>
        <w:p w:rsidR="7CFD5C16" w:rsidP="7CFD5C16" w:rsidRDefault="7CFD5C16" w14:paraId="3F85BDAB" w14:textId="32F4E180">
          <w:pPr>
            <w:pStyle w:val="Header"/>
            <w:suppressLineNumbers w:val="0"/>
            <w:bidi w:val="0"/>
            <w:spacing w:before="0" w:beforeAutospacing="off" w:after="0" w:afterAutospacing="off" w:line="240" w:lineRule="auto"/>
            <w:ind w:left="0" w:right="-115"/>
            <w:jc w:val="right"/>
          </w:pPr>
          <w:r w:rsidR="7CFD5C16">
            <w:rPr/>
            <w:t>Sophie Walters</w:t>
          </w:r>
        </w:p>
      </w:tc>
    </w:tr>
  </w:tbl>
  <w:p w:rsidR="7CFD5C16" w:rsidP="7CFD5C16" w:rsidRDefault="7CFD5C16" w14:paraId="0BF2E849" w14:textId="75A540C9">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BA76CA5"/>
    <w:rsid w:val="06BC2C79"/>
    <w:rsid w:val="0D4DF26B"/>
    <w:rsid w:val="116186C6"/>
    <w:rsid w:val="1B8A6DBD"/>
    <w:rsid w:val="271FAB01"/>
    <w:rsid w:val="3006B5FE"/>
    <w:rsid w:val="30ED1016"/>
    <w:rsid w:val="3200883B"/>
    <w:rsid w:val="333A6D53"/>
    <w:rsid w:val="37A24EE2"/>
    <w:rsid w:val="4A38F55F"/>
    <w:rsid w:val="4E98C01B"/>
    <w:rsid w:val="517A24C4"/>
    <w:rsid w:val="524E2AC0"/>
    <w:rsid w:val="5BA76CA5"/>
    <w:rsid w:val="625787CB"/>
    <w:rsid w:val="78485875"/>
    <w:rsid w:val="7BA4CA3B"/>
    <w:rsid w:val="7CFD5C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A76CA5"/>
  <w15:chartTrackingRefBased/>
  <w15:docId w15:val="{7697E740-81AE-4BB9-A087-5E3734A9C3E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7CFD5C1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7CFD5C16"/>
    <w:rPr>
      <w:color w:val="467886"/>
      <w:u w:val="single"/>
    </w:rPr>
  </w:style>
  <w:style w:type="paragraph" w:styleId="Header">
    <w:uiPriority w:val="99"/>
    <w:name w:val="header"/>
    <w:basedOn w:val="Normal"/>
    <w:unhideWhenUsed/>
    <w:rsid w:val="7CFD5C16"/>
    <w:pPr>
      <w:tabs>
        <w:tab w:val="center" w:leader="none" w:pos="4680"/>
        <w:tab w:val="right" w:leader="none" w:pos="9360"/>
      </w:tabs>
      <w:spacing w:after="0" w:line="240" w:lineRule="auto"/>
    </w:pPr>
  </w:style>
  <w:style w:type="paragraph" w:styleId="Footer">
    <w:uiPriority w:val="99"/>
    <w:name w:val="footer"/>
    <w:basedOn w:val="Normal"/>
    <w:unhideWhenUsed/>
    <w:rsid w:val="7CFD5C16"/>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b.arabpsychology.com/two-factor-theory/" TargetMode="External" Id="R51864bf0cd664670" /><Relationship Type="http://schemas.openxmlformats.org/officeDocument/2006/relationships/hyperlink" Target="https://www.managementstudyguide.com/theory-x-y-motivation.htm" TargetMode="External" Id="R9c2e018365464542" /><Relationship Type="http://schemas.openxmlformats.org/officeDocument/2006/relationships/hyperlink" Target="https://doi.org/10.1080/00224545.1939.9713366" TargetMode="External" Id="R025256477b48404b" /><Relationship Type="http://schemas.openxmlformats.org/officeDocument/2006/relationships/hyperlink" Target="https://doi.org/10.1287/mnsc.26.3.322" TargetMode="External" Id="R92af4c0056744737" /><Relationship Type="http://schemas.openxmlformats.org/officeDocument/2006/relationships/hyperlink" Target="https://patterns.sddevelopment.be/concepts/leadership-styles/" TargetMode="External" Id="Ra0be654160724351" /><Relationship Type="http://schemas.openxmlformats.org/officeDocument/2006/relationships/hyperlink" Target="https://pure.mpg.de/rest/items/item_2383164_3/component/file_2383163/content" TargetMode="External" Id="Rc072b4a47a524f2d" /><Relationship Type="http://schemas.openxmlformats.org/officeDocument/2006/relationships/hyperlink" Target="https://www.ifm.eng.cam.ac.uk/research/dstools/vrooms-expectancy-theory/" TargetMode="External" Id="R330aa0b8f5fa4ed6" /><Relationship Type="http://schemas.openxmlformats.org/officeDocument/2006/relationships/header" Target="/word/header.xml" Id="Rb52f888776cc4b9e" /><Relationship Type="http://schemas.openxmlformats.org/officeDocument/2006/relationships/footer" Target="/word/footer.xml" Id="R2f0d449d48ed4fc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Sophie Walters (2517510)</dc:creator>
  <keywords/>
  <dc:description/>
  <lastModifiedBy>Sophie Walters (2517510)</lastModifiedBy>
  <revision>2</revision>
  <dcterms:created xsi:type="dcterms:W3CDTF">2025-12-09T20:54:24.3573993Z</dcterms:created>
  <dcterms:modified xsi:type="dcterms:W3CDTF">2025-12-10T19:20:48.2111359Z</dcterms:modified>
</coreProperties>
</file>