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00855"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500C7ECB"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0A690A64"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7AC04D3B"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3E5FC566"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7B24A25B"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45C77350"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6F1D37CC" w14:textId="4EF2872B" w:rsidR="007B77AB" w:rsidRPr="00AC29A0" w:rsidRDefault="007B77AB" w:rsidP="00C90874">
      <w:pPr>
        <w:spacing w:after="0" w:line="360" w:lineRule="auto"/>
        <w:jc w:val="both"/>
        <w:rPr>
          <w:rFonts w:ascii="Arial" w:eastAsia="Times New Roman" w:hAnsi="Arial" w:cs="Arial"/>
          <w:color w:val="0E101A"/>
          <w:sz w:val="24"/>
          <w:szCs w:val="24"/>
        </w:rPr>
      </w:pPr>
    </w:p>
    <w:p w14:paraId="4938526A" w14:textId="4ED942F0" w:rsidR="007B77AB" w:rsidRPr="00AC29A0" w:rsidRDefault="007B77AB" w:rsidP="00C90874">
      <w:pPr>
        <w:spacing w:after="0" w:line="360" w:lineRule="auto"/>
        <w:jc w:val="both"/>
        <w:rPr>
          <w:rFonts w:ascii="Arial" w:eastAsia="Times New Roman" w:hAnsi="Arial" w:cs="Arial"/>
          <w:color w:val="0E101A"/>
          <w:sz w:val="24"/>
          <w:szCs w:val="24"/>
        </w:rPr>
      </w:pPr>
    </w:p>
    <w:p w14:paraId="79067DC2" w14:textId="77777777" w:rsidR="00F46670" w:rsidRPr="00AC29A0" w:rsidRDefault="00F46670" w:rsidP="00C90874">
      <w:pPr>
        <w:spacing w:after="0" w:line="360" w:lineRule="auto"/>
        <w:jc w:val="center"/>
        <w:rPr>
          <w:rFonts w:ascii="Arial" w:eastAsia="Times New Roman" w:hAnsi="Arial" w:cs="Arial"/>
          <w:color w:val="0E101A"/>
          <w:sz w:val="24"/>
          <w:szCs w:val="24"/>
        </w:rPr>
      </w:pPr>
    </w:p>
    <w:p w14:paraId="0913869F" w14:textId="0A943C5C"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color w:val="0E101A"/>
          <w:sz w:val="24"/>
          <w:szCs w:val="24"/>
        </w:rPr>
        <w:t>Employee Engagement and The Impact It Has Within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s</w:t>
      </w:r>
    </w:p>
    <w:p w14:paraId="4D204113" w14:textId="458CF6D4"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color w:val="0E101A"/>
          <w:sz w:val="24"/>
          <w:szCs w:val="24"/>
        </w:rPr>
        <w:t>By</w:t>
      </w:r>
      <w:r w:rsidR="004945BA">
        <w:rPr>
          <w:rFonts w:ascii="Arial" w:eastAsia="Times New Roman" w:hAnsi="Arial" w:cs="Arial"/>
          <w:color w:val="0E101A"/>
          <w:sz w:val="24"/>
          <w:szCs w:val="24"/>
        </w:rPr>
        <w:t>:</w:t>
      </w:r>
      <w:r w:rsidRPr="00AC29A0">
        <w:rPr>
          <w:rFonts w:ascii="Arial" w:eastAsia="Times New Roman" w:hAnsi="Arial" w:cs="Arial"/>
          <w:color w:val="0E101A"/>
          <w:sz w:val="24"/>
          <w:szCs w:val="24"/>
        </w:rPr>
        <w:t xml:space="preserve"> </w:t>
      </w:r>
      <w:r w:rsidR="00BF2C26">
        <w:rPr>
          <w:rFonts w:ascii="Arial" w:eastAsia="Times New Roman" w:hAnsi="Arial" w:cs="Arial"/>
          <w:color w:val="0E101A"/>
          <w:sz w:val="24"/>
          <w:szCs w:val="24"/>
        </w:rPr>
        <w:t>Bogdan Alin Dumitriu (</w:t>
      </w:r>
      <w:r w:rsidR="0041127A">
        <w:rPr>
          <w:rFonts w:ascii="Arial" w:eastAsia="Times New Roman" w:hAnsi="Arial" w:cs="Arial"/>
          <w:color w:val="0E101A"/>
          <w:sz w:val="24"/>
          <w:szCs w:val="24"/>
        </w:rPr>
        <w:t>2025177</w:t>
      </w:r>
      <w:r w:rsidR="00375BE3">
        <w:rPr>
          <w:rFonts w:ascii="Arial" w:eastAsia="Times New Roman" w:hAnsi="Arial" w:cs="Arial"/>
          <w:color w:val="0E101A"/>
          <w:sz w:val="24"/>
          <w:szCs w:val="24"/>
        </w:rPr>
        <w:t>)</w:t>
      </w:r>
    </w:p>
    <w:p w14:paraId="696D6265" w14:textId="77777777" w:rsidR="00F46670" w:rsidRPr="00AC29A0" w:rsidRDefault="00F46670" w:rsidP="00C90874">
      <w:pPr>
        <w:spacing w:after="0" w:line="360" w:lineRule="auto"/>
        <w:jc w:val="center"/>
        <w:rPr>
          <w:rFonts w:ascii="Arial" w:eastAsia="Times New Roman" w:hAnsi="Arial" w:cs="Arial"/>
          <w:color w:val="0E101A"/>
          <w:sz w:val="24"/>
          <w:szCs w:val="24"/>
        </w:rPr>
      </w:pPr>
    </w:p>
    <w:p w14:paraId="2464BD7F" w14:textId="77777777" w:rsidR="00F46670" w:rsidRPr="00AC29A0" w:rsidRDefault="00F46670" w:rsidP="00C90874">
      <w:pPr>
        <w:spacing w:after="0" w:line="360" w:lineRule="auto"/>
        <w:jc w:val="center"/>
        <w:rPr>
          <w:rFonts w:ascii="Arial" w:eastAsia="Times New Roman" w:hAnsi="Arial" w:cs="Arial"/>
          <w:color w:val="0E101A"/>
          <w:sz w:val="24"/>
          <w:szCs w:val="24"/>
        </w:rPr>
      </w:pPr>
    </w:p>
    <w:p w14:paraId="47C66DD4" w14:textId="77777777" w:rsidR="00F46670" w:rsidRPr="00AC29A0" w:rsidRDefault="00F46670" w:rsidP="00C90874">
      <w:pPr>
        <w:spacing w:after="0" w:line="360" w:lineRule="auto"/>
        <w:jc w:val="center"/>
        <w:rPr>
          <w:rFonts w:ascii="Arial" w:eastAsia="Times New Roman" w:hAnsi="Arial" w:cs="Arial"/>
          <w:color w:val="0E101A"/>
          <w:sz w:val="24"/>
          <w:szCs w:val="24"/>
        </w:rPr>
      </w:pPr>
    </w:p>
    <w:p w14:paraId="22703CCD" w14:textId="25B7CD3A"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color w:val="0E101A"/>
          <w:sz w:val="24"/>
          <w:szCs w:val="24"/>
        </w:rPr>
        <w:t>Course</w:t>
      </w:r>
      <w:r w:rsidR="00414019">
        <w:rPr>
          <w:rFonts w:ascii="Arial" w:eastAsia="Times New Roman" w:hAnsi="Arial" w:cs="Arial"/>
          <w:color w:val="0E101A"/>
          <w:sz w:val="24"/>
          <w:szCs w:val="24"/>
        </w:rPr>
        <w:t xml:space="preserve">: </w:t>
      </w:r>
      <w:r w:rsidR="00F071C0">
        <w:rPr>
          <w:rFonts w:ascii="Arial" w:eastAsia="Times New Roman" w:hAnsi="Arial" w:cs="Arial"/>
          <w:color w:val="0E101A"/>
          <w:sz w:val="24"/>
          <w:szCs w:val="24"/>
        </w:rPr>
        <w:t xml:space="preserve">Personnel Resourcing&amp;Development </w:t>
      </w:r>
      <w:r w:rsidR="00063388">
        <w:rPr>
          <w:rFonts w:ascii="Arial" w:eastAsia="Times New Roman" w:hAnsi="Arial" w:cs="Arial"/>
          <w:color w:val="0E101A"/>
          <w:sz w:val="24"/>
          <w:szCs w:val="24"/>
        </w:rPr>
        <w:t>(BMIH</w:t>
      </w:r>
      <w:r w:rsidR="00DC6FD4">
        <w:rPr>
          <w:rFonts w:ascii="Arial" w:eastAsia="Times New Roman" w:hAnsi="Arial" w:cs="Arial"/>
          <w:color w:val="0E101A"/>
          <w:sz w:val="24"/>
          <w:szCs w:val="24"/>
        </w:rPr>
        <w:t>5</w:t>
      </w:r>
      <w:r w:rsidR="00063388">
        <w:rPr>
          <w:rFonts w:ascii="Arial" w:eastAsia="Times New Roman" w:hAnsi="Arial" w:cs="Arial"/>
          <w:color w:val="0E101A"/>
          <w:sz w:val="24"/>
          <w:szCs w:val="24"/>
        </w:rPr>
        <w:t>005</w:t>
      </w:r>
      <w:r w:rsidR="00DC6FD4">
        <w:rPr>
          <w:rFonts w:ascii="Arial" w:eastAsia="Times New Roman" w:hAnsi="Arial" w:cs="Arial"/>
          <w:color w:val="0E101A"/>
          <w:sz w:val="24"/>
          <w:szCs w:val="24"/>
        </w:rPr>
        <w:t>)</w:t>
      </w:r>
    </w:p>
    <w:p w14:paraId="46D955B2" w14:textId="3381B0B2" w:rsidR="00F46670" w:rsidRPr="00AC29A0" w:rsidRDefault="00EE02E2" w:rsidP="00C90874">
      <w:pPr>
        <w:spacing w:after="0" w:line="360" w:lineRule="auto"/>
        <w:jc w:val="center"/>
        <w:rPr>
          <w:rFonts w:ascii="Arial" w:eastAsia="Times New Roman" w:hAnsi="Arial" w:cs="Arial"/>
          <w:color w:val="0E101A"/>
          <w:sz w:val="24"/>
          <w:szCs w:val="24"/>
        </w:rPr>
      </w:pPr>
      <w:r>
        <w:rPr>
          <w:rFonts w:ascii="Arial" w:eastAsia="Times New Roman" w:hAnsi="Arial" w:cs="Arial"/>
          <w:color w:val="0E101A"/>
          <w:sz w:val="24"/>
          <w:szCs w:val="24"/>
        </w:rPr>
        <w:t xml:space="preserve">Tutor's </w:t>
      </w:r>
      <w:r w:rsidR="00F46670" w:rsidRPr="00AC29A0">
        <w:rPr>
          <w:rFonts w:ascii="Arial" w:eastAsia="Times New Roman" w:hAnsi="Arial" w:cs="Arial"/>
          <w:color w:val="0E101A"/>
          <w:sz w:val="24"/>
          <w:szCs w:val="24"/>
        </w:rPr>
        <w:t>Name</w:t>
      </w:r>
      <w:r w:rsidR="00A742BA">
        <w:rPr>
          <w:rFonts w:ascii="Arial" w:eastAsia="Times New Roman" w:hAnsi="Arial" w:cs="Arial"/>
          <w:color w:val="0E101A"/>
          <w:sz w:val="24"/>
          <w:szCs w:val="24"/>
        </w:rPr>
        <w:t xml:space="preserve">: Kathryn </w:t>
      </w:r>
      <w:r w:rsidR="00F36828">
        <w:rPr>
          <w:rFonts w:ascii="Arial" w:eastAsia="Times New Roman" w:hAnsi="Arial" w:cs="Arial"/>
          <w:color w:val="0E101A"/>
          <w:sz w:val="24"/>
          <w:szCs w:val="24"/>
        </w:rPr>
        <w:t xml:space="preserve">Roberts </w:t>
      </w:r>
    </w:p>
    <w:p w14:paraId="1AB9639C" w14:textId="2857DED5" w:rsidR="00F46670" w:rsidRPr="00AC29A0" w:rsidRDefault="00F46670" w:rsidP="00C90874">
      <w:pPr>
        <w:spacing w:after="0" w:line="360" w:lineRule="auto"/>
        <w:jc w:val="center"/>
        <w:rPr>
          <w:rFonts w:ascii="Arial" w:eastAsia="Times New Roman" w:hAnsi="Arial" w:cs="Arial"/>
          <w:color w:val="0E101A"/>
          <w:sz w:val="24"/>
          <w:szCs w:val="24"/>
        </w:rPr>
      </w:pPr>
    </w:p>
    <w:p w14:paraId="552F1842" w14:textId="46778DBE"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color w:val="0E101A"/>
          <w:sz w:val="24"/>
          <w:szCs w:val="24"/>
        </w:rPr>
        <w:t>Date</w:t>
      </w:r>
      <w:r w:rsidR="00F36828">
        <w:rPr>
          <w:rFonts w:ascii="Arial" w:eastAsia="Times New Roman" w:hAnsi="Arial" w:cs="Arial"/>
          <w:color w:val="0E101A"/>
          <w:sz w:val="24"/>
          <w:szCs w:val="24"/>
        </w:rPr>
        <w:t>: 24/10/2022</w:t>
      </w:r>
    </w:p>
    <w:p w14:paraId="0AC28BD9" w14:textId="77777777" w:rsidR="00F46670" w:rsidRPr="00AC29A0" w:rsidRDefault="00F46670" w:rsidP="00C90874">
      <w:pPr>
        <w:spacing w:after="0" w:line="360" w:lineRule="auto"/>
        <w:jc w:val="center"/>
        <w:rPr>
          <w:rFonts w:ascii="Arial" w:eastAsia="Times New Roman" w:hAnsi="Arial" w:cs="Arial"/>
          <w:color w:val="0E101A"/>
          <w:sz w:val="24"/>
          <w:szCs w:val="24"/>
        </w:rPr>
      </w:pPr>
    </w:p>
    <w:p w14:paraId="647BBE93"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7A4AF6D3" w14:textId="77777777" w:rsidR="00F46670" w:rsidRPr="00AC29A0" w:rsidRDefault="00F46670" w:rsidP="00C90874">
      <w:pPr>
        <w:spacing w:after="0" w:line="360" w:lineRule="auto"/>
        <w:jc w:val="both"/>
        <w:rPr>
          <w:rFonts w:ascii="Arial" w:eastAsia="Times New Roman" w:hAnsi="Arial" w:cs="Arial"/>
          <w:color w:val="0E101A"/>
          <w:sz w:val="24"/>
          <w:szCs w:val="24"/>
        </w:rPr>
      </w:pPr>
    </w:p>
    <w:p w14:paraId="1CD3E2AE" w14:textId="6C2C2EBD" w:rsidR="002F6569" w:rsidRPr="00AC29A0" w:rsidRDefault="002F6569" w:rsidP="00C90874">
      <w:pPr>
        <w:spacing w:line="360" w:lineRule="auto"/>
        <w:rPr>
          <w:rFonts w:ascii="Arial" w:eastAsia="Times New Roman" w:hAnsi="Arial" w:cs="Arial"/>
          <w:b/>
          <w:bCs/>
          <w:color w:val="0E101A"/>
          <w:sz w:val="24"/>
          <w:szCs w:val="24"/>
        </w:rPr>
      </w:pPr>
    </w:p>
    <w:p w14:paraId="20F92A3E" w14:textId="77777777" w:rsidR="00DA18BD" w:rsidRPr="00AC29A0" w:rsidRDefault="00DA18BD" w:rsidP="00C90874">
      <w:pPr>
        <w:spacing w:line="360" w:lineRule="auto"/>
        <w:rPr>
          <w:rFonts w:ascii="Arial" w:eastAsia="Times New Roman" w:hAnsi="Arial" w:cs="Arial"/>
          <w:b/>
          <w:bCs/>
          <w:color w:val="0E101A"/>
          <w:sz w:val="24"/>
          <w:szCs w:val="24"/>
        </w:rPr>
      </w:pPr>
      <w:r w:rsidRPr="00AC29A0">
        <w:rPr>
          <w:rFonts w:ascii="Arial" w:eastAsia="Times New Roman" w:hAnsi="Arial" w:cs="Arial"/>
          <w:b/>
          <w:bCs/>
          <w:color w:val="0E101A"/>
          <w:sz w:val="24"/>
          <w:szCs w:val="24"/>
        </w:rPr>
        <w:br w:type="page"/>
      </w:r>
    </w:p>
    <w:p w14:paraId="4302B7B1" w14:textId="63DCFD1F"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b/>
          <w:bCs/>
          <w:color w:val="0E101A"/>
          <w:sz w:val="24"/>
          <w:szCs w:val="24"/>
        </w:rPr>
        <w:t>Employee Engagement and The Impact It Has Within Organi</w:t>
      </w:r>
      <w:r w:rsidR="00AC29A0" w:rsidRPr="00AC29A0">
        <w:rPr>
          <w:rFonts w:ascii="Arial" w:eastAsia="Times New Roman" w:hAnsi="Arial" w:cs="Arial"/>
          <w:b/>
          <w:bCs/>
          <w:color w:val="0E101A"/>
          <w:sz w:val="24"/>
          <w:szCs w:val="24"/>
        </w:rPr>
        <w:t>sation</w:t>
      </w:r>
      <w:r w:rsidRPr="00AC29A0">
        <w:rPr>
          <w:rFonts w:ascii="Arial" w:eastAsia="Times New Roman" w:hAnsi="Arial" w:cs="Arial"/>
          <w:b/>
          <w:bCs/>
          <w:color w:val="0E101A"/>
          <w:sz w:val="24"/>
          <w:szCs w:val="24"/>
        </w:rPr>
        <w:t>s</w:t>
      </w:r>
    </w:p>
    <w:p w14:paraId="5A4DC7BB" w14:textId="386B02BF" w:rsidR="00F46670" w:rsidRPr="00AC29A0" w:rsidRDefault="00F46670"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Mandarin Oriental Hyde Park, London, is a luxury hotel that opened in 1908. The hotel is located in the Knightsbridge </w:t>
      </w:r>
      <w:r w:rsidR="007B77AB" w:rsidRPr="00AC29A0">
        <w:rPr>
          <w:rFonts w:ascii="Arial" w:eastAsia="Times New Roman" w:hAnsi="Arial" w:cs="Arial"/>
          <w:color w:val="0E101A"/>
          <w:sz w:val="24"/>
          <w:szCs w:val="24"/>
        </w:rPr>
        <w:t>neighbourhood</w:t>
      </w:r>
      <w:r w:rsidRPr="00AC29A0">
        <w:rPr>
          <w:rFonts w:ascii="Arial" w:eastAsia="Times New Roman" w:hAnsi="Arial" w:cs="Arial"/>
          <w:color w:val="0E101A"/>
          <w:sz w:val="24"/>
          <w:szCs w:val="24"/>
        </w:rPr>
        <w:t xml:space="preserve"> of London, near Hyde Park. </w:t>
      </w:r>
      <w:r w:rsidR="002F6569" w:rsidRPr="00AC29A0">
        <w:rPr>
          <w:rFonts w:ascii="Arial" w:eastAsia="Times New Roman" w:hAnsi="Arial" w:cs="Arial"/>
          <w:color w:val="0E101A"/>
          <w:sz w:val="24"/>
          <w:szCs w:val="24"/>
        </w:rPr>
        <w:t>It</w:t>
      </w:r>
      <w:r w:rsidRPr="00AC29A0">
        <w:rPr>
          <w:rFonts w:ascii="Arial" w:eastAsia="Times New Roman" w:hAnsi="Arial" w:cs="Arial"/>
          <w:color w:val="0E101A"/>
          <w:sz w:val="24"/>
          <w:szCs w:val="24"/>
        </w:rPr>
        <w:t xml:space="preserve"> has been owned by several companies over the years and is currently</w:t>
      </w:r>
      <w:r w:rsidR="002F6569" w:rsidRPr="00AC29A0">
        <w:rPr>
          <w:rFonts w:ascii="Arial" w:eastAsia="Times New Roman" w:hAnsi="Arial" w:cs="Arial"/>
          <w:color w:val="0E101A"/>
          <w:sz w:val="24"/>
          <w:szCs w:val="24"/>
        </w:rPr>
        <w:t xml:space="preserve"> under</w:t>
      </w:r>
      <w:r w:rsidRPr="00AC29A0">
        <w:rPr>
          <w:rFonts w:ascii="Arial" w:eastAsia="Times New Roman" w:hAnsi="Arial" w:cs="Arial"/>
          <w:color w:val="0E101A"/>
          <w:sz w:val="24"/>
          <w:szCs w:val="24"/>
        </w:rPr>
        <w:t xml:space="preserve"> Mandarin Oriental Hotel Group (Mandarin Oriental International Limited,2020, pp 1-229). The hotel has 168 guest rooms and 26 spacious suites, three restaurants, a bar, a spa, and a fitness </w:t>
      </w:r>
      <w:r w:rsidR="007B77AB" w:rsidRPr="00AC29A0">
        <w:rPr>
          <w:rFonts w:ascii="Arial" w:eastAsia="Times New Roman" w:hAnsi="Arial" w:cs="Arial"/>
          <w:color w:val="0E101A"/>
          <w:sz w:val="24"/>
          <w:szCs w:val="24"/>
        </w:rPr>
        <w:t>centre</w:t>
      </w:r>
      <w:r w:rsidRPr="00AC29A0">
        <w:rPr>
          <w:rFonts w:ascii="Arial" w:eastAsia="Times New Roman" w:hAnsi="Arial" w:cs="Arial"/>
          <w:color w:val="0E101A"/>
          <w:sz w:val="24"/>
          <w:szCs w:val="24"/>
        </w:rPr>
        <w:t xml:space="preserve">. In 1996 </w:t>
      </w:r>
      <w:r w:rsidR="002F6569" w:rsidRPr="00AC29A0">
        <w:rPr>
          <w:rFonts w:ascii="Arial" w:eastAsia="Times New Roman" w:hAnsi="Arial" w:cs="Arial"/>
          <w:color w:val="0E101A"/>
          <w:sz w:val="24"/>
          <w:szCs w:val="24"/>
        </w:rPr>
        <w:t>the</w:t>
      </w:r>
      <w:r w:rsidRPr="00AC29A0">
        <w:rPr>
          <w:rFonts w:ascii="Arial" w:eastAsia="Times New Roman" w:hAnsi="Arial" w:cs="Arial"/>
          <w:color w:val="0E101A"/>
          <w:sz w:val="24"/>
          <w:szCs w:val="24"/>
        </w:rPr>
        <w:t xml:space="preserve"> group bought the property and undertook a complete renovation which cost 57 million euros, ultimately opening its door in 2000</w:t>
      </w:r>
      <w:r w:rsidR="007B77AB"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 xml:space="preserve">(Mandarin Oriental International Limited,2020, pp 1-229). </w:t>
      </w:r>
      <w:r w:rsidR="002F6569" w:rsidRPr="00AC29A0">
        <w:rPr>
          <w:rFonts w:ascii="Arial" w:eastAsia="Times New Roman" w:hAnsi="Arial" w:cs="Arial"/>
          <w:color w:val="0E101A"/>
          <w:sz w:val="24"/>
          <w:szCs w:val="24"/>
        </w:rPr>
        <w:t xml:space="preserve">Mandarin Oriental </w:t>
      </w:r>
      <w:r w:rsidRPr="00AC29A0">
        <w:rPr>
          <w:rFonts w:ascii="Arial" w:eastAsia="Times New Roman" w:hAnsi="Arial" w:cs="Arial"/>
          <w:color w:val="0E101A"/>
          <w:sz w:val="24"/>
          <w:szCs w:val="24"/>
        </w:rPr>
        <w:t xml:space="preserve">has been visited by many notable guests over the years, including royalty, politicians, and celebrities. </w:t>
      </w:r>
      <w:r w:rsidR="002F6569" w:rsidRPr="00AC29A0">
        <w:rPr>
          <w:rFonts w:ascii="Arial" w:eastAsia="Times New Roman" w:hAnsi="Arial" w:cs="Arial"/>
          <w:color w:val="0E101A"/>
          <w:sz w:val="24"/>
          <w:szCs w:val="24"/>
        </w:rPr>
        <w:t xml:space="preserve">The hotel experienced a fire tragedy </w:t>
      </w:r>
      <w:r w:rsidRPr="00AC29A0">
        <w:rPr>
          <w:rFonts w:ascii="Arial" w:eastAsia="Times New Roman" w:hAnsi="Arial" w:cs="Arial"/>
          <w:color w:val="0E101A"/>
          <w:sz w:val="24"/>
          <w:szCs w:val="24"/>
        </w:rPr>
        <w:t>in June 2018</w:t>
      </w:r>
      <w:r w:rsidR="002F6569" w:rsidRPr="00AC29A0">
        <w:rPr>
          <w:rFonts w:ascii="Arial" w:eastAsia="Times New Roman" w:hAnsi="Arial" w:cs="Arial"/>
          <w:color w:val="0E101A"/>
          <w:sz w:val="24"/>
          <w:szCs w:val="24"/>
        </w:rPr>
        <w:t xml:space="preserve"> which left it </w:t>
      </w:r>
      <w:r w:rsidRPr="00AC29A0">
        <w:rPr>
          <w:rFonts w:ascii="Arial" w:eastAsia="Times New Roman" w:hAnsi="Arial" w:cs="Arial"/>
          <w:color w:val="0E101A"/>
          <w:sz w:val="24"/>
          <w:szCs w:val="24"/>
        </w:rPr>
        <w:t>destroyed and closed temporarily for six months</w:t>
      </w:r>
      <w:r w:rsidR="002F6569" w:rsidRPr="00AC29A0">
        <w:rPr>
          <w:rFonts w:ascii="Arial" w:eastAsia="Times New Roman" w:hAnsi="Arial" w:cs="Arial"/>
          <w:color w:val="0E101A"/>
          <w:sz w:val="24"/>
          <w:szCs w:val="24"/>
        </w:rPr>
        <w:t>. The establishment</w:t>
      </w:r>
      <w:r w:rsidRPr="00AC29A0">
        <w:rPr>
          <w:rFonts w:ascii="Arial" w:eastAsia="Times New Roman" w:hAnsi="Arial" w:cs="Arial"/>
          <w:color w:val="0E101A"/>
          <w:sz w:val="24"/>
          <w:szCs w:val="24"/>
        </w:rPr>
        <w:t xml:space="preserve"> was opened in December after renovations for Christmas celebrations.</w:t>
      </w:r>
    </w:p>
    <w:p w14:paraId="7C552510" w14:textId="1C8FDF9B" w:rsidR="002F6569" w:rsidRPr="00AC29A0" w:rsidRDefault="002F6569" w:rsidP="00C90874">
      <w:pPr>
        <w:spacing w:after="0" w:line="360" w:lineRule="auto"/>
        <w:jc w:val="both"/>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 xml:space="preserve">Aims </w:t>
      </w:r>
    </w:p>
    <w:p w14:paraId="5A5E0E75" w14:textId="4AD1A042" w:rsidR="00F46670" w:rsidRPr="00AC29A0" w:rsidRDefault="00F46670" w:rsidP="00C90874">
      <w:pPr>
        <w:spacing w:after="0" w:line="360" w:lineRule="auto"/>
        <w:jc w:val="both"/>
        <w:rPr>
          <w:rFonts w:ascii="Arial" w:eastAsia="Times New Roman" w:hAnsi="Arial" w:cs="Arial"/>
          <w:color w:val="0E101A"/>
          <w:sz w:val="24"/>
          <w:szCs w:val="24"/>
        </w:rPr>
      </w:pPr>
      <w:r w:rsidRPr="00AC29A0">
        <w:rPr>
          <w:rFonts w:ascii="Arial" w:eastAsia="Times New Roman" w:hAnsi="Arial" w:cs="Arial"/>
          <w:color w:val="0E101A"/>
          <w:sz w:val="24"/>
          <w:szCs w:val="24"/>
        </w:rPr>
        <w:t>         This research proposal aims to identify and investigate the present levels of employee engagement</w:t>
      </w:r>
      <w:r w:rsidR="002F6569" w:rsidRPr="00AC29A0">
        <w:rPr>
          <w:rFonts w:ascii="Arial" w:eastAsia="Times New Roman" w:hAnsi="Arial" w:cs="Arial"/>
          <w:color w:val="0E101A"/>
          <w:sz w:val="24"/>
          <w:szCs w:val="24"/>
        </w:rPr>
        <w:t xml:space="preserve"> and</w:t>
      </w:r>
      <w:r w:rsidRPr="00AC29A0">
        <w:rPr>
          <w:rFonts w:ascii="Arial" w:eastAsia="Times New Roman" w:hAnsi="Arial" w:cs="Arial"/>
          <w:color w:val="0E101A"/>
          <w:sz w:val="24"/>
          <w:szCs w:val="24"/>
        </w:rPr>
        <w:t xml:space="preserve"> the variations in the engagement levels ranging from the groupings of the employees</w:t>
      </w:r>
      <w:r w:rsidR="002F6569" w:rsidRPr="00AC29A0">
        <w:rPr>
          <w:rFonts w:ascii="Arial" w:eastAsia="Times New Roman" w:hAnsi="Arial" w:cs="Arial"/>
          <w:color w:val="0E101A"/>
          <w:sz w:val="24"/>
          <w:szCs w:val="24"/>
        </w:rPr>
        <w:t xml:space="preserve"> in the hotel sector with main focus on Mandarin Oriental Hyde Park</w:t>
      </w:r>
      <w:r w:rsidRPr="00AC29A0">
        <w:rPr>
          <w:rFonts w:ascii="Arial" w:eastAsia="Times New Roman" w:hAnsi="Arial" w:cs="Arial"/>
          <w:color w:val="0E101A"/>
          <w:sz w:val="24"/>
          <w:szCs w:val="24"/>
        </w:rPr>
        <w:t xml:space="preserve">. </w:t>
      </w:r>
      <w:r w:rsidR="002F6569" w:rsidRPr="00AC29A0">
        <w:rPr>
          <w:rFonts w:ascii="Arial" w:eastAsia="Times New Roman" w:hAnsi="Arial" w:cs="Arial"/>
          <w:color w:val="0E101A"/>
          <w:sz w:val="24"/>
          <w:szCs w:val="24"/>
        </w:rPr>
        <w:t>In addition, different measures</w:t>
      </w:r>
      <w:r w:rsidRPr="00AC29A0">
        <w:rPr>
          <w:rFonts w:ascii="Arial" w:eastAsia="Times New Roman" w:hAnsi="Arial" w:cs="Arial"/>
          <w:color w:val="0E101A"/>
          <w:sz w:val="24"/>
          <w:szCs w:val="24"/>
        </w:rPr>
        <w:t xml:space="preserve"> of </w:t>
      </w:r>
      <w:r w:rsidR="002F6569" w:rsidRPr="00AC29A0">
        <w:rPr>
          <w:rFonts w:ascii="Arial" w:eastAsia="Times New Roman" w:hAnsi="Arial" w:cs="Arial"/>
          <w:color w:val="0E101A"/>
          <w:sz w:val="24"/>
          <w:szCs w:val="24"/>
        </w:rPr>
        <w:t>improvements and strategies</w:t>
      </w:r>
      <w:r w:rsidRPr="00AC29A0">
        <w:rPr>
          <w:rFonts w:ascii="Arial" w:eastAsia="Times New Roman" w:hAnsi="Arial" w:cs="Arial"/>
          <w:color w:val="0E101A"/>
          <w:sz w:val="24"/>
          <w:szCs w:val="24"/>
        </w:rPr>
        <w:t xml:space="preserve"> that will significantly raise the levels of workers' engagement in the hotel and retain talented employees</w:t>
      </w:r>
      <w:r w:rsidR="002F6569" w:rsidRPr="00AC29A0">
        <w:rPr>
          <w:rFonts w:ascii="Arial" w:eastAsia="Times New Roman" w:hAnsi="Arial" w:cs="Arial"/>
          <w:color w:val="0E101A"/>
          <w:sz w:val="24"/>
          <w:szCs w:val="24"/>
        </w:rPr>
        <w:t xml:space="preserve"> will be proposed</w:t>
      </w:r>
      <w:r w:rsidRPr="00AC29A0">
        <w:rPr>
          <w:rFonts w:ascii="Arial" w:eastAsia="Times New Roman" w:hAnsi="Arial" w:cs="Arial"/>
          <w:color w:val="0E101A"/>
          <w:sz w:val="24"/>
          <w:szCs w:val="24"/>
        </w:rPr>
        <w:t>.</w:t>
      </w:r>
      <w:r w:rsidR="00DA18BD" w:rsidRPr="00AC29A0">
        <w:rPr>
          <w:rFonts w:ascii="Arial" w:eastAsia="Times New Roman" w:hAnsi="Arial" w:cs="Arial"/>
          <w:color w:val="0E101A"/>
          <w:sz w:val="24"/>
          <w:szCs w:val="24"/>
        </w:rPr>
        <w:t xml:space="preserve"> </w:t>
      </w:r>
      <w:r w:rsidR="002F6569" w:rsidRPr="00AC29A0">
        <w:rPr>
          <w:rFonts w:ascii="Arial" w:eastAsia="Times New Roman" w:hAnsi="Arial" w:cs="Arial"/>
          <w:color w:val="0E101A"/>
          <w:sz w:val="24"/>
          <w:szCs w:val="24"/>
        </w:rPr>
        <w:t xml:space="preserve">The proposal will also investigate some of the </w:t>
      </w:r>
      <w:r w:rsidRPr="00AC29A0">
        <w:rPr>
          <w:rFonts w:ascii="Arial" w:eastAsia="Times New Roman" w:hAnsi="Arial" w:cs="Arial"/>
          <w:color w:val="0E101A"/>
          <w:sz w:val="24"/>
          <w:szCs w:val="24"/>
        </w:rPr>
        <w:t>factors</w:t>
      </w:r>
      <w:r w:rsidR="002F6569" w:rsidRPr="00AC29A0">
        <w:rPr>
          <w:rFonts w:ascii="Arial" w:eastAsia="Times New Roman" w:hAnsi="Arial" w:cs="Arial"/>
          <w:color w:val="0E101A"/>
          <w:sz w:val="24"/>
          <w:szCs w:val="24"/>
        </w:rPr>
        <w:t xml:space="preserve"> that</w:t>
      </w:r>
      <w:r w:rsidRPr="00AC29A0">
        <w:rPr>
          <w:rFonts w:ascii="Arial" w:eastAsia="Times New Roman" w:hAnsi="Arial" w:cs="Arial"/>
          <w:color w:val="0E101A"/>
          <w:sz w:val="24"/>
          <w:szCs w:val="24"/>
        </w:rPr>
        <w:t xml:space="preserve"> could impact employee engagement in Mandarin Oriental. </w:t>
      </w:r>
      <w:r w:rsidR="002F6569" w:rsidRPr="00AC29A0">
        <w:rPr>
          <w:rFonts w:ascii="Arial" w:eastAsia="Times New Roman" w:hAnsi="Arial" w:cs="Arial"/>
          <w:color w:val="0E101A"/>
          <w:sz w:val="24"/>
          <w:szCs w:val="24"/>
        </w:rPr>
        <w:t xml:space="preserve">Some of the factors to be investigated are </w:t>
      </w:r>
      <w:r w:rsidRPr="00AC29A0">
        <w:rPr>
          <w:rFonts w:ascii="Arial" w:eastAsia="Times New Roman" w:hAnsi="Arial" w:cs="Arial"/>
          <w:color w:val="0E101A"/>
          <w:sz w:val="24"/>
          <w:szCs w:val="24"/>
        </w:rPr>
        <w:t xml:space="preserve">management's level of support and </w:t>
      </w:r>
      <w:r w:rsidR="002F6569" w:rsidRPr="00AC29A0">
        <w:rPr>
          <w:rFonts w:ascii="Arial" w:eastAsia="Times New Roman" w:hAnsi="Arial" w:cs="Arial"/>
          <w:color w:val="0E101A"/>
          <w:sz w:val="24"/>
          <w:szCs w:val="24"/>
        </w:rPr>
        <w:t xml:space="preserve">employee </w:t>
      </w:r>
      <w:r w:rsidR="000910E4" w:rsidRPr="00AC29A0">
        <w:rPr>
          <w:rFonts w:ascii="Arial" w:eastAsia="Times New Roman" w:hAnsi="Arial" w:cs="Arial"/>
          <w:color w:val="0E101A"/>
          <w:sz w:val="24"/>
          <w:szCs w:val="24"/>
        </w:rPr>
        <w:t>training</w:t>
      </w:r>
      <w:r w:rsidR="002F6569" w:rsidRPr="00AC29A0">
        <w:rPr>
          <w:rFonts w:ascii="Arial" w:eastAsia="Times New Roman" w:hAnsi="Arial" w:cs="Arial"/>
          <w:color w:val="0E101A"/>
          <w:sz w:val="24"/>
          <w:szCs w:val="24"/>
        </w:rPr>
        <w:t>,</w:t>
      </w:r>
      <w:r w:rsidRPr="00AC29A0">
        <w:rPr>
          <w:rFonts w:ascii="Arial" w:eastAsia="Times New Roman" w:hAnsi="Arial" w:cs="Arial"/>
          <w:color w:val="0E101A"/>
          <w:sz w:val="24"/>
          <w:szCs w:val="24"/>
        </w:rPr>
        <w:t xml:space="preserve"> the company's culture, and the workload and hours of </w:t>
      </w:r>
      <w:r w:rsidR="00C63609" w:rsidRPr="00AC29A0">
        <w:rPr>
          <w:rFonts w:ascii="Arial" w:eastAsia="Times New Roman" w:hAnsi="Arial" w:cs="Arial"/>
          <w:color w:val="0E101A"/>
          <w:sz w:val="24"/>
          <w:szCs w:val="24"/>
        </w:rPr>
        <w:t>work.</w:t>
      </w:r>
    </w:p>
    <w:p w14:paraId="27DFB715" w14:textId="77777777" w:rsidR="00A1375B" w:rsidRPr="00AC29A0" w:rsidRDefault="00F46670" w:rsidP="00C90874">
      <w:pPr>
        <w:spacing w:after="0" w:line="360" w:lineRule="auto"/>
        <w:jc w:val="both"/>
        <w:rPr>
          <w:rFonts w:ascii="Arial" w:eastAsia="Times New Roman" w:hAnsi="Arial" w:cs="Arial"/>
          <w:color w:val="0E101A"/>
          <w:sz w:val="24"/>
          <w:szCs w:val="24"/>
        </w:rPr>
      </w:pPr>
      <w:r w:rsidRPr="00AC29A0">
        <w:rPr>
          <w:rFonts w:ascii="Arial" w:eastAsia="Times New Roman" w:hAnsi="Arial" w:cs="Arial"/>
          <w:color w:val="0E101A"/>
          <w:sz w:val="24"/>
          <w:szCs w:val="24"/>
        </w:rPr>
        <w:t>         The research proposal will measure engagement in Mandarin Oriental Hyde Park, London</w:t>
      </w:r>
      <w:r w:rsidR="002F6569" w:rsidRPr="00AC29A0">
        <w:rPr>
          <w:rFonts w:ascii="Arial" w:eastAsia="Times New Roman" w:hAnsi="Arial" w:cs="Arial"/>
          <w:color w:val="0E101A"/>
          <w:sz w:val="24"/>
          <w:szCs w:val="24"/>
        </w:rPr>
        <w:t xml:space="preserve"> using</w:t>
      </w:r>
      <w:r w:rsidRPr="00AC29A0">
        <w:rPr>
          <w:rFonts w:ascii="Arial" w:eastAsia="Times New Roman" w:hAnsi="Arial" w:cs="Arial"/>
          <w:color w:val="0E101A"/>
          <w:sz w:val="24"/>
          <w:szCs w:val="24"/>
        </w:rPr>
        <w:t xml:space="preserve"> questionnaires </w:t>
      </w:r>
      <w:r w:rsidR="002F6569" w:rsidRPr="00AC29A0">
        <w:rPr>
          <w:rFonts w:ascii="Arial" w:eastAsia="Times New Roman" w:hAnsi="Arial" w:cs="Arial"/>
          <w:color w:val="0E101A"/>
          <w:sz w:val="24"/>
          <w:szCs w:val="24"/>
        </w:rPr>
        <w:t>containing a</w:t>
      </w:r>
      <w:r w:rsidRPr="00AC29A0">
        <w:rPr>
          <w:rFonts w:ascii="Arial" w:eastAsia="Times New Roman" w:hAnsi="Arial" w:cs="Arial"/>
          <w:color w:val="0E101A"/>
          <w:sz w:val="24"/>
          <w:szCs w:val="24"/>
        </w:rPr>
        <w:t xml:space="preserve"> range of questions </w:t>
      </w:r>
      <w:r w:rsidR="002F6569" w:rsidRPr="00AC29A0">
        <w:rPr>
          <w:rFonts w:ascii="Arial" w:eastAsia="Times New Roman" w:hAnsi="Arial" w:cs="Arial"/>
          <w:color w:val="0E101A"/>
          <w:sz w:val="24"/>
          <w:szCs w:val="24"/>
        </w:rPr>
        <w:t xml:space="preserve">that focus </w:t>
      </w:r>
      <w:r w:rsidRPr="00AC29A0">
        <w:rPr>
          <w:rFonts w:ascii="Arial" w:eastAsia="Times New Roman" w:hAnsi="Arial" w:cs="Arial"/>
          <w:color w:val="0E101A"/>
          <w:sz w:val="24"/>
          <w:szCs w:val="24"/>
        </w:rPr>
        <w:t xml:space="preserve">on the employees' feelings and emotions about work, how they are motivated, and how invested they are in </w:t>
      </w:r>
      <w:r w:rsidR="002F6569" w:rsidRPr="00AC29A0">
        <w:rPr>
          <w:rFonts w:ascii="Arial" w:eastAsia="Times New Roman" w:hAnsi="Arial" w:cs="Arial"/>
          <w:color w:val="0E101A"/>
          <w:sz w:val="24"/>
          <w:szCs w:val="24"/>
        </w:rPr>
        <w:t xml:space="preserve">achieving </w:t>
      </w:r>
      <w:r w:rsidRPr="00AC29A0">
        <w:rPr>
          <w:rFonts w:ascii="Arial" w:eastAsia="Times New Roman" w:hAnsi="Arial" w:cs="Arial"/>
          <w:color w:val="0E101A"/>
          <w:sz w:val="24"/>
          <w:szCs w:val="24"/>
        </w:rPr>
        <w:t xml:space="preserve">the hotel's success. The questions will also focus on the feeling of the employees about the hotel's culture, their co-workers, and their job satisfaction. Similarly, as stated in the General Data Protection Regulation (GDPR), data confidentiality safety protocols will be adhered to, reassuring the staff employees' anonymity (Philips, 2018. pp 575-582). </w:t>
      </w:r>
      <w:r w:rsidR="002F6569" w:rsidRPr="00AC29A0">
        <w:rPr>
          <w:rFonts w:ascii="Arial" w:eastAsia="Times New Roman" w:hAnsi="Arial" w:cs="Arial"/>
          <w:color w:val="0E101A"/>
          <w:sz w:val="24"/>
          <w:szCs w:val="24"/>
        </w:rPr>
        <w:t>O</w:t>
      </w:r>
      <w:r w:rsidRPr="00AC29A0">
        <w:rPr>
          <w:rFonts w:ascii="Arial" w:eastAsia="Times New Roman" w:hAnsi="Arial" w:cs="Arial"/>
          <w:color w:val="0E101A"/>
          <w:sz w:val="24"/>
          <w:szCs w:val="24"/>
        </w:rPr>
        <w:t>ne advantage of using questionnaires in measuring employee engagement is that</w:t>
      </w:r>
      <w:r w:rsidR="002F6569" w:rsidRPr="00AC29A0">
        <w:rPr>
          <w:rFonts w:ascii="Arial" w:eastAsia="Times New Roman" w:hAnsi="Arial" w:cs="Arial"/>
          <w:color w:val="0E101A"/>
          <w:sz w:val="24"/>
          <w:szCs w:val="24"/>
        </w:rPr>
        <w:t xml:space="preserve"> they</w:t>
      </w:r>
      <w:r w:rsidRPr="00AC29A0">
        <w:rPr>
          <w:rFonts w:ascii="Arial" w:eastAsia="Times New Roman" w:hAnsi="Arial" w:cs="Arial"/>
          <w:color w:val="0E101A"/>
          <w:sz w:val="24"/>
          <w:szCs w:val="24"/>
        </w:rPr>
        <w:t xml:space="preserve"> are relatively easy to administer and often</w:t>
      </w:r>
      <w:r w:rsidR="002F6569" w:rsidRPr="00AC29A0">
        <w:rPr>
          <w:rFonts w:ascii="Arial" w:eastAsia="Times New Roman" w:hAnsi="Arial" w:cs="Arial"/>
          <w:color w:val="0E101A"/>
          <w:sz w:val="24"/>
          <w:szCs w:val="24"/>
        </w:rPr>
        <w:t xml:space="preserve"> act as a rich source </w:t>
      </w:r>
      <w:r w:rsidRPr="00AC29A0">
        <w:rPr>
          <w:rFonts w:ascii="Arial" w:eastAsia="Times New Roman" w:hAnsi="Arial" w:cs="Arial"/>
          <w:color w:val="0E101A"/>
          <w:sz w:val="24"/>
          <w:szCs w:val="24"/>
        </w:rPr>
        <w:t xml:space="preserve">information. On the contrary, the primary disadvantage of using questionnaires is that </w:t>
      </w:r>
      <w:r w:rsidR="00A1375B" w:rsidRPr="00AC29A0">
        <w:rPr>
          <w:rFonts w:ascii="Arial" w:eastAsia="Times New Roman" w:hAnsi="Arial" w:cs="Arial"/>
          <w:color w:val="0E101A"/>
          <w:sz w:val="24"/>
          <w:szCs w:val="24"/>
        </w:rPr>
        <w:t>they are</w:t>
      </w:r>
      <w:r w:rsidRPr="00AC29A0">
        <w:rPr>
          <w:rFonts w:ascii="Arial" w:eastAsia="Times New Roman" w:hAnsi="Arial" w:cs="Arial"/>
          <w:color w:val="0E101A"/>
          <w:sz w:val="24"/>
          <w:szCs w:val="24"/>
        </w:rPr>
        <w:t xml:space="preserve"> time-consuming and may be subject to respondent bias.</w:t>
      </w:r>
    </w:p>
    <w:p w14:paraId="1465C486" w14:textId="6099452D" w:rsidR="007B77AB" w:rsidRPr="00AC29A0" w:rsidRDefault="000910E4"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Secondary</w:t>
      </w:r>
      <w:r w:rsidR="00F46670" w:rsidRPr="00AC29A0">
        <w:rPr>
          <w:rFonts w:ascii="Arial" w:eastAsia="Times New Roman" w:hAnsi="Arial" w:cs="Arial"/>
          <w:color w:val="0E101A"/>
          <w:sz w:val="24"/>
          <w:szCs w:val="24"/>
        </w:rPr>
        <w:t xml:space="preserve"> data </w:t>
      </w:r>
      <w:r w:rsidR="00A1375B" w:rsidRPr="00AC29A0">
        <w:rPr>
          <w:rFonts w:ascii="Arial" w:eastAsia="Times New Roman" w:hAnsi="Arial" w:cs="Arial"/>
          <w:color w:val="0E101A"/>
          <w:sz w:val="24"/>
          <w:szCs w:val="24"/>
        </w:rPr>
        <w:t xml:space="preserve">sources </w:t>
      </w:r>
      <w:r w:rsidR="00F46670" w:rsidRPr="00AC29A0">
        <w:rPr>
          <w:rFonts w:ascii="Arial" w:eastAsia="Times New Roman" w:hAnsi="Arial" w:cs="Arial"/>
          <w:color w:val="0E101A"/>
          <w:sz w:val="24"/>
          <w:szCs w:val="24"/>
        </w:rPr>
        <w:t xml:space="preserve">will </w:t>
      </w:r>
      <w:r w:rsidR="00A1375B" w:rsidRPr="00AC29A0">
        <w:rPr>
          <w:rFonts w:ascii="Arial" w:eastAsia="Times New Roman" w:hAnsi="Arial" w:cs="Arial"/>
          <w:color w:val="0E101A"/>
          <w:sz w:val="24"/>
          <w:szCs w:val="24"/>
        </w:rPr>
        <w:t xml:space="preserve">also be used to </w:t>
      </w:r>
      <w:r w:rsidR="00F46670" w:rsidRPr="00AC29A0">
        <w:rPr>
          <w:rFonts w:ascii="Arial" w:eastAsia="Times New Roman" w:hAnsi="Arial" w:cs="Arial"/>
          <w:color w:val="0E101A"/>
          <w:sz w:val="24"/>
          <w:szCs w:val="24"/>
        </w:rPr>
        <w:t xml:space="preserve">provide relevant information on employee engagement. </w:t>
      </w:r>
      <w:r w:rsidR="00A1375B" w:rsidRPr="00AC29A0">
        <w:rPr>
          <w:rFonts w:ascii="Arial" w:eastAsia="Times New Roman" w:hAnsi="Arial" w:cs="Arial"/>
          <w:color w:val="0E101A"/>
          <w:sz w:val="24"/>
          <w:szCs w:val="24"/>
        </w:rPr>
        <w:t>The sources will help identify</w:t>
      </w:r>
      <w:r w:rsidR="00F46670" w:rsidRPr="00AC29A0">
        <w:rPr>
          <w:rFonts w:ascii="Arial" w:eastAsia="Times New Roman" w:hAnsi="Arial" w:cs="Arial"/>
          <w:color w:val="0E101A"/>
          <w:sz w:val="24"/>
          <w:szCs w:val="24"/>
        </w:rPr>
        <w:t xml:space="preserve"> the factors which are </w:t>
      </w:r>
      <w:r w:rsidRPr="00AC29A0">
        <w:rPr>
          <w:rFonts w:ascii="Arial" w:eastAsia="Times New Roman" w:hAnsi="Arial" w:cs="Arial"/>
          <w:color w:val="0E101A"/>
          <w:sz w:val="24"/>
          <w:szCs w:val="24"/>
        </w:rPr>
        <w:t xml:space="preserve">essential </w:t>
      </w:r>
      <w:r w:rsidR="00A1375B" w:rsidRPr="00AC29A0">
        <w:rPr>
          <w:rFonts w:ascii="Arial" w:eastAsia="Times New Roman" w:hAnsi="Arial" w:cs="Arial"/>
          <w:color w:val="0E101A"/>
          <w:sz w:val="24"/>
          <w:szCs w:val="24"/>
        </w:rPr>
        <w:t xml:space="preserve">for improving employee engagement and those that contribute to disengagement.  </w:t>
      </w:r>
      <w:r w:rsidR="00F46670" w:rsidRPr="00AC29A0">
        <w:rPr>
          <w:rFonts w:ascii="Arial" w:eastAsia="Times New Roman" w:hAnsi="Arial" w:cs="Arial"/>
          <w:color w:val="0E101A"/>
          <w:sz w:val="24"/>
          <w:szCs w:val="24"/>
        </w:rPr>
        <w:t xml:space="preserve">(Bhat </w:t>
      </w:r>
      <w:r w:rsidRPr="00AC29A0">
        <w:rPr>
          <w:rFonts w:ascii="Arial" w:eastAsia="Times New Roman" w:hAnsi="Arial" w:cs="Arial"/>
          <w:color w:val="0E101A"/>
          <w:sz w:val="24"/>
          <w:szCs w:val="24"/>
        </w:rPr>
        <w:t xml:space="preserve">and </w:t>
      </w:r>
      <w:r w:rsidR="00F46670" w:rsidRPr="00AC29A0">
        <w:rPr>
          <w:rFonts w:ascii="Arial" w:eastAsia="Times New Roman" w:hAnsi="Arial" w:cs="Arial"/>
          <w:color w:val="0E101A"/>
          <w:sz w:val="24"/>
          <w:szCs w:val="24"/>
        </w:rPr>
        <w:t xml:space="preserve">Bharel,2018, pp10-20). Additionally, secondary research </w:t>
      </w:r>
      <w:r w:rsidR="00A1375B" w:rsidRPr="00AC29A0">
        <w:rPr>
          <w:rFonts w:ascii="Arial" w:eastAsia="Times New Roman" w:hAnsi="Arial" w:cs="Arial"/>
          <w:color w:val="0E101A"/>
          <w:sz w:val="24"/>
          <w:szCs w:val="24"/>
        </w:rPr>
        <w:t xml:space="preserve">is an important source of information to help </w:t>
      </w:r>
      <w:r w:rsidR="00C63609" w:rsidRPr="00AC29A0">
        <w:rPr>
          <w:rFonts w:ascii="Arial" w:eastAsia="Times New Roman" w:hAnsi="Arial" w:cs="Arial"/>
          <w:color w:val="0E101A"/>
          <w:sz w:val="24"/>
          <w:szCs w:val="24"/>
        </w:rPr>
        <w:t>organi</w:t>
      </w:r>
      <w:r w:rsidR="00AC29A0" w:rsidRPr="00AC29A0">
        <w:rPr>
          <w:rFonts w:ascii="Arial" w:eastAsia="Times New Roman" w:hAnsi="Arial" w:cs="Arial"/>
          <w:color w:val="0E101A"/>
          <w:sz w:val="24"/>
          <w:szCs w:val="24"/>
        </w:rPr>
        <w:t>sation</w:t>
      </w:r>
      <w:r w:rsidR="00C63609" w:rsidRPr="00AC29A0">
        <w:rPr>
          <w:rFonts w:ascii="Arial" w:eastAsia="Times New Roman" w:hAnsi="Arial" w:cs="Arial"/>
          <w:color w:val="0E101A"/>
          <w:sz w:val="24"/>
          <w:szCs w:val="24"/>
        </w:rPr>
        <w:t>s</w:t>
      </w:r>
      <w:r w:rsidR="00A1375B" w:rsidRPr="00AC29A0">
        <w:rPr>
          <w:rFonts w:ascii="Arial" w:eastAsia="Times New Roman" w:hAnsi="Arial" w:cs="Arial"/>
          <w:color w:val="0E101A"/>
          <w:sz w:val="24"/>
          <w:szCs w:val="24"/>
        </w:rPr>
        <w:t xml:space="preserve"> </w:t>
      </w:r>
      <w:r w:rsidR="00F46670" w:rsidRPr="00AC29A0">
        <w:rPr>
          <w:rFonts w:ascii="Arial" w:eastAsia="Times New Roman" w:hAnsi="Arial" w:cs="Arial"/>
          <w:color w:val="0E101A"/>
          <w:sz w:val="24"/>
          <w:szCs w:val="24"/>
        </w:rPr>
        <w:t>identify best practices for employee engagement and learn from</w:t>
      </w:r>
      <w:r w:rsidR="00A1375B" w:rsidRPr="00AC29A0">
        <w:rPr>
          <w:rFonts w:ascii="Arial" w:eastAsia="Times New Roman" w:hAnsi="Arial" w:cs="Arial"/>
          <w:color w:val="0E101A"/>
          <w:sz w:val="24"/>
          <w:szCs w:val="24"/>
        </w:rPr>
        <w:t xml:space="preserve"> other institutions</w:t>
      </w:r>
      <w:r w:rsidR="00F46670" w:rsidRPr="00AC29A0">
        <w:rPr>
          <w:rFonts w:ascii="Arial" w:eastAsia="Times New Roman" w:hAnsi="Arial" w:cs="Arial"/>
          <w:color w:val="0E101A"/>
          <w:sz w:val="24"/>
          <w:szCs w:val="24"/>
        </w:rPr>
        <w:t xml:space="preserve"> that have successfully implemented engagement programs (Johnson,2018, pp 64-66).</w:t>
      </w:r>
    </w:p>
    <w:p w14:paraId="49C8E729" w14:textId="760A0C28"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b/>
          <w:bCs/>
          <w:color w:val="0E101A"/>
          <w:sz w:val="24"/>
          <w:szCs w:val="24"/>
        </w:rPr>
        <w:t>Discussion</w:t>
      </w:r>
    </w:p>
    <w:p w14:paraId="603BFE3D" w14:textId="7A815257" w:rsidR="00F46670" w:rsidRPr="00AC29A0" w:rsidRDefault="00F46670" w:rsidP="00C90874">
      <w:pPr>
        <w:spacing w:after="0" w:line="360" w:lineRule="auto"/>
        <w:jc w:val="both"/>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Definitions of Employee Engagement</w:t>
      </w:r>
    </w:p>
    <w:p w14:paraId="7895566E" w14:textId="15C80EC3" w:rsidR="00F46670" w:rsidRPr="00AC29A0" w:rsidRDefault="00F46670"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According to Sun </w:t>
      </w:r>
      <w:r w:rsidR="00A1375B" w:rsidRPr="00AC29A0">
        <w:rPr>
          <w:rFonts w:ascii="Arial" w:eastAsia="Times New Roman" w:hAnsi="Arial" w:cs="Arial"/>
          <w:color w:val="0E101A"/>
          <w:sz w:val="24"/>
          <w:szCs w:val="24"/>
        </w:rPr>
        <w:t>and</w:t>
      </w:r>
      <w:r w:rsidRPr="00AC29A0">
        <w:rPr>
          <w:rFonts w:ascii="Arial" w:eastAsia="Times New Roman" w:hAnsi="Arial" w:cs="Arial"/>
          <w:color w:val="0E101A"/>
          <w:sz w:val="24"/>
          <w:szCs w:val="24"/>
        </w:rPr>
        <w:t xml:space="preserve"> Bunchapattanasakda (2019), employee engagement has a variety of definitions. The authors suggest that </w:t>
      </w:r>
      <w:r w:rsidR="00C96FF8" w:rsidRPr="00AC29A0">
        <w:rPr>
          <w:rFonts w:ascii="Arial" w:eastAsia="Times New Roman" w:hAnsi="Arial" w:cs="Arial"/>
          <w:color w:val="0E101A"/>
          <w:sz w:val="24"/>
          <w:szCs w:val="24"/>
        </w:rPr>
        <w:t xml:space="preserve">William </w:t>
      </w:r>
      <w:r w:rsidRPr="00AC29A0">
        <w:rPr>
          <w:rFonts w:ascii="Arial" w:eastAsia="Times New Roman" w:hAnsi="Arial" w:cs="Arial"/>
          <w:color w:val="0E101A"/>
          <w:sz w:val="24"/>
          <w:szCs w:val="24"/>
        </w:rPr>
        <w:t xml:space="preserve">Kahn </w:t>
      </w:r>
      <w:r w:rsidR="00C96FF8" w:rsidRPr="00AC29A0">
        <w:rPr>
          <w:rFonts w:ascii="Arial" w:eastAsia="Times New Roman" w:hAnsi="Arial" w:cs="Arial"/>
          <w:color w:val="0E101A"/>
          <w:sz w:val="24"/>
          <w:szCs w:val="24"/>
        </w:rPr>
        <w:t xml:space="preserve">was the </w:t>
      </w:r>
      <w:r w:rsidRPr="00AC29A0">
        <w:rPr>
          <w:rFonts w:ascii="Arial" w:eastAsia="Times New Roman" w:hAnsi="Arial" w:cs="Arial"/>
          <w:color w:val="0E101A"/>
          <w:sz w:val="24"/>
          <w:szCs w:val="24"/>
        </w:rPr>
        <w:t xml:space="preserve">first </w:t>
      </w:r>
      <w:r w:rsidR="00C96FF8" w:rsidRPr="00AC29A0">
        <w:rPr>
          <w:rFonts w:ascii="Arial" w:eastAsia="Times New Roman" w:hAnsi="Arial" w:cs="Arial"/>
          <w:color w:val="0E101A"/>
          <w:sz w:val="24"/>
          <w:szCs w:val="24"/>
        </w:rPr>
        <w:t>to bring forward</w:t>
      </w:r>
      <w:r w:rsidRPr="00AC29A0">
        <w:rPr>
          <w:rFonts w:ascii="Arial" w:eastAsia="Times New Roman" w:hAnsi="Arial" w:cs="Arial"/>
          <w:color w:val="0E101A"/>
          <w:sz w:val="24"/>
          <w:szCs w:val="24"/>
        </w:rPr>
        <w:t xml:space="preserve"> ideology of employee engagement</w:t>
      </w:r>
      <w:r w:rsidR="00C96FF8" w:rsidRPr="00AC29A0">
        <w:rPr>
          <w:rFonts w:ascii="Arial" w:eastAsia="Times New Roman" w:hAnsi="Arial" w:cs="Arial"/>
          <w:color w:val="0E101A"/>
          <w:sz w:val="24"/>
          <w:szCs w:val="24"/>
        </w:rPr>
        <w:t>.</w:t>
      </w:r>
      <w:r w:rsidRPr="00AC29A0">
        <w:rPr>
          <w:rFonts w:ascii="Arial" w:eastAsia="Times New Roman" w:hAnsi="Arial" w:cs="Arial"/>
          <w:color w:val="0E101A"/>
          <w:sz w:val="24"/>
          <w:szCs w:val="24"/>
        </w:rPr>
        <w:t xml:space="preserve"> (Sun </w:t>
      </w:r>
      <w:r w:rsidR="001B58C6" w:rsidRPr="00AC29A0">
        <w:rPr>
          <w:rFonts w:ascii="Arial" w:eastAsia="Times New Roman" w:hAnsi="Arial" w:cs="Arial"/>
          <w:color w:val="0E101A"/>
          <w:sz w:val="24"/>
          <w:szCs w:val="24"/>
        </w:rPr>
        <w:t xml:space="preserve">and </w:t>
      </w:r>
      <w:r w:rsidRPr="00AC29A0">
        <w:rPr>
          <w:rFonts w:ascii="Arial" w:eastAsia="Times New Roman" w:hAnsi="Arial" w:cs="Arial"/>
          <w:color w:val="0E101A"/>
          <w:sz w:val="24"/>
          <w:szCs w:val="24"/>
        </w:rPr>
        <w:t xml:space="preserve">Bunchapattanasakda, 2019, pp 63-80). Since Kahn brought this ideology forward, numerous researchers have also come up with varying ways of defining the concept of employee engagement. These varying views from different scholars have brought confusion for business management on whether the attempt to enhance employee engagement is viable </w:t>
      </w:r>
      <w:r w:rsidR="001B58C6" w:rsidRPr="00AC29A0">
        <w:rPr>
          <w:rFonts w:ascii="Arial" w:eastAsia="Times New Roman" w:hAnsi="Arial" w:cs="Arial"/>
          <w:color w:val="0E101A"/>
          <w:sz w:val="24"/>
          <w:szCs w:val="24"/>
        </w:rPr>
        <w:t>for</w:t>
      </w:r>
      <w:r w:rsidRPr="00AC29A0">
        <w:rPr>
          <w:rFonts w:ascii="Arial" w:eastAsia="Times New Roman" w:hAnsi="Arial" w:cs="Arial"/>
          <w:color w:val="0E101A"/>
          <w:sz w:val="24"/>
          <w:szCs w:val="24"/>
        </w:rPr>
        <w:t xml:space="preserve"> all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s (Rameshkumar,2020, pp105-112). Thus, employee engagement can be defined as the extent to which employees feel passionate about their jobs, are committed to the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and are motivated to contribute to its success. It is also a work environment where employees are highly motivated and involved and feel a strong sense of connection to the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 (Chakraborty</w:t>
      </w:r>
      <w:r w:rsidR="001B58C6" w:rsidRPr="00AC29A0">
        <w:rPr>
          <w:rFonts w:ascii="Arial" w:eastAsia="Times New Roman" w:hAnsi="Arial" w:cs="Arial"/>
          <w:color w:val="0E101A"/>
          <w:sz w:val="24"/>
          <w:szCs w:val="24"/>
        </w:rPr>
        <w:t xml:space="preserve"> and</w:t>
      </w:r>
      <w:r w:rsidRPr="00AC29A0">
        <w:rPr>
          <w:rFonts w:ascii="Arial" w:eastAsia="Times New Roman" w:hAnsi="Arial" w:cs="Arial"/>
          <w:color w:val="0E101A"/>
          <w:sz w:val="24"/>
          <w:szCs w:val="24"/>
        </w:rPr>
        <w:t xml:space="preserve"> Ganguly,</w:t>
      </w:r>
      <w:r w:rsidR="001B58C6"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 xml:space="preserve">2019, pp180-198). Employee engagement is also a </w:t>
      </w:r>
      <w:r w:rsidR="00082972" w:rsidRPr="00AC29A0">
        <w:rPr>
          <w:rFonts w:ascii="Arial" w:eastAsia="Times New Roman" w:hAnsi="Arial" w:cs="Arial"/>
          <w:color w:val="0E101A"/>
          <w:sz w:val="24"/>
          <w:szCs w:val="24"/>
        </w:rPr>
        <w:t>function</w:t>
      </w:r>
      <w:r w:rsidRPr="00AC29A0">
        <w:rPr>
          <w:rFonts w:ascii="Arial" w:eastAsia="Times New Roman" w:hAnsi="Arial" w:cs="Arial"/>
          <w:color w:val="0E101A"/>
          <w:sz w:val="24"/>
          <w:szCs w:val="24"/>
        </w:rPr>
        <w:t xml:space="preserve"> of</w:t>
      </w:r>
      <w:r w:rsidR="00082972" w:rsidRPr="00AC29A0">
        <w:rPr>
          <w:rFonts w:ascii="Arial" w:eastAsia="Times New Roman" w:hAnsi="Arial" w:cs="Arial"/>
          <w:color w:val="0E101A"/>
          <w:sz w:val="24"/>
          <w:szCs w:val="24"/>
        </w:rPr>
        <w:t xml:space="preserve"> intellectual capacity</w:t>
      </w:r>
      <w:r w:rsidRPr="00AC29A0">
        <w:rPr>
          <w:rFonts w:ascii="Arial" w:eastAsia="Times New Roman" w:hAnsi="Arial" w:cs="Arial"/>
          <w:color w:val="0E101A"/>
          <w:sz w:val="24"/>
          <w:szCs w:val="24"/>
        </w:rPr>
        <w:t xml:space="preserve"> in which employees are fully absorbed in their work and are enthusiastic about it (Kwon </w:t>
      </w:r>
      <w:r w:rsidR="000910E4" w:rsidRPr="00AC29A0">
        <w:rPr>
          <w:rFonts w:ascii="Arial" w:eastAsia="Times New Roman" w:hAnsi="Arial" w:cs="Arial"/>
          <w:color w:val="0E101A"/>
          <w:sz w:val="24"/>
          <w:szCs w:val="24"/>
        </w:rPr>
        <w:t>and</w:t>
      </w:r>
      <w:r w:rsidRPr="00AC29A0">
        <w:rPr>
          <w:rFonts w:ascii="Arial" w:eastAsia="Times New Roman" w:hAnsi="Arial" w:cs="Arial"/>
          <w:color w:val="0E101A"/>
          <w:sz w:val="24"/>
          <w:szCs w:val="24"/>
        </w:rPr>
        <w:t xml:space="preserve"> Park,2019, pp 352-370). Lastly, it is a condition in which employees are fully committed to their jobs and are willing to put in the extra effort required to achieve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al goals.</w:t>
      </w:r>
    </w:p>
    <w:p w14:paraId="591CA0E9" w14:textId="77777777" w:rsidR="001B58C6" w:rsidRPr="00AC29A0" w:rsidRDefault="001B58C6" w:rsidP="00C90874">
      <w:pPr>
        <w:spacing w:after="0" w:line="360" w:lineRule="auto"/>
        <w:jc w:val="both"/>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 xml:space="preserve">Importance of </w:t>
      </w:r>
      <w:r w:rsidR="00F46670" w:rsidRPr="00AC29A0">
        <w:rPr>
          <w:rFonts w:ascii="Arial" w:eastAsia="Times New Roman" w:hAnsi="Arial" w:cs="Arial"/>
          <w:b/>
          <w:bCs/>
          <w:color w:val="0E101A"/>
          <w:sz w:val="24"/>
          <w:szCs w:val="24"/>
        </w:rPr>
        <w:t xml:space="preserve">Employee Engagement </w:t>
      </w:r>
    </w:p>
    <w:p w14:paraId="36483BC0" w14:textId="4F4616CD" w:rsidR="00EF47E3" w:rsidRPr="00AC29A0" w:rsidRDefault="00F46670"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Saks (2022), </w:t>
      </w:r>
      <w:r w:rsidR="001B58C6" w:rsidRPr="00AC29A0">
        <w:rPr>
          <w:rFonts w:ascii="Arial" w:eastAsia="Times New Roman" w:hAnsi="Arial" w:cs="Arial"/>
          <w:color w:val="0E101A"/>
          <w:sz w:val="24"/>
          <w:szCs w:val="24"/>
        </w:rPr>
        <w:t>illustrated that most organi</w:t>
      </w:r>
      <w:r w:rsidR="00AC29A0" w:rsidRPr="00AC29A0">
        <w:rPr>
          <w:rFonts w:ascii="Arial" w:eastAsia="Times New Roman" w:hAnsi="Arial" w:cs="Arial"/>
          <w:color w:val="0E101A"/>
          <w:sz w:val="24"/>
          <w:szCs w:val="24"/>
        </w:rPr>
        <w:t>sation</w:t>
      </w:r>
      <w:r w:rsidR="001B58C6" w:rsidRPr="00AC29A0">
        <w:rPr>
          <w:rFonts w:ascii="Arial" w:eastAsia="Times New Roman" w:hAnsi="Arial" w:cs="Arial"/>
          <w:color w:val="0E101A"/>
          <w:sz w:val="24"/>
          <w:szCs w:val="24"/>
        </w:rPr>
        <w:t xml:space="preserve">al processes such as </w:t>
      </w:r>
      <w:r w:rsidRPr="00AC29A0">
        <w:rPr>
          <w:rFonts w:ascii="Arial" w:eastAsia="Times New Roman" w:hAnsi="Arial" w:cs="Arial"/>
          <w:color w:val="0E101A"/>
          <w:sz w:val="24"/>
          <w:szCs w:val="24"/>
        </w:rPr>
        <w:t>human resource management (HRM) and systems depend on employee engagement. The</w:t>
      </w:r>
      <w:r w:rsidR="001B58C6"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study propose</w:t>
      </w:r>
      <w:r w:rsidR="001B58C6" w:rsidRPr="00AC29A0">
        <w:rPr>
          <w:rFonts w:ascii="Arial" w:eastAsia="Times New Roman" w:hAnsi="Arial" w:cs="Arial"/>
          <w:color w:val="0E101A"/>
          <w:sz w:val="24"/>
          <w:szCs w:val="24"/>
        </w:rPr>
        <w:t>s</w:t>
      </w:r>
      <w:r w:rsidRPr="00AC29A0">
        <w:rPr>
          <w:rFonts w:ascii="Arial" w:eastAsia="Times New Roman" w:hAnsi="Arial" w:cs="Arial"/>
          <w:color w:val="0E101A"/>
          <w:sz w:val="24"/>
          <w:szCs w:val="24"/>
        </w:rPr>
        <w:t xml:space="preserve"> that a system that is caring is essential for an excellent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al climate. </w:t>
      </w:r>
      <w:r w:rsidR="001B58C6" w:rsidRPr="00AC29A0">
        <w:rPr>
          <w:rFonts w:ascii="Arial" w:eastAsia="Times New Roman" w:hAnsi="Arial" w:cs="Arial"/>
          <w:color w:val="0E101A"/>
          <w:sz w:val="24"/>
          <w:szCs w:val="24"/>
        </w:rPr>
        <w:t xml:space="preserve">In other words, </w:t>
      </w:r>
      <w:r w:rsidRPr="00AC29A0">
        <w:rPr>
          <w:rFonts w:ascii="Arial" w:eastAsia="Times New Roman" w:hAnsi="Arial" w:cs="Arial"/>
          <w:color w:val="0E101A"/>
          <w:sz w:val="24"/>
          <w:szCs w:val="24"/>
        </w:rPr>
        <w:t xml:space="preserve">employees </w:t>
      </w:r>
      <w:r w:rsidR="001B58C6" w:rsidRPr="00AC29A0">
        <w:rPr>
          <w:rFonts w:ascii="Arial" w:eastAsia="Times New Roman" w:hAnsi="Arial" w:cs="Arial"/>
          <w:color w:val="0E101A"/>
          <w:sz w:val="24"/>
          <w:szCs w:val="24"/>
        </w:rPr>
        <w:t>who are given a conducive climate</w:t>
      </w:r>
      <w:r w:rsidRPr="00AC29A0">
        <w:rPr>
          <w:rFonts w:ascii="Arial" w:eastAsia="Times New Roman" w:hAnsi="Arial" w:cs="Arial"/>
          <w:color w:val="0E101A"/>
          <w:sz w:val="24"/>
          <w:szCs w:val="24"/>
        </w:rPr>
        <w:t xml:space="preserve"> respond by caring for the organi</w:t>
      </w:r>
      <w:r w:rsidR="00AC29A0" w:rsidRPr="00AC29A0">
        <w:rPr>
          <w:rFonts w:ascii="Arial" w:eastAsia="Times New Roman" w:hAnsi="Arial" w:cs="Arial"/>
          <w:color w:val="0E101A"/>
          <w:sz w:val="24"/>
          <w:szCs w:val="24"/>
        </w:rPr>
        <w:t>sation</w:t>
      </w:r>
      <w:r w:rsidR="001B58C6" w:rsidRPr="00AC29A0">
        <w:rPr>
          <w:rFonts w:ascii="Arial" w:eastAsia="Times New Roman" w:hAnsi="Arial" w:cs="Arial"/>
          <w:color w:val="0E101A"/>
          <w:sz w:val="24"/>
          <w:szCs w:val="24"/>
        </w:rPr>
        <w:t>, leading to</w:t>
      </w:r>
      <w:r w:rsidRPr="00AC29A0">
        <w:rPr>
          <w:rFonts w:ascii="Arial" w:eastAsia="Times New Roman" w:hAnsi="Arial" w:cs="Arial"/>
          <w:color w:val="0E101A"/>
          <w:sz w:val="24"/>
          <w:szCs w:val="24"/>
        </w:rPr>
        <w:t xml:space="preserve"> higher</w:t>
      </w:r>
      <w:r w:rsidR="001B58C6"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 xml:space="preserve">productivity (Saks,2022). Therefore, the primary reason employee engagement is essential is that it makes the employees feel accommodated and </w:t>
      </w:r>
      <w:r w:rsidR="001B58C6" w:rsidRPr="00AC29A0">
        <w:rPr>
          <w:rFonts w:ascii="Arial" w:eastAsia="Times New Roman" w:hAnsi="Arial" w:cs="Arial"/>
          <w:color w:val="0E101A"/>
          <w:sz w:val="24"/>
          <w:szCs w:val="24"/>
        </w:rPr>
        <w:t xml:space="preserve">in turn, </w:t>
      </w:r>
      <w:r w:rsidRPr="00AC29A0">
        <w:rPr>
          <w:rFonts w:ascii="Arial" w:eastAsia="Times New Roman" w:hAnsi="Arial" w:cs="Arial"/>
          <w:color w:val="0E101A"/>
          <w:sz w:val="24"/>
          <w:szCs w:val="24"/>
        </w:rPr>
        <w:t>work hard to ensure the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 achieves its objectives and profitability. Thus, employee engagement is critical to an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's</w:t>
      </w:r>
      <w:r w:rsidR="000910E4" w:rsidRPr="00AC29A0">
        <w:rPr>
          <w:rFonts w:ascii="Arial" w:eastAsia="Times New Roman" w:hAnsi="Arial" w:cs="Arial"/>
          <w:color w:val="0E101A"/>
          <w:sz w:val="24"/>
          <w:szCs w:val="24"/>
        </w:rPr>
        <w:t xml:space="preserve"> success</w:t>
      </w:r>
      <w:r w:rsidR="001B58C6" w:rsidRPr="00AC29A0">
        <w:rPr>
          <w:rFonts w:ascii="Arial" w:eastAsia="Times New Roman" w:hAnsi="Arial" w:cs="Arial"/>
          <w:color w:val="0E101A"/>
          <w:sz w:val="24"/>
          <w:szCs w:val="24"/>
        </w:rPr>
        <w:t xml:space="preserve"> since </w:t>
      </w:r>
      <w:r w:rsidR="000910E4" w:rsidRPr="00AC29A0">
        <w:rPr>
          <w:rFonts w:ascii="Arial" w:eastAsia="Times New Roman" w:hAnsi="Arial" w:cs="Arial"/>
          <w:color w:val="0E101A"/>
          <w:sz w:val="24"/>
          <w:szCs w:val="24"/>
        </w:rPr>
        <w:t>engaged</w:t>
      </w:r>
      <w:r w:rsidRPr="00AC29A0">
        <w:rPr>
          <w:rFonts w:ascii="Arial" w:eastAsia="Times New Roman" w:hAnsi="Arial" w:cs="Arial"/>
          <w:color w:val="0E101A"/>
          <w:sz w:val="24"/>
          <w:szCs w:val="24"/>
        </w:rPr>
        <w:t xml:space="preserve"> employees are more productive, have </w:t>
      </w:r>
      <w:r w:rsidR="00082972" w:rsidRPr="00AC29A0">
        <w:rPr>
          <w:rFonts w:ascii="Arial" w:eastAsia="Times New Roman" w:hAnsi="Arial" w:cs="Arial"/>
          <w:color w:val="0E101A"/>
          <w:sz w:val="24"/>
          <w:szCs w:val="24"/>
        </w:rPr>
        <w:t>increased</w:t>
      </w:r>
      <w:r w:rsidRPr="00AC29A0">
        <w:rPr>
          <w:rFonts w:ascii="Arial" w:eastAsia="Times New Roman" w:hAnsi="Arial" w:cs="Arial"/>
          <w:color w:val="0E101A"/>
          <w:sz w:val="24"/>
          <w:szCs w:val="24"/>
        </w:rPr>
        <w:t xml:space="preserve"> levels of job satisfaction, and are</w:t>
      </w:r>
      <w:r w:rsidR="00082972"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likely to stay with an organi</w:t>
      </w:r>
      <w:r w:rsidR="00AC29A0" w:rsidRPr="00AC29A0">
        <w:rPr>
          <w:rFonts w:ascii="Arial" w:eastAsia="Times New Roman" w:hAnsi="Arial" w:cs="Arial"/>
          <w:color w:val="0E101A"/>
          <w:sz w:val="24"/>
          <w:szCs w:val="24"/>
        </w:rPr>
        <w:t>sation</w:t>
      </w:r>
      <w:r w:rsidR="001B58C6" w:rsidRPr="00AC29A0">
        <w:rPr>
          <w:rFonts w:ascii="Arial" w:eastAsia="Times New Roman" w:hAnsi="Arial" w:cs="Arial"/>
          <w:color w:val="0E101A"/>
          <w:sz w:val="24"/>
          <w:szCs w:val="24"/>
        </w:rPr>
        <w:t xml:space="preserve"> for longer periods</w:t>
      </w:r>
      <w:r w:rsidRPr="00AC29A0">
        <w:rPr>
          <w:rFonts w:ascii="Arial" w:eastAsia="Times New Roman" w:hAnsi="Arial" w:cs="Arial"/>
          <w:color w:val="0E101A"/>
          <w:sz w:val="24"/>
          <w:szCs w:val="24"/>
        </w:rPr>
        <w:t xml:space="preserve"> (Turner,2020, pp257-271). Additionally, engaged employees contribute to a positive work environment, improving morale </w:t>
      </w:r>
      <w:r w:rsidR="00EF47E3" w:rsidRPr="00AC29A0">
        <w:rPr>
          <w:rFonts w:ascii="Arial" w:eastAsia="Times New Roman" w:hAnsi="Arial" w:cs="Arial"/>
          <w:color w:val="0E101A"/>
          <w:sz w:val="24"/>
          <w:szCs w:val="24"/>
        </w:rPr>
        <w:t>and teamwork</w:t>
      </w:r>
      <w:r w:rsidRPr="00AC29A0">
        <w:rPr>
          <w:rFonts w:ascii="Arial" w:eastAsia="Times New Roman" w:hAnsi="Arial" w:cs="Arial"/>
          <w:color w:val="0E101A"/>
          <w:sz w:val="24"/>
          <w:szCs w:val="24"/>
        </w:rPr>
        <w:t>.</w:t>
      </w:r>
    </w:p>
    <w:p w14:paraId="7821AA09" w14:textId="4C11DA32" w:rsidR="00B70A96" w:rsidRPr="00AC29A0" w:rsidRDefault="00B70A96"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In Mandarin Oriental Hyde Park, London, employee engagement is important because it will increase productivity. According, to Gallup polls, workers who are </w:t>
      </w:r>
      <w:r w:rsidR="001A6A7A" w:rsidRPr="00AC29A0">
        <w:rPr>
          <w:rFonts w:ascii="Arial" w:eastAsia="Times New Roman" w:hAnsi="Arial" w:cs="Arial"/>
          <w:color w:val="0E101A"/>
          <w:sz w:val="24"/>
          <w:szCs w:val="24"/>
        </w:rPr>
        <w:t>committed</w:t>
      </w:r>
      <w:r w:rsidRPr="00AC29A0">
        <w:rPr>
          <w:rFonts w:ascii="Arial" w:eastAsia="Times New Roman" w:hAnsi="Arial" w:cs="Arial"/>
          <w:color w:val="0E101A"/>
          <w:sz w:val="24"/>
          <w:szCs w:val="24"/>
        </w:rPr>
        <w:t xml:space="preserve"> to their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s are 22% more productive </w:t>
      </w:r>
      <w:r w:rsidR="001A6A7A" w:rsidRPr="00AC29A0">
        <w:rPr>
          <w:rFonts w:ascii="Arial" w:eastAsia="Times New Roman" w:hAnsi="Arial" w:cs="Arial"/>
          <w:color w:val="0E101A"/>
          <w:sz w:val="24"/>
          <w:szCs w:val="24"/>
        </w:rPr>
        <w:t xml:space="preserve">compared to those </w:t>
      </w:r>
      <w:r w:rsidRPr="00AC29A0">
        <w:rPr>
          <w:rFonts w:ascii="Arial" w:eastAsia="Times New Roman" w:hAnsi="Arial" w:cs="Arial"/>
          <w:color w:val="0E101A"/>
          <w:sz w:val="24"/>
          <w:szCs w:val="24"/>
        </w:rPr>
        <w:t>who are not committed</w:t>
      </w:r>
      <w:r w:rsidR="000910E4" w:rsidRPr="00AC29A0">
        <w:rPr>
          <w:rFonts w:ascii="Arial" w:eastAsia="Times New Roman" w:hAnsi="Arial" w:cs="Arial"/>
          <w:color w:val="0E101A"/>
          <w:sz w:val="24"/>
          <w:szCs w:val="24"/>
        </w:rPr>
        <w:t xml:space="preserve"> (Kokkina,2018, pp 124-133)</w:t>
      </w:r>
      <w:r w:rsidRPr="00AC29A0">
        <w:rPr>
          <w:rFonts w:ascii="Arial" w:eastAsia="Times New Roman" w:hAnsi="Arial" w:cs="Arial"/>
          <w:color w:val="0E101A"/>
          <w:sz w:val="24"/>
          <w:szCs w:val="24"/>
        </w:rPr>
        <w:t>. This is because the more the employees engage within the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the better their communication leads to teamwork and positivity</w:t>
      </w:r>
      <w:r w:rsidR="00697871" w:rsidRPr="00AC29A0">
        <w:rPr>
          <w:rFonts w:ascii="Arial" w:eastAsia="Times New Roman" w:hAnsi="Arial" w:cs="Arial"/>
          <w:color w:val="0E101A"/>
          <w:sz w:val="24"/>
          <w:szCs w:val="24"/>
        </w:rPr>
        <w:t xml:space="preserve"> (Lemon and Palencher ,2018, pp142-155)</w:t>
      </w:r>
      <w:r w:rsidRPr="00AC29A0">
        <w:rPr>
          <w:rFonts w:ascii="Arial" w:eastAsia="Times New Roman" w:hAnsi="Arial" w:cs="Arial"/>
          <w:color w:val="0E101A"/>
          <w:sz w:val="24"/>
          <w:szCs w:val="24"/>
        </w:rPr>
        <w:t>. Thus, a good way to enhance employee engagement is to build up challenges for professional employees and understand the encouragement strategies for workers dragging behind to improve their participation and engagement.</w:t>
      </w:r>
    </w:p>
    <w:p w14:paraId="3E851DB8" w14:textId="7F8AF410" w:rsidR="00B70A96" w:rsidRPr="00AC29A0" w:rsidRDefault="00B70A96"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Another benefit workplace engagement will have on Mandarin Oriental Hyde Park is unmatched customer satisfaction. This is because when the employees are happy and passionate about their work within the hotel setup, they will </w:t>
      </w:r>
      <w:r w:rsidR="001A6A7A" w:rsidRPr="00AC29A0">
        <w:rPr>
          <w:rFonts w:ascii="Arial" w:eastAsia="Times New Roman" w:hAnsi="Arial" w:cs="Arial"/>
          <w:color w:val="0E101A"/>
          <w:sz w:val="24"/>
          <w:szCs w:val="24"/>
        </w:rPr>
        <w:t xml:space="preserve">offer the best services to clients. </w:t>
      </w:r>
      <w:r w:rsidRPr="00AC29A0">
        <w:rPr>
          <w:rFonts w:ascii="Arial" w:eastAsia="Times New Roman" w:hAnsi="Arial" w:cs="Arial"/>
          <w:color w:val="0E101A"/>
          <w:sz w:val="24"/>
          <w:szCs w:val="24"/>
        </w:rPr>
        <w:t>The level of customer satisfaction within the hotel will significantly improve. Hence, they will keep coming back More customers make more profit; thus, employees will be compensated well with incentives and remunerations</w:t>
      </w:r>
      <w:r w:rsidR="001A6A7A" w:rsidRPr="00AC29A0">
        <w:rPr>
          <w:rFonts w:ascii="Arial" w:eastAsia="Times New Roman" w:hAnsi="Arial" w:cs="Arial"/>
          <w:color w:val="0E101A"/>
          <w:sz w:val="24"/>
          <w:szCs w:val="24"/>
        </w:rPr>
        <w:t>, leading to better engagement</w:t>
      </w:r>
      <w:r w:rsidRPr="00AC29A0">
        <w:rPr>
          <w:rFonts w:ascii="Arial" w:eastAsia="Times New Roman" w:hAnsi="Arial" w:cs="Arial"/>
          <w:color w:val="0E101A"/>
          <w:sz w:val="24"/>
          <w:szCs w:val="24"/>
        </w:rPr>
        <w:t>.</w:t>
      </w:r>
    </w:p>
    <w:p w14:paraId="13D1FED4" w14:textId="0479F9E9" w:rsidR="00B70A96" w:rsidRPr="00AC29A0" w:rsidRDefault="001A6A7A"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Employee engagement can also contribute to high levels of employee retention for </w:t>
      </w:r>
      <w:r w:rsidR="00B70A96" w:rsidRPr="00AC29A0">
        <w:rPr>
          <w:rFonts w:ascii="Arial" w:eastAsia="Times New Roman" w:hAnsi="Arial" w:cs="Arial"/>
          <w:color w:val="0E101A"/>
          <w:sz w:val="24"/>
          <w:szCs w:val="24"/>
        </w:rPr>
        <w:t>Mandarin Oriental Hyde. Every organi</w:t>
      </w:r>
      <w:r w:rsidR="00AC29A0" w:rsidRPr="00AC29A0">
        <w:rPr>
          <w:rFonts w:ascii="Arial" w:eastAsia="Times New Roman" w:hAnsi="Arial" w:cs="Arial"/>
          <w:color w:val="0E101A"/>
          <w:sz w:val="24"/>
          <w:szCs w:val="24"/>
        </w:rPr>
        <w:t>sation</w:t>
      </w:r>
      <w:r w:rsidR="00B70A96" w:rsidRPr="00AC29A0">
        <w:rPr>
          <w:rFonts w:ascii="Arial" w:eastAsia="Times New Roman" w:hAnsi="Arial" w:cs="Arial"/>
          <w:color w:val="0E101A"/>
          <w:sz w:val="24"/>
          <w:szCs w:val="24"/>
        </w:rPr>
        <w:t xml:space="preserve"> usually has its</w:t>
      </w:r>
      <w:r w:rsidRPr="00AC29A0">
        <w:rPr>
          <w:rFonts w:ascii="Arial" w:eastAsia="Times New Roman" w:hAnsi="Arial" w:cs="Arial"/>
          <w:color w:val="0E101A"/>
          <w:sz w:val="24"/>
          <w:szCs w:val="24"/>
        </w:rPr>
        <w:t xml:space="preserve"> desired</w:t>
      </w:r>
      <w:r w:rsidR="00B70A96" w:rsidRPr="00AC29A0">
        <w:rPr>
          <w:rFonts w:ascii="Arial" w:eastAsia="Times New Roman" w:hAnsi="Arial" w:cs="Arial"/>
          <w:color w:val="0E101A"/>
          <w:sz w:val="24"/>
          <w:szCs w:val="24"/>
        </w:rPr>
        <w:t xml:space="preserve"> level of employee retention</w:t>
      </w:r>
      <w:r w:rsidR="000910E4" w:rsidRPr="00AC29A0">
        <w:rPr>
          <w:rFonts w:ascii="Arial" w:eastAsia="Times New Roman" w:hAnsi="Arial" w:cs="Arial"/>
          <w:color w:val="0E101A"/>
          <w:sz w:val="24"/>
          <w:szCs w:val="24"/>
        </w:rPr>
        <w:t xml:space="preserve"> (Hinzmann et al.,2019)</w:t>
      </w:r>
      <w:r w:rsidR="00B70A96" w:rsidRPr="00AC29A0">
        <w:rPr>
          <w:rFonts w:ascii="Arial" w:eastAsia="Times New Roman" w:hAnsi="Arial" w:cs="Arial"/>
          <w:color w:val="0E101A"/>
          <w:sz w:val="24"/>
          <w:szCs w:val="24"/>
        </w:rPr>
        <w:t>. Mandarin needs to retain its most committed and involved employees. T</w:t>
      </w:r>
      <w:r w:rsidRPr="00AC29A0">
        <w:rPr>
          <w:rFonts w:ascii="Arial" w:eastAsia="Times New Roman" w:hAnsi="Arial" w:cs="Arial"/>
          <w:color w:val="0E101A"/>
          <w:sz w:val="24"/>
          <w:szCs w:val="24"/>
        </w:rPr>
        <w:t xml:space="preserve">o achieve this, the </w:t>
      </w:r>
      <w:r w:rsidR="00B70A96" w:rsidRPr="00AC29A0">
        <w:rPr>
          <w:rFonts w:ascii="Arial" w:eastAsia="Times New Roman" w:hAnsi="Arial" w:cs="Arial"/>
          <w:color w:val="0E101A"/>
          <w:sz w:val="24"/>
          <w:szCs w:val="24"/>
        </w:rPr>
        <w:t>management must be able to comprehend the employee's needs and feelings at the workplace and offer support all the time to them. It will not be good for Mandarin to risk losing its top-notch employees due to a lack of involvement. Hence the management must detect this early enough to make sure that they satisfy their employees.</w:t>
      </w:r>
    </w:p>
    <w:p w14:paraId="7A29BC77" w14:textId="63BC05D2" w:rsidR="00B70A96" w:rsidRPr="00AC29A0" w:rsidRDefault="00B70A96"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Work culture will also be unmatched within the Mandarin hotel </w:t>
      </w:r>
      <w:r w:rsidR="00235113" w:rsidRPr="00AC29A0">
        <w:rPr>
          <w:rFonts w:ascii="Arial" w:eastAsia="Times New Roman" w:hAnsi="Arial" w:cs="Arial"/>
          <w:color w:val="0E101A"/>
          <w:sz w:val="24"/>
          <w:szCs w:val="24"/>
        </w:rPr>
        <w:t>with improved</w:t>
      </w:r>
      <w:r w:rsidRPr="00AC29A0">
        <w:rPr>
          <w:rFonts w:ascii="Arial" w:eastAsia="Times New Roman" w:hAnsi="Arial" w:cs="Arial"/>
          <w:color w:val="0E101A"/>
          <w:sz w:val="24"/>
          <w:szCs w:val="24"/>
        </w:rPr>
        <w:t xml:space="preserve"> workplace engagement. The employees will enhance and promote a vibrant, happy, and productive work culture</w:t>
      </w:r>
      <w:r w:rsidR="000910E4" w:rsidRPr="00AC29A0">
        <w:rPr>
          <w:rFonts w:ascii="Arial" w:eastAsia="Times New Roman" w:hAnsi="Arial" w:cs="Arial"/>
          <w:color w:val="0E101A"/>
          <w:sz w:val="24"/>
          <w:szCs w:val="24"/>
        </w:rPr>
        <w:t xml:space="preserve"> (Lemon,2019, pp176-199)</w:t>
      </w:r>
      <w:r w:rsidRPr="00AC29A0">
        <w:rPr>
          <w:rFonts w:ascii="Arial" w:eastAsia="Times New Roman" w:hAnsi="Arial" w:cs="Arial"/>
          <w:color w:val="0E101A"/>
          <w:sz w:val="24"/>
          <w:szCs w:val="24"/>
        </w:rPr>
        <w:t>. This will enable them to work more flexibly and have a proper work-life balance. Good work culture in Mandarin will erase specific lethal and outdated mindsets and traditions that might spread out at the top levels</w:t>
      </w:r>
      <w:r w:rsidR="00311AC8" w:rsidRPr="00AC29A0">
        <w:rPr>
          <w:rFonts w:ascii="Arial" w:eastAsia="Times New Roman" w:hAnsi="Arial" w:cs="Arial"/>
          <w:color w:val="0E101A"/>
          <w:sz w:val="24"/>
          <w:szCs w:val="24"/>
        </w:rPr>
        <w:t>. Blazej Motyka (2018) acknowledges that that decreased levels of employee engagement at work are, at the moment, potential threat</w:t>
      </w:r>
      <w:r w:rsidR="001A6A7A" w:rsidRPr="00AC29A0">
        <w:rPr>
          <w:rFonts w:ascii="Arial" w:eastAsia="Times New Roman" w:hAnsi="Arial" w:cs="Arial"/>
          <w:color w:val="0E101A"/>
          <w:sz w:val="24"/>
          <w:szCs w:val="24"/>
        </w:rPr>
        <w:t>s</w:t>
      </w:r>
      <w:r w:rsidR="00311AC8" w:rsidRPr="00AC29A0">
        <w:rPr>
          <w:rFonts w:ascii="Arial" w:eastAsia="Times New Roman" w:hAnsi="Arial" w:cs="Arial"/>
          <w:color w:val="0E101A"/>
          <w:sz w:val="24"/>
          <w:szCs w:val="24"/>
        </w:rPr>
        <w:t xml:space="preserve"> to global economic </w:t>
      </w:r>
      <w:r w:rsidR="001A6A7A" w:rsidRPr="00AC29A0">
        <w:rPr>
          <w:rFonts w:ascii="Arial" w:eastAsia="Times New Roman" w:hAnsi="Arial" w:cs="Arial"/>
          <w:color w:val="0E101A"/>
          <w:sz w:val="24"/>
          <w:szCs w:val="24"/>
        </w:rPr>
        <w:t>growth</w:t>
      </w:r>
      <w:r w:rsidR="00311AC8" w:rsidRPr="00AC29A0">
        <w:rPr>
          <w:rFonts w:ascii="Arial" w:eastAsia="Times New Roman" w:hAnsi="Arial" w:cs="Arial"/>
          <w:color w:val="0E101A"/>
          <w:sz w:val="24"/>
          <w:szCs w:val="24"/>
        </w:rPr>
        <w:t xml:space="preserve"> (Motyka,</w:t>
      </w:r>
      <w:r w:rsidR="007B51C5" w:rsidRPr="00AC29A0">
        <w:rPr>
          <w:rFonts w:ascii="Arial" w:eastAsia="Times New Roman" w:hAnsi="Arial" w:cs="Arial"/>
          <w:color w:val="0E101A"/>
          <w:sz w:val="24"/>
          <w:szCs w:val="24"/>
        </w:rPr>
        <w:t xml:space="preserve"> </w:t>
      </w:r>
      <w:r w:rsidR="00311AC8" w:rsidRPr="00AC29A0">
        <w:rPr>
          <w:rFonts w:ascii="Arial" w:eastAsia="Times New Roman" w:hAnsi="Arial" w:cs="Arial"/>
          <w:color w:val="0E101A"/>
          <w:sz w:val="24"/>
          <w:szCs w:val="24"/>
        </w:rPr>
        <w:t>2018, pp 227-234). The possible risk of this is a significant decrease in the performance level of employees within the organi</w:t>
      </w:r>
      <w:r w:rsidR="00AC29A0" w:rsidRPr="00AC29A0">
        <w:rPr>
          <w:rFonts w:ascii="Arial" w:eastAsia="Times New Roman" w:hAnsi="Arial" w:cs="Arial"/>
          <w:color w:val="0E101A"/>
          <w:sz w:val="24"/>
          <w:szCs w:val="24"/>
        </w:rPr>
        <w:t>sation</w:t>
      </w:r>
      <w:r w:rsidR="00311AC8" w:rsidRPr="00AC29A0">
        <w:rPr>
          <w:rFonts w:ascii="Arial" w:eastAsia="Times New Roman" w:hAnsi="Arial" w:cs="Arial"/>
          <w:color w:val="0E101A"/>
          <w:sz w:val="24"/>
          <w:szCs w:val="24"/>
        </w:rPr>
        <w:t xml:space="preserve">. </w:t>
      </w:r>
      <w:r w:rsidR="008667EC" w:rsidRPr="00AC29A0">
        <w:rPr>
          <w:rFonts w:ascii="Arial" w:eastAsia="Times New Roman" w:hAnsi="Arial" w:cs="Arial"/>
          <w:color w:val="0E101A"/>
          <w:sz w:val="24"/>
          <w:szCs w:val="24"/>
        </w:rPr>
        <w:t>Thus, the</w:t>
      </w:r>
      <w:r w:rsidR="00311AC8" w:rsidRPr="00AC29A0">
        <w:rPr>
          <w:rFonts w:ascii="Arial" w:eastAsia="Times New Roman" w:hAnsi="Arial" w:cs="Arial"/>
          <w:color w:val="0E101A"/>
          <w:sz w:val="24"/>
          <w:szCs w:val="24"/>
        </w:rPr>
        <w:t xml:space="preserve"> Mandarin Hotel management should strive at promoting a positive work environment to avoid possible risk of</w:t>
      </w:r>
      <w:r w:rsidR="008667EC" w:rsidRPr="00AC29A0">
        <w:rPr>
          <w:rFonts w:ascii="Arial" w:eastAsia="Times New Roman" w:hAnsi="Arial" w:cs="Arial"/>
          <w:color w:val="0E101A"/>
          <w:sz w:val="24"/>
          <w:szCs w:val="24"/>
        </w:rPr>
        <w:t xml:space="preserve"> low</w:t>
      </w:r>
      <w:r w:rsidR="00311AC8" w:rsidRPr="00AC29A0">
        <w:rPr>
          <w:rFonts w:ascii="Arial" w:eastAsia="Times New Roman" w:hAnsi="Arial" w:cs="Arial"/>
          <w:color w:val="0E101A"/>
          <w:sz w:val="24"/>
          <w:szCs w:val="24"/>
        </w:rPr>
        <w:t xml:space="preserve"> performance levels of employees.</w:t>
      </w:r>
    </w:p>
    <w:p w14:paraId="73B6F9C6" w14:textId="79812F95" w:rsidR="000910E4" w:rsidRPr="00AC29A0" w:rsidRDefault="00B70A96"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Additionally, </w:t>
      </w:r>
      <w:r w:rsidR="008075E8" w:rsidRPr="00AC29A0">
        <w:rPr>
          <w:rFonts w:ascii="Arial" w:eastAsia="Times New Roman" w:hAnsi="Arial" w:cs="Arial"/>
          <w:color w:val="0E101A"/>
          <w:sz w:val="24"/>
          <w:szCs w:val="24"/>
        </w:rPr>
        <w:t>employee</w:t>
      </w:r>
      <w:r w:rsidRPr="00AC29A0">
        <w:rPr>
          <w:rFonts w:ascii="Arial" w:eastAsia="Times New Roman" w:hAnsi="Arial" w:cs="Arial"/>
          <w:color w:val="0E101A"/>
          <w:sz w:val="24"/>
          <w:szCs w:val="24"/>
        </w:rPr>
        <w:t xml:space="preserve"> engagement in Mandarin will yield exceptional management</w:t>
      </w:r>
      <w:r w:rsidR="008075E8" w:rsidRPr="00AC29A0">
        <w:rPr>
          <w:rFonts w:ascii="Arial" w:eastAsia="Times New Roman" w:hAnsi="Arial" w:cs="Arial"/>
          <w:color w:val="0E101A"/>
          <w:sz w:val="24"/>
          <w:szCs w:val="24"/>
        </w:rPr>
        <w:t xml:space="preserve"> and better health outcomes for workers</w:t>
      </w:r>
      <w:r w:rsidRPr="00AC29A0">
        <w:rPr>
          <w:rFonts w:ascii="Arial" w:eastAsia="Times New Roman" w:hAnsi="Arial" w:cs="Arial"/>
          <w:color w:val="0E101A"/>
          <w:sz w:val="24"/>
          <w:szCs w:val="24"/>
        </w:rPr>
        <w:t xml:space="preserve">. </w:t>
      </w:r>
      <w:r w:rsidR="008075E8" w:rsidRPr="00AC29A0">
        <w:rPr>
          <w:rFonts w:ascii="Arial" w:eastAsia="Times New Roman" w:hAnsi="Arial" w:cs="Arial"/>
          <w:color w:val="0E101A"/>
          <w:sz w:val="24"/>
          <w:szCs w:val="24"/>
        </w:rPr>
        <w:t>Lack of engagement</w:t>
      </w:r>
      <w:r w:rsidRPr="00AC29A0">
        <w:rPr>
          <w:rFonts w:ascii="Arial" w:eastAsia="Times New Roman" w:hAnsi="Arial" w:cs="Arial"/>
          <w:color w:val="0E101A"/>
          <w:sz w:val="24"/>
          <w:szCs w:val="24"/>
        </w:rPr>
        <w:t xml:space="preserve"> of the employees in the managerial decisions can </w:t>
      </w:r>
      <w:r w:rsidR="008075E8" w:rsidRPr="00AC29A0">
        <w:rPr>
          <w:rFonts w:ascii="Arial" w:eastAsia="Times New Roman" w:hAnsi="Arial" w:cs="Arial"/>
          <w:color w:val="0E101A"/>
          <w:sz w:val="24"/>
          <w:szCs w:val="24"/>
        </w:rPr>
        <w:t xml:space="preserve">can lead to less motivation and coordination between </w:t>
      </w:r>
      <w:r w:rsidRPr="00AC29A0">
        <w:rPr>
          <w:rFonts w:ascii="Arial" w:eastAsia="Times New Roman" w:hAnsi="Arial" w:cs="Arial"/>
          <w:color w:val="0E101A"/>
          <w:sz w:val="24"/>
          <w:szCs w:val="24"/>
        </w:rPr>
        <w:t>the medium and the top-level management</w:t>
      </w:r>
      <w:r w:rsidR="008075E8" w:rsidRPr="00AC29A0">
        <w:rPr>
          <w:rFonts w:ascii="Arial" w:eastAsia="Times New Roman" w:hAnsi="Arial" w:cs="Arial"/>
          <w:color w:val="0E101A"/>
          <w:sz w:val="24"/>
          <w:szCs w:val="24"/>
        </w:rPr>
        <w:t xml:space="preserve"> </w:t>
      </w:r>
      <w:r w:rsidR="000910E4" w:rsidRPr="00AC29A0">
        <w:rPr>
          <w:rFonts w:ascii="Arial" w:eastAsia="Times New Roman" w:hAnsi="Arial" w:cs="Arial"/>
          <w:color w:val="0E101A"/>
          <w:sz w:val="24"/>
          <w:szCs w:val="24"/>
        </w:rPr>
        <w:t>(Turner,</w:t>
      </w:r>
      <w:r w:rsidR="007B51C5" w:rsidRPr="00AC29A0">
        <w:rPr>
          <w:rFonts w:ascii="Arial" w:eastAsia="Times New Roman" w:hAnsi="Arial" w:cs="Arial"/>
          <w:color w:val="0E101A"/>
          <w:sz w:val="24"/>
          <w:szCs w:val="24"/>
        </w:rPr>
        <w:t xml:space="preserve"> </w:t>
      </w:r>
      <w:r w:rsidR="000910E4" w:rsidRPr="00AC29A0">
        <w:rPr>
          <w:rFonts w:ascii="Arial" w:eastAsia="Times New Roman" w:hAnsi="Arial" w:cs="Arial"/>
          <w:color w:val="0E101A"/>
          <w:sz w:val="24"/>
          <w:szCs w:val="24"/>
        </w:rPr>
        <w:t>2020, pp257-271)</w:t>
      </w:r>
      <w:r w:rsidRPr="00AC29A0">
        <w:rPr>
          <w:rFonts w:ascii="Arial" w:eastAsia="Times New Roman" w:hAnsi="Arial" w:cs="Arial"/>
          <w:color w:val="0E101A"/>
          <w:sz w:val="24"/>
          <w:szCs w:val="24"/>
        </w:rPr>
        <w:t>. Th</w:t>
      </w:r>
      <w:r w:rsidR="008075E8" w:rsidRPr="00AC29A0">
        <w:rPr>
          <w:rFonts w:ascii="Arial" w:eastAsia="Times New Roman" w:hAnsi="Arial" w:cs="Arial"/>
          <w:color w:val="0E101A"/>
          <w:sz w:val="24"/>
          <w:szCs w:val="24"/>
        </w:rPr>
        <w:t>erefore</w:t>
      </w:r>
      <w:r w:rsidRPr="00AC29A0">
        <w:rPr>
          <w:rFonts w:ascii="Arial" w:eastAsia="Times New Roman" w:hAnsi="Arial" w:cs="Arial"/>
          <w:color w:val="0E101A"/>
          <w:sz w:val="24"/>
          <w:szCs w:val="24"/>
        </w:rPr>
        <w:t xml:space="preserve">, the management of Mandarin involving the employees in managerial decisions will </w:t>
      </w:r>
      <w:r w:rsidR="00D62D52" w:rsidRPr="00AC29A0">
        <w:rPr>
          <w:rFonts w:ascii="Arial" w:eastAsia="Times New Roman" w:hAnsi="Arial" w:cs="Arial"/>
          <w:color w:val="0E101A"/>
          <w:sz w:val="24"/>
          <w:szCs w:val="24"/>
        </w:rPr>
        <w:t xml:space="preserve">contribute to better </w:t>
      </w:r>
      <w:r w:rsidR="008075E8" w:rsidRPr="00AC29A0">
        <w:rPr>
          <w:rFonts w:ascii="Arial" w:eastAsia="Times New Roman" w:hAnsi="Arial" w:cs="Arial"/>
          <w:color w:val="0E101A"/>
          <w:sz w:val="24"/>
          <w:szCs w:val="24"/>
        </w:rPr>
        <w:t>communicat</w:t>
      </w:r>
      <w:r w:rsidR="00D62D52" w:rsidRPr="00AC29A0">
        <w:rPr>
          <w:rFonts w:ascii="Arial" w:eastAsia="Times New Roman" w:hAnsi="Arial" w:cs="Arial"/>
          <w:color w:val="0E101A"/>
          <w:sz w:val="24"/>
          <w:szCs w:val="24"/>
        </w:rPr>
        <w:t>ion and fulfilment of</w:t>
      </w:r>
      <w:r w:rsidRPr="00AC29A0">
        <w:rPr>
          <w:rFonts w:ascii="Arial" w:eastAsia="Times New Roman" w:hAnsi="Arial" w:cs="Arial"/>
          <w:color w:val="0E101A"/>
          <w:sz w:val="24"/>
          <w:szCs w:val="24"/>
        </w:rPr>
        <w:t xml:space="preserve"> their needs.</w:t>
      </w:r>
      <w:r w:rsidR="000910E4" w:rsidRPr="00AC29A0">
        <w:rPr>
          <w:rFonts w:ascii="Arial" w:eastAsia="Times New Roman" w:hAnsi="Arial" w:cs="Arial"/>
          <w:color w:val="0E101A"/>
          <w:sz w:val="24"/>
          <w:szCs w:val="24"/>
        </w:rPr>
        <w:t xml:space="preserve">Finally, engaged employees are more likely to be healthy. This is because engaged employees tend to have lower stress levels, improving physical health (Albrecht </w:t>
      </w:r>
      <w:r w:rsidR="007B51C5" w:rsidRPr="00AC29A0">
        <w:rPr>
          <w:rFonts w:ascii="Arial" w:eastAsia="Times New Roman" w:hAnsi="Arial" w:cs="Arial"/>
          <w:color w:val="0E101A"/>
          <w:sz w:val="24"/>
          <w:szCs w:val="24"/>
        </w:rPr>
        <w:t>AD</w:t>
      </w:r>
      <w:r w:rsidR="000910E4" w:rsidRPr="00AC29A0">
        <w:rPr>
          <w:rFonts w:ascii="Arial" w:eastAsia="Times New Roman" w:hAnsi="Arial" w:cs="Arial"/>
          <w:color w:val="0E101A"/>
          <w:sz w:val="24"/>
          <w:szCs w:val="24"/>
        </w:rPr>
        <w:t xml:space="preserve">Marty,2021, pp 40-45). </w:t>
      </w:r>
      <w:r w:rsidR="008075E8" w:rsidRPr="00AC29A0">
        <w:rPr>
          <w:rFonts w:ascii="Arial" w:eastAsia="Times New Roman" w:hAnsi="Arial" w:cs="Arial"/>
          <w:color w:val="0E101A"/>
          <w:sz w:val="24"/>
          <w:szCs w:val="24"/>
        </w:rPr>
        <w:t>What is more,</w:t>
      </w:r>
      <w:r w:rsidR="000910E4" w:rsidRPr="00AC29A0">
        <w:rPr>
          <w:rFonts w:ascii="Arial" w:eastAsia="Times New Roman" w:hAnsi="Arial" w:cs="Arial"/>
          <w:color w:val="0E101A"/>
          <w:sz w:val="24"/>
          <w:szCs w:val="24"/>
        </w:rPr>
        <w:t xml:space="preserve"> engaged employees are more likely to access health insurance and participate in wellness programs.</w:t>
      </w:r>
    </w:p>
    <w:p w14:paraId="095F1460" w14:textId="7F7253C1" w:rsidR="00F46670" w:rsidRPr="00AC29A0" w:rsidRDefault="00452A12" w:rsidP="00C90874">
      <w:pPr>
        <w:spacing w:after="0" w:line="360" w:lineRule="auto"/>
        <w:jc w:val="center"/>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 xml:space="preserve">How </w:t>
      </w:r>
      <w:r w:rsidR="00B70A96" w:rsidRPr="00AC29A0">
        <w:rPr>
          <w:rFonts w:ascii="Arial" w:eastAsia="Times New Roman" w:hAnsi="Arial" w:cs="Arial"/>
          <w:b/>
          <w:bCs/>
          <w:color w:val="0E101A"/>
          <w:sz w:val="24"/>
          <w:szCs w:val="24"/>
        </w:rPr>
        <w:t>Mandarin Oriental</w:t>
      </w:r>
      <w:r w:rsidRPr="00AC29A0">
        <w:rPr>
          <w:rFonts w:ascii="Arial" w:eastAsia="Times New Roman" w:hAnsi="Arial" w:cs="Arial"/>
          <w:b/>
          <w:bCs/>
          <w:color w:val="0E101A"/>
          <w:sz w:val="24"/>
          <w:szCs w:val="24"/>
        </w:rPr>
        <w:t xml:space="preserve"> Hyde, Park, London Will Measure </w:t>
      </w:r>
      <w:r w:rsidR="00441E65" w:rsidRPr="00AC29A0">
        <w:rPr>
          <w:rFonts w:ascii="Arial" w:eastAsia="Times New Roman" w:hAnsi="Arial" w:cs="Arial"/>
          <w:b/>
          <w:bCs/>
          <w:color w:val="0E101A"/>
          <w:sz w:val="24"/>
          <w:szCs w:val="24"/>
        </w:rPr>
        <w:t>Employee</w:t>
      </w:r>
      <w:r w:rsidRPr="00AC29A0">
        <w:rPr>
          <w:rFonts w:ascii="Arial" w:eastAsia="Times New Roman" w:hAnsi="Arial" w:cs="Arial"/>
          <w:b/>
          <w:bCs/>
          <w:color w:val="0E101A"/>
          <w:sz w:val="24"/>
          <w:szCs w:val="24"/>
        </w:rPr>
        <w:t xml:space="preserve"> Engagement</w:t>
      </w:r>
    </w:p>
    <w:p w14:paraId="68EF5837" w14:textId="6AC4B6D6" w:rsidR="001162FE" w:rsidRPr="00AC29A0" w:rsidRDefault="00452A12"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According to Shrotryia and Dhanda</w:t>
      </w:r>
      <w:r w:rsidR="00BF353A" w:rsidRPr="00AC29A0">
        <w:rPr>
          <w:rFonts w:ascii="Arial" w:eastAsia="Times New Roman" w:hAnsi="Arial" w:cs="Arial"/>
          <w:color w:val="0E101A"/>
          <w:sz w:val="24"/>
          <w:szCs w:val="24"/>
        </w:rPr>
        <w:t xml:space="preserve"> (2019)</w:t>
      </w:r>
      <w:r w:rsidRPr="00AC29A0">
        <w:rPr>
          <w:rFonts w:ascii="Arial" w:eastAsia="Times New Roman" w:hAnsi="Arial" w:cs="Arial"/>
          <w:color w:val="0E101A"/>
          <w:sz w:val="24"/>
          <w:szCs w:val="24"/>
        </w:rPr>
        <w:t>, the overlapping and fluctuating perceptions of various scholars and academicians on the concept of employee engagement have yielded many measurement instruments that vary depending on the variables (Shrotryia &amp; Dhanda,2019). There are a variety of ways to measure employee engagement. Some standard methods include</w:t>
      </w:r>
      <w:r w:rsidR="00BF353A"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surveys, focus groups, interviews,</w:t>
      </w:r>
      <w:r w:rsidR="001162FE" w:rsidRPr="00AC29A0">
        <w:rPr>
          <w:rFonts w:ascii="Arial" w:eastAsia="Times New Roman" w:hAnsi="Arial" w:cs="Arial"/>
          <w:color w:val="0E101A"/>
          <w:sz w:val="24"/>
          <w:szCs w:val="24"/>
        </w:rPr>
        <w:t xml:space="preserve"> employee questionnaire</w:t>
      </w:r>
      <w:r w:rsidRPr="00AC29A0">
        <w:rPr>
          <w:rFonts w:ascii="Arial" w:eastAsia="Times New Roman" w:hAnsi="Arial" w:cs="Arial"/>
          <w:color w:val="0E101A"/>
          <w:sz w:val="24"/>
          <w:szCs w:val="24"/>
        </w:rPr>
        <w:t xml:space="preserve"> and observation. Surveys are perhaps the most common method of measuring employee engagement (Othman et al.,</w:t>
      </w:r>
      <w:r w:rsidR="00D62D52" w:rsidRPr="00AC29A0">
        <w:rPr>
          <w:rFonts w:ascii="Arial" w:eastAsia="Times New Roman" w:hAnsi="Arial" w:cs="Arial"/>
          <w:color w:val="0E101A"/>
          <w:sz w:val="24"/>
          <w:szCs w:val="24"/>
        </w:rPr>
        <w:t xml:space="preserve"> </w:t>
      </w:r>
      <w:r w:rsidRPr="00AC29A0">
        <w:rPr>
          <w:rFonts w:ascii="Arial" w:eastAsia="Times New Roman" w:hAnsi="Arial" w:cs="Arial"/>
          <w:color w:val="0E101A"/>
          <w:sz w:val="24"/>
          <w:szCs w:val="24"/>
        </w:rPr>
        <w:t>2018, pp 863-869). They can be administered online, paper surveys, or even via phone. Surveys typically ask questions about employees' satisfaction with their job, their commitment to their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and their level of engagement with their work</w:t>
      </w:r>
      <w:r w:rsidR="001162FE" w:rsidRPr="00AC29A0">
        <w:rPr>
          <w:rFonts w:ascii="Arial" w:eastAsia="Times New Roman" w:hAnsi="Arial" w:cs="Arial"/>
          <w:color w:val="0E101A"/>
          <w:sz w:val="24"/>
          <w:szCs w:val="24"/>
        </w:rPr>
        <w:t xml:space="preserve">.  </w:t>
      </w:r>
    </w:p>
    <w:p w14:paraId="67CFB742" w14:textId="66FE62FC" w:rsidR="001162FE" w:rsidRPr="00AC29A0" w:rsidRDefault="001162FE" w:rsidP="00C90874">
      <w:pPr>
        <w:spacing w:after="0" w:line="360" w:lineRule="auto"/>
        <w:jc w:val="center"/>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Discussion o</w:t>
      </w:r>
      <w:r w:rsidR="00697871" w:rsidRPr="00AC29A0">
        <w:rPr>
          <w:rFonts w:ascii="Arial" w:eastAsia="Times New Roman" w:hAnsi="Arial" w:cs="Arial"/>
          <w:b/>
          <w:bCs/>
          <w:color w:val="0E101A"/>
          <w:sz w:val="24"/>
          <w:szCs w:val="24"/>
        </w:rPr>
        <w:t>f</w:t>
      </w:r>
      <w:r w:rsidRPr="00AC29A0">
        <w:rPr>
          <w:rFonts w:ascii="Arial" w:eastAsia="Times New Roman" w:hAnsi="Arial" w:cs="Arial"/>
          <w:b/>
          <w:bCs/>
          <w:color w:val="0E101A"/>
          <w:sz w:val="24"/>
          <w:szCs w:val="24"/>
        </w:rPr>
        <w:t xml:space="preserve"> the Proposed Method </w:t>
      </w:r>
      <w:r w:rsidR="00441E65" w:rsidRPr="00AC29A0">
        <w:rPr>
          <w:rFonts w:ascii="Arial" w:eastAsia="Times New Roman" w:hAnsi="Arial" w:cs="Arial"/>
          <w:b/>
          <w:bCs/>
          <w:color w:val="0E101A"/>
          <w:sz w:val="24"/>
          <w:szCs w:val="24"/>
        </w:rPr>
        <w:t xml:space="preserve">and the Reasons for Recommending it </w:t>
      </w:r>
      <w:r w:rsidR="00697871" w:rsidRPr="00AC29A0">
        <w:rPr>
          <w:rFonts w:ascii="Arial" w:eastAsia="Times New Roman" w:hAnsi="Arial" w:cs="Arial"/>
          <w:b/>
          <w:bCs/>
          <w:color w:val="0E101A"/>
          <w:sz w:val="24"/>
          <w:szCs w:val="24"/>
        </w:rPr>
        <w:t>the General</w:t>
      </w:r>
      <w:r w:rsidR="00441E65" w:rsidRPr="00AC29A0">
        <w:rPr>
          <w:rFonts w:ascii="Arial" w:eastAsia="Times New Roman" w:hAnsi="Arial" w:cs="Arial"/>
          <w:b/>
          <w:bCs/>
          <w:color w:val="0E101A"/>
          <w:sz w:val="24"/>
          <w:szCs w:val="24"/>
        </w:rPr>
        <w:t xml:space="preserve"> Manager</w:t>
      </w:r>
    </w:p>
    <w:p w14:paraId="482842C6" w14:textId="5B62D559" w:rsidR="00104988" w:rsidRPr="00AC29A0" w:rsidRDefault="00104988" w:rsidP="00C90874">
      <w:pPr>
        <w:spacing w:after="0" w:line="360" w:lineRule="auto"/>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Proposed Method</w:t>
      </w:r>
    </w:p>
    <w:p w14:paraId="26470D48" w14:textId="7F7D7B68" w:rsidR="00095FD0" w:rsidRPr="00AC29A0" w:rsidRDefault="00332071"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The recommended method for measuring employee engagement at Mandarin Oriental is questionnaire</w:t>
      </w:r>
      <w:r w:rsidR="00697871" w:rsidRPr="00AC29A0">
        <w:rPr>
          <w:rFonts w:ascii="Arial" w:eastAsia="Times New Roman" w:hAnsi="Arial" w:cs="Arial"/>
          <w:color w:val="0E101A"/>
          <w:sz w:val="24"/>
          <w:szCs w:val="24"/>
        </w:rPr>
        <w:t xml:space="preserve">. One of the reasons for recommending </w:t>
      </w:r>
      <w:r w:rsidRPr="00AC29A0">
        <w:rPr>
          <w:rFonts w:ascii="Arial" w:eastAsia="Times New Roman" w:hAnsi="Arial" w:cs="Arial"/>
          <w:color w:val="0E101A"/>
          <w:sz w:val="24"/>
          <w:szCs w:val="24"/>
        </w:rPr>
        <w:t>this technique</w:t>
      </w:r>
      <w:r w:rsidR="00697871" w:rsidRPr="00AC29A0">
        <w:rPr>
          <w:rFonts w:ascii="Arial" w:eastAsia="Times New Roman" w:hAnsi="Arial" w:cs="Arial"/>
          <w:color w:val="0E101A"/>
          <w:sz w:val="24"/>
          <w:szCs w:val="24"/>
        </w:rPr>
        <w:t xml:space="preserve"> is </w:t>
      </w:r>
      <w:r w:rsidR="008075E8" w:rsidRPr="00AC29A0">
        <w:rPr>
          <w:rFonts w:ascii="Arial" w:eastAsia="Times New Roman" w:hAnsi="Arial" w:cs="Arial"/>
          <w:color w:val="0E101A"/>
          <w:sz w:val="24"/>
          <w:szCs w:val="24"/>
        </w:rPr>
        <w:t xml:space="preserve">that </w:t>
      </w:r>
      <w:r w:rsidRPr="00AC29A0">
        <w:rPr>
          <w:rFonts w:ascii="Arial" w:eastAsia="Times New Roman" w:hAnsi="Arial" w:cs="Arial"/>
          <w:color w:val="0E101A"/>
          <w:sz w:val="24"/>
          <w:szCs w:val="24"/>
        </w:rPr>
        <w:t xml:space="preserve">questionnaires </w:t>
      </w:r>
      <w:r w:rsidR="00697871" w:rsidRPr="00AC29A0">
        <w:rPr>
          <w:rFonts w:ascii="Arial" w:eastAsia="Times New Roman" w:hAnsi="Arial" w:cs="Arial"/>
          <w:color w:val="0E101A"/>
          <w:sz w:val="24"/>
          <w:szCs w:val="24"/>
        </w:rPr>
        <w:t xml:space="preserve">provide insightful information and data on </w:t>
      </w:r>
      <w:r w:rsidRPr="00AC29A0">
        <w:rPr>
          <w:rFonts w:ascii="Arial" w:eastAsia="Times New Roman" w:hAnsi="Arial" w:cs="Arial"/>
          <w:color w:val="0E101A"/>
          <w:sz w:val="24"/>
          <w:szCs w:val="24"/>
        </w:rPr>
        <w:t>workers’</w:t>
      </w:r>
      <w:r w:rsidR="00697871" w:rsidRPr="00AC29A0">
        <w:rPr>
          <w:rFonts w:ascii="Arial" w:eastAsia="Times New Roman" w:hAnsi="Arial" w:cs="Arial"/>
          <w:color w:val="0E101A"/>
          <w:sz w:val="24"/>
          <w:szCs w:val="24"/>
        </w:rPr>
        <w:t xml:space="preserve"> perceptions of the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 and the management in general</w:t>
      </w:r>
      <w:r w:rsidR="008667EC" w:rsidRPr="00AC29A0">
        <w:rPr>
          <w:rFonts w:ascii="Arial" w:eastAsia="Times New Roman" w:hAnsi="Arial" w:cs="Arial"/>
          <w:color w:val="0E101A"/>
          <w:sz w:val="24"/>
          <w:szCs w:val="24"/>
        </w:rPr>
        <w:t xml:space="preserve"> (Othman et al.,2018, pp 863-869)</w:t>
      </w:r>
      <w:r w:rsidR="00697871" w:rsidRPr="00AC29A0">
        <w:rPr>
          <w:rFonts w:ascii="Arial" w:eastAsia="Times New Roman" w:hAnsi="Arial" w:cs="Arial"/>
          <w:color w:val="0E101A"/>
          <w:sz w:val="24"/>
          <w:szCs w:val="24"/>
        </w:rPr>
        <w:t>.</w:t>
      </w:r>
    </w:p>
    <w:p w14:paraId="367C0E11" w14:textId="5A1F04F1" w:rsidR="00EF0AEE" w:rsidRPr="00AC29A0" w:rsidRDefault="00095FD0" w:rsidP="00C90874">
      <w:pPr>
        <w:spacing w:after="0" w:line="360" w:lineRule="auto"/>
        <w:jc w:val="both"/>
        <w:rPr>
          <w:rFonts w:ascii="Arial" w:eastAsia="Times New Roman" w:hAnsi="Arial" w:cs="Arial"/>
          <w:b/>
          <w:bCs/>
          <w:color w:val="0E101A"/>
          <w:sz w:val="24"/>
          <w:szCs w:val="24"/>
        </w:rPr>
      </w:pPr>
      <w:r w:rsidRPr="00AC29A0">
        <w:rPr>
          <w:rFonts w:ascii="Arial" w:eastAsia="Times New Roman" w:hAnsi="Arial" w:cs="Arial"/>
          <w:b/>
          <w:bCs/>
          <w:color w:val="0E101A"/>
          <w:sz w:val="24"/>
          <w:szCs w:val="24"/>
        </w:rPr>
        <w:t>Reasons for Recommending</w:t>
      </w:r>
      <w:r w:rsidR="00811F27">
        <w:rPr>
          <w:rFonts w:ascii="Arial" w:eastAsia="Times New Roman" w:hAnsi="Arial" w:cs="Arial"/>
          <w:b/>
          <w:bCs/>
          <w:color w:val="0E101A"/>
          <w:sz w:val="24"/>
          <w:szCs w:val="24"/>
        </w:rPr>
        <w:t xml:space="preserve"> Questionnaires </w:t>
      </w:r>
    </w:p>
    <w:p w14:paraId="1E523473" w14:textId="3EABF5C7" w:rsidR="008075E8" w:rsidRPr="00AC29A0" w:rsidRDefault="00DA18BD" w:rsidP="00C90874">
      <w:pPr>
        <w:spacing w:after="0" w:line="360" w:lineRule="auto"/>
        <w:ind w:firstLine="720"/>
        <w:jc w:val="both"/>
        <w:rPr>
          <w:rFonts w:ascii="Arial" w:eastAsia="Times New Roman" w:hAnsi="Arial" w:cs="Arial"/>
          <w:color w:val="0E101A"/>
          <w:sz w:val="24"/>
          <w:szCs w:val="24"/>
        </w:rPr>
      </w:pPr>
      <w:r w:rsidRPr="00AC29A0">
        <w:rPr>
          <w:rFonts w:ascii="Arial" w:hAnsi="Arial" w:cs="Arial"/>
          <w:sz w:val="24"/>
          <w:szCs w:val="24"/>
        </w:rPr>
        <w:t>Several factors have influenced the recommendation of questionnaires as the</w:t>
      </w:r>
      <w:r w:rsidR="00395A56" w:rsidRPr="00AC29A0">
        <w:rPr>
          <w:rFonts w:ascii="Arial" w:hAnsi="Arial" w:cs="Arial"/>
          <w:sz w:val="24"/>
          <w:szCs w:val="24"/>
        </w:rPr>
        <w:t xml:space="preserve"> </w:t>
      </w:r>
      <w:r w:rsidR="00395A56" w:rsidRPr="00AC29A0">
        <w:rPr>
          <w:rFonts w:ascii="Arial" w:eastAsia="Times New Roman" w:hAnsi="Arial" w:cs="Arial"/>
          <w:color w:val="0E101A"/>
          <w:sz w:val="24"/>
          <w:szCs w:val="24"/>
        </w:rPr>
        <w:t>tool for measuring employee engagement</w:t>
      </w:r>
      <w:r w:rsidRPr="00AC29A0">
        <w:rPr>
          <w:rFonts w:ascii="Arial" w:eastAsia="Times New Roman" w:hAnsi="Arial" w:cs="Arial"/>
          <w:color w:val="0E101A"/>
          <w:sz w:val="24"/>
          <w:szCs w:val="24"/>
        </w:rPr>
        <w:t>. For instance, questionnaires</w:t>
      </w:r>
      <w:r w:rsidR="00395A56" w:rsidRPr="00AC29A0">
        <w:rPr>
          <w:rFonts w:ascii="Arial" w:eastAsia="Times New Roman" w:hAnsi="Arial" w:cs="Arial"/>
          <w:color w:val="0E101A"/>
          <w:sz w:val="24"/>
          <w:szCs w:val="24"/>
        </w:rPr>
        <w:t xml:space="preserve"> are cost-effective and viable for collecting data from a large sample. This will benefit the hotel since the costs will be cut significantly and used for other things.</w:t>
      </w:r>
      <w:r w:rsidRPr="00AC29A0">
        <w:rPr>
          <w:rFonts w:ascii="Arial" w:eastAsia="Times New Roman" w:hAnsi="Arial" w:cs="Arial"/>
          <w:color w:val="0E101A"/>
          <w:sz w:val="24"/>
          <w:szCs w:val="24"/>
        </w:rPr>
        <w:t xml:space="preserve"> </w:t>
      </w:r>
      <w:r w:rsidR="00395A56" w:rsidRPr="00AC29A0">
        <w:rPr>
          <w:rFonts w:ascii="Arial" w:eastAsia="Times New Roman" w:hAnsi="Arial" w:cs="Arial"/>
          <w:color w:val="0E101A"/>
          <w:sz w:val="24"/>
          <w:szCs w:val="24"/>
        </w:rPr>
        <w:t xml:space="preserve">Another reason </w:t>
      </w:r>
      <w:r w:rsidRPr="00AC29A0">
        <w:rPr>
          <w:rFonts w:ascii="Arial" w:eastAsia="Times New Roman" w:hAnsi="Arial" w:cs="Arial"/>
          <w:color w:val="0E101A"/>
          <w:sz w:val="24"/>
          <w:szCs w:val="24"/>
        </w:rPr>
        <w:t>for this recommendation</w:t>
      </w:r>
      <w:r w:rsidR="00395A56" w:rsidRPr="00AC29A0">
        <w:rPr>
          <w:rFonts w:ascii="Arial" w:eastAsia="Times New Roman" w:hAnsi="Arial" w:cs="Arial"/>
          <w:color w:val="0E101A"/>
          <w:sz w:val="24"/>
          <w:szCs w:val="24"/>
        </w:rPr>
        <w:t xml:space="preserve"> is that </w:t>
      </w:r>
      <w:r w:rsidRPr="00AC29A0">
        <w:rPr>
          <w:rFonts w:ascii="Arial" w:eastAsia="Times New Roman" w:hAnsi="Arial" w:cs="Arial"/>
          <w:color w:val="0E101A"/>
          <w:sz w:val="24"/>
          <w:szCs w:val="24"/>
        </w:rPr>
        <w:t>questionnaires</w:t>
      </w:r>
      <w:r w:rsidR="00395A56" w:rsidRPr="00AC29A0">
        <w:rPr>
          <w:rFonts w:ascii="Arial" w:eastAsia="Times New Roman" w:hAnsi="Arial" w:cs="Arial"/>
          <w:color w:val="0E101A"/>
          <w:sz w:val="24"/>
          <w:szCs w:val="24"/>
        </w:rPr>
        <w:t xml:space="preserve"> enhance data privacy. This is because they are relatively anonymous ways for employees to issue feedback without availing their credentials. The anonymity aspect of questionnaires is essential because data and information protection are often valued, thus</w:t>
      </w:r>
      <w:r w:rsidRPr="00AC29A0">
        <w:rPr>
          <w:rFonts w:ascii="Arial" w:eastAsia="Times New Roman" w:hAnsi="Arial" w:cs="Arial"/>
          <w:color w:val="0E101A"/>
          <w:sz w:val="24"/>
          <w:szCs w:val="24"/>
        </w:rPr>
        <w:t>,</w:t>
      </w:r>
      <w:r w:rsidR="00395A56" w:rsidRPr="00AC29A0">
        <w:rPr>
          <w:rFonts w:ascii="Arial" w:eastAsia="Times New Roman" w:hAnsi="Arial" w:cs="Arial"/>
          <w:color w:val="0E101A"/>
          <w:sz w:val="24"/>
          <w:szCs w:val="24"/>
        </w:rPr>
        <w:t xml:space="preserve"> will prevent the top management from infringing on the employees' rights. The employees will also provide accurate responses because of the anonymity of the questionnaires.</w:t>
      </w:r>
      <w:r w:rsidRPr="00AC29A0">
        <w:rPr>
          <w:rFonts w:ascii="Arial" w:eastAsia="Times New Roman" w:hAnsi="Arial" w:cs="Arial"/>
          <w:color w:val="0E101A"/>
          <w:sz w:val="24"/>
          <w:szCs w:val="24"/>
        </w:rPr>
        <w:t xml:space="preserve"> </w:t>
      </w:r>
      <w:r w:rsidR="00395A56" w:rsidRPr="00AC29A0">
        <w:rPr>
          <w:rFonts w:ascii="Arial" w:eastAsia="Times New Roman" w:hAnsi="Arial" w:cs="Arial"/>
          <w:color w:val="0E101A"/>
          <w:sz w:val="24"/>
          <w:szCs w:val="24"/>
        </w:rPr>
        <w:t xml:space="preserve">Finally, </w:t>
      </w:r>
      <w:r w:rsidRPr="00AC29A0">
        <w:rPr>
          <w:rFonts w:ascii="Arial" w:eastAsia="Times New Roman" w:hAnsi="Arial" w:cs="Arial"/>
          <w:color w:val="0E101A"/>
          <w:sz w:val="24"/>
          <w:szCs w:val="24"/>
        </w:rPr>
        <w:t xml:space="preserve">questionnaires will give </w:t>
      </w:r>
      <w:r w:rsidR="00395A56" w:rsidRPr="00AC29A0">
        <w:rPr>
          <w:rFonts w:ascii="Arial" w:eastAsia="Times New Roman" w:hAnsi="Arial" w:cs="Arial"/>
          <w:color w:val="0E101A"/>
          <w:sz w:val="24"/>
          <w:szCs w:val="24"/>
        </w:rPr>
        <w:t xml:space="preserve">the hotel management an opportunity to modify </w:t>
      </w:r>
      <w:r w:rsidRPr="00AC29A0">
        <w:rPr>
          <w:rFonts w:ascii="Arial" w:eastAsia="Times New Roman" w:hAnsi="Arial" w:cs="Arial"/>
          <w:color w:val="0E101A"/>
          <w:sz w:val="24"/>
          <w:szCs w:val="24"/>
        </w:rPr>
        <w:t>them</w:t>
      </w:r>
      <w:r w:rsidR="00395A56" w:rsidRPr="00AC29A0">
        <w:rPr>
          <w:rFonts w:ascii="Arial" w:eastAsia="Times New Roman" w:hAnsi="Arial" w:cs="Arial"/>
          <w:color w:val="0E101A"/>
          <w:sz w:val="24"/>
          <w:szCs w:val="24"/>
        </w:rPr>
        <w:t xml:space="preserve"> according to their wish and obtain the appropriate data they need for their analysis and to make strategic decisions.</w:t>
      </w:r>
    </w:p>
    <w:p w14:paraId="0BF6496D" w14:textId="3BA8B8CB" w:rsidR="00F46670" w:rsidRPr="00AC29A0" w:rsidRDefault="00F46670" w:rsidP="00C90874">
      <w:pPr>
        <w:spacing w:after="0" w:line="360" w:lineRule="auto"/>
        <w:jc w:val="center"/>
        <w:rPr>
          <w:rFonts w:ascii="Arial" w:eastAsia="Times New Roman" w:hAnsi="Arial" w:cs="Arial"/>
          <w:color w:val="0E101A"/>
          <w:sz w:val="24"/>
          <w:szCs w:val="24"/>
        </w:rPr>
      </w:pPr>
      <w:r w:rsidRPr="00AC29A0">
        <w:rPr>
          <w:rFonts w:ascii="Arial" w:eastAsia="Times New Roman" w:hAnsi="Arial" w:cs="Arial"/>
          <w:b/>
          <w:bCs/>
          <w:color w:val="0E101A"/>
          <w:sz w:val="24"/>
          <w:szCs w:val="24"/>
        </w:rPr>
        <w:t>Evaluation and Conclusions</w:t>
      </w:r>
    </w:p>
    <w:p w14:paraId="4492B1D6" w14:textId="6DD859CF" w:rsidR="00A66632" w:rsidRPr="00AC29A0" w:rsidRDefault="00DA18BD" w:rsidP="00C90874">
      <w:pPr>
        <w:spacing w:after="0" w:line="360" w:lineRule="auto"/>
        <w:jc w:val="both"/>
        <w:rPr>
          <w:rFonts w:ascii="Arial" w:eastAsia="Times New Roman" w:hAnsi="Arial" w:cs="Arial"/>
          <w:color w:val="0E101A"/>
          <w:sz w:val="24"/>
          <w:szCs w:val="24"/>
        </w:rPr>
      </w:pPr>
      <w:r w:rsidRPr="00AC29A0">
        <w:rPr>
          <w:rFonts w:ascii="Arial" w:eastAsia="Times New Roman" w:hAnsi="Arial" w:cs="Arial"/>
          <w:color w:val="0E101A"/>
          <w:sz w:val="24"/>
          <w:szCs w:val="24"/>
        </w:rPr>
        <w:tab/>
      </w:r>
      <w:r w:rsidR="00A66632" w:rsidRPr="00AC29A0">
        <w:rPr>
          <w:rFonts w:ascii="Arial" w:eastAsia="Times New Roman" w:hAnsi="Arial" w:cs="Arial"/>
          <w:color w:val="0E101A"/>
          <w:sz w:val="24"/>
          <w:szCs w:val="24"/>
        </w:rPr>
        <w:t>Employee questionnaires are a common and effective way to measure employee engagement. By asking employees questions about their satisfaction with their job, their level of commitment to the organi</w:t>
      </w:r>
      <w:r w:rsidR="00AC29A0" w:rsidRPr="00AC29A0">
        <w:rPr>
          <w:rFonts w:ascii="Arial" w:eastAsia="Times New Roman" w:hAnsi="Arial" w:cs="Arial"/>
          <w:color w:val="0E101A"/>
          <w:sz w:val="24"/>
          <w:szCs w:val="24"/>
        </w:rPr>
        <w:t>sation</w:t>
      </w:r>
      <w:r w:rsidR="00A66632" w:rsidRPr="00AC29A0">
        <w:rPr>
          <w:rFonts w:ascii="Arial" w:eastAsia="Times New Roman" w:hAnsi="Arial" w:cs="Arial"/>
          <w:color w:val="0E101A"/>
          <w:sz w:val="24"/>
          <w:szCs w:val="24"/>
        </w:rPr>
        <w:t>, and their perceptions of their co-workers, managers can get a good sense of how engaged employees are. Questionnaires can measure employee engagement in several ways. For example, they can identify employees who are most satisfied with their jobs and are least comfortable (Louzao and Crespi-Vallbona,2022, pp 73-75). They can also determine which employees are most likely to leave the organi</w:t>
      </w:r>
      <w:r w:rsidR="00AC29A0" w:rsidRPr="00AC29A0">
        <w:rPr>
          <w:rFonts w:ascii="Arial" w:eastAsia="Times New Roman" w:hAnsi="Arial" w:cs="Arial"/>
          <w:color w:val="0E101A"/>
          <w:sz w:val="24"/>
          <w:szCs w:val="24"/>
        </w:rPr>
        <w:t>sation</w:t>
      </w:r>
      <w:r w:rsidR="00A66632" w:rsidRPr="00AC29A0">
        <w:rPr>
          <w:rFonts w:ascii="Arial" w:eastAsia="Times New Roman" w:hAnsi="Arial" w:cs="Arial"/>
          <w:color w:val="0E101A"/>
          <w:sz w:val="24"/>
          <w:szCs w:val="24"/>
        </w:rPr>
        <w:t xml:space="preserve"> and which are most likely to stay.</w:t>
      </w:r>
    </w:p>
    <w:p w14:paraId="57A68402" w14:textId="0832EA83" w:rsidR="00A66632" w:rsidRPr="00AC29A0" w:rsidRDefault="00A66632"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Questionnaires can also identify which employees are most engaged in their work. This information can be used to develop strategies to increase employee engagement. For example, if managers know which employees are most engaged, they can identify what they have in common and try to replicate these conditions for other employees. Even though questionnaires are vital tools of measurement, Louzao, and Crespi-Vallbona, (2022, pp 73-75) note that they are only one tool and should be used in conjunction with other methods, such as interviews and focus groups, to get a complete picture of employee engagement. By understanding what the hotel staff value most in their work, the hotel management can make changes to improve their work experience and encourage them to stay with the company. In addition, the questionnaire can help identify areas where employees are not satisfied and make the necessary changes. </w:t>
      </w:r>
    </w:p>
    <w:p w14:paraId="2A23201D" w14:textId="59B18701" w:rsidR="00A66632" w:rsidRPr="00AC29A0" w:rsidRDefault="00A66632" w:rsidP="00C90874">
      <w:pPr>
        <w:spacing w:after="0" w:line="360" w:lineRule="auto"/>
        <w:ind w:firstLine="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Employee feedback is an essential part of communication that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al managers must consider. In the case of Mandarin Oriental Hyde Park, London, for the general manager to make the changes and improve the working conditions of the employees, they must survey to gather information on the staffs feeling towards their jobs. This survey will only be possible if the general manager adheres to the proposed tool of measuring employee engagement. Questionnaires will enable the manager to devise questions for the employees. On the other hand, the workers will give their complete responses to the questions asked on the questionnaires. The General manager would get the information they need to work on and improve the situation within the work environment. Thus, questionnaires will benefit Mandarin Oriental Hyde as they intensify workplace engagement. Besides, with the analysed data from the feedback, the managers can gauge whether productive employees are likely to exit or remain. With such vital data, the managers can change the situation around to retain their productive employees at the hotel. Hence, the hotel will maintain its good customer relation, and thus they will attract more potential international and domestic tourists, therefore, higher profits and competitive advantage over other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s. </w:t>
      </w:r>
    </w:p>
    <w:p w14:paraId="34554A58"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7EC95316"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264C36D7"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57FA4FF2"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7D7910EB"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01E9777B"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51EE4833"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1B698A51"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68D86AA1"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1AA07CEE" w14:textId="77777777" w:rsidR="002D07F9" w:rsidRPr="00AC29A0" w:rsidRDefault="002D07F9" w:rsidP="00C90874">
      <w:pPr>
        <w:spacing w:after="0" w:line="360" w:lineRule="auto"/>
        <w:jc w:val="both"/>
        <w:rPr>
          <w:rFonts w:ascii="Arial" w:eastAsia="Times New Roman" w:hAnsi="Arial" w:cs="Arial"/>
          <w:b/>
          <w:bCs/>
          <w:color w:val="0E101A"/>
          <w:sz w:val="24"/>
          <w:szCs w:val="24"/>
        </w:rPr>
      </w:pPr>
    </w:p>
    <w:p w14:paraId="31A6D7BE" w14:textId="6FC58698" w:rsidR="00DA18BD" w:rsidRPr="00AC29A0" w:rsidRDefault="00DA18BD" w:rsidP="00C90874">
      <w:pPr>
        <w:spacing w:line="360" w:lineRule="auto"/>
        <w:rPr>
          <w:rFonts w:ascii="Arial" w:eastAsia="Times New Roman" w:hAnsi="Arial" w:cs="Arial"/>
          <w:b/>
          <w:bCs/>
          <w:color w:val="0E101A"/>
          <w:sz w:val="24"/>
          <w:szCs w:val="24"/>
        </w:rPr>
      </w:pPr>
    </w:p>
    <w:p w14:paraId="143A55DA" w14:textId="71206BF5" w:rsidR="007B77AB" w:rsidRPr="00AC29A0" w:rsidRDefault="00F46670" w:rsidP="00C90874">
      <w:pPr>
        <w:spacing w:after="0" w:line="360" w:lineRule="auto"/>
        <w:jc w:val="center"/>
        <w:rPr>
          <w:rFonts w:ascii="Arial" w:hAnsi="Arial" w:cs="Arial"/>
          <w:sz w:val="24"/>
          <w:szCs w:val="24"/>
        </w:rPr>
      </w:pPr>
      <w:r w:rsidRPr="00AC29A0">
        <w:rPr>
          <w:rFonts w:ascii="Arial" w:eastAsia="Times New Roman" w:hAnsi="Arial" w:cs="Arial"/>
          <w:b/>
          <w:bCs/>
          <w:color w:val="0E101A"/>
          <w:sz w:val="24"/>
          <w:szCs w:val="24"/>
        </w:rPr>
        <w:t>Bibliography</w:t>
      </w:r>
    </w:p>
    <w:p w14:paraId="1CFC4B83"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Albrecht, S.L., Green, C.R. and Marty, A., 2021. Meaningful work, job resources, and employee engagement. </w:t>
      </w:r>
      <w:r w:rsidRPr="00AC29A0">
        <w:rPr>
          <w:rFonts w:ascii="Arial" w:eastAsia="Times New Roman" w:hAnsi="Arial" w:cs="Arial"/>
          <w:i/>
          <w:iCs/>
          <w:color w:val="0E101A"/>
          <w:sz w:val="24"/>
          <w:szCs w:val="24"/>
        </w:rPr>
        <w:t>Sustainability</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13</w:t>
      </w:r>
      <w:r w:rsidRPr="00AC29A0">
        <w:rPr>
          <w:rFonts w:ascii="Arial" w:eastAsia="Times New Roman" w:hAnsi="Arial" w:cs="Arial"/>
          <w:color w:val="0E101A"/>
          <w:sz w:val="24"/>
          <w:szCs w:val="24"/>
        </w:rPr>
        <w:t>(7), p.4045.</w:t>
      </w:r>
    </w:p>
    <w:p w14:paraId="15E9A6BA" w14:textId="22CC1A1D"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Chakraborty, T. and Ganguly, M., 2019. Crafting engaged employees through positive work environment: Perspectives of employee engagement. </w:t>
      </w:r>
      <w:r w:rsidRPr="00AC29A0">
        <w:rPr>
          <w:rFonts w:ascii="Arial" w:eastAsia="Times New Roman" w:hAnsi="Arial" w:cs="Arial"/>
          <w:i/>
          <w:iCs/>
          <w:color w:val="0E101A"/>
          <w:sz w:val="24"/>
          <w:szCs w:val="24"/>
        </w:rPr>
        <w:t>Management Techniques for Employee Engagement in Contemporary Organi</w:t>
      </w:r>
      <w:r w:rsidR="00AC29A0" w:rsidRPr="00AC29A0">
        <w:rPr>
          <w:rFonts w:ascii="Arial" w:eastAsia="Times New Roman" w:hAnsi="Arial" w:cs="Arial"/>
          <w:i/>
          <w:iCs/>
          <w:color w:val="0E101A"/>
          <w:sz w:val="24"/>
          <w:szCs w:val="24"/>
        </w:rPr>
        <w:t>sation</w:t>
      </w:r>
      <w:r w:rsidRPr="00AC29A0">
        <w:rPr>
          <w:rFonts w:ascii="Arial" w:eastAsia="Times New Roman" w:hAnsi="Arial" w:cs="Arial"/>
          <w:i/>
          <w:iCs/>
          <w:color w:val="0E101A"/>
          <w:sz w:val="24"/>
          <w:szCs w:val="24"/>
        </w:rPr>
        <w:t>s</w:t>
      </w:r>
      <w:r w:rsidRPr="00AC29A0">
        <w:rPr>
          <w:rFonts w:ascii="Arial" w:eastAsia="Times New Roman" w:hAnsi="Arial" w:cs="Arial"/>
          <w:color w:val="0E101A"/>
          <w:sz w:val="24"/>
          <w:szCs w:val="24"/>
        </w:rPr>
        <w:t> (pp. 180-198). IGI Global.</w:t>
      </w:r>
    </w:p>
    <w:p w14:paraId="3FADE1A5"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Gallant, W.H. and Martins, N., 2018. Measurement invariance of employee engagement across race groups. </w:t>
      </w:r>
      <w:r w:rsidRPr="00AC29A0">
        <w:rPr>
          <w:rFonts w:ascii="Arial" w:eastAsia="Times New Roman" w:hAnsi="Arial" w:cs="Arial"/>
          <w:i/>
          <w:iCs/>
          <w:color w:val="0E101A"/>
          <w:sz w:val="24"/>
          <w:szCs w:val="24"/>
        </w:rPr>
        <w:t>International Journal of Productivity and Performance Management</w:t>
      </w:r>
      <w:r w:rsidRPr="00AC29A0">
        <w:rPr>
          <w:rFonts w:ascii="Arial" w:eastAsia="Times New Roman" w:hAnsi="Arial" w:cs="Arial"/>
          <w:color w:val="0E101A"/>
          <w:sz w:val="24"/>
          <w:szCs w:val="24"/>
        </w:rPr>
        <w:t>.</w:t>
      </w:r>
    </w:p>
    <w:p w14:paraId="0CB65A00"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Hinzmann, R. A., Rašticová, M., &amp; Šácha, J. (2019). Factors of employee engagement at the workplace. Do years of service count? </w:t>
      </w:r>
      <w:r w:rsidRPr="00AC29A0">
        <w:rPr>
          <w:rFonts w:ascii="Arial" w:eastAsia="Times New Roman" w:hAnsi="Arial" w:cs="Arial"/>
          <w:i/>
          <w:iCs/>
          <w:color w:val="0E101A"/>
          <w:sz w:val="24"/>
          <w:szCs w:val="24"/>
        </w:rPr>
        <w:t>Acta Universitatis Agriculturae et Silviculturae Mendelianae Brunensis</w:t>
      </w:r>
      <w:r w:rsidRPr="00AC29A0">
        <w:rPr>
          <w:rFonts w:ascii="Arial" w:eastAsia="Times New Roman" w:hAnsi="Arial" w:cs="Arial"/>
          <w:color w:val="0E101A"/>
          <w:sz w:val="24"/>
          <w:szCs w:val="24"/>
        </w:rPr>
        <w:t>.</w:t>
      </w:r>
    </w:p>
    <w:p w14:paraId="4AA76A6C"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Johnson, S. and Pike, B., 2018. Employee retention: The state of engagement in public accounting firms and why it matters. </w:t>
      </w:r>
      <w:r w:rsidRPr="00AC29A0">
        <w:rPr>
          <w:rFonts w:ascii="Arial" w:eastAsia="Times New Roman" w:hAnsi="Arial" w:cs="Arial"/>
          <w:i/>
          <w:iCs/>
          <w:color w:val="0E101A"/>
          <w:sz w:val="24"/>
          <w:szCs w:val="24"/>
        </w:rPr>
        <w:t>The CPA Journal</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88</w:t>
      </w:r>
      <w:r w:rsidRPr="00AC29A0">
        <w:rPr>
          <w:rFonts w:ascii="Arial" w:eastAsia="Times New Roman" w:hAnsi="Arial" w:cs="Arial"/>
          <w:color w:val="0E101A"/>
          <w:sz w:val="24"/>
          <w:szCs w:val="24"/>
        </w:rPr>
        <w:t>(12), pp.64-66.</w:t>
      </w:r>
    </w:p>
    <w:p w14:paraId="13AA8276" w14:textId="63757CD9"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Kokkina, D., Magoutas, A. and Chountalas, P., 2018, December. The conceptuali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 xml:space="preserve"> of employee engagement and its distinction from related constructs. In </w:t>
      </w:r>
      <w:r w:rsidRPr="00AC29A0">
        <w:rPr>
          <w:rFonts w:ascii="Arial" w:eastAsia="Times New Roman" w:hAnsi="Arial" w:cs="Arial"/>
          <w:i/>
          <w:iCs/>
          <w:color w:val="0E101A"/>
          <w:sz w:val="24"/>
          <w:szCs w:val="24"/>
        </w:rPr>
        <w:t>Proceedings of the 8th International Conference on Management, Economics and Humanities (ICMEH)</w:t>
      </w:r>
      <w:r w:rsidRPr="00AC29A0">
        <w:rPr>
          <w:rFonts w:ascii="Arial" w:eastAsia="Times New Roman" w:hAnsi="Arial" w:cs="Arial"/>
          <w:color w:val="0E101A"/>
          <w:sz w:val="24"/>
          <w:szCs w:val="24"/>
        </w:rPr>
        <w:t> (pp. 124-133).</w:t>
      </w:r>
    </w:p>
    <w:p w14:paraId="0F5B9873"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Kwon, K. and Park, J., 2019. The life cycle of employee engagement theory in HRD research. </w:t>
      </w:r>
      <w:r w:rsidRPr="00AC29A0">
        <w:rPr>
          <w:rFonts w:ascii="Arial" w:eastAsia="Times New Roman" w:hAnsi="Arial" w:cs="Arial"/>
          <w:i/>
          <w:iCs/>
          <w:color w:val="0E101A"/>
          <w:sz w:val="24"/>
          <w:szCs w:val="24"/>
        </w:rPr>
        <w:t>Advances in Developing Human Resources</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21</w:t>
      </w:r>
      <w:r w:rsidRPr="00AC29A0">
        <w:rPr>
          <w:rFonts w:ascii="Arial" w:eastAsia="Times New Roman" w:hAnsi="Arial" w:cs="Arial"/>
          <w:color w:val="0E101A"/>
          <w:sz w:val="24"/>
          <w:szCs w:val="24"/>
        </w:rPr>
        <w:t>(3), pp.352-370.</w:t>
      </w:r>
    </w:p>
    <w:p w14:paraId="47F4345E"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Lemon, L.L. and Palenchar, M.J., 2018. Public relations and zones of engagement: Employees' lived experiences and the fundamental nature of employee engagement. </w:t>
      </w:r>
      <w:r w:rsidRPr="00AC29A0">
        <w:rPr>
          <w:rFonts w:ascii="Arial" w:eastAsia="Times New Roman" w:hAnsi="Arial" w:cs="Arial"/>
          <w:i/>
          <w:iCs/>
          <w:color w:val="0E101A"/>
          <w:sz w:val="24"/>
          <w:szCs w:val="24"/>
        </w:rPr>
        <w:t>Public Relations Review</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44</w:t>
      </w:r>
      <w:r w:rsidRPr="00AC29A0">
        <w:rPr>
          <w:rFonts w:ascii="Arial" w:eastAsia="Times New Roman" w:hAnsi="Arial" w:cs="Arial"/>
          <w:color w:val="0E101A"/>
          <w:sz w:val="24"/>
          <w:szCs w:val="24"/>
        </w:rPr>
        <w:t>(1), pp.142-155.</w:t>
      </w:r>
    </w:p>
    <w:p w14:paraId="7E89C3A6"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Lemon, L.L., 2019. The employee experience: How employees make meaning of employee engagement. </w:t>
      </w:r>
      <w:r w:rsidRPr="00AC29A0">
        <w:rPr>
          <w:rFonts w:ascii="Arial" w:eastAsia="Times New Roman" w:hAnsi="Arial" w:cs="Arial"/>
          <w:i/>
          <w:iCs/>
          <w:color w:val="0E101A"/>
          <w:sz w:val="24"/>
          <w:szCs w:val="24"/>
        </w:rPr>
        <w:t>Journal of Public Relations Research</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31</w:t>
      </w:r>
      <w:r w:rsidRPr="00AC29A0">
        <w:rPr>
          <w:rFonts w:ascii="Arial" w:eastAsia="Times New Roman" w:hAnsi="Arial" w:cs="Arial"/>
          <w:color w:val="0E101A"/>
          <w:sz w:val="24"/>
          <w:szCs w:val="24"/>
        </w:rPr>
        <w:t>(5-6), pp.176-199.</w:t>
      </w:r>
    </w:p>
    <w:p w14:paraId="0623BEC7"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Louzao, N., &amp; Crespi-Vallbona, M. (2022). Employee Engagement. In </w:t>
      </w:r>
      <w:r w:rsidRPr="00AC29A0">
        <w:rPr>
          <w:rFonts w:ascii="Arial" w:eastAsia="Times New Roman" w:hAnsi="Arial" w:cs="Arial"/>
          <w:i/>
          <w:iCs/>
          <w:color w:val="0E101A"/>
          <w:sz w:val="24"/>
          <w:szCs w:val="24"/>
        </w:rPr>
        <w:t>Encyclopedia of Tourism Management and Marketing</w:t>
      </w:r>
      <w:r w:rsidRPr="00AC29A0">
        <w:rPr>
          <w:rFonts w:ascii="Arial" w:eastAsia="Times New Roman" w:hAnsi="Arial" w:cs="Arial"/>
          <w:color w:val="0E101A"/>
          <w:sz w:val="24"/>
          <w:szCs w:val="24"/>
        </w:rPr>
        <w:t> (pp. 73-75). Edward Elgar Publishing.</w:t>
      </w:r>
    </w:p>
    <w:p w14:paraId="245A9B5B"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Mandarin Oriental International Limited. (2020). Annual Report.1-229</w:t>
      </w:r>
    </w:p>
    <w:p w14:paraId="4306BB57"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Motyka, B. (2018). Employee engagement and performance: a systematic literature review. </w:t>
      </w:r>
      <w:r w:rsidRPr="00AC29A0">
        <w:rPr>
          <w:rFonts w:ascii="Arial" w:eastAsia="Times New Roman" w:hAnsi="Arial" w:cs="Arial"/>
          <w:i/>
          <w:iCs/>
          <w:color w:val="0E101A"/>
          <w:sz w:val="24"/>
          <w:szCs w:val="24"/>
        </w:rPr>
        <w:t>International Journal of Management and Economics</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54</w:t>
      </w:r>
      <w:r w:rsidRPr="00AC29A0">
        <w:rPr>
          <w:rFonts w:ascii="Arial" w:eastAsia="Times New Roman" w:hAnsi="Arial" w:cs="Arial"/>
          <w:color w:val="0E101A"/>
          <w:sz w:val="24"/>
          <w:szCs w:val="24"/>
        </w:rPr>
        <w:t>(3), 227-244.</w:t>
      </w:r>
    </w:p>
    <w:p w14:paraId="744DC4CE"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Othman, A. K., Mahmud, Z., Noranee, S., &amp; Noordin, F. (2018, March). Measuring employee happiness: Analyzing the dimensionality of employee engagement. In </w:t>
      </w:r>
      <w:r w:rsidRPr="00AC29A0">
        <w:rPr>
          <w:rFonts w:ascii="Arial" w:eastAsia="Times New Roman" w:hAnsi="Arial" w:cs="Arial"/>
          <w:i/>
          <w:iCs/>
          <w:color w:val="0E101A"/>
          <w:sz w:val="24"/>
          <w:szCs w:val="24"/>
        </w:rPr>
        <w:t>International Conference on Kansei Engineering &amp; Emotion Research</w:t>
      </w:r>
      <w:r w:rsidRPr="00AC29A0">
        <w:rPr>
          <w:rFonts w:ascii="Arial" w:eastAsia="Times New Roman" w:hAnsi="Arial" w:cs="Arial"/>
          <w:color w:val="0E101A"/>
          <w:sz w:val="24"/>
          <w:szCs w:val="24"/>
        </w:rPr>
        <w:t> (pp. 863-869). Springer, Singapore.</w:t>
      </w:r>
    </w:p>
    <w:p w14:paraId="6684089F"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Phillips, M., 2018. International data-sharing norms: from the OECD to the General Data Protection Regulation (GDPR). </w:t>
      </w:r>
      <w:r w:rsidRPr="00AC29A0">
        <w:rPr>
          <w:rFonts w:ascii="Arial" w:eastAsia="Times New Roman" w:hAnsi="Arial" w:cs="Arial"/>
          <w:i/>
          <w:iCs/>
          <w:color w:val="0E101A"/>
          <w:sz w:val="24"/>
          <w:szCs w:val="24"/>
        </w:rPr>
        <w:t>Human genetics</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137</w:t>
      </w:r>
      <w:r w:rsidRPr="00AC29A0">
        <w:rPr>
          <w:rFonts w:ascii="Arial" w:eastAsia="Times New Roman" w:hAnsi="Arial" w:cs="Arial"/>
          <w:color w:val="0E101A"/>
          <w:sz w:val="24"/>
          <w:szCs w:val="24"/>
        </w:rPr>
        <w:t>(8), pp.575-582.</w:t>
      </w:r>
    </w:p>
    <w:p w14:paraId="724BAA47" w14:textId="134841A5"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Rameshkumar, M. (2020). Employee engagement as an antecedent of organi</w:t>
      </w:r>
      <w:r w:rsidR="00AC29A0" w:rsidRPr="00AC29A0">
        <w:rPr>
          <w:rFonts w:ascii="Arial" w:eastAsia="Times New Roman" w:hAnsi="Arial" w:cs="Arial"/>
          <w:color w:val="0E101A"/>
          <w:sz w:val="24"/>
          <w:szCs w:val="24"/>
        </w:rPr>
        <w:t>sation</w:t>
      </w:r>
      <w:r w:rsidRPr="00AC29A0">
        <w:rPr>
          <w:rFonts w:ascii="Arial" w:eastAsia="Times New Roman" w:hAnsi="Arial" w:cs="Arial"/>
          <w:color w:val="0E101A"/>
          <w:sz w:val="24"/>
          <w:szCs w:val="24"/>
        </w:rPr>
        <w:t>al commitment–A study on Indian seafaring officers. </w:t>
      </w:r>
      <w:r w:rsidRPr="00AC29A0">
        <w:rPr>
          <w:rFonts w:ascii="Arial" w:eastAsia="Times New Roman" w:hAnsi="Arial" w:cs="Arial"/>
          <w:i/>
          <w:iCs/>
          <w:color w:val="0E101A"/>
          <w:sz w:val="24"/>
          <w:szCs w:val="24"/>
        </w:rPr>
        <w:t>The Asian Journal of Shipping and Logistics</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36</w:t>
      </w:r>
      <w:r w:rsidRPr="00AC29A0">
        <w:rPr>
          <w:rFonts w:ascii="Arial" w:eastAsia="Times New Roman" w:hAnsi="Arial" w:cs="Arial"/>
          <w:color w:val="0E101A"/>
          <w:sz w:val="24"/>
          <w:szCs w:val="24"/>
        </w:rPr>
        <w:t>(3), 105-112.</w:t>
      </w:r>
    </w:p>
    <w:p w14:paraId="5BD062EC"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Saarinen, I. J. (2021). Seeking dialogic employee engagement: Employee understandings of engagement and dialogic communication.</w:t>
      </w:r>
    </w:p>
    <w:p w14:paraId="646FDEC2"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Saks, A. M. (2022). Caring for human resources management and employee engagement. </w:t>
      </w:r>
      <w:r w:rsidRPr="00AC29A0">
        <w:rPr>
          <w:rFonts w:ascii="Arial" w:eastAsia="Times New Roman" w:hAnsi="Arial" w:cs="Arial"/>
          <w:i/>
          <w:iCs/>
          <w:color w:val="0E101A"/>
          <w:sz w:val="24"/>
          <w:szCs w:val="24"/>
        </w:rPr>
        <w:t>Human Resource Management Review</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32</w:t>
      </w:r>
      <w:r w:rsidRPr="00AC29A0">
        <w:rPr>
          <w:rFonts w:ascii="Arial" w:eastAsia="Times New Roman" w:hAnsi="Arial" w:cs="Arial"/>
          <w:color w:val="0E101A"/>
          <w:sz w:val="24"/>
          <w:szCs w:val="24"/>
        </w:rPr>
        <w:t>(3), 100835.</w:t>
      </w:r>
    </w:p>
    <w:p w14:paraId="32C1AF50" w14:textId="03DA8008"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 xml:space="preserve">Shrotryia, V. K., </w:t>
      </w:r>
      <w:r w:rsidR="00235113" w:rsidRPr="00AC29A0">
        <w:rPr>
          <w:rFonts w:ascii="Arial" w:eastAsia="Times New Roman" w:hAnsi="Arial" w:cs="Arial"/>
          <w:color w:val="0E101A"/>
          <w:sz w:val="24"/>
          <w:szCs w:val="24"/>
        </w:rPr>
        <w:t>and</w:t>
      </w:r>
      <w:r w:rsidRPr="00AC29A0">
        <w:rPr>
          <w:rFonts w:ascii="Arial" w:eastAsia="Times New Roman" w:hAnsi="Arial" w:cs="Arial"/>
          <w:color w:val="0E101A"/>
          <w:sz w:val="24"/>
          <w:szCs w:val="24"/>
        </w:rPr>
        <w:t xml:space="preserve"> Dhanda, U. (2019). Content validity of assessment instrument for employee engagement. </w:t>
      </w:r>
      <w:r w:rsidRPr="00AC29A0">
        <w:rPr>
          <w:rFonts w:ascii="Arial" w:eastAsia="Times New Roman" w:hAnsi="Arial" w:cs="Arial"/>
          <w:i/>
          <w:iCs/>
          <w:color w:val="0E101A"/>
          <w:sz w:val="24"/>
          <w:szCs w:val="24"/>
        </w:rPr>
        <w:t>Sage Open</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9</w:t>
      </w:r>
      <w:r w:rsidRPr="00AC29A0">
        <w:rPr>
          <w:rFonts w:ascii="Arial" w:eastAsia="Times New Roman" w:hAnsi="Arial" w:cs="Arial"/>
          <w:color w:val="0E101A"/>
          <w:sz w:val="24"/>
          <w:szCs w:val="24"/>
        </w:rPr>
        <w:t>(1), 2158244018821751</w:t>
      </w:r>
    </w:p>
    <w:p w14:paraId="4B6F6D0C" w14:textId="77777777"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Sun, L., &amp; Bunchapattanasakda, C. (2019). Employee engagement: A literature review. </w:t>
      </w:r>
      <w:r w:rsidRPr="00AC29A0">
        <w:rPr>
          <w:rFonts w:ascii="Arial" w:eastAsia="Times New Roman" w:hAnsi="Arial" w:cs="Arial"/>
          <w:i/>
          <w:iCs/>
          <w:color w:val="0E101A"/>
          <w:sz w:val="24"/>
          <w:szCs w:val="24"/>
        </w:rPr>
        <w:t>International Journal of Human Resource Studies</w:t>
      </w:r>
      <w:r w:rsidRPr="00AC29A0">
        <w:rPr>
          <w:rFonts w:ascii="Arial" w:eastAsia="Times New Roman" w:hAnsi="Arial" w:cs="Arial"/>
          <w:color w:val="0E101A"/>
          <w:sz w:val="24"/>
          <w:szCs w:val="24"/>
        </w:rPr>
        <w:t>, </w:t>
      </w:r>
      <w:r w:rsidRPr="00AC29A0">
        <w:rPr>
          <w:rFonts w:ascii="Arial" w:eastAsia="Times New Roman" w:hAnsi="Arial" w:cs="Arial"/>
          <w:i/>
          <w:iCs/>
          <w:color w:val="0E101A"/>
          <w:sz w:val="24"/>
          <w:szCs w:val="24"/>
        </w:rPr>
        <w:t>9</w:t>
      </w:r>
      <w:r w:rsidRPr="00AC29A0">
        <w:rPr>
          <w:rFonts w:ascii="Arial" w:eastAsia="Times New Roman" w:hAnsi="Arial" w:cs="Arial"/>
          <w:color w:val="0E101A"/>
          <w:sz w:val="24"/>
          <w:szCs w:val="24"/>
        </w:rPr>
        <w:t>(1), 63-80.</w:t>
      </w:r>
    </w:p>
    <w:p w14:paraId="0CB74F29" w14:textId="00DD9993" w:rsidR="007B77AB" w:rsidRPr="00AC29A0" w:rsidRDefault="007B77AB" w:rsidP="00C90874">
      <w:pPr>
        <w:spacing w:after="0" w:line="360" w:lineRule="auto"/>
        <w:ind w:left="720" w:hanging="720"/>
        <w:jc w:val="both"/>
        <w:rPr>
          <w:rFonts w:ascii="Arial" w:eastAsia="Times New Roman" w:hAnsi="Arial" w:cs="Arial"/>
          <w:color w:val="0E101A"/>
          <w:sz w:val="24"/>
          <w:szCs w:val="24"/>
        </w:rPr>
      </w:pPr>
      <w:r w:rsidRPr="00AC29A0">
        <w:rPr>
          <w:rFonts w:ascii="Arial" w:eastAsia="Times New Roman" w:hAnsi="Arial" w:cs="Arial"/>
          <w:color w:val="0E101A"/>
          <w:sz w:val="24"/>
          <w:szCs w:val="24"/>
        </w:rPr>
        <w:t>Turner, P., 2020. Twenty Important Conclusions About Employee Engagement. In </w:t>
      </w:r>
      <w:r w:rsidRPr="00AC29A0">
        <w:rPr>
          <w:rFonts w:ascii="Arial" w:eastAsia="Times New Roman" w:hAnsi="Arial" w:cs="Arial"/>
          <w:i/>
          <w:iCs/>
          <w:color w:val="0E101A"/>
          <w:sz w:val="24"/>
          <w:szCs w:val="24"/>
        </w:rPr>
        <w:t>Employee Engagement in Contemporary Organi</w:t>
      </w:r>
      <w:r w:rsidR="00AC29A0" w:rsidRPr="00AC29A0">
        <w:rPr>
          <w:rFonts w:ascii="Arial" w:eastAsia="Times New Roman" w:hAnsi="Arial" w:cs="Arial"/>
          <w:i/>
          <w:iCs/>
          <w:color w:val="0E101A"/>
          <w:sz w:val="24"/>
          <w:szCs w:val="24"/>
        </w:rPr>
        <w:t>sation</w:t>
      </w:r>
      <w:r w:rsidRPr="00AC29A0">
        <w:rPr>
          <w:rFonts w:ascii="Arial" w:eastAsia="Times New Roman" w:hAnsi="Arial" w:cs="Arial"/>
          <w:i/>
          <w:iCs/>
          <w:color w:val="0E101A"/>
          <w:sz w:val="24"/>
          <w:szCs w:val="24"/>
        </w:rPr>
        <w:t>s</w:t>
      </w:r>
      <w:r w:rsidRPr="00AC29A0">
        <w:rPr>
          <w:rFonts w:ascii="Arial" w:eastAsia="Times New Roman" w:hAnsi="Arial" w:cs="Arial"/>
          <w:color w:val="0E101A"/>
          <w:sz w:val="24"/>
          <w:szCs w:val="24"/>
        </w:rPr>
        <w:t> (pp. 257-271). Palgrave Macmillan, Cham.</w:t>
      </w:r>
    </w:p>
    <w:sectPr w:rsidR="007B77AB" w:rsidRPr="00AC29A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0EA75" w14:textId="77777777" w:rsidR="00685C6C" w:rsidRDefault="00685C6C" w:rsidP="006D1A0F">
      <w:pPr>
        <w:spacing w:after="0" w:line="240" w:lineRule="auto"/>
      </w:pPr>
      <w:r>
        <w:separator/>
      </w:r>
    </w:p>
  </w:endnote>
  <w:endnote w:type="continuationSeparator" w:id="0">
    <w:p w14:paraId="2068B3E8" w14:textId="77777777" w:rsidR="00685C6C" w:rsidRDefault="00685C6C" w:rsidP="006D1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F60DC" w14:textId="77777777" w:rsidR="00685C6C" w:rsidRDefault="00685C6C" w:rsidP="006D1A0F">
      <w:pPr>
        <w:spacing w:after="0" w:line="240" w:lineRule="auto"/>
      </w:pPr>
      <w:r>
        <w:separator/>
      </w:r>
    </w:p>
  </w:footnote>
  <w:footnote w:type="continuationSeparator" w:id="0">
    <w:p w14:paraId="6486EFF0" w14:textId="77777777" w:rsidR="00685C6C" w:rsidRDefault="00685C6C" w:rsidP="006D1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1E8D4" w14:textId="6CCA6740" w:rsidR="006D1A0F" w:rsidRPr="006D1A0F" w:rsidRDefault="00B70A96" w:rsidP="006D1A0F">
    <w:pPr>
      <w:pStyle w:val="Header"/>
      <w:jc w:val="right"/>
      <w:rPr>
        <w:rFonts w:ascii="Arial" w:hAnsi="Arial" w:cs="Arial"/>
        <w:sz w:val="24"/>
        <w:szCs w:val="24"/>
        <w:lang w:val="en-US"/>
      </w:rPr>
    </w:pPr>
    <w:r>
      <w:rPr>
        <w:rFonts w:ascii="Arial" w:hAnsi="Arial" w:cs="Arial"/>
        <w:sz w:val="24"/>
        <w:szCs w:val="24"/>
        <w:lang w:val="en-US"/>
      </w:rPr>
      <w:t>`</w:t>
    </w:r>
    <w:r w:rsidR="001B58C6" w:rsidRPr="006D1A0F">
      <w:rPr>
        <w:rFonts w:ascii="Arial" w:hAnsi="Arial" w:cs="Arial"/>
        <w:sz w:val="24"/>
        <w:szCs w:val="24"/>
        <w:lang w:val="en-US"/>
      </w:rPr>
      <w:t xml:space="preserve">Research Proposal  </w:t>
    </w:r>
    <w:r w:rsidR="006D1A0F" w:rsidRPr="006D1A0F">
      <w:rPr>
        <w:rFonts w:ascii="Arial" w:hAnsi="Arial" w:cs="Arial"/>
        <w:sz w:val="24"/>
        <w:szCs w:val="24"/>
        <w:lang w:val="en-US"/>
      </w:rPr>
      <w:fldChar w:fldCharType="begin"/>
    </w:r>
    <w:r w:rsidR="006D1A0F" w:rsidRPr="006D1A0F">
      <w:rPr>
        <w:rFonts w:ascii="Arial" w:hAnsi="Arial" w:cs="Arial"/>
        <w:sz w:val="24"/>
        <w:szCs w:val="24"/>
        <w:lang w:val="en-US"/>
      </w:rPr>
      <w:instrText xml:space="preserve"> PAGE   \* MERGEFORMAT </w:instrText>
    </w:r>
    <w:r w:rsidR="006D1A0F" w:rsidRPr="006D1A0F">
      <w:rPr>
        <w:rFonts w:ascii="Arial" w:hAnsi="Arial" w:cs="Arial"/>
        <w:sz w:val="24"/>
        <w:szCs w:val="24"/>
        <w:lang w:val="en-US"/>
      </w:rPr>
      <w:fldChar w:fldCharType="separate"/>
    </w:r>
    <w:r w:rsidR="006D1A0F" w:rsidRPr="006D1A0F">
      <w:rPr>
        <w:rFonts w:ascii="Arial" w:hAnsi="Arial" w:cs="Arial"/>
        <w:noProof/>
        <w:sz w:val="24"/>
        <w:szCs w:val="24"/>
        <w:lang w:val="en-US"/>
      </w:rPr>
      <w:t>1</w:t>
    </w:r>
    <w:r w:rsidR="006D1A0F" w:rsidRPr="006D1A0F">
      <w:rPr>
        <w:rFonts w:ascii="Arial" w:hAnsi="Arial" w:cs="Arial"/>
        <w:noProof/>
        <w:sz w:val="24"/>
        <w:szCs w:val="24"/>
        <w:lang w:val="en-US"/>
      </w:rPr>
      <w:fldChar w:fldCharType="end"/>
    </w:r>
    <w:r w:rsidR="006D1A0F" w:rsidRPr="006D1A0F">
      <w:rPr>
        <w:rFonts w:ascii="Arial" w:hAnsi="Arial" w:cs="Arial"/>
        <w:sz w:val="24"/>
        <w:szCs w:val="24"/>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1028C6"/>
    <w:multiLevelType w:val="multilevel"/>
    <w:tmpl w:val="E19A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4D0CCE"/>
    <w:multiLevelType w:val="hybridMultilevel"/>
    <w:tmpl w:val="C0A626F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6681356D"/>
    <w:multiLevelType w:val="multilevel"/>
    <w:tmpl w:val="8DC8A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3703305">
    <w:abstractNumId w:val="1"/>
  </w:num>
  <w:num w:numId="2" w16cid:durableId="1381632741">
    <w:abstractNumId w:val="0"/>
  </w:num>
  <w:num w:numId="3" w16cid:durableId="6741886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A0F"/>
    <w:rsid w:val="0002069B"/>
    <w:rsid w:val="00061407"/>
    <w:rsid w:val="00063388"/>
    <w:rsid w:val="00082972"/>
    <w:rsid w:val="000868A3"/>
    <w:rsid w:val="000910E4"/>
    <w:rsid w:val="00095FD0"/>
    <w:rsid w:val="000F1096"/>
    <w:rsid w:val="00104988"/>
    <w:rsid w:val="001162FE"/>
    <w:rsid w:val="00141C26"/>
    <w:rsid w:val="001A6A7A"/>
    <w:rsid w:val="001B58C6"/>
    <w:rsid w:val="00206D4D"/>
    <w:rsid w:val="00212E02"/>
    <w:rsid w:val="00222EB9"/>
    <w:rsid w:val="00235113"/>
    <w:rsid w:val="002619C1"/>
    <w:rsid w:val="00283019"/>
    <w:rsid w:val="002C6712"/>
    <w:rsid w:val="002D07F9"/>
    <w:rsid w:val="002F6569"/>
    <w:rsid w:val="00302DC1"/>
    <w:rsid w:val="00311AC8"/>
    <w:rsid w:val="00312989"/>
    <w:rsid w:val="00317FB0"/>
    <w:rsid w:val="0032158E"/>
    <w:rsid w:val="00332071"/>
    <w:rsid w:val="00375BE3"/>
    <w:rsid w:val="00395A56"/>
    <w:rsid w:val="003C7686"/>
    <w:rsid w:val="0041127A"/>
    <w:rsid w:val="00414019"/>
    <w:rsid w:val="00430963"/>
    <w:rsid w:val="00441E65"/>
    <w:rsid w:val="00452A12"/>
    <w:rsid w:val="004945BA"/>
    <w:rsid w:val="00512364"/>
    <w:rsid w:val="005124BA"/>
    <w:rsid w:val="005400D9"/>
    <w:rsid w:val="005621D5"/>
    <w:rsid w:val="005B449E"/>
    <w:rsid w:val="005D3E9B"/>
    <w:rsid w:val="006540F8"/>
    <w:rsid w:val="006748E6"/>
    <w:rsid w:val="00685C6C"/>
    <w:rsid w:val="00692698"/>
    <w:rsid w:val="00697871"/>
    <w:rsid w:val="006B75E7"/>
    <w:rsid w:val="006D1A0F"/>
    <w:rsid w:val="006E4C51"/>
    <w:rsid w:val="006F7AF6"/>
    <w:rsid w:val="007015C8"/>
    <w:rsid w:val="007179CB"/>
    <w:rsid w:val="00745590"/>
    <w:rsid w:val="00763FB5"/>
    <w:rsid w:val="00771F96"/>
    <w:rsid w:val="007B51C5"/>
    <w:rsid w:val="007B77AB"/>
    <w:rsid w:val="007C3C43"/>
    <w:rsid w:val="007C4C5F"/>
    <w:rsid w:val="007D3D40"/>
    <w:rsid w:val="008075E8"/>
    <w:rsid w:val="00811F27"/>
    <w:rsid w:val="008143E6"/>
    <w:rsid w:val="00823F11"/>
    <w:rsid w:val="00863F8F"/>
    <w:rsid w:val="008667EC"/>
    <w:rsid w:val="008B7BDD"/>
    <w:rsid w:val="008E1709"/>
    <w:rsid w:val="00954D60"/>
    <w:rsid w:val="0095753C"/>
    <w:rsid w:val="009758EC"/>
    <w:rsid w:val="009A538B"/>
    <w:rsid w:val="009C119B"/>
    <w:rsid w:val="009C4907"/>
    <w:rsid w:val="009E1349"/>
    <w:rsid w:val="00A1375B"/>
    <w:rsid w:val="00A66632"/>
    <w:rsid w:val="00A66A09"/>
    <w:rsid w:val="00A738B1"/>
    <w:rsid w:val="00A742BA"/>
    <w:rsid w:val="00A941CF"/>
    <w:rsid w:val="00AC29A0"/>
    <w:rsid w:val="00B254CA"/>
    <w:rsid w:val="00B70A96"/>
    <w:rsid w:val="00BD1FC5"/>
    <w:rsid w:val="00BF2C26"/>
    <w:rsid w:val="00BF353A"/>
    <w:rsid w:val="00C22338"/>
    <w:rsid w:val="00C500B7"/>
    <w:rsid w:val="00C63609"/>
    <w:rsid w:val="00C90874"/>
    <w:rsid w:val="00C96FF8"/>
    <w:rsid w:val="00CB4420"/>
    <w:rsid w:val="00CD3A29"/>
    <w:rsid w:val="00D05735"/>
    <w:rsid w:val="00D11973"/>
    <w:rsid w:val="00D5634A"/>
    <w:rsid w:val="00D62D52"/>
    <w:rsid w:val="00DA18BD"/>
    <w:rsid w:val="00DC2875"/>
    <w:rsid w:val="00DC6576"/>
    <w:rsid w:val="00DC6FD4"/>
    <w:rsid w:val="00DE1648"/>
    <w:rsid w:val="00E35B88"/>
    <w:rsid w:val="00E6604F"/>
    <w:rsid w:val="00E675B6"/>
    <w:rsid w:val="00E863F7"/>
    <w:rsid w:val="00EE02E2"/>
    <w:rsid w:val="00EF0AEE"/>
    <w:rsid w:val="00EF47E3"/>
    <w:rsid w:val="00F071C0"/>
    <w:rsid w:val="00F36828"/>
    <w:rsid w:val="00F46670"/>
    <w:rsid w:val="00F51288"/>
    <w:rsid w:val="00F8409B"/>
    <w:rsid w:val="00FD0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2DF26"/>
  <w15:chartTrackingRefBased/>
  <w15:docId w15:val="{7D7F5089-2444-463E-9C3B-EDF7C6801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1A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A0F"/>
  </w:style>
  <w:style w:type="paragraph" w:styleId="Footer">
    <w:name w:val="footer"/>
    <w:basedOn w:val="Normal"/>
    <w:link w:val="FooterChar"/>
    <w:uiPriority w:val="99"/>
    <w:unhideWhenUsed/>
    <w:rsid w:val="006D1A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A0F"/>
  </w:style>
  <w:style w:type="paragraph" w:styleId="ListParagraph">
    <w:name w:val="List Paragraph"/>
    <w:basedOn w:val="Normal"/>
    <w:uiPriority w:val="34"/>
    <w:qFormat/>
    <w:rsid w:val="006748E6"/>
    <w:pPr>
      <w:ind w:left="720"/>
      <w:contextualSpacing/>
    </w:pPr>
  </w:style>
  <w:style w:type="paragraph" w:styleId="NormalWeb">
    <w:name w:val="Normal (Web)"/>
    <w:basedOn w:val="Normal"/>
    <w:uiPriority w:val="99"/>
    <w:semiHidden/>
    <w:unhideWhenUsed/>
    <w:rsid w:val="00F4667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46670"/>
    <w:rPr>
      <w:b/>
      <w:bCs/>
    </w:rPr>
  </w:style>
  <w:style w:type="character" w:styleId="Emphasis">
    <w:name w:val="Emphasis"/>
    <w:basedOn w:val="DefaultParagraphFont"/>
    <w:uiPriority w:val="20"/>
    <w:qFormat/>
    <w:rsid w:val="00F46670"/>
    <w:rPr>
      <w:i/>
      <w:iCs/>
    </w:rPr>
  </w:style>
  <w:style w:type="paragraph" w:styleId="Revision">
    <w:name w:val="Revision"/>
    <w:hidden/>
    <w:uiPriority w:val="99"/>
    <w:semiHidden/>
    <w:rsid w:val="00212E02"/>
    <w:pPr>
      <w:spacing w:after="0" w:line="240" w:lineRule="auto"/>
    </w:pPr>
  </w:style>
  <w:style w:type="character" w:styleId="CommentReference">
    <w:name w:val="annotation reference"/>
    <w:basedOn w:val="DefaultParagraphFont"/>
    <w:uiPriority w:val="99"/>
    <w:semiHidden/>
    <w:unhideWhenUsed/>
    <w:rsid w:val="00212E02"/>
    <w:rPr>
      <w:sz w:val="16"/>
      <w:szCs w:val="16"/>
    </w:rPr>
  </w:style>
  <w:style w:type="paragraph" w:styleId="CommentText">
    <w:name w:val="annotation text"/>
    <w:basedOn w:val="Normal"/>
    <w:link w:val="CommentTextChar"/>
    <w:uiPriority w:val="99"/>
    <w:semiHidden/>
    <w:unhideWhenUsed/>
    <w:rsid w:val="00212E02"/>
    <w:pPr>
      <w:spacing w:line="240" w:lineRule="auto"/>
    </w:pPr>
    <w:rPr>
      <w:sz w:val="20"/>
      <w:szCs w:val="20"/>
    </w:rPr>
  </w:style>
  <w:style w:type="character" w:customStyle="1" w:styleId="CommentTextChar">
    <w:name w:val="Comment Text Char"/>
    <w:basedOn w:val="DefaultParagraphFont"/>
    <w:link w:val="CommentText"/>
    <w:uiPriority w:val="99"/>
    <w:semiHidden/>
    <w:rsid w:val="00212E02"/>
    <w:rPr>
      <w:sz w:val="20"/>
      <w:szCs w:val="20"/>
    </w:rPr>
  </w:style>
  <w:style w:type="paragraph" w:styleId="CommentSubject">
    <w:name w:val="annotation subject"/>
    <w:basedOn w:val="CommentText"/>
    <w:next w:val="CommentText"/>
    <w:link w:val="CommentSubjectChar"/>
    <w:uiPriority w:val="99"/>
    <w:semiHidden/>
    <w:unhideWhenUsed/>
    <w:rsid w:val="00212E02"/>
    <w:rPr>
      <w:b/>
      <w:bCs/>
    </w:rPr>
  </w:style>
  <w:style w:type="character" w:customStyle="1" w:styleId="CommentSubjectChar">
    <w:name w:val="Comment Subject Char"/>
    <w:basedOn w:val="CommentTextChar"/>
    <w:link w:val="CommentSubject"/>
    <w:uiPriority w:val="99"/>
    <w:semiHidden/>
    <w:rsid w:val="00212E0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991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2662</Words>
  <Characters>15177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MAURICE</dc:creator>
  <cp:keywords/>
  <dc:description/>
  <cp:lastModifiedBy>Bogdan Alin Dumitriu</cp:lastModifiedBy>
  <cp:revision>2</cp:revision>
  <dcterms:created xsi:type="dcterms:W3CDTF">2022-10-24T15:03:00Z</dcterms:created>
  <dcterms:modified xsi:type="dcterms:W3CDTF">2022-10-24T15:03:00Z</dcterms:modified>
</cp:coreProperties>
</file>