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97720" w:rsidRDefault="007F7756" w:rsidP="00697720">
      <w:r>
        <w:t xml:space="preserve">  b</w:t>
      </w:r>
      <w:sdt>
        <w:sdtPr>
          <w:id w:val="1405497732"/>
          <w:docPartObj>
            <w:docPartGallery w:val="Cover Pages"/>
            <w:docPartUnique/>
          </w:docPartObj>
        </w:sdtPr>
        <w:sdtContent>
          <w:r w:rsidR="007D5C90">
            <w:rPr>
              <w:noProof/>
              <w:color w:val="FFFFFF" w:themeColor="background1"/>
              <w:lang w:eastAsia="en-GB"/>
            </w:rPr>
            <mc:AlternateContent>
              <mc:Choice Requires="wpg">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00B40BB6" w:rsidRDefault="00B40BB6">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Considerations of explosive trains in artillery rounds during service life and use</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rsidR="00B40BB6" w:rsidRDefault="00B40BB6">
                                      <w:pPr>
                                        <w:pStyle w:val="NoSpacing"/>
                                        <w:rPr>
                                          <w:color w:val="FFFFFF" w:themeColor="background1"/>
                                          <w:sz w:val="28"/>
                                          <w:szCs w:val="28"/>
                                        </w:rPr>
                                      </w:pPr>
                                      <w:r>
                                        <w:rPr>
                                          <w:color w:val="FFFFFF" w:themeColor="background1"/>
                                          <w:sz w:val="28"/>
                                          <w:szCs w:val="28"/>
                                        </w:rPr>
                                        <w:t>Liam Stephenson 2011145</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00B40BB6" w:rsidRDefault="00B40BB6">
                                      <w:pPr>
                                        <w:pStyle w:val="NoSpacing"/>
                                        <w:rPr>
                                          <w:color w:val="FFFFFF" w:themeColor="background1"/>
                                          <w:sz w:val="32"/>
                                          <w:szCs w:val="32"/>
                                        </w:rPr>
                                      </w:pPr>
                                      <w:r>
                                        <w:rPr>
                                          <w:color w:val="FFFFFF" w:themeColor="background1"/>
                                          <w:sz w:val="32"/>
                                          <w:szCs w:val="32"/>
                                        </w:rPr>
                                        <w:t>Stephenson Liam J</w:t>
                                      </w:r>
                                    </w:p>
                                  </w:sdtContent>
                                </w:sdt>
                                <w:p w:rsidR="00B40BB6" w:rsidRDefault="00B40BB6">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DSTL/UWTSD</w:t>
                                      </w:r>
                                    </w:sdtContent>
                                  </w:sdt>
                                  <w:r>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07/2023</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00B40BB6" w:rsidRDefault="00B40BB6">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Considerations of explosive trains in artillery rounds during service life and use</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rsidR="00B40BB6" w:rsidRDefault="00B40BB6">
                                <w:pPr>
                                  <w:pStyle w:val="NoSpacing"/>
                                  <w:rPr>
                                    <w:color w:val="FFFFFF" w:themeColor="background1"/>
                                    <w:sz w:val="28"/>
                                    <w:szCs w:val="28"/>
                                  </w:rPr>
                                </w:pPr>
                                <w:r>
                                  <w:rPr>
                                    <w:color w:val="FFFFFF" w:themeColor="background1"/>
                                    <w:sz w:val="28"/>
                                    <w:szCs w:val="28"/>
                                  </w:rPr>
                                  <w:t>Liam Stephenson 2011145</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00B40BB6" w:rsidRDefault="00B40BB6">
                                <w:pPr>
                                  <w:pStyle w:val="NoSpacing"/>
                                  <w:rPr>
                                    <w:color w:val="FFFFFF" w:themeColor="background1"/>
                                    <w:sz w:val="32"/>
                                    <w:szCs w:val="32"/>
                                  </w:rPr>
                                </w:pPr>
                                <w:r>
                                  <w:rPr>
                                    <w:color w:val="FFFFFF" w:themeColor="background1"/>
                                    <w:sz w:val="32"/>
                                    <w:szCs w:val="32"/>
                                  </w:rPr>
                                  <w:t>Stephenson Liam J</w:t>
                                </w:r>
                              </w:p>
                            </w:sdtContent>
                          </w:sdt>
                          <w:p w:rsidR="00B40BB6" w:rsidRDefault="00B40BB6">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DSTL/UWTSD</w:t>
                                </w:r>
                              </w:sdtContent>
                            </w:sdt>
                            <w:r>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07/2023</w:t>
                                </w:r>
                              </w:sdtContent>
                            </w:sdt>
                          </w:p>
                        </w:txbxContent>
                      </v:textbox>
                    </v:shape>
                    <w10:wrap anchorx="page" anchory="page"/>
                  </v:group>
                </w:pict>
              </mc:Fallback>
            </mc:AlternateContent>
          </w:r>
          <w:r w:rsidR="007D5C90">
            <w:br w:type="page"/>
          </w:r>
        </w:sdtContent>
      </w:sdt>
    </w:p>
    <w:sdt>
      <w:sdtPr>
        <w:rPr>
          <w:rFonts w:asciiTheme="minorHAnsi" w:eastAsiaTheme="minorHAnsi" w:hAnsiTheme="minorHAnsi" w:cstheme="minorBidi"/>
          <w:color w:val="auto"/>
          <w:sz w:val="22"/>
          <w:szCs w:val="22"/>
          <w:lang w:val="en-GB"/>
        </w:rPr>
        <w:id w:val="749853605"/>
        <w:docPartObj>
          <w:docPartGallery w:val="Table of Contents"/>
          <w:docPartUnique/>
        </w:docPartObj>
      </w:sdtPr>
      <w:sdtEndPr>
        <w:rPr>
          <w:b/>
          <w:bCs/>
          <w:noProof/>
        </w:rPr>
      </w:sdtEndPr>
      <w:sdtContent>
        <w:p w:rsidR="00697720" w:rsidRDefault="00697720">
          <w:pPr>
            <w:pStyle w:val="TOCHeading"/>
          </w:pPr>
          <w:r>
            <w:t>Contents</w:t>
          </w:r>
        </w:p>
        <w:p w:rsidR="006E14E1" w:rsidRDefault="0069772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0440860" w:history="1">
            <w:r w:rsidR="006E14E1" w:rsidRPr="008C0A21">
              <w:rPr>
                <w:rStyle w:val="Hyperlink"/>
                <w:noProof/>
              </w:rPr>
              <w:t>Abstract</w:t>
            </w:r>
            <w:r w:rsidR="006E14E1">
              <w:rPr>
                <w:noProof/>
                <w:webHidden/>
              </w:rPr>
              <w:tab/>
            </w:r>
            <w:r w:rsidR="006E14E1">
              <w:rPr>
                <w:noProof/>
                <w:webHidden/>
              </w:rPr>
              <w:fldChar w:fldCharType="begin"/>
            </w:r>
            <w:r w:rsidR="006E14E1">
              <w:rPr>
                <w:noProof/>
                <w:webHidden/>
              </w:rPr>
              <w:instrText xml:space="preserve"> PAGEREF _Toc140440860 \h </w:instrText>
            </w:r>
            <w:r w:rsidR="006E14E1">
              <w:rPr>
                <w:noProof/>
                <w:webHidden/>
              </w:rPr>
            </w:r>
            <w:r w:rsidR="006E14E1">
              <w:rPr>
                <w:noProof/>
                <w:webHidden/>
              </w:rPr>
              <w:fldChar w:fldCharType="separate"/>
            </w:r>
            <w:r w:rsidR="006E14E1">
              <w:rPr>
                <w:noProof/>
                <w:webHidden/>
              </w:rPr>
              <w:t>1</w:t>
            </w:r>
            <w:r w:rsidR="006E14E1">
              <w:rPr>
                <w:noProof/>
                <w:webHidden/>
              </w:rPr>
              <w:fldChar w:fldCharType="end"/>
            </w:r>
          </w:hyperlink>
        </w:p>
        <w:p w:rsidR="006E14E1" w:rsidRDefault="006E14E1">
          <w:pPr>
            <w:pStyle w:val="TOC1"/>
            <w:tabs>
              <w:tab w:val="right" w:leader="dot" w:pos="9016"/>
            </w:tabs>
            <w:rPr>
              <w:rFonts w:eastAsiaTheme="minorEastAsia"/>
              <w:noProof/>
              <w:lang w:eastAsia="en-GB"/>
            </w:rPr>
          </w:pPr>
          <w:hyperlink w:anchor="_Toc140440861" w:history="1">
            <w:r w:rsidRPr="008C0A21">
              <w:rPr>
                <w:rStyle w:val="Hyperlink"/>
                <w:noProof/>
              </w:rPr>
              <w:t>Introduction</w:t>
            </w:r>
            <w:r>
              <w:rPr>
                <w:noProof/>
                <w:webHidden/>
              </w:rPr>
              <w:tab/>
            </w:r>
            <w:r>
              <w:rPr>
                <w:noProof/>
                <w:webHidden/>
              </w:rPr>
              <w:fldChar w:fldCharType="begin"/>
            </w:r>
            <w:r>
              <w:rPr>
                <w:noProof/>
                <w:webHidden/>
              </w:rPr>
              <w:instrText xml:space="preserve"> PAGEREF _Toc140440861 \h </w:instrText>
            </w:r>
            <w:r>
              <w:rPr>
                <w:noProof/>
                <w:webHidden/>
              </w:rPr>
            </w:r>
            <w:r>
              <w:rPr>
                <w:noProof/>
                <w:webHidden/>
              </w:rPr>
              <w:fldChar w:fldCharType="separate"/>
            </w:r>
            <w:r>
              <w:rPr>
                <w:noProof/>
                <w:webHidden/>
              </w:rPr>
              <w:t>2</w:t>
            </w:r>
            <w:r>
              <w:rPr>
                <w:noProof/>
                <w:webHidden/>
              </w:rPr>
              <w:fldChar w:fldCharType="end"/>
            </w:r>
          </w:hyperlink>
        </w:p>
        <w:p w:rsidR="006E14E1" w:rsidRDefault="006E14E1">
          <w:pPr>
            <w:pStyle w:val="TOC1"/>
            <w:tabs>
              <w:tab w:val="right" w:leader="dot" w:pos="9016"/>
            </w:tabs>
            <w:rPr>
              <w:rFonts w:eastAsiaTheme="minorEastAsia"/>
              <w:noProof/>
              <w:lang w:eastAsia="en-GB"/>
            </w:rPr>
          </w:pPr>
          <w:hyperlink w:anchor="_Toc140440862" w:history="1">
            <w:r w:rsidRPr="008C0A21">
              <w:rPr>
                <w:rStyle w:val="Hyperlink"/>
                <w:noProof/>
              </w:rPr>
              <w:t>Explosive chains</w:t>
            </w:r>
            <w:r>
              <w:rPr>
                <w:noProof/>
                <w:webHidden/>
              </w:rPr>
              <w:tab/>
            </w:r>
            <w:r>
              <w:rPr>
                <w:noProof/>
                <w:webHidden/>
              </w:rPr>
              <w:fldChar w:fldCharType="begin"/>
            </w:r>
            <w:r>
              <w:rPr>
                <w:noProof/>
                <w:webHidden/>
              </w:rPr>
              <w:instrText xml:space="preserve"> PAGEREF _Toc140440862 \h </w:instrText>
            </w:r>
            <w:r>
              <w:rPr>
                <w:noProof/>
                <w:webHidden/>
              </w:rPr>
            </w:r>
            <w:r>
              <w:rPr>
                <w:noProof/>
                <w:webHidden/>
              </w:rPr>
              <w:fldChar w:fldCharType="separate"/>
            </w:r>
            <w:r>
              <w:rPr>
                <w:noProof/>
                <w:webHidden/>
              </w:rPr>
              <w:t>2</w:t>
            </w:r>
            <w:r>
              <w:rPr>
                <w:noProof/>
                <w:webHidden/>
              </w:rPr>
              <w:fldChar w:fldCharType="end"/>
            </w:r>
          </w:hyperlink>
        </w:p>
        <w:p w:rsidR="006E14E1" w:rsidRDefault="006E14E1">
          <w:pPr>
            <w:pStyle w:val="TOC1"/>
            <w:tabs>
              <w:tab w:val="right" w:leader="dot" w:pos="9016"/>
            </w:tabs>
            <w:rPr>
              <w:rFonts w:eastAsiaTheme="minorEastAsia"/>
              <w:noProof/>
              <w:lang w:eastAsia="en-GB"/>
            </w:rPr>
          </w:pPr>
          <w:hyperlink w:anchor="_Toc140440863" w:history="1">
            <w:r w:rsidRPr="008C0A21">
              <w:rPr>
                <w:rStyle w:val="Hyperlink"/>
                <w:noProof/>
              </w:rPr>
              <w:t>Fuze</w:t>
            </w:r>
            <w:r>
              <w:rPr>
                <w:noProof/>
                <w:webHidden/>
              </w:rPr>
              <w:tab/>
            </w:r>
            <w:r>
              <w:rPr>
                <w:noProof/>
                <w:webHidden/>
              </w:rPr>
              <w:fldChar w:fldCharType="begin"/>
            </w:r>
            <w:r>
              <w:rPr>
                <w:noProof/>
                <w:webHidden/>
              </w:rPr>
              <w:instrText xml:space="preserve"> PAGEREF _Toc140440863 \h </w:instrText>
            </w:r>
            <w:r>
              <w:rPr>
                <w:noProof/>
                <w:webHidden/>
              </w:rPr>
            </w:r>
            <w:r>
              <w:rPr>
                <w:noProof/>
                <w:webHidden/>
              </w:rPr>
              <w:fldChar w:fldCharType="separate"/>
            </w:r>
            <w:r>
              <w:rPr>
                <w:noProof/>
                <w:webHidden/>
              </w:rPr>
              <w:t>4</w:t>
            </w:r>
            <w:r>
              <w:rPr>
                <w:noProof/>
                <w:webHidden/>
              </w:rPr>
              <w:fldChar w:fldCharType="end"/>
            </w:r>
          </w:hyperlink>
        </w:p>
        <w:p w:rsidR="006E14E1" w:rsidRDefault="006E14E1">
          <w:pPr>
            <w:pStyle w:val="TOC1"/>
            <w:tabs>
              <w:tab w:val="right" w:leader="dot" w:pos="9016"/>
            </w:tabs>
            <w:rPr>
              <w:rFonts w:eastAsiaTheme="minorEastAsia"/>
              <w:noProof/>
              <w:lang w:eastAsia="en-GB"/>
            </w:rPr>
          </w:pPr>
          <w:hyperlink w:anchor="_Toc140440864" w:history="1">
            <w:r w:rsidRPr="008C0A21">
              <w:rPr>
                <w:rStyle w:val="Hyperlink"/>
                <w:noProof/>
              </w:rPr>
              <w:t>Example of an Explosive Train M104 155mm Artillery Round</w:t>
            </w:r>
            <w:r>
              <w:rPr>
                <w:noProof/>
                <w:webHidden/>
              </w:rPr>
              <w:tab/>
            </w:r>
            <w:r>
              <w:rPr>
                <w:noProof/>
                <w:webHidden/>
              </w:rPr>
              <w:fldChar w:fldCharType="begin"/>
            </w:r>
            <w:r>
              <w:rPr>
                <w:noProof/>
                <w:webHidden/>
              </w:rPr>
              <w:instrText xml:space="preserve"> PAGEREF _Toc140440864 \h </w:instrText>
            </w:r>
            <w:r>
              <w:rPr>
                <w:noProof/>
                <w:webHidden/>
              </w:rPr>
            </w:r>
            <w:r>
              <w:rPr>
                <w:noProof/>
                <w:webHidden/>
              </w:rPr>
              <w:fldChar w:fldCharType="separate"/>
            </w:r>
            <w:r>
              <w:rPr>
                <w:noProof/>
                <w:webHidden/>
              </w:rPr>
              <w:t>6</w:t>
            </w:r>
            <w:r>
              <w:rPr>
                <w:noProof/>
                <w:webHidden/>
              </w:rPr>
              <w:fldChar w:fldCharType="end"/>
            </w:r>
          </w:hyperlink>
        </w:p>
        <w:p w:rsidR="006E14E1" w:rsidRDefault="006E14E1">
          <w:pPr>
            <w:pStyle w:val="TOC1"/>
            <w:tabs>
              <w:tab w:val="right" w:leader="dot" w:pos="9016"/>
            </w:tabs>
            <w:rPr>
              <w:rFonts w:eastAsiaTheme="minorEastAsia"/>
              <w:noProof/>
              <w:lang w:eastAsia="en-GB"/>
            </w:rPr>
          </w:pPr>
          <w:hyperlink w:anchor="_Toc140440865" w:history="1">
            <w:r w:rsidRPr="008C0A21">
              <w:rPr>
                <w:rStyle w:val="Hyperlink"/>
                <w:noProof/>
              </w:rPr>
              <w:t>TNT in Further Detail</w:t>
            </w:r>
            <w:r>
              <w:rPr>
                <w:noProof/>
                <w:webHidden/>
              </w:rPr>
              <w:tab/>
            </w:r>
            <w:r>
              <w:rPr>
                <w:noProof/>
                <w:webHidden/>
              </w:rPr>
              <w:fldChar w:fldCharType="begin"/>
            </w:r>
            <w:r>
              <w:rPr>
                <w:noProof/>
                <w:webHidden/>
              </w:rPr>
              <w:instrText xml:space="preserve"> PAGEREF _Toc140440865 \h </w:instrText>
            </w:r>
            <w:r>
              <w:rPr>
                <w:noProof/>
                <w:webHidden/>
              </w:rPr>
            </w:r>
            <w:r>
              <w:rPr>
                <w:noProof/>
                <w:webHidden/>
              </w:rPr>
              <w:fldChar w:fldCharType="separate"/>
            </w:r>
            <w:r>
              <w:rPr>
                <w:noProof/>
                <w:webHidden/>
              </w:rPr>
              <w:t>7</w:t>
            </w:r>
            <w:r>
              <w:rPr>
                <w:noProof/>
                <w:webHidden/>
              </w:rPr>
              <w:fldChar w:fldCharType="end"/>
            </w:r>
          </w:hyperlink>
        </w:p>
        <w:p w:rsidR="006E14E1" w:rsidRDefault="006E14E1">
          <w:pPr>
            <w:pStyle w:val="TOC2"/>
            <w:tabs>
              <w:tab w:val="right" w:leader="dot" w:pos="9016"/>
            </w:tabs>
            <w:rPr>
              <w:rFonts w:eastAsiaTheme="minorEastAsia"/>
              <w:noProof/>
              <w:lang w:eastAsia="en-GB"/>
            </w:rPr>
          </w:pPr>
          <w:hyperlink w:anchor="_Toc140440866" w:history="1">
            <w:r w:rsidRPr="008C0A21">
              <w:rPr>
                <w:rStyle w:val="Hyperlink"/>
                <w:noProof/>
              </w:rPr>
              <w:t>Brief History</w:t>
            </w:r>
            <w:r>
              <w:rPr>
                <w:noProof/>
                <w:webHidden/>
              </w:rPr>
              <w:tab/>
            </w:r>
            <w:r>
              <w:rPr>
                <w:noProof/>
                <w:webHidden/>
              </w:rPr>
              <w:fldChar w:fldCharType="begin"/>
            </w:r>
            <w:r>
              <w:rPr>
                <w:noProof/>
                <w:webHidden/>
              </w:rPr>
              <w:instrText xml:space="preserve"> PAGEREF _Toc140440866 \h </w:instrText>
            </w:r>
            <w:r>
              <w:rPr>
                <w:noProof/>
                <w:webHidden/>
              </w:rPr>
            </w:r>
            <w:r>
              <w:rPr>
                <w:noProof/>
                <w:webHidden/>
              </w:rPr>
              <w:fldChar w:fldCharType="separate"/>
            </w:r>
            <w:r>
              <w:rPr>
                <w:noProof/>
                <w:webHidden/>
              </w:rPr>
              <w:t>7</w:t>
            </w:r>
            <w:r>
              <w:rPr>
                <w:noProof/>
                <w:webHidden/>
              </w:rPr>
              <w:fldChar w:fldCharType="end"/>
            </w:r>
          </w:hyperlink>
        </w:p>
        <w:p w:rsidR="006E14E1" w:rsidRDefault="006E14E1">
          <w:pPr>
            <w:pStyle w:val="TOC2"/>
            <w:tabs>
              <w:tab w:val="right" w:leader="dot" w:pos="9016"/>
            </w:tabs>
            <w:rPr>
              <w:rFonts w:eastAsiaTheme="minorEastAsia"/>
              <w:noProof/>
              <w:lang w:eastAsia="en-GB"/>
            </w:rPr>
          </w:pPr>
          <w:hyperlink w:anchor="_Toc140440867" w:history="1">
            <w:r w:rsidRPr="008C0A21">
              <w:rPr>
                <w:rStyle w:val="Hyperlink"/>
                <w:noProof/>
              </w:rPr>
              <w:t>Why TNT?</w:t>
            </w:r>
            <w:r>
              <w:rPr>
                <w:noProof/>
                <w:webHidden/>
              </w:rPr>
              <w:tab/>
            </w:r>
            <w:r>
              <w:rPr>
                <w:noProof/>
                <w:webHidden/>
              </w:rPr>
              <w:fldChar w:fldCharType="begin"/>
            </w:r>
            <w:r>
              <w:rPr>
                <w:noProof/>
                <w:webHidden/>
              </w:rPr>
              <w:instrText xml:space="preserve"> PAGEREF _Toc140440867 \h </w:instrText>
            </w:r>
            <w:r>
              <w:rPr>
                <w:noProof/>
                <w:webHidden/>
              </w:rPr>
            </w:r>
            <w:r>
              <w:rPr>
                <w:noProof/>
                <w:webHidden/>
              </w:rPr>
              <w:fldChar w:fldCharType="separate"/>
            </w:r>
            <w:r>
              <w:rPr>
                <w:noProof/>
                <w:webHidden/>
              </w:rPr>
              <w:t>8</w:t>
            </w:r>
            <w:r>
              <w:rPr>
                <w:noProof/>
                <w:webHidden/>
              </w:rPr>
              <w:fldChar w:fldCharType="end"/>
            </w:r>
          </w:hyperlink>
        </w:p>
        <w:p w:rsidR="006E14E1" w:rsidRDefault="006E14E1">
          <w:pPr>
            <w:pStyle w:val="TOC2"/>
            <w:tabs>
              <w:tab w:val="right" w:leader="dot" w:pos="9016"/>
            </w:tabs>
            <w:rPr>
              <w:rFonts w:eastAsiaTheme="minorEastAsia"/>
              <w:noProof/>
              <w:lang w:eastAsia="en-GB"/>
            </w:rPr>
          </w:pPr>
          <w:hyperlink w:anchor="_Toc140440868" w:history="1">
            <w:r w:rsidRPr="008C0A21">
              <w:rPr>
                <w:rStyle w:val="Hyperlink"/>
                <w:noProof/>
              </w:rPr>
              <w:t>Implications or Problems with TNT</w:t>
            </w:r>
            <w:r>
              <w:rPr>
                <w:noProof/>
                <w:webHidden/>
              </w:rPr>
              <w:tab/>
            </w:r>
            <w:r>
              <w:rPr>
                <w:noProof/>
                <w:webHidden/>
              </w:rPr>
              <w:fldChar w:fldCharType="begin"/>
            </w:r>
            <w:r>
              <w:rPr>
                <w:noProof/>
                <w:webHidden/>
              </w:rPr>
              <w:instrText xml:space="preserve"> PAGEREF _Toc140440868 \h </w:instrText>
            </w:r>
            <w:r>
              <w:rPr>
                <w:noProof/>
                <w:webHidden/>
              </w:rPr>
            </w:r>
            <w:r>
              <w:rPr>
                <w:noProof/>
                <w:webHidden/>
              </w:rPr>
              <w:fldChar w:fldCharType="separate"/>
            </w:r>
            <w:r>
              <w:rPr>
                <w:noProof/>
                <w:webHidden/>
              </w:rPr>
              <w:t>8</w:t>
            </w:r>
            <w:r>
              <w:rPr>
                <w:noProof/>
                <w:webHidden/>
              </w:rPr>
              <w:fldChar w:fldCharType="end"/>
            </w:r>
          </w:hyperlink>
        </w:p>
        <w:p w:rsidR="006E14E1" w:rsidRDefault="006E14E1">
          <w:pPr>
            <w:pStyle w:val="TOC1"/>
            <w:tabs>
              <w:tab w:val="right" w:leader="dot" w:pos="9016"/>
            </w:tabs>
            <w:rPr>
              <w:rFonts w:eastAsiaTheme="minorEastAsia"/>
              <w:noProof/>
              <w:lang w:eastAsia="en-GB"/>
            </w:rPr>
          </w:pPr>
          <w:hyperlink w:anchor="_Toc140440869" w:history="1">
            <w:r w:rsidRPr="008C0A21">
              <w:rPr>
                <w:rStyle w:val="Hyperlink"/>
                <w:noProof/>
              </w:rPr>
              <w:t>Alternatives or Additives to TNT</w:t>
            </w:r>
            <w:r>
              <w:rPr>
                <w:noProof/>
                <w:webHidden/>
              </w:rPr>
              <w:tab/>
            </w:r>
            <w:r>
              <w:rPr>
                <w:noProof/>
                <w:webHidden/>
              </w:rPr>
              <w:fldChar w:fldCharType="begin"/>
            </w:r>
            <w:r>
              <w:rPr>
                <w:noProof/>
                <w:webHidden/>
              </w:rPr>
              <w:instrText xml:space="preserve"> PAGEREF _Toc140440869 \h </w:instrText>
            </w:r>
            <w:r>
              <w:rPr>
                <w:noProof/>
                <w:webHidden/>
              </w:rPr>
            </w:r>
            <w:r>
              <w:rPr>
                <w:noProof/>
                <w:webHidden/>
              </w:rPr>
              <w:fldChar w:fldCharType="separate"/>
            </w:r>
            <w:r>
              <w:rPr>
                <w:noProof/>
                <w:webHidden/>
              </w:rPr>
              <w:t>9</w:t>
            </w:r>
            <w:r>
              <w:rPr>
                <w:noProof/>
                <w:webHidden/>
              </w:rPr>
              <w:fldChar w:fldCharType="end"/>
            </w:r>
          </w:hyperlink>
        </w:p>
        <w:p w:rsidR="006E14E1" w:rsidRDefault="006E14E1">
          <w:pPr>
            <w:pStyle w:val="TOC1"/>
            <w:tabs>
              <w:tab w:val="right" w:leader="dot" w:pos="9016"/>
            </w:tabs>
            <w:rPr>
              <w:rFonts w:eastAsiaTheme="minorEastAsia"/>
              <w:noProof/>
              <w:lang w:eastAsia="en-GB"/>
            </w:rPr>
          </w:pPr>
          <w:hyperlink w:anchor="_Toc140440870" w:history="1">
            <w:r w:rsidRPr="008C0A21">
              <w:rPr>
                <w:rStyle w:val="Hyperlink"/>
                <w:noProof/>
              </w:rPr>
              <w:t>Safety and Arming Devices/Fuze</w:t>
            </w:r>
            <w:r>
              <w:rPr>
                <w:noProof/>
                <w:webHidden/>
              </w:rPr>
              <w:tab/>
            </w:r>
            <w:r>
              <w:rPr>
                <w:noProof/>
                <w:webHidden/>
              </w:rPr>
              <w:fldChar w:fldCharType="begin"/>
            </w:r>
            <w:r>
              <w:rPr>
                <w:noProof/>
                <w:webHidden/>
              </w:rPr>
              <w:instrText xml:space="preserve"> PAGEREF _Toc140440870 \h </w:instrText>
            </w:r>
            <w:r>
              <w:rPr>
                <w:noProof/>
                <w:webHidden/>
              </w:rPr>
            </w:r>
            <w:r>
              <w:rPr>
                <w:noProof/>
                <w:webHidden/>
              </w:rPr>
              <w:fldChar w:fldCharType="separate"/>
            </w:r>
            <w:r>
              <w:rPr>
                <w:noProof/>
                <w:webHidden/>
              </w:rPr>
              <w:t>10</w:t>
            </w:r>
            <w:r>
              <w:rPr>
                <w:noProof/>
                <w:webHidden/>
              </w:rPr>
              <w:fldChar w:fldCharType="end"/>
            </w:r>
          </w:hyperlink>
        </w:p>
        <w:p w:rsidR="006E14E1" w:rsidRDefault="006E14E1">
          <w:pPr>
            <w:pStyle w:val="TOC1"/>
            <w:tabs>
              <w:tab w:val="right" w:leader="dot" w:pos="9016"/>
            </w:tabs>
            <w:rPr>
              <w:rFonts w:eastAsiaTheme="minorEastAsia"/>
              <w:noProof/>
              <w:lang w:eastAsia="en-GB"/>
            </w:rPr>
          </w:pPr>
          <w:hyperlink w:anchor="_Toc140440871" w:history="1">
            <w:r w:rsidRPr="008C0A21">
              <w:rPr>
                <w:rStyle w:val="Hyperlink"/>
                <w:noProof/>
              </w:rPr>
              <w:t>Safe Storage of TNT</w:t>
            </w:r>
            <w:r>
              <w:rPr>
                <w:noProof/>
                <w:webHidden/>
              </w:rPr>
              <w:tab/>
            </w:r>
            <w:r>
              <w:rPr>
                <w:noProof/>
                <w:webHidden/>
              </w:rPr>
              <w:fldChar w:fldCharType="begin"/>
            </w:r>
            <w:r>
              <w:rPr>
                <w:noProof/>
                <w:webHidden/>
              </w:rPr>
              <w:instrText xml:space="preserve"> PAGEREF _Toc140440871 \h </w:instrText>
            </w:r>
            <w:r>
              <w:rPr>
                <w:noProof/>
                <w:webHidden/>
              </w:rPr>
            </w:r>
            <w:r>
              <w:rPr>
                <w:noProof/>
                <w:webHidden/>
              </w:rPr>
              <w:fldChar w:fldCharType="separate"/>
            </w:r>
            <w:r>
              <w:rPr>
                <w:noProof/>
                <w:webHidden/>
              </w:rPr>
              <w:t>10</w:t>
            </w:r>
            <w:r>
              <w:rPr>
                <w:noProof/>
                <w:webHidden/>
              </w:rPr>
              <w:fldChar w:fldCharType="end"/>
            </w:r>
          </w:hyperlink>
        </w:p>
        <w:p w:rsidR="006E14E1" w:rsidRDefault="006E14E1">
          <w:pPr>
            <w:pStyle w:val="TOC1"/>
            <w:tabs>
              <w:tab w:val="right" w:leader="dot" w:pos="9016"/>
            </w:tabs>
            <w:rPr>
              <w:rFonts w:eastAsiaTheme="minorEastAsia"/>
              <w:noProof/>
              <w:lang w:eastAsia="en-GB"/>
            </w:rPr>
          </w:pPr>
          <w:hyperlink w:anchor="_Toc140440872" w:history="1">
            <w:r w:rsidRPr="008C0A21">
              <w:rPr>
                <w:rStyle w:val="Hyperlink"/>
                <w:noProof/>
              </w:rPr>
              <w:t>Safe Transport</w:t>
            </w:r>
            <w:r>
              <w:rPr>
                <w:noProof/>
                <w:webHidden/>
              </w:rPr>
              <w:tab/>
            </w:r>
            <w:r>
              <w:rPr>
                <w:noProof/>
                <w:webHidden/>
              </w:rPr>
              <w:fldChar w:fldCharType="begin"/>
            </w:r>
            <w:r>
              <w:rPr>
                <w:noProof/>
                <w:webHidden/>
              </w:rPr>
              <w:instrText xml:space="preserve"> PAGEREF _Toc140440872 \h </w:instrText>
            </w:r>
            <w:r>
              <w:rPr>
                <w:noProof/>
                <w:webHidden/>
              </w:rPr>
            </w:r>
            <w:r>
              <w:rPr>
                <w:noProof/>
                <w:webHidden/>
              </w:rPr>
              <w:fldChar w:fldCharType="separate"/>
            </w:r>
            <w:r>
              <w:rPr>
                <w:noProof/>
                <w:webHidden/>
              </w:rPr>
              <w:t>10</w:t>
            </w:r>
            <w:r>
              <w:rPr>
                <w:noProof/>
                <w:webHidden/>
              </w:rPr>
              <w:fldChar w:fldCharType="end"/>
            </w:r>
          </w:hyperlink>
        </w:p>
        <w:p w:rsidR="006E14E1" w:rsidRDefault="006E14E1">
          <w:pPr>
            <w:pStyle w:val="TOC1"/>
            <w:tabs>
              <w:tab w:val="right" w:leader="dot" w:pos="9016"/>
            </w:tabs>
            <w:rPr>
              <w:rFonts w:eastAsiaTheme="minorEastAsia"/>
              <w:noProof/>
              <w:lang w:eastAsia="en-GB"/>
            </w:rPr>
          </w:pPr>
          <w:hyperlink w:anchor="_Toc140440873" w:history="1">
            <w:r w:rsidRPr="008C0A21">
              <w:rPr>
                <w:rStyle w:val="Hyperlink"/>
                <w:noProof/>
              </w:rPr>
              <w:t>Insensitive Munitions and The future of Artillery</w:t>
            </w:r>
            <w:r>
              <w:rPr>
                <w:noProof/>
                <w:webHidden/>
              </w:rPr>
              <w:tab/>
            </w:r>
            <w:r>
              <w:rPr>
                <w:noProof/>
                <w:webHidden/>
              </w:rPr>
              <w:fldChar w:fldCharType="begin"/>
            </w:r>
            <w:r>
              <w:rPr>
                <w:noProof/>
                <w:webHidden/>
              </w:rPr>
              <w:instrText xml:space="preserve"> PAGEREF _Toc140440873 \h </w:instrText>
            </w:r>
            <w:r>
              <w:rPr>
                <w:noProof/>
                <w:webHidden/>
              </w:rPr>
            </w:r>
            <w:r>
              <w:rPr>
                <w:noProof/>
                <w:webHidden/>
              </w:rPr>
              <w:fldChar w:fldCharType="separate"/>
            </w:r>
            <w:r>
              <w:rPr>
                <w:noProof/>
                <w:webHidden/>
              </w:rPr>
              <w:t>11</w:t>
            </w:r>
            <w:r>
              <w:rPr>
                <w:noProof/>
                <w:webHidden/>
              </w:rPr>
              <w:fldChar w:fldCharType="end"/>
            </w:r>
          </w:hyperlink>
        </w:p>
        <w:p w:rsidR="006E14E1" w:rsidRDefault="006E14E1">
          <w:pPr>
            <w:pStyle w:val="TOC1"/>
            <w:tabs>
              <w:tab w:val="right" w:leader="dot" w:pos="9016"/>
            </w:tabs>
            <w:rPr>
              <w:rFonts w:eastAsiaTheme="minorEastAsia"/>
              <w:noProof/>
              <w:lang w:eastAsia="en-GB"/>
            </w:rPr>
          </w:pPr>
          <w:hyperlink w:anchor="_Toc140440874" w:history="1">
            <w:r w:rsidRPr="008C0A21">
              <w:rPr>
                <w:rStyle w:val="Hyperlink"/>
                <w:noProof/>
              </w:rPr>
              <w:t>Conclusion and Thoughts for Further Research</w:t>
            </w:r>
            <w:r>
              <w:rPr>
                <w:noProof/>
                <w:webHidden/>
              </w:rPr>
              <w:tab/>
            </w:r>
            <w:r>
              <w:rPr>
                <w:noProof/>
                <w:webHidden/>
              </w:rPr>
              <w:fldChar w:fldCharType="begin"/>
            </w:r>
            <w:r>
              <w:rPr>
                <w:noProof/>
                <w:webHidden/>
              </w:rPr>
              <w:instrText xml:space="preserve"> PAGEREF _Toc140440874 \h </w:instrText>
            </w:r>
            <w:r>
              <w:rPr>
                <w:noProof/>
                <w:webHidden/>
              </w:rPr>
            </w:r>
            <w:r>
              <w:rPr>
                <w:noProof/>
                <w:webHidden/>
              </w:rPr>
              <w:fldChar w:fldCharType="separate"/>
            </w:r>
            <w:r>
              <w:rPr>
                <w:noProof/>
                <w:webHidden/>
              </w:rPr>
              <w:t>12</w:t>
            </w:r>
            <w:r>
              <w:rPr>
                <w:noProof/>
                <w:webHidden/>
              </w:rPr>
              <w:fldChar w:fldCharType="end"/>
            </w:r>
          </w:hyperlink>
        </w:p>
        <w:p w:rsidR="006E14E1" w:rsidRDefault="006E14E1">
          <w:pPr>
            <w:pStyle w:val="TOC1"/>
            <w:tabs>
              <w:tab w:val="right" w:leader="dot" w:pos="9016"/>
            </w:tabs>
            <w:rPr>
              <w:rFonts w:eastAsiaTheme="minorEastAsia"/>
              <w:noProof/>
              <w:lang w:eastAsia="en-GB"/>
            </w:rPr>
          </w:pPr>
          <w:hyperlink w:anchor="_Toc140440875" w:history="1">
            <w:r w:rsidRPr="008C0A21">
              <w:rPr>
                <w:rStyle w:val="Hyperlink"/>
                <w:noProof/>
              </w:rPr>
              <w:t>References</w:t>
            </w:r>
            <w:r>
              <w:rPr>
                <w:noProof/>
                <w:webHidden/>
              </w:rPr>
              <w:tab/>
            </w:r>
            <w:r>
              <w:rPr>
                <w:noProof/>
                <w:webHidden/>
              </w:rPr>
              <w:fldChar w:fldCharType="begin"/>
            </w:r>
            <w:r>
              <w:rPr>
                <w:noProof/>
                <w:webHidden/>
              </w:rPr>
              <w:instrText xml:space="preserve"> PAGEREF _Toc140440875 \h </w:instrText>
            </w:r>
            <w:r>
              <w:rPr>
                <w:noProof/>
                <w:webHidden/>
              </w:rPr>
            </w:r>
            <w:r>
              <w:rPr>
                <w:noProof/>
                <w:webHidden/>
              </w:rPr>
              <w:fldChar w:fldCharType="separate"/>
            </w:r>
            <w:r>
              <w:rPr>
                <w:noProof/>
                <w:webHidden/>
              </w:rPr>
              <w:t>13</w:t>
            </w:r>
            <w:r>
              <w:rPr>
                <w:noProof/>
                <w:webHidden/>
              </w:rPr>
              <w:fldChar w:fldCharType="end"/>
            </w:r>
          </w:hyperlink>
        </w:p>
        <w:p w:rsidR="00697720" w:rsidRDefault="00697720">
          <w:r>
            <w:rPr>
              <w:b/>
              <w:bCs/>
              <w:noProof/>
            </w:rPr>
            <w:fldChar w:fldCharType="end"/>
          </w:r>
        </w:p>
      </w:sdtContent>
    </w:sdt>
    <w:p w:rsidR="00697720" w:rsidRDefault="00697720" w:rsidP="003274C5">
      <w:pPr>
        <w:pStyle w:val="Heading1"/>
      </w:pPr>
    </w:p>
    <w:p w:rsidR="00697720" w:rsidRDefault="00697720" w:rsidP="003274C5">
      <w:pPr>
        <w:pStyle w:val="Heading1"/>
      </w:pPr>
    </w:p>
    <w:p w:rsidR="00697720" w:rsidRDefault="00697720" w:rsidP="003274C5">
      <w:pPr>
        <w:pStyle w:val="Heading1"/>
      </w:pPr>
    </w:p>
    <w:p w:rsidR="00697720" w:rsidRDefault="00697720" w:rsidP="003274C5">
      <w:pPr>
        <w:pStyle w:val="Heading1"/>
      </w:pPr>
    </w:p>
    <w:p w:rsidR="00697720" w:rsidRDefault="00697720" w:rsidP="001F3940"/>
    <w:p w:rsidR="006E14E1" w:rsidRDefault="006E14E1" w:rsidP="001F3940"/>
    <w:p w:rsidR="006E14E1" w:rsidRDefault="006E14E1" w:rsidP="001F3940"/>
    <w:p w:rsidR="00697720" w:rsidRDefault="00697720" w:rsidP="003274C5">
      <w:pPr>
        <w:pStyle w:val="Heading1"/>
      </w:pPr>
    </w:p>
    <w:p w:rsidR="001F3940" w:rsidRDefault="001F3940" w:rsidP="001F3940"/>
    <w:p w:rsidR="001F3940" w:rsidRDefault="001F3940" w:rsidP="001F3940"/>
    <w:p w:rsidR="001F3940" w:rsidRDefault="001F3940" w:rsidP="001F3940"/>
    <w:p w:rsidR="001F3940" w:rsidRDefault="001F3940" w:rsidP="001F3940"/>
    <w:p w:rsidR="00697720" w:rsidRDefault="00697720" w:rsidP="003274C5">
      <w:pPr>
        <w:pStyle w:val="Heading1"/>
      </w:pPr>
    </w:p>
    <w:p w:rsidR="006732ED" w:rsidRDefault="003274C5" w:rsidP="003274C5">
      <w:pPr>
        <w:pStyle w:val="Heading1"/>
      </w:pPr>
      <w:bookmarkStart w:id="0" w:name="_Toc140440860"/>
      <w:r>
        <w:t>Abstract</w:t>
      </w:r>
      <w:bookmarkEnd w:id="0"/>
      <w:r>
        <w:t xml:space="preserve"> </w:t>
      </w:r>
    </w:p>
    <w:p w:rsidR="00F91105" w:rsidRPr="00F91105" w:rsidRDefault="00475C3E" w:rsidP="00F91105">
      <w:pPr>
        <w:rPr>
          <w:rFonts w:ascii="Arial" w:hAnsi="Arial" w:cs="Arial"/>
        </w:rPr>
      </w:pPr>
      <w:r>
        <w:t xml:space="preserve">This report shows the research carried out into explosive chains and the use of TNT as a main fill explosive within a train. Documenting the findings about the explosive train, applying them to the in service munition of the M107 155mm artillery round. Progressing into looking at the TNT fill in more detail, showing the reasons why it is still used 100 years after its initial use. Before looking at the drawbacks of it as a material, enabling research to be carried out into </w:t>
      </w:r>
      <w:r w:rsidR="00BD1D06">
        <w:t>additives to the material such as HNS or alternative fills such as RDX. Through this research it allowed the author to look into the safety of such munitions, how they can be safely stored and transported. Before looking into future directions for 155mm munitions and different viewpoints of what a 155mm round will look and behave like in the future.</w:t>
      </w:r>
    </w:p>
    <w:p w:rsidR="003274C5" w:rsidRDefault="003274C5" w:rsidP="003274C5"/>
    <w:p w:rsidR="00616E3F" w:rsidRDefault="00616E3F" w:rsidP="003274C5"/>
    <w:p w:rsidR="003274C5" w:rsidRDefault="003274C5" w:rsidP="003274C5">
      <w:pPr>
        <w:pStyle w:val="Heading1"/>
      </w:pPr>
      <w:bookmarkStart w:id="1" w:name="_Toc140440861"/>
      <w:r>
        <w:t>Introduction</w:t>
      </w:r>
      <w:bookmarkEnd w:id="1"/>
    </w:p>
    <w:p w:rsidR="003274C5" w:rsidRDefault="00616E3F" w:rsidP="003274C5">
      <w:r>
        <w:rPr>
          <w:noProof/>
          <w:lang w:eastAsia="en-GB"/>
        </w:rPr>
        <w:drawing>
          <wp:anchor distT="0" distB="0" distL="114300" distR="114300" simplePos="0" relativeHeight="251670528" behindDoc="1" locked="0" layoutInCell="1" allowOverlap="1">
            <wp:simplePos x="0" y="0"/>
            <wp:positionH relativeFrom="column">
              <wp:posOffset>415348</wp:posOffset>
            </wp:positionH>
            <wp:positionV relativeFrom="paragraph">
              <wp:posOffset>1000009</wp:posOffset>
            </wp:positionV>
            <wp:extent cx="4293235" cy="2548255"/>
            <wp:effectExtent l="0" t="0" r="0" b="444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93235" cy="2548255"/>
                    </a:xfrm>
                    <a:prstGeom prst="rect">
                      <a:avLst/>
                    </a:prstGeom>
                    <a:noFill/>
                  </pic:spPr>
                </pic:pic>
              </a:graphicData>
            </a:graphic>
          </wp:anchor>
        </w:drawing>
      </w:r>
      <w:r w:rsidR="006E14E1">
        <w:t xml:space="preserve">This report sets out to </w:t>
      </w:r>
      <w:r w:rsidR="00475C3E">
        <w:t>document research into explosive chains, how they work and the safety associated with them. This is in terms of safety storage and operation. Looking into a specific explosive in more detailing and viewing the benefits and drawbacks of its use. Using research to find possible alternatives or adaptions to it.</w:t>
      </w:r>
    </w:p>
    <w:p w:rsidR="00360E5D" w:rsidRDefault="00360E5D" w:rsidP="00360E5D"/>
    <w:p w:rsidR="00360E5D" w:rsidRDefault="00360E5D" w:rsidP="003274C5"/>
    <w:p w:rsidR="00360E5D" w:rsidRDefault="00360E5D" w:rsidP="003274C5"/>
    <w:p w:rsidR="00616E3F" w:rsidRDefault="00616E3F" w:rsidP="003274C5"/>
    <w:p w:rsidR="00616E3F" w:rsidRDefault="00616E3F" w:rsidP="003274C5"/>
    <w:p w:rsidR="003274C5" w:rsidRDefault="003274C5" w:rsidP="00F40D7F">
      <w:pPr>
        <w:pStyle w:val="Heading1"/>
      </w:pPr>
      <w:bookmarkStart w:id="2" w:name="_Toc140440862"/>
      <w:r>
        <w:t xml:space="preserve">Explosive </w:t>
      </w:r>
      <w:r w:rsidR="006E14E1">
        <w:t>C</w:t>
      </w:r>
      <w:r>
        <w:t>h</w:t>
      </w:r>
      <w:r w:rsidR="00EF39A8">
        <w:t>ains</w:t>
      </w:r>
      <w:bookmarkEnd w:id="2"/>
      <w:r w:rsidR="00EF39A8">
        <w:t xml:space="preserve"> </w:t>
      </w:r>
    </w:p>
    <w:p w:rsidR="00C6533E" w:rsidRPr="00C6533E" w:rsidRDefault="00C6533E" w:rsidP="00C6533E"/>
    <w:p w:rsidR="00EF39A8" w:rsidRDefault="00EF39A8" w:rsidP="003274C5">
      <w:r>
        <w:rPr>
          <w:noProof/>
          <w:lang w:eastAsia="en-GB"/>
        </w:rPr>
        <w:lastRenderedPageBreak/>
        <w:drawing>
          <wp:anchor distT="0" distB="0" distL="114300" distR="114300" simplePos="0" relativeHeight="251660288" behindDoc="0" locked="0" layoutInCell="1" allowOverlap="1">
            <wp:simplePos x="0" y="0"/>
            <wp:positionH relativeFrom="column">
              <wp:posOffset>0</wp:posOffset>
            </wp:positionH>
            <wp:positionV relativeFrom="paragraph">
              <wp:posOffset>2540</wp:posOffset>
            </wp:positionV>
            <wp:extent cx="5437909" cy="1715033"/>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37909" cy="1715033"/>
                    </a:xfrm>
                    <a:prstGeom prst="rect">
                      <a:avLst/>
                    </a:prstGeom>
                    <a:noFill/>
                  </pic:spPr>
                </pic:pic>
              </a:graphicData>
            </a:graphic>
            <wp14:sizeRelH relativeFrom="page">
              <wp14:pctWidth>0</wp14:pctWidth>
            </wp14:sizeRelH>
            <wp14:sizeRelV relativeFrom="page">
              <wp14:pctHeight>0</wp14:pctHeight>
            </wp14:sizeRelV>
          </wp:anchor>
        </w:drawing>
      </w:r>
    </w:p>
    <w:p w:rsidR="00360E5D" w:rsidRDefault="003E0C79" w:rsidP="003274C5">
      <w:pPr>
        <w:rPr>
          <w:rStyle w:val="Hyperlink"/>
        </w:rPr>
      </w:pPr>
      <w:hyperlink r:id="rId11" w:history="1">
        <w:r w:rsidRPr="003E0C79">
          <w:rPr>
            <w:color w:val="0000FF"/>
            <w:u w:val="single"/>
          </w:rPr>
          <w:t>26568.doc (epa.gov)</w:t>
        </w:r>
      </w:hyperlink>
      <w:r>
        <w:t xml:space="preserve"> </w:t>
      </w:r>
      <w:sdt>
        <w:sdtPr>
          <w:id w:val="1425375150"/>
          <w:citation/>
        </w:sdtPr>
        <w:sdtContent>
          <w:r>
            <w:fldChar w:fldCharType="begin"/>
          </w:r>
          <w:r>
            <w:instrText xml:space="preserve"> CITATION Hea84 \l 2057 </w:instrText>
          </w:r>
          <w:r>
            <w:fldChar w:fldCharType="separate"/>
          </w:r>
          <w:r w:rsidR="006E14E1" w:rsidRPr="006E14E1">
            <w:rPr>
              <w:noProof/>
            </w:rPr>
            <w:t>[1]</w:t>
          </w:r>
          <w:r>
            <w:fldChar w:fldCharType="end"/>
          </w:r>
        </w:sdtContent>
      </w:sdt>
    </w:p>
    <w:p w:rsidR="00360E5D" w:rsidRDefault="00360E5D" w:rsidP="003274C5">
      <w:r>
        <w:t xml:space="preserve">An explosive chain works in terms of sensitivities, for example the order required to light coal includes using a match, then paper, then wood, followed by the coal. </w:t>
      </w:r>
    </w:p>
    <w:p w:rsidR="002E4D2A" w:rsidRPr="00360E5D" w:rsidRDefault="002E4D2A" w:rsidP="003274C5">
      <w:r>
        <w:t xml:space="preserve">“An explosive composition is initiated or detonated via an explosive train. The explosive train is an arrangement of explosive components by which the initial force from the primer is transmitted and intensified until it reaches and sets off the main explosive composition. Some components of explosive trains are summarized in Table 4.5. Almost all explosive trains contain a primary explosive as the first component. The second component in the train will depend upon the type of initiation process required for the main explosive composition. If this main explosive composition is to be detonated then the second component of the train will burn to detonation so that it imparts a shockwave to the main composition.” </w:t>
      </w:r>
      <w:sdt>
        <w:sdtPr>
          <w:id w:val="-194693723"/>
          <w:citation/>
        </w:sdtPr>
        <w:sdtContent>
          <w:r w:rsidR="00343D7C">
            <w:fldChar w:fldCharType="begin"/>
          </w:r>
          <w:r w:rsidR="00343D7C">
            <w:instrText xml:space="preserve"> CITATION Jac04 \l 2057 </w:instrText>
          </w:r>
          <w:r w:rsidR="00343D7C">
            <w:fldChar w:fldCharType="separate"/>
          </w:r>
          <w:r w:rsidR="006E14E1" w:rsidRPr="006E14E1">
            <w:rPr>
              <w:noProof/>
            </w:rPr>
            <w:t>[2]</w:t>
          </w:r>
          <w:r w:rsidR="00343D7C">
            <w:fldChar w:fldCharType="end"/>
          </w:r>
        </w:sdtContent>
      </w:sdt>
    </w:p>
    <w:p w:rsidR="001F27FA" w:rsidRDefault="004F0BBA" w:rsidP="003274C5">
      <w:r>
        <w:t>Impetus –T</w:t>
      </w:r>
      <w:r w:rsidR="001F27FA">
        <w:t xml:space="preserve">he impetus to begin the explosive chain </w:t>
      </w:r>
      <w:r w:rsidR="00D702C7">
        <w:t xml:space="preserve">this </w:t>
      </w:r>
      <w:r w:rsidR="001F27FA">
        <w:t xml:space="preserve">can be </w:t>
      </w:r>
      <w:r w:rsidR="00D702C7">
        <w:t>began spark, flame or impact as part of the ignition train</w:t>
      </w:r>
      <w:r w:rsidR="001F27FA">
        <w:t xml:space="preserve">. For example firing pin </w:t>
      </w:r>
      <w:r w:rsidR="00D702C7">
        <w:t>or electrically contact, connected to a highly sensitive explosive which will be in the primer.</w:t>
      </w:r>
      <w:r w:rsidR="00C34CA1">
        <w:t xml:space="preserve"> </w:t>
      </w:r>
      <w:sdt>
        <w:sdtPr>
          <w:id w:val="363871163"/>
          <w:citation/>
        </w:sdtPr>
        <w:sdtContent>
          <w:r w:rsidR="00C34CA1">
            <w:fldChar w:fldCharType="begin"/>
          </w:r>
          <w:r w:rsidR="00C34CA1">
            <w:instrText xml:space="preserve"> CITATION New15 \l 2057 </w:instrText>
          </w:r>
          <w:r w:rsidR="00C34CA1">
            <w:fldChar w:fldCharType="separate"/>
          </w:r>
          <w:r w:rsidR="006E14E1" w:rsidRPr="006E14E1">
            <w:rPr>
              <w:noProof/>
            </w:rPr>
            <w:t>[3]</w:t>
          </w:r>
          <w:r w:rsidR="00C34CA1">
            <w:fldChar w:fldCharType="end"/>
          </w:r>
        </w:sdtContent>
      </w:sdt>
    </w:p>
    <w:p w:rsidR="00D702C7" w:rsidRDefault="00D702C7" w:rsidP="003274C5">
      <w:r>
        <w:t xml:space="preserve">Primer </w:t>
      </w:r>
      <w:r w:rsidR="00C6533E">
        <w:t>–</w:t>
      </w:r>
      <w:r>
        <w:t xml:space="preserve"> </w:t>
      </w:r>
      <w:r w:rsidR="00C6533E">
        <w:t>The first event within the chain, this is used in the ignition train to ignite the propellant powder</w:t>
      </w:r>
      <w:r w:rsidR="00DD4AC1">
        <w:t xml:space="preserve"> likely to be black powder or similar</w:t>
      </w:r>
      <w:r w:rsidR="00C6533E">
        <w:t>, or to create the initial shockwave wi</w:t>
      </w:r>
      <w:r w:rsidR="00DD4AC1">
        <w:t>thin the explosive train likely to be petn due to its high sensitivity</w:t>
      </w:r>
      <w:r w:rsidR="00467D43">
        <w:t xml:space="preserve"> but comparatively low energy in comparison to the chain</w:t>
      </w:r>
      <w:r w:rsidR="00C47DD3">
        <w:t>.</w:t>
      </w:r>
      <w:sdt>
        <w:sdtPr>
          <w:rPr>
            <w:u w:val="single"/>
          </w:rPr>
          <w:id w:val="-914472561"/>
          <w:citation/>
        </w:sdtPr>
        <w:sdtContent>
          <w:r w:rsidR="00C47DD3" w:rsidRPr="00C47DD3">
            <w:rPr>
              <w:u w:val="single"/>
            </w:rPr>
            <w:fldChar w:fldCharType="begin"/>
          </w:r>
          <w:r w:rsidR="00C47DD3" w:rsidRPr="00C47DD3">
            <w:rPr>
              <w:u w:val="single"/>
            </w:rPr>
            <w:instrText xml:space="preserve"> CITATION Bri11 \l 2057 </w:instrText>
          </w:r>
          <w:r w:rsidR="00C47DD3" w:rsidRPr="00C47DD3">
            <w:rPr>
              <w:u w:val="single"/>
            </w:rPr>
            <w:fldChar w:fldCharType="separate"/>
          </w:r>
          <w:r w:rsidR="006E14E1">
            <w:rPr>
              <w:noProof/>
              <w:u w:val="single"/>
            </w:rPr>
            <w:t xml:space="preserve"> </w:t>
          </w:r>
          <w:r w:rsidR="006E14E1" w:rsidRPr="006E14E1">
            <w:rPr>
              <w:noProof/>
            </w:rPr>
            <w:t>[4]</w:t>
          </w:r>
          <w:r w:rsidR="00C47DD3" w:rsidRPr="00C47DD3">
            <w:rPr>
              <w:u w:val="single"/>
            </w:rPr>
            <w:fldChar w:fldCharType="end"/>
          </w:r>
        </w:sdtContent>
      </w:sdt>
      <w:r w:rsidR="00332E8A">
        <w:t xml:space="preserve"> </w:t>
      </w:r>
      <w:r w:rsidR="00332E8A" w:rsidRPr="006E14E1">
        <w:t>due to being</w:t>
      </w:r>
      <w:r w:rsidR="00332E8A">
        <w:t xml:space="preserve"> very sensi</w:t>
      </w:r>
      <w:r w:rsidR="00C47DD3">
        <w:t>tive this is of a very small NEQ</w:t>
      </w:r>
      <w:r w:rsidR="00332E8A">
        <w:t xml:space="preserve">, in order to reduce risk whilst still maintaining critical diameter and energy output to reliably begin the explosive chain. </w:t>
      </w:r>
    </w:p>
    <w:p w:rsidR="00DD4AC1" w:rsidRDefault="00DD4AC1" w:rsidP="003274C5">
      <w:r>
        <w:t xml:space="preserve">Booster </w:t>
      </w:r>
      <w:r w:rsidR="00467D43">
        <w:t>–</w:t>
      </w:r>
      <w:r>
        <w:t xml:space="preserve"> </w:t>
      </w:r>
      <w:r w:rsidR="005A705E">
        <w:t>P</w:t>
      </w:r>
      <w:r w:rsidR="00467D43">
        <w:t xml:space="preserve">art of the explosive chain to aid the transition to the main charge, made from a more sensitive material than the main charge with a high energy output to push the shockwave into the man charge, likely to be </w:t>
      </w:r>
      <w:r w:rsidR="00360E5D">
        <w:t>a</w:t>
      </w:r>
      <w:r w:rsidR="00467D43">
        <w:t xml:space="preserve"> less sensitive material such as </w:t>
      </w:r>
      <w:r w:rsidR="006F79F5">
        <w:t>TNT</w:t>
      </w:r>
      <w:r w:rsidR="00467D43">
        <w:t>.</w:t>
      </w:r>
    </w:p>
    <w:p w:rsidR="00360E5D" w:rsidRDefault="00360E5D" w:rsidP="003274C5">
      <w:r>
        <w:t xml:space="preserve">Main Charge – </w:t>
      </w:r>
      <w:r w:rsidR="00F5690E">
        <w:t>Also known as the ‘Payload’, this is t</w:t>
      </w:r>
      <w:r>
        <w:t xml:space="preserve">ypically the largest NEQ of material in the explosive chain and provides the main effect from the munition. For example </w:t>
      </w:r>
      <w:r w:rsidR="006F79F5">
        <w:t>TNT</w:t>
      </w:r>
      <w:r>
        <w:t xml:space="preserve"> is usually the main filling of artillery shells which is of low sensitivity but high energy output. </w:t>
      </w:r>
    </w:p>
    <w:p w:rsidR="0033640E" w:rsidRDefault="00254186" w:rsidP="00407EB4">
      <w:r>
        <w:rPr>
          <w:noProof/>
          <w:lang w:eastAsia="en-GB"/>
        </w:rPr>
        <w:lastRenderedPageBreak/>
        <w:drawing>
          <wp:inline distT="0" distB="0" distL="0" distR="0" wp14:anchorId="59440522">
            <wp:extent cx="4036060" cy="206057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36060" cy="2060575"/>
                    </a:xfrm>
                    <a:prstGeom prst="rect">
                      <a:avLst/>
                    </a:prstGeom>
                    <a:noFill/>
                  </pic:spPr>
                </pic:pic>
              </a:graphicData>
            </a:graphic>
          </wp:inline>
        </w:drawing>
      </w:r>
    </w:p>
    <w:p w:rsidR="00F91105" w:rsidRDefault="00F91105" w:rsidP="00407EB4">
      <w:pPr>
        <w:rPr>
          <w:noProof/>
          <w:lang w:eastAsia="en-GB"/>
        </w:rPr>
      </w:pPr>
      <w:r w:rsidRPr="00F91105">
        <w:rPr>
          <w:noProof/>
          <w:lang w:eastAsia="en-GB"/>
        </w:rPr>
        <w:t xml:space="preserve"> </w:t>
      </w:r>
    </w:p>
    <w:p w:rsidR="005C0860" w:rsidRDefault="005C0860" w:rsidP="00182BE4">
      <w:pPr>
        <w:pStyle w:val="Heading1"/>
      </w:pPr>
      <w:bookmarkStart w:id="3" w:name="_Toc140440863"/>
      <w:r>
        <w:t>Fuz</w:t>
      </w:r>
      <w:r w:rsidRPr="00F91105">
        <w:t>e</w:t>
      </w:r>
      <w:bookmarkEnd w:id="3"/>
    </w:p>
    <w:p w:rsidR="00182BE4" w:rsidRDefault="00182BE4" w:rsidP="00182BE4"/>
    <w:p w:rsidR="00182BE4" w:rsidRPr="00182BE4" w:rsidRDefault="00616E3F" w:rsidP="00182BE4">
      <w:r w:rsidRPr="00182BE4">
        <w:drawing>
          <wp:anchor distT="0" distB="0" distL="114300" distR="114300" simplePos="0" relativeHeight="251671552" behindDoc="0" locked="0" layoutInCell="1" allowOverlap="1">
            <wp:simplePos x="0" y="0"/>
            <wp:positionH relativeFrom="column">
              <wp:posOffset>1066800</wp:posOffset>
            </wp:positionH>
            <wp:positionV relativeFrom="paragraph">
              <wp:posOffset>890443</wp:posOffset>
            </wp:positionV>
            <wp:extent cx="3262745" cy="3823140"/>
            <wp:effectExtent l="0" t="0" r="0" b="635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262745" cy="3823140"/>
                    </a:xfrm>
                    <a:prstGeom prst="rect">
                      <a:avLst/>
                    </a:prstGeom>
                  </pic:spPr>
                </pic:pic>
              </a:graphicData>
            </a:graphic>
          </wp:anchor>
        </w:drawing>
      </w:r>
      <w:r w:rsidR="00182BE4">
        <w:t xml:space="preserve">The fuze is the main safety device in place for an artillery rounds main fill for transport, operation and storage, designed only to detonate the payload reliably when it needs to. The components are shown in the schematic below, allowing the fuze to be set for firing, </w:t>
      </w:r>
      <w:r w:rsidR="00B95E4E">
        <w:t xml:space="preserve">more specifically </w:t>
      </w:r>
      <w:r w:rsidR="00182BE4">
        <w:t>for delay, fragmentation, or detonate on contact with target.</w:t>
      </w:r>
    </w:p>
    <w:p w:rsidR="005C0860" w:rsidRDefault="005C0860" w:rsidP="005C0860"/>
    <w:p w:rsidR="005C0860" w:rsidRDefault="005C0860" w:rsidP="005C0860"/>
    <w:p w:rsidR="005C0860" w:rsidRDefault="005C0860" w:rsidP="005C0860"/>
    <w:p w:rsidR="00A24BE1" w:rsidRPr="0033640E" w:rsidRDefault="00A24BE1" w:rsidP="0033640E"/>
    <w:p w:rsidR="0033640E" w:rsidRPr="0033640E" w:rsidRDefault="00EA099D" w:rsidP="00EA099D">
      <w:pPr>
        <w:pStyle w:val="Heading1"/>
      </w:pPr>
      <w:bookmarkStart w:id="4" w:name="_Toc140440864"/>
      <w:r>
        <w:lastRenderedPageBreak/>
        <w:t xml:space="preserve">Example of </w:t>
      </w:r>
      <w:r w:rsidR="00332E8A">
        <w:t>an</w:t>
      </w:r>
      <w:r w:rsidR="00616E3F">
        <w:t xml:space="preserve"> Explosive Train M107</w:t>
      </w:r>
      <w:r>
        <w:t xml:space="preserve"> 155mm Artillery Round</w:t>
      </w:r>
      <w:bookmarkEnd w:id="4"/>
    </w:p>
    <w:p w:rsidR="0033640E" w:rsidRPr="0033640E" w:rsidRDefault="0033640E" w:rsidP="0033640E"/>
    <w:p w:rsidR="0033640E" w:rsidRPr="0033640E" w:rsidRDefault="0033640E" w:rsidP="0033640E">
      <w:r>
        <w:rPr>
          <w:noProof/>
          <w:lang w:eastAsia="en-GB"/>
        </w:rPr>
        <w:drawing>
          <wp:inline distT="0" distB="0" distL="0" distR="0" wp14:anchorId="13C54B8D">
            <wp:extent cx="5036574" cy="2832631"/>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61731" cy="2846780"/>
                    </a:xfrm>
                    <a:prstGeom prst="rect">
                      <a:avLst/>
                    </a:prstGeom>
                    <a:noFill/>
                  </pic:spPr>
                </pic:pic>
              </a:graphicData>
            </a:graphic>
          </wp:inline>
        </w:drawing>
      </w:r>
    </w:p>
    <w:p w:rsidR="0033640E" w:rsidRPr="0033640E" w:rsidRDefault="005C0860" w:rsidP="0033640E">
      <w:r>
        <w:rPr>
          <w:noProof/>
          <w:lang w:eastAsia="en-GB"/>
        </w:rPr>
        <w:drawing>
          <wp:anchor distT="0" distB="0" distL="114300" distR="114300" simplePos="0" relativeHeight="251662336" behindDoc="1" locked="0" layoutInCell="1" allowOverlap="1">
            <wp:simplePos x="0" y="0"/>
            <wp:positionH relativeFrom="margin">
              <wp:align>left</wp:align>
            </wp:positionH>
            <wp:positionV relativeFrom="paragraph">
              <wp:posOffset>286385</wp:posOffset>
            </wp:positionV>
            <wp:extent cx="4991735" cy="2700655"/>
            <wp:effectExtent l="0" t="0" r="0" b="4445"/>
            <wp:wrapTight wrapText="bothSides">
              <wp:wrapPolygon edited="0">
                <wp:start x="0" y="0"/>
                <wp:lineTo x="0" y="21483"/>
                <wp:lineTo x="21515" y="21483"/>
                <wp:lineTo x="21515"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91735" cy="2700655"/>
                    </a:xfrm>
                    <a:prstGeom prst="rect">
                      <a:avLst/>
                    </a:prstGeom>
                    <a:noFill/>
                  </pic:spPr>
                </pic:pic>
              </a:graphicData>
            </a:graphic>
          </wp:anchor>
        </w:drawing>
      </w:r>
    </w:p>
    <w:p w:rsidR="0033640E" w:rsidRPr="0033640E" w:rsidRDefault="0033640E" w:rsidP="0033640E"/>
    <w:p w:rsidR="0033640E" w:rsidRPr="0033640E" w:rsidRDefault="0033640E" w:rsidP="0033640E"/>
    <w:p w:rsidR="0033640E" w:rsidRPr="0033640E" w:rsidRDefault="00B40BB6" w:rsidP="0033640E">
      <w:hyperlink r:id="rId16" w:history="1">
        <w:r w:rsidR="00F91105" w:rsidRPr="00F91105">
          <w:rPr>
            <w:color w:val="0000FF"/>
            <w:u w:val="single"/>
          </w:rPr>
          <w:t>US Army: new rounds for 155 mm artillery - EDR Magazine</w:t>
        </w:r>
      </w:hyperlink>
    </w:p>
    <w:p w:rsidR="0033640E" w:rsidRPr="0033640E" w:rsidRDefault="0033640E" w:rsidP="0033640E"/>
    <w:p w:rsidR="0033640E" w:rsidRDefault="0033640E" w:rsidP="0033640E"/>
    <w:p w:rsidR="0033640E" w:rsidRDefault="0033640E" w:rsidP="0033640E"/>
    <w:p w:rsidR="00F91105" w:rsidRDefault="00B40BB6" w:rsidP="0033640E">
      <w:hyperlink r:id="rId17" w:anchor="page=326" w:history="1">
        <w:r w:rsidR="000A085B" w:rsidRPr="000A085B">
          <w:rPr>
            <w:color w:val="0000FF"/>
            <w:u w:val="single"/>
          </w:rPr>
          <w:t>Old Chemical Weapons and Related Materiel Reference Guide (bulletp</w:t>
        </w:r>
        <w:r w:rsidR="000A085B" w:rsidRPr="000A085B">
          <w:rPr>
            <w:color w:val="0000FF"/>
            <w:u w:val="single"/>
          </w:rPr>
          <w:t>i</w:t>
        </w:r>
        <w:r w:rsidR="000A085B" w:rsidRPr="000A085B">
          <w:rPr>
            <w:color w:val="0000FF"/>
            <w:u w:val="single"/>
          </w:rPr>
          <w:t>cker.com)</w:t>
        </w:r>
      </w:hyperlink>
    </w:p>
    <w:p w:rsidR="00F91105" w:rsidRDefault="00332E8A" w:rsidP="00F91105">
      <w:r>
        <w:t xml:space="preserve">The author has chosen to use a US artillery shell to show an example of the explosive chain. More specifically the 155mm artillery round widely used within and outside of NATO. The US used M107, is said to be the army’s standard high explosive projectile. </w:t>
      </w:r>
      <w:sdt>
        <w:sdtPr>
          <w:id w:val="1978792563"/>
          <w:citation/>
        </w:sdtPr>
        <w:sdtContent>
          <w:r w:rsidR="00C47DD3">
            <w:fldChar w:fldCharType="begin"/>
          </w:r>
          <w:r w:rsidR="00C47DD3">
            <w:instrText xml:space="preserve"> CITATION Rob99 \l 2057 </w:instrText>
          </w:r>
          <w:r w:rsidR="00C47DD3">
            <w:fldChar w:fldCharType="separate"/>
          </w:r>
          <w:r w:rsidR="006E14E1" w:rsidRPr="006E14E1">
            <w:rPr>
              <w:noProof/>
            </w:rPr>
            <w:t>[5]</w:t>
          </w:r>
          <w:r w:rsidR="00C47DD3">
            <w:fldChar w:fldCharType="end"/>
          </w:r>
        </w:sdtContent>
      </w:sdt>
    </w:p>
    <w:p w:rsidR="003B03DB" w:rsidRDefault="00332E8A" w:rsidP="00F91105">
      <w:r>
        <w:t xml:space="preserve">It can be seen through </w:t>
      </w:r>
      <w:r w:rsidRPr="00332E8A">
        <w:rPr>
          <w:highlight w:val="yellow"/>
        </w:rPr>
        <w:t>figure x</w:t>
      </w:r>
      <w:r>
        <w:t>, a cross sectional view of the 155</w:t>
      </w:r>
      <w:r w:rsidR="00254186">
        <w:t>mm. That it includes both a</w:t>
      </w:r>
      <w:r w:rsidR="005C0860">
        <w:t>n</w:t>
      </w:r>
      <w:r w:rsidR="00254186">
        <w:t xml:space="preserve"> ignition and explosive train. </w:t>
      </w:r>
    </w:p>
    <w:p w:rsidR="003B03DB" w:rsidRDefault="00254186" w:rsidP="003B03DB">
      <w:pPr>
        <w:tabs>
          <w:tab w:val="left" w:pos="4785"/>
        </w:tabs>
      </w:pPr>
      <w:r>
        <w:t xml:space="preserve">Within the </w:t>
      </w:r>
      <w:r w:rsidR="003B03DB">
        <w:t>explosive train the M107 features; a fuze including a primer, a booster and a main charge.</w:t>
      </w:r>
    </w:p>
    <w:p w:rsidR="003B03DB" w:rsidRDefault="003B03DB" w:rsidP="003B03DB">
      <w:pPr>
        <w:tabs>
          <w:tab w:val="left" w:pos="4785"/>
        </w:tabs>
      </w:pPr>
    </w:p>
    <w:p w:rsidR="00E973FB" w:rsidRDefault="003B03DB" w:rsidP="003B03DB">
      <w:pPr>
        <w:tabs>
          <w:tab w:val="left" w:pos="4785"/>
        </w:tabs>
      </w:pPr>
      <w:r>
        <w:lastRenderedPageBreak/>
        <w:t>Fuze –</w:t>
      </w:r>
      <w:r w:rsidR="006E14E1">
        <w:t xml:space="preserve"> Typically</w:t>
      </w:r>
      <w:r w:rsidR="00616E3F">
        <w:t xml:space="preserve"> a</w:t>
      </w:r>
      <w:r w:rsidR="006E14E1">
        <w:t xml:space="preserve"> M51A5</w:t>
      </w:r>
      <w:r w:rsidR="00616E3F">
        <w:t>, as explained in</w:t>
      </w:r>
      <w:r w:rsidR="009B4895">
        <w:t xml:space="preserve"> </w:t>
      </w:r>
      <w:sdt>
        <w:sdtPr>
          <w:rPr>
            <w:rStyle w:val="Hyperlink"/>
            <w:rFonts w:cs="Segoe UI"/>
            <w:color w:val="auto"/>
            <w:u w:val="none"/>
            <w:shd w:val="clear" w:color="auto" w:fill="FFFFFF"/>
          </w:rPr>
          <w:id w:val="435496600"/>
          <w:citation/>
        </w:sdtPr>
        <w:sdtContent>
          <w:r w:rsidR="009B4895" w:rsidRPr="00616E3F">
            <w:rPr>
              <w:rStyle w:val="Hyperlink"/>
              <w:rFonts w:cs="Segoe UI"/>
              <w:color w:val="auto"/>
              <w:u w:val="none"/>
              <w:shd w:val="clear" w:color="auto" w:fill="FFFFFF"/>
            </w:rPr>
            <w:fldChar w:fldCharType="begin"/>
          </w:r>
          <w:r w:rsidR="009B4895" w:rsidRPr="00616E3F">
            <w:rPr>
              <w:rStyle w:val="Hyperlink"/>
              <w:rFonts w:cs="Segoe UI"/>
              <w:color w:val="auto"/>
              <w:u w:val="none"/>
              <w:shd w:val="clear" w:color="auto" w:fill="FFFFFF"/>
            </w:rPr>
            <w:instrText xml:space="preserve"> CITATION Hea03 \l 2057 </w:instrText>
          </w:r>
          <w:r w:rsidR="009B4895" w:rsidRPr="00616E3F">
            <w:rPr>
              <w:rStyle w:val="Hyperlink"/>
              <w:rFonts w:cs="Segoe UI"/>
              <w:color w:val="auto"/>
              <w:u w:val="none"/>
              <w:shd w:val="clear" w:color="auto" w:fill="FFFFFF"/>
            </w:rPr>
            <w:fldChar w:fldCharType="separate"/>
          </w:r>
          <w:r w:rsidR="006E14E1" w:rsidRPr="00616E3F">
            <w:rPr>
              <w:rFonts w:cs="Segoe UI"/>
              <w:noProof/>
              <w:shd w:val="clear" w:color="auto" w:fill="FFFFFF"/>
            </w:rPr>
            <w:t>[6]</w:t>
          </w:r>
          <w:r w:rsidR="009B4895" w:rsidRPr="00616E3F">
            <w:rPr>
              <w:rStyle w:val="Hyperlink"/>
              <w:rFonts w:cs="Segoe UI"/>
              <w:color w:val="auto"/>
              <w:u w:val="none"/>
              <w:shd w:val="clear" w:color="auto" w:fill="FFFFFF"/>
            </w:rPr>
            <w:fldChar w:fldCharType="end"/>
          </w:r>
        </w:sdtContent>
      </w:sdt>
      <w:r w:rsidR="00616E3F">
        <w:rPr>
          <w:rStyle w:val="Hyperlink"/>
          <w:rFonts w:cs="Segoe UI"/>
          <w:color w:val="auto"/>
          <w:u w:val="none"/>
          <w:shd w:val="clear" w:color="auto" w:fill="FFFFFF"/>
        </w:rPr>
        <w:t>, this is a multi-function fuze with the ability to be set for point detonation, delay plunger or in air fragmentation firing. It is the main safety feature for the m107 due to starting the explosive train.</w:t>
      </w:r>
      <w:r w:rsidR="004B10E4">
        <w:rPr>
          <w:rStyle w:val="Hyperlink"/>
          <w:rFonts w:cs="Segoe UI"/>
          <w:color w:val="auto"/>
          <w:u w:val="none"/>
          <w:shd w:val="clear" w:color="auto" w:fill="FFFFFF"/>
        </w:rPr>
        <w:t xml:space="preserve"> After the fuze is activated by these events the explosive chain begins by igniting the primer.</w:t>
      </w:r>
    </w:p>
    <w:p w:rsidR="003B03DB" w:rsidRDefault="003B03DB" w:rsidP="003B03DB">
      <w:pPr>
        <w:tabs>
          <w:tab w:val="left" w:pos="4785"/>
        </w:tabs>
      </w:pPr>
      <w:r>
        <w:t xml:space="preserve">Primer – </w:t>
      </w:r>
      <w:r w:rsidR="00E973FB">
        <w:t xml:space="preserve">Black Powder </w:t>
      </w:r>
      <w:r w:rsidR="008B2179">
        <w:t>which is highly sensitive to impact, flame or spark so it well suited to the application in the fuze to start the explosive train. This is due to black powder deflagrating and therefore burns to detonation. Allowing the various functions of the fuze ie delay mode to be possible. (Potassium Nitrate</w:t>
      </w:r>
      <w:r w:rsidR="008B2179" w:rsidRPr="001B1826">
        <w:t xml:space="preserve">) - </w:t>
      </w:r>
      <w:sdt>
        <w:sdtPr>
          <w:rPr>
            <w:u w:val="single"/>
          </w:rPr>
          <w:id w:val="1342283052"/>
          <w:citation/>
        </w:sdtPr>
        <w:sdtContent>
          <w:r w:rsidR="001B1826" w:rsidRPr="001B1826">
            <w:rPr>
              <w:u w:val="single"/>
            </w:rPr>
            <w:fldChar w:fldCharType="begin"/>
          </w:r>
          <w:r w:rsidR="001B1826" w:rsidRPr="001B1826">
            <w:rPr>
              <w:u w:val="single"/>
            </w:rPr>
            <w:instrText xml:space="preserve"> CITATION Bur22 \l 2057 </w:instrText>
          </w:r>
          <w:r w:rsidR="001B1826" w:rsidRPr="001B1826">
            <w:rPr>
              <w:u w:val="single"/>
            </w:rPr>
            <w:fldChar w:fldCharType="separate"/>
          </w:r>
          <w:r w:rsidR="006E14E1" w:rsidRPr="006E14E1">
            <w:rPr>
              <w:noProof/>
            </w:rPr>
            <w:t>[7]</w:t>
          </w:r>
          <w:r w:rsidR="001B1826" w:rsidRPr="001B1826">
            <w:rPr>
              <w:u w:val="single"/>
            </w:rPr>
            <w:fldChar w:fldCharType="end"/>
          </w:r>
        </w:sdtContent>
      </w:sdt>
    </w:p>
    <w:p w:rsidR="001B1826" w:rsidRDefault="003B03DB" w:rsidP="003B03DB">
      <w:pPr>
        <w:tabs>
          <w:tab w:val="left" w:pos="4785"/>
        </w:tabs>
        <w:rPr>
          <w:rFonts w:ascii="Segoe UI" w:hAnsi="Segoe UI" w:cs="Segoe UI"/>
          <w:color w:val="000000"/>
          <w:sz w:val="23"/>
          <w:szCs w:val="23"/>
          <w:shd w:val="clear" w:color="auto" w:fill="FFFFFF"/>
        </w:rPr>
      </w:pPr>
      <w:r>
        <w:t xml:space="preserve">Booster – </w:t>
      </w:r>
      <w:r w:rsidR="004B10E4">
        <w:t xml:space="preserve">Typically a </w:t>
      </w:r>
      <w:r w:rsidR="00E973FB" w:rsidRPr="004B10E4">
        <w:rPr>
          <w:rFonts w:cs="Segoe UI"/>
          <w:sz w:val="20"/>
          <w:szCs w:val="20"/>
          <w:shd w:val="clear" w:color="auto" w:fill="FFFFFF"/>
        </w:rPr>
        <w:t>40-grain </w:t>
      </w:r>
      <w:hyperlink r:id="rId18" w:history="1">
        <w:r w:rsidR="00E973FB" w:rsidRPr="004B10E4">
          <w:rPr>
            <w:rFonts w:cs="Segoe UI"/>
            <w:sz w:val="20"/>
            <w:szCs w:val="20"/>
            <w:bdr w:val="none" w:sz="0" w:space="0" w:color="auto" w:frame="1"/>
            <w:shd w:val="clear" w:color="auto" w:fill="FFFFFF"/>
          </w:rPr>
          <w:t>t</w:t>
        </w:r>
        <w:r w:rsidR="00E973FB" w:rsidRPr="004B10E4">
          <w:rPr>
            <w:rFonts w:cs="Segoe UI"/>
            <w:sz w:val="20"/>
            <w:szCs w:val="20"/>
            <w:bdr w:val="none" w:sz="0" w:space="0" w:color="auto" w:frame="1"/>
            <w:shd w:val="clear" w:color="auto" w:fill="FFFFFF"/>
          </w:rPr>
          <w:t>e</w:t>
        </w:r>
        <w:r w:rsidR="00E973FB" w:rsidRPr="004B10E4">
          <w:rPr>
            <w:rFonts w:cs="Segoe UI"/>
            <w:sz w:val="20"/>
            <w:szCs w:val="20"/>
            <w:bdr w:val="none" w:sz="0" w:space="0" w:color="auto" w:frame="1"/>
            <w:shd w:val="clear" w:color="auto" w:fill="FFFFFF"/>
          </w:rPr>
          <w:t>t</w:t>
        </w:r>
        <w:r w:rsidR="00E973FB" w:rsidRPr="004B10E4">
          <w:rPr>
            <w:rFonts w:cs="Segoe UI"/>
            <w:sz w:val="20"/>
            <w:szCs w:val="20"/>
            <w:bdr w:val="none" w:sz="0" w:space="0" w:color="auto" w:frame="1"/>
            <w:shd w:val="clear" w:color="auto" w:fill="FFFFFF"/>
          </w:rPr>
          <w:t>r</w:t>
        </w:r>
        <w:r w:rsidR="00E973FB" w:rsidRPr="004B10E4">
          <w:rPr>
            <w:rFonts w:cs="Segoe UI"/>
            <w:sz w:val="20"/>
            <w:szCs w:val="20"/>
            <w:bdr w:val="none" w:sz="0" w:space="0" w:color="auto" w:frame="1"/>
            <w:shd w:val="clear" w:color="auto" w:fill="FFFFFF"/>
          </w:rPr>
          <w:t>y</w:t>
        </w:r>
        <w:r w:rsidR="00E973FB" w:rsidRPr="004B10E4">
          <w:rPr>
            <w:rFonts w:cs="Segoe UI"/>
            <w:sz w:val="20"/>
            <w:szCs w:val="20"/>
            <w:bdr w:val="none" w:sz="0" w:space="0" w:color="auto" w:frame="1"/>
            <w:shd w:val="clear" w:color="auto" w:fill="FFFFFF"/>
          </w:rPr>
          <w:t>l</w:t>
        </w:r>
      </w:hyperlink>
      <w:r w:rsidR="00E973FB" w:rsidRPr="004B10E4">
        <w:rPr>
          <w:rFonts w:cs="Segoe UI"/>
          <w:sz w:val="20"/>
          <w:szCs w:val="20"/>
          <w:shd w:val="clear" w:color="auto" w:fill="FFFFFF"/>
        </w:rPr>
        <w:t> booster pellet</w:t>
      </w:r>
      <w:r w:rsidR="00A650E3" w:rsidRPr="004B10E4">
        <w:rPr>
          <w:rFonts w:cs="Segoe UI"/>
          <w:sz w:val="20"/>
          <w:szCs w:val="20"/>
          <w:shd w:val="clear" w:color="auto" w:fill="FFFFFF"/>
        </w:rPr>
        <w:t xml:space="preserve"> </w:t>
      </w:r>
      <w:sdt>
        <w:sdtPr>
          <w:rPr>
            <w:rFonts w:cs="Segoe UI"/>
            <w:color w:val="000000"/>
            <w:sz w:val="20"/>
            <w:szCs w:val="20"/>
            <w:shd w:val="clear" w:color="auto" w:fill="FFFFFF"/>
          </w:rPr>
          <w:id w:val="-1639247213"/>
          <w:citation/>
        </w:sdtPr>
        <w:sdtContent>
          <w:r w:rsidR="00A650E3" w:rsidRPr="004B10E4">
            <w:rPr>
              <w:rFonts w:cs="Segoe UI"/>
              <w:color w:val="000000"/>
              <w:sz w:val="20"/>
              <w:szCs w:val="20"/>
              <w:shd w:val="clear" w:color="auto" w:fill="FFFFFF"/>
            </w:rPr>
            <w:fldChar w:fldCharType="begin"/>
          </w:r>
          <w:r w:rsidR="00A650E3" w:rsidRPr="004B10E4">
            <w:rPr>
              <w:rFonts w:cs="Segoe UI"/>
              <w:color w:val="000000"/>
              <w:sz w:val="20"/>
              <w:szCs w:val="20"/>
              <w:shd w:val="clear" w:color="auto" w:fill="FFFFFF"/>
            </w:rPr>
            <w:instrText xml:space="preserve"> CITATION GFH47 \l 2057 </w:instrText>
          </w:r>
          <w:r w:rsidR="00A650E3" w:rsidRPr="004B10E4">
            <w:rPr>
              <w:rFonts w:cs="Segoe UI"/>
              <w:color w:val="000000"/>
              <w:sz w:val="20"/>
              <w:szCs w:val="20"/>
              <w:shd w:val="clear" w:color="auto" w:fill="FFFFFF"/>
            </w:rPr>
            <w:fldChar w:fldCharType="separate"/>
          </w:r>
          <w:r w:rsidR="006E14E1" w:rsidRPr="004B10E4">
            <w:rPr>
              <w:rFonts w:cs="Segoe UI"/>
              <w:noProof/>
              <w:color w:val="000000"/>
              <w:sz w:val="20"/>
              <w:szCs w:val="20"/>
              <w:shd w:val="clear" w:color="auto" w:fill="FFFFFF"/>
            </w:rPr>
            <w:t>[8]</w:t>
          </w:r>
          <w:r w:rsidR="00A650E3" w:rsidRPr="004B10E4">
            <w:rPr>
              <w:rFonts w:cs="Segoe UI"/>
              <w:color w:val="000000"/>
              <w:sz w:val="20"/>
              <w:szCs w:val="20"/>
              <w:shd w:val="clear" w:color="auto" w:fill="FFFFFF"/>
            </w:rPr>
            <w:fldChar w:fldCharType="end"/>
          </w:r>
        </w:sdtContent>
      </w:sdt>
      <w:r w:rsidR="004B10E4" w:rsidRPr="004B10E4">
        <w:rPr>
          <w:rFonts w:cs="Segoe UI"/>
          <w:color w:val="000000"/>
          <w:sz w:val="20"/>
          <w:szCs w:val="20"/>
          <w:shd w:val="clear" w:color="auto" w:fill="FFFFFF"/>
        </w:rPr>
        <w:t>, used to be sensitive enough to be detonated by the black powder primer but provides enough energy from its detonation wave to continue the detonation wave into the insensitive main charge.</w:t>
      </w:r>
    </w:p>
    <w:p w:rsidR="00332E8A" w:rsidRDefault="003B03DB" w:rsidP="003B03DB">
      <w:pPr>
        <w:tabs>
          <w:tab w:val="left" w:pos="4785"/>
        </w:tabs>
      </w:pPr>
      <w:r>
        <w:t>Main Charge – M107 charges are typically filled with</w:t>
      </w:r>
      <w:r w:rsidR="002D6351">
        <w:t xml:space="preserve"> a secondary explosive like</w:t>
      </w:r>
      <w:r>
        <w:t xml:space="preserve"> </w:t>
      </w:r>
      <w:r w:rsidR="006F79F5">
        <w:t>TNT</w:t>
      </w:r>
      <w:r>
        <w:t xml:space="preserve"> (Trinitrotoluene 2,4,6), or Composition B (a </w:t>
      </w:r>
      <w:bookmarkStart w:id="5" w:name="_GoBack"/>
      <w:bookmarkEnd w:id="5"/>
      <w:r>
        <w:t xml:space="preserve">mixture of </w:t>
      </w:r>
      <w:r w:rsidR="006F79F5">
        <w:t>TNT</w:t>
      </w:r>
      <w:r>
        <w:t xml:space="preserve"> and RDX, typically a wax or resin of RDX.)</w:t>
      </w:r>
      <w:r>
        <w:tab/>
      </w:r>
    </w:p>
    <w:p w:rsidR="00332E8A" w:rsidRDefault="00332E8A" w:rsidP="00F91105"/>
    <w:p w:rsidR="00254186" w:rsidRDefault="006F79F5" w:rsidP="00254186">
      <w:pPr>
        <w:pStyle w:val="Heading1"/>
      </w:pPr>
      <w:bookmarkStart w:id="6" w:name="_Toc140440865"/>
      <w:r>
        <w:t>TNT</w:t>
      </w:r>
      <w:r w:rsidR="00254186">
        <w:t xml:space="preserve"> in Further Detail</w:t>
      </w:r>
      <w:bookmarkEnd w:id="6"/>
    </w:p>
    <w:p w:rsidR="00254186" w:rsidRDefault="005C0860" w:rsidP="00254186">
      <w:r w:rsidRPr="003B03DB">
        <w:rPr>
          <w:noProof/>
          <w:lang w:eastAsia="en-GB"/>
        </w:rPr>
        <w:drawing>
          <wp:anchor distT="0" distB="0" distL="114300" distR="114300" simplePos="0" relativeHeight="251664384" behindDoc="0" locked="0" layoutInCell="1" allowOverlap="1">
            <wp:simplePos x="0" y="0"/>
            <wp:positionH relativeFrom="page">
              <wp:posOffset>4822457</wp:posOffset>
            </wp:positionH>
            <wp:positionV relativeFrom="paragraph">
              <wp:posOffset>599440</wp:posOffset>
            </wp:positionV>
            <wp:extent cx="2413000" cy="1349375"/>
            <wp:effectExtent l="0" t="0" r="6350" b="3175"/>
            <wp:wrapTopAndBottom/>
            <wp:docPr id="10" name="Picture 10" descr="C:\Users\ljstephenson\AppData\Local\Microsoft\Windows\INetCache\Content.MSO\4F62E24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jstephenson\AppData\Local\Microsoft\Windows\INetCache\Content.MSO\4F62E244.tm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13000" cy="13493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5408" behindDoc="0" locked="0" layoutInCell="1" allowOverlap="1">
            <wp:simplePos x="0" y="0"/>
            <wp:positionH relativeFrom="page">
              <wp:posOffset>641555</wp:posOffset>
            </wp:positionH>
            <wp:positionV relativeFrom="paragraph">
              <wp:posOffset>326615</wp:posOffset>
            </wp:positionV>
            <wp:extent cx="1514475" cy="1905000"/>
            <wp:effectExtent l="0" t="0" r="9525"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514475" cy="1905000"/>
                    </a:xfrm>
                    <a:prstGeom prst="rect">
                      <a:avLst/>
                    </a:prstGeom>
                    <a:noFill/>
                  </pic:spPr>
                </pic:pic>
              </a:graphicData>
            </a:graphic>
          </wp:anchor>
        </w:drawing>
      </w:r>
      <w:r>
        <w:rPr>
          <w:noProof/>
          <w:lang w:eastAsia="en-GB"/>
        </w:rPr>
        <w:drawing>
          <wp:anchor distT="0" distB="0" distL="114300" distR="114300" simplePos="0" relativeHeight="251663360" behindDoc="0" locked="0" layoutInCell="1" allowOverlap="1">
            <wp:simplePos x="0" y="0"/>
            <wp:positionH relativeFrom="column">
              <wp:posOffset>1379363</wp:posOffset>
            </wp:positionH>
            <wp:positionV relativeFrom="paragraph">
              <wp:posOffset>262993</wp:posOffset>
            </wp:positionV>
            <wp:extent cx="2383790" cy="2011680"/>
            <wp:effectExtent l="0" t="0" r="0" b="762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383790" cy="2011680"/>
                    </a:xfrm>
                    <a:prstGeom prst="rect">
                      <a:avLst/>
                    </a:prstGeom>
                    <a:noFill/>
                  </pic:spPr>
                </pic:pic>
              </a:graphicData>
            </a:graphic>
          </wp:anchor>
        </w:drawing>
      </w:r>
    </w:p>
    <w:p w:rsidR="001A1417" w:rsidRDefault="001A1417" w:rsidP="00DD397B">
      <w:pPr>
        <w:tabs>
          <w:tab w:val="left" w:pos="1359"/>
        </w:tabs>
      </w:pPr>
    </w:p>
    <w:p w:rsidR="00254186" w:rsidRPr="00254186" w:rsidRDefault="001A1417" w:rsidP="001A1417">
      <w:pPr>
        <w:pStyle w:val="Heading2"/>
      </w:pPr>
      <w:bookmarkStart w:id="7" w:name="_Toc140440866"/>
      <w:r>
        <w:t>Brief History</w:t>
      </w:r>
      <w:bookmarkEnd w:id="7"/>
      <w:r>
        <w:t xml:space="preserve"> </w:t>
      </w:r>
      <w:r w:rsidR="003B03DB">
        <w:tab/>
      </w:r>
    </w:p>
    <w:p w:rsidR="00930964" w:rsidRDefault="006F79F5" w:rsidP="00930964">
      <w:r>
        <w:t>TNT</w:t>
      </w:r>
      <w:r w:rsidR="00930964">
        <w:t xml:space="preserve"> – Trinitrotoluene (2,4,6)</w:t>
      </w:r>
      <w:r w:rsidR="002E4D2A">
        <w:t xml:space="preserve"> was first being investigated prior to 1902 by British and German researchers. The </w:t>
      </w:r>
      <w:r w:rsidR="002D6351">
        <w:t>Germans</w:t>
      </w:r>
      <w:r w:rsidR="002E4D2A">
        <w:t xml:space="preserve"> used </w:t>
      </w:r>
      <w:r>
        <w:t>TNT</w:t>
      </w:r>
      <w:r w:rsidR="002E4D2A">
        <w:t xml:space="preserve"> as their replacement for Picric acid in </w:t>
      </w:r>
      <w:r w:rsidR="00A7660C">
        <w:t>1902 whereas the British continued research until 1907 to ensure</w:t>
      </w:r>
      <w:r w:rsidR="00A650E3">
        <w:t xml:space="preserve"> its superiority to picric acid, as found in JSP 333</w:t>
      </w:r>
      <w:sdt>
        <w:sdtPr>
          <w:id w:val="-1240022819"/>
          <w:citation/>
        </w:sdtPr>
        <w:sdtContent>
          <w:r w:rsidR="00A650E3">
            <w:fldChar w:fldCharType="begin"/>
          </w:r>
          <w:r w:rsidR="00A650E3">
            <w:instrText xml:space="preserve"> CITATION Min20 \l 2057 </w:instrText>
          </w:r>
          <w:r w:rsidR="00A650E3">
            <w:fldChar w:fldCharType="separate"/>
          </w:r>
          <w:r w:rsidR="006E14E1">
            <w:rPr>
              <w:noProof/>
            </w:rPr>
            <w:t xml:space="preserve"> </w:t>
          </w:r>
          <w:r w:rsidR="006E14E1" w:rsidRPr="006E14E1">
            <w:rPr>
              <w:noProof/>
            </w:rPr>
            <w:t>[9]</w:t>
          </w:r>
          <w:r w:rsidR="00A650E3">
            <w:fldChar w:fldCharType="end"/>
          </w:r>
        </w:sdtContent>
      </w:sdt>
      <w:r w:rsidR="00A7660C">
        <w:t xml:space="preserve">page 20 chapter 2. </w:t>
      </w:r>
      <w:r w:rsidR="00A502D4">
        <w:t xml:space="preserve"> By 1914 and the beginning of WW1 </w:t>
      </w:r>
      <w:r>
        <w:t>TNT</w:t>
      </w:r>
      <w:r w:rsidR="00A502D4">
        <w:t xml:space="preserve"> became the worldwide st</w:t>
      </w:r>
      <w:r w:rsidR="006338C8">
        <w:t>andard for artillery munitions which has remained until now.</w:t>
      </w:r>
    </w:p>
    <w:p w:rsidR="00A502D4" w:rsidRDefault="006F79F5" w:rsidP="00930964">
      <w:r>
        <w:t>TNT</w:t>
      </w:r>
      <w:r w:rsidR="00A502D4">
        <w:t xml:space="preserve"> was a beneficial munition to bring in in the turn of the century, this is due to the materials needed being readily available especially </w:t>
      </w:r>
      <w:r w:rsidR="002D6351">
        <w:t>within Britain as toluene can be gained through coal tar, and with a history of coal mining with England this suited.</w:t>
      </w:r>
    </w:p>
    <w:p w:rsidR="001A7F1D" w:rsidRDefault="001A7F1D" w:rsidP="00930964">
      <w:r>
        <w:t xml:space="preserve">It can be seen that </w:t>
      </w:r>
      <w:r w:rsidR="006F79F5">
        <w:t>TNT</w:t>
      </w:r>
      <w:r>
        <w:t xml:space="preserve"> is </w:t>
      </w:r>
      <w:r w:rsidR="009A6F0C">
        <w:t>toluene in the 3</w:t>
      </w:r>
      <w:r w:rsidR="009A6F0C" w:rsidRPr="009A6F0C">
        <w:rPr>
          <w:vertAlign w:val="superscript"/>
        </w:rPr>
        <w:t>rd</w:t>
      </w:r>
      <w:r w:rsidR="009A6F0C">
        <w:t xml:space="preserve"> nitro group with locations 2, 4 and 6 occupied within its </w:t>
      </w:r>
      <w:r w:rsidR="00F5690E">
        <w:t>benzene diagram, and the name ‘T</w:t>
      </w:r>
      <w:r w:rsidR="009A6F0C">
        <w:t xml:space="preserve">ri’ confirming this. </w:t>
      </w:r>
    </w:p>
    <w:p w:rsidR="00A502D4" w:rsidRDefault="00F34965" w:rsidP="00930964">
      <w:r>
        <w:t xml:space="preserve">The </w:t>
      </w:r>
      <w:r w:rsidR="0013453F">
        <w:t xml:space="preserve">Crystal structure </w:t>
      </w:r>
      <w:r>
        <w:t xml:space="preserve">of TNT is shown G.R Millers’ report </w:t>
      </w:r>
      <w:sdt>
        <w:sdtPr>
          <w:id w:val="1857923152"/>
          <w:citation/>
        </w:sdtPr>
        <w:sdtContent>
          <w:r w:rsidR="00C76385">
            <w:fldChar w:fldCharType="begin"/>
          </w:r>
          <w:r w:rsidR="00C76385">
            <w:instrText xml:space="preserve"> CITATION MIL01 \l 2057 </w:instrText>
          </w:r>
          <w:r w:rsidR="00C76385">
            <w:fldChar w:fldCharType="separate"/>
          </w:r>
          <w:r w:rsidR="006E14E1" w:rsidRPr="006E14E1">
            <w:rPr>
              <w:noProof/>
            </w:rPr>
            <w:t>[10]</w:t>
          </w:r>
          <w:r w:rsidR="00C76385">
            <w:fldChar w:fldCharType="end"/>
          </w:r>
        </w:sdtContent>
      </w:sdt>
      <w:r>
        <w:t xml:space="preserve"> describes that cat TNT “</w:t>
      </w:r>
      <w:r>
        <w:t>forms large single crystals from ethyl acetate solutions; these crystals have conical rather than flat faces</w:t>
      </w:r>
      <w:r>
        <w:t>”</w:t>
      </w:r>
    </w:p>
    <w:p w:rsidR="00930964" w:rsidRDefault="00930964" w:rsidP="00930964">
      <w:r>
        <w:lastRenderedPageBreak/>
        <w:t xml:space="preserve">Physical properties </w:t>
      </w:r>
    </w:p>
    <w:p w:rsidR="00930964" w:rsidRDefault="00FB1942" w:rsidP="00930964">
      <w:r>
        <w:t xml:space="preserve">Through the PubChem documents for TNT it can be seen that the </w:t>
      </w:r>
      <w:r w:rsidR="00930964">
        <w:t>melting point</w:t>
      </w:r>
      <w:r>
        <w:t xml:space="preserve"> is</w:t>
      </w:r>
      <w:r w:rsidR="00930964">
        <w:t xml:space="preserve"> 80.1deg</w:t>
      </w:r>
      <w:r>
        <w:t>rees C</w:t>
      </w:r>
      <w:r w:rsidR="00930964">
        <w:t xml:space="preserve">, </w:t>
      </w:r>
      <w:r>
        <w:t xml:space="preserve">and explodes at 240degrees C. </w:t>
      </w:r>
      <w:sdt>
        <w:sdtPr>
          <w:id w:val="-688683397"/>
          <w:citation/>
        </w:sdtPr>
        <w:sdtContent>
          <w:r>
            <w:fldChar w:fldCharType="begin"/>
          </w:r>
          <w:r>
            <w:instrText xml:space="preserve"> CITATION PUB04 \l 2057 </w:instrText>
          </w:r>
          <w:r>
            <w:fldChar w:fldCharType="separate"/>
          </w:r>
          <w:r w:rsidR="006E14E1" w:rsidRPr="006E14E1">
            <w:rPr>
              <w:noProof/>
            </w:rPr>
            <w:t>[11]</w:t>
          </w:r>
          <w:r>
            <w:fldChar w:fldCharType="end"/>
          </w:r>
        </w:sdtContent>
      </w:sdt>
    </w:p>
    <w:p w:rsidR="001A7F1D" w:rsidRDefault="001A7F1D" w:rsidP="007F18D3">
      <w:pPr>
        <w:pStyle w:val="Heading2"/>
      </w:pPr>
      <w:bookmarkStart w:id="8" w:name="_Toc140440867"/>
      <w:r>
        <w:t xml:space="preserve">Why </w:t>
      </w:r>
      <w:r w:rsidR="006F79F5">
        <w:t>TNT</w:t>
      </w:r>
      <w:r>
        <w:t>?</w:t>
      </w:r>
      <w:bookmarkEnd w:id="8"/>
    </w:p>
    <w:p w:rsidR="007F18D3" w:rsidRPr="007F18D3" w:rsidRDefault="007F18D3" w:rsidP="007F18D3"/>
    <w:p w:rsidR="00E604DB" w:rsidRDefault="00E604DB" w:rsidP="00F91105">
      <w:r>
        <w:t>It is a highly efficient explosive a</w:t>
      </w:r>
      <w:r w:rsidR="00FB1942">
        <w:t>s explained by Imperial College</w:t>
      </w:r>
      <w:sdt>
        <w:sdtPr>
          <w:id w:val="-1848933208"/>
          <w:citation/>
        </w:sdtPr>
        <w:sdtContent>
          <w:r w:rsidR="00FB1942">
            <w:fldChar w:fldCharType="begin"/>
          </w:r>
          <w:r w:rsidR="00FB1942">
            <w:instrText xml:space="preserve"> CITATION Imp06 \l 2057 </w:instrText>
          </w:r>
          <w:r w:rsidR="00FB1942">
            <w:fldChar w:fldCharType="separate"/>
          </w:r>
          <w:r w:rsidR="006E14E1">
            <w:rPr>
              <w:noProof/>
            </w:rPr>
            <w:t xml:space="preserve"> </w:t>
          </w:r>
          <w:r w:rsidR="006E14E1" w:rsidRPr="006E14E1">
            <w:rPr>
              <w:noProof/>
            </w:rPr>
            <w:t>[12]</w:t>
          </w:r>
          <w:r w:rsidR="00FB1942">
            <w:fldChar w:fldCharType="end"/>
          </w:r>
        </w:sdtContent>
      </w:sdt>
      <w:r w:rsidR="00FB1942">
        <w:t xml:space="preserve">, </w:t>
      </w:r>
      <w:r>
        <w:t xml:space="preserve">to typically produce 1 litre of gas per gram of TNT, which is around 1000 time increase in volume. </w:t>
      </w:r>
    </w:p>
    <w:p w:rsidR="00E604DB" w:rsidRDefault="00E604DB" w:rsidP="00F91105">
      <w:r w:rsidRPr="00F3702B">
        <w:rPr>
          <w:highlight w:val="yellow"/>
        </w:rPr>
        <w:t xml:space="preserve">Within the armed forces </w:t>
      </w:r>
      <w:r w:rsidR="00FB1942" w:rsidRPr="00F3702B">
        <w:rPr>
          <w:highlight w:val="yellow"/>
        </w:rPr>
        <w:t>there is a</w:t>
      </w:r>
      <w:r w:rsidR="00FB1942">
        <w:t xml:space="preserve"> </w:t>
      </w:r>
    </w:p>
    <w:p w:rsidR="00F3702B" w:rsidRDefault="00E604DB" w:rsidP="00F91105">
      <w:r>
        <w:t xml:space="preserve">Cost is cheaper but new alternatives could be better but not used due to increased cost, even if outweighed by safety. </w:t>
      </w:r>
      <w:sdt>
        <w:sdtPr>
          <w:id w:val="-1119288590"/>
          <w:citation/>
        </w:sdtPr>
        <w:sdtContent>
          <w:r w:rsidR="00F3702B">
            <w:fldChar w:fldCharType="begin"/>
          </w:r>
          <w:r w:rsidR="00F3702B">
            <w:instrText xml:space="preserve"> CITATION Pic11 \l 2057 </w:instrText>
          </w:r>
          <w:r w:rsidR="00F3702B">
            <w:fldChar w:fldCharType="separate"/>
          </w:r>
          <w:r w:rsidR="006E14E1" w:rsidRPr="006E14E1">
            <w:rPr>
              <w:noProof/>
            </w:rPr>
            <w:t>[13]</w:t>
          </w:r>
          <w:r w:rsidR="00F3702B">
            <w:fldChar w:fldCharType="end"/>
          </w:r>
        </w:sdtContent>
      </w:sdt>
    </w:p>
    <w:p w:rsidR="00E604DB" w:rsidRPr="00BA4FE7" w:rsidRDefault="00E604DB" w:rsidP="00F91105">
      <w:pPr>
        <w:rPr>
          <w:color w:val="0000FF"/>
          <w:u w:val="single"/>
        </w:rPr>
      </w:pPr>
      <w:r>
        <w:t xml:space="preserve">By using </w:t>
      </w:r>
      <w:r w:rsidR="00BD42D4">
        <w:t>melt casting</w:t>
      </w:r>
      <w:r>
        <w:t xml:space="preserve"> it is easy to fill in larger quantities and reduced risk, it is also an efficient metho</w:t>
      </w:r>
      <w:r w:rsidRPr="00BA4FE7">
        <w:t>d taking around 4 hours to complete all steps of the process to fill a munition. The entire traditional TNT casting process time is 4hr 30min.</w:t>
      </w:r>
      <w:r>
        <w:t xml:space="preserve"> </w:t>
      </w:r>
      <w:sdt>
        <w:sdtPr>
          <w:id w:val="-1244562951"/>
          <w:citation/>
        </w:sdtPr>
        <w:sdtContent>
          <w:r w:rsidR="00BA4FE7">
            <w:fldChar w:fldCharType="begin"/>
          </w:r>
          <w:r w:rsidR="00BA4FE7">
            <w:instrText xml:space="preserve"> CITATION Pas11 \l 2057 </w:instrText>
          </w:r>
          <w:r w:rsidR="00BA4FE7">
            <w:fldChar w:fldCharType="separate"/>
          </w:r>
          <w:r w:rsidR="006E14E1" w:rsidRPr="006E14E1">
            <w:rPr>
              <w:noProof/>
            </w:rPr>
            <w:t>[14]</w:t>
          </w:r>
          <w:r w:rsidR="00BA4FE7">
            <w:fldChar w:fldCharType="end"/>
          </w:r>
        </w:sdtContent>
      </w:sdt>
    </w:p>
    <w:p w:rsidR="00AD708F" w:rsidRDefault="00AD708F" w:rsidP="00F91105">
      <w:r>
        <w:t>Will spend most of its life for long durations being stored.</w:t>
      </w:r>
    </w:p>
    <w:p w:rsidR="00261879" w:rsidRDefault="00261879" w:rsidP="00F91105">
      <w:r>
        <w:t>Safer handling</w:t>
      </w:r>
      <w:r w:rsidR="005A1341">
        <w:t xml:space="preserve"> – although carcinogenic </w:t>
      </w:r>
    </w:p>
    <w:p w:rsidR="00261879" w:rsidRDefault="00261879" w:rsidP="00F91105">
      <w:r>
        <w:t xml:space="preserve">Safer transport </w:t>
      </w:r>
      <w:r w:rsidR="004F0BBA">
        <w:t xml:space="preserve">– insensitive </w:t>
      </w:r>
    </w:p>
    <w:p w:rsidR="00261879" w:rsidRDefault="00261879" w:rsidP="00F91105">
      <w:r>
        <w:t>Used since ww1 and 2 after being found through picrin or picric ac</w:t>
      </w:r>
      <w:r w:rsidR="00D322A3">
        <w:t xml:space="preserve">id so well documented, </w:t>
      </w:r>
      <w:r>
        <w:t xml:space="preserve">Even today </w:t>
      </w:r>
      <w:r w:rsidR="006F79F5">
        <w:t>TNT</w:t>
      </w:r>
      <w:r>
        <w:t xml:space="preserve"> is used as a reference value in defence and wider with kingery bulmash curves being used to compare new explosives to their ‘</w:t>
      </w:r>
      <w:r w:rsidR="006F79F5">
        <w:t>TNT</w:t>
      </w:r>
      <w:r>
        <w:t xml:space="preserve"> equivalent’ due the large amount of tests that have been done to back up data about </w:t>
      </w:r>
      <w:r w:rsidR="006F79F5">
        <w:t>TNT</w:t>
      </w:r>
      <w:r>
        <w:t xml:space="preserve"> for the last century.</w:t>
      </w:r>
      <w:r w:rsidR="00F5690E">
        <w:t xml:space="preserve"> Legacy data </w:t>
      </w:r>
    </w:p>
    <w:p w:rsidR="00261879" w:rsidRDefault="00261879" w:rsidP="00F91105">
      <w:r>
        <w:t>Cost is cheaper but new alternatives could be better but not used due to increased cost, even if outweighed by safety.</w:t>
      </w:r>
      <w:r w:rsidR="00C01BDB">
        <w:t xml:space="preserve"> </w:t>
      </w:r>
      <w:sdt>
        <w:sdtPr>
          <w:id w:val="-1913912507"/>
          <w:citation/>
        </w:sdtPr>
        <w:sdtContent>
          <w:r w:rsidR="00C01BDB">
            <w:fldChar w:fldCharType="begin"/>
          </w:r>
          <w:r w:rsidR="00C01BDB">
            <w:instrText xml:space="preserve"> CITATION Pic11 \l 2057 </w:instrText>
          </w:r>
          <w:r w:rsidR="00C01BDB">
            <w:fldChar w:fldCharType="separate"/>
          </w:r>
          <w:r w:rsidR="006E14E1" w:rsidRPr="006E14E1">
            <w:rPr>
              <w:noProof/>
            </w:rPr>
            <w:t>[13]</w:t>
          </w:r>
          <w:r w:rsidR="00C01BDB">
            <w:fldChar w:fldCharType="end"/>
          </w:r>
        </w:sdtContent>
      </w:sdt>
    </w:p>
    <w:p w:rsidR="00D60CB6" w:rsidRDefault="00D60CB6" w:rsidP="00F91105">
      <w:r>
        <w:t>Aids the need</w:t>
      </w:r>
      <w:r>
        <w:t xml:space="preserve"> to </w:t>
      </w:r>
      <w:r>
        <w:t>function</w:t>
      </w:r>
      <w:r>
        <w:t xml:space="preserve"> and be safe and reliable, safe to store and transport and </w:t>
      </w:r>
      <w:r>
        <w:t>no risk of unwanted initiation and work correctly when needed.</w:t>
      </w:r>
    </w:p>
    <w:p w:rsidR="004F0BBA" w:rsidRPr="00F40D7F" w:rsidRDefault="0083471B" w:rsidP="004F0BBA">
      <w:r>
        <w:t>Due</w:t>
      </w:r>
      <w:r w:rsidR="004F0BBA">
        <w:t xml:space="preserve"> to m107 having TNT which is insensitive, if it f</w:t>
      </w:r>
      <w:r w:rsidR="00F3702B">
        <w:t>alls into the wrong hands it will be</w:t>
      </w:r>
      <w:r w:rsidR="004F0BBA">
        <w:t xml:space="preserve"> hard to set off without the other parts of the chain or similar, terrorism ect.</w:t>
      </w:r>
    </w:p>
    <w:p w:rsidR="008031A3" w:rsidRDefault="008031A3" w:rsidP="001A7F1D"/>
    <w:p w:rsidR="004C1AFB" w:rsidRDefault="001A7F1D" w:rsidP="004C1AFB">
      <w:pPr>
        <w:pStyle w:val="Heading2"/>
      </w:pPr>
      <w:bookmarkStart w:id="9" w:name="_Toc140440868"/>
      <w:r>
        <w:t xml:space="preserve">Implications or Problems </w:t>
      </w:r>
      <w:r w:rsidR="00D322A3">
        <w:t>with</w:t>
      </w:r>
      <w:r>
        <w:t xml:space="preserve"> </w:t>
      </w:r>
      <w:r w:rsidR="006F79F5">
        <w:t>TNT</w:t>
      </w:r>
      <w:bookmarkEnd w:id="9"/>
    </w:p>
    <w:p w:rsidR="00A24BE1" w:rsidRPr="00A24BE1" w:rsidRDefault="00A24BE1" w:rsidP="00A24BE1">
      <w:r>
        <w:t xml:space="preserve">As highlighted the </w:t>
      </w:r>
      <w:r w:rsidR="009A6F0C">
        <w:t xml:space="preserve">melting point of </w:t>
      </w:r>
      <w:r w:rsidR="006F79F5">
        <w:t>TNT</w:t>
      </w:r>
      <w:r w:rsidR="009A6F0C">
        <w:t xml:space="preserve"> is 80.1 degrees C. In recent theatres day temperatures can be upwards of 35 degrees</w:t>
      </w:r>
      <w:r w:rsidR="006F79F5">
        <w:t>, if TNT is within a large high tensile steel</w:t>
      </w:r>
      <w:r w:rsidR="009A6F0C">
        <w:t xml:space="preserve"> round such as 155mm artillery the steel can reach temperatures above 80 degrees in the day. Falling to temperatures less than zero in the desert at night. </w:t>
      </w:r>
    </w:p>
    <w:p w:rsidR="008031A3" w:rsidRDefault="008031A3" w:rsidP="00F91105">
      <w:r>
        <w:t>If melted, when c</w:t>
      </w:r>
      <w:r w:rsidR="00261879">
        <w:t xml:space="preserve">ooling and </w:t>
      </w:r>
      <w:r w:rsidR="006F79F5">
        <w:t>re-solidifying</w:t>
      </w:r>
      <w:r w:rsidR="00261879">
        <w:t xml:space="preserve"> causes the fill to be at the angle at which is it stored, </w:t>
      </w:r>
      <w:r w:rsidR="008D3235">
        <w:t xml:space="preserve">which can affect the explosive chain if the material is not in direct contact. It </w:t>
      </w:r>
      <w:r>
        <w:t>can cause void</w:t>
      </w:r>
      <w:r w:rsidR="008D3235">
        <w:t>s</w:t>
      </w:r>
      <w:r>
        <w:t xml:space="preserve"> and cracks in the fill</w:t>
      </w:r>
      <w:r w:rsidR="008D3235">
        <w:t xml:space="preserve"> which again could prevent the continuation of the shockwave and explosive chain</w:t>
      </w:r>
      <w:r>
        <w:t xml:space="preserve">. </w:t>
      </w:r>
      <w:r w:rsidR="001D4910">
        <w:t>Upon change in state back into solid fill the</w:t>
      </w:r>
      <w:r w:rsidR="00261879">
        <w:t xml:space="preserve"> </w:t>
      </w:r>
      <w:r w:rsidR="006F79F5">
        <w:t>crystalline</w:t>
      </w:r>
      <w:r w:rsidR="00261879">
        <w:t xml:space="preserve"> structure of the </w:t>
      </w:r>
      <w:r w:rsidR="006F79F5">
        <w:t>TNT</w:t>
      </w:r>
      <w:r w:rsidR="001D4910">
        <w:t xml:space="preserve"> is affected, m</w:t>
      </w:r>
      <w:r w:rsidR="00261879">
        <w:t xml:space="preserve">aking the </w:t>
      </w:r>
      <w:r>
        <w:t>crystals</w:t>
      </w:r>
      <w:r w:rsidR="00261879">
        <w:t xml:space="preserve"> smaller which can increase its sensitivity. </w:t>
      </w:r>
      <w:r w:rsidR="006F53C5">
        <w:t xml:space="preserve">Moreover may cause the loss of hot spots. </w:t>
      </w:r>
      <w:r w:rsidR="006F79F5">
        <w:t>Moisture</w:t>
      </w:r>
      <w:r w:rsidR="001D4910">
        <w:t xml:space="preserve"> is created during this process within the fill, </w:t>
      </w:r>
      <w:r w:rsidR="005A342E">
        <w:t xml:space="preserve">which could cause improper detonation </w:t>
      </w:r>
      <w:r w:rsidR="006F53C5">
        <w:t xml:space="preserve">within the chain. </w:t>
      </w:r>
      <w:r w:rsidR="005A342E">
        <w:t xml:space="preserve"> </w:t>
      </w:r>
    </w:p>
    <w:p w:rsidR="006F79F5" w:rsidRDefault="008031A3" w:rsidP="00F91105">
      <w:r>
        <w:lastRenderedPageBreak/>
        <w:t>Moreover the TNT, when In liquid state can flow to fill</w:t>
      </w:r>
      <w:r w:rsidR="002D6351">
        <w:t xml:space="preserve"> into the threads of the round</w:t>
      </w:r>
      <w:r>
        <w:t>, being dangerous for breakdown or strip down of the munition due to the high amount of friction caused by undoing the fixings/hardware.</w:t>
      </w:r>
      <w:r w:rsidR="002D6351">
        <w:t xml:space="preserve"> </w:t>
      </w:r>
    </w:p>
    <w:p w:rsidR="006F79F5" w:rsidRDefault="00A234E6" w:rsidP="006F79F5">
      <w:r>
        <w:t>The points mentioned above can lead to negative e</w:t>
      </w:r>
      <w:r w:rsidR="00261879">
        <w:t>ffects ballistic life of the round</w:t>
      </w:r>
      <w:r>
        <w:t xml:space="preserve"> which </w:t>
      </w:r>
      <w:r w:rsidR="00261879">
        <w:t xml:space="preserve">cannot be checked due to not being able to take apart to check due to meltcast </w:t>
      </w:r>
      <w:r>
        <w:t xml:space="preserve">filling of the munition without xray or actually firing samples from different batches, this could prove dangerous due to possible impartial detonations or in barrel detonations. Similarly </w:t>
      </w:r>
      <w:r w:rsidR="006F79F5">
        <w:t>adiabatic heating, can cause in barrel failures or can cause incre</w:t>
      </w:r>
      <w:r>
        <w:t>ased ignition temperature of rounds such as the</w:t>
      </w:r>
      <w:r w:rsidR="006F79F5">
        <w:t xml:space="preserve"> m107 which could cause improper detonation.</w:t>
      </w:r>
      <w:r w:rsidR="005A342E">
        <w:t xml:space="preserve"> All of which will cause inaccuracy, failure to fire or poor effect on target.</w:t>
      </w:r>
    </w:p>
    <w:p w:rsidR="008031A3" w:rsidRDefault="00BD42D4" w:rsidP="008031A3">
      <w:r>
        <w:t>It can be confirmed through,</w:t>
      </w:r>
      <w:r w:rsidR="00F3702B">
        <w:t xml:space="preserve"> </w:t>
      </w:r>
      <w:sdt>
        <w:sdtPr>
          <w:id w:val="110181451"/>
          <w:citation/>
        </w:sdtPr>
        <w:sdtContent>
          <w:r w:rsidR="00F3702B">
            <w:fldChar w:fldCharType="begin"/>
          </w:r>
          <w:r w:rsidR="00F3702B">
            <w:instrText xml:space="preserve"> CITATION Faw21 \l 2057 </w:instrText>
          </w:r>
          <w:r w:rsidR="00F3702B">
            <w:fldChar w:fldCharType="separate"/>
          </w:r>
          <w:r w:rsidR="006E14E1" w:rsidRPr="006E14E1">
            <w:rPr>
              <w:noProof/>
            </w:rPr>
            <w:t>[15]</w:t>
          </w:r>
          <w:r w:rsidR="00F3702B">
            <w:fldChar w:fldCharType="end"/>
          </w:r>
        </w:sdtContent>
      </w:sdt>
      <w:r w:rsidR="00F3702B">
        <w:t xml:space="preserve"> </w:t>
      </w:r>
      <w:r>
        <w:t xml:space="preserve">that the use </w:t>
      </w:r>
      <w:r w:rsidR="00F3702B">
        <w:t xml:space="preserve">of </w:t>
      </w:r>
      <w:r>
        <w:t>TNT munitions has a lasting environmental impact, effecting the land and water supplies local to areas in which they have been used.</w:t>
      </w:r>
    </w:p>
    <w:p w:rsidR="004F0BBA" w:rsidRDefault="004F0BBA" w:rsidP="00F91105"/>
    <w:p w:rsidR="00254186" w:rsidRDefault="00A263F8" w:rsidP="00E414F3">
      <w:pPr>
        <w:pStyle w:val="Heading1"/>
      </w:pPr>
      <w:bookmarkStart w:id="10" w:name="_Toc140440869"/>
      <w:r>
        <w:t xml:space="preserve">Alternatives or </w:t>
      </w:r>
      <w:r w:rsidR="00E414F3">
        <w:t xml:space="preserve">Additives to </w:t>
      </w:r>
      <w:r w:rsidR="006F79F5">
        <w:t>TNT</w:t>
      </w:r>
      <w:bookmarkEnd w:id="10"/>
    </w:p>
    <w:p w:rsidR="00A234E6" w:rsidRDefault="00A234E6" w:rsidP="00A24BE1"/>
    <w:p w:rsidR="00A234E6" w:rsidRPr="00A24BE1" w:rsidRDefault="00A234E6" w:rsidP="00A24BE1">
      <w:r>
        <w:t xml:space="preserve">Through research it is clear there is a wide range of alternative explosives that could be used in modern times as a direct alternative to TNT. </w:t>
      </w:r>
      <w:r w:rsidR="00B60A58">
        <w:t xml:space="preserve">For example a full RDX fill of a 155mm round, the rdx would produce more energy and be a more efficient detonation. </w:t>
      </w:r>
      <w:r w:rsidR="006D3E4A">
        <w:t>The drawbacks of using this as alternative is cost, it is estimated that a TNT filled round is 1/6</w:t>
      </w:r>
      <w:r w:rsidR="006D3E4A" w:rsidRPr="006D3E4A">
        <w:rPr>
          <w:vertAlign w:val="superscript"/>
        </w:rPr>
        <w:t>th</w:t>
      </w:r>
      <w:r w:rsidR="006D3E4A">
        <w:t xml:space="preserve"> of the cost of an RDX fill. Similarly TNT is still used due to the manufacture processes still readily available.</w:t>
      </w:r>
    </w:p>
    <w:p w:rsidR="006D3E4A" w:rsidRDefault="00616E3F" w:rsidP="006D3E4A">
      <w:r w:rsidRPr="00616E3F">
        <w:drawing>
          <wp:anchor distT="0" distB="0" distL="114300" distR="114300" simplePos="0" relativeHeight="251672576" behindDoc="0" locked="0" layoutInCell="1" allowOverlap="1">
            <wp:simplePos x="0" y="0"/>
            <wp:positionH relativeFrom="column">
              <wp:posOffset>4397259</wp:posOffset>
            </wp:positionH>
            <wp:positionV relativeFrom="paragraph">
              <wp:posOffset>622300</wp:posOffset>
            </wp:positionV>
            <wp:extent cx="1974850" cy="2682875"/>
            <wp:effectExtent l="0" t="0" r="6350"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974850" cy="2682875"/>
                    </a:xfrm>
                    <a:prstGeom prst="rect">
                      <a:avLst/>
                    </a:prstGeom>
                  </pic:spPr>
                </pic:pic>
              </a:graphicData>
            </a:graphic>
            <wp14:sizeRelH relativeFrom="margin">
              <wp14:pctWidth>0</wp14:pctWidth>
            </wp14:sizeRelH>
            <wp14:sizeRelV relativeFrom="margin">
              <wp14:pctHeight>0</wp14:pctHeight>
            </wp14:sizeRelV>
          </wp:anchor>
        </w:drawing>
      </w:r>
      <w:r w:rsidR="006D3E4A">
        <w:t>Nitro guanidine is a well-documented alternative to TNT fill, but has its own drawback like most explosives. Upon melting it forms ammonia water vapour and solid products. This is not good for the chain. TNT can do a day temp cycle and be si</w:t>
      </w:r>
      <w:r w:rsidR="00C25B2F">
        <w:t xml:space="preserve">milar to when it was first made. </w:t>
      </w:r>
      <w:sdt>
        <w:sdtPr>
          <w:id w:val="-363368194"/>
          <w:citation/>
        </w:sdtPr>
        <w:sdtContent>
          <w:r w:rsidR="00C25B2F">
            <w:fldChar w:fldCharType="begin"/>
          </w:r>
          <w:r w:rsidR="00C25B2F">
            <w:instrText xml:space="preserve"> CITATION Jac04 \l 2057 </w:instrText>
          </w:r>
          <w:r w:rsidR="00C25B2F">
            <w:fldChar w:fldCharType="separate"/>
          </w:r>
          <w:r w:rsidR="006E14E1" w:rsidRPr="006E14E1">
            <w:rPr>
              <w:noProof/>
            </w:rPr>
            <w:t>[2]</w:t>
          </w:r>
          <w:r w:rsidR="00C25B2F">
            <w:fldChar w:fldCharType="end"/>
          </w:r>
        </w:sdtContent>
      </w:sdt>
    </w:p>
    <w:p w:rsidR="00DA060A" w:rsidRDefault="00C25B2F" w:rsidP="00DA060A">
      <w:r>
        <w:t>To aid with diurn</w:t>
      </w:r>
      <w:r w:rsidR="00DA060A">
        <w:t>al cycling, rounds such as the M107 is TNT</w:t>
      </w:r>
      <w:r w:rsidR="0070239F">
        <w:t xml:space="preserve"> are</w:t>
      </w:r>
      <w:r w:rsidR="00DA060A">
        <w:t xml:space="preserve"> mixed with RD</w:t>
      </w:r>
      <w:r w:rsidR="0070239F">
        <w:t>X and wax, this can prevent the reduction of Chrystal size of TNT</w:t>
      </w:r>
      <w:r w:rsidR="00F5690E">
        <w:t xml:space="preserve"> during physical state changes due to temperature, it also reduces the amount of moisture created inside the main fill during this phase. The addition of the RDX and wax can increases the performance and have increased brisance, improving the fragmentation effect of the case upon detonation.</w:t>
      </w:r>
    </w:p>
    <w:p w:rsidR="00F5690E" w:rsidRDefault="00D322A3" w:rsidP="00DA060A">
      <w:r>
        <w:t xml:space="preserve">Through reading </w:t>
      </w:r>
      <w:sdt>
        <w:sdtPr>
          <w:id w:val="-708413856"/>
          <w:citation/>
        </w:sdtPr>
        <w:sdtContent>
          <w:r w:rsidR="00C25B2F">
            <w:fldChar w:fldCharType="begin"/>
          </w:r>
          <w:r w:rsidR="00C25B2F">
            <w:instrText xml:space="preserve"> CITATION TRE79 \l 2057 </w:instrText>
          </w:r>
          <w:r w:rsidR="00C25B2F">
            <w:fldChar w:fldCharType="separate"/>
          </w:r>
          <w:r w:rsidR="006E14E1" w:rsidRPr="006E14E1">
            <w:rPr>
              <w:noProof/>
            </w:rPr>
            <w:t>[16]</w:t>
          </w:r>
          <w:r w:rsidR="00C25B2F">
            <w:fldChar w:fldCharType="end"/>
          </w:r>
        </w:sdtContent>
      </w:sdt>
      <w:r w:rsidR="00C25B2F">
        <w:t xml:space="preserve">, </w:t>
      </w:r>
      <w:r>
        <w:t xml:space="preserve">it can be seen that a </w:t>
      </w:r>
      <w:r w:rsidR="00F5690E">
        <w:t>Hns stabiliser</w:t>
      </w:r>
      <w:r>
        <w:t xml:space="preserve"> (</w:t>
      </w:r>
      <w:r w:rsidRPr="00D322A3">
        <w:t>hexanitrostilbene</w:t>
      </w:r>
      <w:r>
        <w:t xml:space="preserve">) can be added in the melt casting process in small quantities, within the application of a M107 round 0.3% of the TNT fill is added which is around 40grams. It can be seen in this report that the addition aided the creation of more </w:t>
      </w:r>
      <w:r w:rsidR="00C25B2F">
        <w:t>consistent</w:t>
      </w:r>
      <w:r>
        <w:t xml:space="preserve"> crystalline structures within TNT post meltcasting.</w:t>
      </w:r>
      <w:r w:rsidR="00232348">
        <w:t xml:space="preserve"> Moreover reducing the risk of the TNT’s sensitivity increasing.</w:t>
      </w:r>
      <w:r w:rsidR="00616E3F" w:rsidRPr="00616E3F">
        <w:rPr>
          <w:noProof/>
          <w:lang w:eastAsia="en-GB"/>
        </w:rPr>
        <w:t xml:space="preserve"> </w:t>
      </w:r>
    </w:p>
    <w:p w:rsidR="006D3E4A" w:rsidRDefault="00F5690E" w:rsidP="00F91105">
      <w:r>
        <w:t>Other suitable alternatives for consideration can be found within the Kingery</w:t>
      </w:r>
      <w:r w:rsidR="00C25B2F">
        <w:t xml:space="preserve"> Bulmash or Conwep </w:t>
      </w:r>
      <w:r w:rsidR="00D322A3">
        <w:t>applications in terms of performance.</w:t>
      </w:r>
    </w:p>
    <w:p w:rsidR="00254186" w:rsidRDefault="00254186" w:rsidP="00F91105"/>
    <w:p w:rsidR="00DA060A" w:rsidRDefault="00DA060A" w:rsidP="00F91105"/>
    <w:p w:rsidR="00254186" w:rsidRDefault="00254186" w:rsidP="00F91105"/>
    <w:p w:rsidR="00D322A3" w:rsidRDefault="00D322A3" w:rsidP="00F91105"/>
    <w:p w:rsidR="00F91105" w:rsidRDefault="00F872FD" w:rsidP="00AE131F">
      <w:pPr>
        <w:pStyle w:val="Heading1"/>
      </w:pPr>
      <w:bookmarkStart w:id="11" w:name="_Toc140440870"/>
      <w:r>
        <w:rPr>
          <w:noProof/>
          <w:lang w:eastAsia="en-GB"/>
        </w:rPr>
        <w:drawing>
          <wp:anchor distT="0" distB="0" distL="114300" distR="114300" simplePos="0" relativeHeight="251669504" behindDoc="0" locked="0" layoutInCell="1" allowOverlap="1">
            <wp:simplePos x="0" y="0"/>
            <wp:positionH relativeFrom="column">
              <wp:posOffset>4711270</wp:posOffset>
            </wp:positionH>
            <wp:positionV relativeFrom="paragraph">
              <wp:posOffset>61882</wp:posOffset>
            </wp:positionV>
            <wp:extent cx="1600200" cy="303276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600200" cy="3032760"/>
                    </a:xfrm>
                    <a:prstGeom prst="rect">
                      <a:avLst/>
                    </a:prstGeom>
                    <a:noFill/>
                  </pic:spPr>
                </pic:pic>
              </a:graphicData>
            </a:graphic>
            <wp14:sizeRelH relativeFrom="margin">
              <wp14:pctWidth>0</wp14:pctWidth>
            </wp14:sizeRelH>
            <wp14:sizeRelV relativeFrom="margin">
              <wp14:pctHeight>0</wp14:pctHeight>
            </wp14:sizeRelV>
          </wp:anchor>
        </w:drawing>
      </w:r>
      <w:r w:rsidR="00F91105">
        <w:t xml:space="preserve">Safety and Arming </w:t>
      </w:r>
      <w:r w:rsidR="00A263F8">
        <w:t>Devices/Fuze</w:t>
      </w:r>
      <w:bookmarkEnd w:id="11"/>
    </w:p>
    <w:p w:rsidR="00AE131F" w:rsidRPr="00AE131F" w:rsidRDefault="00AE131F" w:rsidP="00AE131F"/>
    <w:p w:rsidR="00AD708F" w:rsidRDefault="00AD708F" w:rsidP="00F91105">
      <w:r>
        <w:t xml:space="preserve">The use of Insensitive main fills in charges such as TNT are a safety feature within itself, due to the reduction of accidental initiation and the </w:t>
      </w:r>
      <w:r w:rsidR="00F872FD">
        <w:t>difficult to actually get the TNT to detonate. Meaning the use of an explosive chain is a safety device of rounds such as the M107 155mm.</w:t>
      </w:r>
    </w:p>
    <w:p w:rsidR="00F872FD" w:rsidRDefault="00F872FD" w:rsidP="00F91105">
      <w:r>
        <w:t>The use of a Fuze aids the safety of the device, due to its main function which is to maintain the safety of the main fill during transport, handling, storage and loading, only allowing the TNT fill to be detonated after setting of the fuse and firing. It can ensure the munition is safe and reliable at its primary function when required.</w:t>
      </w:r>
    </w:p>
    <w:p w:rsidR="00F872FD" w:rsidRDefault="00F872FD" w:rsidP="00F91105">
      <w:r>
        <w:t>The M107 has the ability to remove the fuze for storage and transport, this creates a permanent break in the explosive train. And safety for movement of the munition.</w:t>
      </w:r>
    </w:p>
    <w:p w:rsidR="00BD42D4" w:rsidRDefault="00F872FD" w:rsidP="00F91105">
      <w:r>
        <w:t xml:space="preserve">An M107 has the benefit of a </w:t>
      </w:r>
      <w:r w:rsidR="00BD42D4">
        <w:t>tra</w:t>
      </w:r>
      <w:r>
        <w:t>nsit cap to avoid contamination of the main fill when the fuse is not fitted.</w:t>
      </w:r>
      <w:r w:rsidR="00232348">
        <w:t xml:space="preserve"> This will prolong the life of the munition and ensure it works as intended. </w:t>
      </w:r>
      <w:r w:rsidR="00B11A14">
        <w:t>It also has a moisture trap within the design of the casing, to prevent issues caused during firing operations.</w:t>
      </w:r>
    </w:p>
    <w:p w:rsidR="00F872FD" w:rsidRDefault="00DA060A" w:rsidP="00F872FD">
      <w:pPr>
        <w:tabs>
          <w:tab w:val="left" w:pos="8303"/>
        </w:tabs>
      </w:pPr>
      <w:r>
        <w:t>Driving band</w:t>
      </w:r>
      <w:r w:rsidR="00F872FD">
        <w:t xml:space="preserve"> aid the safety of the crew during firing to prevent leakage of propulsion gasses leaking back down the barrel. This fills the rifling with carbon and can lead to misfires in the after prolonged use.           </w:t>
      </w:r>
    </w:p>
    <w:p w:rsidR="00DA060A" w:rsidRPr="00F91105" w:rsidRDefault="00F872FD" w:rsidP="00F872FD">
      <w:pPr>
        <w:tabs>
          <w:tab w:val="left" w:pos="8303"/>
        </w:tabs>
      </w:pPr>
      <w:r>
        <w:t xml:space="preserve">                                </w:t>
      </w:r>
      <w:hyperlink r:id="rId24" w:history="1">
        <w:r w:rsidRPr="00F872FD">
          <w:rPr>
            <w:color w:val="0000FF"/>
            <w:u w:val="single"/>
          </w:rPr>
          <w:t>Artillery - General Dynamics Ordnance and Tactical Systems (gd-ots.com)</w:t>
        </w:r>
      </w:hyperlink>
    </w:p>
    <w:p w:rsidR="00F91105" w:rsidRPr="00F91105" w:rsidRDefault="00F91105" w:rsidP="00F91105"/>
    <w:p w:rsidR="00A979BA" w:rsidRDefault="00A979BA" w:rsidP="00A979BA"/>
    <w:p w:rsidR="00E56863" w:rsidRDefault="00E56863" w:rsidP="00E56863"/>
    <w:p w:rsidR="00A979BA" w:rsidRPr="00A979BA" w:rsidRDefault="00A979BA" w:rsidP="00A979BA"/>
    <w:p w:rsidR="00F91105" w:rsidRDefault="00F91105" w:rsidP="00F91105">
      <w:pPr>
        <w:pStyle w:val="Heading1"/>
      </w:pPr>
      <w:bookmarkStart w:id="12" w:name="_Toc140440871"/>
      <w:r>
        <w:t>Safe Storage</w:t>
      </w:r>
      <w:r w:rsidR="00E2102A">
        <w:t xml:space="preserve"> of TNT</w:t>
      </w:r>
      <w:bookmarkEnd w:id="12"/>
    </w:p>
    <w:p w:rsidR="00232348" w:rsidRDefault="00232348" w:rsidP="00F91105"/>
    <w:p w:rsidR="00B11A14" w:rsidRDefault="00232348" w:rsidP="00F91105">
      <w:r>
        <w:t xml:space="preserve">In order fulfil safety requirements and expected lifespan of the munition safe storage is critical in order to ensure correct operation upon use. The </w:t>
      </w:r>
      <w:r w:rsidR="00B11A14">
        <w:t xml:space="preserve">explosives regulations 2014 </w:t>
      </w:r>
      <w:sdt>
        <w:sdtPr>
          <w:id w:val="1339585434"/>
          <w:citation/>
        </w:sdtPr>
        <w:sdtContent>
          <w:r w:rsidR="00BF364B">
            <w:fldChar w:fldCharType="begin"/>
          </w:r>
          <w:r w:rsidR="00BF364B">
            <w:instrText xml:space="preserve"> CITATION HSE13 \l 2057 </w:instrText>
          </w:r>
          <w:r w:rsidR="00BF364B">
            <w:fldChar w:fldCharType="separate"/>
          </w:r>
          <w:r w:rsidR="006E14E1" w:rsidRPr="006E14E1">
            <w:rPr>
              <w:noProof/>
            </w:rPr>
            <w:t>[17]</w:t>
          </w:r>
          <w:r w:rsidR="00BF364B">
            <w:fldChar w:fldCharType="end"/>
          </w:r>
        </w:sdtContent>
      </w:sdt>
      <w:r w:rsidR="00BF364B">
        <w:t xml:space="preserve"> </w:t>
      </w:r>
      <w:r w:rsidR="00B11A14">
        <w:t>helps to set guidelines for the safety in storage. Including preventing the M107 from being in direct sunlight which could create heat cycling of the TNT fill. Similarly the room must be temperature controlled to ensure it is not allowing the munition to get anywhere near the 80.1degrees melting temp. Humidity control is important to extend the munitions life, a humid atmosphere can cause rapid degradation of the steel casing, which is a large safety risk due to oxidisation and possible leaking of fill. It is best to store in as small quantities as reasonable practicable to reduce the overall risk, as well as removing fuzes and storing in different magazine or esh where possible.</w:t>
      </w:r>
    </w:p>
    <w:p w:rsidR="00F91105" w:rsidRDefault="00F5690E" w:rsidP="00F91105">
      <w:pPr>
        <w:pStyle w:val="Heading1"/>
      </w:pPr>
      <w:bookmarkStart w:id="13" w:name="_Toc140440872"/>
      <w:r>
        <w:lastRenderedPageBreak/>
        <w:t xml:space="preserve">Safe </w:t>
      </w:r>
      <w:r w:rsidR="00F91105">
        <w:t>Transport</w:t>
      </w:r>
      <w:bookmarkEnd w:id="13"/>
      <w:r w:rsidR="00F91105">
        <w:t xml:space="preserve"> </w:t>
      </w:r>
    </w:p>
    <w:p w:rsidR="006F53C5" w:rsidRDefault="006F53C5" w:rsidP="006F53C5"/>
    <w:p w:rsidR="006F53C5" w:rsidRPr="006F53C5" w:rsidRDefault="006F53C5" w:rsidP="006F53C5">
      <w:r>
        <w:t xml:space="preserve">A 155mm round is classed under the ADR regulations and under </w:t>
      </w:r>
      <w:r w:rsidRPr="006E14E1">
        <w:t>OME DSA03</w:t>
      </w:r>
      <w:r>
        <w:t xml:space="preserve"> </w:t>
      </w:r>
      <w:sdt>
        <w:sdtPr>
          <w:id w:val="-2085449070"/>
          <w:citation/>
        </w:sdtPr>
        <w:sdtContent>
          <w:r w:rsidR="00086E93">
            <w:fldChar w:fldCharType="begin"/>
          </w:r>
          <w:r w:rsidR="00086E93">
            <w:instrText xml:space="preserve">CITATION DOS22 \l 2057 </w:instrText>
          </w:r>
          <w:r w:rsidR="00086E93">
            <w:fldChar w:fldCharType="separate"/>
          </w:r>
          <w:r w:rsidR="006E14E1" w:rsidRPr="006E14E1">
            <w:rPr>
              <w:noProof/>
            </w:rPr>
            <w:t>[18]</w:t>
          </w:r>
          <w:r w:rsidR="00086E93">
            <w:fldChar w:fldCharType="end"/>
          </w:r>
        </w:sdtContent>
      </w:sdt>
      <w:r>
        <w:t xml:space="preserve">to be classed as 1.1F If transported with the fuze in place, which is reduced to 1.1d with the fuze removed. </w:t>
      </w:r>
      <w:r w:rsidR="00AA1CB2">
        <w:t xml:space="preserve">Due to a break in the explosive chain. </w:t>
      </w:r>
      <w:r>
        <w:t xml:space="preserve">This aids to more easy transportation with a munition that follows the principles of an explosive chain. </w:t>
      </w:r>
      <w:r w:rsidR="001E0620">
        <w:t>This is due to being a secondary high explosive without means of initiation. (UN NO168) Where possible it is best to transport the fuzes separately, although allowed by ADR it would increase the safety of transport. It is best to transport the shells with the lifting eyes in place to prevent contamination of fill and to ease movement, reducing the risk of dropping or related incidents. (although low due to insensitivity</w:t>
      </w:r>
      <w:r w:rsidR="00DB59A1">
        <w:t>)</w:t>
      </w:r>
      <w:r w:rsidR="001E0620">
        <w:t>.</w:t>
      </w:r>
      <w:r w:rsidR="00FC5A82">
        <w:t xml:space="preserve"> </w:t>
      </w:r>
    </w:p>
    <w:p w:rsidR="00F91105" w:rsidRDefault="00B40BB6" w:rsidP="00F91105">
      <w:pPr>
        <w:rPr>
          <w:color w:val="0000FF"/>
          <w:u w:val="single"/>
        </w:rPr>
      </w:pPr>
      <w:hyperlink r:id="rId25" w:history="1">
        <w:r w:rsidR="00F819D5" w:rsidRPr="00F819D5">
          <w:rPr>
            <w:color w:val="0000FF"/>
            <w:u w:val="single"/>
          </w:rPr>
          <w:t>UN 0167 - ADR 2017 - English - P</w:t>
        </w:r>
        <w:r w:rsidR="00F819D5" w:rsidRPr="00F819D5">
          <w:rPr>
            <w:color w:val="0000FF"/>
            <w:u w:val="single"/>
          </w:rPr>
          <w:t>R</w:t>
        </w:r>
        <w:r w:rsidR="00F819D5" w:rsidRPr="00F819D5">
          <w:rPr>
            <w:color w:val="0000FF"/>
            <w:u w:val="single"/>
          </w:rPr>
          <w:t>O</w:t>
        </w:r>
        <w:r w:rsidR="00F819D5" w:rsidRPr="00F819D5">
          <w:rPr>
            <w:color w:val="0000FF"/>
            <w:u w:val="single"/>
          </w:rPr>
          <w:t>J</w:t>
        </w:r>
        <w:r w:rsidR="00F819D5" w:rsidRPr="00F819D5">
          <w:rPr>
            <w:color w:val="0000FF"/>
            <w:u w:val="single"/>
          </w:rPr>
          <w:t>ECTILES with bursting charge (adrbook.com)</w:t>
        </w:r>
      </w:hyperlink>
    </w:p>
    <w:p w:rsidR="001E0620" w:rsidRDefault="001E0620" w:rsidP="00F91105"/>
    <w:p w:rsidR="00F91105" w:rsidRDefault="00F91105" w:rsidP="00F91105"/>
    <w:p w:rsidR="00F819D5" w:rsidRDefault="00F819D5" w:rsidP="00F91105">
      <w:r w:rsidRPr="00F819D5">
        <w:rPr>
          <w:noProof/>
          <w:lang w:eastAsia="en-GB"/>
        </w:rPr>
        <w:drawing>
          <wp:anchor distT="0" distB="0" distL="114300" distR="114300" simplePos="0" relativeHeight="251667456" behindDoc="0" locked="0" layoutInCell="1" allowOverlap="1">
            <wp:simplePos x="914400" y="7130845"/>
            <wp:positionH relativeFrom="column">
              <wp:align>left</wp:align>
            </wp:positionH>
            <wp:positionV relativeFrom="paragraph">
              <wp:align>top</wp:align>
            </wp:positionV>
            <wp:extent cx="4225413" cy="1742409"/>
            <wp:effectExtent l="0" t="0" r="381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225413" cy="1742409"/>
                    </a:xfrm>
                    <a:prstGeom prst="rect">
                      <a:avLst/>
                    </a:prstGeom>
                  </pic:spPr>
                </pic:pic>
              </a:graphicData>
            </a:graphic>
          </wp:anchor>
        </w:drawing>
      </w:r>
    </w:p>
    <w:p w:rsidR="00F91105" w:rsidRDefault="00F819D5" w:rsidP="00F819D5">
      <w:pPr>
        <w:ind w:firstLine="720"/>
      </w:pPr>
      <w:r>
        <w:t xml:space="preserve">If transported with fuze. </w:t>
      </w:r>
      <w:r>
        <w:br w:type="textWrapping" w:clear="all"/>
      </w:r>
    </w:p>
    <w:p w:rsidR="008B1698" w:rsidRDefault="008B1698" w:rsidP="00F91105"/>
    <w:p w:rsidR="008B1698" w:rsidRDefault="008B1698" w:rsidP="00F91105"/>
    <w:p w:rsidR="00106C0C" w:rsidRDefault="00106C0C" w:rsidP="00106C0C">
      <w:pPr>
        <w:tabs>
          <w:tab w:val="center" w:pos="680"/>
        </w:tabs>
      </w:pPr>
      <w:r>
        <w:rPr>
          <w:noProof/>
          <w:lang w:eastAsia="en-GB"/>
        </w:rPr>
        <w:drawing>
          <wp:anchor distT="0" distB="0" distL="114300" distR="114300" simplePos="0" relativeHeight="251668480" behindDoc="0" locked="0" layoutInCell="1" allowOverlap="1">
            <wp:simplePos x="914400" y="914400"/>
            <wp:positionH relativeFrom="column">
              <wp:align>left</wp:align>
            </wp:positionH>
            <wp:positionV relativeFrom="paragraph">
              <wp:align>top</wp:align>
            </wp:positionV>
            <wp:extent cx="4753935" cy="1430594"/>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753935" cy="1430594"/>
                    </a:xfrm>
                    <a:prstGeom prst="rect">
                      <a:avLst/>
                    </a:prstGeom>
                    <a:noFill/>
                  </pic:spPr>
                </pic:pic>
              </a:graphicData>
            </a:graphic>
          </wp:anchor>
        </w:drawing>
      </w:r>
      <w:r>
        <w:t xml:space="preserve">Without fuze 1.1d. </w:t>
      </w:r>
    </w:p>
    <w:p w:rsidR="008B1698" w:rsidRDefault="00106C0C" w:rsidP="00106C0C">
      <w:pPr>
        <w:tabs>
          <w:tab w:val="center" w:pos="680"/>
        </w:tabs>
      </w:pPr>
      <w:r>
        <w:br w:type="textWrapping" w:clear="all"/>
      </w:r>
    </w:p>
    <w:p w:rsidR="00106C0C" w:rsidRDefault="00106C0C" w:rsidP="00106C0C">
      <w:pPr>
        <w:tabs>
          <w:tab w:val="center" w:pos="680"/>
        </w:tabs>
      </w:pPr>
      <w:r>
        <w:rPr>
          <w:noProof/>
          <w:lang w:eastAsia="en-GB"/>
        </w:rPr>
        <w:drawing>
          <wp:inline distT="0" distB="0" distL="0" distR="0" wp14:anchorId="772D704C">
            <wp:extent cx="5231704" cy="618034"/>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306218" cy="626837"/>
                    </a:xfrm>
                    <a:prstGeom prst="rect">
                      <a:avLst/>
                    </a:prstGeom>
                    <a:noFill/>
                  </pic:spPr>
                </pic:pic>
              </a:graphicData>
            </a:graphic>
          </wp:inline>
        </w:drawing>
      </w:r>
    </w:p>
    <w:p w:rsidR="00AE131F" w:rsidRDefault="00AE131F" w:rsidP="00601C1A"/>
    <w:p w:rsidR="00E2102A" w:rsidRDefault="00E2102A" w:rsidP="00E2102A">
      <w:pPr>
        <w:pStyle w:val="Heading1"/>
      </w:pPr>
      <w:bookmarkStart w:id="14" w:name="_Toc140440873"/>
      <w:r>
        <w:lastRenderedPageBreak/>
        <w:t>Insensitive Munitions and The future of Artillery</w:t>
      </w:r>
      <w:bookmarkEnd w:id="14"/>
      <w:r>
        <w:t xml:space="preserve"> </w:t>
      </w:r>
    </w:p>
    <w:p w:rsidR="00FC5A82" w:rsidRDefault="00D60CB6" w:rsidP="00FC5A82">
      <w:r w:rsidRPr="00AA1CB2">
        <w:rPr>
          <w:rFonts w:cstheme="minorHAnsi"/>
          <w:bCs/>
          <w:color w:val="202122"/>
          <w:shd w:val="clear" w:color="auto" w:fill="FFFFFF"/>
        </w:rPr>
        <w:t>“</w:t>
      </w:r>
      <w:r w:rsidR="00E2102A" w:rsidRPr="00AA1CB2">
        <w:rPr>
          <w:rFonts w:cstheme="minorHAnsi"/>
          <w:bCs/>
          <w:color w:val="202122"/>
          <w:shd w:val="clear" w:color="auto" w:fill="FFFFFF"/>
        </w:rPr>
        <w:t>Insensitive munitions</w:t>
      </w:r>
      <w:r w:rsidR="00E2102A" w:rsidRPr="00AA1CB2">
        <w:rPr>
          <w:rFonts w:cstheme="minorHAnsi"/>
          <w:color w:val="202122"/>
          <w:shd w:val="clear" w:color="auto" w:fill="FFFFFF"/>
        </w:rPr>
        <w:t> </w:t>
      </w:r>
      <w:r w:rsidR="00E2102A" w:rsidRPr="00D60CB6">
        <w:rPr>
          <w:rFonts w:cstheme="minorHAnsi"/>
          <w:color w:val="202122"/>
          <w:shd w:val="clear" w:color="auto" w:fill="FFFFFF"/>
        </w:rPr>
        <w:t>are </w:t>
      </w:r>
      <w:r w:rsidR="00E2102A" w:rsidRPr="00D60CB6">
        <w:rPr>
          <w:rFonts w:cstheme="minorHAnsi"/>
          <w:shd w:val="clear" w:color="auto" w:fill="FFFFFF"/>
        </w:rPr>
        <w:t>munitions</w:t>
      </w:r>
      <w:r w:rsidR="00E2102A" w:rsidRPr="00D60CB6">
        <w:rPr>
          <w:rFonts w:cstheme="minorHAnsi"/>
          <w:color w:val="202122"/>
          <w:shd w:val="clear" w:color="auto" w:fill="FFFFFF"/>
        </w:rPr>
        <w:t> that are designed to withstand stimuli representative of severe but credible accidents.</w:t>
      </w:r>
      <w:r w:rsidRPr="00D60CB6">
        <w:rPr>
          <w:rFonts w:cstheme="minorHAnsi"/>
          <w:color w:val="202122"/>
          <w:shd w:val="clear" w:color="auto" w:fill="FFFFFF"/>
        </w:rPr>
        <w:t>”</w:t>
      </w:r>
      <w:r>
        <w:rPr>
          <w:rFonts w:cstheme="minorHAnsi"/>
          <w:color w:val="202122"/>
          <w:shd w:val="clear" w:color="auto" w:fill="FFFFFF"/>
        </w:rPr>
        <w:t xml:space="preserve"> As </w:t>
      </w:r>
      <w:r w:rsidR="00FC5A82">
        <w:rPr>
          <w:rFonts w:cstheme="minorHAnsi"/>
          <w:color w:val="202122"/>
          <w:shd w:val="clear" w:color="auto" w:fill="FFFFFF"/>
        </w:rPr>
        <w:t xml:space="preserve">described in </w:t>
      </w:r>
      <w:sdt>
        <w:sdtPr>
          <w:rPr>
            <w:rFonts w:cstheme="minorHAnsi"/>
            <w:color w:val="202122"/>
            <w:shd w:val="clear" w:color="auto" w:fill="FFFFFF"/>
          </w:rPr>
          <w:id w:val="445130491"/>
          <w:citation/>
        </w:sdtPr>
        <w:sdtContent>
          <w:r w:rsidR="00FC5A82">
            <w:rPr>
              <w:rFonts w:cstheme="minorHAnsi"/>
              <w:color w:val="202122"/>
              <w:shd w:val="clear" w:color="auto" w:fill="FFFFFF"/>
            </w:rPr>
            <w:fldChar w:fldCharType="begin"/>
          </w:r>
          <w:r w:rsidR="00FC5A82">
            <w:rPr>
              <w:rFonts w:cstheme="minorHAnsi"/>
              <w:color w:val="202122"/>
              <w:shd w:val="clear" w:color="auto" w:fill="FFFFFF"/>
            </w:rPr>
            <w:instrText xml:space="preserve"> CITATION Ins11 \l 2057 </w:instrText>
          </w:r>
          <w:r w:rsidR="00FC5A82">
            <w:rPr>
              <w:rFonts w:cstheme="minorHAnsi"/>
              <w:color w:val="202122"/>
              <w:shd w:val="clear" w:color="auto" w:fill="FFFFFF"/>
            </w:rPr>
            <w:fldChar w:fldCharType="separate"/>
          </w:r>
          <w:r w:rsidR="006E14E1" w:rsidRPr="006E14E1">
            <w:rPr>
              <w:rFonts w:cstheme="minorHAnsi"/>
              <w:noProof/>
              <w:color w:val="202122"/>
              <w:shd w:val="clear" w:color="auto" w:fill="FFFFFF"/>
            </w:rPr>
            <w:t>[19]</w:t>
          </w:r>
          <w:r w:rsidR="00FC5A82">
            <w:rPr>
              <w:rFonts w:cstheme="minorHAnsi"/>
              <w:color w:val="202122"/>
              <w:shd w:val="clear" w:color="auto" w:fill="FFFFFF"/>
            </w:rPr>
            <w:fldChar w:fldCharType="end"/>
          </w:r>
        </w:sdtContent>
      </w:sdt>
      <w:r w:rsidR="00FC5A82">
        <w:rPr>
          <w:rFonts w:cstheme="minorHAnsi"/>
          <w:color w:val="202122"/>
          <w:shd w:val="clear" w:color="auto" w:fill="FFFFFF"/>
        </w:rPr>
        <w:t>.</w:t>
      </w:r>
    </w:p>
    <w:p w:rsidR="001E0620" w:rsidRPr="00E2102A" w:rsidRDefault="001E0620" w:rsidP="00E2102A"/>
    <w:p w:rsidR="00AE131F" w:rsidRDefault="00E2102A" w:rsidP="00601C1A">
      <w:r w:rsidRPr="00E973FB">
        <w:rPr>
          <w:noProof/>
          <w:lang w:eastAsia="en-GB"/>
        </w:rPr>
        <w:drawing>
          <wp:inline distT="0" distB="0" distL="0" distR="0" wp14:anchorId="23B6B347" wp14:editId="33086CCE">
            <wp:extent cx="4920349" cy="322063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931666" cy="3228039"/>
                    </a:xfrm>
                    <a:prstGeom prst="rect">
                      <a:avLst/>
                    </a:prstGeom>
                  </pic:spPr>
                </pic:pic>
              </a:graphicData>
            </a:graphic>
          </wp:inline>
        </w:drawing>
      </w:r>
    </w:p>
    <w:p w:rsidR="00FC5A82" w:rsidRDefault="001E0620" w:rsidP="001E0620">
      <w:r>
        <w:t xml:space="preserve">There is currently a large push within industry to look into alternative fills for 155mm shells to further create IM’s, with the goal to transport and store under 1.5 hazard classification group as highlighted with JSP520. </w:t>
      </w:r>
      <w:sdt>
        <w:sdtPr>
          <w:id w:val="81115002"/>
          <w:citation/>
        </w:sdtPr>
        <w:sdtContent>
          <w:r w:rsidR="00FC5A82">
            <w:fldChar w:fldCharType="begin"/>
          </w:r>
          <w:r w:rsidR="00FC5A82">
            <w:instrText xml:space="preserve"> CITATION Min15 \l 2057 </w:instrText>
          </w:r>
          <w:r w:rsidR="00FC5A82">
            <w:fldChar w:fldCharType="separate"/>
          </w:r>
          <w:r w:rsidR="006E14E1" w:rsidRPr="006E14E1">
            <w:rPr>
              <w:noProof/>
            </w:rPr>
            <w:t>[20]</w:t>
          </w:r>
          <w:r w:rsidR="00FC5A82">
            <w:fldChar w:fldCharType="end"/>
          </w:r>
        </w:sdtContent>
      </w:sdt>
    </w:p>
    <w:p w:rsidR="00064ABE" w:rsidRDefault="00B40BB6" w:rsidP="00064ABE">
      <w:r>
        <w:t>In service munitions like the M107 are currently susceptible to RF which is being looked into to improve the safety of rounds, this is due to increased RF in transport via air compared to by road.</w:t>
      </w:r>
    </w:p>
    <w:p w:rsidR="00DC784D" w:rsidRDefault="00B40BB6" w:rsidP="00DC784D">
      <w:r>
        <w:t>Research into safety is being improved for parts of the explosive trains, for example the b</w:t>
      </w:r>
      <w:r w:rsidR="00D60CB6">
        <w:t>ig push to make detonators</w:t>
      </w:r>
      <w:r>
        <w:t xml:space="preserve"> and primers</w:t>
      </w:r>
      <w:r w:rsidR="00DC784D">
        <w:t xml:space="preserve"> lead free, </w:t>
      </w:r>
      <w:r>
        <w:t xml:space="preserve">and remove the use of materials such as </w:t>
      </w:r>
      <w:r w:rsidR="00DC784D">
        <w:t>mercury fulminate lead stiffnate</w:t>
      </w:r>
      <w:r>
        <w:t xml:space="preserve"> due to its toxicity high and drive to be reduced by MOD.</w:t>
      </w:r>
    </w:p>
    <w:p w:rsidR="002401B0" w:rsidRDefault="00B40BB6" w:rsidP="00064ABE">
      <w:r>
        <w:t xml:space="preserve">Future areas for research include </w:t>
      </w:r>
      <w:r w:rsidR="00E2102A">
        <w:t>ram j</w:t>
      </w:r>
      <w:r>
        <w:t xml:space="preserve">et, base bleed artillery shells, increased </w:t>
      </w:r>
      <w:r w:rsidR="00D60CB6">
        <w:t>propellant storage and</w:t>
      </w:r>
      <w:r>
        <w:t xml:space="preserve"> service life, impr</w:t>
      </w:r>
      <w:r w:rsidR="00D60CB6">
        <w:t>oved compatibility for transport.</w:t>
      </w:r>
      <w:r w:rsidR="006E14E1">
        <w:t xml:space="preserve"> To be found under the NGMS </w:t>
      </w:r>
      <w:sdt>
        <w:sdtPr>
          <w:id w:val="-898359496"/>
          <w:citation/>
        </w:sdtPr>
        <w:sdtContent>
          <w:r w:rsidR="006E14E1">
            <w:fldChar w:fldCharType="begin"/>
          </w:r>
          <w:r w:rsidR="006E14E1">
            <w:instrText xml:space="preserve"> CITATION DES23 \l 2057 </w:instrText>
          </w:r>
          <w:r w:rsidR="006E14E1">
            <w:fldChar w:fldCharType="separate"/>
          </w:r>
          <w:r w:rsidR="006E14E1" w:rsidRPr="006E14E1">
            <w:rPr>
              <w:noProof/>
            </w:rPr>
            <w:t>[21]</w:t>
          </w:r>
          <w:r w:rsidR="006E14E1">
            <w:fldChar w:fldCharType="end"/>
          </w:r>
        </w:sdtContent>
      </w:sdt>
    </w:p>
    <w:p w:rsidR="002401B0" w:rsidRPr="00064ABE" w:rsidRDefault="002401B0" w:rsidP="00064ABE"/>
    <w:p w:rsidR="00601C1A" w:rsidRPr="00601C1A" w:rsidRDefault="00601C1A" w:rsidP="00601C1A">
      <w:pPr>
        <w:pStyle w:val="Heading1"/>
      </w:pPr>
      <w:bookmarkStart w:id="15" w:name="_Toc140440874"/>
      <w:r>
        <w:t>Conclusion and Thoughts for Further Research</w:t>
      </w:r>
      <w:bookmarkEnd w:id="15"/>
    </w:p>
    <w:p w:rsidR="00601C1A" w:rsidRPr="00601C1A" w:rsidRDefault="00601C1A" w:rsidP="00601C1A"/>
    <w:p w:rsidR="00601C1A" w:rsidRDefault="003E0C79" w:rsidP="00601C1A">
      <w:r>
        <w:t>Overall a lot of information has been gathered in research for the preparation of this report. It can be seen that TNT is still used due to still being suitable for its application, with years of research, knowledge, testing and understanding behind it. There are some new and innovative ideas coming through to improve its effectiveness, safety of storage and transportation. It would be beneficial to look into</w:t>
      </w:r>
      <w:r w:rsidR="00F5690E">
        <w:t xml:space="preserve"> areas in more detail due to report constraints</w:t>
      </w:r>
      <w:r>
        <w:t>,</w:t>
      </w:r>
      <w:r w:rsidR="00F5690E">
        <w:t xml:space="preserve"> specifically future research as this is changing regularly as new ideas are developed, for example</w:t>
      </w:r>
      <w:r>
        <w:t xml:space="preserve"> the new BAE 155m charge, </w:t>
      </w:r>
      <w:r w:rsidR="00F5690E">
        <w:t>capable of 100Km firing distance.</w:t>
      </w:r>
    </w:p>
    <w:p w:rsidR="002401B0" w:rsidRDefault="002401B0" w:rsidP="00601C1A"/>
    <w:p w:rsidR="002401B0" w:rsidRDefault="002401B0" w:rsidP="00601C1A"/>
    <w:p w:rsidR="002401B0" w:rsidRDefault="002401B0" w:rsidP="00601C1A"/>
    <w:p w:rsidR="002401B0" w:rsidRDefault="002401B0" w:rsidP="00601C1A"/>
    <w:p w:rsidR="002401B0" w:rsidRDefault="002401B0" w:rsidP="00601C1A"/>
    <w:p w:rsidR="002401B0" w:rsidRDefault="002401B0" w:rsidP="00601C1A"/>
    <w:p w:rsidR="002401B0" w:rsidRDefault="002401B0" w:rsidP="00601C1A"/>
    <w:p w:rsidR="002401B0" w:rsidRDefault="002401B0" w:rsidP="00601C1A"/>
    <w:p w:rsidR="002401B0" w:rsidRDefault="002401B0" w:rsidP="00601C1A"/>
    <w:p w:rsidR="00232348" w:rsidRDefault="00232348" w:rsidP="00601C1A"/>
    <w:p w:rsidR="00232348" w:rsidRDefault="00232348" w:rsidP="00601C1A"/>
    <w:p w:rsidR="00232348" w:rsidRDefault="00232348" w:rsidP="00601C1A"/>
    <w:p w:rsidR="00232348" w:rsidRDefault="00232348" w:rsidP="00601C1A"/>
    <w:p w:rsidR="00232348" w:rsidRDefault="00232348" w:rsidP="00601C1A"/>
    <w:p w:rsidR="002401B0" w:rsidRDefault="002401B0" w:rsidP="00601C1A"/>
    <w:p w:rsidR="002401B0" w:rsidRDefault="002401B0" w:rsidP="00601C1A"/>
    <w:p w:rsidR="002401B0" w:rsidRPr="00601C1A" w:rsidRDefault="002401B0" w:rsidP="00601C1A"/>
    <w:p w:rsidR="00601C1A" w:rsidRDefault="00601C1A" w:rsidP="00601C1A"/>
    <w:p w:rsidR="00C25B2F" w:rsidRDefault="00C25B2F" w:rsidP="00601C1A"/>
    <w:p w:rsidR="00C25B2F" w:rsidRDefault="00C25B2F" w:rsidP="00601C1A"/>
    <w:p w:rsidR="00C25B2F" w:rsidRDefault="00C25B2F" w:rsidP="00601C1A"/>
    <w:bookmarkStart w:id="16" w:name="_Toc140440875" w:displacedByCustomXml="next"/>
    <w:sdt>
      <w:sdtPr>
        <w:rPr>
          <w:rFonts w:asciiTheme="minorHAnsi" w:eastAsiaTheme="minorHAnsi" w:hAnsiTheme="minorHAnsi" w:cstheme="minorBidi"/>
          <w:color w:val="auto"/>
          <w:sz w:val="22"/>
          <w:szCs w:val="22"/>
        </w:rPr>
        <w:id w:val="76714443"/>
        <w:docPartObj>
          <w:docPartGallery w:val="Bibliographies"/>
          <w:docPartUnique/>
        </w:docPartObj>
      </w:sdtPr>
      <w:sdtContent>
        <w:p w:rsidR="00601C1A" w:rsidRDefault="00601C1A">
          <w:pPr>
            <w:pStyle w:val="Heading1"/>
          </w:pPr>
          <w:r>
            <w:t>References</w:t>
          </w:r>
          <w:bookmarkEnd w:id="16"/>
        </w:p>
        <w:sdt>
          <w:sdtPr>
            <w:id w:val="-573587230"/>
            <w:bibliography/>
          </w:sdtPr>
          <w:sdtContent>
            <w:p w:rsidR="006E14E1" w:rsidRDefault="00601C1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E14E1">
                <w:trPr>
                  <w:divId w:val="2139568494"/>
                  <w:tblCellSpacing w:w="15" w:type="dxa"/>
                </w:trPr>
                <w:tc>
                  <w:tcPr>
                    <w:tcW w:w="50" w:type="pct"/>
                    <w:hideMark/>
                  </w:tcPr>
                  <w:p w:rsidR="006E14E1" w:rsidRDefault="006E14E1">
                    <w:pPr>
                      <w:pStyle w:val="Bibliography"/>
                      <w:rPr>
                        <w:noProof/>
                        <w:sz w:val="24"/>
                        <w:szCs w:val="24"/>
                      </w:rPr>
                    </w:pPr>
                    <w:r>
                      <w:rPr>
                        <w:noProof/>
                      </w:rPr>
                      <w:t xml:space="preserve">[1] </w:t>
                    </w:r>
                  </w:p>
                </w:tc>
                <w:tc>
                  <w:tcPr>
                    <w:tcW w:w="0" w:type="auto"/>
                    <w:hideMark/>
                  </w:tcPr>
                  <w:p w:rsidR="006E14E1" w:rsidRDefault="006E14E1">
                    <w:pPr>
                      <w:pStyle w:val="Bibliography"/>
                      <w:rPr>
                        <w:noProof/>
                      </w:rPr>
                    </w:pPr>
                    <w:r>
                      <w:rPr>
                        <w:noProof/>
                      </w:rPr>
                      <w:t xml:space="preserve">Headquarters Department of the ARMY (USA), </w:t>
                    </w:r>
                    <w:r>
                      <w:rPr>
                        <w:i/>
                        <w:iCs/>
                        <w:noProof/>
                      </w:rPr>
                      <w:t xml:space="preserve">Dept Army Technical Manual - Military Explosives, </w:t>
                    </w:r>
                    <w:r>
                      <w:rPr>
                        <w:noProof/>
                      </w:rPr>
                      <w:t xml:space="preserve">Washington: United States Army, 1984. </w:t>
                    </w:r>
                  </w:p>
                </w:tc>
              </w:tr>
              <w:tr w:rsidR="006E14E1">
                <w:trPr>
                  <w:divId w:val="2139568494"/>
                  <w:tblCellSpacing w:w="15" w:type="dxa"/>
                </w:trPr>
                <w:tc>
                  <w:tcPr>
                    <w:tcW w:w="50" w:type="pct"/>
                    <w:hideMark/>
                  </w:tcPr>
                  <w:p w:rsidR="006E14E1" w:rsidRDefault="006E14E1">
                    <w:pPr>
                      <w:pStyle w:val="Bibliography"/>
                      <w:rPr>
                        <w:noProof/>
                      </w:rPr>
                    </w:pPr>
                    <w:r>
                      <w:rPr>
                        <w:noProof/>
                      </w:rPr>
                      <w:t xml:space="preserve">[2] </w:t>
                    </w:r>
                  </w:p>
                </w:tc>
                <w:tc>
                  <w:tcPr>
                    <w:tcW w:w="0" w:type="auto"/>
                    <w:hideMark/>
                  </w:tcPr>
                  <w:p w:rsidR="006E14E1" w:rsidRDefault="006E14E1">
                    <w:pPr>
                      <w:pStyle w:val="Bibliography"/>
                      <w:rPr>
                        <w:noProof/>
                      </w:rPr>
                    </w:pPr>
                    <w:r>
                      <w:rPr>
                        <w:noProof/>
                      </w:rPr>
                      <w:t xml:space="preserve">J. Akhavan, The Chemistry of Explosives 2nd Edition, Swindon: RSC, 2004. </w:t>
                    </w:r>
                  </w:p>
                </w:tc>
              </w:tr>
              <w:tr w:rsidR="006E14E1">
                <w:trPr>
                  <w:divId w:val="2139568494"/>
                  <w:tblCellSpacing w:w="15" w:type="dxa"/>
                </w:trPr>
                <w:tc>
                  <w:tcPr>
                    <w:tcW w:w="50" w:type="pct"/>
                    <w:hideMark/>
                  </w:tcPr>
                  <w:p w:rsidR="006E14E1" w:rsidRDefault="006E14E1">
                    <w:pPr>
                      <w:pStyle w:val="Bibliography"/>
                      <w:rPr>
                        <w:noProof/>
                      </w:rPr>
                    </w:pPr>
                    <w:r>
                      <w:rPr>
                        <w:noProof/>
                      </w:rPr>
                      <w:t xml:space="preserve">[3] </w:t>
                    </w:r>
                  </w:p>
                </w:tc>
                <w:tc>
                  <w:tcPr>
                    <w:tcW w:w="0" w:type="auto"/>
                    <w:hideMark/>
                  </w:tcPr>
                  <w:p w:rsidR="006E14E1" w:rsidRDefault="006E14E1">
                    <w:pPr>
                      <w:pStyle w:val="Bibliography"/>
                      <w:rPr>
                        <w:noProof/>
                      </w:rPr>
                    </w:pPr>
                    <w:r>
                      <w:rPr>
                        <w:noProof/>
                      </w:rPr>
                      <w:t>N. J. S. Government, “CBRNE Awareness Powerpoint,” na na 2015. [Online]. Available: https://www.state.nj.us/njoem/pdf/CBRNEMod2ThreatStudHandout.pdf. [Accessed 2023 07 01].</w:t>
                    </w:r>
                  </w:p>
                </w:tc>
              </w:tr>
              <w:tr w:rsidR="006E14E1">
                <w:trPr>
                  <w:divId w:val="2139568494"/>
                  <w:tblCellSpacing w:w="15" w:type="dxa"/>
                </w:trPr>
                <w:tc>
                  <w:tcPr>
                    <w:tcW w:w="50" w:type="pct"/>
                    <w:hideMark/>
                  </w:tcPr>
                  <w:p w:rsidR="006E14E1" w:rsidRDefault="006E14E1">
                    <w:pPr>
                      <w:pStyle w:val="Bibliography"/>
                      <w:rPr>
                        <w:noProof/>
                      </w:rPr>
                    </w:pPr>
                    <w:r>
                      <w:rPr>
                        <w:noProof/>
                      </w:rPr>
                      <w:t xml:space="preserve">[4] </w:t>
                    </w:r>
                  </w:p>
                </w:tc>
                <w:tc>
                  <w:tcPr>
                    <w:tcW w:w="0" w:type="auto"/>
                    <w:hideMark/>
                  </w:tcPr>
                  <w:p w:rsidR="006E14E1" w:rsidRDefault="006E14E1">
                    <w:pPr>
                      <w:pStyle w:val="Bibliography"/>
                      <w:rPr>
                        <w:noProof/>
                      </w:rPr>
                    </w:pPr>
                    <w:r>
                      <w:rPr>
                        <w:noProof/>
                      </w:rPr>
                      <w:t>Britannica Editors, “Encyclopedia Britannica,” Britannica , 17 Oct 2011. [Online]. Available: https://www.britannica.com/technology/blasting-cap. [Accessed 4 July 2023].</w:t>
                    </w:r>
                  </w:p>
                </w:tc>
              </w:tr>
              <w:tr w:rsidR="006E14E1">
                <w:trPr>
                  <w:divId w:val="2139568494"/>
                  <w:tblCellSpacing w:w="15" w:type="dxa"/>
                </w:trPr>
                <w:tc>
                  <w:tcPr>
                    <w:tcW w:w="50" w:type="pct"/>
                    <w:hideMark/>
                  </w:tcPr>
                  <w:p w:rsidR="006E14E1" w:rsidRDefault="006E14E1">
                    <w:pPr>
                      <w:pStyle w:val="Bibliography"/>
                      <w:rPr>
                        <w:noProof/>
                      </w:rPr>
                    </w:pPr>
                    <w:r>
                      <w:rPr>
                        <w:noProof/>
                      </w:rPr>
                      <w:lastRenderedPageBreak/>
                      <w:t xml:space="preserve">[5] </w:t>
                    </w:r>
                  </w:p>
                </w:tc>
                <w:tc>
                  <w:tcPr>
                    <w:tcW w:w="0" w:type="auto"/>
                    <w:hideMark/>
                  </w:tcPr>
                  <w:p w:rsidR="006E14E1" w:rsidRDefault="006E14E1">
                    <w:pPr>
                      <w:pStyle w:val="Bibliography"/>
                      <w:rPr>
                        <w:noProof/>
                      </w:rPr>
                    </w:pPr>
                    <w:r>
                      <w:rPr>
                        <w:noProof/>
                      </w:rPr>
                      <w:t>Robert Sherman, “M107 155mm Projectile,” Military Analysis Network, Washington, 1999.</w:t>
                    </w:r>
                  </w:p>
                </w:tc>
              </w:tr>
              <w:tr w:rsidR="006E14E1">
                <w:trPr>
                  <w:divId w:val="2139568494"/>
                  <w:tblCellSpacing w:w="15" w:type="dxa"/>
                </w:trPr>
                <w:tc>
                  <w:tcPr>
                    <w:tcW w:w="50" w:type="pct"/>
                    <w:hideMark/>
                  </w:tcPr>
                  <w:p w:rsidR="006E14E1" w:rsidRDefault="006E14E1">
                    <w:pPr>
                      <w:pStyle w:val="Bibliography"/>
                      <w:rPr>
                        <w:noProof/>
                      </w:rPr>
                    </w:pPr>
                    <w:r>
                      <w:rPr>
                        <w:noProof/>
                      </w:rPr>
                      <w:t xml:space="preserve">[6] </w:t>
                    </w:r>
                  </w:p>
                </w:tc>
                <w:tc>
                  <w:tcPr>
                    <w:tcW w:w="0" w:type="auto"/>
                    <w:hideMark/>
                  </w:tcPr>
                  <w:p w:rsidR="006E14E1" w:rsidRDefault="006E14E1">
                    <w:pPr>
                      <w:pStyle w:val="Bibliography"/>
                      <w:rPr>
                        <w:noProof/>
                      </w:rPr>
                    </w:pPr>
                    <w:r>
                      <w:rPr>
                        <w:noProof/>
                      </w:rPr>
                      <w:t>Headquarters Dept of The Army (USA), “TECHNICAL MANUAL Army Ammunition Data Sheets Artiller,” USA Army, Washington, 2003.</w:t>
                    </w:r>
                  </w:p>
                </w:tc>
              </w:tr>
              <w:tr w:rsidR="006E14E1">
                <w:trPr>
                  <w:divId w:val="2139568494"/>
                  <w:tblCellSpacing w:w="15" w:type="dxa"/>
                </w:trPr>
                <w:tc>
                  <w:tcPr>
                    <w:tcW w:w="50" w:type="pct"/>
                    <w:hideMark/>
                  </w:tcPr>
                  <w:p w:rsidR="006E14E1" w:rsidRDefault="006E14E1">
                    <w:pPr>
                      <w:pStyle w:val="Bibliography"/>
                      <w:rPr>
                        <w:noProof/>
                      </w:rPr>
                    </w:pPr>
                    <w:r>
                      <w:rPr>
                        <w:noProof/>
                      </w:rPr>
                      <w:t xml:space="preserve">[7] </w:t>
                    </w:r>
                  </w:p>
                </w:tc>
                <w:tc>
                  <w:tcPr>
                    <w:tcW w:w="0" w:type="auto"/>
                    <w:hideMark/>
                  </w:tcPr>
                  <w:p w:rsidR="006E14E1" w:rsidRDefault="006E14E1">
                    <w:pPr>
                      <w:pStyle w:val="Bibliography"/>
                      <w:rPr>
                        <w:noProof/>
                      </w:rPr>
                    </w:pPr>
                    <w:r>
                      <w:rPr>
                        <w:noProof/>
                      </w:rPr>
                      <w:t>Bureau of Alcohol, Tobacco, Firearms &amp; Explosives, “Black Powder,” Washington, 2022.</w:t>
                    </w:r>
                  </w:p>
                </w:tc>
              </w:tr>
              <w:tr w:rsidR="006E14E1">
                <w:trPr>
                  <w:divId w:val="2139568494"/>
                  <w:tblCellSpacing w:w="15" w:type="dxa"/>
                </w:trPr>
                <w:tc>
                  <w:tcPr>
                    <w:tcW w:w="50" w:type="pct"/>
                    <w:hideMark/>
                  </w:tcPr>
                  <w:p w:rsidR="006E14E1" w:rsidRDefault="006E14E1">
                    <w:pPr>
                      <w:pStyle w:val="Bibliography"/>
                      <w:rPr>
                        <w:noProof/>
                      </w:rPr>
                    </w:pPr>
                    <w:r>
                      <w:rPr>
                        <w:noProof/>
                      </w:rPr>
                      <w:t xml:space="preserve">[8] </w:t>
                    </w:r>
                  </w:p>
                </w:tc>
                <w:tc>
                  <w:tcPr>
                    <w:tcW w:w="0" w:type="auto"/>
                    <w:hideMark/>
                  </w:tcPr>
                  <w:p w:rsidR="006E14E1" w:rsidRDefault="006E14E1">
                    <w:pPr>
                      <w:pStyle w:val="Bibliography"/>
                      <w:rPr>
                        <w:noProof/>
                      </w:rPr>
                    </w:pPr>
                    <w:r>
                      <w:rPr>
                        <w:noProof/>
                      </w:rPr>
                      <w:t>J. G. F. Hussey, “U.S Explosive Ordinance,” U.S Navy, Washington, 1947.</w:t>
                    </w:r>
                  </w:p>
                </w:tc>
              </w:tr>
              <w:tr w:rsidR="006E14E1">
                <w:trPr>
                  <w:divId w:val="2139568494"/>
                  <w:tblCellSpacing w:w="15" w:type="dxa"/>
                </w:trPr>
                <w:tc>
                  <w:tcPr>
                    <w:tcW w:w="50" w:type="pct"/>
                    <w:hideMark/>
                  </w:tcPr>
                  <w:p w:rsidR="006E14E1" w:rsidRDefault="006E14E1">
                    <w:pPr>
                      <w:pStyle w:val="Bibliography"/>
                      <w:rPr>
                        <w:noProof/>
                      </w:rPr>
                    </w:pPr>
                    <w:r>
                      <w:rPr>
                        <w:noProof/>
                      </w:rPr>
                      <w:t xml:space="preserve">[9] </w:t>
                    </w:r>
                  </w:p>
                </w:tc>
                <w:tc>
                  <w:tcPr>
                    <w:tcW w:w="0" w:type="auto"/>
                    <w:hideMark/>
                  </w:tcPr>
                  <w:p w:rsidR="006E14E1" w:rsidRDefault="006E14E1">
                    <w:pPr>
                      <w:pStyle w:val="Bibliography"/>
                      <w:rPr>
                        <w:noProof/>
                      </w:rPr>
                    </w:pPr>
                    <w:r>
                      <w:rPr>
                        <w:noProof/>
                      </w:rPr>
                      <w:t>Ministry Of Defence, “JSP 333 Service Textbook of Explosives,” August 2020. [Online]. Available: https://moodle.uwtsd.ac.uk/pluginfile.php/674711/mod_resource/content/0/JSP%20333%20Service%20Textbook%20of%20Explosives.pdf. [Accessed 7 July 10].</w:t>
                    </w:r>
                  </w:p>
                </w:tc>
              </w:tr>
              <w:tr w:rsidR="006E14E1">
                <w:trPr>
                  <w:divId w:val="2139568494"/>
                  <w:tblCellSpacing w:w="15" w:type="dxa"/>
                </w:trPr>
                <w:tc>
                  <w:tcPr>
                    <w:tcW w:w="50" w:type="pct"/>
                    <w:hideMark/>
                  </w:tcPr>
                  <w:p w:rsidR="006E14E1" w:rsidRDefault="006E14E1">
                    <w:pPr>
                      <w:pStyle w:val="Bibliography"/>
                      <w:rPr>
                        <w:noProof/>
                      </w:rPr>
                    </w:pPr>
                    <w:r>
                      <w:rPr>
                        <w:noProof/>
                      </w:rPr>
                      <w:t xml:space="preserve">[10] </w:t>
                    </w:r>
                  </w:p>
                </w:tc>
                <w:tc>
                  <w:tcPr>
                    <w:tcW w:w="0" w:type="auto"/>
                    <w:hideMark/>
                  </w:tcPr>
                  <w:p w:rsidR="006E14E1" w:rsidRDefault="006E14E1">
                    <w:pPr>
                      <w:pStyle w:val="Bibliography"/>
                      <w:rPr>
                        <w:noProof/>
                      </w:rPr>
                    </w:pPr>
                    <w:r>
                      <w:rPr>
                        <w:noProof/>
                      </w:rPr>
                      <w:t>G. R. MILLER, “A Review of the Crystal Structures,” Naval Research Laboratory, Washington, 2001.</w:t>
                    </w:r>
                  </w:p>
                </w:tc>
              </w:tr>
              <w:tr w:rsidR="006E14E1">
                <w:trPr>
                  <w:divId w:val="2139568494"/>
                  <w:tblCellSpacing w:w="15" w:type="dxa"/>
                </w:trPr>
                <w:tc>
                  <w:tcPr>
                    <w:tcW w:w="50" w:type="pct"/>
                    <w:hideMark/>
                  </w:tcPr>
                  <w:p w:rsidR="006E14E1" w:rsidRDefault="006E14E1">
                    <w:pPr>
                      <w:pStyle w:val="Bibliography"/>
                      <w:rPr>
                        <w:noProof/>
                      </w:rPr>
                    </w:pPr>
                    <w:r>
                      <w:rPr>
                        <w:noProof/>
                      </w:rPr>
                      <w:t xml:space="preserve">[11] </w:t>
                    </w:r>
                  </w:p>
                </w:tc>
                <w:tc>
                  <w:tcPr>
                    <w:tcW w:w="0" w:type="auto"/>
                    <w:hideMark/>
                  </w:tcPr>
                  <w:p w:rsidR="006E14E1" w:rsidRDefault="006E14E1">
                    <w:pPr>
                      <w:pStyle w:val="Bibliography"/>
                      <w:rPr>
                        <w:noProof/>
                      </w:rPr>
                    </w:pPr>
                    <w:r>
                      <w:rPr>
                        <w:noProof/>
                      </w:rPr>
                      <w:t>PUBCHEM, “2,4,6-Trinitrotoluene,” PUBCHEM, 2004. [Online]. Available: https://pubchem.ncbi.nlm.nih.gov/compound/2_4_6-Trinitrotoluene#datasheet=LCSS. [Accessed 10 07 2023].</w:t>
                    </w:r>
                  </w:p>
                </w:tc>
              </w:tr>
              <w:tr w:rsidR="006E14E1">
                <w:trPr>
                  <w:divId w:val="2139568494"/>
                  <w:tblCellSpacing w:w="15" w:type="dxa"/>
                </w:trPr>
                <w:tc>
                  <w:tcPr>
                    <w:tcW w:w="50" w:type="pct"/>
                    <w:hideMark/>
                  </w:tcPr>
                  <w:p w:rsidR="006E14E1" w:rsidRDefault="006E14E1">
                    <w:pPr>
                      <w:pStyle w:val="Bibliography"/>
                      <w:rPr>
                        <w:noProof/>
                      </w:rPr>
                    </w:pPr>
                    <w:r>
                      <w:rPr>
                        <w:noProof/>
                      </w:rPr>
                      <w:t xml:space="preserve">[12] </w:t>
                    </w:r>
                  </w:p>
                </w:tc>
                <w:tc>
                  <w:tcPr>
                    <w:tcW w:w="0" w:type="auto"/>
                    <w:hideMark/>
                  </w:tcPr>
                  <w:p w:rsidR="006E14E1" w:rsidRDefault="006E14E1">
                    <w:pPr>
                      <w:pStyle w:val="Bibliography"/>
                      <w:rPr>
                        <w:noProof/>
                      </w:rPr>
                    </w:pPr>
                    <w:r>
                      <w:rPr>
                        <w:noProof/>
                      </w:rPr>
                      <w:t>Imperial College London, “Trinitrotoluene - TNT,” Imperial College London, Bristol, 2006.</w:t>
                    </w:r>
                  </w:p>
                </w:tc>
              </w:tr>
              <w:tr w:rsidR="006E14E1">
                <w:trPr>
                  <w:divId w:val="2139568494"/>
                  <w:tblCellSpacing w:w="15" w:type="dxa"/>
                </w:trPr>
                <w:tc>
                  <w:tcPr>
                    <w:tcW w:w="50" w:type="pct"/>
                    <w:hideMark/>
                  </w:tcPr>
                  <w:p w:rsidR="006E14E1" w:rsidRDefault="006E14E1">
                    <w:pPr>
                      <w:pStyle w:val="Bibliography"/>
                      <w:rPr>
                        <w:noProof/>
                      </w:rPr>
                    </w:pPr>
                    <w:r>
                      <w:rPr>
                        <w:noProof/>
                      </w:rPr>
                      <w:t xml:space="preserve">[13] </w:t>
                    </w:r>
                  </w:p>
                </w:tc>
                <w:tc>
                  <w:tcPr>
                    <w:tcW w:w="0" w:type="auto"/>
                    <w:hideMark/>
                  </w:tcPr>
                  <w:p w:rsidR="006E14E1" w:rsidRDefault="006E14E1">
                    <w:pPr>
                      <w:pStyle w:val="Bibliography"/>
                      <w:rPr>
                        <w:noProof/>
                      </w:rPr>
                    </w:pPr>
                    <w:r>
                      <w:rPr>
                        <w:noProof/>
                      </w:rPr>
                      <w:t>Picatinny Public Affairs, “Army approves safer explosive to replace TNT,” 11 August 2011. [Online]. Available: https://www.army.mil/article/43553/army_approves_safer_explosive_to_replace_tnt. [Accessed 9 July 2023].</w:t>
                    </w:r>
                  </w:p>
                </w:tc>
              </w:tr>
              <w:tr w:rsidR="006E14E1">
                <w:trPr>
                  <w:divId w:val="2139568494"/>
                  <w:tblCellSpacing w:w="15" w:type="dxa"/>
                </w:trPr>
                <w:tc>
                  <w:tcPr>
                    <w:tcW w:w="50" w:type="pct"/>
                    <w:hideMark/>
                  </w:tcPr>
                  <w:p w:rsidR="006E14E1" w:rsidRDefault="006E14E1">
                    <w:pPr>
                      <w:pStyle w:val="Bibliography"/>
                      <w:rPr>
                        <w:noProof/>
                      </w:rPr>
                    </w:pPr>
                    <w:r>
                      <w:rPr>
                        <w:noProof/>
                      </w:rPr>
                      <w:t xml:space="preserve">[14] </w:t>
                    </w:r>
                  </w:p>
                </w:tc>
                <w:tc>
                  <w:tcPr>
                    <w:tcW w:w="0" w:type="auto"/>
                    <w:hideMark/>
                  </w:tcPr>
                  <w:p w:rsidR="006E14E1" w:rsidRDefault="006E14E1">
                    <w:pPr>
                      <w:pStyle w:val="Bibliography"/>
                      <w:rPr>
                        <w:noProof/>
                      </w:rPr>
                    </w:pPr>
                    <w:r>
                      <w:rPr>
                        <w:noProof/>
                      </w:rPr>
                      <w:t>P. Ravi, “Review on Meltcast Explosives,” NA, Tokyo, 2011.</w:t>
                    </w:r>
                  </w:p>
                </w:tc>
              </w:tr>
              <w:tr w:rsidR="006E14E1">
                <w:trPr>
                  <w:divId w:val="2139568494"/>
                  <w:tblCellSpacing w:w="15" w:type="dxa"/>
                </w:trPr>
                <w:tc>
                  <w:tcPr>
                    <w:tcW w:w="50" w:type="pct"/>
                    <w:hideMark/>
                  </w:tcPr>
                  <w:p w:rsidR="006E14E1" w:rsidRDefault="006E14E1">
                    <w:pPr>
                      <w:pStyle w:val="Bibliography"/>
                      <w:rPr>
                        <w:noProof/>
                      </w:rPr>
                    </w:pPr>
                    <w:r>
                      <w:rPr>
                        <w:noProof/>
                      </w:rPr>
                      <w:t xml:space="preserve">[15] </w:t>
                    </w:r>
                  </w:p>
                </w:tc>
                <w:tc>
                  <w:tcPr>
                    <w:tcW w:w="0" w:type="auto"/>
                    <w:hideMark/>
                  </w:tcPr>
                  <w:p w:rsidR="006E14E1" w:rsidRDefault="006E14E1">
                    <w:pPr>
                      <w:pStyle w:val="Bibliography"/>
                      <w:rPr>
                        <w:noProof/>
                      </w:rPr>
                    </w:pPr>
                    <w:r>
                      <w:rPr>
                        <w:noProof/>
                      </w:rPr>
                      <w:t>T. T. L. M. C. F. Fawcett-Hirst W, “A review of treatment methods for insensitive high explosive contaminated wastewater.,” National Library of Medicine, Heliyon, 2021.</w:t>
                    </w:r>
                  </w:p>
                </w:tc>
              </w:tr>
              <w:tr w:rsidR="006E14E1">
                <w:trPr>
                  <w:divId w:val="2139568494"/>
                  <w:tblCellSpacing w:w="15" w:type="dxa"/>
                </w:trPr>
                <w:tc>
                  <w:tcPr>
                    <w:tcW w:w="50" w:type="pct"/>
                    <w:hideMark/>
                  </w:tcPr>
                  <w:p w:rsidR="006E14E1" w:rsidRDefault="006E14E1">
                    <w:pPr>
                      <w:pStyle w:val="Bibliography"/>
                      <w:rPr>
                        <w:noProof/>
                      </w:rPr>
                    </w:pPr>
                    <w:r>
                      <w:rPr>
                        <w:noProof/>
                      </w:rPr>
                      <w:t xml:space="preserve">[16] </w:t>
                    </w:r>
                  </w:p>
                </w:tc>
                <w:tc>
                  <w:tcPr>
                    <w:tcW w:w="0" w:type="auto"/>
                    <w:hideMark/>
                  </w:tcPr>
                  <w:p w:rsidR="006E14E1" w:rsidRDefault="006E14E1">
                    <w:pPr>
                      <w:pStyle w:val="Bibliography"/>
                      <w:rPr>
                        <w:noProof/>
                      </w:rPr>
                    </w:pPr>
                    <w:r>
                      <w:rPr>
                        <w:noProof/>
                      </w:rPr>
                      <w:t>S. F. TREVINO and S. PORTNOY, “Effects of HNS on Cast TNT,” US ARMY ARMAMENT RESEARCH AND DEVELOPMENT COMMAND, New Jersey, 1979.</w:t>
                    </w:r>
                  </w:p>
                </w:tc>
              </w:tr>
              <w:tr w:rsidR="006E14E1">
                <w:trPr>
                  <w:divId w:val="2139568494"/>
                  <w:tblCellSpacing w:w="15" w:type="dxa"/>
                </w:trPr>
                <w:tc>
                  <w:tcPr>
                    <w:tcW w:w="50" w:type="pct"/>
                    <w:hideMark/>
                  </w:tcPr>
                  <w:p w:rsidR="006E14E1" w:rsidRDefault="006E14E1">
                    <w:pPr>
                      <w:pStyle w:val="Bibliography"/>
                      <w:rPr>
                        <w:noProof/>
                      </w:rPr>
                    </w:pPr>
                    <w:r>
                      <w:rPr>
                        <w:noProof/>
                      </w:rPr>
                      <w:t xml:space="preserve">[17] </w:t>
                    </w:r>
                  </w:p>
                </w:tc>
                <w:tc>
                  <w:tcPr>
                    <w:tcW w:w="0" w:type="auto"/>
                    <w:hideMark/>
                  </w:tcPr>
                  <w:p w:rsidR="006E14E1" w:rsidRDefault="006E14E1">
                    <w:pPr>
                      <w:pStyle w:val="Bibliography"/>
                      <w:rPr>
                        <w:noProof/>
                      </w:rPr>
                    </w:pPr>
                    <w:r>
                      <w:rPr>
                        <w:noProof/>
                      </w:rPr>
                      <w:t>HSE, “The Explosives Regulations 2014,” 23 June 2013. [Online]. Available: https://www.legislation.gov.uk/uksi/2014/1638/made. [Accessed 7 July 2023].</w:t>
                    </w:r>
                  </w:p>
                </w:tc>
              </w:tr>
              <w:tr w:rsidR="006E14E1">
                <w:trPr>
                  <w:divId w:val="2139568494"/>
                  <w:tblCellSpacing w:w="15" w:type="dxa"/>
                </w:trPr>
                <w:tc>
                  <w:tcPr>
                    <w:tcW w:w="50" w:type="pct"/>
                    <w:hideMark/>
                  </w:tcPr>
                  <w:p w:rsidR="006E14E1" w:rsidRDefault="006E14E1">
                    <w:pPr>
                      <w:pStyle w:val="Bibliography"/>
                      <w:rPr>
                        <w:noProof/>
                      </w:rPr>
                    </w:pPr>
                    <w:r>
                      <w:rPr>
                        <w:noProof/>
                      </w:rPr>
                      <w:t xml:space="preserve">[18] </w:t>
                    </w:r>
                  </w:p>
                </w:tc>
                <w:tc>
                  <w:tcPr>
                    <w:tcW w:w="0" w:type="auto"/>
                    <w:hideMark/>
                  </w:tcPr>
                  <w:p w:rsidR="006E14E1" w:rsidRDefault="006E14E1">
                    <w:pPr>
                      <w:pStyle w:val="Bibliography"/>
                      <w:rPr>
                        <w:noProof/>
                      </w:rPr>
                    </w:pPr>
                    <w:r>
                      <w:rPr>
                        <w:noProof/>
                      </w:rPr>
                      <w:t>DOSG/DOSR, “DSA 03.OME Part 2 (JSP 482) - Defence Code of Practice (DCOP) and Guidance Notes for In-Service and Operational Safety Management of OME,” 19 November 2022. [Online]. Available: Operational Safety Management of OME (PAGE 42). [Accessed 29 June 2023].</w:t>
                    </w:r>
                  </w:p>
                </w:tc>
              </w:tr>
              <w:tr w:rsidR="006E14E1">
                <w:trPr>
                  <w:divId w:val="2139568494"/>
                  <w:tblCellSpacing w:w="15" w:type="dxa"/>
                </w:trPr>
                <w:tc>
                  <w:tcPr>
                    <w:tcW w:w="50" w:type="pct"/>
                    <w:hideMark/>
                  </w:tcPr>
                  <w:p w:rsidR="006E14E1" w:rsidRDefault="006E14E1">
                    <w:pPr>
                      <w:pStyle w:val="Bibliography"/>
                      <w:rPr>
                        <w:noProof/>
                      </w:rPr>
                    </w:pPr>
                    <w:r>
                      <w:rPr>
                        <w:noProof/>
                      </w:rPr>
                      <w:t xml:space="preserve">[19] </w:t>
                    </w:r>
                  </w:p>
                </w:tc>
                <w:tc>
                  <w:tcPr>
                    <w:tcW w:w="0" w:type="auto"/>
                    <w:hideMark/>
                  </w:tcPr>
                  <w:p w:rsidR="006E14E1" w:rsidRDefault="006E14E1">
                    <w:pPr>
                      <w:pStyle w:val="Bibliography"/>
                      <w:rPr>
                        <w:noProof/>
                      </w:rPr>
                    </w:pPr>
                    <w:r>
                      <w:rPr>
                        <w:noProof/>
                      </w:rPr>
                      <w:t>Insensitive Munitions.ORG, “Insensitive Munitions,” 05 September 2011. [Online]. Available: https://www.insensitivemunitions.org/history/introduction/. [Accessed 2023 July 12].</w:t>
                    </w:r>
                  </w:p>
                </w:tc>
              </w:tr>
              <w:tr w:rsidR="006E14E1">
                <w:trPr>
                  <w:divId w:val="2139568494"/>
                  <w:tblCellSpacing w:w="15" w:type="dxa"/>
                </w:trPr>
                <w:tc>
                  <w:tcPr>
                    <w:tcW w:w="50" w:type="pct"/>
                    <w:hideMark/>
                  </w:tcPr>
                  <w:p w:rsidR="006E14E1" w:rsidRDefault="006E14E1">
                    <w:pPr>
                      <w:pStyle w:val="Bibliography"/>
                      <w:rPr>
                        <w:noProof/>
                      </w:rPr>
                    </w:pPr>
                    <w:r>
                      <w:rPr>
                        <w:noProof/>
                      </w:rPr>
                      <w:t xml:space="preserve">[20] </w:t>
                    </w:r>
                  </w:p>
                </w:tc>
                <w:tc>
                  <w:tcPr>
                    <w:tcW w:w="0" w:type="auto"/>
                    <w:hideMark/>
                  </w:tcPr>
                  <w:p w:rsidR="006E14E1" w:rsidRDefault="006E14E1">
                    <w:pPr>
                      <w:pStyle w:val="Bibliography"/>
                      <w:rPr>
                        <w:noProof/>
                      </w:rPr>
                    </w:pPr>
                    <w:r>
                      <w:rPr>
                        <w:noProof/>
                      </w:rPr>
                      <w:t>Ministry Of Defence, “JSP 520 Vol 11: Insensitive Munitions,” July 2015. [Online]. Available: https://assets.publishing.service.gov.uk/government/uploads/system/uploads/attachment_data/file/481368/20150813-JSP520_Pt2_Vol11_IM_Issue4.2_Final-U.pdf. [Accessed 13 July 2023].</w:t>
                    </w:r>
                  </w:p>
                </w:tc>
              </w:tr>
              <w:tr w:rsidR="006E14E1">
                <w:trPr>
                  <w:divId w:val="2139568494"/>
                  <w:tblCellSpacing w:w="15" w:type="dxa"/>
                </w:trPr>
                <w:tc>
                  <w:tcPr>
                    <w:tcW w:w="50" w:type="pct"/>
                    <w:hideMark/>
                  </w:tcPr>
                  <w:p w:rsidR="006E14E1" w:rsidRDefault="006E14E1">
                    <w:pPr>
                      <w:pStyle w:val="Bibliography"/>
                      <w:rPr>
                        <w:noProof/>
                      </w:rPr>
                    </w:pPr>
                    <w:r>
                      <w:rPr>
                        <w:noProof/>
                      </w:rPr>
                      <w:lastRenderedPageBreak/>
                      <w:t xml:space="preserve">[21] </w:t>
                    </w:r>
                  </w:p>
                </w:tc>
                <w:tc>
                  <w:tcPr>
                    <w:tcW w:w="0" w:type="auto"/>
                    <w:hideMark/>
                  </w:tcPr>
                  <w:p w:rsidR="006E14E1" w:rsidRDefault="006E14E1">
                    <w:pPr>
                      <w:pStyle w:val="Bibliography"/>
                      <w:rPr>
                        <w:noProof/>
                      </w:rPr>
                    </w:pPr>
                    <w:r>
                      <w:rPr>
                        <w:noProof/>
                      </w:rPr>
                      <w:t>DE&amp;S, “DE&amp;S places new order with BAE Systems to increase 155mm shells stockpile for British Army,” 11 July 2023. [Online]. Available: DE&amp;S places new order with BAE Systems to increase 155mm shells stockpile for British Army. [Accessed 13 July 2023].</w:t>
                    </w:r>
                  </w:p>
                </w:tc>
              </w:tr>
            </w:tbl>
            <w:p w:rsidR="006E14E1" w:rsidRDefault="006E14E1">
              <w:pPr>
                <w:divId w:val="2139568494"/>
                <w:rPr>
                  <w:rFonts w:eastAsia="Times New Roman"/>
                  <w:noProof/>
                </w:rPr>
              </w:pPr>
            </w:p>
            <w:p w:rsidR="00601C1A" w:rsidRDefault="00601C1A">
              <w:r>
                <w:rPr>
                  <w:b/>
                  <w:bCs/>
                  <w:noProof/>
                </w:rPr>
                <w:fldChar w:fldCharType="end"/>
              </w:r>
            </w:p>
          </w:sdtContent>
        </w:sdt>
      </w:sdtContent>
    </w:sdt>
    <w:p w:rsidR="00F91105" w:rsidRPr="00601C1A" w:rsidRDefault="00F91105" w:rsidP="00601C1A"/>
    <w:sectPr w:rsidR="00F91105" w:rsidRPr="00601C1A" w:rsidSect="007D5C90">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40BB6" w:rsidRDefault="00B40BB6" w:rsidP="00EB3E8D">
      <w:pPr>
        <w:spacing w:after="0" w:line="240" w:lineRule="auto"/>
      </w:pPr>
      <w:r>
        <w:separator/>
      </w:r>
    </w:p>
  </w:endnote>
  <w:endnote w:type="continuationSeparator" w:id="0">
    <w:p w:rsidR="00B40BB6" w:rsidRDefault="00B40BB6" w:rsidP="00EB3E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0713516"/>
      <w:docPartObj>
        <w:docPartGallery w:val="Page Numbers (Bottom of Page)"/>
        <w:docPartUnique/>
      </w:docPartObj>
    </w:sdtPr>
    <w:sdtEndPr>
      <w:rPr>
        <w:color w:val="7F7F7F" w:themeColor="background1" w:themeShade="7F"/>
        <w:spacing w:val="60"/>
      </w:rPr>
    </w:sdtEndPr>
    <w:sdtContent>
      <w:p w:rsidR="00B40BB6" w:rsidRDefault="00B40BB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B10E4" w:rsidRPr="004B10E4">
          <w:rPr>
            <w:b/>
            <w:bCs/>
            <w:noProof/>
          </w:rPr>
          <w:t>6</w:t>
        </w:r>
        <w:r>
          <w:rPr>
            <w:b/>
            <w:bCs/>
            <w:noProof/>
          </w:rPr>
          <w:fldChar w:fldCharType="end"/>
        </w:r>
        <w:r>
          <w:rPr>
            <w:b/>
            <w:bCs/>
          </w:rPr>
          <w:t xml:space="preserve"> | </w:t>
        </w:r>
        <w:r>
          <w:rPr>
            <w:color w:val="7F7F7F" w:themeColor="background1" w:themeShade="7F"/>
            <w:spacing w:val="60"/>
          </w:rPr>
          <w:t>Page</w:t>
        </w:r>
      </w:p>
    </w:sdtContent>
  </w:sdt>
  <w:p w:rsidR="00B40BB6" w:rsidRDefault="00B40B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40BB6" w:rsidRDefault="00B40BB6" w:rsidP="00EB3E8D">
      <w:pPr>
        <w:spacing w:after="0" w:line="240" w:lineRule="auto"/>
      </w:pPr>
      <w:r>
        <w:separator/>
      </w:r>
    </w:p>
  </w:footnote>
  <w:footnote w:type="continuationSeparator" w:id="0">
    <w:p w:rsidR="00B40BB6" w:rsidRDefault="00B40BB6" w:rsidP="00EB3E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8F0F0B"/>
    <w:multiLevelType w:val="hybridMultilevel"/>
    <w:tmpl w:val="54ACB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4BC75537"/>
    <w:multiLevelType w:val="hybridMultilevel"/>
    <w:tmpl w:val="042683BA"/>
    <w:lvl w:ilvl="0" w:tplc="2776359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5C90"/>
    <w:rsid w:val="00064ABE"/>
    <w:rsid w:val="00086E93"/>
    <w:rsid w:val="000A085B"/>
    <w:rsid w:val="000C1019"/>
    <w:rsid w:val="00106C0C"/>
    <w:rsid w:val="0013453F"/>
    <w:rsid w:val="001661B0"/>
    <w:rsid w:val="00176F02"/>
    <w:rsid w:val="00182BE4"/>
    <w:rsid w:val="001A1417"/>
    <w:rsid w:val="001A7F1D"/>
    <w:rsid w:val="001B1826"/>
    <w:rsid w:val="001D4910"/>
    <w:rsid w:val="001E0620"/>
    <w:rsid w:val="001E3B23"/>
    <w:rsid w:val="001F27FA"/>
    <w:rsid w:val="001F3940"/>
    <w:rsid w:val="00232348"/>
    <w:rsid w:val="002401B0"/>
    <w:rsid w:val="00254186"/>
    <w:rsid w:val="00261879"/>
    <w:rsid w:val="00273467"/>
    <w:rsid w:val="002B5A1D"/>
    <w:rsid w:val="002D6351"/>
    <w:rsid w:val="002E4D2A"/>
    <w:rsid w:val="002F6089"/>
    <w:rsid w:val="00323CAB"/>
    <w:rsid w:val="003274C5"/>
    <w:rsid w:val="00332E8A"/>
    <w:rsid w:val="0033640E"/>
    <w:rsid w:val="00343D7C"/>
    <w:rsid w:val="00355DD3"/>
    <w:rsid w:val="00360E5D"/>
    <w:rsid w:val="003B03DB"/>
    <w:rsid w:val="003E0C79"/>
    <w:rsid w:val="00407EB4"/>
    <w:rsid w:val="00467D43"/>
    <w:rsid w:val="00475C3E"/>
    <w:rsid w:val="004B10E4"/>
    <w:rsid w:val="004C1AFB"/>
    <w:rsid w:val="004C2269"/>
    <w:rsid w:val="004E3BAA"/>
    <w:rsid w:val="004F0BBA"/>
    <w:rsid w:val="004F251B"/>
    <w:rsid w:val="00500DB3"/>
    <w:rsid w:val="005A1341"/>
    <w:rsid w:val="005A342E"/>
    <w:rsid w:val="005A705E"/>
    <w:rsid w:val="005C0860"/>
    <w:rsid w:val="00601C1A"/>
    <w:rsid w:val="00616E3F"/>
    <w:rsid w:val="00632235"/>
    <w:rsid w:val="006338C8"/>
    <w:rsid w:val="006732ED"/>
    <w:rsid w:val="00697720"/>
    <w:rsid w:val="006B14F1"/>
    <w:rsid w:val="006D3E4A"/>
    <w:rsid w:val="006E14E1"/>
    <w:rsid w:val="006F53C5"/>
    <w:rsid w:val="006F79F5"/>
    <w:rsid w:val="0070239F"/>
    <w:rsid w:val="00723C5B"/>
    <w:rsid w:val="007243C2"/>
    <w:rsid w:val="0075028E"/>
    <w:rsid w:val="007D5C90"/>
    <w:rsid w:val="007F18D3"/>
    <w:rsid w:val="007F7756"/>
    <w:rsid w:val="008031A3"/>
    <w:rsid w:val="00825303"/>
    <w:rsid w:val="0083471B"/>
    <w:rsid w:val="008932F6"/>
    <w:rsid w:val="008B1698"/>
    <w:rsid w:val="008B2179"/>
    <w:rsid w:val="008C1020"/>
    <w:rsid w:val="008C1D81"/>
    <w:rsid w:val="008D3235"/>
    <w:rsid w:val="0091567A"/>
    <w:rsid w:val="00930964"/>
    <w:rsid w:val="00963EBE"/>
    <w:rsid w:val="00987FE2"/>
    <w:rsid w:val="009A6F0C"/>
    <w:rsid w:val="009B4895"/>
    <w:rsid w:val="00A02E50"/>
    <w:rsid w:val="00A234E6"/>
    <w:rsid w:val="00A24BE1"/>
    <w:rsid w:val="00A263F8"/>
    <w:rsid w:val="00A45AFD"/>
    <w:rsid w:val="00A502D4"/>
    <w:rsid w:val="00A650E3"/>
    <w:rsid w:val="00A7660C"/>
    <w:rsid w:val="00A979BA"/>
    <w:rsid w:val="00AA1CB2"/>
    <w:rsid w:val="00AD708F"/>
    <w:rsid w:val="00AE131F"/>
    <w:rsid w:val="00B11A14"/>
    <w:rsid w:val="00B40BB6"/>
    <w:rsid w:val="00B41EEE"/>
    <w:rsid w:val="00B60A58"/>
    <w:rsid w:val="00B918A5"/>
    <w:rsid w:val="00B95E4E"/>
    <w:rsid w:val="00BA4FE7"/>
    <w:rsid w:val="00BD1D06"/>
    <w:rsid w:val="00BD42D4"/>
    <w:rsid w:val="00BE210A"/>
    <w:rsid w:val="00BF364B"/>
    <w:rsid w:val="00C01BDB"/>
    <w:rsid w:val="00C25B2F"/>
    <w:rsid w:val="00C34CA1"/>
    <w:rsid w:val="00C37DA4"/>
    <w:rsid w:val="00C472DB"/>
    <w:rsid w:val="00C47DD3"/>
    <w:rsid w:val="00C6533E"/>
    <w:rsid w:val="00C76385"/>
    <w:rsid w:val="00C81EAF"/>
    <w:rsid w:val="00CD4289"/>
    <w:rsid w:val="00D322A3"/>
    <w:rsid w:val="00D57A72"/>
    <w:rsid w:val="00D60CB6"/>
    <w:rsid w:val="00D702C7"/>
    <w:rsid w:val="00DA060A"/>
    <w:rsid w:val="00DB59A1"/>
    <w:rsid w:val="00DC784D"/>
    <w:rsid w:val="00DD397B"/>
    <w:rsid w:val="00DD4AC1"/>
    <w:rsid w:val="00E0162E"/>
    <w:rsid w:val="00E05EEA"/>
    <w:rsid w:val="00E2102A"/>
    <w:rsid w:val="00E414F3"/>
    <w:rsid w:val="00E43EDE"/>
    <w:rsid w:val="00E56863"/>
    <w:rsid w:val="00E604DB"/>
    <w:rsid w:val="00E973FB"/>
    <w:rsid w:val="00E97973"/>
    <w:rsid w:val="00EA099D"/>
    <w:rsid w:val="00EB3E8D"/>
    <w:rsid w:val="00ED6F4D"/>
    <w:rsid w:val="00EF39A8"/>
    <w:rsid w:val="00F32443"/>
    <w:rsid w:val="00F34965"/>
    <w:rsid w:val="00F3702B"/>
    <w:rsid w:val="00F40D7F"/>
    <w:rsid w:val="00F52B9E"/>
    <w:rsid w:val="00F56099"/>
    <w:rsid w:val="00F5690E"/>
    <w:rsid w:val="00F819D5"/>
    <w:rsid w:val="00F872FD"/>
    <w:rsid w:val="00F91105"/>
    <w:rsid w:val="00FB1942"/>
    <w:rsid w:val="00FC5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01296AF"/>
  <w15:chartTrackingRefBased/>
  <w15:docId w15:val="{65D58B0D-CB8B-4020-9ECA-D0A300307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274C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274C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5C9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5C90"/>
    <w:rPr>
      <w:rFonts w:eastAsiaTheme="minorEastAsia"/>
      <w:lang w:val="en-US"/>
    </w:rPr>
  </w:style>
  <w:style w:type="character" w:customStyle="1" w:styleId="Heading1Char">
    <w:name w:val="Heading 1 Char"/>
    <w:basedOn w:val="DefaultParagraphFont"/>
    <w:link w:val="Heading1"/>
    <w:uiPriority w:val="9"/>
    <w:rsid w:val="003274C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274C5"/>
    <w:rPr>
      <w:rFonts w:asciiTheme="majorHAnsi" w:eastAsiaTheme="majorEastAsia" w:hAnsiTheme="majorHAnsi" w:cstheme="majorBidi"/>
      <w:color w:val="2E74B5" w:themeColor="accent1" w:themeShade="BF"/>
      <w:sz w:val="26"/>
      <w:szCs w:val="26"/>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F39A8"/>
    <w:rPr>
      <w:lang w:eastAsia="en-GB"/>
    </w:rPr>
  </w:style>
  <w:style w:type="paragraph" w:styleId="ListParagraph">
    <w:name w:val="List Paragraph"/>
    <w:aliases w:val="omar footnote,List Paragraph1,Numbered Indented Text,Colorful List - Accent 11,Text bullets 1"/>
    <w:basedOn w:val="Normal"/>
    <w:link w:val="ListParagraphChar"/>
    <w:uiPriority w:val="34"/>
    <w:qFormat/>
    <w:rsid w:val="00EF39A8"/>
    <w:pPr>
      <w:spacing w:after="0" w:line="240" w:lineRule="auto"/>
      <w:ind w:left="720"/>
      <w:contextualSpacing/>
    </w:pPr>
    <w:rPr>
      <w:lang w:eastAsia="en-GB"/>
    </w:rPr>
  </w:style>
  <w:style w:type="character" w:styleId="Hyperlink">
    <w:name w:val="Hyperlink"/>
    <w:basedOn w:val="DefaultParagraphFont"/>
    <w:uiPriority w:val="99"/>
    <w:unhideWhenUsed/>
    <w:rsid w:val="00EF39A8"/>
    <w:rPr>
      <w:color w:val="0000FF"/>
      <w:u w:val="single"/>
    </w:rPr>
  </w:style>
  <w:style w:type="paragraph" w:styleId="Header">
    <w:name w:val="header"/>
    <w:basedOn w:val="Normal"/>
    <w:link w:val="HeaderChar"/>
    <w:uiPriority w:val="99"/>
    <w:unhideWhenUsed/>
    <w:rsid w:val="00EB3E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3E8D"/>
  </w:style>
  <w:style w:type="paragraph" w:styleId="Footer">
    <w:name w:val="footer"/>
    <w:basedOn w:val="Normal"/>
    <w:link w:val="FooterChar"/>
    <w:uiPriority w:val="99"/>
    <w:unhideWhenUsed/>
    <w:rsid w:val="00EB3E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E8D"/>
  </w:style>
  <w:style w:type="character" w:styleId="FollowedHyperlink">
    <w:name w:val="FollowedHyperlink"/>
    <w:basedOn w:val="DefaultParagraphFont"/>
    <w:uiPriority w:val="99"/>
    <w:semiHidden/>
    <w:unhideWhenUsed/>
    <w:rsid w:val="001F27FA"/>
    <w:rPr>
      <w:color w:val="954F72" w:themeColor="followedHyperlink"/>
      <w:u w:val="single"/>
    </w:rPr>
  </w:style>
  <w:style w:type="paragraph" w:styleId="TOCHeading">
    <w:name w:val="TOC Heading"/>
    <w:basedOn w:val="Heading1"/>
    <w:next w:val="Normal"/>
    <w:uiPriority w:val="39"/>
    <w:unhideWhenUsed/>
    <w:qFormat/>
    <w:rsid w:val="00697720"/>
    <w:pPr>
      <w:outlineLvl w:val="9"/>
    </w:pPr>
    <w:rPr>
      <w:lang w:val="en-US"/>
    </w:rPr>
  </w:style>
  <w:style w:type="paragraph" w:styleId="TOC1">
    <w:name w:val="toc 1"/>
    <w:basedOn w:val="Normal"/>
    <w:next w:val="Normal"/>
    <w:autoRedefine/>
    <w:uiPriority w:val="39"/>
    <w:unhideWhenUsed/>
    <w:rsid w:val="00697720"/>
    <w:pPr>
      <w:spacing w:after="100"/>
    </w:pPr>
  </w:style>
  <w:style w:type="paragraph" w:styleId="TOC2">
    <w:name w:val="toc 2"/>
    <w:basedOn w:val="Normal"/>
    <w:next w:val="Normal"/>
    <w:autoRedefine/>
    <w:uiPriority w:val="39"/>
    <w:unhideWhenUsed/>
    <w:rsid w:val="00697720"/>
    <w:pPr>
      <w:spacing w:after="100"/>
      <w:ind w:left="220"/>
    </w:pPr>
  </w:style>
  <w:style w:type="paragraph" w:styleId="Bibliography">
    <w:name w:val="Bibliography"/>
    <w:basedOn w:val="Normal"/>
    <w:next w:val="Normal"/>
    <w:uiPriority w:val="37"/>
    <w:unhideWhenUsed/>
    <w:rsid w:val="003E0C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6532">
      <w:bodyDiv w:val="1"/>
      <w:marLeft w:val="0"/>
      <w:marRight w:val="0"/>
      <w:marTop w:val="0"/>
      <w:marBottom w:val="0"/>
      <w:divBdr>
        <w:top w:val="none" w:sz="0" w:space="0" w:color="auto"/>
        <w:left w:val="none" w:sz="0" w:space="0" w:color="auto"/>
        <w:bottom w:val="none" w:sz="0" w:space="0" w:color="auto"/>
        <w:right w:val="none" w:sz="0" w:space="0" w:color="auto"/>
      </w:divBdr>
    </w:div>
    <w:div w:id="6294337">
      <w:bodyDiv w:val="1"/>
      <w:marLeft w:val="0"/>
      <w:marRight w:val="0"/>
      <w:marTop w:val="0"/>
      <w:marBottom w:val="0"/>
      <w:divBdr>
        <w:top w:val="none" w:sz="0" w:space="0" w:color="auto"/>
        <w:left w:val="none" w:sz="0" w:space="0" w:color="auto"/>
        <w:bottom w:val="none" w:sz="0" w:space="0" w:color="auto"/>
        <w:right w:val="none" w:sz="0" w:space="0" w:color="auto"/>
      </w:divBdr>
    </w:div>
    <w:div w:id="6298013">
      <w:bodyDiv w:val="1"/>
      <w:marLeft w:val="0"/>
      <w:marRight w:val="0"/>
      <w:marTop w:val="0"/>
      <w:marBottom w:val="0"/>
      <w:divBdr>
        <w:top w:val="none" w:sz="0" w:space="0" w:color="auto"/>
        <w:left w:val="none" w:sz="0" w:space="0" w:color="auto"/>
        <w:bottom w:val="none" w:sz="0" w:space="0" w:color="auto"/>
        <w:right w:val="none" w:sz="0" w:space="0" w:color="auto"/>
      </w:divBdr>
    </w:div>
    <w:div w:id="20476108">
      <w:bodyDiv w:val="1"/>
      <w:marLeft w:val="0"/>
      <w:marRight w:val="0"/>
      <w:marTop w:val="0"/>
      <w:marBottom w:val="0"/>
      <w:divBdr>
        <w:top w:val="none" w:sz="0" w:space="0" w:color="auto"/>
        <w:left w:val="none" w:sz="0" w:space="0" w:color="auto"/>
        <w:bottom w:val="none" w:sz="0" w:space="0" w:color="auto"/>
        <w:right w:val="none" w:sz="0" w:space="0" w:color="auto"/>
      </w:divBdr>
    </w:div>
    <w:div w:id="36206936">
      <w:bodyDiv w:val="1"/>
      <w:marLeft w:val="0"/>
      <w:marRight w:val="0"/>
      <w:marTop w:val="0"/>
      <w:marBottom w:val="0"/>
      <w:divBdr>
        <w:top w:val="none" w:sz="0" w:space="0" w:color="auto"/>
        <w:left w:val="none" w:sz="0" w:space="0" w:color="auto"/>
        <w:bottom w:val="none" w:sz="0" w:space="0" w:color="auto"/>
        <w:right w:val="none" w:sz="0" w:space="0" w:color="auto"/>
      </w:divBdr>
    </w:div>
    <w:div w:id="54865075">
      <w:bodyDiv w:val="1"/>
      <w:marLeft w:val="0"/>
      <w:marRight w:val="0"/>
      <w:marTop w:val="0"/>
      <w:marBottom w:val="0"/>
      <w:divBdr>
        <w:top w:val="none" w:sz="0" w:space="0" w:color="auto"/>
        <w:left w:val="none" w:sz="0" w:space="0" w:color="auto"/>
        <w:bottom w:val="none" w:sz="0" w:space="0" w:color="auto"/>
        <w:right w:val="none" w:sz="0" w:space="0" w:color="auto"/>
      </w:divBdr>
    </w:div>
    <w:div w:id="69811728">
      <w:bodyDiv w:val="1"/>
      <w:marLeft w:val="0"/>
      <w:marRight w:val="0"/>
      <w:marTop w:val="0"/>
      <w:marBottom w:val="0"/>
      <w:divBdr>
        <w:top w:val="none" w:sz="0" w:space="0" w:color="auto"/>
        <w:left w:val="none" w:sz="0" w:space="0" w:color="auto"/>
        <w:bottom w:val="none" w:sz="0" w:space="0" w:color="auto"/>
        <w:right w:val="none" w:sz="0" w:space="0" w:color="auto"/>
      </w:divBdr>
    </w:div>
    <w:div w:id="75565462">
      <w:bodyDiv w:val="1"/>
      <w:marLeft w:val="0"/>
      <w:marRight w:val="0"/>
      <w:marTop w:val="0"/>
      <w:marBottom w:val="0"/>
      <w:divBdr>
        <w:top w:val="none" w:sz="0" w:space="0" w:color="auto"/>
        <w:left w:val="none" w:sz="0" w:space="0" w:color="auto"/>
        <w:bottom w:val="none" w:sz="0" w:space="0" w:color="auto"/>
        <w:right w:val="none" w:sz="0" w:space="0" w:color="auto"/>
      </w:divBdr>
    </w:div>
    <w:div w:id="94136207">
      <w:bodyDiv w:val="1"/>
      <w:marLeft w:val="0"/>
      <w:marRight w:val="0"/>
      <w:marTop w:val="0"/>
      <w:marBottom w:val="0"/>
      <w:divBdr>
        <w:top w:val="none" w:sz="0" w:space="0" w:color="auto"/>
        <w:left w:val="none" w:sz="0" w:space="0" w:color="auto"/>
        <w:bottom w:val="none" w:sz="0" w:space="0" w:color="auto"/>
        <w:right w:val="none" w:sz="0" w:space="0" w:color="auto"/>
      </w:divBdr>
    </w:div>
    <w:div w:id="102844209">
      <w:bodyDiv w:val="1"/>
      <w:marLeft w:val="0"/>
      <w:marRight w:val="0"/>
      <w:marTop w:val="0"/>
      <w:marBottom w:val="0"/>
      <w:divBdr>
        <w:top w:val="none" w:sz="0" w:space="0" w:color="auto"/>
        <w:left w:val="none" w:sz="0" w:space="0" w:color="auto"/>
        <w:bottom w:val="none" w:sz="0" w:space="0" w:color="auto"/>
        <w:right w:val="none" w:sz="0" w:space="0" w:color="auto"/>
      </w:divBdr>
    </w:div>
    <w:div w:id="117185328">
      <w:bodyDiv w:val="1"/>
      <w:marLeft w:val="0"/>
      <w:marRight w:val="0"/>
      <w:marTop w:val="0"/>
      <w:marBottom w:val="0"/>
      <w:divBdr>
        <w:top w:val="none" w:sz="0" w:space="0" w:color="auto"/>
        <w:left w:val="none" w:sz="0" w:space="0" w:color="auto"/>
        <w:bottom w:val="none" w:sz="0" w:space="0" w:color="auto"/>
        <w:right w:val="none" w:sz="0" w:space="0" w:color="auto"/>
      </w:divBdr>
    </w:div>
    <w:div w:id="117996377">
      <w:bodyDiv w:val="1"/>
      <w:marLeft w:val="0"/>
      <w:marRight w:val="0"/>
      <w:marTop w:val="0"/>
      <w:marBottom w:val="0"/>
      <w:divBdr>
        <w:top w:val="none" w:sz="0" w:space="0" w:color="auto"/>
        <w:left w:val="none" w:sz="0" w:space="0" w:color="auto"/>
        <w:bottom w:val="none" w:sz="0" w:space="0" w:color="auto"/>
        <w:right w:val="none" w:sz="0" w:space="0" w:color="auto"/>
      </w:divBdr>
    </w:div>
    <w:div w:id="119612099">
      <w:bodyDiv w:val="1"/>
      <w:marLeft w:val="0"/>
      <w:marRight w:val="0"/>
      <w:marTop w:val="0"/>
      <w:marBottom w:val="0"/>
      <w:divBdr>
        <w:top w:val="none" w:sz="0" w:space="0" w:color="auto"/>
        <w:left w:val="none" w:sz="0" w:space="0" w:color="auto"/>
        <w:bottom w:val="none" w:sz="0" w:space="0" w:color="auto"/>
        <w:right w:val="none" w:sz="0" w:space="0" w:color="auto"/>
      </w:divBdr>
    </w:div>
    <w:div w:id="128672617">
      <w:bodyDiv w:val="1"/>
      <w:marLeft w:val="0"/>
      <w:marRight w:val="0"/>
      <w:marTop w:val="0"/>
      <w:marBottom w:val="0"/>
      <w:divBdr>
        <w:top w:val="none" w:sz="0" w:space="0" w:color="auto"/>
        <w:left w:val="none" w:sz="0" w:space="0" w:color="auto"/>
        <w:bottom w:val="none" w:sz="0" w:space="0" w:color="auto"/>
        <w:right w:val="none" w:sz="0" w:space="0" w:color="auto"/>
      </w:divBdr>
    </w:div>
    <w:div w:id="149178039">
      <w:bodyDiv w:val="1"/>
      <w:marLeft w:val="0"/>
      <w:marRight w:val="0"/>
      <w:marTop w:val="0"/>
      <w:marBottom w:val="0"/>
      <w:divBdr>
        <w:top w:val="none" w:sz="0" w:space="0" w:color="auto"/>
        <w:left w:val="none" w:sz="0" w:space="0" w:color="auto"/>
        <w:bottom w:val="none" w:sz="0" w:space="0" w:color="auto"/>
        <w:right w:val="none" w:sz="0" w:space="0" w:color="auto"/>
      </w:divBdr>
    </w:div>
    <w:div w:id="168178008">
      <w:bodyDiv w:val="1"/>
      <w:marLeft w:val="0"/>
      <w:marRight w:val="0"/>
      <w:marTop w:val="0"/>
      <w:marBottom w:val="0"/>
      <w:divBdr>
        <w:top w:val="none" w:sz="0" w:space="0" w:color="auto"/>
        <w:left w:val="none" w:sz="0" w:space="0" w:color="auto"/>
        <w:bottom w:val="none" w:sz="0" w:space="0" w:color="auto"/>
        <w:right w:val="none" w:sz="0" w:space="0" w:color="auto"/>
      </w:divBdr>
      <w:divsChild>
        <w:div w:id="2122064007">
          <w:marLeft w:val="619"/>
          <w:marRight w:val="0"/>
          <w:marTop w:val="67"/>
          <w:marBottom w:val="67"/>
          <w:divBdr>
            <w:top w:val="none" w:sz="0" w:space="0" w:color="auto"/>
            <w:left w:val="none" w:sz="0" w:space="0" w:color="auto"/>
            <w:bottom w:val="none" w:sz="0" w:space="0" w:color="auto"/>
            <w:right w:val="none" w:sz="0" w:space="0" w:color="auto"/>
          </w:divBdr>
        </w:div>
        <w:div w:id="1550652799">
          <w:marLeft w:val="619"/>
          <w:marRight w:val="0"/>
          <w:marTop w:val="67"/>
          <w:marBottom w:val="67"/>
          <w:divBdr>
            <w:top w:val="none" w:sz="0" w:space="0" w:color="auto"/>
            <w:left w:val="none" w:sz="0" w:space="0" w:color="auto"/>
            <w:bottom w:val="none" w:sz="0" w:space="0" w:color="auto"/>
            <w:right w:val="none" w:sz="0" w:space="0" w:color="auto"/>
          </w:divBdr>
        </w:div>
        <w:div w:id="1671979073">
          <w:marLeft w:val="1498"/>
          <w:marRight w:val="0"/>
          <w:marTop w:val="58"/>
          <w:marBottom w:val="58"/>
          <w:divBdr>
            <w:top w:val="none" w:sz="0" w:space="0" w:color="auto"/>
            <w:left w:val="none" w:sz="0" w:space="0" w:color="auto"/>
            <w:bottom w:val="none" w:sz="0" w:space="0" w:color="auto"/>
            <w:right w:val="none" w:sz="0" w:space="0" w:color="auto"/>
          </w:divBdr>
        </w:div>
        <w:div w:id="741099573">
          <w:marLeft w:val="619"/>
          <w:marRight w:val="0"/>
          <w:marTop w:val="67"/>
          <w:marBottom w:val="67"/>
          <w:divBdr>
            <w:top w:val="none" w:sz="0" w:space="0" w:color="auto"/>
            <w:left w:val="none" w:sz="0" w:space="0" w:color="auto"/>
            <w:bottom w:val="none" w:sz="0" w:space="0" w:color="auto"/>
            <w:right w:val="none" w:sz="0" w:space="0" w:color="auto"/>
          </w:divBdr>
        </w:div>
        <w:div w:id="1203010161">
          <w:marLeft w:val="1498"/>
          <w:marRight w:val="0"/>
          <w:marTop w:val="58"/>
          <w:marBottom w:val="58"/>
          <w:divBdr>
            <w:top w:val="none" w:sz="0" w:space="0" w:color="auto"/>
            <w:left w:val="none" w:sz="0" w:space="0" w:color="auto"/>
            <w:bottom w:val="none" w:sz="0" w:space="0" w:color="auto"/>
            <w:right w:val="none" w:sz="0" w:space="0" w:color="auto"/>
          </w:divBdr>
        </w:div>
        <w:div w:id="1341003598">
          <w:marLeft w:val="1498"/>
          <w:marRight w:val="0"/>
          <w:marTop w:val="58"/>
          <w:marBottom w:val="58"/>
          <w:divBdr>
            <w:top w:val="none" w:sz="0" w:space="0" w:color="auto"/>
            <w:left w:val="none" w:sz="0" w:space="0" w:color="auto"/>
            <w:bottom w:val="none" w:sz="0" w:space="0" w:color="auto"/>
            <w:right w:val="none" w:sz="0" w:space="0" w:color="auto"/>
          </w:divBdr>
        </w:div>
      </w:divsChild>
    </w:div>
    <w:div w:id="184681719">
      <w:bodyDiv w:val="1"/>
      <w:marLeft w:val="0"/>
      <w:marRight w:val="0"/>
      <w:marTop w:val="0"/>
      <w:marBottom w:val="0"/>
      <w:divBdr>
        <w:top w:val="none" w:sz="0" w:space="0" w:color="auto"/>
        <w:left w:val="none" w:sz="0" w:space="0" w:color="auto"/>
        <w:bottom w:val="none" w:sz="0" w:space="0" w:color="auto"/>
        <w:right w:val="none" w:sz="0" w:space="0" w:color="auto"/>
      </w:divBdr>
    </w:div>
    <w:div w:id="194008717">
      <w:bodyDiv w:val="1"/>
      <w:marLeft w:val="0"/>
      <w:marRight w:val="0"/>
      <w:marTop w:val="0"/>
      <w:marBottom w:val="0"/>
      <w:divBdr>
        <w:top w:val="none" w:sz="0" w:space="0" w:color="auto"/>
        <w:left w:val="none" w:sz="0" w:space="0" w:color="auto"/>
        <w:bottom w:val="none" w:sz="0" w:space="0" w:color="auto"/>
        <w:right w:val="none" w:sz="0" w:space="0" w:color="auto"/>
      </w:divBdr>
    </w:div>
    <w:div w:id="207374846">
      <w:bodyDiv w:val="1"/>
      <w:marLeft w:val="0"/>
      <w:marRight w:val="0"/>
      <w:marTop w:val="0"/>
      <w:marBottom w:val="0"/>
      <w:divBdr>
        <w:top w:val="none" w:sz="0" w:space="0" w:color="auto"/>
        <w:left w:val="none" w:sz="0" w:space="0" w:color="auto"/>
        <w:bottom w:val="none" w:sz="0" w:space="0" w:color="auto"/>
        <w:right w:val="none" w:sz="0" w:space="0" w:color="auto"/>
      </w:divBdr>
    </w:div>
    <w:div w:id="208808100">
      <w:bodyDiv w:val="1"/>
      <w:marLeft w:val="0"/>
      <w:marRight w:val="0"/>
      <w:marTop w:val="0"/>
      <w:marBottom w:val="0"/>
      <w:divBdr>
        <w:top w:val="none" w:sz="0" w:space="0" w:color="auto"/>
        <w:left w:val="none" w:sz="0" w:space="0" w:color="auto"/>
        <w:bottom w:val="none" w:sz="0" w:space="0" w:color="auto"/>
        <w:right w:val="none" w:sz="0" w:space="0" w:color="auto"/>
      </w:divBdr>
    </w:div>
    <w:div w:id="220797316">
      <w:bodyDiv w:val="1"/>
      <w:marLeft w:val="0"/>
      <w:marRight w:val="0"/>
      <w:marTop w:val="0"/>
      <w:marBottom w:val="0"/>
      <w:divBdr>
        <w:top w:val="none" w:sz="0" w:space="0" w:color="auto"/>
        <w:left w:val="none" w:sz="0" w:space="0" w:color="auto"/>
        <w:bottom w:val="none" w:sz="0" w:space="0" w:color="auto"/>
        <w:right w:val="none" w:sz="0" w:space="0" w:color="auto"/>
      </w:divBdr>
    </w:div>
    <w:div w:id="229314108">
      <w:bodyDiv w:val="1"/>
      <w:marLeft w:val="0"/>
      <w:marRight w:val="0"/>
      <w:marTop w:val="0"/>
      <w:marBottom w:val="0"/>
      <w:divBdr>
        <w:top w:val="none" w:sz="0" w:space="0" w:color="auto"/>
        <w:left w:val="none" w:sz="0" w:space="0" w:color="auto"/>
        <w:bottom w:val="none" w:sz="0" w:space="0" w:color="auto"/>
        <w:right w:val="none" w:sz="0" w:space="0" w:color="auto"/>
      </w:divBdr>
    </w:div>
    <w:div w:id="232474394">
      <w:bodyDiv w:val="1"/>
      <w:marLeft w:val="0"/>
      <w:marRight w:val="0"/>
      <w:marTop w:val="0"/>
      <w:marBottom w:val="0"/>
      <w:divBdr>
        <w:top w:val="none" w:sz="0" w:space="0" w:color="auto"/>
        <w:left w:val="none" w:sz="0" w:space="0" w:color="auto"/>
        <w:bottom w:val="none" w:sz="0" w:space="0" w:color="auto"/>
        <w:right w:val="none" w:sz="0" w:space="0" w:color="auto"/>
      </w:divBdr>
    </w:div>
    <w:div w:id="238249076">
      <w:bodyDiv w:val="1"/>
      <w:marLeft w:val="0"/>
      <w:marRight w:val="0"/>
      <w:marTop w:val="0"/>
      <w:marBottom w:val="0"/>
      <w:divBdr>
        <w:top w:val="none" w:sz="0" w:space="0" w:color="auto"/>
        <w:left w:val="none" w:sz="0" w:space="0" w:color="auto"/>
        <w:bottom w:val="none" w:sz="0" w:space="0" w:color="auto"/>
        <w:right w:val="none" w:sz="0" w:space="0" w:color="auto"/>
      </w:divBdr>
    </w:div>
    <w:div w:id="241840837">
      <w:bodyDiv w:val="1"/>
      <w:marLeft w:val="0"/>
      <w:marRight w:val="0"/>
      <w:marTop w:val="0"/>
      <w:marBottom w:val="0"/>
      <w:divBdr>
        <w:top w:val="none" w:sz="0" w:space="0" w:color="auto"/>
        <w:left w:val="none" w:sz="0" w:space="0" w:color="auto"/>
        <w:bottom w:val="none" w:sz="0" w:space="0" w:color="auto"/>
        <w:right w:val="none" w:sz="0" w:space="0" w:color="auto"/>
      </w:divBdr>
    </w:div>
    <w:div w:id="243612599">
      <w:bodyDiv w:val="1"/>
      <w:marLeft w:val="0"/>
      <w:marRight w:val="0"/>
      <w:marTop w:val="0"/>
      <w:marBottom w:val="0"/>
      <w:divBdr>
        <w:top w:val="none" w:sz="0" w:space="0" w:color="auto"/>
        <w:left w:val="none" w:sz="0" w:space="0" w:color="auto"/>
        <w:bottom w:val="none" w:sz="0" w:space="0" w:color="auto"/>
        <w:right w:val="none" w:sz="0" w:space="0" w:color="auto"/>
      </w:divBdr>
    </w:div>
    <w:div w:id="245961913">
      <w:bodyDiv w:val="1"/>
      <w:marLeft w:val="0"/>
      <w:marRight w:val="0"/>
      <w:marTop w:val="0"/>
      <w:marBottom w:val="0"/>
      <w:divBdr>
        <w:top w:val="none" w:sz="0" w:space="0" w:color="auto"/>
        <w:left w:val="none" w:sz="0" w:space="0" w:color="auto"/>
        <w:bottom w:val="none" w:sz="0" w:space="0" w:color="auto"/>
        <w:right w:val="none" w:sz="0" w:space="0" w:color="auto"/>
      </w:divBdr>
    </w:div>
    <w:div w:id="248469747">
      <w:bodyDiv w:val="1"/>
      <w:marLeft w:val="0"/>
      <w:marRight w:val="0"/>
      <w:marTop w:val="0"/>
      <w:marBottom w:val="0"/>
      <w:divBdr>
        <w:top w:val="none" w:sz="0" w:space="0" w:color="auto"/>
        <w:left w:val="none" w:sz="0" w:space="0" w:color="auto"/>
        <w:bottom w:val="none" w:sz="0" w:space="0" w:color="auto"/>
        <w:right w:val="none" w:sz="0" w:space="0" w:color="auto"/>
      </w:divBdr>
    </w:div>
    <w:div w:id="249392019">
      <w:bodyDiv w:val="1"/>
      <w:marLeft w:val="0"/>
      <w:marRight w:val="0"/>
      <w:marTop w:val="0"/>
      <w:marBottom w:val="0"/>
      <w:divBdr>
        <w:top w:val="none" w:sz="0" w:space="0" w:color="auto"/>
        <w:left w:val="none" w:sz="0" w:space="0" w:color="auto"/>
        <w:bottom w:val="none" w:sz="0" w:space="0" w:color="auto"/>
        <w:right w:val="none" w:sz="0" w:space="0" w:color="auto"/>
      </w:divBdr>
    </w:div>
    <w:div w:id="249657851">
      <w:bodyDiv w:val="1"/>
      <w:marLeft w:val="0"/>
      <w:marRight w:val="0"/>
      <w:marTop w:val="0"/>
      <w:marBottom w:val="0"/>
      <w:divBdr>
        <w:top w:val="none" w:sz="0" w:space="0" w:color="auto"/>
        <w:left w:val="none" w:sz="0" w:space="0" w:color="auto"/>
        <w:bottom w:val="none" w:sz="0" w:space="0" w:color="auto"/>
        <w:right w:val="none" w:sz="0" w:space="0" w:color="auto"/>
      </w:divBdr>
    </w:div>
    <w:div w:id="252781418">
      <w:bodyDiv w:val="1"/>
      <w:marLeft w:val="0"/>
      <w:marRight w:val="0"/>
      <w:marTop w:val="0"/>
      <w:marBottom w:val="0"/>
      <w:divBdr>
        <w:top w:val="none" w:sz="0" w:space="0" w:color="auto"/>
        <w:left w:val="none" w:sz="0" w:space="0" w:color="auto"/>
        <w:bottom w:val="none" w:sz="0" w:space="0" w:color="auto"/>
        <w:right w:val="none" w:sz="0" w:space="0" w:color="auto"/>
      </w:divBdr>
    </w:div>
    <w:div w:id="257636718">
      <w:bodyDiv w:val="1"/>
      <w:marLeft w:val="0"/>
      <w:marRight w:val="0"/>
      <w:marTop w:val="0"/>
      <w:marBottom w:val="0"/>
      <w:divBdr>
        <w:top w:val="none" w:sz="0" w:space="0" w:color="auto"/>
        <w:left w:val="none" w:sz="0" w:space="0" w:color="auto"/>
        <w:bottom w:val="none" w:sz="0" w:space="0" w:color="auto"/>
        <w:right w:val="none" w:sz="0" w:space="0" w:color="auto"/>
      </w:divBdr>
    </w:div>
    <w:div w:id="264584584">
      <w:bodyDiv w:val="1"/>
      <w:marLeft w:val="0"/>
      <w:marRight w:val="0"/>
      <w:marTop w:val="0"/>
      <w:marBottom w:val="0"/>
      <w:divBdr>
        <w:top w:val="none" w:sz="0" w:space="0" w:color="auto"/>
        <w:left w:val="none" w:sz="0" w:space="0" w:color="auto"/>
        <w:bottom w:val="none" w:sz="0" w:space="0" w:color="auto"/>
        <w:right w:val="none" w:sz="0" w:space="0" w:color="auto"/>
      </w:divBdr>
    </w:div>
    <w:div w:id="267545116">
      <w:bodyDiv w:val="1"/>
      <w:marLeft w:val="0"/>
      <w:marRight w:val="0"/>
      <w:marTop w:val="0"/>
      <w:marBottom w:val="0"/>
      <w:divBdr>
        <w:top w:val="none" w:sz="0" w:space="0" w:color="auto"/>
        <w:left w:val="none" w:sz="0" w:space="0" w:color="auto"/>
        <w:bottom w:val="none" w:sz="0" w:space="0" w:color="auto"/>
        <w:right w:val="none" w:sz="0" w:space="0" w:color="auto"/>
      </w:divBdr>
    </w:div>
    <w:div w:id="280959683">
      <w:bodyDiv w:val="1"/>
      <w:marLeft w:val="0"/>
      <w:marRight w:val="0"/>
      <w:marTop w:val="0"/>
      <w:marBottom w:val="0"/>
      <w:divBdr>
        <w:top w:val="none" w:sz="0" w:space="0" w:color="auto"/>
        <w:left w:val="none" w:sz="0" w:space="0" w:color="auto"/>
        <w:bottom w:val="none" w:sz="0" w:space="0" w:color="auto"/>
        <w:right w:val="none" w:sz="0" w:space="0" w:color="auto"/>
      </w:divBdr>
    </w:div>
    <w:div w:id="289559333">
      <w:bodyDiv w:val="1"/>
      <w:marLeft w:val="0"/>
      <w:marRight w:val="0"/>
      <w:marTop w:val="0"/>
      <w:marBottom w:val="0"/>
      <w:divBdr>
        <w:top w:val="none" w:sz="0" w:space="0" w:color="auto"/>
        <w:left w:val="none" w:sz="0" w:space="0" w:color="auto"/>
        <w:bottom w:val="none" w:sz="0" w:space="0" w:color="auto"/>
        <w:right w:val="none" w:sz="0" w:space="0" w:color="auto"/>
      </w:divBdr>
    </w:div>
    <w:div w:id="293488135">
      <w:bodyDiv w:val="1"/>
      <w:marLeft w:val="0"/>
      <w:marRight w:val="0"/>
      <w:marTop w:val="0"/>
      <w:marBottom w:val="0"/>
      <w:divBdr>
        <w:top w:val="none" w:sz="0" w:space="0" w:color="auto"/>
        <w:left w:val="none" w:sz="0" w:space="0" w:color="auto"/>
        <w:bottom w:val="none" w:sz="0" w:space="0" w:color="auto"/>
        <w:right w:val="none" w:sz="0" w:space="0" w:color="auto"/>
      </w:divBdr>
    </w:div>
    <w:div w:id="319427835">
      <w:bodyDiv w:val="1"/>
      <w:marLeft w:val="0"/>
      <w:marRight w:val="0"/>
      <w:marTop w:val="0"/>
      <w:marBottom w:val="0"/>
      <w:divBdr>
        <w:top w:val="none" w:sz="0" w:space="0" w:color="auto"/>
        <w:left w:val="none" w:sz="0" w:space="0" w:color="auto"/>
        <w:bottom w:val="none" w:sz="0" w:space="0" w:color="auto"/>
        <w:right w:val="none" w:sz="0" w:space="0" w:color="auto"/>
      </w:divBdr>
    </w:div>
    <w:div w:id="321005452">
      <w:bodyDiv w:val="1"/>
      <w:marLeft w:val="0"/>
      <w:marRight w:val="0"/>
      <w:marTop w:val="0"/>
      <w:marBottom w:val="0"/>
      <w:divBdr>
        <w:top w:val="none" w:sz="0" w:space="0" w:color="auto"/>
        <w:left w:val="none" w:sz="0" w:space="0" w:color="auto"/>
        <w:bottom w:val="none" w:sz="0" w:space="0" w:color="auto"/>
        <w:right w:val="none" w:sz="0" w:space="0" w:color="auto"/>
      </w:divBdr>
    </w:div>
    <w:div w:id="328484279">
      <w:bodyDiv w:val="1"/>
      <w:marLeft w:val="0"/>
      <w:marRight w:val="0"/>
      <w:marTop w:val="0"/>
      <w:marBottom w:val="0"/>
      <w:divBdr>
        <w:top w:val="none" w:sz="0" w:space="0" w:color="auto"/>
        <w:left w:val="none" w:sz="0" w:space="0" w:color="auto"/>
        <w:bottom w:val="none" w:sz="0" w:space="0" w:color="auto"/>
        <w:right w:val="none" w:sz="0" w:space="0" w:color="auto"/>
      </w:divBdr>
    </w:div>
    <w:div w:id="334963898">
      <w:bodyDiv w:val="1"/>
      <w:marLeft w:val="0"/>
      <w:marRight w:val="0"/>
      <w:marTop w:val="0"/>
      <w:marBottom w:val="0"/>
      <w:divBdr>
        <w:top w:val="none" w:sz="0" w:space="0" w:color="auto"/>
        <w:left w:val="none" w:sz="0" w:space="0" w:color="auto"/>
        <w:bottom w:val="none" w:sz="0" w:space="0" w:color="auto"/>
        <w:right w:val="none" w:sz="0" w:space="0" w:color="auto"/>
      </w:divBdr>
    </w:div>
    <w:div w:id="374431396">
      <w:bodyDiv w:val="1"/>
      <w:marLeft w:val="0"/>
      <w:marRight w:val="0"/>
      <w:marTop w:val="0"/>
      <w:marBottom w:val="0"/>
      <w:divBdr>
        <w:top w:val="none" w:sz="0" w:space="0" w:color="auto"/>
        <w:left w:val="none" w:sz="0" w:space="0" w:color="auto"/>
        <w:bottom w:val="none" w:sz="0" w:space="0" w:color="auto"/>
        <w:right w:val="none" w:sz="0" w:space="0" w:color="auto"/>
      </w:divBdr>
    </w:div>
    <w:div w:id="381953333">
      <w:bodyDiv w:val="1"/>
      <w:marLeft w:val="0"/>
      <w:marRight w:val="0"/>
      <w:marTop w:val="0"/>
      <w:marBottom w:val="0"/>
      <w:divBdr>
        <w:top w:val="none" w:sz="0" w:space="0" w:color="auto"/>
        <w:left w:val="none" w:sz="0" w:space="0" w:color="auto"/>
        <w:bottom w:val="none" w:sz="0" w:space="0" w:color="auto"/>
        <w:right w:val="none" w:sz="0" w:space="0" w:color="auto"/>
      </w:divBdr>
    </w:div>
    <w:div w:id="390812990">
      <w:bodyDiv w:val="1"/>
      <w:marLeft w:val="0"/>
      <w:marRight w:val="0"/>
      <w:marTop w:val="0"/>
      <w:marBottom w:val="0"/>
      <w:divBdr>
        <w:top w:val="none" w:sz="0" w:space="0" w:color="auto"/>
        <w:left w:val="none" w:sz="0" w:space="0" w:color="auto"/>
        <w:bottom w:val="none" w:sz="0" w:space="0" w:color="auto"/>
        <w:right w:val="none" w:sz="0" w:space="0" w:color="auto"/>
      </w:divBdr>
    </w:div>
    <w:div w:id="402488238">
      <w:bodyDiv w:val="1"/>
      <w:marLeft w:val="0"/>
      <w:marRight w:val="0"/>
      <w:marTop w:val="0"/>
      <w:marBottom w:val="0"/>
      <w:divBdr>
        <w:top w:val="none" w:sz="0" w:space="0" w:color="auto"/>
        <w:left w:val="none" w:sz="0" w:space="0" w:color="auto"/>
        <w:bottom w:val="none" w:sz="0" w:space="0" w:color="auto"/>
        <w:right w:val="none" w:sz="0" w:space="0" w:color="auto"/>
      </w:divBdr>
    </w:div>
    <w:div w:id="422069509">
      <w:bodyDiv w:val="1"/>
      <w:marLeft w:val="0"/>
      <w:marRight w:val="0"/>
      <w:marTop w:val="0"/>
      <w:marBottom w:val="0"/>
      <w:divBdr>
        <w:top w:val="none" w:sz="0" w:space="0" w:color="auto"/>
        <w:left w:val="none" w:sz="0" w:space="0" w:color="auto"/>
        <w:bottom w:val="none" w:sz="0" w:space="0" w:color="auto"/>
        <w:right w:val="none" w:sz="0" w:space="0" w:color="auto"/>
      </w:divBdr>
    </w:div>
    <w:div w:id="434374122">
      <w:bodyDiv w:val="1"/>
      <w:marLeft w:val="0"/>
      <w:marRight w:val="0"/>
      <w:marTop w:val="0"/>
      <w:marBottom w:val="0"/>
      <w:divBdr>
        <w:top w:val="none" w:sz="0" w:space="0" w:color="auto"/>
        <w:left w:val="none" w:sz="0" w:space="0" w:color="auto"/>
        <w:bottom w:val="none" w:sz="0" w:space="0" w:color="auto"/>
        <w:right w:val="none" w:sz="0" w:space="0" w:color="auto"/>
      </w:divBdr>
    </w:div>
    <w:div w:id="442964387">
      <w:bodyDiv w:val="1"/>
      <w:marLeft w:val="0"/>
      <w:marRight w:val="0"/>
      <w:marTop w:val="0"/>
      <w:marBottom w:val="0"/>
      <w:divBdr>
        <w:top w:val="none" w:sz="0" w:space="0" w:color="auto"/>
        <w:left w:val="none" w:sz="0" w:space="0" w:color="auto"/>
        <w:bottom w:val="none" w:sz="0" w:space="0" w:color="auto"/>
        <w:right w:val="none" w:sz="0" w:space="0" w:color="auto"/>
      </w:divBdr>
    </w:div>
    <w:div w:id="466167899">
      <w:bodyDiv w:val="1"/>
      <w:marLeft w:val="0"/>
      <w:marRight w:val="0"/>
      <w:marTop w:val="0"/>
      <w:marBottom w:val="0"/>
      <w:divBdr>
        <w:top w:val="none" w:sz="0" w:space="0" w:color="auto"/>
        <w:left w:val="none" w:sz="0" w:space="0" w:color="auto"/>
        <w:bottom w:val="none" w:sz="0" w:space="0" w:color="auto"/>
        <w:right w:val="none" w:sz="0" w:space="0" w:color="auto"/>
      </w:divBdr>
    </w:div>
    <w:div w:id="473180857">
      <w:bodyDiv w:val="1"/>
      <w:marLeft w:val="0"/>
      <w:marRight w:val="0"/>
      <w:marTop w:val="0"/>
      <w:marBottom w:val="0"/>
      <w:divBdr>
        <w:top w:val="none" w:sz="0" w:space="0" w:color="auto"/>
        <w:left w:val="none" w:sz="0" w:space="0" w:color="auto"/>
        <w:bottom w:val="none" w:sz="0" w:space="0" w:color="auto"/>
        <w:right w:val="none" w:sz="0" w:space="0" w:color="auto"/>
      </w:divBdr>
    </w:div>
    <w:div w:id="481117178">
      <w:bodyDiv w:val="1"/>
      <w:marLeft w:val="0"/>
      <w:marRight w:val="0"/>
      <w:marTop w:val="0"/>
      <w:marBottom w:val="0"/>
      <w:divBdr>
        <w:top w:val="none" w:sz="0" w:space="0" w:color="auto"/>
        <w:left w:val="none" w:sz="0" w:space="0" w:color="auto"/>
        <w:bottom w:val="none" w:sz="0" w:space="0" w:color="auto"/>
        <w:right w:val="none" w:sz="0" w:space="0" w:color="auto"/>
      </w:divBdr>
    </w:div>
    <w:div w:id="483861659">
      <w:bodyDiv w:val="1"/>
      <w:marLeft w:val="0"/>
      <w:marRight w:val="0"/>
      <w:marTop w:val="0"/>
      <w:marBottom w:val="0"/>
      <w:divBdr>
        <w:top w:val="none" w:sz="0" w:space="0" w:color="auto"/>
        <w:left w:val="none" w:sz="0" w:space="0" w:color="auto"/>
        <w:bottom w:val="none" w:sz="0" w:space="0" w:color="auto"/>
        <w:right w:val="none" w:sz="0" w:space="0" w:color="auto"/>
      </w:divBdr>
    </w:div>
    <w:div w:id="494806230">
      <w:bodyDiv w:val="1"/>
      <w:marLeft w:val="0"/>
      <w:marRight w:val="0"/>
      <w:marTop w:val="0"/>
      <w:marBottom w:val="0"/>
      <w:divBdr>
        <w:top w:val="none" w:sz="0" w:space="0" w:color="auto"/>
        <w:left w:val="none" w:sz="0" w:space="0" w:color="auto"/>
        <w:bottom w:val="none" w:sz="0" w:space="0" w:color="auto"/>
        <w:right w:val="none" w:sz="0" w:space="0" w:color="auto"/>
      </w:divBdr>
    </w:div>
    <w:div w:id="507868361">
      <w:bodyDiv w:val="1"/>
      <w:marLeft w:val="0"/>
      <w:marRight w:val="0"/>
      <w:marTop w:val="0"/>
      <w:marBottom w:val="0"/>
      <w:divBdr>
        <w:top w:val="none" w:sz="0" w:space="0" w:color="auto"/>
        <w:left w:val="none" w:sz="0" w:space="0" w:color="auto"/>
        <w:bottom w:val="none" w:sz="0" w:space="0" w:color="auto"/>
        <w:right w:val="none" w:sz="0" w:space="0" w:color="auto"/>
      </w:divBdr>
    </w:div>
    <w:div w:id="511264911">
      <w:bodyDiv w:val="1"/>
      <w:marLeft w:val="0"/>
      <w:marRight w:val="0"/>
      <w:marTop w:val="0"/>
      <w:marBottom w:val="0"/>
      <w:divBdr>
        <w:top w:val="none" w:sz="0" w:space="0" w:color="auto"/>
        <w:left w:val="none" w:sz="0" w:space="0" w:color="auto"/>
        <w:bottom w:val="none" w:sz="0" w:space="0" w:color="auto"/>
        <w:right w:val="none" w:sz="0" w:space="0" w:color="auto"/>
      </w:divBdr>
    </w:div>
    <w:div w:id="532494962">
      <w:bodyDiv w:val="1"/>
      <w:marLeft w:val="0"/>
      <w:marRight w:val="0"/>
      <w:marTop w:val="0"/>
      <w:marBottom w:val="0"/>
      <w:divBdr>
        <w:top w:val="none" w:sz="0" w:space="0" w:color="auto"/>
        <w:left w:val="none" w:sz="0" w:space="0" w:color="auto"/>
        <w:bottom w:val="none" w:sz="0" w:space="0" w:color="auto"/>
        <w:right w:val="none" w:sz="0" w:space="0" w:color="auto"/>
      </w:divBdr>
    </w:div>
    <w:div w:id="569536024">
      <w:bodyDiv w:val="1"/>
      <w:marLeft w:val="0"/>
      <w:marRight w:val="0"/>
      <w:marTop w:val="0"/>
      <w:marBottom w:val="0"/>
      <w:divBdr>
        <w:top w:val="none" w:sz="0" w:space="0" w:color="auto"/>
        <w:left w:val="none" w:sz="0" w:space="0" w:color="auto"/>
        <w:bottom w:val="none" w:sz="0" w:space="0" w:color="auto"/>
        <w:right w:val="none" w:sz="0" w:space="0" w:color="auto"/>
      </w:divBdr>
    </w:div>
    <w:div w:id="583950258">
      <w:bodyDiv w:val="1"/>
      <w:marLeft w:val="0"/>
      <w:marRight w:val="0"/>
      <w:marTop w:val="0"/>
      <w:marBottom w:val="0"/>
      <w:divBdr>
        <w:top w:val="none" w:sz="0" w:space="0" w:color="auto"/>
        <w:left w:val="none" w:sz="0" w:space="0" w:color="auto"/>
        <w:bottom w:val="none" w:sz="0" w:space="0" w:color="auto"/>
        <w:right w:val="none" w:sz="0" w:space="0" w:color="auto"/>
      </w:divBdr>
    </w:div>
    <w:div w:id="591164070">
      <w:bodyDiv w:val="1"/>
      <w:marLeft w:val="0"/>
      <w:marRight w:val="0"/>
      <w:marTop w:val="0"/>
      <w:marBottom w:val="0"/>
      <w:divBdr>
        <w:top w:val="none" w:sz="0" w:space="0" w:color="auto"/>
        <w:left w:val="none" w:sz="0" w:space="0" w:color="auto"/>
        <w:bottom w:val="none" w:sz="0" w:space="0" w:color="auto"/>
        <w:right w:val="none" w:sz="0" w:space="0" w:color="auto"/>
      </w:divBdr>
    </w:div>
    <w:div w:id="594360749">
      <w:bodyDiv w:val="1"/>
      <w:marLeft w:val="0"/>
      <w:marRight w:val="0"/>
      <w:marTop w:val="0"/>
      <w:marBottom w:val="0"/>
      <w:divBdr>
        <w:top w:val="none" w:sz="0" w:space="0" w:color="auto"/>
        <w:left w:val="none" w:sz="0" w:space="0" w:color="auto"/>
        <w:bottom w:val="none" w:sz="0" w:space="0" w:color="auto"/>
        <w:right w:val="none" w:sz="0" w:space="0" w:color="auto"/>
      </w:divBdr>
    </w:div>
    <w:div w:id="604847605">
      <w:bodyDiv w:val="1"/>
      <w:marLeft w:val="0"/>
      <w:marRight w:val="0"/>
      <w:marTop w:val="0"/>
      <w:marBottom w:val="0"/>
      <w:divBdr>
        <w:top w:val="none" w:sz="0" w:space="0" w:color="auto"/>
        <w:left w:val="none" w:sz="0" w:space="0" w:color="auto"/>
        <w:bottom w:val="none" w:sz="0" w:space="0" w:color="auto"/>
        <w:right w:val="none" w:sz="0" w:space="0" w:color="auto"/>
      </w:divBdr>
    </w:div>
    <w:div w:id="610169478">
      <w:bodyDiv w:val="1"/>
      <w:marLeft w:val="0"/>
      <w:marRight w:val="0"/>
      <w:marTop w:val="0"/>
      <w:marBottom w:val="0"/>
      <w:divBdr>
        <w:top w:val="none" w:sz="0" w:space="0" w:color="auto"/>
        <w:left w:val="none" w:sz="0" w:space="0" w:color="auto"/>
        <w:bottom w:val="none" w:sz="0" w:space="0" w:color="auto"/>
        <w:right w:val="none" w:sz="0" w:space="0" w:color="auto"/>
      </w:divBdr>
    </w:div>
    <w:div w:id="624122423">
      <w:bodyDiv w:val="1"/>
      <w:marLeft w:val="0"/>
      <w:marRight w:val="0"/>
      <w:marTop w:val="0"/>
      <w:marBottom w:val="0"/>
      <w:divBdr>
        <w:top w:val="none" w:sz="0" w:space="0" w:color="auto"/>
        <w:left w:val="none" w:sz="0" w:space="0" w:color="auto"/>
        <w:bottom w:val="none" w:sz="0" w:space="0" w:color="auto"/>
        <w:right w:val="none" w:sz="0" w:space="0" w:color="auto"/>
      </w:divBdr>
    </w:div>
    <w:div w:id="637883696">
      <w:bodyDiv w:val="1"/>
      <w:marLeft w:val="0"/>
      <w:marRight w:val="0"/>
      <w:marTop w:val="0"/>
      <w:marBottom w:val="0"/>
      <w:divBdr>
        <w:top w:val="none" w:sz="0" w:space="0" w:color="auto"/>
        <w:left w:val="none" w:sz="0" w:space="0" w:color="auto"/>
        <w:bottom w:val="none" w:sz="0" w:space="0" w:color="auto"/>
        <w:right w:val="none" w:sz="0" w:space="0" w:color="auto"/>
      </w:divBdr>
    </w:div>
    <w:div w:id="649671822">
      <w:bodyDiv w:val="1"/>
      <w:marLeft w:val="0"/>
      <w:marRight w:val="0"/>
      <w:marTop w:val="0"/>
      <w:marBottom w:val="0"/>
      <w:divBdr>
        <w:top w:val="none" w:sz="0" w:space="0" w:color="auto"/>
        <w:left w:val="none" w:sz="0" w:space="0" w:color="auto"/>
        <w:bottom w:val="none" w:sz="0" w:space="0" w:color="auto"/>
        <w:right w:val="none" w:sz="0" w:space="0" w:color="auto"/>
      </w:divBdr>
    </w:div>
    <w:div w:id="650140431">
      <w:bodyDiv w:val="1"/>
      <w:marLeft w:val="0"/>
      <w:marRight w:val="0"/>
      <w:marTop w:val="0"/>
      <w:marBottom w:val="0"/>
      <w:divBdr>
        <w:top w:val="none" w:sz="0" w:space="0" w:color="auto"/>
        <w:left w:val="none" w:sz="0" w:space="0" w:color="auto"/>
        <w:bottom w:val="none" w:sz="0" w:space="0" w:color="auto"/>
        <w:right w:val="none" w:sz="0" w:space="0" w:color="auto"/>
      </w:divBdr>
    </w:div>
    <w:div w:id="650519303">
      <w:bodyDiv w:val="1"/>
      <w:marLeft w:val="0"/>
      <w:marRight w:val="0"/>
      <w:marTop w:val="0"/>
      <w:marBottom w:val="0"/>
      <w:divBdr>
        <w:top w:val="none" w:sz="0" w:space="0" w:color="auto"/>
        <w:left w:val="none" w:sz="0" w:space="0" w:color="auto"/>
        <w:bottom w:val="none" w:sz="0" w:space="0" w:color="auto"/>
        <w:right w:val="none" w:sz="0" w:space="0" w:color="auto"/>
      </w:divBdr>
    </w:div>
    <w:div w:id="671108797">
      <w:bodyDiv w:val="1"/>
      <w:marLeft w:val="0"/>
      <w:marRight w:val="0"/>
      <w:marTop w:val="0"/>
      <w:marBottom w:val="0"/>
      <w:divBdr>
        <w:top w:val="none" w:sz="0" w:space="0" w:color="auto"/>
        <w:left w:val="none" w:sz="0" w:space="0" w:color="auto"/>
        <w:bottom w:val="none" w:sz="0" w:space="0" w:color="auto"/>
        <w:right w:val="none" w:sz="0" w:space="0" w:color="auto"/>
      </w:divBdr>
    </w:div>
    <w:div w:id="674768835">
      <w:bodyDiv w:val="1"/>
      <w:marLeft w:val="0"/>
      <w:marRight w:val="0"/>
      <w:marTop w:val="0"/>
      <w:marBottom w:val="0"/>
      <w:divBdr>
        <w:top w:val="none" w:sz="0" w:space="0" w:color="auto"/>
        <w:left w:val="none" w:sz="0" w:space="0" w:color="auto"/>
        <w:bottom w:val="none" w:sz="0" w:space="0" w:color="auto"/>
        <w:right w:val="none" w:sz="0" w:space="0" w:color="auto"/>
      </w:divBdr>
    </w:div>
    <w:div w:id="704257288">
      <w:bodyDiv w:val="1"/>
      <w:marLeft w:val="0"/>
      <w:marRight w:val="0"/>
      <w:marTop w:val="0"/>
      <w:marBottom w:val="0"/>
      <w:divBdr>
        <w:top w:val="none" w:sz="0" w:space="0" w:color="auto"/>
        <w:left w:val="none" w:sz="0" w:space="0" w:color="auto"/>
        <w:bottom w:val="none" w:sz="0" w:space="0" w:color="auto"/>
        <w:right w:val="none" w:sz="0" w:space="0" w:color="auto"/>
      </w:divBdr>
    </w:div>
    <w:div w:id="710374825">
      <w:bodyDiv w:val="1"/>
      <w:marLeft w:val="0"/>
      <w:marRight w:val="0"/>
      <w:marTop w:val="0"/>
      <w:marBottom w:val="0"/>
      <w:divBdr>
        <w:top w:val="none" w:sz="0" w:space="0" w:color="auto"/>
        <w:left w:val="none" w:sz="0" w:space="0" w:color="auto"/>
        <w:bottom w:val="none" w:sz="0" w:space="0" w:color="auto"/>
        <w:right w:val="none" w:sz="0" w:space="0" w:color="auto"/>
      </w:divBdr>
    </w:div>
    <w:div w:id="712853644">
      <w:bodyDiv w:val="1"/>
      <w:marLeft w:val="0"/>
      <w:marRight w:val="0"/>
      <w:marTop w:val="0"/>
      <w:marBottom w:val="0"/>
      <w:divBdr>
        <w:top w:val="none" w:sz="0" w:space="0" w:color="auto"/>
        <w:left w:val="none" w:sz="0" w:space="0" w:color="auto"/>
        <w:bottom w:val="none" w:sz="0" w:space="0" w:color="auto"/>
        <w:right w:val="none" w:sz="0" w:space="0" w:color="auto"/>
      </w:divBdr>
    </w:div>
    <w:div w:id="713849049">
      <w:bodyDiv w:val="1"/>
      <w:marLeft w:val="0"/>
      <w:marRight w:val="0"/>
      <w:marTop w:val="0"/>
      <w:marBottom w:val="0"/>
      <w:divBdr>
        <w:top w:val="none" w:sz="0" w:space="0" w:color="auto"/>
        <w:left w:val="none" w:sz="0" w:space="0" w:color="auto"/>
        <w:bottom w:val="none" w:sz="0" w:space="0" w:color="auto"/>
        <w:right w:val="none" w:sz="0" w:space="0" w:color="auto"/>
      </w:divBdr>
    </w:div>
    <w:div w:id="717361672">
      <w:bodyDiv w:val="1"/>
      <w:marLeft w:val="0"/>
      <w:marRight w:val="0"/>
      <w:marTop w:val="0"/>
      <w:marBottom w:val="0"/>
      <w:divBdr>
        <w:top w:val="none" w:sz="0" w:space="0" w:color="auto"/>
        <w:left w:val="none" w:sz="0" w:space="0" w:color="auto"/>
        <w:bottom w:val="none" w:sz="0" w:space="0" w:color="auto"/>
        <w:right w:val="none" w:sz="0" w:space="0" w:color="auto"/>
      </w:divBdr>
    </w:div>
    <w:div w:id="733503272">
      <w:bodyDiv w:val="1"/>
      <w:marLeft w:val="0"/>
      <w:marRight w:val="0"/>
      <w:marTop w:val="0"/>
      <w:marBottom w:val="0"/>
      <w:divBdr>
        <w:top w:val="none" w:sz="0" w:space="0" w:color="auto"/>
        <w:left w:val="none" w:sz="0" w:space="0" w:color="auto"/>
        <w:bottom w:val="none" w:sz="0" w:space="0" w:color="auto"/>
        <w:right w:val="none" w:sz="0" w:space="0" w:color="auto"/>
      </w:divBdr>
    </w:div>
    <w:div w:id="780491475">
      <w:bodyDiv w:val="1"/>
      <w:marLeft w:val="0"/>
      <w:marRight w:val="0"/>
      <w:marTop w:val="0"/>
      <w:marBottom w:val="0"/>
      <w:divBdr>
        <w:top w:val="none" w:sz="0" w:space="0" w:color="auto"/>
        <w:left w:val="none" w:sz="0" w:space="0" w:color="auto"/>
        <w:bottom w:val="none" w:sz="0" w:space="0" w:color="auto"/>
        <w:right w:val="none" w:sz="0" w:space="0" w:color="auto"/>
      </w:divBdr>
    </w:div>
    <w:div w:id="811365395">
      <w:bodyDiv w:val="1"/>
      <w:marLeft w:val="0"/>
      <w:marRight w:val="0"/>
      <w:marTop w:val="0"/>
      <w:marBottom w:val="0"/>
      <w:divBdr>
        <w:top w:val="none" w:sz="0" w:space="0" w:color="auto"/>
        <w:left w:val="none" w:sz="0" w:space="0" w:color="auto"/>
        <w:bottom w:val="none" w:sz="0" w:space="0" w:color="auto"/>
        <w:right w:val="none" w:sz="0" w:space="0" w:color="auto"/>
      </w:divBdr>
    </w:div>
    <w:div w:id="818379544">
      <w:bodyDiv w:val="1"/>
      <w:marLeft w:val="0"/>
      <w:marRight w:val="0"/>
      <w:marTop w:val="0"/>
      <w:marBottom w:val="0"/>
      <w:divBdr>
        <w:top w:val="none" w:sz="0" w:space="0" w:color="auto"/>
        <w:left w:val="none" w:sz="0" w:space="0" w:color="auto"/>
        <w:bottom w:val="none" w:sz="0" w:space="0" w:color="auto"/>
        <w:right w:val="none" w:sz="0" w:space="0" w:color="auto"/>
      </w:divBdr>
    </w:div>
    <w:div w:id="819032965">
      <w:bodyDiv w:val="1"/>
      <w:marLeft w:val="0"/>
      <w:marRight w:val="0"/>
      <w:marTop w:val="0"/>
      <w:marBottom w:val="0"/>
      <w:divBdr>
        <w:top w:val="none" w:sz="0" w:space="0" w:color="auto"/>
        <w:left w:val="none" w:sz="0" w:space="0" w:color="auto"/>
        <w:bottom w:val="none" w:sz="0" w:space="0" w:color="auto"/>
        <w:right w:val="none" w:sz="0" w:space="0" w:color="auto"/>
      </w:divBdr>
    </w:div>
    <w:div w:id="829713479">
      <w:bodyDiv w:val="1"/>
      <w:marLeft w:val="0"/>
      <w:marRight w:val="0"/>
      <w:marTop w:val="0"/>
      <w:marBottom w:val="0"/>
      <w:divBdr>
        <w:top w:val="none" w:sz="0" w:space="0" w:color="auto"/>
        <w:left w:val="none" w:sz="0" w:space="0" w:color="auto"/>
        <w:bottom w:val="none" w:sz="0" w:space="0" w:color="auto"/>
        <w:right w:val="none" w:sz="0" w:space="0" w:color="auto"/>
      </w:divBdr>
    </w:div>
    <w:div w:id="839932126">
      <w:bodyDiv w:val="1"/>
      <w:marLeft w:val="0"/>
      <w:marRight w:val="0"/>
      <w:marTop w:val="0"/>
      <w:marBottom w:val="0"/>
      <w:divBdr>
        <w:top w:val="none" w:sz="0" w:space="0" w:color="auto"/>
        <w:left w:val="none" w:sz="0" w:space="0" w:color="auto"/>
        <w:bottom w:val="none" w:sz="0" w:space="0" w:color="auto"/>
        <w:right w:val="none" w:sz="0" w:space="0" w:color="auto"/>
      </w:divBdr>
    </w:div>
    <w:div w:id="847793437">
      <w:bodyDiv w:val="1"/>
      <w:marLeft w:val="0"/>
      <w:marRight w:val="0"/>
      <w:marTop w:val="0"/>
      <w:marBottom w:val="0"/>
      <w:divBdr>
        <w:top w:val="none" w:sz="0" w:space="0" w:color="auto"/>
        <w:left w:val="none" w:sz="0" w:space="0" w:color="auto"/>
        <w:bottom w:val="none" w:sz="0" w:space="0" w:color="auto"/>
        <w:right w:val="none" w:sz="0" w:space="0" w:color="auto"/>
      </w:divBdr>
    </w:div>
    <w:div w:id="849834012">
      <w:bodyDiv w:val="1"/>
      <w:marLeft w:val="0"/>
      <w:marRight w:val="0"/>
      <w:marTop w:val="0"/>
      <w:marBottom w:val="0"/>
      <w:divBdr>
        <w:top w:val="none" w:sz="0" w:space="0" w:color="auto"/>
        <w:left w:val="none" w:sz="0" w:space="0" w:color="auto"/>
        <w:bottom w:val="none" w:sz="0" w:space="0" w:color="auto"/>
        <w:right w:val="none" w:sz="0" w:space="0" w:color="auto"/>
      </w:divBdr>
    </w:div>
    <w:div w:id="862784891">
      <w:bodyDiv w:val="1"/>
      <w:marLeft w:val="0"/>
      <w:marRight w:val="0"/>
      <w:marTop w:val="0"/>
      <w:marBottom w:val="0"/>
      <w:divBdr>
        <w:top w:val="none" w:sz="0" w:space="0" w:color="auto"/>
        <w:left w:val="none" w:sz="0" w:space="0" w:color="auto"/>
        <w:bottom w:val="none" w:sz="0" w:space="0" w:color="auto"/>
        <w:right w:val="none" w:sz="0" w:space="0" w:color="auto"/>
      </w:divBdr>
    </w:div>
    <w:div w:id="876236634">
      <w:bodyDiv w:val="1"/>
      <w:marLeft w:val="0"/>
      <w:marRight w:val="0"/>
      <w:marTop w:val="0"/>
      <w:marBottom w:val="0"/>
      <w:divBdr>
        <w:top w:val="none" w:sz="0" w:space="0" w:color="auto"/>
        <w:left w:val="none" w:sz="0" w:space="0" w:color="auto"/>
        <w:bottom w:val="none" w:sz="0" w:space="0" w:color="auto"/>
        <w:right w:val="none" w:sz="0" w:space="0" w:color="auto"/>
      </w:divBdr>
    </w:div>
    <w:div w:id="882406447">
      <w:bodyDiv w:val="1"/>
      <w:marLeft w:val="0"/>
      <w:marRight w:val="0"/>
      <w:marTop w:val="0"/>
      <w:marBottom w:val="0"/>
      <w:divBdr>
        <w:top w:val="none" w:sz="0" w:space="0" w:color="auto"/>
        <w:left w:val="none" w:sz="0" w:space="0" w:color="auto"/>
        <w:bottom w:val="none" w:sz="0" w:space="0" w:color="auto"/>
        <w:right w:val="none" w:sz="0" w:space="0" w:color="auto"/>
      </w:divBdr>
    </w:div>
    <w:div w:id="885918776">
      <w:bodyDiv w:val="1"/>
      <w:marLeft w:val="0"/>
      <w:marRight w:val="0"/>
      <w:marTop w:val="0"/>
      <w:marBottom w:val="0"/>
      <w:divBdr>
        <w:top w:val="none" w:sz="0" w:space="0" w:color="auto"/>
        <w:left w:val="none" w:sz="0" w:space="0" w:color="auto"/>
        <w:bottom w:val="none" w:sz="0" w:space="0" w:color="auto"/>
        <w:right w:val="none" w:sz="0" w:space="0" w:color="auto"/>
      </w:divBdr>
    </w:div>
    <w:div w:id="887496531">
      <w:bodyDiv w:val="1"/>
      <w:marLeft w:val="0"/>
      <w:marRight w:val="0"/>
      <w:marTop w:val="0"/>
      <w:marBottom w:val="0"/>
      <w:divBdr>
        <w:top w:val="none" w:sz="0" w:space="0" w:color="auto"/>
        <w:left w:val="none" w:sz="0" w:space="0" w:color="auto"/>
        <w:bottom w:val="none" w:sz="0" w:space="0" w:color="auto"/>
        <w:right w:val="none" w:sz="0" w:space="0" w:color="auto"/>
      </w:divBdr>
    </w:div>
    <w:div w:id="891161082">
      <w:bodyDiv w:val="1"/>
      <w:marLeft w:val="0"/>
      <w:marRight w:val="0"/>
      <w:marTop w:val="0"/>
      <w:marBottom w:val="0"/>
      <w:divBdr>
        <w:top w:val="none" w:sz="0" w:space="0" w:color="auto"/>
        <w:left w:val="none" w:sz="0" w:space="0" w:color="auto"/>
        <w:bottom w:val="none" w:sz="0" w:space="0" w:color="auto"/>
        <w:right w:val="none" w:sz="0" w:space="0" w:color="auto"/>
      </w:divBdr>
    </w:div>
    <w:div w:id="902451140">
      <w:bodyDiv w:val="1"/>
      <w:marLeft w:val="0"/>
      <w:marRight w:val="0"/>
      <w:marTop w:val="0"/>
      <w:marBottom w:val="0"/>
      <w:divBdr>
        <w:top w:val="none" w:sz="0" w:space="0" w:color="auto"/>
        <w:left w:val="none" w:sz="0" w:space="0" w:color="auto"/>
        <w:bottom w:val="none" w:sz="0" w:space="0" w:color="auto"/>
        <w:right w:val="none" w:sz="0" w:space="0" w:color="auto"/>
      </w:divBdr>
    </w:div>
    <w:div w:id="906771138">
      <w:bodyDiv w:val="1"/>
      <w:marLeft w:val="0"/>
      <w:marRight w:val="0"/>
      <w:marTop w:val="0"/>
      <w:marBottom w:val="0"/>
      <w:divBdr>
        <w:top w:val="none" w:sz="0" w:space="0" w:color="auto"/>
        <w:left w:val="none" w:sz="0" w:space="0" w:color="auto"/>
        <w:bottom w:val="none" w:sz="0" w:space="0" w:color="auto"/>
        <w:right w:val="none" w:sz="0" w:space="0" w:color="auto"/>
      </w:divBdr>
    </w:div>
    <w:div w:id="922685946">
      <w:bodyDiv w:val="1"/>
      <w:marLeft w:val="0"/>
      <w:marRight w:val="0"/>
      <w:marTop w:val="0"/>
      <w:marBottom w:val="0"/>
      <w:divBdr>
        <w:top w:val="none" w:sz="0" w:space="0" w:color="auto"/>
        <w:left w:val="none" w:sz="0" w:space="0" w:color="auto"/>
        <w:bottom w:val="none" w:sz="0" w:space="0" w:color="auto"/>
        <w:right w:val="none" w:sz="0" w:space="0" w:color="auto"/>
      </w:divBdr>
    </w:div>
    <w:div w:id="931358518">
      <w:bodyDiv w:val="1"/>
      <w:marLeft w:val="0"/>
      <w:marRight w:val="0"/>
      <w:marTop w:val="0"/>
      <w:marBottom w:val="0"/>
      <w:divBdr>
        <w:top w:val="none" w:sz="0" w:space="0" w:color="auto"/>
        <w:left w:val="none" w:sz="0" w:space="0" w:color="auto"/>
        <w:bottom w:val="none" w:sz="0" w:space="0" w:color="auto"/>
        <w:right w:val="none" w:sz="0" w:space="0" w:color="auto"/>
      </w:divBdr>
    </w:div>
    <w:div w:id="948048329">
      <w:bodyDiv w:val="1"/>
      <w:marLeft w:val="0"/>
      <w:marRight w:val="0"/>
      <w:marTop w:val="0"/>
      <w:marBottom w:val="0"/>
      <w:divBdr>
        <w:top w:val="none" w:sz="0" w:space="0" w:color="auto"/>
        <w:left w:val="none" w:sz="0" w:space="0" w:color="auto"/>
        <w:bottom w:val="none" w:sz="0" w:space="0" w:color="auto"/>
        <w:right w:val="none" w:sz="0" w:space="0" w:color="auto"/>
      </w:divBdr>
    </w:div>
    <w:div w:id="965041488">
      <w:bodyDiv w:val="1"/>
      <w:marLeft w:val="0"/>
      <w:marRight w:val="0"/>
      <w:marTop w:val="0"/>
      <w:marBottom w:val="0"/>
      <w:divBdr>
        <w:top w:val="none" w:sz="0" w:space="0" w:color="auto"/>
        <w:left w:val="none" w:sz="0" w:space="0" w:color="auto"/>
        <w:bottom w:val="none" w:sz="0" w:space="0" w:color="auto"/>
        <w:right w:val="none" w:sz="0" w:space="0" w:color="auto"/>
      </w:divBdr>
    </w:div>
    <w:div w:id="968507742">
      <w:bodyDiv w:val="1"/>
      <w:marLeft w:val="0"/>
      <w:marRight w:val="0"/>
      <w:marTop w:val="0"/>
      <w:marBottom w:val="0"/>
      <w:divBdr>
        <w:top w:val="none" w:sz="0" w:space="0" w:color="auto"/>
        <w:left w:val="none" w:sz="0" w:space="0" w:color="auto"/>
        <w:bottom w:val="none" w:sz="0" w:space="0" w:color="auto"/>
        <w:right w:val="none" w:sz="0" w:space="0" w:color="auto"/>
      </w:divBdr>
    </w:div>
    <w:div w:id="975180483">
      <w:bodyDiv w:val="1"/>
      <w:marLeft w:val="0"/>
      <w:marRight w:val="0"/>
      <w:marTop w:val="0"/>
      <w:marBottom w:val="0"/>
      <w:divBdr>
        <w:top w:val="none" w:sz="0" w:space="0" w:color="auto"/>
        <w:left w:val="none" w:sz="0" w:space="0" w:color="auto"/>
        <w:bottom w:val="none" w:sz="0" w:space="0" w:color="auto"/>
        <w:right w:val="none" w:sz="0" w:space="0" w:color="auto"/>
      </w:divBdr>
    </w:div>
    <w:div w:id="989555882">
      <w:bodyDiv w:val="1"/>
      <w:marLeft w:val="0"/>
      <w:marRight w:val="0"/>
      <w:marTop w:val="0"/>
      <w:marBottom w:val="0"/>
      <w:divBdr>
        <w:top w:val="none" w:sz="0" w:space="0" w:color="auto"/>
        <w:left w:val="none" w:sz="0" w:space="0" w:color="auto"/>
        <w:bottom w:val="none" w:sz="0" w:space="0" w:color="auto"/>
        <w:right w:val="none" w:sz="0" w:space="0" w:color="auto"/>
      </w:divBdr>
    </w:div>
    <w:div w:id="990251033">
      <w:bodyDiv w:val="1"/>
      <w:marLeft w:val="0"/>
      <w:marRight w:val="0"/>
      <w:marTop w:val="0"/>
      <w:marBottom w:val="0"/>
      <w:divBdr>
        <w:top w:val="none" w:sz="0" w:space="0" w:color="auto"/>
        <w:left w:val="none" w:sz="0" w:space="0" w:color="auto"/>
        <w:bottom w:val="none" w:sz="0" w:space="0" w:color="auto"/>
        <w:right w:val="none" w:sz="0" w:space="0" w:color="auto"/>
      </w:divBdr>
    </w:div>
    <w:div w:id="999305370">
      <w:bodyDiv w:val="1"/>
      <w:marLeft w:val="0"/>
      <w:marRight w:val="0"/>
      <w:marTop w:val="0"/>
      <w:marBottom w:val="0"/>
      <w:divBdr>
        <w:top w:val="none" w:sz="0" w:space="0" w:color="auto"/>
        <w:left w:val="none" w:sz="0" w:space="0" w:color="auto"/>
        <w:bottom w:val="none" w:sz="0" w:space="0" w:color="auto"/>
        <w:right w:val="none" w:sz="0" w:space="0" w:color="auto"/>
      </w:divBdr>
    </w:div>
    <w:div w:id="999891151">
      <w:bodyDiv w:val="1"/>
      <w:marLeft w:val="0"/>
      <w:marRight w:val="0"/>
      <w:marTop w:val="0"/>
      <w:marBottom w:val="0"/>
      <w:divBdr>
        <w:top w:val="none" w:sz="0" w:space="0" w:color="auto"/>
        <w:left w:val="none" w:sz="0" w:space="0" w:color="auto"/>
        <w:bottom w:val="none" w:sz="0" w:space="0" w:color="auto"/>
        <w:right w:val="none" w:sz="0" w:space="0" w:color="auto"/>
      </w:divBdr>
    </w:div>
    <w:div w:id="1003509324">
      <w:bodyDiv w:val="1"/>
      <w:marLeft w:val="0"/>
      <w:marRight w:val="0"/>
      <w:marTop w:val="0"/>
      <w:marBottom w:val="0"/>
      <w:divBdr>
        <w:top w:val="none" w:sz="0" w:space="0" w:color="auto"/>
        <w:left w:val="none" w:sz="0" w:space="0" w:color="auto"/>
        <w:bottom w:val="none" w:sz="0" w:space="0" w:color="auto"/>
        <w:right w:val="none" w:sz="0" w:space="0" w:color="auto"/>
      </w:divBdr>
    </w:div>
    <w:div w:id="1007751929">
      <w:bodyDiv w:val="1"/>
      <w:marLeft w:val="0"/>
      <w:marRight w:val="0"/>
      <w:marTop w:val="0"/>
      <w:marBottom w:val="0"/>
      <w:divBdr>
        <w:top w:val="none" w:sz="0" w:space="0" w:color="auto"/>
        <w:left w:val="none" w:sz="0" w:space="0" w:color="auto"/>
        <w:bottom w:val="none" w:sz="0" w:space="0" w:color="auto"/>
        <w:right w:val="none" w:sz="0" w:space="0" w:color="auto"/>
      </w:divBdr>
    </w:div>
    <w:div w:id="1020860271">
      <w:bodyDiv w:val="1"/>
      <w:marLeft w:val="0"/>
      <w:marRight w:val="0"/>
      <w:marTop w:val="0"/>
      <w:marBottom w:val="0"/>
      <w:divBdr>
        <w:top w:val="none" w:sz="0" w:space="0" w:color="auto"/>
        <w:left w:val="none" w:sz="0" w:space="0" w:color="auto"/>
        <w:bottom w:val="none" w:sz="0" w:space="0" w:color="auto"/>
        <w:right w:val="none" w:sz="0" w:space="0" w:color="auto"/>
      </w:divBdr>
    </w:div>
    <w:div w:id="1033384520">
      <w:bodyDiv w:val="1"/>
      <w:marLeft w:val="0"/>
      <w:marRight w:val="0"/>
      <w:marTop w:val="0"/>
      <w:marBottom w:val="0"/>
      <w:divBdr>
        <w:top w:val="none" w:sz="0" w:space="0" w:color="auto"/>
        <w:left w:val="none" w:sz="0" w:space="0" w:color="auto"/>
        <w:bottom w:val="none" w:sz="0" w:space="0" w:color="auto"/>
        <w:right w:val="none" w:sz="0" w:space="0" w:color="auto"/>
      </w:divBdr>
    </w:div>
    <w:div w:id="1042554338">
      <w:bodyDiv w:val="1"/>
      <w:marLeft w:val="0"/>
      <w:marRight w:val="0"/>
      <w:marTop w:val="0"/>
      <w:marBottom w:val="0"/>
      <w:divBdr>
        <w:top w:val="none" w:sz="0" w:space="0" w:color="auto"/>
        <w:left w:val="none" w:sz="0" w:space="0" w:color="auto"/>
        <w:bottom w:val="none" w:sz="0" w:space="0" w:color="auto"/>
        <w:right w:val="none" w:sz="0" w:space="0" w:color="auto"/>
      </w:divBdr>
      <w:divsChild>
        <w:div w:id="99569347">
          <w:marLeft w:val="835"/>
          <w:marRight w:val="0"/>
          <w:marTop w:val="58"/>
          <w:marBottom w:val="58"/>
          <w:divBdr>
            <w:top w:val="none" w:sz="0" w:space="0" w:color="auto"/>
            <w:left w:val="none" w:sz="0" w:space="0" w:color="auto"/>
            <w:bottom w:val="none" w:sz="0" w:space="0" w:color="auto"/>
            <w:right w:val="none" w:sz="0" w:space="0" w:color="auto"/>
          </w:divBdr>
        </w:div>
      </w:divsChild>
    </w:div>
    <w:div w:id="1058088858">
      <w:bodyDiv w:val="1"/>
      <w:marLeft w:val="0"/>
      <w:marRight w:val="0"/>
      <w:marTop w:val="0"/>
      <w:marBottom w:val="0"/>
      <w:divBdr>
        <w:top w:val="none" w:sz="0" w:space="0" w:color="auto"/>
        <w:left w:val="none" w:sz="0" w:space="0" w:color="auto"/>
        <w:bottom w:val="none" w:sz="0" w:space="0" w:color="auto"/>
        <w:right w:val="none" w:sz="0" w:space="0" w:color="auto"/>
      </w:divBdr>
    </w:div>
    <w:div w:id="1058480693">
      <w:bodyDiv w:val="1"/>
      <w:marLeft w:val="0"/>
      <w:marRight w:val="0"/>
      <w:marTop w:val="0"/>
      <w:marBottom w:val="0"/>
      <w:divBdr>
        <w:top w:val="none" w:sz="0" w:space="0" w:color="auto"/>
        <w:left w:val="none" w:sz="0" w:space="0" w:color="auto"/>
        <w:bottom w:val="none" w:sz="0" w:space="0" w:color="auto"/>
        <w:right w:val="none" w:sz="0" w:space="0" w:color="auto"/>
      </w:divBdr>
    </w:div>
    <w:div w:id="1063261703">
      <w:bodyDiv w:val="1"/>
      <w:marLeft w:val="0"/>
      <w:marRight w:val="0"/>
      <w:marTop w:val="0"/>
      <w:marBottom w:val="0"/>
      <w:divBdr>
        <w:top w:val="none" w:sz="0" w:space="0" w:color="auto"/>
        <w:left w:val="none" w:sz="0" w:space="0" w:color="auto"/>
        <w:bottom w:val="none" w:sz="0" w:space="0" w:color="auto"/>
        <w:right w:val="none" w:sz="0" w:space="0" w:color="auto"/>
      </w:divBdr>
    </w:div>
    <w:div w:id="1091269063">
      <w:bodyDiv w:val="1"/>
      <w:marLeft w:val="0"/>
      <w:marRight w:val="0"/>
      <w:marTop w:val="0"/>
      <w:marBottom w:val="0"/>
      <w:divBdr>
        <w:top w:val="none" w:sz="0" w:space="0" w:color="auto"/>
        <w:left w:val="none" w:sz="0" w:space="0" w:color="auto"/>
        <w:bottom w:val="none" w:sz="0" w:space="0" w:color="auto"/>
        <w:right w:val="none" w:sz="0" w:space="0" w:color="auto"/>
      </w:divBdr>
    </w:div>
    <w:div w:id="1092817055">
      <w:bodyDiv w:val="1"/>
      <w:marLeft w:val="0"/>
      <w:marRight w:val="0"/>
      <w:marTop w:val="0"/>
      <w:marBottom w:val="0"/>
      <w:divBdr>
        <w:top w:val="none" w:sz="0" w:space="0" w:color="auto"/>
        <w:left w:val="none" w:sz="0" w:space="0" w:color="auto"/>
        <w:bottom w:val="none" w:sz="0" w:space="0" w:color="auto"/>
        <w:right w:val="none" w:sz="0" w:space="0" w:color="auto"/>
      </w:divBdr>
    </w:div>
    <w:div w:id="1110276199">
      <w:bodyDiv w:val="1"/>
      <w:marLeft w:val="0"/>
      <w:marRight w:val="0"/>
      <w:marTop w:val="0"/>
      <w:marBottom w:val="0"/>
      <w:divBdr>
        <w:top w:val="none" w:sz="0" w:space="0" w:color="auto"/>
        <w:left w:val="none" w:sz="0" w:space="0" w:color="auto"/>
        <w:bottom w:val="none" w:sz="0" w:space="0" w:color="auto"/>
        <w:right w:val="none" w:sz="0" w:space="0" w:color="auto"/>
      </w:divBdr>
    </w:div>
    <w:div w:id="1123226709">
      <w:bodyDiv w:val="1"/>
      <w:marLeft w:val="0"/>
      <w:marRight w:val="0"/>
      <w:marTop w:val="0"/>
      <w:marBottom w:val="0"/>
      <w:divBdr>
        <w:top w:val="none" w:sz="0" w:space="0" w:color="auto"/>
        <w:left w:val="none" w:sz="0" w:space="0" w:color="auto"/>
        <w:bottom w:val="none" w:sz="0" w:space="0" w:color="auto"/>
        <w:right w:val="none" w:sz="0" w:space="0" w:color="auto"/>
      </w:divBdr>
    </w:div>
    <w:div w:id="1129709914">
      <w:bodyDiv w:val="1"/>
      <w:marLeft w:val="0"/>
      <w:marRight w:val="0"/>
      <w:marTop w:val="0"/>
      <w:marBottom w:val="0"/>
      <w:divBdr>
        <w:top w:val="none" w:sz="0" w:space="0" w:color="auto"/>
        <w:left w:val="none" w:sz="0" w:space="0" w:color="auto"/>
        <w:bottom w:val="none" w:sz="0" w:space="0" w:color="auto"/>
        <w:right w:val="none" w:sz="0" w:space="0" w:color="auto"/>
      </w:divBdr>
    </w:div>
    <w:div w:id="1151948917">
      <w:bodyDiv w:val="1"/>
      <w:marLeft w:val="0"/>
      <w:marRight w:val="0"/>
      <w:marTop w:val="0"/>
      <w:marBottom w:val="0"/>
      <w:divBdr>
        <w:top w:val="none" w:sz="0" w:space="0" w:color="auto"/>
        <w:left w:val="none" w:sz="0" w:space="0" w:color="auto"/>
        <w:bottom w:val="none" w:sz="0" w:space="0" w:color="auto"/>
        <w:right w:val="none" w:sz="0" w:space="0" w:color="auto"/>
      </w:divBdr>
    </w:div>
    <w:div w:id="1160734296">
      <w:bodyDiv w:val="1"/>
      <w:marLeft w:val="0"/>
      <w:marRight w:val="0"/>
      <w:marTop w:val="0"/>
      <w:marBottom w:val="0"/>
      <w:divBdr>
        <w:top w:val="none" w:sz="0" w:space="0" w:color="auto"/>
        <w:left w:val="none" w:sz="0" w:space="0" w:color="auto"/>
        <w:bottom w:val="none" w:sz="0" w:space="0" w:color="auto"/>
        <w:right w:val="none" w:sz="0" w:space="0" w:color="auto"/>
      </w:divBdr>
    </w:div>
    <w:div w:id="1175614486">
      <w:bodyDiv w:val="1"/>
      <w:marLeft w:val="0"/>
      <w:marRight w:val="0"/>
      <w:marTop w:val="0"/>
      <w:marBottom w:val="0"/>
      <w:divBdr>
        <w:top w:val="none" w:sz="0" w:space="0" w:color="auto"/>
        <w:left w:val="none" w:sz="0" w:space="0" w:color="auto"/>
        <w:bottom w:val="none" w:sz="0" w:space="0" w:color="auto"/>
        <w:right w:val="none" w:sz="0" w:space="0" w:color="auto"/>
      </w:divBdr>
    </w:div>
    <w:div w:id="1180122426">
      <w:bodyDiv w:val="1"/>
      <w:marLeft w:val="0"/>
      <w:marRight w:val="0"/>
      <w:marTop w:val="0"/>
      <w:marBottom w:val="0"/>
      <w:divBdr>
        <w:top w:val="none" w:sz="0" w:space="0" w:color="auto"/>
        <w:left w:val="none" w:sz="0" w:space="0" w:color="auto"/>
        <w:bottom w:val="none" w:sz="0" w:space="0" w:color="auto"/>
        <w:right w:val="none" w:sz="0" w:space="0" w:color="auto"/>
      </w:divBdr>
    </w:div>
    <w:div w:id="1185166570">
      <w:bodyDiv w:val="1"/>
      <w:marLeft w:val="0"/>
      <w:marRight w:val="0"/>
      <w:marTop w:val="0"/>
      <w:marBottom w:val="0"/>
      <w:divBdr>
        <w:top w:val="none" w:sz="0" w:space="0" w:color="auto"/>
        <w:left w:val="none" w:sz="0" w:space="0" w:color="auto"/>
        <w:bottom w:val="none" w:sz="0" w:space="0" w:color="auto"/>
        <w:right w:val="none" w:sz="0" w:space="0" w:color="auto"/>
      </w:divBdr>
    </w:div>
    <w:div w:id="1192111500">
      <w:bodyDiv w:val="1"/>
      <w:marLeft w:val="0"/>
      <w:marRight w:val="0"/>
      <w:marTop w:val="0"/>
      <w:marBottom w:val="0"/>
      <w:divBdr>
        <w:top w:val="none" w:sz="0" w:space="0" w:color="auto"/>
        <w:left w:val="none" w:sz="0" w:space="0" w:color="auto"/>
        <w:bottom w:val="none" w:sz="0" w:space="0" w:color="auto"/>
        <w:right w:val="none" w:sz="0" w:space="0" w:color="auto"/>
      </w:divBdr>
    </w:div>
    <w:div w:id="1194225740">
      <w:bodyDiv w:val="1"/>
      <w:marLeft w:val="0"/>
      <w:marRight w:val="0"/>
      <w:marTop w:val="0"/>
      <w:marBottom w:val="0"/>
      <w:divBdr>
        <w:top w:val="none" w:sz="0" w:space="0" w:color="auto"/>
        <w:left w:val="none" w:sz="0" w:space="0" w:color="auto"/>
        <w:bottom w:val="none" w:sz="0" w:space="0" w:color="auto"/>
        <w:right w:val="none" w:sz="0" w:space="0" w:color="auto"/>
      </w:divBdr>
    </w:div>
    <w:div w:id="1197738843">
      <w:bodyDiv w:val="1"/>
      <w:marLeft w:val="0"/>
      <w:marRight w:val="0"/>
      <w:marTop w:val="0"/>
      <w:marBottom w:val="0"/>
      <w:divBdr>
        <w:top w:val="none" w:sz="0" w:space="0" w:color="auto"/>
        <w:left w:val="none" w:sz="0" w:space="0" w:color="auto"/>
        <w:bottom w:val="none" w:sz="0" w:space="0" w:color="auto"/>
        <w:right w:val="none" w:sz="0" w:space="0" w:color="auto"/>
      </w:divBdr>
    </w:div>
    <w:div w:id="1218905094">
      <w:bodyDiv w:val="1"/>
      <w:marLeft w:val="0"/>
      <w:marRight w:val="0"/>
      <w:marTop w:val="0"/>
      <w:marBottom w:val="0"/>
      <w:divBdr>
        <w:top w:val="none" w:sz="0" w:space="0" w:color="auto"/>
        <w:left w:val="none" w:sz="0" w:space="0" w:color="auto"/>
        <w:bottom w:val="none" w:sz="0" w:space="0" w:color="auto"/>
        <w:right w:val="none" w:sz="0" w:space="0" w:color="auto"/>
      </w:divBdr>
    </w:div>
    <w:div w:id="1232928981">
      <w:bodyDiv w:val="1"/>
      <w:marLeft w:val="0"/>
      <w:marRight w:val="0"/>
      <w:marTop w:val="0"/>
      <w:marBottom w:val="0"/>
      <w:divBdr>
        <w:top w:val="none" w:sz="0" w:space="0" w:color="auto"/>
        <w:left w:val="none" w:sz="0" w:space="0" w:color="auto"/>
        <w:bottom w:val="none" w:sz="0" w:space="0" w:color="auto"/>
        <w:right w:val="none" w:sz="0" w:space="0" w:color="auto"/>
      </w:divBdr>
    </w:div>
    <w:div w:id="1240209536">
      <w:bodyDiv w:val="1"/>
      <w:marLeft w:val="0"/>
      <w:marRight w:val="0"/>
      <w:marTop w:val="0"/>
      <w:marBottom w:val="0"/>
      <w:divBdr>
        <w:top w:val="none" w:sz="0" w:space="0" w:color="auto"/>
        <w:left w:val="none" w:sz="0" w:space="0" w:color="auto"/>
        <w:bottom w:val="none" w:sz="0" w:space="0" w:color="auto"/>
        <w:right w:val="none" w:sz="0" w:space="0" w:color="auto"/>
      </w:divBdr>
    </w:div>
    <w:div w:id="1242257483">
      <w:bodyDiv w:val="1"/>
      <w:marLeft w:val="0"/>
      <w:marRight w:val="0"/>
      <w:marTop w:val="0"/>
      <w:marBottom w:val="0"/>
      <w:divBdr>
        <w:top w:val="none" w:sz="0" w:space="0" w:color="auto"/>
        <w:left w:val="none" w:sz="0" w:space="0" w:color="auto"/>
        <w:bottom w:val="none" w:sz="0" w:space="0" w:color="auto"/>
        <w:right w:val="none" w:sz="0" w:space="0" w:color="auto"/>
      </w:divBdr>
    </w:div>
    <w:div w:id="1244946977">
      <w:bodyDiv w:val="1"/>
      <w:marLeft w:val="0"/>
      <w:marRight w:val="0"/>
      <w:marTop w:val="0"/>
      <w:marBottom w:val="0"/>
      <w:divBdr>
        <w:top w:val="none" w:sz="0" w:space="0" w:color="auto"/>
        <w:left w:val="none" w:sz="0" w:space="0" w:color="auto"/>
        <w:bottom w:val="none" w:sz="0" w:space="0" w:color="auto"/>
        <w:right w:val="none" w:sz="0" w:space="0" w:color="auto"/>
      </w:divBdr>
    </w:div>
    <w:div w:id="1246836859">
      <w:bodyDiv w:val="1"/>
      <w:marLeft w:val="0"/>
      <w:marRight w:val="0"/>
      <w:marTop w:val="0"/>
      <w:marBottom w:val="0"/>
      <w:divBdr>
        <w:top w:val="none" w:sz="0" w:space="0" w:color="auto"/>
        <w:left w:val="none" w:sz="0" w:space="0" w:color="auto"/>
        <w:bottom w:val="none" w:sz="0" w:space="0" w:color="auto"/>
        <w:right w:val="none" w:sz="0" w:space="0" w:color="auto"/>
      </w:divBdr>
    </w:div>
    <w:div w:id="1248005424">
      <w:bodyDiv w:val="1"/>
      <w:marLeft w:val="0"/>
      <w:marRight w:val="0"/>
      <w:marTop w:val="0"/>
      <w:marBottom w:val="0"/>
      <w:divBdr>
        <w:top w:val="none" w:sz="0" w:space="0" w:color="auto"/>
        <w:left w:val="none" w:sz="0" w:space="0" w:color="auto"/>
        <w:bottom w:val="none" w:sz="0" w:space="0" w:color="auto"/>
        <w:right w:val="none" w:sz="0" w:space="0" w:color="auto"/>
      </w:divBdr>
    </w:div>
    <w:div w:id="1256981985">
      <w:bodyDiv w:val="1"/>
      <w:marLeft w:val="0"/>
      <w:marRight w:val="0"/>
      <w:marTop w:val="0"/>
      <w:marBottom w:val="0"/>
      <w:divBdr>
        <w:top w:val="none" w:sz="0" w:space="0" w:color="auto"/>
        <w:left w:val="none" w:sz="0" w:space="0" w:color="auto"/>
        <w:bottom w:val="none" w:sz="0" w:space="0" w:color="auto"/>
        <w:right w:val="none" w:sz="0" w:space="0" w:color="auto"/>
      </w:divBdr>
    </w:div>
    <w:div w:id="1257978351">
      <w:bodyDiv w:val="1"/>
      <w:marLeft w:val="0"/>
      <w:marRight w:val="0"/>
      <w:marTop w:val="0"/>
      <w:marBottom w:val="0"/>
      <w:divBdr>
        <w:top w:val="none" w:sz="0" w:space="0" w:color="auto"/>
        <w:left w:val="none" w:sz="0" w:space="0" w:color="auto"/>
        <w:bottom w:val="none" w:sz="0" w:space="0" w:color="auto"/>
        <w:right w:val="none" w:sz="0" w:space="0" w:color="auto"/>
      </w:divBdr>
    </w:div>
    <w:div w:id="1270577398">
      <w:bodyDiv w:val="1"/>
      <w:marLeft w:val="0"/>
      <w:marRight w:val="0"/>
      <w:marTop w:val="0"/>
      <w:marBottom w:val="0"/>
      <w:divBdr>
        <w:top w:val="none" w:sz="0" w:space="0" w:color="auto"/>
        <w:left w:val="none" w:sz="0" w:space="0" w:color="auto"/>
        <w:bottom w:val="none" w:sz="0" w:space="0" w:color="auto"/>
        <w:right w:val="none" w:sz="0" w:space="0" w:color="auto"/>
      </w:divBdr>
    </w:div>
    <w:div w:id="1276526093">
      <w:bodyDiv w:val="1"/>
      <w:marLeft w:val="0"/>
      <w:marRight w:val="0"/>
      <w:marTop w:val="0"/>
      <w:marBottom w:val="0"/>
      <w:divBdr>
        <w:top w:val="none" w:sz="0" w:space="0" w:color="auto"/>
        <w:left w:val="none" w:sz="0" w:space="0" w:color="auto"/>
        <w:bottom w:val="none" w:sz="0" w:space="0" w:color="auto"/>
        <w:right w:val="none" w:sz="0" w:space="0" w:color="auto"/>
      </w:divBdr>
    </w:div>
    <w:div w:id="1279138138">
      <w:bodyDiv w:val="1"/>
      <w:marLeft w:val="0"/>
      <w:marRight w:val="0"/>
      <w:marTop w:val="0"/>
      <w:marBottom w:val="0"/>
      <w:divBdr>
        <w:top w:val="none" w:sz="0" w:space="0" w:color="auto"/>
        <w:left w:val="none" w:sz="0" w:space="0" w:color="auto"/>
        <w:bottom w:val="none" w:sz="0" w:space="0" w:color="auto"/>
        <w:right w:val="none" w:sz="0" w:space="0" w:color="auto"/>
      </w:divBdr>
    </w:div>
    <w:div w:id="1286083731">
      <w:bodyDiv w:val="1"/>
      <w:marLeft w:val="0"/>
      <w:marRight w:val="0"/>
      <w:marTop w:val="0"/>
      <w:marBottom w:val="0"/>
      <w:divBdr>
        <w:top w:val="none" w:sz="0" w:space="0" w:color="auto"/>
        <w:left w:val="none" w:sz="0" w:space="0" w:color="auto"/>
        <w:bottom w:val="none" w:sz="0" w:space="0" w:color="auto"/>
        <w:right w:val="none" w:sz="0" w:space="0" w:color="auto"/>
      </w:divBdr>
    </w:div>
    <w:div w:id="1295061649">
      <w:bodyDiv w:val="1"/>
      <w:marLeft w:val="0"/>
      <w:marRight w:val="0"/>
      <w:marTop w:val="0"/>
      <w:marBottom w:val="0"/>
      <w:divBdr>
        <w:top w:val="none" w:sz="0" w:space="0" w:color="auto"/>
        <w:left w:val="none" w:sz="0" w:space="0" w:color="auto"/>
        <w:bottom w:val="none" w:sz="0" w:space="0" w:color="auto"/>
        <w:right w:val="none" w:sz="0" w:space="0" w:color="auto"/>
      </w:divBdr>
    </w:div>
    <w:div w:id="1330864747">
      <w:bodyDiv w:val="1"/>
      <w:marLeft w:val="0"/>
      <w:marRight w:val="0"/>
      <w:marTop w:val="0"/>
      <w:marBottom w:val="0"/>
      <w:divBdr>
        <w:top w:val="none" w:sz="0" w:space="0" w:color="auto"/>
        <w:left w:val="none" w:sz="0" w:space="0" w:color="auto"/>
        <w:bottom w:val="none" w:sz="0" w:space="0" w:color="auto"/>
        <w:right w:val="none" w:sz="0" w:space="0" w:color="auto"/>
      </w:divBdr>
    </w:div>
    <w:div w:id="1361318198">
      <w:bodyDiv w:val="1"/>
      <w:marLeft w:val="0"/>
      <w:marRight w:val="0"/>
      <w:marTop w:val="0"/>
      <w:marBottom w:val="0"/>
      <w:divBdr>
        <w:top w:val="none" w:sz="0" w:space="0" w:color="auto"/>
        <w:left w:val="none" w:sz="0" w:space="0" w:color="auto"/>
        <w:bottom w:val="none" w:sz="0" w:space="0" w:color="auto"/>
        <w:right w:val="none" w:sz="0" w:space="0" w:color="auto"/>
      </w:divBdr>
    </w:div>
    <w:div w:id="1364747498">
      <w:bodyDiv w:val="1"/>
      <w:marLeft w:val="0"/>
      <w:marRight w:val="0"/>
      <w:marTop w:val="0"/>
      <w:marBottom w:val="0"/>
      <w:divBdr>
        <w:top w:val="none" w:sz="0" w:space="0" w:color="auto"/>
        <w:left w:val="none" w:sz="0" w:space="0" w:color="auto"/>
        <w:bottom w:val="none" w:sz="0" w:space="0" w:color="auto"/>
        <w:right w:val="none" w:sz="0" w:space="0" w:color="auto"/>
      </w:divBdr>
    </w:div>
    <w:div w:id="1372145072">
      <w:bodyDiv w:val="1"/>
      <w:marLeft w:val="0"/>
      <w:marRight w:val="0"/>
      <w:marTop w:val="0"/>
      <w:marBottom w:val="0"/>
      <w:divBdr>
        <w:top w:val="none" w:sz="0" w:space="0" w:color="auto"/>
        <w:left w:val="none" w:sz="0" w:space="0" w:color="auto"/>
        <w:bottom w:val="none" w:sz="0" w:space="0" w:color="auto"/>
        <w:right w:val="none" w:sz="0" w:space="0" w:color="auto"/>
      </w:divBdr>
    </w:div>
    <w:div w:id="1375498015">
      <w:bodyDiv w:val="1"/>
      <w:marLeft w:val="0"/>
      <w:marRight w:val="0"/>
      <w:marTop w:val="0"/>
      <w:marBottom w:val="0"/>
      <w:divBdr>
        <w:top w:val="none" w:sz="0" w:space="0" w:color="auto"/>
        <w:left w:val="none" w:sz="0" w:space="0" w:color="auto"/>
        <w:bottom w:val="none" w:sz="0" w:space="0" w:color="auto"/>
        <w:right w:val="none" w:sz="0" w:space="0" w:color="auto"/>
      </w:divBdr>
    </w:div>
    <w:div w:id="1385521541">
      <w:bodyDiv w:val="1"/>
      <w:marLeft w:val="0"/>
      <w:marRight w:val="0"/>
      <w:marTop w:val="0"/>
      <w:marBottom w:val="0"/>
      <w:divBdr>
        <w:top w:val="none" w:sz="0" w:space="0" w:color="auto"/>
        <w:left w:val="none" w:sz="0" w:space="0" w:color="auto"/>
        <w:bottom w:val="none" w:sz="0" w:space="0" w:color="auto"/>
        <w:right w:val="none" w:sz="0" w:space="0" w:color="auto"/>
      </w:divBdr>
    </w:div>
    <w:div w:id="1404139113">
      <w:bodyDiv w:val="1"/>
      <w:marLeft w:val="0"/>
      <w:marRight w:val="0"/>
      <w:marTop w:val="0"/>
      <w:marBottom w:val="0"/>
      <w:divBdr>
        <w:top w:val="none" w:sz="0" w:space="0" w:color="auto"/>
        <w:left w:val="none" w:sz="0" w:space="0" w:color="auto"/>
        <w:bottom w:val="none" w:sz="0" w:space="0" w:color="auto"/>
        <w:right w:val="none" w:sz="0" w:space="0" w:color="auto"/>
      </w:divBdr>
      <w:divsChild>
        <w:div w:id="1905868790">
          <w:marLeft w:val="835"/>
          <w:marRight w:val="0"/>
          <w:marTop w:val="58"/>
          <w:marBottom w:val="58"/>
          <w:divBdr>
            <w:top w:val="none" w:sz="0" w:space="0" w:color="auto"/>
            <w:left w:val="none" w:sz="0" w:space="0" w:color="auto"/>
            <w:bottom w:val="none" w:sz="0" w:space="0" w:color="auto"/>
            <w:right w:val="none" w:sz="0" w:space="0" w:color="auto"/>
          </w:divBdr>
        </w:div>
      </w:divsChild>
    </w:div>
    <w:div w:id="1406993491">
      <w:bodyDiv w:val="1"/>
      <w:marLeft w:val="0"/>
      <w:marRight w:val="0"/>
      <w:marTop w:val="0"/>
      <w:marBottom w:val="0"/>
      <w:divBdr>
        <w:top w:val="none" w:sz="0" w:space="0" w:color="auto"/>
        <w:left w:val="none" w:sz="0" w:space="0" w:color="auto"/>
        <w:bottom w:val="none" w:sz="0" w:space="0" w:color="auto"/>
        <w:right w:val="none" w:sz="0" w:space="0" w:color="auto"/>
      </w:divBdr>
    </w:div>
    <w:div w:id="1406997175">
      <w:bodyDiv w:val="1"/>
      <w:marLeft w:val="0"/>
      <w:marRight w:val="0"/>
      <w:marTop w:val="0"/>
      <w:marBottom w:val="0"/>
      <w:divBdr>
        <w:top w:val="none" w:sz="0" w:space="0" w:color="auto"/>
        <w:left w:val="none" w:sz="0" w:space="0" w:color="auto"/>
        <w:bottom w:val="none" w:sz="0" w:space="0" w:color="auto"/>
        <w:right w:val="none" w:sz="0" w:space="0" w:color="auto"/>
      </w:divBdr>
    </w:div>
    <w:div w:id="1407219187">
      <w:bodyDiv w:val="1"/>
      <w:marLeft w:val="0"/>
      <w:marRight w:val="0"/>
      <w:marTop w:val="0"/>
      <w:marBottom w:val="0"/>
      <w:divBdr>
        <w:top w:val="none" w:sz="0" w:space="0" w:color="auto"/>
        <w:left w:val="none" w:sz="0" w:space="0" w:color="auto"/>
        <w:bottom w:val="none" w:sz="0" w:space="0" w:color="auto"/>
        <w:right w:val="none" w:sz="0" w:space="0" w:color="auto"/>
      </w:divBdr>
    </w:div>
    <w:div w:id="1437672304">
      <w:bodyDiv w:val="1"/>
      <w:marLeft w:val="0"/>
      <w:marRight w:val="0"/>
      <w:marTop w:val="0"/>
      <w:marBottom w:val="0"/>
      <w:divBdr>
        <w:top w:val="none" w:sz="0" w:space="0" w:color="auto"/>
        <w:left w:val="none" w:sz="0" w:space="0" w:color="auto"/>
        <w:bottom w:val="none" w:sz="0" w:space="0" w:color="auto"/>
        <w:right w:val="none" w:sz="0" w:space="0" w:color="auto"/>
      </w:divBdr>
    </w:div>
    <w:div w:id="1438597123">
      <w:bodyDiv w:val="1"/>
      <w:marLeft w:val="0"/>
      <w:marRight w:val="0"/>
      <w:marTop w:val="0"/>
      <w:marBottom w:val="0"/>
      <w:divBdr>
        <w:top w:val="none" w:sz="0" w:space="0" w:color="auto"/>
        <w:left w:val="none" w:sz="0" w:space="0" w:color="auto"/>
        <w:bottom w:val="none" w:sz="0" w:space="0" w:color="auto"/>
        <w:right w:val="none" w:sz="0" w:space="0" w:color="auto"/>
      </w:divBdr>
    </w:div>
    <w:div w:id="1443914842">
      <w:bodyDiv w:val="1"/>
      <w:marLeft w:val="0"/>
      <w:marRight w:val="0"/>
      <w:marTop w:val="0"/>
      <w:marBottom w:val="0"/>
      <w:divBdr>
        <w:top w:val="none" w:sz="0" w:space="0" w:color="auto"/>
        <w:left w:val="none" w:sz="0" w:space="0" w:color="auto"/>
        <w:bottom w:val="none" w:sz="0" w:space="0" w:color="auto"/>
        <w:right w:val="none" w:sz="0" w:space="0" w:color="auto"/>
      </w:divBdr>
    </w:div>
    <w:div w:id="1450007859">
      <w:bodyDiv w:val="1"/>
      <w:marLeft w:val="0"/>
      <w:marRight w:val="0"/>
      <w:marTop w:val="0"/>
      <w:marBottom w:val="0"/>
      <w:divBdr>
        <w:top w:val="none" w:sz="0" w:space="0" w:color="auto"/>
        <w:left w:val="none" w:sz="0" w:space="0" w:color="auto"/>
        <w:bottom w:val="none" w:sz="0" w:space="0" w:color="auto"/>
        <w:right w:val="none" w:sz="0" w:space="0" w:color="auto"/>
      </w:divBdr>
    </w:div>
    <w:div w:id="1457023215">
      <w:bodyDiv w:val="1"/>
      <w:marLeft w:val="0"/>
      <w:marRight w:val="0"/>
      <w:marTop w:val="0"/>
      <w:marBottom w:val="0"/>
      <w:divBdr>
        <w:top w:val="none" w:sz="0" w:space="0" w:color="auto"/>
        <w:left w:val="none" w:sz="0" w:space="0" w:color="auto"/>
        <w:bottom w:val="none" w:sz="0" w:space="0" w:color="auto"/>
        <w:right w:val="none" w:sz="0" w:space="0" w:color="auto"/>
      </w:divBdr>
    </w:div>
    <w:div w:id="1457287655">
      <w:bodyDiv w:val="1"/>
      <w:marLeft w:val="0"/>
      <w:marRight w:val="0"/>
      <w:marTop w:val="0"/>
      <w:marBottom w:val="0"/>
      <w:divBdr>
        <w:top w:val="none" w:sz="0" w:space="0" w:color="auto"/>
        <w:left w:val="none" w:sz="0" w:space="0" w:color="auto"/>
        <w:bottom w:val="none" w:sz="0" w:space="0" w:color="auto"/>
        <w:right w:val="none" w:sz="0" w:space="0" w:color="auto"/>
      </w:divBdr>
    </w:div>
    <w:div w:id="1465734180">
      <w:bodyDiv w:val="1"/>
      <w:marLeft w:val="0"/>
      <w:marRight w:val="0"/>
      <w:marTop w:val="0"/>
      <w:marBottom w:val="0"/>
      <w:divBdr>
        <w:top w:val="none" w:sz="0" w:space="0" w:color="auto"/>
        <w:left w:val="none" w:sz="0" w:space="0" w:color="auto"/>
        <w:bottom w:val="none" w:sz="0" w:space="0" w:color="auto"/>
        <w:right w:val="none" w:sz="0" w:space="0" w:color="auto"/>
      </w:divBdr>
    </w:div>
    <w:div w:id="1475830867">
      <w:bodyDiv w:val="1"/>
      <w:marLeft w:val="0"/>
      <w:marRight w:val="0"/>
      <w:marTop w:val="0"/>
      <w:marBottom w:val="0"/>
      <w:divBdr>
        <w:top w:val="none" w:sz="0" w:space="0" w:color="auto"/>
        <w:left w:val="none" w:sz="0" w:space="0" w:color="auto"/>
        <w:bottom w:val="none" w:sz="0" w:space="0" w:color="auto"/>
        <w:right w:val="none" w:sz="0" w:space="0" w:color="auto"/>
      </w:divBdr>
    </w:div>
    <w:div w:id="1488590214">
      <w:bodyDiv w:val="1"/>
      <w:marLeft w:val="0"/>
      <w:marRight w:val="0"/>
      <w:marTop w:val="0"/>
      <w:marBottom w:val="0"/>
      <w:divBdr>
        <w:top w:val="none" w:sz="0" w:space="0" w:color="auto"/>
        <w:left w:val="none" w:sz="0" w:space="0" w:color="auto"/>
        <w:bottom w:val="none" w:sz="0" w:space="0" w:color="auto"/>
        <w:right w:val="none" w:sz="0" w:space="0" w:color="auto"/>
      </w:divBdr>
    </w:div>
    <w:div w:id="1501920314">
      <w:bodyDiv w:val="1"/>
      <w:marLeft w:val="0"/>
      <w:marRight w:val="0"/>
      <w:marTop w:val="0"/>
      <w:marBottom w:val="0"/>
      <w:divBdr>
        <w:top w:val="none" w:sz="0" w:space="0" w:color="auto"/>
        <w:left w:val="none" w:sz="0" w:space="0" w:color="auto"/>
        <w:bottom w:val="none" w:sz="0" w:space="0" w:color="auto"/>
        <w:right w:val="none" w:sz="0" w:space="0" w:color="auto"/>
      </w:divBdr>
    </w:div>
    <w:div w:id="1504009312">
      <w:bodyDiv w:val="1"/>
      <w:marLeft w:val="0"/>
      <w:marRight w:val="0"/>
      <w:marTop w:val="0"/>
      <w:marBottom w:val="0"/>
      <w:divBdr>
        <w:top w:val="none" w:sz="0" w:space="0" w:color="auto"/>
        <w:left w:val="none" w:sz="0" w:space="0" w:color="auto"/>
        <w:bottom w:val="none" w:sz="0" w:space="0" w:color="auto"/>
        <w:right w:val="none" w:sz="0" w:space="0" w:color="auto"/>
      </w:divBdr>
    </w:div>
    <w:div w:id="1504930357">
      <w:bodyDiv w:val="1"/>
      <w:marLeft w:val="0"/>
      <w:marRight w:val="0"/>
      <w:marTop w:val="0"/>
      <w:marBottom w:val="0"/>
      <w:divBdr>
        <w:top w:val="none" w:sz="0" w:space="0" w:color="auto"/>
        <w:left w:val="none" w:sz="0" w:space="0" w:color="auto"/>
        <w:bottom w:val="none" w:sz="0" w:space="0" w:color="auto"/>
        <w:right w:val="none" w:sz="0" w:space="0" w:color="auto"/>
      </w:divBdr>
    </w:div>
    <w:div w:id="1537935577">
      <w:bodyDiv w:val="1"/>
      <w:marLeft w:val="0"/>
      <w:marRight w:val="0"/>
      <w:marTop w:val="0"/>
      <w:marBottom w:val="0"/>
      <w:divBdr>
        <w:top w:val="none" w:sz="0" w:space="0" w:color="auto"/>
        <w:left w:val="none" w:sz="0" w:space="0" w:color="auto"/>
        <w:bottom w:val="none" w:sz="0" w:space="0" w:color="auto"/>
        <w:right w:val="none" w:sz="0" w:space="0" w:color="auto"/>
      </w:divBdr>
    </w:div>
    <w:div w:id="1543522083">
      <w:bodyDiv w:val="1"/>
      <w:marLeft w:val="0"/>
      <w:marRight w:val="0"/>
      <w:marTop w:val="0"/>
      <w:marBottom w:val="0"/>
      <w:divBdr>
        <w:top w:val="none" w:sz="0" w:space="0" w:color="auto"/>
        <w:left w:val="none" w:sz="0" w:space="0" w:color="auto"/>
        <w:bottom w:val="none" w:sz="0" w:space="0" w:color="auto"/>
        <w:right w:val="none" w:sz="0" w:space="0" w:color="auto"/>
      </w:divBdr>
    </w:div>
    <w:div w:id="1549612186">
      <w:bodyDiv w:val="1"/>
      <w:marLeft w:val="0"/>
      <w:marRight w:val="0"/>
      <w:marTop w:val="0"/>
      <w:marBottom w:val="0"/>
      <w:divBdr>
        <w:top w:val="none" w:sz="0" w:space="0" w:color="auto"/>
        <w:left w:val="none" w:sz="0" w:space="0" w:color="auto"/>
        <w:bottom w:val="none" w:sz="0" w:space="0" w:color="auto"/>
        <w:right w:val="none" w:sz="0" w:space="0" w:color="auto"/>
      </w:divBdr>
    </w:div>
    <w:div w:id="1554581765">
      <w:bodyDiv w:val="1"/>
      <w:marLeft w:val="0"/>
      <w:marRight w:val="0"/>
      <w:marTop w:val="0"/>
      <w:marBottom w:val="0"/>
      <w:divBdr>
        <w:top w:val="none" w:sz="0" w:space="0" w:color="auto"/>
        <w:left w:val="none" w:sz="0" w:space="0" w:color="auto"/>
        <w:bottom w:val="none" w:sz="0" w:space="0" w:color="auto"/>
        <w:right w:val="none" w:sz="0" w:space="0" w:color="auto"/>
      </w:divBdr>
    </w:div>
    <w:div w:id="1563062565">
      <w:bodyDiv w:val="1"/>
      <w:marLeft w:val="0"/>
      <w:marRight w:val="0"/>
      <w:marTop w:val="0"/>
      <w:marBottom w:val="0"/>
      <w:divBdr>
        <w:top w:val="none" w:sz="0" w:space="0" w:color="auto"/>
        <w:left w:val="none" w:sz="0" w:space="0" w:color="auto"/>
        <w:bottom w:val="none" w:sz="0" w:space="0" w:color="auto"/>
        <w:right w:val="none" w:sz="0" w:space="0" w:color="auto"/>
      </w:divBdr>
    </w:div>
    <w:div w:id="1567296447">
      <w:bodyDiv w:val="1"/>
      <w:marLeft w:val="0"/>
      <w:marRight w:val="0"/>
      <w:marTop w:val="0"/>
      <w:marBottom w:val="0"/>
      <w:divBdr>
        <w:top w:val="none" w:sz="0" w:space="0" w:color="auto"/>
        <w:left w:val="none" w:sz="0" w:space="0" w:color="auto"/>
        <w:bottom w:val="none" w:sz="0" w:space="0" w:color="auto"/>
        <w:right w:val="none" w:sz="0" w:space="0" w:color="auto"/>
      </w:divBdr>
    </w:div>
    <w:div w:id="1569262239">
      <w:bodyDiv w:val="1"/>
      <w:marLeft w:val="0"/>
      <w:marRight w:val="0"/>
      <w:marTop w:val="0"/>
      <w:marBottom w:val="0"/>
      <w:divBdr>
        <w:top w:val="none" w:sz="0" w:space="0" w:color="auto"/>
        <w:left w:val="none" w:sz="0" w:space="0" w:color="auto"/>
        <w:bottom w:val="none" w:sz="0" w:space="0" w:color="auto"/>
        <w:right w:val="none" w:sz="0" w:space="0" w:color="auto"/>
      </w:divBdr>
    </w:div>
    <w:div w:id="1578592299">
      <w:bodyDiv w:val="1"/>
      <w:marLeft w:val="0"/>
      <w:marRight w:val="0"/>
      <w:marTop w:val="0"/>
      <w:marBottom w:val="0"/>
      <w:divBdr>
        <w:top w:val="none" w:sz="0" w:space="0" w:color="auto"/>
        <w:left w:val="none" w:sz="0" w:space="0" w:color="auto"/>
        <w:bottom w:val="none" w:sz="0" w:space="0" w:color="auto"/>
        <w:right w:val="none" w:sz="0" w:space="0" w:color="auto"/>
      </w:divBdr>
    </w:div>
    <w:div w:id="1584992690">
      <w:bodyDiv w:val="1"/>
      <w:marLeft w:val="0"/>
      <w:marRight w:val="0"/>
      <w:marTop w:val="0"/>
      <w:marBottom w:val="0"/>
      <w:divBdr>
        <w:top w:val="none" w:sz="0" w:space="0" w:color="auto"/>
        <w:left w:val="none" w:sz="0" w:space="0" w:color="auto"/>
        <w:bottom w:val="none" w:sz="0" w:space="0" w:color="auto"/>
        <w:right w:val="none" w:sz="0" w:space="0" w:color="auto"/>
      </w:divBdr>
    </w:div>
    <w:div w:id="1595043899">
      <w:bodyDiv w:val="1"/>
      <w:marLeft w:val="0"/>
      <w:marRight w:val="0"/>
      <w:marTop w:val="0"/>
      <w:marBottom w:val="0"/>
      <w:divBdr>
        <w:top w:val="none" w:sz="0" w:space="0" w:color="auto"/>
        <w:left w:val="none" w:sz="0" w:space="0" w:color="auto"/>
        <w:bottom w:val="none" w:sz="0" w:space="0" w:color="auto"/>
        <w:right w:val="none" w:sz="0" w:space="0" w:color="auto"/>
      </w:divBdr>
    </w:div>
    <w:div w:id="1606575257">
      <w:bodyDiv w:val="1"/>
      <w:marLeft w:val="0"/>
      <w:marRight w:val="0"/>
      <w:marTop w:val="0"/>
      <w:marBottom w:val="0"/>
      <w:divBdr>
        <w:top w:val="none" w:sz="0" w:space="0" w:color="auto"/>
        <w:left w:val="none" w:sz="0" w:space="0" w:color="auto"/>
        <w:bottom w:val="none" w:sz="0" w:space="0" w:color="auto"/>
        <w:right w:val="none" w:sz="0" w:space="0" w:color="auto"/>
      </w:divBdr>
    </w:div>
    <w:div w:id="1617374129">
      <w:bodyDiv w:val="1"/>
      <w:marLeft w:val="0"/>
      <w:marRight w:val="0"/>
      <w:marTop w:val="0"/>
      <w:marBottom w:val="0"/>
      <w:divBdr>
        <w:top w:val="none" w:sz="0" w:space="0" w:color="auto"/>
        <w:left w:val="none" w:sz="0" w:space="0" w:color="auto"/>
        <w:bottom w:val="none" w:sz="0" w:space="0" w:color="auto"/>
        <w:right w:val="none" w:sz="0" w:space="0" w:color="auto"/>
      </w:divBdr>
    </w:div>
    <w:div w:id="1631323320">
      <w:bodyDiv w:val="1"/>
      <w:marLeft w:val="0"/>
      <w:marRight w:val="0"/>
      <w:marTop w:val="0"/>
      <w:marBottom w:val="0"/>
      <w:divBdr>
        <w:top w:val="none" w:sz="0" w:space="0" w:color="auto"/>
        <w:left w:val="none" w:sz="0" w:space="0" w:color="auto"/>
        <w:bottom w:val="none" w:sz="0" w:space="0" w:color="auto"/>
        <w:right w:val="none" w:sz="0" w:space="0" w:color="auto"/>
      </w:divBdr>
    </w:div>
    <w:div w:id="1631933153">
      <w:bodyDiv w:val="1"/>
      <w:marLeft w:val="0"/>
      <w:marRight w:val="0"/>
      <w:marTop w:val="0"/>
      <w:marBottom w:val="0"/>
      <w:divBdr>
        <w:top w:val="none" w:sz="0" w:space="0" w:color="auto"/>
        <w:left w:val="none" w:sz="0" w:space="0" w:color="auto"/>
        <w:bottom w:val="none" w:sz="0" w:space="0" w:color="auto"/>
        <w:right w:val="none" w:sz="0" w:space="0" w:color="auto"/>
      </w:divBdr>
    </w:div>
    <w:div w:id="1635139978">
      <w:bodyDiv w:val="1"/>
      <w:marLeft w:val="0"/>
      <w:marRight w:val="0"/>
      <w:marTop w:val="0"/>
      <w:marBottom w:val="0"/>
      <w:divBdr>
        <w:top w:val="none" w:sz="0" w:space="0" w:color="auto"/>
        <w:left w:val="none" w:sz="0" w:space="0" w:color="auto"/>
        <w:bottom w:val="none" w:sz="0" w:space="0" w:color="auto"/>
        <w:right w:val="none" w:sz="0" w:space="0" w:color="auto"/>
      </w:divBdr>
    </w:div>
    <w:div w:id="1637023931">
      <w:bodyDiv w:val="1"/>
      <w:marLeft w:val="0"/>
      <w:marRight w:val="0"/>
      <w:marTop w:val="0"/>
      <w:marBottom w:val="0"/>
      <w:divBdr>
        <w:top w:val="none" w:sz="0" w:space="0" w:color="auto"/>
        <w:left w:val="none" w:sz="0" w:space="0" w:color="auto"/>
        <w:bottom w:val="none" w:sz="0" w:space="0" w:color="auto"/>
        <w:right w:val="none" w:sz="0" w:space="0" w:color="auto"/>
      </w:divBdr>
    </w:div>
    <w:div w:id="1661041246">
      <w:bodyDiv w:val="1"/>
      <w:marLeft w:val="0"/>
      <w:marRight w:val="0"/>
      <w:marTop w:val="0"/>
      <w:marBottom w:val="0"/>
      <w:divBdr>
        <w:top w:val="none" w:sz="0" w:space="0" w:color="auto"/>
        <w:left w:val="none" w:sz="0" w:space="0" w:color="auto"/>
        <w:bottom w:val="none" w:sz="0" w:space="0" w:color="auto"/>
        <w:right w:val="none" w:sz="0" w:space="0" w:color="auto"/>
      </w:divBdr>
    </w:div>
    <w:div w:id="1678076719">
      <w:bodyDiv w:val="1"/>
      <w:marLeft w:val="0"/>
      <w:marRight w:val="0"/>
      <w:marTop w:val="0"/>
      <w:marBottom w:val="0"/>
      <w:divBdr>
        <w:top w:val="none" w:sz="0" w:space="0" w:color="auto"/>
        <w:left w:val="none" w:sz="0" w:space="0" w:color="auto"/>
        <w:bottom w:val="none" w:sz="0" w:space="0" w:color="auto"/>
        <w:right w:val="none" w:sz="0" w:space="0" w:color="auto"/>
      </w:divBdr>
    </w:div>
    <w:div w:id="1684743988">
      <w:bodyDiv w:val="1"/>
      <w:marLeft w:val="0"/>
      <w:marRight w:val="0"/>
      <w:marTop w:val="0"/>
      <w:marBottom w:val="0"/>
      <w:divBdr>
        <w:top w:val="none" w:sz="0" w:space="0" w:color="auto"/>
        <w:left w:val="none" w:sz="0" w:space="0" w:color="auto"/>
        <w:bottom w:val="none" w:sz="0" w:space="0" w:color="auto"/>
        <w:right w:val="none" w:sz="0" w:space="0" w:color="auto"/>
      </w:divBdr>
    </w:div>
    <w:div w:id="1687832343">
      <w:bodyDiv w:val="1"/>
      <w:marLeft w:val="0"/>
      <w:marRight w:val="0"/>
      <w:marTop w:val="0"/>
      <w:marBottom w:val="0"/>
      <w:divBdr>
        <w:top w:val="none" w:sz="0" w:space="0" w:color="auto"/>
        <w:left w:val="none" w:sz="0" w:space="0" w:color="auto"/>
        <w:bottom w:val="none" w:sz="0" w:space="0" w:color="auto"/>
        <w:right w:val="none" w:sz="0" w:space="0" w:color="auto"/>
      </w:divBdr>
    </w:div>
    <w:div w:id="1694839691">
      <w:bodyDiv w:val="1"/>
      <w:marLeft w:val="0"/>
      <w:marRight w:val="0"/>
      <w:marTop w:val="0"/>
      <w:marBottom w:val="0"/>
      <w:divBdr>
        <w:top w:val="none" w:sz="0" w:space="0" w:color="auto"/>
        <w:left w:val="none" w:sz="0" w:space="0" w:color="auto"/>
        <w:bottom w:val="none" w:sz="0" w:space="0" w:color="auto"/>
        <w:right w:val="none" w:sz="0" w:space="0" w:color="auto"/>
      </w:divBdr>
    </w:div>
    <w:div w:id="1727484247">
      <w:bodyDiv w:val="1"/>
      <w:marLeft w:val="0"/>
      <w:marRight w:val="0"/>
      <w:marTop w:val="0"/>
      <w:marBottom w:val="0"/>
      <w:divBdr>
        <w:top w:val="none" w:sz="0" w:space="0" w:color="auto"/>
        <w:left w:val="none" w:sz="0" w:space="0" w:color="auto"/>
        <w:bottom w:val="none" w:sz="0" w:space="0" w:color="auto"/>
        <w:right w:val="none" w:sz="0" w:space="0" w:color="auto"/>
      </w:divBdr>
    </w:div>
    <w:div w:id="1736582509">
      <w:bodyDiv w:val="1"/>
      <w:marLeft w:val="0"/>
      <w:marRight w:val="0"/>
      <w:marTop w:val="0"/>
      <w:marBottom w:val="0"/>
      <w:divBdr>
        <w:top w:val="none" w:sz="0" w:space="0" w:color="auto"/>
        <w:left w:val="none" w:sz="0" w:space="0" w:color="auto"/>
        <w:bottom w:val="none" w:sz="0" w:space="0" w:color="auto"/>
        <w:right w:val="none" w:sz="0" w:space="0" w:color="auto"/>
      </w:divBdr>
    </w:div>
    <w:div w:id="1800952795">
      <w:bodyDiv w:val="1"/>
      <w:marLeft w:val="0"/>
      <w:marRight w:val="0"/>
      <w:marTop w:val="0"/>
      <w:marBottom w:val="0"/>
      <w:divBdr>
        <w:top w:val="none" w:sz="0" w:space="0" w:color="auto"/>
        <w:left w:val="none" w:sz="0" w:space="0" w:color="auto"/>
        <w:bottom w:val="none" w:sz="0" w:space="0" w:color="auto"/>
        <w:right w:val="none" w:sz="0" w:space="0" w:color="auto"/>
      </w:divBdr>
    </w:div>
    <w:div w:id="1803380457">
      <w:bodyDiv w:val="1"/>
      <w:marLeft w:val="0"/>
      <w:marRight w:val="0"/>
      <w:marTop w:val="0"/>
      <w:marBottom w:val="0"/>
      <w:divBdr>
        <w:top w:val="none" w:sz="0" w:space="0" w:color="auto"/>
        <w:left w:val="none" w:sz="0" w:space="0" w:color="auto"/>
        <w:bottom w:val="none" w:sz="0" w:space="0" w:color="auto"/>
        <w:right w:val="none" w:sz="0" w:space="0" w:color="auto"/>
      </w:divBdr>
    </w:div>
    <w:div w:id="1804425345">
      <w:bodyDiv w:val="1"/>
      <w:marLeft w:val="0"/>
      <w:marRight w:val="0"/>
      <w:marTop w:val="0"/>
      <w:marBottom w:val="0"/>
      <w:divBdr>
        <w:top w:val="none" w:sz="0" w:space="0" w:color="auto"/>
        <w:left w:val="none" w:sz="0" w:space="0" w:color="auto"/>
        <w:bottom w:val="none" w:sz="0" w:space="0" w:color="auto"/>
        <w:right w:val="none" w:sz="0" w:space="0" w:color="auto"/>
      </w:divBdr>
    </w:div>
    <w:div w:id="1805270230">
      <w:bodyDiv w:val="1"/>
      <w:marLeft w:val="0"/>
      <w:marRight w:val="0"/>
      <w:marTop w:val="0"/>
      <w:marBottom w:val="0"/>
      <w:divBdr>
        <w:top w:val="none" w:sz="0" w:space="0" w:color="auto"/>
        <w:left w:val="none" w:sz="0" w:space="0" w:color="auto"/>
        <w:bottom w:val="none" w:sz="0" w:space="0" w:color="auto"/>
        <w:right w:val="none" w:sz="0" w:space="0" w:color="auto"/>
      </w:divBdr>
    </w:div>
    <w:div w:id="1806043449">
      <w:bodyDiv w:val="1"/>
      <w:marLeft w:val="0"/>
      <w:marRight w:val="0"/>
      <w:marTop w:val="0"/>
      <w:marBottom w:val="0"/>
      <w:divBdr>
        <w:top w:val="none" w:sz="0" w:space="0" w:color="auto"/>
        <w:left w:val="none" w:sz="0" w:space="0" w:color="auto"/>
        <w:bottom w:val="none" w:sz="0" w:space="0" w:color="auto"/>
        <w:right w:val="none" w:sz="0" w:space="0" w:color="auto"/>
      </w:divBdr>
    </w:div>
    <w:div w:id="1806241268">
      <w:bodyDiv w:val="1"/>
      <w:marLeft w:val="0"/>
      <w:marRight w:val="0"/>
      <w:marTop w:val="0"/>
      <w:marBottom w:val="0"/>
      <w:divBdr>
        <w:top w:val="none" w:sz="0" w:space="0" w:color="auto"/>
        <w:left w:val="none" w:sz="0" w:space="0" w:color="auto"/>
        <w:bottom w:val="none" w:sz="0" w:space="0" w:color="auto"/>
        <w:right w:val="none" w:sz="0" w:space="0" w:color="auto"/>
      </w:divBdr>
    </w:div>
    <w:div w:id="1807355921">
      <w:bodyDiv w:val="1"/>
      <w:marLeft w:val="0"/>
      <w:marRight w:val="0"/>
      <w:marTop w:val="0"/>
      <w:marBottom w:val="0"/>
      <w:divBdr>
        <w:top w:val="none" w:sz="0" w:space="0" w:color="auto"/>
        <w:left w:val="none" w:sz="0" w:space="0" w:color="auto"/>
        <w:bottom w:val="none" w:sz="0" w:space="0" w:color="auto"/>
        <w:right w:val="none" w:sz="0" w:space="0" w:color="auto"/>
      </w:divBdr>
    </w:div>
    <w:div w:id="1810631051">
      <w:bodyDiv w:val="1"/>
      <w:marLeft w:val="0"/>
      <w:marRight w:val="0"/>
      <w:marTop w:val="0"/>
      <w:marBottom w:val="0"/>
      <w:divBdr>
        <w:top w:val="none" w:sz="0" w:space="0" w:color="auto"/>
        <w:left w:val="none" w:sz="0" w:space="0" w:color="auto"/>
        <w:bottom w:val="none" w:sz="0" w:space="0" w:color="auto"/>
        <w:right w:val="none" w:sz="0" w:space="0" w:color="auto"/>
      </w:divBdr>
    </w:div>
    <w:div w:id="1823346660">
      <w:bodyDiv w:val="1"/>
      <w:marLeft w:val="0"/>
      <w:marRight w:val="0"/>
      <w:marTop w:val="0"/>
      <w:marBottom w:val="0"/>
      <w:divBdr>
        <w:top w:val="none" w:sz="0" w:space="0" w:color="auto"/>
        <w:left w:val="none" w:sz="0" w:space="0" w:color="auto"/>
        <w:bottom w:val="none" w:sz="0" w:space="0" w:color="auto"/>
        <w:right w:val="none" w:sz="0" w:space="0" w:color="auto"/>
      </w:divBdr>
    </w:div>
    <w:div w:id="1863593349">
      <w:bodyDiv w:val="1"/>
      <w:marLeft w:val="0"/>
      <w:marRight w:val="0"/>
      <w:marTop w:val="0"/>
      <w:marBottom w:val="0"/>
      <w:divBdr>
        <w:top w:val="none" w:sz="0" w:space="0" w:color="auto"/>
        <w:left w:val="none" w:sz="0" w:space="0" w:color="auto"/>
        <w:bottom w:val="none" w:sz="0" w:space="0" w:color="auto"/>
        <w:right w:val="none" w:sz="0" w:space="0" w:color="auto"/>
      </w:divBdr>
    </w:div>
    <w:div w:id="1872260720">
      <w:bodyDiv w:val="1"/>
      <w:marLeft w:val="0"/>
      <w:marRight w:val="0"/>
      <w:marTop w:val="0"/>
      <w:marBottom w:val="0"/>
      <w:divBdr>
        <w:top w:val="none" w:sz="0" w:space="0" w:color="auto"/>
        <w:left w:val="none" w:sz="0" w:space="0" w:color="auto"/>
        <w:bottom w:val="none" w:sz="0" w:space="0" w:color="auto"/>
        <w:right w:val="none" w:sz="0" w:space="0" w:color="auto"/>
      </w:divBdr>
    </w:div>
    <w:div w:id="1873689759">
      <w:bodyDiv w:val="1"/>
      <w:marLeft w:val="0"/>
      <w:marRight w:val="0"/>
      <w:marTop w:val="0"/>
      <w:marBottom w:val="0"/>
      <w:divBdr>
        <w:top w:val="none" w:sz="0" w:space="0" w:color="auto"/>
        <w:left w:val="none" w:sz="0" w:space="0" w:color="auto"/>
        <w:bottom w:val="none" w:sz="0" w:space="0" w:color="auto"/>
        <w:right w:val="none" w:sz="0" w:space="0" w:color="auto"/>
      </w:divBdr>
    </w:div>
    <w:div w:id="1883059000">
      <w:bodyDiv w:val="1"/>
      <w:marLeft w:val="0"/>
      <w:marRight w:val="0"/>
      <w:marTop w:val="0"/>
      <w:marBottom w:val="0"/>
      <w:divBdr>
        <w:top w:val="none" w:sz="0" w:space="0" w:color="auto"/>
        <w:left w:val="none" w:sz="0" w:space="0" w:color="auto"/>
        <w:bottom w:val="none" w:sz="0" w:space="0" w:color="auto"/>
        <w:right w:val="none" w:sz="0" w:space="0" w:color="auto"/>
      </w:divBdr>
    </w:div>
    <w:div w:id="1885363052">
      <w:bodyDiv w:val="1"/>
      <w:marLeft w:val="0"/>
      <w:marRight w:val="0"/>
      <w:marTop w:val="0"/>
      <w:marBottom w:val="0"/>
      <w:divBdr>
        <w:top w:val="none" w:sz="0" w:space="0" w:color="auto"/>
        <w:left w:val="none" w:sz="0" w:space="0" w:color="auto"/>
        <w:bottom w:val="none" w:sz="0" w:space="0" w:color="auto"/>
        <w:right w:val="none" w:sz="0" w:space="0" w:color="auto"/>
      </w:divBdr>
    </w:div>
    <w:div w:id="1894660309">
      <w:bodyDiv w:val="1"/>
      <w:marLeft w:val="0"/>
      <w:marRight w:val="0"/>
      <w:marTop w:val="0"/>
      <w:marBottom w:val="0"/>
      <w:divBdr>
        <w:top w:val="none" w:sz="0" w:space="0" w:color="auto"/>
        <w:left w:val="none" w:sz="0" w:space="0" w:color="auto"/>
        <w:bottom w:val="none" w:sz="0" w:space="0" w:color="auto"/>
        <w:right w:val="none" w:sz="0" w:space="0" w:color="auto"/>
      </w:divBdr>
    </w:div>
    <w:div w:id="1895656886">
      <w:bodyDiv w:val="1"/>
      <w:marLeft w:val="0"/>
      <w:marRight w:val="0"/>
      <w:marTop w:val="0"/>
      <w:marBottom w:val="0"/>
      <w:divBdr>
        <w:top w:val="none" w:sz="0" w:space="0" w:color="auto"/>
        <w:left w:val="none" w:sz="0" w:space="0" w:color="auto"/>
        <w:bottom w:val="none" w:sz="0" w:space="0" w:color="auto"/>
        <w:right w:val="none" w:sz="0" w:space="0" w:color="auto"/>
      </w:divBdr>
    </w:div>
    <w:div w:id="1895849767">
      <w:bodyDiv w:val="1"/>
      <w:marLeft w:val="0"/>
      <w:marRight w:val="0"/>
      <w:marTop w:val="0"/>
      <w:marBottom w:val="0"/>
      <w:divBdr>
        <w:top w:val="none" w:sz="0" w:space="0" w:color="auto"/>
        <w:left w:val="none" w:sz="0" w:space="0" w:color="auto"/>
        <w:bottom w:val="none" w:sz="0" w:space="0" w:color="auto"/>
        <w:right w:val="none" w:sz="0" w:space="0" w:color="auto"/>
      </w:divBdr>
    </w:div>
    <w:div w:id="1900240753">
      <w:bodyDiv w:val="1"/>
      <w:marLeft w:val="0"/>
      <w:marRight w:val="0"/>
      <w:marTop w:val="0"/>
      <w:marBottom w:val="0"/>
      <w:divBdr>
        <w:top w:val="none" w:sz="0" w:space="0" w:color="auto"/>
        <w:left w:val="none" w:sz="0" w:space="0" w:color="auto"/>
        <w:bottom w:val="none" w:sz="0" w:space="0" w:color="auto"/>
        <w:right w:val="none" w:sz="0" w:space="0" w:color="auto"/>
      </w:divBdr>
    </w:div>
    <w:div w:id="1906792227">
      <w:bodyDiv w:val="1"/>
      <w:marLeft w:val="0"/>
      <w:marRight w:val="0"/>
      <w:marTop w:val="0"/>
      <w:marBottom w:val="0"/>
      <w:divBdr>
        <w:top w:val="none" w:sz="0" w:space="0" w:color="auto"/>
        <w:left w:val="none" w:sz="0" w:space="0" w:color="auto"/>
        <w:bottom w:val="none" w:sz="0" w:space="0" w:color="auto"/>
        <w:right w:val="none" w:sz="0" w:space="0" w:color="auto"/>
      </w:divBdr>
    </w:div>
    <w:div w:id="1910994994">
      <w:bodyDiv w:val="1"/>
      <w:marLeft w:val="0"/>
      <w:marRight w:val="0"/>
      <w:marTop w:val="0"/>
      <w:marBottom w:val="0"/>
      <w:divBdr>
        <w:top w:val="none" w:sz="0" w:space="0" w:color="auto"/>
        <w:left w:val="none" w:sz="0" w:space="0" w:color="auto"/>
        <w:bottom w:val="none" w:sz="0" w:space="0" w:color="auto"/>
        <w:right w:val="none" w:sz="0" w:space="0" w:color="auto"/>
      </w:divBdr>
    </w:div>
    <w:div w:id="1911772289">
      <w:bodyDiv w:val="1"/>
      <w:marLeft w:val="0"/>
      <w:marRight w:val="0"/>
      <w:marTop w:val="0"/>
      <w:marBottom w:val="0"/>
      <w:divBdr>
        <w:top w:val="none" w:sz="0" w:space="0" w:color="auto"/>
        <w:left w:val="none" w:sz="0" w:space="0" w:color="auto"/>
        <w:bottom w:val="none" w:sz="0" w:space="0" w:color="auto"/>
        <w:right w:val="none" w:sz="0" w:space="0" w:color="auto"/>
      </w:divBdr>
    </w:div>
    <w:div w:id="1917547348">
      <w:bodyDiv w:val="1"/>
      <w:marLeft w:val="0"/>
      <w:marRight w:val="0"/>
      <w:marTop w:val="0"/>
      <w:marBottom w:val="0"/>
      <w:divBdr>
        <w:top w:val="none" w:sz="0" w:space="0" w:color="auto"/>
        <w:left w:val="none" w:sz="0" w:space="0" w:color="auto"/>
        <w:bottom w:val="none" w:sz="0" w:space="0" w:color="auto"/>
        <w:right w:val="none" w:sz="0" w:space="0" w:color="auto"/>
      </w:divBdr>
    </w:div>
    <w:div w:id="1917586404">
      <w:bodyDiv w:val="1"/>
      <w:marLeft w:val="0"/>
      <w:marRight w:val="0"/>
      <w:marTop w:val="0"/>
      <w:marBottom w:val="0"/>
      <w:divBdr>
        <w:top w:val="none" w:sz="0" w:space="0" w:color="auto"/>
        <w:left w:val="none" w:sz="0" w:space="0" w:color="auto"/>
        <w:bottom w:val="none" w:sz="0" w:space="0" w:color="auto"/>
        <w:right w:val="none" w:sz="0" w:space="0" w:color="auto"/>
      </w:divBdr>
    </w:div>
    <w:div w:id="1917667492">
      <w:bodyDiv w:val="1"/>
      <w:marLeft w:val="0"/>
      <w:marRight w:val="0"/>
      <w:marTop w:val="0"/>
      <w:marBottom w:val="0"/>
      <w:divBdr>
        <w:top w:val="none" w:sz="0" w:space="0" w:color="auto"/>
        <w:left w:val="none" w:sz="0" w:space="0" w:color="auto"/>
        <w:bottom w:val="none" w:sz="0" w:space="0" w:color="auto"/>
        <w:right w:val="none" w:sz="0" w:space="0" w:color="auto"/>
      </w:divBdr>
    </w:div>
    <w:div w:id="1922368763">
      <w:bodyDiv w:val="1"/>
      <w:marLeft w:val="0"/>
      <w:marRight w:val="0"/>
      <w:marTop w:val="0"/>
      <w:marBottom w:val="0"/>
      <w:divBdr>
        <w:top w:val="none" w:sz="0" w:space="0" w:color="auto"/>
        <w:left w:val="none" w:sz="0" w:space="0" w:color="auto"/>
        <w:bottom w:val="none" w:sz="0" w:space="0" w:color="auto"/>
        <w:right w:val="none" w:sz="0" w:space="0" w:color="auto"/>
      </w:divBdr>
    </w:div>
    <w:div w:id="1923758179">
      <w:bodyDiv w:val="1"/>
      <w:marLeft w:val="0"/>
      <w:marRight w:val="0"/>
      <w:marTop w:val="0"/>
      <w:marBottom w:val="0"/>
      <w:divBdr>
        <w:top w:val="none" w:sz="0" w:space="0" w:color="auto"/>
        <w:left w:val="none" w:sz="0" w:space="0" w:color="auto"/>
        <w:bottom w:val="none" w:sz="0" w:space="0" w:color="auto"/>
        <w:right w:val="none" w:sz="0" w:space="0" w:color="auto"/>
      </w:divBdr>
    </w:div>
    <w:div w:id="1944877260">
      <w:bodyDiv w:val="1"/>
      <w:marLeft w:val="0"/>
      <w:marRight w:val="0"/>
      <w:marTop w:val="0"/>
      <w:marBottom w:val="0"/>
      <w:divBdr>
        <w:top w:val="none" w:sz="0" w:space="0" w:color="auto"/>
        <w:left w:val="none" w:sz="0" w:space="0" w:color="auto"/>
        <w:bottom w:val="none" w:sz="0" w:space="0" w:color="auto"/>
        <w:right w:val="none" w:sz="0" w:space="0" w:color="auto"/>
      </w:divBdr>
    </w:div>
    <w:div w:id="1952743026">
      <w:bodyDiv w:val="1"/>
      <w:marLeft w:val="0"/>
      <w:marRight w:val="0"/>
      <w:marTop w:val="0"/>
      <w:marBottom w:val="0"/>
      <w:divBdr>
        <w:top w:val="none" w:sz="0" w:space="0" w:color="auto"/>
        <w:left w:val="none" w:sz="0" w:space="0" w:color="auto"/>
        <w:bottom w:val="none" w:sz="0" w:space="0" w:color="auto"/>
        <w:right w:val="none" w:sz="0" w:space="0" w:color="auto"/>
      </w:divBdr>
    </w:div>
    <w:div w:id="1960184654">
      <w:bodyDiv w:val="1"/>
      <w:marLeft w:val="0"/>
      <w:marRight w:val="0"/>
      <w:marTop w:val="0"/>
      <w:marBottom w:val="0"/>
      <w:divBdr>
        <w:top w:val="none" w:sz="0" w:space="0" w:color="auto"/>
        <w:left w:val="none" w:sz="0" w:space="0" w:color="auto"/>
        <w:bottom w:val="none" w:sz="0" w:space="0" w:color="auto"/>
        <w:right w:val="none" w:sz="0" w:space="0" w:color="auto"/>
      </w:divBdr>
    </w:div>
    <w:div w:id="1967545076">
      <w:bodyDiv w:val="1"/>
      <w:marLeft w:val="0"/>
      <w:marRight w:val="0"/>
      <w:marTop w:val="0"/>
      <w:marBottom w:val="0"/>
      <w:divBdr>
        <w:top w:val="none" w:sz="0" w:space="0" w:color="auto"/>
        <w:left w:val="none" w:sz="0" w:space="0" w:color="auto"/>
        <w:bottom w:val="none" w:sz="0" w:space="0" w:color="auto"/>
        <w:right w:val="none" w:sz="0" w:space="0" w:color="auto"/>
      </w:divBdr>
    </w:div>
    <w:div w:id="1969240057">
      <w:bodyDiv w:val="1"/>
      <w:marLeft w:val="0"/>
      <w:marRight w:val="0"/>
      <w:marTop w:val="0"/>
      <w:marBottom w:val="0"/>
      <w:divBdr>
        <w:top w:val="none" w:sz="0" w:space="0" w:color="auto"/>
        <w:left w:val="none" w:sz="0" w:space="0" w:color="auto"/>
        <w:bottom w:val="none" w:sz="0" w:space="0" w:color="auto"/>
        <w:right w:val="none" w:sz="0" w:space="0" w:color="auto"/>
      </w:divBdr>
    </w:div>
    <w:div w:id="1981883883">
      <w:bodyDiv w:val="1"/>
      <w:marLeft w:val="0"/>
      <w:marRight w:val="0"/>
      <w:marTop w:val="0"/>
      <w:marBottom w:val="0"/>
      <w:divBdr>
        <w:top w:val="none" w:sz="0" w:space="0" w:color="auto"/>
        <w:left w:val="none" w:sz="0" w:space="0" w:color="auto"/>
        <w:bottom w:val="none" w:sz="0" w:space="0" w:color="auto"/>
        <w:right w:val="none" w:sz="0" w:space="0" w:color="auto"/>
      </w:divBdr>
    </w:div>
    <w:div w:id="1982229115">
      <w:bodyDiv w:val="1"/>
      <w:marLeft w:val="0"/>
      <w:marRight w:val="0"/>
      <w:marTop w:val="0"/>
      <w:marBottom w:val="0"/>
      <w:divBdr>
        <w:top w:val="none" w:sz="0" w:space="0" w:color="auto"/>
        <w:left w:val="none" w:sz="0" w:space="0" w:color="auto"/>
        <w:bottom w:val="none" w:sz="0" w:space="0" w:color="auto"/>
        <w:right w:val="none" w:sz="0" w:space="0" w:color="auto"/>
      </w:divBdr>
    </w:div>
    <w:div w:id="1994601130">
      <w:bodyDiv w:val="1"/>
      <w:marLeft w:val="0"/>
      <w:marRight w:val="0"/>
      <w:marTop w:val="0"/>
      <w:marBottom w:val="0"/>
      <w:divBdr>
        <w:top w:val="none" w:sz="0" w:space="0" w:color="auto"/>
        <w:left w:val="none" w:sz="0" w:space="0" w:color="auto"/>
        <w:bottom w:val="none" w:sz="0" w:space="0" w:color="auto"/>
        <w:right w:val="none" w:sz="0" w:space="0" w:color="auto"/>
      </w:divBdr>
    </w:div>
    <w:div w:id="2014869453">
      <w:bodyDiv w:val="1"/>
      <w:marLeft w:val="0"/>
      <w:marRight w:val="0"/>
      <w:marTop w:val="0"/>
      <w:marBottom w:val="0"/>
      <w:divBdr>
        <w:top w:val="none" w:sz="0" w:space="0" w:color="auto"/>
        <w:left w:val="none" w:sz="0" w:space="0" w:color="auto"/>
        <w:bottom w:val="none" w:sz="0" w:space="0" w:color="auto"/>
        <w:right w:val="none" w:sz="0" w:space="0" w:color="auto"/>
      </w:divBdr>
    </w:div>
    <w:div w:id="2020084239">
      <w:bodyDiv w:val="1"/>
      <w:marLeft w:val="0"/>
      <w:marRight w:val="0"/>
      <w:marTop w:val="0"/>
      <w:marBottom w:val="0"/>
      <w:divBdr>
        <w:top w:val="none" w:sz="0" w:space="0" w:color="auto"/>
        <w:left w:val="none" w:sz="0" w:space="0" w:color="auto"/>
        <w:bottom w:val="none" w:sz="0" w:space="0" w:color="auto"/>
        <w:right w:val="none" w:sz="0" w:space="0" w:color="auto"/>
      </w:divBdr>
    </w:div>
    <w:div w:id="2039232990">
      <w:bodyDiv w:val="1"/>
      <w:marLeft w:val="0"/>
      <w:marRight w:val="0"/>
      <w:marTop w:val="0"/>
      <w:marBottom w:val="0"/>
      <w:divBdr>
        <w:top w:val="none" w:sz="0" w:space="0" w:color="auto"/>
        <w:left w:val="none" w:sz="0" w:space="0" w:color="auto"/>
        <w:bottom w:val="none" w:sz="0" w:space="0" w:color="auto"/>
        <w:right w:val="none" w:sz="0" w:space="0" w:color="auto"/>
      </w:divBdr>
    </w:div>
    <w:div w:id="2045061412">
      <w:bodyDiv w:val="1"/>
      <w:marLeft w:val="0"/>
      <w:marRight w:val="0"/>
      <w:marTop w:val="0"/>
      <w:marBottom w:val="0"/>
      <w:divBdr>
        <w:top w:val="none" w:sz="0" w:space="0" w:color="auto"/>
        <w:left w:val="none" w:sz="0" w:space="0" w:color="auto"/>
        <w:bottom w:val="none" w:sz="0" w:space="0" w:color="auto"/>
        <w:right w:val="none" w:sz="0" w:space="0" w:color="auto"/>
      </w:divBdr>
    </w:div>
    <w:div w:id="2049446921">
      <w:bodyDiv w:val="1"/>
      <w:marLeft w:val="0"/>
      <w:marRight w:val="0"/>
      <w:marTop w:val="0"/>
      <w:marBottom w:val="0"/>
      <w:divBdr>
        <w:top w:val="none" w:sz="0" w:space="0" w:color="auto"/>
        <w:left w:val="none" w:sz="0" w:space="0" w:color="auto"/>
        <w:bottom w:val="none" w:sz="0" w:space="0" w:color="auto"/>
        <w:right w:val="none" w:sz="0" w:space="0" w:color="auto"/>
      </w:divBdr>
    </w:div>
    <w:div w:id="2076317163">
      <w:bodyDiv w:val="1"/>
      <w:marLeft w:val="0"/>
      <w:marRight w:val="0"/>
      <w:marTop w:val="0"/>
      <w:marBottom w:val="0"/>
      <w:divBdr>
        <w:top w:val="none" w:sz="0" w:space="0" w:color="auto"/>
        <w:left w:val="none" w:sz="0" w:space="0" w:color="auto"/>
        <w:bottom w:val="none" w:sz="0" w:space="0" w:color="auto"/>
        <w:right w:val="none" w:sz="0" w:space="0" w:color="auto"/>
      </w:divBdr>
    </w:div>
    <w:div w:id="2076585588">
      <w:bodyDiv w:val="1"/>
      <w:marLeft w:val="0"/>
      <w:marRight w:val="0"/>
      <w:marTop w:val="0"/>
      <w:marBottom w:val="0"/>
      <w:divBdr>
        <w:top w:val="none" w:sz="0" w:space="0" w:color="auto"/>
        <w:left w:val="none" w:sz="0" w:space="0" w:color="auto"/>
        <w:bottom w:val="none" w:sz="0" w:space="0" w:color="auto"/>
        <w:right w:val="none" w:sz="0" w:space="0" w:color="auto"/>
      </w:divBdr>
    </w:div>
    <w:div w:id="2085953059">
      <w:bodyDiv w:val="1"/>
      <w:marLeft w:val="0"/>
      <w:marRight w:val="0"/>
      <w:marTop w:val="0"/>
      <w:marBottom w:val="0"/>
      <w:divBdr>
        <w:top w:val="none" w:sz="0" w:space="0" w:color="auto"/>
        <w:left w:val="none" w:sz="0" w:space="0" w:color="auto"/>
        <w:bottom w:val="none" w:sz="0" w:space="0" w:color="auto"/>
        <w:right w:val="none" w:sz="0" w:space="0" w:color="auto"/>
      </w:divBdr>
    </w:div>
    <w:div w:id="2087610548">
      <w:bodyDiv w:val="1"/>
      <w:marLeft w:val="0"/>
      <w:marRight w:val="0"/>
      <w:marTop w:val="0"/>
      <w:marBottom w:val="0"/>
      <w:divBdr>
        <w:top w:val="none" w:sz="0" w:space="0" w:color="auto"/>
        <w:left w:val="none" w:sz="0" w:space="0" w:color="auto"/>
        <w:bottom w:val="none" w:sz="0" w:space="0" w:color="auto"/>
        <w:right w:val="none" w:sz="0" w:space="0" w:color="auto"/>
      </w:divBdr>
    </w:div>
    <w:div w:id="2088109528">
      <w:bodyDiv w:val="1"/>
      <w:marLeft w:val="0"/>
      <w:marRight w:val="0"/>
      <w:marTop w:val="0"/>
      <w:marBottom w:val="0"/>
      <w:divBdr>
        <w:top w:val="none" w:sz="0" w:space="0" w:color="auto"/>
        <w:left w:val="none" w:sz="0" w:space="0" w:color="auto"/>
        <w:bottom w:val="none" w:sz="0" w:space="0" w:color="auto"/>
        <w:right w:val="none" w:sz="0" w:space="0" w:color="auto"/>
      </w:divBdr>
    </w:div>
    <w:div w:id="2092697382">
      <w:bodyDiv w:val="1"/>
      <w:marLeft w:val="0"/>
      <w:marRight w:val="0"/>
      <w:marTop w:val="0"/>
      <w:marBottom w:val="0"/>
      <w:divBdr>
        <w:top w:val="none" w:sz="0" w:space="0" w:color="auto"/>
        <w:left w:val="none" w:sz="0" w:space="0" w:color="auto"/>
        <w:bottom w:val="none" w:sz="0" w:space="0" w:color="auto"/>
        <w:right w:val="none" w:sz="0" w:space="0" w:color="auto"/>
      </w:divBdr>
    </w:div>
    <w:div w:id="2098941529">
      <w:bodyDiv w:val="1"/>
      <w:marLeft w:val="0"/>
      <w:marRight w:val="0"/>
      <w:marTop w:val="0"/>
      <w:marBottom w:val="0"/>
      <w:divBdr>
        <w:top w:val="none" w:sz="0" w:space="0" w:color="auto"/>
        <w:left w:val="none" w:sz="0" w:space="0" w:color="auto"/>
        <w:bottom w:val="none" w:sz="0" w:space="0" w:color="auto"/>
        <w:right w:val="none" w:sz="0" w:space="0" w:color="auto"/>
      </w:divBdr>
    </w:div>
    <w:div w:id="2106226607">
      <w:bodyDiv w:val="1"/>
      <w:marLeft w:val="0"/>
      <w:marRight w:val="0"/>
      <w:marTop w:val="0"/>
      <w:marBottom w:val="0"/>
      <w:divBdr>
        <w:top w:val="none" w:sz="0" w:space="0" w:color="auto"/>
        <w:left w:val="none" w:sz="0" w:space="0" w:color="auto"/>
        <w:bottom w:val="none" w:sz="0" w:space="0" w:color="auto"/>
        <w:right w:val="none" w:sz="0" w:space="0" w:color="auto"/>
      </w:divBdr>
    </w:div>
    <w:div w:id="2112433814">
      <w:bodyDiv w:val="1"/>
      <w:marLeft w:val="0"/>
      <w:marRight w:val="0"/>
      <w:marTop w:val="0"/>
      <w:marBottom w:val="0"/>
      <w:divBdr>
        <w:top w:val="none" w:sz="0" w:space="0" w:color="auto"/>
        <w:left w:val="none" w:sz="0" w:space="0" w:color="auto"/>
        <w:bottom w:val="none" w:sz="0" w:space="0" w:color="auto"/>
        <w:right w:val="none" w:sz="0" w:space="0" w:color="auto"/>
      </w:divBdr>
    </w:div>
    <w:div w:id="2139568494">
      <w:bodyDiv w:val="1"/>
      <w:marLeft w:val="0"/>
      <w:marRight w:val="0"/>
      <w:marTop w:val="0"/>
      <w:marBottom w:val="0"/>
      <w:divBdr>
        <w:top w:val="none" w:sz="0" w:space="0" w:color="auto"/>
        <w:left w:val="none" w:sz="0" w:space="0" w:color="auto"/>
        <w:bottom w:val="none" w:sz="0" w:space="0" w:color="auto"/>
        <w:right w:val="none" w:sz="0" w:space="0" w:color="auto"/>
      </w:divBdr>
    </w:div>
    <w:div w:id="2141262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bulletpicker.com/tetryl.html" TargetMode="External"/><Relationship Id="rId26"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image" Target="media/image9.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bulletpicker.com/pdf/Old%20Chemical%20Weapons%20and%20Related%20Materiel%20Reference%20Guide.pdf" TargetMode="External"/><Relationship Id="rId25" Type="http://schemas.openxmlformats.org/officeDocument/2006/relationships/hyperlink" Target="https://adrbook.com/en/2017/UN/0167" TargetMode="External"/><Relationship Id="rId2" Type="http://schemas.openxmlformats.org/officeDocument/2006/relationships/customXml" Target="../customXml/item2.xml"/><Relationship Id="rId16" Type="http://schemas.openxmlformats.org/officeDocument/2006/relationships/hyperlink" Target="https://www.edrmagazine.eu/us-army-new-rounds-for-155-mm-artillery" TargetMode="External"/><Relationship Id="rId20" Type="http://schemas.openxmlformats.org/officeDocument/2006/relationships/image" Target="media/image8.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pa.gov/sites/default/files/2015-03/documents/9546041.pdf" TargetMode="External"/><Relationship Id="rId24" Type="http://schemas.openxmlformats.org/officeDocument/2006/relationships/hyperlink" Target="https://www.gd-ots.com/munitions/artillery/"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1.png"/><Relationship Id="rId28" Type="http://schemas.openxmlformats.org/officeDocument/2006/relationships/image" Target="media/image14.png"/><Relationship Id="rId10" Type="http://schemas.openxmlformats.org/officeDocument/2006/relationships/image" Target="media/image2.png"/><Relationship Id="rId19" Type="http://schemas.openxmlformats.org/officeDocument/2006/relationships/image" Target="media/image7.jpe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0.png"/><Relationship Id="rId27" Type="http://schemas.openxmlformats.org/officeDocument/2006/relationships/image" Target="media/image13.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07/2023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Hea84</b:Tag>
    <b:SourceType>Misc</b:SourceType>
    <b:Guid>{0B0F6D1C-A6D8-4B46-8A15-0B7DBD45B799}</b:Guid>
    <b:Title>Dept Army Technical Manual - Military Explosives</b:Title>
    <b:Year>1984</b:Year>
    <b:City>Washington</b:City>
    <b:Publisher>United States Army</b:Publisher>
    <b:Author>
      <b:Author>
        <b:Corporate>Headquarters Department of the ARMY (USA)</b:Corporate>
      </b:Author>
    </b:Author>
    <b:RefOrder>1</b:RefOrder>
  </b:Source>
  <b:Source>
    <b:Tag>Jac04</b:Tag>
    <b:SourceType>Book</b:SourceType>
    <b:Guid>{18178982-8D06-4C47-BDD4-384F2099D59A}</b:Guid>
    <b:Title>The Chemistry of Explosives 2nd Edition</b:Title>
    <b:Year>2004</b:Year>
    <b:City>Swindon</b:City>
    <b:Publisher>RSC</b:Publisher>
    <b:Author>
      <b:Author>
        <b:NameList>
          <b:Person>
            <b:Last>Akhavan</b:Last>
            <b:First>Jackie</b:First>
          </b:Person>
        </b:NameList>
      </b:Author>
    </b:Author>
    <b:RefOrder>2</b:RefOrder>
  </b:Source>
  <b:Source>
    <b:Tag>New15</b:Tag>
    <b:SourceType>DocumentFromInternetSite</b:SourceType>
    <b:Guid>{E5280644-D758-46FC-B2FD-569A390EE0CA}</b:Guid>
    <b:Title>CBRNE Awareness Powerpoint</b:Title>
    <b:Year>2015</b:Year>
    <b:Author>
      <b:Author>
        <b:NameList>
          <b:Person>
            <b:Last>Government</b:Last>
            <b:First>New</b:First>
            <b:Middle>Jersey State</b:Middle>
          </b:Person>
        </b:NameList>
      </b:Author>
    </b:Author>
    <b:Month>na</b:Month>
    <b:Day>na</b:Day>
    <b:YearAccessed>01</b:YearAccessed>
    <b:MonthAccessed>07</b:MonthAccessed>
    <b:DayAccessed>2023</b:DayAccessed>
    <b:URL>https://www.state.nj.us/njoem/pdf/CBRNEMod2ThreatStudHandout.pdf</b:URL>
    <b:RefOrder>3</b:RefOrder>
  </b:Source>
  <b:Source>
    <b:Tag>Bri11</b:Tag>
    <b:SourceType>InternetSite</b:SourceType>
    <b:Guid>{FF0F1CF2-6EDD-45B0-91C1-AFEC583E321F}</b:Guid>
    <b:Title>Encyclopedia Britannica </b:Title>
    <b:Year>2011</b:Year>
    <b:Month>Oct</b:Month>
    <b:Day>17</b:Day>
    <b:YearAccessed>2023</b:YearAccessed>
    <b:MonthAccessed>July</b:MonthAccessed>
    <b:DayAccessed>4</b:DayAccessed>
    <b:URL>https://www.britannica.com/technology/blasting-cap</b:URL>
    <b:Author>
      <b:Author>
        <b:Corporate>Britannica Editors</b:Corporate>
      </b:Author>
    </b:Author>
    <b:ProductionCompany>Britannica </b:ProductionCompany>
    <b:RefOrder>4</b:RefOrder>
  </b:Source>
  <b:Source>
    <b:Tag>Rob99</b:Tag>
    <b:SourceType>ElectronicSource</b:SourceType>
    <b:Guid>{ECC2452A-D62B-483C-83F0-D33D9C578289}</b:Guid>
    <b:Title>M107 155mm Projectile</b:Title>
    <b:Year>1999</b:Year>
    <b:Month>Jan</b:Month>
    <b:Day>22</b:Day>
    <b:URL>https://man.fas.org/dod-101/sys/land/m107.htm</b:URL>
    <b:Author>
      <b:Author>
        <b:Corporate>Robert Sherman</b:Corporate>
      </b:Author>
    </b:Author>
    <b:City>Washington</b:City>
    <b:Publisher>Military Analysis Network</b:Publisher>
    <b:RefOrder>5</b:RefOrder>
  </b:Source>
  <b:Source>
    <b:Tag>Hea03</b:Tag>
    <b:SourceType>Report</b:SourceType>
    <b:Guid>{78499E41-DD2D-4C0E-A009-2291296E4AA7}</b:Guid>
    <b:Title>TECHNICAL MANUAL Army Ammunition Data Sheets Artiller</b:Title>
    <b:City>Washington</b:City>
    <b:Publisher>USA Army</b:Publisher>
    <b:Year>2003</b:Year>
    <b:URL>https://www.bulletpicker.com/pdf/TM%2043-0001-28,%20Artillery%20Ammunition.pdf#page=696</b:URL>
    <b:Author>
      <b:Author>
        <b:Corporate>Headquarters Dept of The Army (USA)</b:Corporate>
      </b:Author>
    </b:Author>
    <b:RefOrder>6</b:RefOrder>
  </b:Source>
  <b:Source>
    <b:Tag>Bur22</b:Tag>
    <b:SourceType>ElectronicSource</b:SourceType>
    <b:Guid>{86BA8C93-EEF1-4D5D-8C5A-DF96D628ADB1}</b:Guid>
    <b:Title>Black Powder</b:Title>
    <b:Year>2022</b:Year>
    <b:City>Washington</b:City>
    <b:Author>
      <b:Author>
        <b:Corporate>Bureau of Alcohol, Tobacco, Firearms &amp; Explosives</b:Corporate>
      </b:Author>
    </b:Author>
    <b:Month>September</b:Month>
    <b:Day>2</b:Day>
    <b:URL>https://www.atf.gov/explosives/black-powder#:~:text=Black%20powder%20is%20a%20low,in%20some%20ammunition%20and%20muzzleloaders.</b:URL>
    <b:RefOrder>7</b:RefOrder>
  </b:Source>
  <b:Source>
    <b:Tag>GFH47</b:Tag>
    <b:SourceType>ElectronicSource</b:SourceType>
    <b:Guid>{6CC85DE8-5F39-418F-982D-620AA0942F0B}</b:Guid>
    <b:Author>
      <b:Author>
        <b:NameList>
          <b:Person>
            <b:Last>G. F. Hussey</b:Last>
            <b:First>Jr</b:First>
          </b:Person>
        </b:NameList>
      </b:Author>
    </b:Author>
    <b:Title>U.S Explosive Ordinance</b:Title>
    <b:City>Washington</b:City>
    <b:Publisher>U.S Navy</b:Publisher>
    <b:Year>1947</b:Year>
    <b:URL>https://www.bulletpicker.com/pdf/OP%201664,%20US%20Explosive%20Ordnance,%20Volume%201.pdf#page=6</b:URL>
    <b:RefOrder>8</b:RefOrder>
  </b:Source>
  <b:Source>
    <b:Tag>Min20</b:Tag>
    <b:SourceType>DocumentFromInternetSite</b:SourceType>
    <b:Guid>{835416D7-D33F-422C-8D5D-DCD29F494181}</b:Guid>
    <b:Title>JSP 333 Service Textbook of Explosives</b:Title>
    <b:Year>2020</b:Year>
    <b:Author>
      <b:Author>
        <b:Corporate>Ministry Of Defence</b:Corporate>
      </b:Author>
    </b:Author>
    <b:Month>August</b:Month>
    <b:YearAccessed>10</b:YearAccessed>
    <b:MonthAccessed>July</b:MonthAccessed>
    <b:DayAccessed>7</b:DayAccessed>
    <b:URL>https://moodle.uwtsd.ac.uk/pluginfile.php/674711/mod_resource/content/0/JSP%20333%20Service%20Textbook%20of%20Explosives.pdf</b:URL>
    <b:RefOrder>9</b:RefOrder>
  </b:Source>
  <b:Source>
    <b:Tag>MIL01</b:Tag>
    <b:SourceType>Report</b:SourceType>
    <b:Guid>{BE3DD373-6EBC-4DB4-B8AA-AA10D0863884}</b:Guid>
    <b:Title>A Review of the Crystal Structures</b:Title>
    <b:Year>2001</b:Year>
    <b:URL>https://apps.dtic.mil/sti/pdfs/ADA396646.pdf</b:URL>
    <b:Author>
      <b:Author>
        <b:NameList>
          <b:Person>
            <b:Last>MILLER</b:Last>
            <b:First>G.</b:First>
            <b:Middle>R.</b:Middle>
          </b:Person>
        </b:NameList>
      </b:Author>
    </b:Author>
    <b:Publisher>Naval Research Laboratory</b:Publisher>
    <b:City>Washington</b:City>
    <b:RefOrder>10</b:RefOrder>
  </b:Source>
  <b:Source>
    <b:Tag>PUB04</b:Tag>
    <b:SourceType>InternetSite</b:SourceType>
    <b:Guid>{C45073B2-0C47-4AD1-AF76-FFA7B6D898C4}</b:Guid>
    <b:Title>2,4,6-Trinitrotoluene</b:Title>
    <b:Year>2004</b:Year>
    <b:Author>
      <b:Author>
        <b:Corporate>PUBCHEM</b:Corporate>
      </b:Author>
    </b:Author>
    <b:ProductionCompany>PUBCHEM</b:ProductionCompany>
    <b:YearAccessed>2023</b:YearAccessed>
    <b:MonthAccessed>07</b:MonthAccessed>
    <b:DayAccessed>10</b:DayAccessed>
    <b:URL>https://pubchem.ncbi.nlm.nih.gov/compound/2_4_6-Trinitrotoluene#datasheet=LCSS</b:URL>
    <b:RefOrder>11</b:RefOrder>
  </b:Source>
  <b:Source>
    <b:Tag>Imp06</b:Tag>
    <b:SourceType>ElectronicSource</b:SourceType>
    <b:Guid>{B20E58B5-E1C8-4C1C-8E97-71D845AC8B8A}</b:Guid>
    <b:Title>Trinitrotoluene - TNT</b:Title>
    <b:Year>2006</b:Year>
    <b:URL>https://www.ch.ic.ac.uk/vchemlib/mim/bristol/tnt/tnt_text.htm</b:URL>
    <b:Publisher>Imperial College London</b:Publisher>
    <b:City>Bristol</b:City>
    <b:Author>
      <b:Author>
        <b:Corporate>Imperial College London</b:Corporate>
      </b:Author>
    </b:Author>
    <b:RefOrder>12</b:RefOrder>
  </b:Source>
  <b:Source>
    <b:Tag>Pic11</b:Tag>
    <b:SourceType>DocumentFromInternetSite</b:SourceType>
    <b:Guid>{EB4302F7-636A-4818-A9FB-94860BD74562}</b:Guid>
    <b:Title>Army approves safer explosive to replace TNT</b:Title>
    <b:Year>2011</b:Year>
    <b:Author>
      <b:Author>
        <b:Corporate>Picatinny Public Affairs</b:Corporate>
      </b:Author>
    </b:Author>
    <b:Month>August</b:Month>
    <b:Day>11</b:Day>
    <b:YearAccessed>2023</b:YearAccessed>
    <b:MonthAccessed>July</b:MonthAccessed>
    <b:DayAccessed>9</b:DayAccessed>
    <b:URL>https://www.army.mil/article/43553/army_approves_safer_explosive_to_replace_tnt</b:URL>
    <b:RefOrder>13</b:RefOrder>
  </b:Source>
  <b:Source>
    <b:Tag>Faw21</b:Tag>
    <b:SourceType>Report</b:SourceType>
    <b:Guid>{7B45E1E4-CB96-4902-8CC9-FE764E7D6891}</b:Guid>
    <b:Title>A review of treatment methods for insensitive high explosive contaminated wastewater.</b:Title>
    <b:Year>2021</b:Year>
    <b:URL>https://www.ncbi.nlm.nih.gov/pmc/articles/PMC8353291/</b:URL>
    <b:Author>
      <b:Author>
        <b:NameList>
          <b:Person>
            <b:Last>Fawcett-Hirst W</b:Last>
            <b:First>Temple</b:First>
            <b:Middle>TJ, Ladyman MK, Coulon F</b:Middle>
          </b:Person>
        </b:NameList>
      </b:Author>
    </b:Author>
    <b:Publisher>National Library of Medicine</b:Publisher>
    <b:City>Heliyon</b:City>
    <b:RefOrder>15</b:RefOrder>
  </b:Source>
  <b:Source>
    <b:Tag>Pas11</b:Tag>
    <b:SourceType>ElectronicSource</b:SourceType>
    <b:Guid>{9A9011B6-2E1F-42DC-81A1-461815B8A9E8}</b:Guid>
    <b:Title>Review on Meltcast Explosives</b:Title>
    <b:Year>2011</b:Year>
    <b:Publisher>NA</b:Publisher>
    <b:City>Tokyo</b:City>
    <b:Author>
      <b:Author>
        <b:NameList>
          <b:Person>
            <b:Last>Ravi</b:Last>
            <b:First>Pasupala</b:First>
          </b:Person>
        </b:NameList>
      </b:Author>
    </b:Author>
    <b:RefOrder>14</b:RefOrder>
  </b:Source>
  <b:Source>
    <b:Tag>TRE79</b:Tag>
    <b:SourceType>Report</b:SourceType>
    <b:Guid>{446BE18E-077B-43BA-B182-AD4D16034EFC}</b:Guid>
    <b:Title>Effects of HNS on Cast TNT</b:Title>
    <b:City>New Jersey</b:City>
    <b:Publisher>US ARMY ARMAMENT RESEARCH AND DEVELOPMENT COMMAND</b:Publisher>
    <b:Year>1979</b:Year>
    <b:Author>
      <b:Author>
        <b:NameList>
          <b:Person>
            <b:Last>TREVINO</b:Last>
            <b:First>S.</b:First>
            <b:Middle>F.</b:Middle>
          </b:Person>
          <b:Person>
            <b:Last>PORTNOY</b:Last>
            <b:First>S.</b:First>
          </b:Person>
        </b:NameList>
      </b:Author>
    </b:Author>
    <b:URL>ADA077111.pdf (dtic.mil)</b:URL>
    <b:RefOrder>16</b:RefOrder>
  </b:Source>
  <b:Source>
    <b:Tag>HSE13</b:Tag>
    <b:SourceType>DocumentFromInternetSite</b:SourceType>
    <b:Guid>{B067B6A6-58CB-4260-9558-9584FD4BA8A5}</b:Guid>
    <b:Title>The Explosives Regulations 2014</b:Title>
    <b:Year>2013</b:Year>
    <b:Author>
      <b:Author>
        <b:NameList>
          <b:Person>
            <b:Last>HSE</b:Last>
          </b:Person>
        </b:NameList>
      </b:Author>
    </b:Author>
    <b:Month>June</b:Month>
    <b:Day>23</b:Day>
    <b:YearAccessed>2023</b:YearAccessed>
    <b:MonthAccessed>July</b:MonthAccessed>
    <b:DayAccessed>7</b:DayAccessed>
    <b:URL>https://www.legislation.gov.uk/uksi/2014/1638/made</b:URL>
    <b:RefOrder>17</b:RefOrder>
  </b:Source>
  <b:Source>
    <b:Tag>DOS22</b:Tag>
    <b:SourceType>DocumentFromInternetSite</b:SourceType>
    <b:Guid>{B4560490-1161-4DB1-AF51-1A3FE0FD581A}</b:Guid>
    <b:Author>
      <b:Author>
        <b:Corporate>DOSG/DOSR</b:Corporate>
      </b:Author>
    </b:Author>
    <b:Title>DSA 03.OME Part 2 (JSP 482) - Defence Code of Practice (DCOP) and Guidance Notes for In-Service and Operational Safety Management of OME</b:Title>
    <b:Year>2022</b:Year>
    <b:Month>November</b:Month>
    <b:Day>19</b:Day>
    <b:YearAccessed>2023</b:YearAccessed>
    <b:MonthAccessed>June</b:MonthAccessed>
    <b:DayAccessed>29</b:DayAccessed>
    <b:URL>Operational Safety Management of OME (PAGE 42)</b:URL>
    <b:RefOrder>18</b:RefOrder>
  </b:Source>
  <b:Source>
    <b:Tag>Ins11</b:Tag>
    <b:SourceType>DocumentFromInternetSite</b:SourceType>
    <b:Guid>{7F0BFE6B-FE26-4DEC-B68E-418E7DA78578}</b:Guid>
    <b:Author>
      <b:Author>
        <b:Corporate>Insensitive Munitions.ORG</b:Corporate>
      </b:Author>
    </b:Author>
    <b:Title>Insensitive Munitions</b:Title>
    <b:Year>2011</b:Year>
    <b:Month>September</b:Month>
    <b:Day>05</b:Day>
    <b:YearAccessed>12</b:YearAccessed>
    <b:MonthAccessed>July</b:MonthAccessed>
    <b:DayAccessed>2023</b:DayAccessed>
    <b:URL>https://www.insensitivemunitions.org/history/introduction/</b:URL>
    <b:RefOrder>19</b:RefOrder>
  </b:Source>
  <b:Source>
    <b:Tag>Min15</b:Tag>
    <b:SourceType>DocumentFromInternetSite</b:SourceType>
    <b:Guid>{4BDB4248-EBD5-40A0-96A6-D37569A63A8F}</b:Guid>
    <b:Author>
      <b:Author>
        <b:Corporate>Ministry Of Defence</b:Corporate>
      </b:Author>
    </b:Author>
    <b:Title>JSP 520 Vol 11: Insensitive Munitions</b:Title>
    <b:Year>2015</b:Year>
    <b:Month>July</b:Month>
    <b:YearAccessed>2023</b:YearAccessed>
    <b:MonthAccessed>July</b:MonthAccessed>
    <b:DayAccessed>13</b:DayAccessed>
    <b:URL>https://assets.publishing.service.gov.uk/government/uploads/system/uploads/attachment_data/file/481368/20150813-JSP520_Pt2_Vol11_IM_Issue4.2_Final-U.pdf</b:URL>
    <b:RefOrder>20</b:RefOrder>
  </b:Source>
  <b:Source>
    <b:Tag>DES23</b:Tag>
    <b:SourceType>InternetSite</b:SourceType>
    <b:Guid>{CFBCF75F-6F8C-463D-8C78-2A62C978BDB5}</b:Guid>
    <b:Title>DE&amp;S places new order with BAE Systems to increase 155mm shells stockpile for British Army</b:Title>
    <b:Year>2023</b:Year>
    <b:Month>July</b:Month>
    <b:Day>11</b:Day>
    <b:YearAccessed>2023</b:YearAccessed>
    <b:MonthAccessed>July</b:MonthAccessed>
    <b:DayAccessed>13</b:DayAccessed>
    <b:URL>DE&amp;S places new order with BAE Systems to increase 155mm shells stockpile for British Army</b:URL>
    <b:Author>
      <b:Author>
        <b:Corporate>DE&amp;S</b:Corporate>
      </b:Author>
    </b:Author>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7FBC24-AA3E-4A06-A189-8F965EB49A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3829</TotalTime>
  <Pages>15</Pages>
  <Words>3459</Words>
  <Characters>19720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Considerations of explosive trains in artillery rounds during service life and use</vt:lpstr>
    </vt:vector>
  </TitlesOfParts>
  <Company>DSTL/UWTSD</Company>
  <LinksUpToDate>false</LinksUpToDate>
  <CharactersWithSpaces>23133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Considerations of explosive trains in artillery rounds during service life and use</dc:title>
  <dc:subject>Liam Stephenson 2011145</dc:subject>
  <dc:creator>Stephenson Liam J</dc:creator>
  <cp:keywords/>
  <dc:description/>
  <cp:lastModifiedBy>Stephenson Liam J</cp:lastModifiedBy>
  <cp:revision>49</cp:revision>
  <dcterms:created xsi:type="dcterms:W3CDTF">2023-07-13T12:48:00Z</dcterms:created>
  <dcterms:modified xsi:type="dcterms:W3CDTF">2023-07-16T22:46:00Z</dcterms:modified>
</cp:coreProperties>
</file>