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D1568" w:rsidRDefault="003D1568" w:rsidP="00650CD5">
      <w:pPr>
        <w:pStyle w:val="Title"/>
        <w:spacing w:line="360" w:lineRule="auto"/>
        <w:jc w:val="center"/>
        <w:rPr>
          <w:rFonts w:ascii="Times New Roman" w:eastAsia="Times New Roman" w:hAnsi="Times New Roman" w:cs="Times New Roman"/>
          <w:b/>
          <w:sz w:val="32"/>
          <w:szCs w:val="32"/>
        </w:rPr>
      </w:pPr>
      <w:bookmarkStart w:id="0" w:name="_6rgwdv3iwm8r" w:colFirst="0" w:colLast="0"/>
      <w:bookmarkEnd w:id="0"/>
    </w:p>
    <w:p w14:paraId="00000002" w14:textId="77777777" w:rsidR="003D1568" w:rsidRDefault="003D1568" w:rsidP="00650CD5">
      <w:pPr>
        <w:pStyle w:val="Title"/>
        <w:spacing w:line="360" w:lineRule="auto"/>
        <w:jc w:val="center"/>
        <w:rPr>
          <w:rFonts w:ascii="Times New Roman" w:eastAsia="Times New Roman" w:hAnsi="Times New Roman" w:cs="Times New Roman"/>
          <w:b/>
          <w:sz w:val="32"/>
          <w:szCs w:val="32"/>
        </w:rPr>
      </w:pPr>
      <w:bookmarkStart w:id="1" w:name="_g6ygiu5m4jq0" w:colFirst="0" w:colLast="0"/>
      <w:bookmarkEnd w:id="1"/>
    </w:p>
    <w:p w14:paraId="00000003" w14:textId="77777777" w:rsidR="003D1568" w:rsidRDefault="003D1568" w:rsidP="00650CD5">
      <w:pPr>
        <w:pStyle w:val="Title"/>
        <w:spacing w:line="360" w:lineRule="auto"/>
        <w:jc w:val="center"/>
        <w:rPr>
          <w:rFonts w:ascii="Times New Roman" w:eastAsia="Times New Roman" w:hAnsi="Times New Roman" w:cs="Times New Roman"/>
          <w:b/>
          <w:sz w:val="32"/>
          <w:szCs w:val="32"/>
        </w:rPr>
      </w:pPr>
      <w:bookmarkStart w:id="2" w:name="_s0hthql0zn0r" w:colFirst="0" w:colLast="0"/>
      <w:bookmarkEnd w:id="2"/>
    </w:p>
    <w:p w14:paraId="00000004" w14:textId="77777777" w:rsidR="003D1568" w:rsidRDefault="003D1568" w:rsidP="00650CD5">
      <w:pPr>
        <w:pStyle w:val="Title"/>
        <w:spacing w:line="360" w:lineRule="auto"/>
        <w:jc w:val="center"/>
        <w:rPr>
          <w:rFonts w:ascii="Times New Roman" w:eastAsia="Times New Roman" w:hAnsi="Times New Roman" w:cs="Times New Roman"/>
          <w:b/>
          <w:sz w:val="32"/>
          <w:szCs w:val="32"/>
        </w:rPr>
      </w:pPr>
      <w:bookmarkStart w:id="3" w:name="_2niqg79pcmzu" w:colFirst="0" w:colLast="0"/>
      <w:bookmarkEnd w:id="3"/>
    </w:p>
    <w:p w14:paraId="00000005" w14:textId="77777777" w:rsidR="003D1568" w:rsidRDefault="003D1568" w:rsidP="00650CD5">
      <w:pPr>
        <w:pStyle w:val="Title"/>
        <w:spacing w:line="360" w:lineRule="auto"/>
        <w:jc w:val="center"/>
        <w:rPr>
          <w:rFonts w:ascii="Times New Roman" w:eastAsia="Times New Roman" w:hAnsi="Times New Roman" w:cs="Times New Roman"/>
          <w:b/>
          <w:sz w:val="32"/>
          <w:szCs w:val="32"/>
        </w:rPr>
      </w:pPr>
      <w:bookmarkStart w:id="4" w:name="_lifjlo2e5qp3" w:colFirst="0" w:colLast="0"/>
      <w:bookmarkEnd w:id="4"/>
    </w:p>
    <w:p w14:paraId="00000006" w14:textId="77777777" w:rsidR="003D1568" w:rsidRDefault="003D1568" w:rsidP="00650CD5">
      <w:pPr>
        <w:pStyle w:val="Title"/>
        <w:spacing w:line="360" w:lineRule="auto"/>
        <w:jc w:val="center"/>
        <w:rPr>
          <w:rFonts w:ascii="Times New Roman" w:eastAsia="Times New Roman" w:hAnsi="Times New Roman" w:cs="Times New Roman"/>
          <w:b/>
          <w:sz w:val="32"/>
          <w:szCs w:val="32"/>
        </w:rPr>
      </w:pPr>
      <w:bookmarkStart w:id="5" w:name="_vf7n3zjzw95l" w:colFirst="0" w:colLast="0"/>
      <w:bookmarkEnd w:id="5"/>
    </w:p>
    <w:p w14:paraId="00000007" w14:textId="77777777" w:rsidR="003D1568" w:rsidRDefault="00DA5618" w:rsidP="00650CD5">
      <w:pPr>
        <w:pStyle w:val="Title"/>
        <w:spacing w:line="360" w:lineRule="auto"/>
        <w:jc w:val="center"/>
        <w:rPr>
          <w:rFonts w:ascii="Times New Roman" w:eastAsia="Times New Roman" w:hAnsi="Times New Roman" w:cs="Times New Roman"/>
          <w:b/>
          <w:sz w:val="32"/>
          <w:szCs w:val="32"/>
        </w:rPr>
      </w:pPr>
      <w:bookmarkStart w:id="6" w:name="_1q83845mamu6" w:colFirst="0" w:colLast="0"/>
      <w:bookmarkEnd w:id="6"/>
      <w:r>
        <w:rPr>
          <w:rFonts w:ascii="Times New Roman" w:eastAsia="Times New Roman" w:hAnsi="Times New Roman" w:cs="Times New Roman"/>
          <w:b/>
          <w:sz w:val="32"/>
          <w:szCs w:val="32"/>
        </w:rPr>
        <w:t>HUMAN RESOURCE MANAGEMENT</w:t>
      </w:r>
      <w:r>
        <w:br w:type="page"/>
      </w:r>
    </w:p>
    <w:bookmarkStart w:id="7" w:name="_77mtazxwykpc" w:colFirst="0" w:colLast="0" w:displacedByCustomXml="next"/>
    <w:bookmarkEnd w:id="7" w:displacedByCustomXml="next"/>
    <w:sdt>
      <w:sdtPr>
        <w:rPr>
          <w:rFonts w:ascii="Arial" w:eastAsia="Arial" w:hAnsi="Arial" w:cs="Arial"/>
          <w:b w:val="0"/>
          <w:bCs w:val="0"/>
          <w:color w:val="auto"/>
          <w:sz w:val="22"/>
          <w:szCs w:val="22"/>
          <w:lang w:eastAsia="en-US"/>
        </w:rPr>
        <w:id w:val="1274522148"/>
        <w:docPartObj>
          <w:docPartGallery w:val="Table of Contents"/>
          <w:docPartUnique/>
        </w:docPartObj>
      </w:sdtPr>
      <w:sdtEndPr>
        <w:rPr>
          <w:noProof/>
        </w:rPr>
      </w:sdtEndPr>
      <w:sdtContent>
        <w:p w14:paraId="127E0A08" w14:textId="371E71AF" w:rsidR="00650CD5" w:rsidRPr="00A20335" w:rsidRDefault="00650CD5" w:rsidP="00650CD5">
          <w:pPr>
            <w:pStyle w:val="TOCHeading"/>
            <w:spacing w:line="360" w:lineRule="auto"/>
            <w:jc w:val="center"/>
            <w:rPr>
              <w:rFonts w:ascii="Times New Roman" w:hAnsi="Times New Roman" w:cs="Times New Roman"/>
              <w:color w:val="000000" w:themeColor="text1"/>
              <w:sz w:val="24"/>
              <w:szCs w:val="24"/>
            </w:rPr>
          </w:pPr>
          <w:r w:rsidRPr="00A20335">
            <w:rPr>
              <w:rFonts w:ascii="Times New Roman" w:hAnsi="Times New Roman" w:cs="Times New Roman"/>
              <w:color w:val="000000" w:themeColor="text1"/>
              <w:sz w:val="24"/>
              <w:szCs w:val="24"/>
            </w:rPr>
            <w:t>Table of Contents</w:t>
          </w:r>
        </w:p>
        <w:p w14:paraId="6B2FB3DC" w14:textId="77777777" w:rsidR="00650CD5" w:rsidRPr="00650CD5" w:rsidRDefault="00650CD5" w:rsidP="00650CD5">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31869728" w:history="1">
            <w:r w:rsidRPr="00650CD5">
              <w:rPr>
                <w:rStyle w:val="Hyperlink"/>
                <w:rFonts w:ascii="Times New Roman" w:hAnsi="Times New Roman" w:cs="Times New Roman"/>
                <w:noProof/>
                <w:sz w:val="24"/>
                <w:szCs w:val="24"/>
              </w:rPr>
              <w:t>Introduction</w:t>
            </w:r>
            <w:r w:rsidRPr="00650CD5">
              <w:rPr>
                <w:rFonts w:ascii="Times New Roman" w:hAnsi="Times New Roman" w:cs="Times New Roman"/>
                <w:noProof/>
                <w:webHidden/>
                <w:sz w:val="24"/>
                <w:szCs w:val="24"/>
              </w:rPr>
              <w:tab/>
            </w:r>
            <w:r w:rsidRPr="00650CD5">
              <w:rPr>
                <w:rFonts w:ascii="Times New Roman" w:hAnsi="Times New Roman" w:cs="Times New Roman"/>
                <w:noProof/>
                <w:webHidden/>
                <w:sz w:val="24"/>
                <w:szCs w:val="24"/>
              </w:rPr>
              <w:fldChar w:fldCharType="begin"/>
            </w:r>
            <w:r w:rsidRPr="00650CD5">
              <w:rPr>
                <w:rFonts w:ascii="Times New Roman" w:hAnsi="Times New Roman" w:cs="Times New Roman"/>
                <w:noProof/>
                <w:webHidden/>
                <w:sz w:val="24"/>
                <w:szCs w:val="24"/>
              </w:rPr>
              <w:instrText xml:space="preserve"> PAGEREF _Toc131869728 \h </w:instrText>
            </w:r>
            <w:r w:rsidRPr="00650CD5">
              <w:rPr>
                <w:rFonts w:ascii="Times New Roman" w:hAnsi="Times New Roman" w:cs="Times New Roman"/>
                <w:noProof/>
                <w:webHidden/>
                <w:sz w:val="24"/>
                <w:szCs w:val="24"/>
              </w:rPr>
            </w:r>
            <w:r w:rsidRPr="00650CD5">
              <w:rPr>
                <w:rFonts w:ascii="Times New Roman" w:hAnsi="Times New Roman" w:cs="Times New Roman"/>
                <w:noProof/>
                <w:webHidden/>
                <w:sz w:val="24"/>
                <w:szCs w:val="24"/>
              </w:rPr>
              <w:fldChar w:fldCharType="separate"/>
            </w:r>
            <w:r w:rsidRPr="00650CD5">
              <w:rPr>
                <w:rFonts w:ascii="Times New Roman" w:hAnsi="Times New Roman" w:cs="Times New Roman"/>
                <w:noProof/>
                <w:webHidden/>
                <w:sz w:val="24"/>
                <w:szCs w:val="24"/>
              </w:rPr>
              <w:t>2</w:t>
            </w:r>
            <w:r w:rsidRPr="00650CD5">
              <w:rPr>
                <w:rFonts w:ascii="Times New Roman" w:hAnsi="Times New Roman" w:cs="Times New Roman"/>
                <w:noProof/>
                <w:webHidden/>
                <w:sz w:val="24"/>
                <w:szCs w:val="24"/>
              </w:rPr>
              <w:fldChar w:fldCharType="end"/>
            </w:r>
          </w:hyperlink>
        </w:p>
        <w:p w14:paraId="2013F529" w14:textId="77777777" w:rsidR="00650CD5" w:rsidRPr="00650CD5" w:rsidRDefault="00000000" w:rsidP="00650CD5">
          <w:pPr>
            <w:pStyle w:val="TOC1"/>
            <w:tabs>
              <w:tab w:val="right" w:leader="dot" w:pos="9350"/>
            </w:tabs>
            <w:spacing w:line="360" w:lineRule="auto"/>
            <w:rPr>
              <w:rFonts w:ascii="Times New Roman" w:hAnsi="Times New Roman" w:cs="Times New Roman"/>
              <w:noProof/>
              <w:sz w:val="24"/>
              <w:szCs w:val="24"/>
            </w:rPr>
          </w:pPr>
          <w:hyperlink w:anchor="_Toc131869729" w:history="1">
            <w:r w:rsidR="00650CD5" w:rsidRPr="00650CD5">
              <w:rPr>
                <w:rStyle w:val="Hyperlink"/>
                <w:rFonts w:ascii="Times New Roman" w:hAnsi="Times New Roman" w:cs="Times New Roman"/>
                <w:noProof/>
                <w:sz w:val="24"/>
                <w:szCs w:val="24"/>
              </w:rPr>
              <w:t>The present incarnation of the UK employment market</w:t>
            </w:r>
            <w:r w:rsidR="00650CD5" w:rsidRPr="00650CD5">
              <w:rPr>
                <w:rFonts w:ascii="Times New Roman" w:hAnsi="Times New Roman" w:cs="Times New Roman"/>
                <w:noProof/>
                <w:webHidden/>
                <w:sz w:val="24"/>
                <w:szCs w:val="24"/>
              </w:rPr>
              <w:tab/>
            </w:r>
            <w:r w:rsidR="00650CD5" w:rsidRPr="00650CD5">
              <w:rPr>
                <w:rFonts w:ascii="Times New Roman" w:hAnsi="Times New Roman" w:cs="Times New Roman"/>
                <w:noProof/>
                <w:webHidden/>
                <w:sz w:val="24"/>
                <w:szCs w:val="24"/>
              </w:rPr>
              <w:fldChar w:fldCharType="begin"/>
            </w:r>
            <w:r w:rsidR="00650CD5" w:rsidRPr="00650CD5">
              <w:rPr>
                <w:rFonts w:ascii="Times New Roman" w:hAnsi="Times New Roman" w:cs="Times New Roman"/>
                <w:noProof/>
                <w:webHidden/>
                <w:sz w:val="24"/>
                <w:szCs w:val="24"/>
              </w:rPr>
              <w:instrText xml:space="preserve"> PAGEREF _Toc131869729 \h </w:instrText>
            </w:r>
            <w:r w:rsidR="00650CD5" w:rsidRPr="00650CD5">
              <w:rPr>
                <w:rFonts w:ascii="Times New Roman" w:hAnsi="Times New Roman" w:cs="Times New Roman"/>
                <w:noProof/>
                <w:webHidden/>
                <w:sz w:val="24"/>
                <w:szCs w:val="24"/>
              </w:rPr>
            </w:r>
            <w:r w:rsidR="00650CD5" w:rsidRPr="00650CD5">
              <w:rPr>
                <w:rFonts w:ascii="Times New Roman" w:hAnsi="Times New Roman" w:cs="Times New Roman"/>
                <w:noProof/>
                <w:webHidden/>
                <w:sz w:val="24"/>
                <w:szCs w:val="24"/>
              </w:rPr>
              <w:fldChar w:fldCharType="separate"/>
            </w:r>
            <w:r w:rsidR="00650CD5" w:rsidRPr="00650CD5">
              <w:rPr>
                <w:rFonts w:ascii="Times New Roman" w:hAnsi="Times New Roman" w:cs="Times New Roman"/>
                <w:noProof/>
                <w:webHidden/>
                <w:sz w:val="24"/>
                <w:szCs w:val="24"/>
              </w:rPr>
              <w:t>2</w:t>
            </w:r>
            <w:r w:rsidR="00650CD5" w:rsidRPr="00650CD5">
              <w:rPr>
                <w:rFonts w:ascii="Times New Roman" w:hAnsi="Times New Roman" w:cs="Times New Roman"/>
                <w:noProof/>
                <w:webHidden/>
                <w:sz w:val="24"/>
                <w:szCs w:val="24"/>
              </w:rPr>
              <w:fldChar w:fldCharType="end"/>
            </w:r>
          </w:hyperlink>
        </w:p>
        <w:p w14:paraId="38B0F1A6" w14:textId="77777777" w:rsidR="00650CD5" w:rsidRPr="00650CD5" w:rsidRDefault="00000000" w:rsidP="00650CD5">
          <w:pPr>
            <w:pStyle w:val="TOC1"/>
            <w:tabs>
              <w:tab w:val="right" w:leader="dot" w:pos="9350"/>
            </w:tabs>
            <w:spacing w:line="360" w:lineRule="auto"/>
            <w:rPr>
              <w:rFonts w:ascii="Times New Roman" w:hAnsi="Times New Roman" w:cs="Times New Roman"/>
              <w:noProof/>
              <w:sz w:val="24"/>
              <w:szCs w:val="24"/>
            </w:rPr>
          </w:pPr>
          <w:hyperlink w:anchor="_Toc131869730" w:history="1">
            <w:r w:rsidR="00650CD5" w:rsidRPr="00650CD5">
              <w:rPr>
                <w:rStyle w:val="Hyperlink"/>
                <w:rFonts w:ascii="Times New Roman" w:hAnsi="Times New Roman" w:cs="Times New Roman"/>
                <w:noProof/>
                <w:sz w:val="24"/>
                <w:szCs w:val="24"/>
              </w:rPr>
              <w:t>The arising transitions in HR approaches in the post-Covid, post-Brexit context.</w:t>
            </w:r>
            <w:r w:rsidR="00650CD5" w:rsidRPr="00650CD5">
              <w:rPr>
                <w:rFonts w:ascii="Times New Roman" w:hAnsi="Times New Roman" w:cs="Times New Roman"/>
                <w:noProof/>
                <w:webHidden/>
                <w:sz w:val="24"/>
                <w:szCs w:val="24"/>
              </w:rPr>
              <w:tab/>
            </w:r>
            <w:r w:rsidR="00650CD5" w:rsidRPr="00650CD5">
              <w:rPr>
                <w:rFonts w:ascii="Times New Roman" w:hAnsi="Times New Roman" w:cs="Times New Roman"/>
                <w:noProof/>
                <w:webHidden/>
                <w:sz w:val="24"/>
                <w:szCs w:val="24"/>
              </w:rPr>
              <w:fldChar w:fldCharType="begin"/>
            </w:r>
            <w:r w:rsidR="00650CD5" w:rsidRPr="00650CD5">
              <w:rPr>
                <w:rFonts w:ascii="Times New Roman" w:hAnsi="Times New Roman" w:cs="Times New Roman"/>
                <w:noProof/>
                <w:webHidden/>
                <w:sz w:val="24"/>
                <w:szCs w:val="24"/>
              </w:rPr>
              <w:instrText xml:space="preserve"> PAGEREF _Toc131869730 \h </w:instrText>
            </w:r>
            <w:r w:rsidR="00650CD5" w:rsidRPr="00650CD5">
              <w:rPr>
                <w:rFonts w:ascii="Times New Roman" w:hAnsi="Times New Roman" w:cs="Times New Roman"/>
                <w:noProof/>
                <w:webHidden/>
                <w:sz w:val="24"/>
                <w:szCs w:val="24"/>
              </w:rPr>
            </w:r>
            <w:r w:rsidR="00650CD5" w:rsidRPr="00650CD5">
              <w:rPr>
                <w:rFonts w:ascii="Times New Roman" w:hAnsi="Times New Roman" w:cs="Times New Roman"/>
                <w:noProof/>
                <w:webHidden/>
                <w:sz w:val="24"/>
                <w:szCs w:val="24"/>
              </w:rPr>
              <w:fldChar w:fldCharType="separate"/>
            </w:r>
            <w:r w:rsidR="00650CD5" w:rsidRPr="00650CD5">
              <w:rPr>
                <w:rFonts w:ascii="Times New Roman" w:hAnsi="Times New Roman" w:cs="Times New Roman"/>
                <w:noProof/>
                <w:webHidden/>
                <w:sz w:val="24"/>
                <w:szCs w:val="24"/>
              </w:rPr>
              <w:t>4</w:t>
            </w:r>
            <w:r w:rsidR="00650CD5" w:rsidRPr="00650CD5">
              <w:rPr>
                <w:rFonts w:ascii="Times New Roman" w:hAnsi="Times New Roman" w:cs="Times New Roman"/>
                <w:noProof/>
                <w:webHidden/>
                <w:sz w:val="24"/>
                <w:szCs w:val="24"/>
              </w:rPr>
              <w:fldChar w:fldCharType="end"/>
            </w:r>
          </w:hyperlink>
        </w:p>
        <w:p w14:paraId="77333947" w14:textId="77777777" w:rsidR="00650CD5" w:rsidRPr="00650CD5" w:rsidRDefault="00000000" w:rsidP="00650CD5">
          <w:pPr>
            <w:pStyle w:val="TOC1"/>
            <w:tabs>
              <w:tab w:val="right" w:leader="dot" w:pos="9350"/>
            </w:tabs>
            <w:spacing w:line="360" w:lineRule="auto"/>
            <w:rPr>
              <w:rFonts w:ascii="Times New Roman" w:hAnsi="Times New Roman" w:cs="Times New Roman"/>
              <w:noProof/>
              <w:sz w:val="24"/>
              <w:szCs w:val="24"/>
            </w:rPr>
          </w:pPr>
          <w:hyperlink w:anchor="_Toc131869731" w:history="1">
            <w:r w:rsidR="00650CD5" w:rsidRPr="00650CD5">
              <w:rPr>
                <w:rStyle w:val="Hyperlink"/>
                <w:rFonts w:ascii="Times New Roman" w:hAnsi="Times New Roman" w:cs="Times New Roman"/>
                <w:noProof/>
                <w:sz w:val="24"/>
                <w:szCs w:val="24"/>
              </w:rPr>
              <w:t>Conclusion</w:t>
            </w:r>
            <w:r w:rsidR="00650CD5" w:rsidRPr="00650CD5">
              <w:rPr>
                <w:rFonts w:ascii="Times New Roman" w:hAnsi="Times New Roman" w:cs="Times New Roman"/>
                <w:noProof/>
                <w:webHidden/>
                <w:sz w:val="24"/>
                <w:szCs w:val="24"/>
              </w:rPr>
              <w:tab/>
            </w:r>
            <w:r w:rsidR="00650CD5" w:rsidRPr="00650CD5">
              <w:rPr>
                <w:rFonts w:ascii="Times New Roman" w:hAnsi="Times New Roman" w:cs="Times New Roman"/>
                <w:noProof/>
                <w:webHidden/>
                <w:sz w:val="24"/>
                <w:szCs w:val="24"/>
              </w:rPr>
              <w:fldChar w:fldCharType="begin"/>
            </w:r>
            <w:r w:rsidR="00650CD5" w:rsidRPr="00650CD5">
              <w:rPr>
                <w:rFonts w:ascii="Times New Roman" w:hAnsi="Times New Roman" w:cs="Times New Roman"/>
                <w:noProof/>
                <w:webHidden/>
                <w:sz w:val="24"/>
                <w:szCs w:val="24"/>
              </w:rPr>
              <w:instrText xml:space="preserve"> PAGEREF _Toc131869731 \h </w:instrText>
            </w:r>
            <w:r w:rsidR="00650CD5" w:rsidRPr="00650CD5">
              <w:rPr>
                <w:rFonts w:ascii="Times New Roman" w:hAnsi="Times New Roman" w:cs="Times New Roman"/>
                <w:noProof/>
                <w:webHidden/>
                <w:sz w:val="24"/>
                <w:szCs w:val="24"/>
              </w:rPr>
            </w:r>
            <w:r w:rsidR="00650CD5" w:rsidRPr="00650CD5">
              <w:rPr>
                <w:rFonts w:ascii="Times New Roman" w:hAnsi="Times New Roman" w:cs="Times New Roman"/>
                <w:noProof/>
                <w:webHidden/>
                <w:sz w:val="24"/>
                <w:szCs w:val="24"/>
              </w:rPr>
              <w:fldChar w:fldCharType="separate"/>
            </w:r>
            <w:r w:rsidR="00650CD5" w:rsidRPr="00650CD5">
              <w:rPr>
                <w:rFonts w:ascii="Times New Roman" w:hAnsi="Times New Roman" w:cs="Times New Roman"/>
                <w:noProof/>
                <w:webHidden/>
                <w:sz w:val="24"/>
                <w:szCs w:val="24"/>
              </w:rPr>
              <w:t>7</w:t>
            </w:r>
            <w:r w:rsidR="00650CD5" w:rsidRPr="00650CD5">
              <w:rPr>
                <w:rFonts w:ascii="Times New Roman" w:hAnsi="Times New Roman" w:cs="Times New Roman"/>
                <w:noProof/>
                <w:webHidden/>
                <w:sz w:val="24"/>
                <w:szCs w:val="24"/>
              </w:rPr>
              <w:fldChar w:fldCharType="end"/>
            </w:r>
          </w:hyperlink>
        </w:p>
        <w:p w14:paraId="0329600B" w14:textId="77777777" w:rsidR="00650CD5" w:rsidRDefault="00000000" w:rsidP="00650CD5">
          <w:pPr>
            <w:pStyle w:val="TOC1"/>
            <w:tabs>
              <w:tab w:val="right" w:leader="dot" w:pos="9350"/>
            </w:tabs>
            <w:spacing w:line="360" w:lineRule="auto"/>
            <w:rPr>
              <w:noProof/>
            </w:rPr>
          </w:pPr>
          <w:hyperlink w:anchor="_Toc131869732" w:history="1">
            <w:r w:rsidR="00650CD5" w:rsidRPr="00650CD5">
              <w:rPr>
                <w:rStyle w:val="Hyperlink"/>
                <w:rFonts w:ascii="Times New Roman" w:hAnsi="Times New Roman" w:cs="Times New Roman"/>
                <w:noProof/>
                <w:sz w:val="24"/>
                <w:szCs w:val="24"/>
              </w:rPr>
              <w:t>Reference List</w:t>
            </w:r>
            <w:r w:rsidR="00650CD5" w:rsidRPr="00650CD5">
              <w:rPr>
                <w:rFonts w:ascii="Times New Roman" w:hAnsi="Times New Roman" w:cs="Times New Roman"/>
                <w:noProof/>
                <w:webHidden/>
                <w:sz w:val="24"/>
                <w:szCs w:val="24"/>
              </w:rPr>
              <w:tab/>
            </w:r>
            <w:r w:rsidR="00650CD5" w:rsidRPr="00650CD5">
              <w:rPr>
                <w:rFonts w:ascii="Times New Roman" w:hAnsi="Times New Roman" w:cs="Times New Roman"/>
                <w:noProof/>
                <w:webHidden/>
                <w:sz w:val="24"/>
                <w:szCs w:val="24"/>
              </w:rPr>
              <w:fldChar w:fldCharType="begin"/>
            </w:r>
            <w:r w:rsidR="00650CD5" w:rsidRPr="00650CD5">
              <w:rPr>
                <w:rFonts w:ascii="Times New Roman" w:hAnsi="Times New Roman" w:cs="Times New Roman"/>
                <w:noProof/>
                <w:webHidden/>
                <w:sz w:val="24"/>
                <w:szCs w:val="24"/>
              </w:rPr>
              <w:instrText xml:space="preserve"> PAGEREF _Toc131869732 \h </w:instrText>
            </w:r>
            <w:r w:rsidR="00650CD5" w:rsidRPr="00650CD5">
              <w:rPr>
                <w:rFonts w:ascii="Times New Roman" w:hAnsi="Times New Roman" w:cs="Times New Roman"/>
                <w:noProof/>
                <w:webHidden/>
                <w:sz w:val="24"/>
                <w:szCs w:val="24"/>
              </w:rPr>
            </w:r>
            <w:r w:rsidR="00650CD5" w:rsidRPr="00650CD5">
              <w:rPr>
                <w:rFonts w:ascii="Times New Roman" w:hAnsi="Times New Roman" w:cs="Times New Roman"/>
                <w:noProof/>
                <w:webHidden/>
                <w:sz w:val="24"/>
                <w:szCs w:val="24"/>
              </w:rPr>
              <w:fldChar w:fldCharType="separate"/>
            </w:r>
            <w:r w:rsidR="00650CD5" w:rsidRPr="00650CD5">
              <w:rPr>
                <w:rFonts w:ascii="Times New Roman" w:hAnsi="Times New Roman" w:cs="Times New Roman"/>
                <w:noProof/>
                <w:webHidden/>
                <w:sz w:val="24"/>
                <w:szCs w:val="24"/>
              </w:rPr>
              <w:t>9</w:t>
            </w:r>
            <w:r w:rsidR="00650CD5" w:rsidRPr="00650CD5">
              <w:rPr>
                <w:rFonts w:ascii="Times New Roman" w:hAnsi="Times New Roman" w:cs="Times New Roman"/>
                <w:noProof/>
                <w:webHidden/>
                <w:sz w:val="24"/>
                <w:szCs w:val="24"/>
              </w:rPr>
              <w:fldChar w:fldCharType="end"/>
            </w:r>
          </w:hyperlink>
        </w:p>
        <w:p w14:paraId="08539161" w14:textId="6556343A" w:rsidR="00650CD5" w:rsidRDefault="00650CD5" w:rsidP="00650CD5">
          <w:pPr>
            <w:spacing w:line="360" w:lineRule="auto"/>
          </w:pPr>
          <w:r>
            <w:rPr>
              <w:b/>
              <w:bCs/>
              <w:noProof/>
            </w:rPr>
            <w:fldChar w:fldCharType="end"/>
          </w:r>
        </w:p>
      </w:sdtContent>
    </w:sdt>
    <w:p w14:paraId="722FE8D2" w14:textId="77777777" w:rsidR="00650CD5" w:rsidRDefault="00650CD5" w:rsidP="00650CD5">
      <w:pPr>
        <w:spacing w:line="360" w:lineRule="auto"/>
        <w:rPr>
          <w:rFonts w:ascii="Times New Roman" w:eastAsia="Times New Roman" w:hAnsi="Times New Roman" w:cs="Times New Roman"/>
          <w:b/>
          <w:sz w:val="28"/>
          <w:szCs w:val="28"/>
        </w:rPr>
      </w:pPr>
      <w:bookmarkStart w:id="8" w:name="_Toc131869728"/>
      <w:r>
        <w:br w:type="page"/>
      </w:r>
    </w:p>
    <w:p w14:paraId="00000008" w14:textId="3EEF0216" w:rsidR="003D1568" w:rsidRDefault="00DA5618" w:rsidP="00650CD5">
      <w:pPr>
        <w:pStyle w:val="Heading1"/>
      </w:pPr>
      <w:r>
        <w:lastRenderedPageBreak/>
        <w:t>Introduction</w:t>
      </w:r>
      <w:bookmarkEnd w:id="8"/>
    </w:p>
    <w:p w14:paraId="00000009" w14:textId="6A6E609C"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(HRM) has experienced significant shifts in the past few decades as a consequence of a wide range of internal as well as external variables. The Covid-19 disease outbreak and Brexit have both had a particularly meaningful impact on economic development, necessitating a rethinking of HRM approaches and the development of new strategies and </w:t>
      </w:r>
      <w:r w:rsidR="00A20335">
        <w:rPr>
          <w:rFonts w:ascii="Times New Roman" w:eastAsia="Times New Roman" w:hAnsi="Times New Roman" w:cs="Times New Roman"/>
          <w:sz w:val="24"/>
          <w:szCs w:val="24"/>
        </w:rPr>
        <w:t>practices</w:t>
      </w:r>
      <w:r>
        <w:rPr>
          <w:rFonts w:ascii="Times New Roman" w:eastAsia="Times New Roman" w:hAnsi="Times New Roman" w:cs="Times New Roman"/>
          <w:sz w:val="24"/>
          <w:szCs w:val="24"/>
        </w:rPr>
        <w:t xml:space="preserve"> to help </w:t>
      </w:r>
      <w:r w:rsidR="00A2033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traverse this vast landscape. Specifically, it will examine the skills and competencies that are becoming increasingly important in today's job market, as well as the strategies and practices that organizations are adopting to attract and retain top talent in this new landscape. The report will begin by examining the impact of the pandemic and Brexit on the </w:t>
      </w:r>
      <w:r w:rsidR="00A20335">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and the key challenges and opportunities that organizations are facing as a result. It will then discuss the emerging trends and developments in human resourcing strategies, with a focus on the skills and competencies that are becoming increasingly important in today's job market. Finally, the report will examine the strategies and practices that organizations are adopting to build more agile and resilient workforces that are better equipped to navigate the challenges and opportunities of this new landscape.</w:t>
      </w:r>
    </w:p>
    <w:p w14:paraId="0000000A" w14:textId="77777777" w:rsidR="003D1568" w:rsidRDefault="00DA5618" w:rsidP="00650CD5">
      <w:pPr>
        <w:pStyle w:val="Heading1"/>
      </w:pPr>
      <w:bookmarkStart w:id="9" w:name="_jj9s9ecv06jy" w:colFirst="0" w:colLast="0"/>
      <w:bookmarkStart w:id="10" w:name="_Toc131869729"/>
      <w:bookmarkEnd w:id="9"/>
      <w:r>
        <w:t>The present incarnation of the UK employment market</w:t>
      </w:r>
      <w:bookmarkEnd w:id="10"/>
    </w:p>
    <w:p w14:paraId="0000000B" w14:textId="58038738"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A20335">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market in the UK is currently experiencing a number of trends and challenges that are affecting both employers and employees. Some of the key issues include </w:t>
      </w:r>
      <w:r w:rsidR="00A20335">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shortages, wage stagnation, and the impact of Brexit on the workforce. One of the most significant challenges facing employers in the UK is a shortage of skilled workers in certain sectors. This has been particularly acute in the healthcare, hospitality, and construction industries, where demand for workers has outstripped supply. The COVID-19 pandemic has also exacerbated these shortages, as workers have been forced to stay home due to illness or quarantine (</w:t>
      </w:r>
      <w:proofErr w:type="spellStart"/>
      <w:r>
        <w:rPr>
          <w:rFonts w:ascii="Times New Roman" w:eastAsia="Times New Roman" w:hAnsi="Times New Roman" w:cs="Times New Roman"/>
          <w:color w:val="222222"/>
          <w:sz w:val="24"/>
          <w:szCs w:val="24"/>
          <w:highlight w:val="white"/>
        </w:rPr>
        <w:t>Vaiman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At the same time, wage growth in the UK has been relatively slow in recent years, particularly for low-paid workers. This has been attributed to a number of factors, including competition from low-wage economies, the decline of unions and collective bargaining, and the rise of the gig economy. Many workers in the UK are also employed on zero-hours contracts, which offer little job security or benefits. Brexit has also had a significant impact on the UK labour market. The decision to leave the EU has led to uncertainty for many workers, particularly those from EU countries who may no longer have the right to work in the UK. This has contributed to labour shortages in certain sectors, particularly those that rely heavily on EU workers, such as </w:t>
      </w:r>
      <w:r>
        <w:rPr>
          <w:rFonts w:ascii="Times New Roman" w:eastAsia="Times New Roman" w:hAnsi="Times New Roman" w:cs="Times New Roman"/>
          <w:sz w:val="24"/>
          <w:szCs w:val="24"/>
        </w:rPr>
        <w:lastRenderedPageBreak/>
        <w:t xml:space="preserve">agriculture and food processing. In response to these challenges, the UK government has taken a number of steps to support the labour market. </w:t>
      </w:r>
    </w:p>
    <w:p w14:paraId="0000000C" w14:textId="77777777"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include investing in skills training and apprenticeships, increasing the minimum wage, and introducing new measures to improve job security and workers' rights. One of the key initiatives in this regard has been the introduction of the National Living Wage, which is designed to ensure that workers are paid a fair wage for their labour. The government has also introduced new measures to crack down on abusive employment practices, such as zero-hours contracts and unpaid internships (</w:t>
      </w:r>
      <w:proofErr w:type="spellStart"/>
      <w:r>
        <w:rPr>
          <w:rFonts w:ascii="Times New Roman" w:eastAsia="Times New Roman" w:hAnsi="Times New Roman" w:cs="Times New Roman"/>
          <w:color w:val="222222"/>
          <w:sz w:val="24"/>
          <w:szCs w:val="24"/>
          <w:highlight w:val="white"/>
        </w:rPr>
        <w:t>Roumpi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In addition to these measures, the UK government has also sought to attract skilled workers from overseas. This has included the introduction of a new points-based immigration system, which is designed to prioritize workers with the skills and experience that the UK economy needs. Despite these efforts, however, the UK labour market continues to face a number of challenges, particularly in the wake of the COVID-19 pandemic. The government will need to continue to invest in training and support for workers, as well as take steps to attract skilled workers from overseas if it is to address these challenges and ensure that the UK labour market remains competitive and dynamic in the years to come. In order to gain a comprehensive understanding of the current state of the labour market in the UK, it is important to engage with a wide range of literature and research on the topic. This involves conducting thorough research into the latest trends, issues, and challenges facing the labour market in the UK, and critically analyzing and synthesizing this information to draw informed conclusions. </w:t>
      </w:r>
    </w:p>
    <w:p w14:paraId="0000000D" w14:textId="77777777"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key sources of literature on the UK labour market include academic journals, government reports, industry publications, and news articles. By engaging with a variety of these sources, individuals can gain a deeper understanding of the complexities of the labour market, and the factors that are shaping its current state. In order to develop a comprehensive understanding of the current state of the labour market in the UK, it is important to have a solid foundation of knowledge and understanding of the key concepts and theories related to labour economics, human resource management, and employment law (</w:t>
      </w:r>
      <w:r>
        <w:rPr>
          <w:rFonts w:ascii="Times New Roman" w:eastAsia="Times New Roman" w:hAnsi="Times New Roman" w:cs="Times New Roman"/>
          <w:color w:val="222222"/>
          <w:sz w:val="24"/>
          <w:szCs w:val="24"/>
          <w:highlight w:val="white"/>
        </w:rPr>
        <w:t xml:space="preserve">Malik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This involves acquiring knowledge of key concepts such as labour supply and demand, wage determination, and the impact of globalization on the labour market. It also involves understanding the legal framework that governs employment relationships in the UK, including laws related to discrimination, unfair dismissal, and minimum wage requirements. By developing </w:t>
      </w:r>
      <w:r>
        <w:rPr>
          <w:rFonts w:ascii="Times New Roman" w:eastAsia="Times New Roman" w:hAnsi="Times New Roman" w:cs="Times New Roman"/>
          <w:sz w:val="24"/>
          <w:szCs w:val="24"/>
        </w:rPr>
        <w:lastRenderedPageBreak/>
        <w:t xml:space="preserve">a strong knowledge and understanding of these concepts and theories, individuals can gain a deeper understanding of the underlying factors that are shaping the current state of the labour market in the UK. In addition to acquiring knowledge and understanding of key concepts and theories, individuals also need to develop a range of cognitive and intellectual skills in order to critically analyze and evaluate the current state of the labour market in the UK. This involves developing skills such as critical thinking, problem-solving, and analytical reasoning, in order to identify the key issues and challenges facing the labour market and to develop effective strategies for addressing these issues. </w:t>
      </w:r>
    </w:p>
    <w:p w14:paraId="0000000E" w14:textId="77777777"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Individuals also need to be able to evaluate the effectiveness of different policies and practices related to the labour market and assess their potential impact on both employers and employees. This requires the ability to weigh the costs and benefits of different approaches and to make informed decisions based on a thorough understanding of the relevant issues and challenges. In order to effectively address the challenges facing the labour market in the UK, individuals also need to develop practical application skills, such as project management, leadership, and communication (</w:t>
      </w:r>
      <w:proofErr w:type="spellStart"/>
      <w:r>
        <w:rPr>
          <w:rFonts w:ascii="Times New Roman" w:eastAsia="Times New Roman" w:hAnsi="Times New Roman" w:cs="Times New Roman"/>
          <w:color w:val="222222"/>
          <w:sz w:val="24"/>
          <w:szCs w:val="24"/>
          <w:highlight w:val="white"/>
        </w:rPr>
        <w:t>Moradlou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This involves developing the ability to plan and implement effective strategies for addressing labour market issues and to lead and motivate teams of employees to achieve their goals. It also involves developing strong communication skills, both written and verbal, in order to effectively convey information and ideas to stakeholders across different levels of an organization. Finally, individuals also need to develop a range of transferable skills that are applicable across different contexts and settings, both in their personal and professional lives. These include skills such as teamwork, adaptability, and resilience, which are essential for navigating the complexities of the labour market, as well as for success in other areas of life. By developing these skills, individuals can not only achieve success in their careers, but also in their personal lives, and can make meaningful contributions to their communities and society as a whole.</w:t>
      </w:r>
    </w:p>
    <w:p w14:paraId="0000000F" w14:textId="77777777" w:rsidR="003D1568" w:rsidRDefault="00DA5618" w:rsidP="00650CD5">
      <w:pPr>
        <w:pStyle w:val="Heading1"/>
      </w:pPr>
      <w:bookmarkStart w:id="11" w:name="_7cz9p5t5gwaz" w:colFirst="0" w:colLast="0"/>
      <w:bookmarkStart w:id="12" w:name="_Toc131869730"/>
      <w:bookmarkEnd w:id="11"/>
      <w:r>
        <w:t>The arising transitions in HR approaches in the post-Covid, post-Brexit context.</w:t>
      </w:r>
      <w:bookmarkEnd w:id="12"/>
    </w:p>
    <w:p w14:paraId="00000010" w14:textId="77777777"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post-Covid, post-Brexit external environment has brought about significant changes in the way that organizations approach human resourcing strategies. One of the key changes is a greater focus on remote working, as many organizations have had to transition to remote or hybrid work models in response to the pandemic. This has required a rethinking of traditional recruitment and </w:t>
      </w:r>
      <w:r>
        <w:rPr>
          <w:rFonts w:ascii="Times New Roman" w:eastAsia="Times New Roman" w:hAnsi="Times New Roman" w:cs="Times New Roman"/>
          <w:sz w:val="24"/>
          <w:szCs w:val="24"/>
        </w:rPr>
        <w:lastRenderedPageBreak/>
        <w:t>selection processes, as well as a focus on new approaches to managing and motivating remote teams. Another key change has been a greater emphasis on diversity, equity, and inclusion (DEI) in the workplace. The Black Lives Matter movement, in particular, has brought renewed attention to the need for organizations to address systemic racism and other forms of discrimination in the workplace. This has led to a greater focus on building diverse and inclusive workforces, as well as developing strategies to address unconscious bias and promote equitable hiring and promotion practices (</w:t>
      </w:r>
      <w:proofErr w:type="spellStart"/>
      <w:r>
        <w:rPr>
          <w:rFonts w:ascii="Times New Roman" w:eastAsia="Times New Roman" w:hAnsi="Times New Roman" w:cs="Times New Roman"/>
          <w:color w:val="222222"/>
          <w:sz w:val="24"/>
          <w:szCs w:val="24"/>
          <w:highlight w:val="white"/>
        </w:rPr>
        <w:t>Martinescu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post-Covid, post-Brexit environment has also brought about significant changes in the skills and competencies that are required for success in the workplace. With many organizations transitioning to digital or hybrid work models, there is an increasing need for workers who have strong digital skills and the ability to work effectively in virtual or remote environments. At the same time, there is also a growing demand for workers who have strong problem-solving, critical thinking, and creative skills, as organizations seek to adapt to rapidly changing market conditions and customer demands. Finally, there has been a growing emphasis on employee well-being and mental health, as organizations recognize the impact of the pandemic and other external factors on employee health and productivity. </w:t>
      </w:r>
    </w:p>
    <w:p w14:paraId="00000011" w14:textId="77777777"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has led to a greater focus on developing workplace cultures that prioritize employee well-being and support, as well as investing in programs and resources to promote mental health and resilience among employees. In sum, the post-Covid, post-Brexit external environment has brought about significant changes in the way that organizations approach human resourcing strategies, with a greater emphasis on remote working, DEI, digital skills, problem-solving and creativity, and employee well-being. By adopting these new approaches and strategies, organizations can build more agile and resilient workforces that are better equipped to navigate the challenges and opportunities of this new landscape (</w:t>
      </w:r>
      <w:proofErr w:type="spellStart"/>
      <w:r>
        <w:rPr>
          <w:rFonts w:ascii="Times New Roman" w:eastAsia="Times New Roman" w:hAnsi="Times New Roman" w:cs="Times New Roman"/>
          <w:color w:val="222222"/>
          <w:sz w:val="24"/>
          <w:szCs w:val="24"/>
          <w:highlight w:val="white"/>
        </w:rPr>
        <w:t>Sindakis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The COVID-19 pandemic and Brexit have brought significant changes to the external environment in which businesses operate, including changes to the labour market and human resourcing strategies. In order to navigate this new landscape, businesses must develop effective human resourcing strategies that are tailored to the post-Covid, post-Brexit environment. This requires a range of skills and knowledge, including:</w:t>
      </w:r>
    </w:p>
    <w:p w14:paraId="00000012" w14:textId="77777777" w:rsidR="003D1568" w:rsidRDefault="00DA5618" w:rsidP="00650C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develop effective human resourcing strategies in the post-Covid, post-Brexit environment, businesses must engage with a wide range of literature and research on the </w:t>
      </w:r>
      <w:r>
        <w:rPr>
          <w:rFonts w:ascii="Times New Roman" w:eastAsia="Times New Roman" w:hAnsi="Times New Roman" w:cs="Times New Roman"/>
          <w:sz w:val="24"/>
          <w:szCs w:val="24"/>
        </w:rPr>
        <w:lastRenderedPageBreak/>
        <w:t>topic. This involves conducting thorough research into the latest trends, issues, and challenges facing businesses in the post-Covid, and post-Brexit environment, and critically analyzing and synthesizing this information to draw informed conclusions (</w:t>
      </w:r>
      <w:proofErr w:type="spellStart"/>
      <w:r>
        <w:rPr>
          <w:rFonts w:ascii="Times New Roman" w:eastAsia="Times New Roman" w:hAnsi="Times New Roman" w:cs="Times New Roman"/>
          <w:color w:val="222222"/>
          <w:sz w:val="24"/>
          <w:szCs w:val="24"/>
          <w:highlight w:val="white"/>
        </w:rPr>
        <w:t>Sarantinos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Some of the key sources of literature on human resourcing strategies in the post-Covid, post-Brexit environment include academic journals, industry reports, government publications, and news articles. By engaging with a variety of these sources, businesses can gain a deeper understanding of the emerging changes in the labour market, and the factors that are shaping the post-Covid, post-Brexit external environment.</w:t>
      </w:r>
    </w:p>
    <w:p w14:paraId="00000013" w14:textId="77777777" w:rsidR="003D1568" w:rsidRDefault="00DA5618" w:rsidP="00650C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develop effective human resourcing strategies in the post-Covid, post-Brexit environment, businesses must have a solid foundation of knowledge and understanding of the key concepts and theories related to human resource management, labour economics, and employment law. This involves acquiring knowledge of key concepts such as talent management, workforce planning, and employee engagement. It also involves understanding the legal framework that governs employment relationships in the post-Covid, post-Brexit environment, including changes to immigration policies and the impact of Brexit on employment law. By developing a strong knowledge and understanding of these concepts and theories, businesses can gain a deeper understanding of the challenges and opportunities presented by the post-Covid, and post-Brexit external environment, and can develop effective strategies for addressing these challenges.</w:t>
      </w:r>
    </w:p>
    <w:p w14:paraId="00000014" w14:textId="77777777" w:rsidR="003D1568" w:rsidRDefault="00DA5618" w:rsidP="00650C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acquiring knowledge and understanding of key concepts and theories, businesses also need to develop a range of cognitive and intellectual skills in order to navigate the challenges of the post-Covid, post-Brexit external environment. This involves developing skills such as critical thinking, problem-solving, and analytical reasoning, in order to identify the key challenges facing businesses in this new environment and to develop effective strategies for addressing these challenges (</w:t>
      </w:r>
      <w:r>
        <w:rPr>
          <w:rFonts w:ascii="Times New Roman" w:eastAsia="Times New Roman" w:hAnsi="Times New Roman" w:cs="Times New Roman"/>
          <w:color w:val="222222"/>
          <w:sz w:val="24"/>
          <w:szCs w:val="24"/>
          <w:highlight w:val="white"/>
        </w:rPr>
        <w:t xml:space="preserve">Salt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Businesses must also be capable of determining the efficacy of various human resources approaches in the post-Covid and post-Brexit environments, as well as their possible effects on both workers and their bosses. This necessitates the capacity to analyze the advantages and disadvantages of various approaches and make intelligent choices on the basis of an in-depth grasp of the problems and obstacles at hand.</w:t>
      </w:r>
    </w:p>
    <w:p w14:paraId="00000015" w14:textId="77777777" w:rsidR="003D1568" w:rsidRDefault="00DA5618" w:rsidP="00650C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order to effectively implement human resourcing strategies in the post-Covid, post-Brexit environment, businesses also need to develop practical application skills, such as project management, leadership, and communication. This involves developing the ability to plan and implement effective human resourcing strategies that are tailored to the specific needs of the post-Covid, post-Brexit environment. It also involves developing strong leadership skills, in order to motivate and engage employees in this new environment and to effectively communicate with stakeholders across different levels of an organization.</w:t>
      </w:r>
    </w:p>
    <w:p w14:paraId="00000016" w14:textId="77777777" w:rsidR="003D1568" w:rsidRDefault="00DA5618" w:rsidP="00650CD5">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businesses also need to develop a range of transferable skills that are applicable across different contexts and settings, both in their professional and personal lives. These include skills such as adaptability, resilience, and teamwork, which are essential for navigating the complexities of the post-Covid, post-Brexit external environment, as well as for success in other areas of life (</w:t>
      </w:r>
      <w:proofErr w:type="spellStart"/>
      <w:r>
        <w:rPr>
          <w:rFonts w:ascii="Times New Roman" w:eastAsia="Times New Roman" w:hAnsi="Times New Roman" w:cs="Times New Roman"/>
          <w:color w:val="222222"/>
          <w:sz w:val="24"/>
          <w:szCs w:val="24"/>
          <w:highlight w:val="white"/>
        </w:rPr>
        <w:t>Biginas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By developing these skills, businesses cannot only thrive in the post-Covid, post-Brexit environment but also build a more agile and resilient workforce that can adapt to changing circumstances in the future. </w:t>
      </w:r>
    </w:p>
    <w:p w14:paraId="00000017" w14:textId="77777777"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Ultimately, working to develop efficient employee resource planning techniques in the post-Covid, post-Brexit surrounding world necessitates a wide variety of abilities and information, such as literary works interaction, knowledge and comprehension, mental and intellectual skills, real applications abilities, and relevant experience for life and consultancy services. By developing these skills and staying abreast of the latest trends and developments in the labour market, businesses can successfully navigate the challenges and opportunities of this new landscape and emerge stronger and more competitive in the long term.</w:t>
      </w:r>
    </w:p>
    <w:p w14:paraId="00000018" w14:textId="77777777" w:rsidR="003D1568" w:rsidRDefault="00DA5618" w:rsidP="00650CD5">
      <w:pPr>
        <w:pStyle w:val="Heading1"/>
      </w:pPr>
      <w:bookmarkStart w:id="13" w:name="_97fjz0i35jqi" w:colFirst="0" w:colLast="0"/>
      <w:bookmarkStart w:id="14" w:name="_Toc131869731"/>
      <w:bookmarkEnd w:id="13"/>
      <w:r>
        <w:t>Conclusion</w:t>
      </w:r>
      <w:bookmarkEnd w:id="14"/>
    </w:p>
    <w:p w14:paraId="00000019" w14:textId="77777777" w:rsidR="003D1568" w:rsidRDefault="00DA5618" w:rsidP="00650CD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post-Covid, post-Brexit external environment has brought about significant changes in the field of human resource management, requiring organizations to adopt new approaches and strategies to attract and retain top talent in this new landscape. The pandemic and Brexit have led to a greater emphasis on remote working, diversity, equity, and inclusion, digital skills, problem-solving and creativity, and employee well-being, all of which have become increasingly important in today's job market. Organizations that are able to adapt to these emerging changes and develop more agile and resilient workforces will be better equipped to navigate the challenges and opportunities of this new landscape. This requires a willingness to </w:t>
      </w:r>
      <w:r>
        <w:rPr>
          <w:rFonts w:ascii="Times New Roman" w:eastAsia="Times New Roman" w:hAnsi="Times New Roman" w:cs="Times New Roman"/>
          <w:sz w:val="24"/>
          <w:szCs w:val="24"/>
        </w:rPr>
        <w:lastRenderedPageBreak/>
        <w:t>embrace new approaches and strategies and to invest in the development of the skills and competencies that are becoming increasingly important in today's job market. In the coming years, the field of human resource management is likely to continue to evolve, as organizations adapt to new technologies, changing market conditions, and evolving employee needs and expectations. By staying abreast of these emerging trends and developments, and by adopting a proactive and forward-thinking approach to HRM, organizations can build more resilient and successful workforces that are better equipped to navigate the challenges and opportunities of this new landscape. By critically reviewing and appraising current research and advanced scholarship, managers can gain a better understanding of the external and internal factors that influence their organization's resources, as well as the policies, procedures, and processes that can help them to optimize those resources. This knowledge can help managers to make more informed decisions and take actions that support long-term growth and success.</w:t>
      </w:r>
      <w:r>
        <w:br w:type="page"/>
      </w:r>
    </w:p>
    <w:p w14:paraId="0000001A" w14:textId="77777777" w:rsidR="003D1568" w:rsidRDefault="00DA5618" w:rsidP="00650CD5">
      <w:pPr>
        <w:pStyle w:val="Heading1"/>
      </w:pPr>
      <w:bookmarkStart w:id="15" w:name="_1fz9n5qfpr9z" w:colFirst="0" w:colLast="0"/>
      <w:bookmarkStart w:id="16" w:name="_Toc131869732"/>
      <w:bookmarkEnd w:id="15"/>
      <w:r>
        <w:lastRenderedPageBreak/>
        <w:t>Reference List</w:t>
      </w:r>
      <w:bookmarkEnd w:id="16"/>
    </w:p>
    <w:p w14:paraId="40CCA2DC"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Betcherman</w:t>
      </w:r>
      <w:proofErr w:type="spellEnd"/>
      <w:r>
        <w:rPr>
          <w:rFonts w:ascii="Times New Roman" w:eastAsia="Times New Roman" w:hAnsi="Times New Roman" w:cs="Times New Roman"/>
          <w:color w:val="222222"/>
          <w:sz w:val="24"/>
          <w:szCs w:val="24"/>
          <w:highlight w:val="white"/>
        </w:rPr>
        <w:t xml:space="preserve">, G., Giannakopoulos, N., </w:t>
      </w:r>
      <w:proofErr w:type="spellStart"/>
      <w:r>
        <w:rPr>
          <w:rFonts w:ascii="Times New Roman" w:eastAsia="Times New Roman" w:hAnsi="Times New Roman" w:cs="Times New Roman"/>
          <w:color w:val="222222"/>
          <w:sz w:val="24"/>
          <w:szCs w:val="24"/>
          <w:highlight w:val="white"/>
        </w:rPr>
        <w:t>Laliotis</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Pantelaiou</w:t>
      </w:r>
      <w:proofErr w:type="spellEnd"/>
      <w:r>
        <w:rPr>
          <w:rFonts w:ascii="Times New Roman" w:eastAsia="Times New Roman" w:hAnsi="Times New Roman" w:cs="Times New Roman"/>
          <w:color w:val="222222"/>
          <w:sz w:val="24"/>
          <w:szCs w:val="24"/>
          <w:highlight w:val="white"/>
        </w:rPr>
        <w:t xml:space="preserve">, I., Testaverde, M. and </w:t>
      </w:r>
      <w:proofErr w:type="spellStart"/>
      <w:r>
        <w:rPr>
          <w:rFonts w:ascii="Times New Roman" w:eastAsia="Times New Roman" w:hAnsi="Times New Roman" w:cs="Times New Roman"/>
          <w:color w:val="222222"/>
          <w:sz w:val="24"/>
          <w:szCs w:val="24"/>
          <w:highlight w:val="white"/>
        </w:rPr>
        <w:t>Tzimas</w:t>
      </w:r>
      <w:proofErr w:type="spellEnd"/>
      <w:r>
        <w:rPr>
          <w:rFonts w:ascii="Times New Roman" w:eastAsia="Times New Roman" w:hAnsi="Times New Roman" w:cs="Times New Roman"/>
          <w:color w:val="222222"/>
          <w:sz w:val="24"/>
          <w:szCs w:val="24"/>
          <w:highlight w:val="white"/>
        </w:rPr>
        <w:t>, G., 2020. Reacting quickly and protecting jobs: The short-term impacts of the COVID-19 lockdown on the Greek labor market.</w:t>
      </w:r>
    </w:p>
    <w:p w14:paraId="0590A6E5"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Biginas</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Koumproglou</w:t>
      </w:r>
      <w:proofErr w:type="spellEnd"/>
      <w:r>
        <w:rPr>
          <w:rFonts w:ascii="Times New Roman" w:eastAsia="Times New Roman" w:hAnsi="Times New Roman" w:cs="Times New Roman"/>
          <w:color w:val="222222"/>
          <w:sz w:val="24"/>
          <w:szCs w:val="24"/>
          <w:highlight w:val="white"/>
        </w:rPr>
        <w:t xml:space="preserve">, A., 2022. Small Businesses and the Changing Competitive Environment. In </w:t>
      </w:r>
      <w:r>
        <w:rPr>
          <w:rFonts w:ascii="Times New Roman" w:eastAsia="Times New Roman" w:hAnsi="Times New Roman" w:cs="Times New Roman"/>
          <w:i/>
          <w:color w:val="222222"/>
          <w:sz w:val="24"/>
          <w:szCs w:val="24"/>
          <w:highlight w:val="white"/>
        </w:rPr>
        <w:t>Small Business Management and Control of the Uncertain External Environment</w:t>
      </w:r>
      <w:r>
        <w:rPr>
          <w:rFonts w:ascii="Times New Roman" w:eastAsia="Times New Roman" w:hAnsi="Times New Roman" w:cs="Times New Roman"/>
          <w:color w:val="222222"/>
          <w:sz w:val="24"/>
          <w:szCs w:val="24"/>
          <w:highlight w:val="white"/>
        </w:rPr>
        <w:t>. Emerald Publishing Limited.</w:t>
      </w:r>
    </w:p>
    <w:p w14:paraId="195F51EC"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Brennan, N., Langdon, N., Bryce, M., Burns, L., Humphries, N., Knapton, A. and Gale, T., 2023. Drivers and barriers of international migration of doctors to and from the United Kingdom: a scoping review. </w:t>
      </w:r>
      <w:r>
        <w:rPr>
          <w:rFonts w:ascii="Times New Roman" w:eastAsia="Times New Roman" w:hAnsi="Times New Roman" w:cs="Times New Roman"/>
          <w:i/>
          <w:color w:val="222222"/>
          <w:sz w:val="24"/>
          <w:szCs w:val="24"/>
          <w:highlight w:val="white"/>
        </w:rPr>
        <w:t>Human Resources for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(1), p.11.</w:t>
      </w:r>
    </w:p>
    <w:p w14:paraId="78D67D15"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BRÎNZĂ, G., MAFTEI, M.M. and BUTNARU, G.I., 2022. ENTREPRENEURSHIP VERSUS EU LABOUR MARKET. CURRENT SITUATION AND PROSPECTS. </w:t>
      </w:r>
      <w:r>
        <w:rPr>
          <w:rFonts w:ascii="Times New Roman" w:eastAsia="Times New Roman" w:hAnsi="Times New Roman" w:cs="Times New Roman"/>
          <w:i/>
          <w:color w:val="222222"/>
          <w:sz w:val="24"/>
          <w:szCs w:val="24"/>
          <w:highlight w:val="white"/>
        </w:rPr>
        <w:t>EUROPEAN ADMINISTRATIVE AREA–INTEGRATION AND RESILIENCE DYNAMICS</w:t>
      </w:r>
      <w:r>
        <w:rPr>
          <w:rFonts w:ascii="Times New Roman" w:eastAsia="Times New Roman" w:hAnsi="Times New Roman" w:cs="Times New Roman"/>
          <w:color w:val="222222"/>
          <w:sz w:val="24"/>
          <w:szCs w:val="24"/>
          <w:highlight w:val="white"/>
        </w:rPr>
        <w:t>, p.97.</w:t>
      </w:r>
    </w:p>
    <w:p w14:paraId="5789913A"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Donald, W.E., Ashleigh, M.J. and Baruch, Y., 2022. The university-to-work transition: Responses of universities and organizations to the COVID-19 pandemic. </w:t>
      </w:r>
      <w:r>
        <w:rPr>
          <w:rFonts w:ascii="Times New Roman" w:eastAsia="Times New Roman" w:hAnsi="Times New Roman" w:cs="Times New Roman"/>
          <w:i/>
          <w:color w:val="222222"/>
          <w:sz w:val="24"/>
          <w:szCs w:val="24"/>
          <w:highlight w:val="white"/>
        </w:rPr>
        <w:t>Personnel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(9), pp.2201-2221.</w:t>
      </w:r>
    </w:p>
    <w:p w14:paraId="53954EFD"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Fiorentino</w:t>
      </w:r>
      <w:proofErr w:type="spellEnd"/>
      <w:r>
        <w:rPr>
          <w:rFonts w:ascii="Times New Roman" w:eastAsia="Times New Roman" w:hAnsi="Times New Roman" w:cs="Times New Roman"/>
          <w:color w:val="222222"/>
          <w:sz w:val="24"/>
          <w:szCs w:val="24"/>
          <w:highlight w:val="white"/>
        </w:rPr>
        <w:t xml:space="preserve">, S., Livingstone, N., McAllister, P. and Cooke, H., 2022. The future of the corporate office? Emerging trends in the post-Covid city. </w:t>
      </w:r>
      <w:r>
        <w:rPr>
          <w:rFonts w:ascii="Times New Roman" w:eastAsia="Times New Roman" w:hAnsi="Times New Roman" w:cs="Times New Roman"/>
          <w:i/>
          <w:color w:val="222222"/>
          <w:sz w:val="24"/>
          <w:szCs w:val="24"/>
          <w:highlight w:val="white"/>
        </w:rPr>
        <w:t xml:space="preserve">Cambridge Journal of Regions, </w:t>
      </w:r>
      <w:proofErr w:type="gramStart"/>
      <w:r>
        <w:rPr>
          <w:rFonts w:ascii="Times New Roman" w:eastAsia="Times New Roman" w:hAnsi="Times New Roman" w:cs="Times New Roman"/>
          <w:i/>
          <w:color w:val="222222"/>
          <w:sz w:val="24"/>
          <w:szCs w:val="24"/>
          <w:highlight w:val="white"/>
        </w:rPr>
        <w:t>Economy</w:t>
      </w:r>
      <w:proofErr w:type="gramEnd"/>
      <w:r>
        <w:rPr>
          <w:rFonts w:ascii="Times New Roman" w:eastAsia="Times New Roman" w:hAnsi="Times New Roman" w:cs="Times New Roman"/>
          <w:i/>
          <w:color w:val="222222"/>
          <w:sz w:val="24"/>
          <w:szCs w:val="24"/>
          <w:highlight w:val="white"/>
        </w:rPr>
        <w:t xml:space="preserve">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(3), pp.597-614.</w:t>
      </w:r>
    </w:p>
    <w:p w14:paraId="22040F7C"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Kumodji</w:t>
      </w:r>
      <w:proofErr w:type="spellEnd"/>
      <w:r>
        <w:rPr>
          <w:rFonts w:ascii="Times New Roman" w:eastAsia="Times New Roman" w:hAnsi="Times New Roman" w:cs="Times New Roman"/>
          <w:color w:val="222222"/>
          <w:sz w:val="24"/>
          <w:szCs w:val="24"/>
          <w:highlight w:val="white"/>
        </w:rPr>
        <w:t xml:space="preserve">, B.D., 2022. </w:t>
      </w:r>
      <w:r>
        <w:rPr>
          <w:rFonts w:ascii="Times New Roman" w:eastAsia="Times New Roman" w:hAnsi="Times New Roman" w:cs="Times New Roman"/>
          <w:i/>
          <w:color w:val="222222"/>
          <w:sz w:val="24"/>
          <w:szCs w:val="24"/>
          <w:highlight w:val="white"/>
        </w:rPr>
        <w:t>Exploring talent management practices in SMEs in a turbulent context: lessons from Brexit and Covid-19</w:t>
      </w:r>
      <w:r>
        <w:rPr>
          <w:rFonts w:ascii="Times New Roman" w:eastAsia="Times New Roman" w:hAnsi="Times New Roman" w:cs="Times New Roman"/>
          <w:color w:val="222222"/>
          <w:sz w:val="24"/>
          <w:szCs w:val="24"/>
          <w:highlight w:val="white"/>
        </w:rPr>
        <w:t xml:space="preserve"> (Doctoral dissertation, Birmingham City University).</w:t>
      </w:r>
    </w:p>
    <w:p w14:paraId="10D2DE25"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Malik, A. and Sanders, K., 2021. Managing human resources during a global crisis: A multilevel perspective. </w:t>
      </w:r>
      <w:r>
        <w:rPr>
          <w:rFonts w:ascii="Times New Roman" w:eastAsia="Times New Roman" w:hAnsi="Times New Roman" w:cs="Times New Roman"/>
          <w:i/>
          <w:color w:val="222222"/>
          <w:sz w:val="24"/>
          <w:szCs w:val="24"/>
          <w:highlight w:val="white"/>
        </w:rPr>
        <w:t>British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pp.1-19.</w:t>
      </w:r>
    </w:p>
    <w:p w14:paraId="04A0D99B"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Martinescu</w:t>
      </w:r>
      <w:proofErr w:type="spellEnd"/>
      <w:r>
        <w:rPr>
          <w:rFonts w:ascii="Times New Roman" w:eastAsia="Times New Roman" w:hAnsi="Times New Roman" w:cs="Times New Roman"/>
          <w:color w:val="222222"/>
          <w:sz w:val="24"/>
          <w:szCs w:val="24"/>
          <w:highlight w:val="white"/>
        </w:rPr>
        <w:t xml:space="preserve">, E., Edwards, M.R., </w:t>
      </w:r>
      <w:proofErr w:type="spellStart"/>
      <w:r>
        <w:rPr>
          <w:rFonts w:ascii="Times New Roman" w:eastAsia="Times New Roman" w:hAnsi="Times New Roman" w:cs="Times New Roman"/>
          <w:color w:val="222222"/>
          <w:sz w:val="24"/>
          <w:szCs w:val="24"/>
          <w:highlight w:val="white"/>
        </w:rPr>
        <w:t>Leite</w:t>
      </w:r>
      <w:proofErr w:type="spellEnd"/>
      <w:r>
        <w:rPr>
          <w:rFonts w:ascii="Times New Roman" w:eastAsia="Times New Roman" w:hAnsi="Times New Roman" w:cs="Times New Roman"/>
          <w:color w:val="222222"/>
          <w:sz w:val="24"/>
          <w:szCs w:val="24"/>
          <w:highlight w:val="white"/>
        </w:rPr>
        <w:t xml:space="preserve">, A.C., </w:t>
      </w:r>
      <w:proofErr w:type="spellStart"/>
      <w:r>
        <w:rPr>
          <w:rFonts w:ascii="Times New Roman" w:eastAsia="Times New Roman" w:hAnsi="Times New Roman" w:cs="Times New Roman"/>
          <w:color w:val="222222"/>
          <w:sz w:val="24"/>
          <w:szCs w:val="24"/>
          <w:highlight w:val="white"/>
        </w:rPr>
        <w:t>Randsley</w:t>
      </w:r>
      <w:proofErr w:type="spellEnd"/>
      <w:r>
        <w:rPr>
          <w:rFonts w:ascii="Times New Roman" w:eastAsia="Times New Roman" w:hAnsi="Times New Roman" w:cs="Times New Roman"/>
          <w:color w:val="222222"/>
          <w:sz w:val="24"/>
          <w:szCs w:val="24"/>
          <w:highlight w:val="white"/>
        </w:rPr>
        <w:t xml:space="preserve"> de Moura, G., Marques, A.G. and Abrams, D., 2022. The interactive effect of job skill level and citizenship status on job depression, work engagement and turnover intentions: A moderated mediation model in the context of macro‐level turbulence (of ‘Brexit’). </w:t>
      </w:r>
      <w:r>
        <w:rPr>
          <w:rFonts w:ascii="Times New Roman" w:eastAsia="Times New Roman" w:hAnsi="Times New Roman" w:cs="Times New Roman"/>
          <w:i/>
          <w:color w:val="222222"/>
          <w:sz w:val="24"/>
          <w:szCs w:val="24"/>
          <w:highlight w:val="white"/>
        </w:rPr>
        <w:t>Human Resource Management Journal</w:t>
      </w:r>
      <w:r>
        <w:rPr>
          <w:rFonts w:ascii="Times New Roman" w:eastAsia="Times New Roman" w:hAnsi="Times New Roman" w:cs="Times New Roman"/>
          <w:color w:val="222222"/>
          <w:sz w:val="24"/>
          <w:szCs w:val="24"/>
          <w:highlight w:val="white"/>
        </w:rPr>
        <w:t>.</w:t>
      </w:r>
    </w:p>
    <w:p w14:paraId="29C8D093"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Moradlou</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Fratocchi</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Skipworth</w:t>
      </w:r>
      <w:proofErr w:type="spellEnd"/>
      <w:r>
        <w:rPr>
          <w:rFonts w:ascii="Times New Roman" w:eastAsia="Times New Roman" w:hAnsi="Times New Roman" w:cs="Times New Roman"/>
          <w:color w:val="222222"/>
          <w:sz w:val="24"/>
          <w:szCs w:val="24"/>
          <w:highlight w:val="white"/>
        </w:rPr>
        <w:t xml:space="preserve">, H. and Ghadge, A., 2022. Post-Brexit back-shoring strategies: what UK manufacturing companies could learn from the </w:t>
      </w:r>
      <w:proofErr w:type="gramStart"/>
      <w:r>
        <w:rPr>
          <w:rFonts w:ascii="Times New Roman" w:eastAsia="Times New Roman" w:hAnsi="Times New Roman" w:cs="Times New Roman"/>
          <w:color w:val="222222"/>
          <w:sz w:val="24"/>
          <w:szCs w:val="24"/>
          <w:highlight w:val="white"/>
        </w:rPr>
        <w:t>past?.</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(14), pp.1319-1336.</w:t>
      </w:r>
    </w:p>
    <w:p w14:paraId="17F652E6"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Pilipczuk</w:t>
      </w:r>
      <w:proofErr w:type="spellEnd"/>
      <w:r>
        <w:rPr>
          <w:rFonts w:ascii="Times New Roman" w:eastAsia="Times New Roman" w:hAnsi="Times New Roman" w:cs="Times New Roman"/>
          <w:color w:val="222222"/>
          <w:sz w:val="24"/>
          <w:szCs w:val="24"/>
          <w:highlight w:val="white"/>
        </w:rPr>
        <w:t xml:space="preserve">, O., 2021. Determinants of managerial competences transformation in the polish energy industry. </w:t>
      </w:r>
      <w:r>
        <w:rPr>
          <w:rFonts w:ascii="Times New Roman" w:eastAsia="Times New Roman" w:hAnsi="Times New Roman" w:cs="Times New Roman"/>
          <w:i/>
          <w:color w:val="222222"/>
          <w:sz w:val="24"/>
          <w:szCs w:val="24"/>
          <w:highlight w:val="white"/>
        </w:rPr>
        <w:t>Energies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(20), p.6788.</w:t>
      </w:r>
    </w:p>
    <w:p w14:paraId="5FD6FD92"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Roumpi</w:t>
      </w:r>
      <w:proofErr w:type="spellEnd"/>
      <w:r>
        <w:rPr>
          <w:rFonts w:ascii="Times New Roman" w:eastAsia="Times New Roman" w:hAnsi="Times New Roman" w:cs="Times New Roman"/>
          <w:color w:val="222222"/>
          <w:sz w:val="24"/>
          <w:szCs w:val="24"/>
          <w:highlight w:val="white"/>
        </w:rPr>
        <w:t xml:space="preserve">, D., 2021. Rethinking the strategic management of human resources: lessons learned from Covid-19 and the way forward in building resilience. </w:t>
      </w:r>
      <w:r>
        <w:rPr>
          <w:rFonts w:ascii="Times New Roman" w:eastAsia="Times New Roman" w:hAnsi="Times New Roman" w:cs="Times New Roman"/>
          <w:i/>
          <w:color w:val="222222"/>
          <w:sz w:val="24"/>
          <w:szCs w:val="24"/>
          <w:highlight w:val="white"/>
        </w:rPr>
        <w:t>International Journal of Organizational Analysis</w:t>
      </w:r>
      <w:r>
        <w:rPr>
          <w:rFonts w:ascii="Times New Roman" w:eastAsia="Times New Roman" w:hAnsi="Times New Roman" w:cs="Times New Roman"/>
          <w:color w:val="222222"/>
          <w:sz w:val="24"/>
          <w:szCs w:val="24"/>
          <w:highlight w:val="white"/>
        </w:rPr>
        <w:t>, (ahead-of-print).</w:t>
      </w:r>
    </w:p>
    <w:p w14:paraId="55CAB6D5"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Salt, J. and Brewster, C., 2022. Intra‐company transfers: The government/corporate interface in the United Kingdom. </w:t>
      </w:r>
      <w:r>
        <w:rPr>
          <w:rFonts w:ascii="Times New Roman" w:eastAsia="Times New Roman" w:hAnsi="Times New Roman" w:cs="Times New Roman"/>
          <w:i/>
          <w:color w:val="222222"/>
          <w:sz w:val="24"/>
          <w:szCs w:val="24"/>
          <w:highlight w:val="white"/>
        </w:rPr>
        <w:t>Global Networks</w:t>
      </w:r>
      <w:r>
        <w:rPr>
          <w:rFonts w:ascii="Times New Roman" w:eastAsia="Times New Roman" w:hAnsi="Times New Roman" w:cs="Times New Roman"/>
          <w:color w:val="222222"/>
          <w:sz w:val="24"/>
          <w:szCs w:val="24"/>
          <w:highlight w:val="white"/>
        </w:rPr>
        <w:t>.</w:t>
      </w:r>
    </w:p>
    <w:p w14:paraId="5CD4FFB0"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Sarantinos</w:t>
      </w:r>
      <w:proofErr w:type="spellEnd"/>
      <w:r>
        <w:rPr>
          <w:rFonts w:ascii="Times New Roman" w:eastAsia="Times New Roman" w:hAnsi="Times New Roman" w:cs="Times New Roman"/>
          <w:color w:val="222222"/>
          <w:sz w:val="24"/>
          <w:szCs w:val="24"/>
          <w:highlight w:val="white"/>
        </w:rPr>
        <w:t xml:space="preserve">, V., 2022. Key Issues in Small Business </w:t>
      </w:r>
      <w:proofErr w:type="spellStart"/>
      <w:proofErr w:type="gramStart"/>
      <w:r>
        <w:rPr>
          <w:rFonts w:ascii="Times New Roman" w:eastAsia="Times New Roman" w:hAnsi="Times New Roman" w:cs="Times New Roman"/>
          <w:color w:val="222222"/>
          <w:sz w:val="24"/>
          <w:szCs w:val="24"/>
          <w:highlight w:val="white"/>
        </w:rPr>
        <w:t>Management:‘</w:t>
      </w:r>
      <w:proofErr w:type="gramEnd"/>
      <w:r>
        <w:rPr>
          <w:rFonts w:ascii="Times New Roman" w:eastAsia="Times New Roman" w:hAnsi="Times New Roman" w:cs="Times New Roman"/>
          <w:color w:val="222222"/>
          <w:sz w:val="24"/>
          <w:szCs w:val="24"/>
          <w:highlight w:val="white"/>
        </w:rPr>
        <w:t>Small</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Beautiful’Or</w:t>
      </w:r>
      <w:proofErr w:type="spellEnd"/>
      <w:r>
        <w:rPr>
          <w:rFonts w:ascii="Times New Roman" w:eastAsia="Times New Roman" w:hAnsi="Times New Roman" w:cs="Times New Roman"/>
          <w:color w:val="222222"/>
          <w:sz w:val="24"/>
          <w:szCs w:val="24"/>
          <w:highlight w:val="white"/>
        </w:rPr>
        <w:t xml:space="preserve"> a Bleak House in the Brexit Backdrop. In </w:t>
      </w:r>
      <w:r>
        <w:rPr>
          <w:rFonts w:ascii="Times New Roman" w:eastAsia="Times New Roman" w:hAnsi="Times New Roman" w:cs="Times New Roman"/>
          <w:i/>
          <w:color w:val="222222"/>
          <w:sz w:val="24"/>
          <w:szCs w:val="24"/>
          <w:highlight w:val="white"/>
        </w:rPr>
        <w:t>Small Business Management and Control of the Uncertain External Environment</w:t>
      </w:r>
      <w:r>
        <w:rPr>
          <w:rFonts w:ascii="Times New Roman" w:eastAsia="Times New Roman" w:hAnsi="Times New Roman" w:cs="Times New Roman"/>
          <w:color w:val="222222"/>
          <w:sz w:val="24"/>
          <w:szCs w:val="24"/>
          <w:highlight w:val="white"/>
        </w:rPr>
        <w:t>. Emerald Publishing Limited.</w:t>
      </w:r>
    </w:p>
    <w:p w14:paraId="7261FBDE"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Sindakis</w:t>
      </w:r>
      <w:proofErr w:type="spellEnd"/>
      <w:r>
        <w:rPr>
          <w:rFonts w:ascii="Times New Roman" w:eastAsia="Times New Roman" w:hAnsi="Times New Roman" w:cs="Times New Roman"/>
          <w:color w:val="222222"/>
          <w:sz w:val="24"/>
          <w:szCs w:val="24"/>
          <w:highlight w:val="white"/>
        </w:rPr>
        <w:t xml:space="preserve">, S. and Aggarwal, S., 2022. The Implications of Brexit for Small Businesses in the UK. In </w:t>
      </w:r>
      <w:r>
        <w:rPr>
          <w:rFonts w:ascii="Times New Roman" w:eastAsia="Times New Roman" w:hAnsi="Times New Roman" w:cs="Times New Roman"/>
          <w:i/>
          <w:color w:val="222222"/>
          <w:sz w:val="24"/>
          <w:szCs w:val="24"/>
          <w:highlight w:val="white"/>
        </w:rPr>
        <w:t>Small Business Management and Control of the Uncertain External Environment</w:t>
      </w:r>
      <w:r>
        <w:rPr>
          <w:rFonts w:ascii="Times New Roman" w:eastAsia="Times New Roman" w:hAnsi="Times New Roman" w:cs="Times New Roman"/>
          <w:color w:val="222222"/>
          <w:sz w:val="24"/>
          <w:szCs w:val="24"/>
          <w:highlight w:val="white"/>
        </w:rPr>
        <w:t>. Emerald Publishing Limited.</w:t>
      </w:r>
    </w:p>
    <w:p w14:paraId="34087A4C"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Szelewa</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Polakowski</w:t>
      </w:r>
      <w:proofErr w:type="spellEnd"/>
      <w:r>
        <w:rPr>
          <w:rFonts w:ascii="Times New Roman" w:eastAsia="Times New Roman" w:hAnsi="Times New Roman" w:cs="Times New Roman"/>
          <w:color w:val="222222"/>
          <w:sz w:val="24"/>
          <w:szCs w:val="24"/>
          <w:highlight w:val="white"/>
        </w:rPr>
        <w:t xml:space="preserve">, M., 2022. European solidarity and “free movement of labour” during the pandemic: exposing the contradictions amid east–west migration. </w:t>
      </w:r>
      <w:r>
        <w:rPr>
          <w:rFonts w:ascii="Times New Roman" w:eastAsia="Times New Roman" w:hAnsi="Times New Roman" w:cs="Times New Roman"/>
          <w:i/>
          <w:color w:val="222222"/>
          <w:sz w:val="24"/>
          <w:szCs w:val="24"/>
          <w:highlight w:val="white"/>
        </w:rPr>
        <w:t>Comparative European Politics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(2), pp.238-256.</w:t>
      </w:r>
    </w:p>
    <w:p w14:paraId="444878D2"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Vaiman</w:t>
      </w:r>
      <w:proofErr w:type="spellEnd"/>
      <w:r>
        <w:rPr>
          <w:rFonts w:ascii="Times New Roman" w:eastAsia="Times New Roman" w:hAnsi="Times New Roman" w:cs="Times New Roman"/>
          <w:color w:val="222222"/>
          <w:sz w:val="24"/>
          <w:szCs w:val="24"/>
          <w:highlight w:val="white"/>
        </w:rPr>
        <w:t xml:space="preserve">, V., Cascio, W.F., Collings, D.G. and </w:t>
      </w:r>
      <w:proofErr w:type="spellStart"/>
      <w:r>
        <w:rPr>
          <w:rFonts w:ascii="Times New Roman" w:eastAsia="Times New Roman" w:hAnsi="Times New Roman" w:cs="Times New Roman"/>
          <w:color w:val="222222"/>
          <w:sz w:val="24"/>
          <w:szCs w:val="24"/>
          <w:highlight w:val="white"/>
        </w:rPr>
        <w:t>Swider</w:t>
      </w:r>
      <w:proofErr w:type="spellEnd"/>
      <w:r>
        <w:rPr>
          <w:rFonts w:ascii="Times New Roman" w:eastAsia="Times New Roman" w:hAnsi="Times New Roman" w:cs="Times New Roman"/>
          <w:color w:val="222222"/>
          <w:sz w:val="24"/>
          <w:szCs w:val="24"/>
          <w:highlight w:val="white"/>
        </w:rPr>
        <w:t xml:space="preserve">, B.W., 2021. The shifting boundaries of talent management.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(2), pp.253-257.</w:t>
      </w:r>
    </w:p>
    <w:p w14:paraId="2B4FE782"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Vidmar, M., </w:t>
      </w:r>
      <w:proofErr w:type="spellStart"/>
      <w:r>
        <w:rPr>
          <w:rFonts w:ascii="Times New Roman" w:eastAsia="Times New Roman" w:hAnsi="Times New Roman" w:cs="Times New Roman"/>
          <w:color w:val="222222"/>
          <w:sz w:val="24"/>
          <w:szCs w:val="24"/>
          <w:highlight w:val="white"/>
        </w:rPr>
        <w:t>Rosiello</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Golra</w:t>
      </w:r>
      <w:proofErr w:type="spellEnd"/>
      <w:r>
        <w:rPr>
          <w:rFonts w:ascii="Times New Roman" w:eastAsia="Times New Roman" w:hAnsi="Times New Roman" w:cs="Times New Roman"/>
          <w:color w:val="222222"/>
          <w:sz w:val="24"/>
          <w:szCs w:val="24"/>
          <w:highlight w:val="white"/>
        </w:rPr>
        <w:t xml:space="preserve">, O., 2020. Resilience of new space firms in the United Kingdom During the early stages of COVID-19 crisis: The case for strategic agility. </w:t>
      </w:r>
      <w:r>
        <w:rPr>
          <w:rFonts w:ascii="Times New Roman" w:eastAsia="Times New Roman" w:hAnsi="Times New Roman" w:cs="Times New Roman"/>
          <w:i/>
          <w:color w:val="222222"/>
          <w:sz w:val="24"/>
          <w:szCs w:val="24"/>
          <w:highlight w:val="white"/>
        </w:rPr>
        <w:t>New Space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(4), pp.172-178.</w:t>
      </w:r>
    </w:p>
    <w:p w14:paraId="33712A30"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Watermeyer</w:t>
      </w:r>
      <w:proofErr w:type="spellEnd"/>
      <w:r>
        <w:rPr>
          <w:rFonts w:ascii="Times New Roman" w:eastAsia="Times New Roman" w:hAnsi="Times New Roman" w:cs="Times New Roman"/>
          <w:color w:val="222222"/>
          <w:sz w:val="24"/>
          <w:szCs w:val="24"/>
          <w:highlight w:val="white"/>
        </w:rPr>
        <w:t>, R., Shankar, K., Crick, T., Knight, C., McGaughey, F., Hardman, J., Suri, V.R., Chung, R. and Phelan, D., 2021. ‘</w:t>
      </w:r>
      <w:proofErr w:type="spellStart"/>
      <w:r>
        <w:rPr>
          <w:rFonts w:ascii="Times New Roman" w:eastAsia="Times New Roman" w:hAnsi="Times New Roman" w:cs="Times New Roman"/>
          <w:color w:val="222222"/>
          <w:sz w:val="24"/>
          <w:szCs w:val="24"/>
          <w:highlight w:val="white"/>
        </w:rPr>
        <w:t>Pandemia</w:t>
      </w:r>
      <w:proofErr w:type="spellEnd"/>
      <w:r>
        <w:rPr>
          <w:rFonts w:ascii="Times New Roman" w:eastAsia="Times New Roman" w:hAnsi="Times New Roman" w:cs="Times New Roman"/>
          <w:color w:val="222222"/>
          <w:sz w:val="24"/>
          <w:szCs w:val="24"/>
          <w:highlight w:val="white"/>
        </w:rPr>
        <w:t xml:space="preserve">’: A reckoning of UK universities’ corporate response to COVID-19 and its academic fallout. </w:t>
      </w:r>
      <w:r>
        <w:rPr>
          <w:rFonts w:ascii="Times New Roman" w:eastAsia="Times New Roman" w:hAnsi="Times New Roman" w:cs="Times New Roman"/>
          <w:i/>
          <w:color w:val="222222"/>
          <w:sz w:val="24"/>
          <w:szCs w:val="24"/>
          <w:highlight w:val="white"/>
        </w:rPr>
        <w:t>British Journal of Sociology of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(5-6), pp.651-666.</w:t>
      </w:r>
    </w:p>
    <w:p w14:paraId="176C439D" w14:textId="77777777" w:rsidR="00650CD5" w:rsidRDefault="00650CD5" w:rsidP="00650C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Yoruk</w:t>
      </w:r>
      <w:proofErr w:type="spellEnd"/>
      <w:r>
        <w:rPr>
          <w:rFonts w:ascii="Times New Roman" w:eastAsia="Times New Roman" w:hAnsi="Times New Roman" w:cs="Times New Roman"/>
          <w:color w:val="222222"/>
          <w:sz w:val="24"/>
          <w:szCs w:val="24"/>
          <w:highlight w:val="white"/>
        </w:rPr>
        <w:t xml:space="preserve">, D.E. and Gilman, M., 2023. ‘Transformation </w:t>
      </w:r>
      <w:proofErr w:type="spellStart"/>
      <w:r>
        <w:rPr>
          <w:rFonts w:ascii="Times New Roman" w:eastAsia="Times New Roman" w:hAnsi="Times New Roman" w:cs="Times New Roman"/>
          <w:color w:val="222222"/>
          <w:sz w:val="24"/>
          <w:szCs w:val="24"/>
          <w:highlight w:val="white"/>
        </w:rPr>
        <w:t>Triangle’for</w:t>
      </w:r>
      <w:proofErr w:type="spellEnd"/>
      <w:r>
        <w:rPr>
          <w:rFonts w:ascii="Times New Roman" w:eastAsia="Times New Roman" w:hAnsi="Times New Roman" w:cs="Times New Roman"/>
          <w:color w:val="222222"/>
          <w:sz w:val="24"/>
          <w:szCs w:val="24"/>
          <w:highlight w:val="white"/>
        </w:rPr>
        <w:t xml:space="preserve"> SME Productivity and Growth.</w:t>
      </w:r>
    </w:p>
    <w:p w14:paraId="0000002F" w14:textId="77777777" w:rsidR="003D1568" w:rsidRDefault="003D1568" w:rsidP="00650CD5">
      <w:pPr>
        <w:spacing w:line="360" w:lineRule="auto"/>
        <w:jc w:val="both"/>
        <w:rPr>
          <w:rFonts w:ascii="Times New Roman" w:eastAsia="Times New Roman" w:hAnsi="Times New Roman" w:cs="Times New Roman"/>
          <w:sz w:val="24"/>
          <w:szCs w:val="24"/>
        </w:rPr>
      </w:pPr>
    </w:p>
    <w:p w14:paraId="00000030" w14:textId="77777777" w:rsidR="003D1568" w:rsidRDefault="003D1568" w:rsidP="00650CD5">
      <w:pPr>
        <w:spacing w:line="360" w:lineRule="auto"/>
        <w:jc w:val="both"/>
        <w:rPr>
          <w:rFonts w:ascii="Times New Roman" w:eastAsia="Times New Roman" w:hAnsi="Times New Roman" w:cs="Times New Roman"/>
          <w:sz w:val="24"/>
          <w:szCs w:val="24"/>
        </w:rPr>
      </w:pPr>
    </w:p>
    <w:p w14:paraId="00000031" w14:textId="77777777" w:rsidR="003D1568" w:rsidRDefault="003D1568" w:rsidP="00650CD5">
      <w:pPr>
        <w:spacing w:line="360" w:lineRule="auto"/>
        <w:jc w:val="both"/>
        <w:rPr>
          <w:rFonts w:ascii="Times New Roman" w:eastAsia="Times New Roman" w:hAnsi="Times New Roman" w:cs="Times New Roman"/>
          <w:sz w:val="24"/>
          <w:szCs w:val="24"/>
        </w:rPr>
      </w:pPr>
    </w:p>
    <w:p w14:paraId="00000032" w14:textId="77777777" w:rsidR="003D1568" w:rsidRDefault="003D1568" w:rsidP="00650CD5">
      <w:pPr>
        <w:spacing w:line="360" w:lineRule="auto"/>
        <w:jc w:val="both"/>
        <w:rPr>
          <w:rFonts w:ascii="Times New Roman" w:eastAsia="Times New Roman" w:hAnsi="Times New Roman" w:cs="Times New Roman"/>
          <w:sz w:val="24"/>
          <w:szCs w:val="24"/>
        </w:rPr>
      </w:pPr>
    </w:p>
    <w:p w14:paraId="00000033" w14:textId="77777777" w:rsidR="003D1568" w:rsidRDefault="003D1568" w:rsidP="00650CD5">
      <w:pPr>
        <w:spacing w:line="360" w:lineRule="auto"/>
        <w:jc w:val="both"/>
        <w:rPr>
          <w:rFonts w:ascii="Times New Roman" w:eastAsia="Times New Roman" w:hAnsi="Times New Roman" w:cs="Times New Roman"/>
          <w:sz w:val="24"/>
          <w:szCs w:val="24"/>
        </w:rPr>
      </w:pPr>
    </w:p>
    <w:p w14:paraId="00000034" w14:textId="77777777" w:rsidR="003D1568" w:rsidRDefault="003D1568" w:rsidP="00650CD5">
      <w:pPr>
        <w:spacing w:line="360" w:lineRule="auto"/>
        <w:jc w:val="both"/>
        <w:rPr>
          <w:rFonts w:ascii="Times New Roman" w:eastAsia="Times New Roman" w:hAnsi="Times New Roman" w:cs="Times New Roman"/>
          <w:sz w:val="24"/>
          <w:szCs w:val="24"/>
        </w:rPr>
      </w:pPr>
    </w:p>
    <w:p w14:paraId="00000035" w14:textId="77777777" w:rsidR="003D1568" w:rsidRDefault="003D1568" w:rsidP="00650CD5">
      <w:pPr>
        <w:spacing w:line="360" w:lineRule="auto"/>
        <w:jc w:val="both"/>
        <w:rPr>
          <w:rFonts w:ascii="Times New Roman" w:eastAsia="Times New Roman" w:hAnsi="Times New Roman" w:cs="Times New Roman"/>
          <w:sz w:val="24"/>
          <w:szCs w:val="24"/>
        </w:rPr>
      </w:pPr>
    </w:p>
    <w:p w14:paraId="00000036" w14:textId="77777777" w:rsidR="003D1568" w:rsidRDefault="003D1568" w:rsidP="00650CD5">
      <w:pPr>
        <w:spacing w:line="360" w:lineRule="auto"/>
        <w:jc w:val="both"/>
        <w:rPr>
          <w:rFonts w:ascii="Times New Roman" w:eastAsia="Times New Roman" w:hAnsi="Times New Roman" w:cs="Times New Roman"/>
          <w:sz w:val="24"/>
          <w:szCs w:val="24"/>
        </w:rPr>
      </w:pPr>
    </w:p>
    <w:sectPr w:rsidR="003D1568" w:rsidSect="00650CD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B602C" w14:textId="77777777" w:rsidR="00E83802" w:rsidRDefault="00E83802" w:rsidP="00650CD5">
      <w:pPr>
        <w:spacing w:line="240" w:lineRule="auto"/>
      </w:pPr>
      <w:r>
        <w:separator/>
      </w:r>
    </w:p>
  </w:endnote>
  <w:endnote w:type="continuationSeparator" w:id="0">
    <w:p w14:paraId="1735F52E" w14:textId="77777777" w:rsidR="00E83802" w:rsidRDefault="00E83802" w:rsidP="00650C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998743"/>
      <w:docPartObj>
        <w:docPartGallery w:val="Page Numbers (Bottom of Page)"/>
        <w:docPartUnique/>
      </w:docPartObj>
    </w:sdtPr>
    <w:sdtEndPr>
      <w:rPr>
        <w:rFonts w:ascii="Times New Roman" w:hAnsi="Times New Roman" w:cs="Times New Roman"/>
        <w:noProof/>
        <w:sz w:val="24"/>
        <w:szCs w:val="24"/>
      </w:rPr>
    </w:sdtEndPr>
    <w:sdtContent>
      <w:p w14:paraId="77B3C730" w14:textId="1E5242A8" w:rsidR="00650CD5" w:rsidRPr="00650CD5" w:rsidRDefault="00650CD5">
        <w:pPr>
          <w:pStyle w:val="Footer"/>
          <w:jc w:val="right"/>
          <w:rPr>
            <w:rFonts w:ascii="Times New Roman" w:hAnsi="Times New Roman" w:cs="Times New Roman"/>
            <w:sz w:val="24"/>
            <w:szCs w:val="24"/>
          </w:rPr>
        </w:pPr>
        <w:r w:rsidRPr="00650CD5">
          <w:rPr>
            <w:rFonts w:ascii="Times New Roman" w:hAnsi="Times New Roman" w:cs="Times New Roman"/>
            <w:sz w:val="24"/>
            <w:szCs w:val="24"/>
          </w:rPr>
          <w:fldChar w:fldCharType="begin"/>
        </w:r>
        <w:r w:rsidRPr="00650CD5">
          <w:rPr>
            <w:rFonts w:ascii="Times New Roman" w:hAnsi="Times New Roman" w:cs="Times New Roman"/>
            <w:sz w:val="24"/>
            <w:szCs w:val="24"/>
          </w:rPr>
          <w:instrText xml:space="preserve"> PAGE   \* MERGEFORMAT </w:instrText>
        </w:r>
        <w:r w:rsidRPr="00650CD5">
          <w:rPr>
            <w:rFonts w:ascii="Times New Roman" w:hAnsi="Times New Roman" w:cs="Times New Roman"/>
            <w:sz w:val="24"/>
            <w:szCs w:val="24"/>
          </w:rPr>
          <w:fldChar w:fldCharType="separate"/>
        </w:r>
        <w:r>
          <w:rPr>
            <w:rFonts w:ascii="Times New Roman" w:hAnsi="Times New Roman" w:cs="Times New Roman"/>
            <w:noProof/>
            <w:sz w:val="24"/>
            <w:szCs w:val="24"/>
          </w:rPr>
          <w:t>6</w:t>
        </w:r>
        <w:r w:rsidRPr="00650CD5">
          <w:rPr>
            <w:rFonts w:ascii="Times New Roman" w:hAnsi="Times New Roman" w:cs="Times New Roman"/>
            <w:noProof/>
            <w:sz w:val="24"/>
            <w:szCs w:val="24"/>
          </w:rPr>
          <w:fldChar w:fldCharType="end"/>
        </w:r>
      </w:p>
    </w:sdtContent>
  </w:sdt>
  <w:p w14:paraId="022064DE" w14:textId="77777777" w:rsidR="00650CD5" w:rsidRDefault="00650C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04B8D" w14:textId="77777777" w:rsidR="00E83802" w:rsidRDefault="00E83802" w:rsidP="00650CD5">
      <w:pPr>
        <w:spacing w:line="240" w:lineRule="auto"/>
      </w:pPr>
      <w:r>
        <w:separator/>
      </w:r>
    </w:p>
  </w:footnote>
  <w:footnote w:type="continuationSeparator" w:id="0">
    <w:p w14:paraId="61E2659B" w14:textId="77777777" w:rsidR="00E83802" w:rsidRDefault="00E83802" w:rsidP="00650C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903722"/>
    <w:multiLevelType w:val="multilevel"/>
    <w:tmpl w:val="929C0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6010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D1568"/>
    <w:rsid w:val="003D1568"/>
    <w:rsid w:val="00650CD5"/>
    <w:rsid w:val="00A20335"/>
    <w:rsid w:val="00DA5618"/>
    <w:rsid w:val="00E838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7A63ABC-20D6-4FD1-94DE-88CA90434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50CD5"/>
    <w:pPr>
      <w:tabs>
        <w:tab w:val="center" w:pos="4680"/>
        <w:tab w:val="right" w:pos="9360"/>
      </w:tabs>
      <w:spacing w:line="240" w:lineRule="auto"/>
    </w:pPr>
  </w:style>
  <w:style w:type="character" w:customStyle="1" w:styleId="HeaderChar">
    <w:name w:val="Header Char"/>
    <w:basedOn w:val="DefaultParagraphFont"/>
    <w:link w:val="Header"/>
    <w:uiPriority w:val="99"/>
    <w:rsid w:val="00650CD5"/>
  </w:style>
  <w:style w:type="paragraph" w:styleId="Footer">
    <w:name w:val="footer"/>
    <w:basedOn w:val="Normal"/>
    <w:link w:val="FooterChar"/>
    <w:uiPriority w:val="99"/>
    <w:unhideWhenUsed/>
    <w:rsid w:val="00650CD5"/>
    <w:pPr>
      <w:tabs>
        <w:tab w:val="center" w:pos="4680"/>
        <w:tab w:val="right" w:pos="9360"/>
      </w:tabs>
      <w:spacing w:line="240" w:lineRule="auto"/>
    </w:pPr>
  </w:style>
  <w:style w:type="character" w:customStyle="1" w:styleId="FooterChar">
    <w:name w:val="Footer Char"/>
    <w:basedOn w:val="DefaultParagraphFont"/>
    <w:link w:val="Footer"/>
    <w:uiPriority w:val="99"/>
    <w:rsid w:val="00650CD5"/>
  </w:style>
  <w:style w:type="paragraph" w:styleId="TOCHeading">
    <w:name w:val="TOC Heading"/>
    <w:basedOn w:val="Heading1"/>
    <w:next w:val="Normal"/>
    <w:uiPriority w:val="39"/>
    <w:semiHidden/>
    <w:unhideWhenUsed/>
    <w:qFormat/>
    <w:rsid w:val="00650CD5"/>
    <w:pPr>
      <w:spacing w:before="48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TOC1">
    <w:name w:val="toc 1"/>
    <w:basedOn w:val="Normal"/>
    <w:next w:val="Normal"/>
    <w:autoRedefine/>
    <w:uiPriority w:val="39"/>
    <w:unhideWhenUsed/>
    <w:rsid w:val="00650CD5"/>
    <w:pPr>
      <w:spacing w:after="100"/>
    </w:pPr>
  </w:style>
  <w:style w:type="character" w:styleId="Hyperlink">
    <w:name w:val="Hyperlink"/>
    <w:basedOn w:val="DefaultParagraphFont"/>
    <w:uiPriority w:val="99"/>
    <w:unhideWhenUsed/>
    <w:rsid w:val="00650CD5"/>
    <w:rPr>
      <w:color w:val="0000FF" w:themeColor="hyperlink"/>
      <w:u w:val="single"/>
    </w:rPr>
  </w:style>
  <w:style w:type="paragraph" w:styleId="BalloonText">
    <w:name w:val="Balloon Text"/>
    <w:basedOn w:val="Normal"/>
    <w:link w:val="BalloonTextChar"/>
    <w:uiPriority w:val="99"/>
    <w:semiHidden/>
    <w:unhideWhenUsed/>
    <w:rsid w:val="00650CD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0CD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7D390F9-1B73-4374-9086-FAB2A6BED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3271</Words>
  <Characters>18645</Characters>
  <DocSecurity>0</DocSecurity>
  <Lines>155</Lines>
  <Paragraphs>43</Paragraphs>
  <ScaleCrop>false</ScaleCrop>
  <Company/>
  <LinksUpToDate>false</LinksUpToDate>
  <CharactersWithSpaces>21873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2023-04-08T12:36:00Z</dcterms:created>
  <dcterms:modified xsi:type="dcterms:W3CDTF">2023-04-18T18:59:00Z</dcterms:modified>
</cp:coreProperties>
</file>