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C24BB" w14:textId="33AA187C" w:rsidR="00074B88" w:rsidRPr="00E4085C" w:rsidRDefault="00074B88" w:rsidP="00C6763D">
      <w:pPr>
        <w:widowControl/>
        <w:adjustRightInd w:val="0"/>
        <w:snapToGrid w:val="0"/>
        <w:rPr>
          <w:rFonts w:ascii="Times New Roman" w:hAnsi="Times New Roman"/>
          <w:color w:val="0000CC"/>
          <w:szCs w:val="24"/>
        </w:rPr>
      </w:pPr>
    </w:p>
    <w:p w14:paraId="55339909" w14:textId="12150621" w:rsidR="00074B88" w:rsidRPr="00E4085C" w:rsidRDefault="00074B88" w:rsidP="00C65A3F">
      <w:pPr>
        <w:widowControl/>
        <w:adjustRightInd w:val="0"/>
        <w:snapToGrid w:val="0"/>
        <w:jc w:val="center"/>
        <w:rPr>
          <w:rFonts w:ascii="Times New Roman" w:hAnsi="Times New Roman"/>
          <w:b/>
          <w:szCs w:val="24"/>
        </w:rPr>
      </w:pPr>
      <w:r w:rsidRPr="00E4085C">
        <w:rPr>
          <w:rFonts w:ascii="Times New Roman" w:hAnsi="Times New Roman"/>
          <w:b/>
          <w:szCs w:val="24"/>
        </w:rPr>
        <w:t>Synopsis</w:t>
      </w:r>
      <w:r w:rsidR="00CA1589" w:rsidRPr="00E4085C">
        <w:rPr>
          <w:rFonts w:ascii="Times New Roman" w:hAnsi="Times New Roman"/>
          <w:b/>
          <w:szCs w:val="24"/>
        </w:rPr>
        <w:t xml:space="preserve"> </w:t>
      </w:r>
    </w:p>
    <w:p w14:paraId="22FCB631" w14:textId="77777777" w:rsidR="00DD79F6" w:rsidRPr="00E4085C" w:rsidRDefault="00DD79F6" w:rsidP="00DD79F6">
      <w:pPr>
        <w:widowControl/>
        <w:adjustRightInd w:val="0"/>
        <w:snapToGrid w:val="0"/>
        <w:spacing w:line="360" w:lineRule="auto"/>
        <w:jc w:val="both"/>
        <w:rPr>
          <w:rFonts w:ascii="Times New Roman" w:hAnsi="Times New Roman"/>
          <w:color w:val="0000CC"/>
          <w:szCs w:val="24"/>
        </w:rPr>
      </w:pPr>
    </w:p>
    <w:p w14:paraId="4F7B5401" w14:textId="0DC4E479" w:rsidR="00DD3736" w:rsidRDefault="00146992" w:rsidP="002F361F">
      <w:pPr>
        <w:widowControl/>
        <w:adjustRightInd w:val="0"/>
        <w:snapToGrid w:val="0"/>
        <w:spacing w:line="360" w:lineRule="auto"/>
        <w:jc w:val="both"/>
        <w:rPr>
          <w:rFonts w:ascii="Times New Roman" w:hAnsi="Times New Roman"/>
          <w:color w:val="000000" w:themeColor="text1"/>
          <w:szCs w:val="24"/>
        </w:rPr>
      </w:pPr>
      <w:r w:rsidRPr="00E4085C">
        <w:rPr>
          <w:rFonts w:ascii="Times New Roman" w:hAnsi="Times New Roman"/>
          <w:color w:val="000000" w:themeColor="text1"/>
          <w:szCs w:val="24"/>
        </w:rPr>
        <w:t xml:space="preserve">This report conducts an empirical investigation </w:t>
      </w:r>
      <w:r w:rsidR="00206EEF">
        <w:rPr>
          <w:rFonts w:ascii="Times New Roman" w:hAnsi="Times New Roman"/>
          <w:color w:val="000000" w:themeColor="text1"/>
          <w:szCs w:val="24"/>
        </w:rPr>
        <w:t xml:space="preserve">of </w:t>
      </w:r>
      <w:r w:rsidRPr="00E4085C">
        <w:rPr>
          <w:rFonts w:ascii="Times New Roman" w:hAnsi="Times New Roman"/>
          <w:color w:val="000000" w:themeColor="text1"/>
          <w:szCs w:val="24"/>
        </w:rPr>
        <w:t xml:space="preserve">the </w:t>
      </w:r>
      <w:r w:rsidR="00DD3736">
        <w:rPr>
          <w:rFonts w:ascii="Times New Roman" w:hAnsi="Times New Roman"/>
          <w:color w:val="000000" w:themeColor="text1"/>
          <w:szCs w:val="24"/>
        </w:rPr>
        <w:t xml:space="preserve">trend movement of consumer </w:t>
      </w:r>
      <w:r w:rsidRPr="00E4085C">
        <w:rPr>
          <w:rFonts w:ascii="Times New Roman" w:hAnsi="Times New Roman"/>
          <w:color w:val="000000" w:themeColor="text1"/>
          <w:szCs w:val="24"/>
        </w:rPr>
        <w:t>inflation rate in Hong Kong, the United States, the United Kingdom China</w:t>
      </w:r>
      <w:r w:rsidR="00DD3736">
        <w:rPr>
          <w:rFonts w:ascii="Times New Roman" w:hAnsi="Times New Roman"/>
          <w:color w:val="000000" w:themeColor="text1"/>
          <w:szCs w:val="24"/>
        </w:rPr>
        <w:t>,</w:t>
      </w:r>
      <w:r w:rsidRPr="00E4085C">
        <w:rPr>
          <w:rFonts w:ascii="Times New Roman" w:hAnsi="Times New Roman"/>
          <w:color w:val="000000" w:themeColor="text1"/>
          <w:szCs w:val="24"/>
        </w:rPr>
        <w:t xml:space="preserve"> and Malaysia</w:t>
      </w:r>
      <w:r w:rsidR="00DD3736">
        <w:rPr>
          <w:rFonts w:ascii="Times New Roman" w:hAnsi="Times New Roman"/>
          <w:color w:val="000000" w:themeColor="text1"/>
          <w:szCs w:val="24"/>
        </w:rPr>
        <w:t xml:space="preserve"> with a hope to </w:t>
      </w:r>
      <w:r w:rsidR="00DD3736" w:rsidRPr="00DD3736">
        <w:rPr>
          <w:rFonts w:ascii="Times New Roman" w:hAnsi="Times New Roman"/>
          <w:color w:val="000000" w:themeColor="text1"/>
          <w:szCs w:val="24"/>
        </w:rPr>
        <w:t>explore investment opportunities for the company to expand its global business</w:t>
      </w:r>
      <w:r w:rsidRPr="00E4085C">
        <w:rPr>
          <w:rFonts w:ascii="Times New Roman" w:hAnsi="Times New Roman"/>
          <w:color w:val="000000" w:themeColor="text1"/>
          <w:szCs w:val="24"/>
        </w:rPr>
        <w:t xml:space="preserve">. By employing </w:t>
      </w:r>
      <w:r w:rsidR="00C72074">
        <w:rPr>
          <w:rFonts w:ascii="Times New Roman" w:hAnsi="Times New Roman"/>
          <w:color w:val="000000" w:themeColor="text1"/>
          <w:szCs w:val="24"/>
        </w:rPr>
        <w:t xml:space="preserve">simple </w:t>
      </w:r>
      <w:r w:rsidR="00245CCC">
        <w:rPr>
          <w:rFonts w:ascii="Times New Roman" w:hAnsi="Times New Roman"/>
          <w:color w:val="000000" w:themeColor="text1"/>
          <w:szCs w:val="24"/>
        </w:rPr>
        <w:t>statistical</w:t>
      </w:r>
      <w:r w:rsidRPr="00E4085C">
        <w:rPr>
          <w:rFonts w:ascii="Times New Roman" w:hAnsi="Times New Roman"/>
          <w:color w:val="000000" w:themeColor="text1"/>
          <w:szCs w:val="24"/>
        </w:rPr>
        <w:t xml:space="preserve"> analysis </w:t>
      </w:r>
      <w:r w:rsidR="00DD3736">
        <w:rPr>
          <w:rFonts w:ascii="Times New Roman" w:hAnsi="Times New Roman"/>
          <w:color w:val="000000" w:themeColor="text1"/>
          <w:szCs w:val="24"/>
        </w:rPr>
        <w:t xml:space="preserve">of the </w:t>
      </w:r>
      <w:r w:rsidRPr="00E4085C">
        <w:rPr>
          <w:rFonts w:ascii="Times New Roman" w:hAnsi="Times New Roman"/>
          <w:color w:val="000000" w:themeColor="text1"/>
          <w:szCs w:val="24"/>
        </w:rPr>
        <w:t>time</w:t>
      </w:r>
      <w:r w:rsidR="00DD3736">
        <w:rPr>
          <w:rFonts w:ascii="Times New Roman" w:hAnsi="Times New Roman"/>
          <w:color w:val="000000" w:themeColor="text1"/>
          <w:szCs w:val="24"/>
        </w:rPr>
        <w:t xml:space="preserve"> </w:t>
      </w:r>
      <w:r w:rsidRPr="00E4085C">
        <w:rPr>
          <w:rFonts w:ascii="Times New Roman" w:hAnsi="Times New Roman"/>
          <w:color w:val="000000" w:themeColor="text1"/>
          <w:szCs w:val="24"/>
        </w:rPr>
        <w:t>series</w:t>
      </w:r>
      <w:r w:rsidR="00DD3736">
        <w:rPr>
          <w:rFonts w:ascii="Times New Roman" w:hAnsi="Times New Roman"/>
          <w:color w:val="000000" w:themeColor="text1"/>
          <w:szCs w:val="24"/>
        </w:rPr>
        <w:t xml:space="preserve"> extracted from the IMF databank</w:t>
      </w:r>
      <w:r w:rsidRPr="00E4085C">
        <w:rPr>
          <w:rFonts w:ascii="Times New Roman" w:hAnsi="Times New Roman"/>
          <w:color w:val="000000" w:themeColor="text1"/>
          <w:szCs w:val="24"/>
        </w:rPr>
        <w:t xml:space="preserve">, </w:t>
      </w:r>
      <w:r w:rsidR="00DD3736">
        <w:rPr>
          <w:rFonts w:ascii="Times New Roman" w:hAnsi="Times New Roman"/>
          <w:color w:val="000000" w:themeColor="text1"/>
          <w:szCs w:val="24"/>
        </w:rPr>
        <w:t xml:space="preserve">the research findings suggest that </w:t>
      </w:r>
      <w:r w:rsidR="002F6C0F">
        <w:rPr>
          <w:rFonts w:ascii="Times New Roman" w:hAnsi="Times New Roman"/>
          <w:color w:val="000000" w:themeColor="text1"/>
          <w:szCs w:val="24"/>
        </w:rPr>
        <w:t>which century will be the one I recommend for investment.</w:t>
      </w:r>
    </w:p>
    <w:p w14:paraId="34A4110C" w14:textId="77777777" w:rsidR="00074B88" w:rsidRPr="00E4085C" w:rsidRDefault="00074B88" w:rsidP="00C65A3F">
      <w:pPr>
        <w:widowControl/>
        <w:adjustRightInd w:val="0"/>
        <w:snapToGrid w:val="0"/>
        <w:jc w:val="both"/>
        <w:rPr>
          <w:rFonts w:ascii="Times New Roman" w:hAnsi="Times New Roman"/>
          <w:b/>
          <w:szCs w:val="24"/>
        </w:rPr>
      </w:pPr>
    </w:p>
    <w:p w14:paraId="7031B93D" w14:textId="77777777" w:rsidR="00074B88" w:rsidRPr="00E4085C" w:rsidRDefault="00074B88" w:rsidP="00C65A3F">
      <w:pPr>
        <w:widowControl/>
        <w:adjustRightInd w:val="0"/>
        <w:snapToGrid w:val="0"/>
        <w:rPr>
          <w:rFonts w:ascii="Times New Roman" w:hAnsi="Times New Roman"/>
          <w:b/>
          <w:szCs w:val="24"/>
        </w:rPr>
      </w:pPr>
    </w:p>
    <w:p w14:paraId="3E9C4A14" w14:textId="77777777" w:rsidR="00074B88" w:rsidRPr="00E4085C" w:rsidRDefault="00074B88" w:rsidP="00C65A3F">
      <w:pPr>
        <w:widowControl/>
        <w:adjustRightInd w:val="0"/>
        <w:snapToGrid w:val="0"/>
        <w:rPr>
          <w:rFonts w:ascii="Times New Roman" w:hAnsi="Times New Roman"/>
          <w:b/>
          <w:szCs w:val="24"/>
        </w:rPr>
      </w:pPr>
    </w:p>
    <w:p w14:paraId="0CD2C7D9" w14:textId="77777777" w:rsidR="00074B88" w:rsidRPr="00E4085C" w:rsidRDefault="00074B88" w:rsidP="00C65A3F">
      <w:pPr>
        <w:widowControl/>
        <w:adjustRightInd w:val="0"/>
        <w:snapToGrid w:val="0"/>
        <w:rPr>
          <w:rFonts w:ascii="Times New Roman" w:hAnsi="Times New Roman"/>
          <w:b/>
          <w:szCs w:val="24"/>
        </w:rPr>
      </w:pPr>
    </w:p>
    <w:p w14:paraId="0D497680" w14:textId="77777777" w:rsidR="00074B88" w:rsidRPr="00E4085C" w:rsidRDefault="00074B88" w:rsidP="00C65A3F">
      <w:pPr>
        <w:widowControl/>
        <w:adjustRightInd w:val="0"/>
        <w:snapToGrid w:val="0"/>
        <w:rPr>
          <w:rFonts w:ascii="Times New Roman" w:hAnsi="Times New Roman"/>
          <w:b/>
          <w:szCs w:val="24"/>
        </w:rPr>
      </w:pPr>
    </w:p>
    <w:p w14:paraId="5653B57C" w14:textId="77777777" w:rsidR="00074B88" w:rsidRPr="00E4085C" w:rsidRDefault="00074B88" w:rsidP="00C65A3F">
      <w:pPr>
        <w:widowControl/>
        <w:adjustRightInd w:val="0"/>
        <w:snapToGrid w:val="0"/>
        <w:rPr>
          <w:rFonts w:ascii="Times New Roman" w:hAnsi="Times New Roman"/>
          <w:b/>
          <w:szCs w:val="24"/>
        </w:rPr>
      </w:pPr>
    </w:p>
    <w:p w14:paraId="64663D99" w14:textId="77777777" w:rsidR="00074B88" w:rsidRPr="00E4085C" w:rsidRDefault="00074B88" w:rsidP="00C65A3F">
      <w:pPr>
        <w:widowControl/>
        <w:adjustRightInd w:val="0"/>
        <w:snapToGrid w:val="0"/>
        <w:rPr>
          <w:rFonts w:ascii="Times New Roman" w:hAnsi="Times New Roman"/>
          <w:b/>
          <w:szCs w:val="24"/>
        </w:rPr>
      </w:pPr>
    </w:p>
    <w:p w14:paraId="4155F178" w14:textId="77777777" w:rsidR="00074B88" w:rsidRPr="00E4085C" w:rsidRDefault="00074B88" w:rsidP="00C65A3F">
      <w:pPr>
        <w:widowControl/>
        <w:adjustRightInd w:val="0"/>
        <w:snapToGrid w:val="0"/>
        <w:rPr>
          <w:rFonts w:ascii="Times New Roman" w:hAnsi="Times New Roman"/>
          <w:b/>
          <w:szCs w:val="24"/>
        </w:rPr>
      </w:pPr>
    </w:p>
    <w:p w14:paraId="191D6F19" w14:textId="77777777" w:rsidR="00074B88" w:rsidRPr="00E4085C" w:rsidRDefault="00074B88" w:rsidP="00C65A3F">
      <w:pPr>
        <w:widowControl/>
        <w:adjustRightInd w:val="0"/>
        <w:snapToGrid w:val="0"/>
        <w:rPr>
          <w:rFonts w:ascii="Times New Roman" w:hAnsi="Times New Roman"/>
          <w:b/>
          <w:szCs w:val="24"/>
        </w:rPr>
      </w:pPr>
    </w:p>
    <w:p w14:paraId="193BD825" w14:textId="77777777" w:rsidR="00074B88" w:rsidRPr="00E4085C" w:rsidRDefault="00074B88" w:rsidP="00C65A3F">
      <w:pPr>
        <w:widowControl/>
        <w:adjustRightInd w:val="0"/>
        <w:snapToGrid w:val="0"/>
        <w:rPr>
          <w:rFonts w:ascii="Times New Roman" w:hAnsi="Times New Roman"/>
          <w:b/>
          <w:szCs w:val="24"/>
        </w:rPr>
      </w:pPr>
    </w:p>
    <w:p w14:paraId="27DFB08D" w14:textId="77777777" w:rsidR="00074B88" w:rsidRPr="00E4085C" w:rsidRDefault="00074B88" w:rsidP="00C65A3F">
      <w:pPr>
        <w:widowControl/>
        <w:adjustRightInd w:val="0"/>
        <w:snapToGrid w:val="0"/>
        <w:rPr>
          <w:rFonts w:ascii="Times New Roman" w:hAnsi="Times New Roman"/>
          <w:b/>
          <w:szCs w:val="24"/>
        </w:rPr>
      </w:pPr>
    </w:p>
    <w:p w14:paraId="4B84D209" w14:textId="77777777" w:rsidR="00074B88" w:rsidRPr="00E4085C" w:rsidRDefault="00074B88" w:rsidP="00C65A3F">
      <w:pPr>
        <w:widowControl/>
        <w:adjustRightInd w:val="0"/>
        <w:snapToGrid w:val="0"/>
        <w:rPr>
          <w:rFonts w:ascii="Times New Roman" w:hAnsi="Times New Roman"/>
          <w:b/>
          <w:szCs w:val="24"/>
        </w:rPr>
      </w:pPr>
    </w:p>
    <w:p w14:paraId="417A81AE" w14:textId="77777777" w:rsidR="00074B88" w:rsidRPr="00E4085C" w:rsidRDefault="00074B88" w:rsidP="00C65A3F">
      <w:pPr>
        <w:widowControl/>
        <w:adjustRightInd w:val="0"/>
        <w:snapToGrid w:val="0"/>
        <w:rPr>
          <w:rFonts w:ascii="Times New Roman" w:hAnsi="Times New Roman"/>
          <w:b/>
          <w:szCs w:val="24"/>
        </w:rPr>
      </w:pPr>
    </w:p>
    <w:p w14:paraId="13CDC4F5" w14:textId="77777777" w:rsidR="00074B88" w:rsidRPr="00E4085C" w:rsidRDefault="00074B88" w:rsidP="00C65A3F">
      <w:pPr>
        <w:widowControl/>
        <w:adjustRightInd w:val="0"/>
        <w:snapToGrid w:val="0"/>
        <w:rPr>
          <w:rFonts w:ascii="Times New Roman" w:hAnsi="Times New Roman"/>
          <w:b/>
          <w:szCs w:val="24"/>
        </w:rPr>
      </w:pPr>
    </w:p>
    <w:p w14:paraId="5809AF30" w14:textId="77777777" w:rsidR="00074B88" w:rsidRPr="00E4085C" w:rsidRDefault="00074B88" w:rsidP="00C65A3F">
      <w:pPr>
        <w:widowControl/>
        <w:adjustRightInd w:val="0"/>
        <w:snapToGrid w:val="0"/>
        <w:rPr>
          <w:rFonts w:ascii="Times New Roman" w:hAnsi="Times New Roman"/>
          <w:b/>
          <w:szCs w:val="24"/>
        </w:rPr>
      </w:pPr>
    </w:p>
    <w:p w14:paraId="0692A985" w14:textId="77777777" w:rsidR="00074B88" w:rsidRPr="00E4085C" w:rsidRDefault="00074B88" w:rsidP="00C65A3F">
      <w:pPr>
        <w:widowControl/>
        <w:adjustRightInd w:val="0"/>
        <w:snapToGrid w:val="0"/>
        <w:rPr>
          <w:rFonts w:ascii="Times New Roman" w:hAnsi="Times New Roman"/>
          <w:b/>
          <w:szCs w:val="24"/>
        </w:rPr>
      </w:pPr>
    </w:p>
    <w:p w14:paraId="437E0811" w14:textId="77777777" w:rsidR="00074B88" w:rsidRPr="00E4085C" w:rsidRDefault="00074B88" w:rsidP="00C65A3F">
      <w:pPr>
        <w:widowControl/>
        <w:adjustRightInd w:val="0"/>
        <w:snapToGrid w:val="0"/>
        <w:rPr>
          <w:rFonts w:ascii="Times New Roman" w:hAnsi="Times New Roman"/>
          <w:b/>
          <w:szCs w:val="24"/>
        </w:rPr>
      </w:pPr>
    </w:p>
    <w:p w14:paraId="55084938" w14:textId="77777777" w:rsidR="00074B88" w:rsidRPr="00E4085C" w:rsidRDefault="00074B88" w:rsidP="00C65A3F">
      <w:pPr>
        <w:widowControl/>
        <w:adjustRightInd w:val="0"/>
        <w:snapToGrid w:val="0"/>
        <w:rPr>
          <w:rFonts w:ascii="Times New Roman" w:hAnsi="Times New Roman"/>
          <w:b/>
          <w:szCs w:val="24"/>
        </w:rPr>
      </w:pPr>
    </w:p>
    <w:p w14:paraId="3DAD0FA0" w14:textId="77777777" w:rsidR="00225FC1" w:rsidRPr="00E4085C" w:rsidRDefault="00225FC1">
      <w:pPr>
        <w:widowControl/>
        <w:rPr>
          <w:rFonts w:ascii="Times New Roman" w:hAnsi="Times New Roman"/>
          <w:b/>
          <w:szCs w:val="24"/>
        </w:rPr>
      </w:pPr>
      <w:r w:rsidRPr="00E4085C">
        <w:rPr>
          <w:rFonts w:ascii="Times New Roman" w:hAnsi="Times New Roman"/>
          <w:b/>
          <w:szCs w:val="24"/>
        </w:rPr>
        <w:br w:type="page"/>
      </w:r>
    </w:p>
    <w:p w14:paraId="207E64B3" w14:textId="764E8764" w:rsidR="004238D8" w:rsidRPr="00E4085C" w:rsidRDefault="004238D8" w:rsidP="00C65A3F">
      <w:pPr>
        <w:adjustRightInd w:val="0"/>
        <w:snapToGrid w:val="0"/>
        <w:jc w:val="center"/>
        <w:rPr>
          <w:rFonts w:ascii="Times New Roman" w:hAnsi="Times New Roman"/>
          <w:b/>
          <w:szCs w:val="24"/>
        </w:rPr>
      </w:pPr>
      <w:r w:rsidRPr="00E4085C">
        <w:rPr>
          <w:rFonts w:ascii="Times New Roman" w:hAnsi="Times New Roman"/>
          <w:b/>
          <w:szCs w:val="24"/>
        </w:rPr>
        <w:lastRenderedPageBreak/>
        <w:t>Table of Contents</w:t>
      </w:r>
    </w:p>
    <w:p w14:paraId="2BE9DCC1" w14:textId="77777777" w:rsidR="00C04DD8" w:rsidRPr="00E4085C" w:rsidRDefault="00C04DD8" w:rsidP="00C65A3F">
      <w:pPr>
        <w:adjustRightInd w:val="0"/>
        <w:snapToGrid w:val="0"/>
        <w:jc w:val="center"/>
        <w:rPr>
          <w:rFonts w:ascii="Times New Roman" w:hAnsi="Times New Roman"/>
          <w:b/>
          <w:szCs w:val="24"/>
        </w:rPr>
      </w:pPr>
    </w:p>
    <w:p w14:paraId="45C694A8" w14:textId="77777777" w:rsidR="00C04DD8" w:rsidRPr="00E4085C" w:rsidRDefault="00C04DD8" w:rsidP="00C65A3F">
      <w:pPr>
        <w:adjustRightInd w:val="0"/>
        <w:snapToGrid w:val="0"/>
        <w:jc w:val="center"/>
        <w:rPr>
          <w:rFonts w:ascii="Times New Roman" w:hAnsi="Times New Roman"/>
          <w:b/>
          <w:szCs w:val="24"/>
        </w:rPr>
      </w:pPr>
    </w:p>
    <w:tbl>
      <w:tblPr>
        <w:tblW w:w="0" w:type="auto"/>
        <w:tblCellMar>
          <w:left w:w="28" w:type="dxa"/>
          <w:right w:w="28" w:type="dxa"/>
        </w:tblCellMar>
        <w:tblLook w:val="0000" w:firstRow="0" w:lastRow="0" w:firstColumn="0" w:lastColumn="0" w:noHBand="0" w:noVBand="0"/>
      </w:tblPr>
      <w:tblGrid>
        <w:gridCol w:w="543"/>
        <w:gridCol w:w="519"/>
        <w:gridCol w:w="35"/>
        <w:gridCol w:w="10"/>
        <w:gridCol w:w="7273"/>
        <w:gridCol w:w="690"/>
      </w:tblGrid>
      <w:tr w:rsidR="004238D8" w:rsidRPr="00E4085C" w14:paraId="48C2427A" w14:textId="77777777" w:rsidTr="00950792">
        <w:tc>
          <w:tcPr>
            <w:tcW w:w="543" w:type="dxa"/>
          </w:tcPr>
          <w:p w14:paraId="6BB7AE33" w14:textId="77777777" w:rsidR="004238D8" w:rsidRPr="00E4085C" w:rsidRDefault="004238D8" w:rsidP="00C65A3F">
            <w:pPr>
              <w:pStyle w:val="a0"/>
              <w:adjustRightInd w:val="0"/>
              <w:snapToGrid w:val="0"/>
              <w:spacing w:after="0"/>
              <w:rPr>
                <w:sz w:val="24"/>
                <w:szCs w:val="24"/>
                <w:lang w:eastAsia="zh-TW"/>
              </w:rPr>
            </w:pPr>
          </w:p>
        </w:tc>
        <w:tc>
          <w:tcPr>
            <w:tcW w:w="7837" w:type="dxa"/>
            <w:gridSpan w:val="4"/>
          </w:tcPr>
          <w:p w14:paraId="00A2D63D" w14:textId="77777777" w:rsidR="004238D8" w:rsidRPr="00E4085C" w:rsidRDefault="004238D8" w:rsidP="00C65A3F">
            <w:pPr>
              <w:pStyle w:val="a0"/>
              <w:adjustRightInd w:val="0"/>
              <w:snapToGrid w:val="0"/>
              <w:spacing w:after="0"/>
              <w:rPr>
                <w:sz w:val="24"/>
                <w:szCs w:val="24"/>
                <w:lang w:eastAsia="zh-TW"/>
              </w:rPr>
            </w:pPr>
          </w:p>
        </w:tc>
        <w:tc>
          <w:tcPr>
            <w:tcW w:w="690" w:type="dxa"/>
          </w:tcPr>
          <w:p w14:paraId="02019172" w14:textId="77777777" w:rsidR="004238D8" w:rsidRPr="00E4085C" w:rsidRDefault="004238D8" w:rsidP="00C65A3F">
            <w:pPr>
              <w:pStyle w:val="a0"/>
              <w:adjustRightInd w:val="0"/>
              <w:snapToGrid w:val="0"/>
              <w:spacing w:after="0"/>
              <w:jc w:val="center"/>
              <w:rPr>
                <w:sz w:val="24"/>
                <w:szCs w:val="24"/>
                <w:u w:val="single"/>
                <w:lang w:eastAsia="zh-TW"/>
              </w:rPr>
            </w:pPr>
            <w:r w:rsidRPr="00E4085C">
              <w:rPr>
                <w:sz w:val="24"/>
                <w:szCs w:val="24"/>
                <w:u w:val="single"/>
                <w:lang w:eastAsia="zh-TW"/>
              </w:rPr>
              <w:t>Page</w:t>
            </w:r>
          </w:p>
          <w:p w14:paraId="11356722" w14:textId="77777777" w:rsidR="00271DC6" w:rsidRPr="00E4085C" w:rsidRDefault="00271DC6" w:rsidP="00C65A3F">
            <w:pPr>
              <w:pStyle w:val="a0"/>
              <w:adjustRightInd w:val="0"/>
              <w:snapToGrid w:val="0"/>
              <w:spacing w:after="0"/>
              <w:jc w:val="center"/>
              <w:rPr>
                <w:sz w:val="24"/>
                <w:szCs w:val="24"/>
                <w:u w:val="single"/>
                <w:lang w:eastAsia="zh-TW"/>
              </w:rPr>
            </w:pPr>
          </w:p>
        </w:tc>
      </w:tr>
      <w:tr w:rsidR="004238D8" w:rsidRPr="00E4085C" w14:paraId="18C4365B" w14:textId="77777777" w:rsidTr="00950792">
        <w:tc>
          <w:tcPr>
            <w:tcW w:w="543" w:type="dxa"/>
          </w:tcPr>
          <w:p w14:paraId="5F7D1993"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1</w:t>
            </w:r>
          </w:p>
        </w:tc>
        <w:tc>
          <w:tcPr>
            <w:tcW w:w="7837" w:type="dxa"/>
            <w:gridSpan w:val="4"/>
          </w:tcPr>
          <w:p w14:paraId="5D4AF710" w14:textId="45A1E8D9" w:rsidR="002433E4" w:rsidRPr="00E4085C" w:rsidRDefault="00074B88" w:rsidP="00C65A3F">
            <w:pPr>
              <w:pStyle w:val="a0"/>
              <w:adjustRightInd w:val="0"/>
              <w:snapToGrid w:val="0"/>
              <w:spacing w:after="0"/>
              <w:rPr>
                <w:rFonts w:eastAsia="標楷體"/>
                <w:color w:val="0000FF"/>
                <w:sz w:val="24"/>
                <w:szCs w:val="24"/>
              </w:rPr>
            </w:pPr>
            <w:r w:rsidRPr="00E4085C">
              <w:rPr>
                <w:sz w:val="24"/>
                <w:szCs w:val="24"/>
                <w:lang w:eastAsia="zh-TW"/>
              </w:rPr>
              <w:t>Introduction</w:t>
            </w:r>
            <w:r w:rsidR="00CA1589" w:rsidRPr="00E4085C">
              <w:rPr>
                <w:color w:val="0000CC"/>
                <w:sz w:val="24"/>
                <w:szCs w:val="24"/>
                <w:lang w:eastAsia="zh-TW"/>
              </w:rPr>
              <w:t xml:space="preserve"> </w:t>
            </w:r>
          </w:p>
        </w:tc>
        <w:tc>
          <w:tcPr>
            <w:tcW w:w="690" w:type="dxa"/>
          </w:tcPr>
          <w:p w14:paraId="1FF518C6" w14:textId="38027F78" w:rsidR="004238D8" w:rsidRPr="00E4085C" w:rsidRDefault="00271DC6" w:rsidP="00C65A3F">
            <w:pPr>
              <w:pStyle w:val="a0"/>
              <w:adjustRightInd w:val="0"/>
              <w:snapToGrid w:val="0"/>
              <w:spacing w:after="0"/>
              <w:jc w:val="center"/>
              <w:rPr>
                <w:sz w:val="24"/>
                <w:szCs w:val="24"/>
                <w:lang w:eastAsia="zh-TW"/>
              </w:rPr>
            </w:pPr>
            <w:r w:rsidRPr="00E4085C">
              <w:rPr>
                <w:sz w:val="24"/>
                <w:szCs w:val="24"/>
                <w:lang w:eastAsia="zh-TW"/>
              </w:rPr>
              <w:t>1</w:t>
            </w:r>
            <w:r w:rsidR="00C31347">
              <w:rPr>
                <w:sz w:val="24"/>
                <w:szCs w:val="24"/>
                <w:lang w:eastAsia="zh-TW"/>
              </w:rPr>
              <w:t>-2</w:t>
            </w:r>
          </w:p>
        </w:tc>
      </w:tr>
      <w:tr w:rsidR="00A83E23" w:rsidRPr="00E4085C" w14:paraId="0293EA49" w14:textId="77777777" w:rsidTr="00950792">
        <w:tc>
          <w:tcPr>
            <w:tcW w:w="543" w:type="dxa"/>
          </w:tcPr>
          <w:p w14:paraId="7B5B96F7" w14:textId="77777777" w:rsidR="00A83E23" w:rsidRPr="00E4085C" w:rsidRDefault="00A83E23" w:rsidP="00C65A3F">
            <w:pPr>
              <w:pStyle w:val="a0"/>
              <w:adjustRightInd w:val="0"/>
              <w:snapToGrid w:val="0"/>
              <w:spacing w:after="0"/>
              <w:rPr>
                <w:sz w:val="24"/>
                <w:szCs w:val="24"/>
                <w:lang w:eastAsia="zh-TW"/>
              </w:rPr>
            </w:pPr>
          </w:p>
        </w:tc>
        <w:tc>
          <w:tcPr>
            <w:tcW w:w="7837" w:type="dxa"/>
            <w:gridSpan w:val="4"/>
          </w:tcPr>
          <w:p w14:paraId="03BB6B03" w14:textId="77777777" w:rsidR="00A83E23" w:rsidRPr="00E4085C" w:rsidRDefault="00A83E23" w:rsidP="00C65A3F">
            <w:pPr>
              <w:pStyle w:val="a0"/>
              <w:adjustRightInd w:val="0"/>
              <w:snapToGrid w:val="0"/>
              <w:spacing w:after="0"/>
              <w:rPr>
                <w:sz w:val="24"/>
                <w:szCs w:val="24"/>
                <w:lang w:eastAsia="zh-TW"/>
              </w:rPr>
            </w:pPr>
          </w:p>
        </w:tc>
        <w:tc>
          <w:tcPr>
            <w:tcW w:w="690" w:type="dxa"/>
          </w:tcPr>
          <w:p w14:paraId="4804FE13" w14:textId="77777777" w:rsidR="00A83E23" w:rsidRPr="00E4085C" w:rsidRDefault="00A83E23" w:rsidP="00C65A3F">
            <w:pPr>
              <w:pStyle w:val="a0"/>
              <w:adjustRightInd w:val="0"/>
              <w:snapToGrid w:val="0"/>
              <w:spacing w:after="0"/>
              <w:jc w:val="center"/>
              <w:rPr>
                <w:sz w:val="24"/>
                <w:szCs w:val="24"/>
                <w:lang w:eastAsia="zh-TW"/>
              </w:rPr>
            </w:pPr>
          </w:p>
        </w:tc>
      </w:tr>
      <w:tr w:rsidR="004238D8" w:rsidRPr="00E4085C" w14:paraId="0F29CDC5" w14:textId="77777777" w:rsidTr="00950792">
        <w:tc>
          <w:tcPr>
            <w:tcW w:w="543" w:type="dxa"/>
          </w:tcPr>
          <w:p w14:paraId="7F8F9BA7"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w:t>
            </w:r>
          </w:p>
        </w:tc>
        <w:tc>
          <w:tcPr>
            <w:tcW w:w="7837" w:type="dxa"/>
            <w:gridSpan w:val="4"/>
          </w:tcPr>
          <w:p w14:paraId="43534B28" w14:textId="768A2DC5" w:rsidR="002433E4" w:rsidRPr="00E4085C" w:rsidRDefault="00225FC1" w:rsidP="00C65A3F">
            <w:pPr>
              <w:pStyle w:val="a0"/>
              <w:adjustRightInd w:val="0"/>
              <w:snapToGrid w:val="0"/>
              <w:spacing w:after="0"/>
              <w:rPr>
                <w:rFonts w:eastAsia="標楷體"/>
                <w:sz w:val="24"/>
                <w:szCs w:val="24"/>
              </w:rPr>
            </w:pPr>
            <w:r w:rsidRPr="00E4085C">
              <w:rPr>
                <w:rFonts w:eastAsia="標楷體"/>
                <w:sz w:val="24"/>
                <w:szCs w:val="24"/>
              </w:rPr>
              <w:t xml:space="preserve">Research </w:t>
            </w:r>
            <w:r w:rsidR="00CA1589" w:rsidRPr="00E4085C">
              <w:rPr>
                <w:rFonts w:eastAsia="標楷體"/>
                <w:sz w:val="24"/>
                <w:szCs w:val="24"/>
              </w:rPr>
              <w:t xml:space="preserve">Background </w:t>
            </w:r>
          </w:p>
        </w:tc>
        <w:tc>
          <w:tcPr>
            <w:tcW w:w="690" w:type="dxa"/>
          </w:tcPr>
          <w:p w14:paraId="6D772741" w14:textId="69468A13" w:rsidR="004238D8" w:rsidRPr="00E4085C" w:rsidRDefault="00847315" w:rsidP="00A23170">
            <w:pPr>
              <w:pStyle w:val="a0"/>
              <w:adjustRightInd w:val="0"/>
              <w:snapToGrid w:val="0"/>
              <w:spacing w:after="0"/>
              <w:jc w:val="center"/>
              <w:rPr>
                <w:sz w:val="24"/>
                <w:szCs w:val="24"/>
                <w:lang w:eastAsia="zh-TW"/>
              </w:rPr>
            </w:pPr>
            <w:r>
              <w:rPr>
                <w:sz w:val="24"/>
                <w:szCs w:val="24"/>
                <w:lang w:eastAsia="zh-TW"/>
              </w:rPr>
              <w:t>3</w:t>
            </w:r>
            <w:r w:rsidR="00C31347">
              <w:rPr>
                <w:sz w:val="24"/>
                <w:szCs w:val="24"/>
                <w:lang w:eastAsia="zh-TW"/>
              </w:rPr>
              <w:t>-</w:t>
            </w:r>
            <w:r>
              <w:rPr>
                <w:sz w:val="24"/>
                <w:szCs w:val="24"/>
                <w:lang w:eastAsia="zh-TW"/>
              </w:rPr>
              <w:t>7</w:t>
            </w:r>
          </w:p>
        </w:tc>
      </w:tr>
      <w:tr w:rsidR="004238D8" w:rsidRPr="00E4085C" w14:paraId="72402FE0" w14:textId="77777777" w:rsidTr="00950792">
        <w:tc>
          <w:tcPr>
            <w:tcW w:w="543" w:type="dxa"/>
          </w:tcPr>
          <w:p w14:paraId="51C7BA6F" w14:textId="77777777" w:rsidR="004238D8" w:rsidRPr="00E4085C" w:rsidRDefault="004238D8" w:rsidP="00C65A3F">
            <w:pPr>
              <w:pStyle w:val="a0"/>
              <w:adjustRightInd w:val="0"/>
              <w:snapToGrid w:val="0"/>
              <w:spacing w:after="0"/>
              <w:rPr>
                <w:sz w:val="24"/>
                <w:szCs w:val="24"/>
                <w:lang w:eastAsia="zh-TW"/>
              </w:rPr>
            </w:pPr>
            <w:bookmarkStart w:id="0" w:name="_Hlk90988571"/>
          </w:p>
        </w:tc>
        <w:tc>
          <w:tcPr>
            <w:tcW w:w="519" w:type="dxa"/>
          </w:tcPr>
          <w:p w14:paraId="7648132E"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2.1</w:t>
            </w:r>
          </w:p>
        </w:tc>
        <w:tc>
          <w:tcPr>
            <w:tcW w:w="7318" w:type="dxa"/>
            <w:gridSpan w:val="3"/>
          </w:tcPr>
          <w:p w14:paraId="4614CA44" w14:textId="4C0F670A" w:rsidR="004238D8" w:rsidRPr="00E4085C" w:rsidRDefault="00E6133C" w:rsidP="00C65A3F">
            <w:pPr>
              <w:pStyle w:val="a0"/>
              <w:adjustRightInd w:val="0"/>
              <w:snapToGrid w:val="0"/>
              <w:spacing w:after="0"/>
              <w:rPr>
                <w:sz w:val="24"/>
                <w:szCs w:val="24"/>
                <w:lang w:eastAsia="zh-TW"/>
              </w:rPr>
            </w:pPr>
            <w:r w:rsidRPr="00E4085C">
              <w:rPr>
                <w:sz w:val="24"/>
                <w:szCs w:val="24"/>
                <w:lang w:eastAsia="zh-TW"/>
              </w:rPr>
              <w:t>Data definition and sources</w:t>
            </w:r>
          </w:p>
        </w:tc>
        <w:tc>
          <w:tcPr>
            <w:tcW w:w="690" w:type="dxa"/>
          </w:tcPr>
          <w:p w14:paraId="26A0649A" w14:textId="77777777" w:rsidR="004238D8" w:rsidRPr="00E4085C" w:rsidRDefault="004238D8" w:rsidP="00C65A3F">
            <w:pPr>
              <w:pStyle w:val="a0"/>
              <w:adjustRightInd w:val="0"/>
              <w:snapToGrid w:val="0"/>
              <w:spacing w:after="0"/>
              <w:jc w:val="center"/>
              <w:rPr>
                <w:sz w:val="24"/>
                <w:szCs w:val="24"/>
                <w:lang w:eastAsia="zh-TW"/>
              </w:rPr>
            </w:pPr>
          </w:p>
        </w:tc>
      </w:tr>
      <w:tr w:rsidR="004238D8" w:rsidRPr="00E4085C" w14:paraId="7E9A51A6" w14:textId="77777777" w:rsidTr="00950792">
        <w:tc>
          <w:tcPr>
            <w:tcW w:w="543" w:type="dxa"/>
          </w:tcPr>
          <w:p w14:paraId="23798C9A" w14:textId="77777777" w:rsidR="004238D8" w:rsidRPr="00E4085C" w:rsidRDefault="004238D8" w:rsidP="00C65A3F">
            <w:pPr>
              <w:pStyle w:val="a0"/>
              <w:adjustRightInd w:val="0"/>
              <w:snapToGrid w:val="0"/>
              <w:spacing w:after="0"/>
              <w:rPr>
                <w:sz w:val="24"/>
                <w:szCs w:val="24"/>
                <w:lang w:eastAsia="zh-TW"/>
              </w:rPr>
            </w:pPr>
          </w:p>
        </w:tc>
        <w:tc>
          <w:tcPr>
            <w:tcW w:w="519" w:type="dxa"/>
          </w:tcPr>
          <w:p w14:paraId="0913BCE6"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2.2</w:t>
            </w:r>
          </w:p>
        </w:tc>
        <w:tc>
          <w:tcPr>
            <w:tcW w:w="7318" w:type="dxa"/>
            <w:gridSpan w:val="3"/>
          </w:tcPr>
          <w:p w14:paraId="55428BEF" w14:textId="11CECC9F" w:rsidR="004238D8" w:rsidRPr="004E09D0" w:rsidRDefault="004E09D0" w:rsidP="001E74AF">
            <w:pPr>
              <w:pStyle w:val="a0"/>
              <w:adjustRightInd w:val="0"/>
              <w:snapToGrid w:val="0"/>
              <w:spacing w:after="0"/>
              <w:rPr>
                <w:sz w:val="24"/>
                <w:szCs w:val="24"/>
                <w:lang w:eastAsia="zh-TW"/>
              </w:rPr>
            </w:pPr>
            <w:r w:rsidRPr="004E09D0">
              <w:rPr>
                <w:sz w:val="24"/>
                <w:szCs w:val="24"/>
              </w:rPr>
              <w:t>Current performance of Inflation rate, end of period consumer prices in the selected countries</w:t>
            </w:r>
          </w:p>
        </w:tc>
        <w:tc>
          <w:tcPr>
            <w:tcW w:w="690" w:type="dxa"/>
          </w:tcPr>
          <w:p w14:paraId="74FF3B7E" w14:textId="77777777" w:rsidR="004238D8" w:rsidRPr="00E4085C" w:rsidRDefault="004238D8" w:rsidP="00C65A3F">
            <w:pPr>
              <w:pStyle w:val="a0"/>
              <w:adjustRightInd w:val="0"/>
              <w:snapToGrid w:val="0"/>
              <w:spacing w:after="0"/>
              <w:jc w:val="center"/>
              <w:rPr>
                <w:sz w:val="24"/>
                <w:szCs w:val="24"/>
                <w:lang w:eastAsia="zh-TW"/>
              </w:rPr>
            </w:pPr>
          </w:p>
        </w:tc>
      </w:tr>
      <w:tr w:rsidR="006508F5" w:rsidRPr="00E4085C" w14:paraId="7A38FB2C" w14:textId="77777777" w:rsidTr="00950792">
        <w:tc>
          <w:tcPr>
            <w:tcW w:w="543" w:type="dxa"/>
          </w:tcPr>
          <w:p w14:paraId="013B3755" w14:textId="77777777" w:rsidR="006508F5" w:rsidRPr="00E4085C" w:rsidRDefault="006508F5" w:rsidP="00C65A3F">
            <w:pPr>
              <w:pStyle w:val="a0"/>
              <w:adjustRightInd w:val="0"/>
              <w:snapToGrid w:val="0"/>
              <w:spacing w:after="0"/>
              <w:rPr>
                <w:sz w:val="24"/>
                <w:szCs w:val="24"/>
                <w:lang w:eastAsia="zh-TW"/>
              </w:rPr>
            </w:pPr>
          </w:p>
        </w:tc>
        <w:tc>
          <w:tcPr>
            <w:tcW w:w="519" w:type="dxa"/>
          </w:tcPr>
          <w:p w14:paraId="57C66C41" w14:textId="77777777" w:rsidR="006508F5" w:rsidRPr="00E4085C" w:rsidRDefault="006508F5" w:rsidP="00C65A3F">
            <w:pPr>
              <w:pStyle w:val="a0"/>
              <w:adjustRightInd w:val="0"/>
              <w:snapToGrid w:val="0"/>
              <w:spacing w:after="0"/>
              <w:rPr>
                <w:sz w:val="24"/>
                <w:szCs w:val="24"/>
                <w:lang w:eastAsia="zh-TW"/>
              </w:rPr>
            </w:pPr>
            <w:r w:rsidRPr="00E4085C">
              <w:rPr>
                <w:sz w:val="24"/>
                <w:szCs w:val="24"/>
                <w:lang w:eastAsia="zh-TW"/>
              </w:rPr>
              <w:t>2.3</w:t>
            </w:r>
          </w:p>
        </w:tc>
        <w:tc>
          <w:tcPr>
            <w:tcW w:w="7318" w:type="dxa"/>
            <w:gridSpan w:val="3"/>
          </w:tcPr>
          <w:p w14:paraId="7233D22D" w14:textId="16772760" w:rsidR="006508F5" w:rsidRPr="00E4085C" w:rsidRDefault="00A664EE" w:rsidP="001E74AF">
            <w:pPr>
              <w:pStyle w:val="a0"/>
              <w:adjustRightInd w:val="0"/>
              <w:snapToGrid w:val="0"/>
              <w:spacing w:after="0"/>
              <w:rPr>
                <w:sz w:val="24"/>
                <w:szCs w:val="24"/>
                <w:lang w:eastAsia="zh-TW"/>
              </w:rPr>
            </w:pPr>
            <w:r w:rsidRPr="00E4085C">
              <w:rPr>
                <w:sz w:val="24"/>
                <w:szCs w:val="24"/>
                <w:lang w:eastAsia="zh-TW"/>
              </w:rPr>
              <w:t>The dataset</w:t>
            </w:r>
          </w:p>
        </w:tc>
        <w:tc>
          <w:tcPr>
            <w:tcW w:w="690" w:type="dxa"/>
          </w:tcPr>
          <w:p w14:paraId="4913087A" w14:textId="77777777" w:rsidR="006508F5" w:rsidRPr="00E4085C" w:rsidRDefault="006508F5" w:rsidP="00C65A3F">
            <w:pPr>
              <w:pStyle w:val="a0"/>
              <w:adjustRightInd w:val="0"/>
              <w:snapToGrid w:val="0"/>
              <w:spacing w:after="0"/>
              <w:jc w:val="center"/>
              <w:rPr>
                <w:sz w:val="24"/>
                <w:szCs w:val="24"/>
                <w:lang w:eastAsia="zh-TW"/>
              </w:rPr>
            </w:pPr>
          </w:p>
        </w:tc>
      </w:tr>
      <w:bookmarkEnd w:id="0"/>
      <w:tr w:rsidR="00CA1589" w:rsidRPr="00E4085C" w14:paraId="5E5DA4C8" w14:textId="77777777" w:rsidTr="00950792">
        <w:tc>
          <w:tcPr>
            <w:tcW w:w="543" w:type="dxa"/>
          </w:tcPr>
          <w:p w14:paraId="70239ECA" w14:textId="77777777" w:rsidR="00CA1589" w:rsidRPr="00E4085C" w:rsidRDefault="00CA1589" w:rsidP="00C65A3F">
            <w:pPr>
              <w:pStyle w:val="a0"/>
              <w:adjustRightInd w:val="0"/>
              <w:snapToGrid w:val="0"/>
              <w:spacing w:after="0"/>
              <w:rPr>
                <w:sz w:val="24"/>
                <w:szCs w:val="24"/>
                <w:lang w:eastAsia="zh-TW"/>
              </w:rPr>
            </w:pPr>
          </w:p>
        </w:tc>
        <w:tc>
          <w:tcPr>
            <w:tcW w:w="7837" w:type="dxa"/>
            <w:gridSpan w:val="4"/>
          </w:tcPr>
          <w:p w14:paraId="218F8C91" w14:textId="6AE7720E" w:rsidR="00CA1589" w:rsidRPr="00E4085C" w:rsidRDefault="00CA1589" w:rsidP="00C65A3F">
            <w:pPr>
              <w:pStyle w:val="a0"/>
              <w:adjustRightInd w:val="0"/>
              <w:snapToGrid w:val="0"/>
              <w:spacing w:after="0"/>
              <w:rPr>
                <w:sz w:val="24"/>
                <w:szCs w:val="24"/>
                <w:lang w:eastAsia="zh-TW"/>
              </w:rPr>
            </w:pPr>
          </w:p>
        </w:tc>
        <w:tc>
          <w:tcPr>
            <w:tcW w:w="690" w:type="dxa"/>
          </w:tcPr>
          <w:p w14:paraId="1B1060C8" w14:textId="77777777" w:rsidR="00CA1589" w:rsidRPr="00E4085C" w:rsidRDefault="00CA1589" w:rsidP="00C65A3F">
            <w:pPr>
              <w:pStyle w:val="a0"/>
              <w:adjustRightInd w:val="0"/>
              <w:snapToGrid w:val="0"/>
              <w:spacing w:after="0"/>
              <w:jc w:val="center"/>
              <w:rPr>
                <w:sz w:val="24"/>
                <w:szCs w:val="24"/>
                <w:lang w:eastAsia="zh-TW"/>
              </w:rPr>
            </w:pPr>
          </w:p>
        </w:tc>
      </w:tr>
      <w:tr w:rsidR="00CA1589" w:rsidRPr="00E4085C" w14:paraId="180A2CEF" w14:textId="77777777" w:rsidTr="00950792">
        <w:tc>
          <w:tcPr>
            <w:tcW w:w="543" w:type="dxa"/>
          </w:tcPr>
          <w:p w14:paraId="49877B7A" w14:textId="6FA4193F" w:rsidR="00CA1589" w:rsidRPr="00E4085C" w:rsidRDefault="00225FC1" w:rsidP="00C65A3F">
            <w:pPr>
              <w:pStyle w:val="a0"/>
              <w:adjustRightInd w:val="0"/>
              <w:snapToGrid w:val="0"/>
              <w:spacing w:after="0"/>
              <w:rPr>
                <w:sz w:val="24"/>
                <w:szCs w:val="24"/>
                <w:lang w:eastAsia="zh-TW"/>
              </w:rPr>
            </w:pPr>
            <w:bookmarkStart w:id="1" w:name="_Hlk90989745"/>
            <w:r w:rsidRPr="00E4085C">
              <w:rPr>
                <w:sz w:val="24"/>
                <w:szCs w:val="24"/>
                <w:lang w:eastAsia="zh-TW"/>
              </w:rPr>
              <w:t>3</w:t>
            </w:r>
          </w:p>
        </w:tc>
        <w:tc>
          <w:tcPr>
            <w:tcW w:w="7837" w:type="dxa"/>
            <w:gridSpan w:val="4"/>
          </w:tcPr>
          <w:p w14:paraId="6D98C398" w14:textId="76DF3580" w:rsidR="00CA1589" w:rsidRPr="00E4085C" w:rsidRDefault="00CA1589" w:rsidP="00C65A3F">
            <w:pPr>
              <w:pStyle w:val="a0"/>
              <w:adjustRightInd w:val="0"/>
              <w:snapToGrid w:val="0"/>
              <w:spacing w:after="0"/>
              <w:rPr>
                <w:sz w:val="24"/>
                <w:szCs w:val="24"/>
                <w:lang w:eastAsia="zh-TW"/>
              </w:rPr>
            </w:pPr>
            <w:r w:rsidRPr="00E4085C">
              <w:rPr>
                <w:sz w:val="24"/>
                <w:szCs w:val="24"/>
                <w:lang w:eastAsia="zh-TW"/>
              </w:rPr>
              <w:t xml:space="preserve">Analysis and </w:t>
            </w:r>
            <w:r w:rsidR="00A664EE" w:rsidRPr="00E4085C">
              <w:rPr>
                <w:sz w:val="24"/>
                <w:szCs w:val="24"/>
                <w:lang w:eastAsia="zh-TW"/>
              </w:rPr>
              <w:t>D</w:t>
            </w:r>
            <w:r w:rsidRPr="00E4085C">
              <w:rPr>
                <w:sz w:val="24"/>
                <w:szCs w:val="24"/>
                <w:lang w:eastAsia="zh-TW"/>
              </w:rPr>
              <w:t xml:space="preserve">iscussion </w:t>
            </w:r>
          </w:p>
        </w:tc>
        <w:tc>
          <w:tcPr>
            <w:tcW w:w="690" w:type="dxa"/>
          </w:tcPr>
          <w:p w14:paraId="18949AFA" w14:textId="75BD12A1" w:rsidR="00CA1589" w:rsidRPr="00E4085C" w:rsidRDefault="00847315" w:rsidP="00544335">
            <w:pPr>
              <w:pStyle w:val="a0"/>
              <w:adjustRightInd w:val="0"/>
              <w:snapToGrid w:val="0"/>
              <w:spacing w:after="0"/>
              <w:jc w:val="center"/>
              <w:rPr>
                <w:sz w:val="24"/>
                <w:szCs w:val="24"/>
                <w:lang w:eastAsia="zh-TW"/>
              </w:rPr>
            </w:pPr>
            <w:r>
              <w:rPr>
                <w:sz w:val="24"/>
                <w:szCs w:val="24"/>
                <w:lang w:eastAsia="zh-TW"/>
              </w:rPr>
              <w:t>8</w:t>
            </w:r>
            <w:r w:rsidR="004E09D0">
              <w:rPr>
                <w:sz w:val="24"/>
                <w:szCs w:val="24"/>
                <w:lang w:eastAsia="zh-TW"/>
              </w:rPr>
              <w:t>-</w:t>
            </w:r>
            <w:r>
              <w:rPr>
                <w:sz w:val="24"/>
                <w:szCs w:val="24"/>
                <w:lang w:eastAsia="zh-TW"/>
              </w:rPr>
              <w:t>19</w:t>
            </w:r>
          </w:p>
        </w:tc>
      </w:tr>
      <w:tr w:rsidR="00CA1589" w:rsidRPr="00E4085C" w14:paraId="5BD5FCAB" w14:textId="77777777" w:rsidTr="00950792">
        <w:tc>
          <w:tcPr>
            <w:tcW w:w="543" w:type="dxa"/>
          </w:tcPr>
          <w:p w14:paraId="596A8492" w14:textId="77777777" w:rsidR="00CA1589" w:rsidRPr="00E4085C" w:rsidRDefault="00CA1589" w:rsidP="00C65A3F">
            <w:pPr>
              <w:pStyle w:val="a0"/>
              <w:adjustRightInd w:val="0"/>
              <w:snapToGrid w:val="0"/>
              <w:spacing w:after="0"/>
              <w:rPr>
                <w:sz w:val="24"/>
                <w:szCs w:val="24"/>
                <w:lang w:eastAsia="zh-TW"/>
              </w:rPr>
            </w:pPr>
          </w:p>
        </w:tc>
        <w:tc>
          <w:tcPr>
            <w:tcW w:w="564" w:type="dxa"/>
            <w:gridSpan w:val="3"/>
          </w:tcPr>
          <w:p w14:paraId="666CB445" w14:textId="34D014BE" w:rsidR="00CA1589" w:rsidRPr="00E4085C" w:rsidRDefault="00225FC1" w:rsidP="00C65A3F">
            <w:pPr>
              <w:pStyle w:val="a0"/>
              <w:adjustRightInd w:val="0"/>
              <w:snapToGrid w:val="0"/>
              <w:spacing w:after="0"/>
              <w:rPr>
                <w:sz w:val="24"/>
                <w:szCs w:val="24"/>
                <w:lang w:eastAsia="zh-TW"/>
              </w:rPr>
            </w:pPr>
            <w:r w:rsidRPr="00E4085C">
              <w:rPr>
                <w:sz w:val="24"/>
                <w:szCs w:val="24"/>
                <w:lang w:eastAsia="zh-TW"/>
              </w:rPr>
              <w:t>3</w:t>
            </w:r>
            <w:r w:rsidR="00CA1589" w:rsidRPr="00E4085C">
              <w:rPr>
                <w:sz w:val="24"/>
                <w:szCs w:val="24"/>
                <w:lang w:eastAsia="zh-TW"/>
              </w:rPr>
              <w:t>.1</w:t>
            </w:r>
          </w:p>
        </w:tc>
        <w:tc>
          <w:tcPr>
            <w:tcW w:w="7273" w:type="dxa"/>
          </w:tcPr>
          <w:p w14:paraId="734CB619" w14:textId="67BCC02B" w:rsidR="00CA1589" w:rsidRPr="009D05DE" w:rsidRDefault="00EF300E" w:rsidP="00C65A3F">
            <w:pPr>
              <w:adjustRightInd w:val="0"/>
              <w:snapToGrid w:val="0"/>
              <w:jc w:val="both"/>
              <w:rPr>
                <w:rFonts w:ascii="Times New Roman" w:hAnsi="Times New Roman"/>
                <w:bCs/>
                <w:szCs w:val="24"/>
              </w:rPr>
            </w:pPr>
            <w:r w:rsidRPr="009D05DE">
              <w:rPr>
                <w:rFonts w:ascii="Times New Roman" w:hAnsi="Times New Roman"/>
                <w:bCs/>
                <w:szCs w:val="24"/>
              </w:rPr>
              <w:t>Pattern of the global trend movement</w:t>
            </w:r>
            <w:r w:rsidRPr="009D05DE">
              <w:rPr>
                <w:rFonts w:ascii="Times New Roman" w:hAnsi="Times New Roman"/>
                <w:szCs w:val="24"/>
              </w:rPr>
              <w:t xml:space="preserve"> </w:t>
            </w:r>
          </w:p>
        </w:tc>
        <w:tc>
          <w:tcPr>
            <w:tcW w:w="690" w:type="dxa"/>
          </w:tcPr>
          <w:p w14:paraId="60F2C0A9" w14:textId="77777777" w:rsidR="00CA1589" w:rsidRPr="00E4085C" w:rsidRDefault="00CA1589" w:rsidP="00C65A3F">
            <w:pPr>
              <w:pStyle w:val="a0"/>
              <w:adjustRightInd w:val="0"/>
              <w:snapToGrid w:val="0"/>
              <w:spacing w:after="0"/>
              <w:jc w:val="center"/>
              <w:rPr>
                <w:sz w:val="24"/>
                <w:szCs w:val="24"/>
                <w:lang w:eastAsia="zh-TW"/>
              </w:rPr>
            </w:pPr>
          </w:p>
        </w:tc>
      </w:tr>
      <w:tr w:rsidR="00372343" w:rsidRPr="00E4085C" w14:paraId="62D66AFF" w14:textId="77777777" w:rsidTr="00950792">
        <w:tc>
          <w:tcPr>
            <w:tcW w:w="543" w:type="dxa"/>
          </w:tcPr>
          <w:p w14:paraId="6F1A3828" w14:textId="77777777" w:rsidR="00372343" w:rsidRPr="00E4085C" w:rsidRDefault="00372343" w:rsidP="00372343">
            <w:pPr>
              <w:pStyle w:val="a0"/>
              <w:adjustRightInd w:val="0"/>
              <w:snapToGrid w:val="0"/>
              <w:spacing w:after="0"/>
              <w:rPr>
                <w:sz w:val="24"/>
                <w:szCs w:val="24"/>
                <w:lang w:eastAsia="zh-TW"/>
              </w:rPr>
            </w:pPr>
          </w:p>
        </w:tc>
        <w:tc>
          <w:tcPr>
            <w:tcW w:w="564" w:type="dxa"/>
            <w:gridSpan w:val="3"/>
          </w:tcPr>
          <w:p w14:paraId="5BE9523D" w14:textId="46DEF4D8"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3</w:t>
            </w:r>
            <w:r w:rsidR="00372343" w:rsidRPr="00E4085C">
              <w:rPr>
                <w:sz w:val="24"/>
                <w:szCs w:val="24"/>
                <w:lang w:eastAsia="zh-TW"/>
              </w:rPr>
              <w:t>.2</w:t>
            </w:r>
          </w:p>
        </w:tc>
        <w:tc>
          <w:tcPr>
            <w:tcW w:w="7273" w:type="dxa"/>
          </w:tcPr>
          <w:p w14:paraId="2104C3CE" w14:textId="4F251A72" w:rsidR="00372343" w:rsidRPr="009D05DE" w:rsidRDefault="00EF300E" w:rsidP="00372343">
            <w:pPr>
              <w:pStyle w:val="a0"/>
              <w:adjustRightInd w:val="0"/>
              <w:snapToGrid w:val="0"/>
              <w:spacing w:after="0"/>
              <w:rPr>
                <w:bCs/>
                <w:sz w:val="24"/>
                <w:szCs w:val="24"/>
                <w:lang w:eastAsia="zh-TW"/>
              </w:rPr>
            </w:pPr>
            <w:r w:rsidRPr="009D05DE">
              <w:rPr>
                <w:bCs/>
                <w:sz w:val="24"/>
                <w:szCs w:val="24"/>
              </w:rPr>
              <w:t>Pattern of the local trend movement</w:t>
            </w:r>
            <w:r w:rsidRPr="009D05DE">
              <w:rPr>
                <w:sz w:val="24"/>
                <w:szCs w:val="24"/>
              </w:rPr>
              <w:t xml:space="preserve"> </w:t>
            </w:r>
          </w:p>
        </w:tc>
        <w:tc>
          <w:tcPr>
            <w:tcW w:w="690" w:type="dxa"/>
          </w:tcPr>
          <w:p w14:paraId="4ED880EA" w14:textId="77777777" w:rsidR="00372343" w:rsidRPr="00E4085C" w:rsidRDefault="00372343" w:rsidP="00372343">
            <w:pPr>
              <w:pStyle w:val="a0"/>
              <w:adjustRightInd w:val="0"/>
              <w:snapToGrid w:val="0"/>
              <w:spacing w:after="0"/>
              <w:jc w:val="center"/>
              <w:rPr>
                <w:sz w:val="24"/>
                <w:szCs w:val="24"/>
                <w:lang w:eastAsia="zh-TW"/>
              </w:rPr>
            </w:pPr>
          </w:p>
        </w:tc>
      </w:tr>
      <w:tr w:rsidR="00A664EE" w:rsidRPr="00E4085C" w14:paraId="3593DFDA" w14:textId="77777777" w:rsidTr="00950792">
        <w:tc>
          <w:tcPr>
            <w:tcW w:w="543" w:type="dxa"/>
          </w:tcPr>
          <w:p w14:paraId="33B09391" w14:textId="77777777" w:rsidR="00A664EE" w:rsidRPr="00E4085C" w:rsidRDefault="00A664EE" w:rsidP="00372343">
            <w:pPr>
              <w:pStyle w:val="a0"/>
              <w:adjustRightInd w:val="0"/>
              <w:snapToGrid w:val="0"/>
              <w:spacing w:after="0"/>
              <w:rPr>
                <w:sz w:val="24"/>
                <w:szCs w:val="24"/>
                <w:lang w:eastAsia="zh-TW"/>
              </w:rPr>
            </w:pPr>
          </w:p>
        </w:tc>
        <w:tc>
          <w:tcPr>
            <w:tcW w:w="564" w:type="dxa"/>
            <w:gridSpan w:val="3"/>
          </w:tcPr>
          <w:p w14:paraId="1819E7D0" w14:textId="0BFA6F84" w:rsidR="00A664EE" w:rsidRPr="00E4085C" w:rsidRDefault="00A664EE" w:rsidP="00372343">
            <w:pPr>
              <w:pStyle w:val="a0"/>
              <w:adjustRightInd w:val="0"/>
              <w:snapToGrid w:val="0"/>
              <w:spacing w:after="0"/>
              <w:rPr>
                <w:sz w:val="24"/>
                <w:szCs w:val="24"/>
                <w:lang w:eastAsia="zh-TW"/>
              </w:rPr>
            </w:pPr>
            <w:r w:rsidRPr="00E4085C">
              <w:rPr>
                <w:sz w:val="24"/>
                <w:szCs w:val="24"/>
                <w:lang w:eastAsia="zh-TW"/>
              </w:rPr>
              <w:t>3.3</w:t>
            </w:r>
          </w:p>
        </w:tc>
        <w:tc>
          <w:tcPr>
            <w:tcW w:w="7273" w:type="dxa"/>
          </w:tcPr>
          <w:p w14:paraId="34DECAA4" w14:textId="505B7B16" w:rsidR="00A664EE" w:rsidRPr="00E4085C" w:rsidRDefault="00617F7E" w:rsidP="00372343">
            <w:pPr>
              <w:pStyle w:val="a0"/>
              <w:adjustRightInd w:val="0"/>
              <w:snapToGrid w:val="0"/>
              <w:spacing w:after="0"/>
              <w:rPr>
                <w:sz w:val="24"/>
                <w:szCs w:val="24"/>
                <w:lang w:eastAsia="zh-TW"/>
              </w:rPr>
            </w:pPr>
            <w:r w:rsidRPr="00E4085C">
              <w:rPr>
                <w:sz w:val="24"/>
                <w:szCs w:val="24"/>
                <w:lang w:eastAsia="zh-TW"/>
              </w:rPr>
              <w:t>Summary</w:t>
            </w:r>
          </w:p>
        </w:tc>
        <w:tc>
          <w:tcPr>
            <w:tcW w:w="690" w:type="dxa"/>
          </w:tcPr>
          <w:p w14:paraId="6210B245" w14:textId="77777777" w:rsidR="00A664EE" w:rsidRPr="00E4085C" w:rsidRDefault="00A664EE" w:rsidP="00372343">
            <w:pPr>
              <w:pStyle w:val="a0"/>
              <w:adjustRightInd w:val="0"/>
              <w:snapToGrid w:val="0"/>
              <w:spacing w:after="0"/>
              <w:jc w:val="center"/>
              <w:rPr>
                <w:sz w:val="24"/>
                <w:szCs w:val="24"/>
                <w:lang w:eastAsia="zh-TW"/>
              </w:rPr>
            </w:pPr>
          </w:p>
        </w:tc>
      </w:tr>
      <w:bookmarkEnd w:id="1"/>
      <w:tr w:rsidR="00372343" w:rsidRPr="00E4085C" w14:paraId="001B4A2A" w14:textId="77777777" w:rsidTr="00950792">
        <w:tc>
          <w:tcPr>
            <w:tcW w:w="543" w:type="dxa"/>
          </w:tcPr>
          <w:p w14:paraId="38AF4849" w14:textId="77777777" w:rsidR="00372343" w:rsidRPr="00E4085C" w:rsidRDefault="00372343" w:rsidP="00372343">
            <w:pPr>
              <w:pStyle w:val="a0"/>
              <w:adjustRightInd w:val="0"/>
              <w:snapToGrid w:val="0"/>
              <w:spacing w:after="0"/>
              <w:rPr>
                <w:sz w:val="24"/>
                <w:szCs w:val="24"/>
                <w:lang w:eastAsia="zh-TW"/>
              </w:rPr>
            </w:pPr>
          </w:p>
        </w:tc>
        <w:tc>
          <w:tcPr>
            <w:tcW w:w="7837" w:type="dxa"/>
            <w:gridSpan w:val="4"/>
          </w:tcPr>
          <w:p w14:paraId="3774DD14" w14:textId="77777777" w:rsidR="00372343" w:rsidRPr="00E4085C" w:rsidRDefault="00372343" w:rsidP="00372343">
            <w:pPr>
              <w:pStyle w:val="a0"/>
              <w:adjustRightInd w:val="0"/>
              <w:snapToGrid w:val="0"/>
              <w:spacing w:after="0"/>
              <w:rPr>
                <w:rFonts w:eastAsia="標楷體"/>
                <w:sz w:val="24"/>
                <w:szCs w:val="24"/>
              </w:rPr>
            </w:pPr>
          </w:p>
        </w:tc>
        <w:tc>
          <w:tcPr>
            <w:tcW w:w="690" w:type="dxa"/>
          </w:tcPr>
          <w:p w14:paraId="195229D3"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C182E88" w14:textId="77777777" w:rsidTr="00950792">
        <w:tc>
          <w:tcPr>
            <w:tcW w:w="543" w:type="dxa"/>
          </w:tcPr>
          <w:p w14:paraId="31F8DDD0" w14:textId="38AF3BB1"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p>
        </w:tc>
        <w:tc>
          <w:tcPr>
            <w:tcW w:w="7837" w:type="dxa"/>
            <w:gridSpan w:val="4"/>
          </w:tcPr>
          <w:p w14:paraId="33624304" w14:textId="67AC3719" w:rsidR="00372343" w:rsidRPr="00E4085C" w:rsidRDefault="00372343" w:rsidP="00372343">
            <w:pPr>
              <w:pStyle w:val="a0"/>
              <w:adjustRightInd w:val="0"/>
              <w:snapToGrid w:val="0"/>
              <w:spacing w:after="0"/>
              <w:rPr>
                <w:rFonts w:eastAsia="標楷體"/>
                <w:sz w:val="24"/>
                <w:szCs w:val="24"/>
              </w:rPr>
            </w:pPr>
            <w:r w:rsidRPr="00E4085C">
              <w:rPr>
                <w:rFonts w:eastAsia="標楷體"/>
                <w:sz w:val="24"/>
                <w:szCs w:val="24"/>
              </w:rPr>
              <w:t xml:space="preserve">Conclusion and </w:t>
            </w:r>
            <w:r w:rsidR="00A664EE" w:rsidRPr="00E4085C">
              <w:rPr>
                <w:rFonts w:eastAsia="標楷體"/>
                <w:sz w:val="24"/>
                <w:szCs w:val="24"/>
              </w:rPr>
              <w:t>R</w:t>
            </w:r>
            <w:r w:rsidRPr="00E4085C">
              <w:rPr>
                <w:rFonts w:eastAsia="標楷體"/>
                <w:sz w:val="24"/>
                <w:szCs w:val="24"/>
              </w:rPr>
              <w:t>ecommendation</w:t>
            </w:r>
            <w:r w:rsidR="00BC74F5" w:rsidRPr="00E4085C">
              <w:rPr>
                <w:rFonts w:eastAsia="標楷體"/>
                <w:sz w:val="24"/>
                <w:szCs w:val="24"/>
              </w:rPr>
              <w:t>s</w:t>
            </w:r>
          </w:p>
        </w:tc>
        <w:tc>
          <w:tcPr>
            <w:tcW w:w="690" w:type="dxa"/>
          </w:tcPr>
          <w:p w14:paraId="5BB1B922" w14:textId="19132A06" w:rsidR="00372343" w:rsidRPr="00E4085C" w:rsidRDefault="00847315" w:rsidP="00544335">
            <w:pPr>
              <w:pStyle w:val="a0"/>
              <w:adjustRightInd w:val="0"/>
              <w:snapToGrid w:val="0"/>
              <w:spacing w:after="0"/>
              <w:jc w:val="center"/>
              <w:rPr>
                <w:sz w:val="24"/>
                <w:szCs w:val="24"/>
                <w:lang w:eastAsia="zh-TW"/>
              </w:rPr>
            </w:pPr>
            <w:r>
              <w:rPr>
                <w:sz w:val="24"/>
                <w:szCs w:val="24"/>
                <w:lang w:eastAsia="zh-TW"/>
              </w:rPr>
              <w:t>20</w:t>
            </w:r>
            <w:r w:rsidR="003D6E3B">
              <w:rPr>
                <w:sz w:val="24"/>
                <w:szCs w:val="24"/>
                <w:lang w:eastAsia="zh-TW"/>
              </w:rPr>
              <w:t>-</w:t>
            </w:r>
            <w:r>
              <w:rPr>
                <w:sz w:val="24"/>
                <w:szCs w:val="24"/>
                <w:lang w:eastAsia="zh-TW"/>
              </w:rPr>
              <w:t>21</w:t>
            </w:r>
          </w:p>
        </w:tc>
      </w:tr>
      <w:tr w:rsidR="00372343" w:rsidRPr="00E4085C" w14:paraId="57F3D633" w14:textId="77777777" w:rsidTr="00950792">
        <w:tc>
          <w:tcPr>
            <w:tcW w:w="543" w:type="dxa"/>
          </w:tcPr>
          <w:p w14:paraId="56BE07CC" w14:textId="77777777" w:rsidR="00372343" w:rsidRPr="00E4085C" w:rsidRDefault="00372343" w:rsidP="00372343">
            <w:pPr>
              <w:pStyle w:val="a0"/>
              <w:adjustRightInd w:val="0"/>
              <w:snapToGrid w:val="0"/>
              <w:spacing w:after="0"/>
              <w:rPr>
                <w:sz w:val="24"/>
                <w:szCs w:val="24"/>
                <w:lang w:eastAsia="zh-TW"/>
              </w:rPr>
            </w:pPr>
          </w:p>
        </w:tc>
        <w:tc>
          <w:tcPr>
            <w:tcW w:w="554" w:type="dxa"/>
            <w:gridSpan w:val="2"/>
          </w:tcPr>
          <w:p w14:paraId="533E08A1" w14:textId="06922356"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r w:rsidR="00372343" w:rsidRPr="00E4085C">
              <w:rPr>
                <w:sz w:val="24"/>
                <w:szCs w:val="24"/>
                <w:lang w:eastAsia="zh-TW"/>
              </w:rPr>
              <w:t>.1</w:t>
            </w:r>
          </w:p>
        </w:tc>
        <w:tc>
          <w:tcPr>
            <w:tcW w:w="7283" w:type="dxa"/>
            <w:gridSpan w:val="2"/>
          </w:tcPr>
          <w:p w14:paraId="0DDDFB6F"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Conclusion</w:t>
            </w:r>
          </w:p>
        </w:tc>
        <w:tc>
          <w:tcPr>
            <w:tcW w:w="690" w:type="dxa"/>
          </w:tcPr>
          <w:p w14:paraId="180376DE"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D7EF389" w14:textId="77777777" w:rsidTr="00950792">
        <w:tc>
          <w:tcPr>
            <w:tcW w:w="543" w:type="dxa"/>
          </w:tcPr>
          <w:p w14:paraId="406D3B2B" w14:textId="77777777" w:rsidR="00372343" w:rsidRPr="00E4085C" w:rsidRDefault="00372343" w:rsidP="00372343">
            <w:pPr>
              <w:pStyle w:val="a0"/>
              <w:adjustRightInd w:val="0"/>
              <w:snapToGrid w:val="0"/>
              <w:spacing w:after="0"/>
              <w:rPr>
                <w:sz w:val="24"/>
                <w:szCs w:val="24"/>
                <w:lang w:eastAsia="zh-TW"/>
              </w:rPr>
            </w:pPr>
          </w:p>
        </w:tc>
        <w:tc>
          <w:tcPr>
            <w:tcW w:w="554" w:type="dxa"/>
            <w:gridSpan w:val="2"/>
          </w:tcPr>
          <w:p w14:paraId="3983B5E4" w14:textId="6B09E978"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r w:rsidR="00372343" w:rsidRPr="00E4085C">
              <w:rPr>
                <w:sz w:val="24"/>
                <w:szCs w:val="24"/>
                <w:lang w:eastAsia="zh-TW"/>
              </w:rPr>
              <w:t>.2</w:t>
            </w:r>
          </w:p>
        </w:tc>
        <w:tc>
          <w:tcPr>
            <w:tcW w:w="7283" w:type="dxa"/>
            <w:gridSpan w:val="2"/>
          </w:tcPr>
          <w:p w14:paraId="0CE5BA6E"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 xml:space="preserve">Recommendations </w:t>
            </w:r>
          </w:p>
        </w:tc>
        <w:tc>
          <w:tcPr>
            <w:tcW w:w="690" w:type="dxa"/>
          </w:tcPr>
          <w:p w14:paraId="642DD631"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768CAEC6" w14:textId="77777777" w:rsidTr="00950792">
        <w:tc>
          <w:tcPr>
            <w:tcW w:w="543" w:type="dxa"/>
          </w:tcPr>
          <w:p w14:paraId="1A51B187" w14:textId="77777777" w:rsidR="00372343" w:rsidRPr="00E4085C" w:rsidRDefault="00372343" w:rsidP="00372343">
            <w:pPr>
              <w:pStyle w:val="a0"/>
              <w:adjustRightInd w:val="0"/>
              <w:snapToGrid w:val="0"/>
              <w:spacing w:after="0"/>
              <w:rPr>
                <w:sz w:val="24"/>
                <w:szCs w:val="24"/>
                <w:lang w:eastAsia="zh-TW"/>
              </w:rPr>
            </w:pPr>
          </w:p>
        </w:tc>
        <w:tc>
          <w:tcPr>
            <w:tcW w:w="7837" w:type="dxa"/>
            <w:gridSpan w:val="4"/>
          </w:tcPr>
          <w:p w14:paraId="4B144AF4" w14:textId="54045003" w:rsidR="00372343" w:rsidRPr="00E4085C" w:rsidRDefault="00372343" w:rsidP="00372343">
            <w:pPr>
              <w:pStyle w:val="a0"/>
              <w:adjustRightInd w:val="0"/>
              <w:snapToGrid w:val="0"/>
              <w:spacing w:after="0"/>
              <w:rPr>
                <w:sz w:val="24"/>
                <w:szCs w:val="24"/>
                <w:lang w:eastAsia="zh-TW"/>
              </w:rPr>
            </w:pPr>
          </w:p>
        </w:tc>
        <w:tc>
          <w:tcPr>
            <w:tcW w:w="690" w:type="dxa"/>
          </w:tcPr>
          <w:p w14:paraId="648C5458"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3682519A" w14:textId="77777777" w:rsidTr="00950792">
        <w:tc>
          <w:tcPr>
            <w:tcW w:w="8380" w:type="dxa"/>
            <w:gridSpan w:val="5"/>
          </w:tcPr>
          <w:p w14:paraId="0E19D6F9"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References</w:t>
            </w:r>
          </w:p>
        </w:tc>
        <w:tc>
          <w:tcPr>
            <w:tcW w:w="690" w:type="dxa"/>
          </w:tcPr>
          <w:p w14:paraId="1058B772" w14:textId="587FAE4B" w:rsidR="00372343" w:rsidRPr="00E4085C" w:rsidRDefault="00847315" w:rsidP="000E7A6B">
            <w:pPr>
              <w:pStyle w:val="a0"/>
              <w:adjustRightInd w:val="0"/>
              <w:snapToGrid w:val="0"/>
              <w:spacing w:after="0"/>
              <w:rPr>
                <w:sz w:val="24"/>
                <w:szCs w:val="24"/>
                <w:lang w:eastAsia="zh-TW"/>
              </w:rPr>
            </w:pPr>
            <w:r>
              <w:rPr>
                <w:sz w:val="24"/>
                <w:szCs w:val="24"/>
                <w:lang w:eastAsia="zh-TW"/>
              </w:rPr>
              <w:t>22</w:t>
            </w:r>
            <w:r w:rsidR="002635E5">
              <w:rPr>
                <w:sz w:val="24"/>
                <w:szCs w:val="24"/>
                <w:lang w:eastAsia="zh-TW"/>
              </w:rPr>
              <w:t>-</w:t>
            </w:r>
            <w:r>
              <w:rPr>
                <w:sz w:val="24"/>
                <w:szCs w:val="24"/>
                <w:lang w:eastAsia="zh-TW"/>
              </w:rPr>
              <w:t>24</w:t>
            </w:r>
          </w:p>
        </w:tc>
      </w:tr>
      <w:tr w:rsidR="00372343" w:rsidRPr="00E4085C" w14:paraId="2C3C0429" w14:textId="77777777" w:rsidTr="00950792">
        <w:tc>
          <w:tcPr>
            <w:tcW w:w="8380" w:type="dxa"/>
            <w:gridSpan w:val="5"/>
          </w:tcPr>
          <w:p w14:paraId="40815BD5" w14:textId="77777777" w:rsidR="00372343" w:rsidRPr="00E4085C" w:rsidRDefault="00372343" w:rsidP="00372343">
            <w:pPr>
              <w:pStyle w:val="a0"/>
              <w:adjustRightInd w:val="0"/>
              <w:snapToGrid w:val="0"/>
              <w:spacing w:after="0"/>
              <w:rPr>
                <w:color w:val="0000FF"/>
                <w:sz w:val="24"/>
                <w:szCs w:val="24"/>
                <w:lang w:eastAsia="zh-TW"/>
              </w:rPr>
            </w:pPr>
          </w:p>
        </w:tc>
        <w:tc>
          <w:tcPr>
            <w:tcW w:w="690" w:type="dxa"/>
          </w:tcPr>
          <w:p w14:paraId="3DACE0E2"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6FE45C7" w14:textId="77777777" w:rsidTr="00950792">
        <w:tc>
          <w:tcPr>
            <w:tcW w:w="8380" w:type="dxa"/>
            <w:gridSpan w:val="5"/>
          </w:tcPr>
          <w:p w14:paraId="15786C5E" w14:textId="34D52050" w:rsidR="00372343" w:rsidRPr="00E4085C" w:rsidRDefault="00372343" w:rsidP="00372343">
            <w:pPr>
              <w:pStyle w:val="a0"/>
              <w:adjustRightInd w:val="0"/>
              <w:snapToGrid w:val="0"/>
              <w:spacing w:after="0"/>
              <w:rPr>
                <w:sz w:val="24"/>
                <w:szCs w:val="24"/>
                <w:lang w:eastAsia="zh-TW"/>
              </w:rPr>
            </w:pPr>
          </w:p>
        </w:tc>
        <w:tc>
          <w:tcPr>
            <w:tcW w:w="690" w:type="dxa"/>
          </w:tcPr>
          <w:p w14:paraId="47E212F6" w14:textId="414951D5" w:rsidR="00372343" w:rsidRPr="00E4085C" w:rsidRDefault="00372343" w:rsidP="00372343">
            <w:pPr>
              <w:pStyle w:val="a0"/>
              <w:adjustRightInd w:val="0"/>
              <w:snapToGrid w:val="0"/>
              <w:spacing w:after="0"/>
              <w:jc w:val="center"/>
              <w:rPr>
                <w:sz w:val="24"/>
                <w:szCs w:val="24"/>
                <w:lang w:eastAsia="zh-TW"/>
              </w:rPr>
            </w:pPr>
          </w:p>
        </w:tc>
      </w:tr>
    </w:tbl>
    <w:p w14:paraId="5FF40601" w14:textId="77777777" w:rsidR="006841F6" w:rsidRPr="00E4085C" w:rsidRDefault="006841F6" w:rsidP="00C65A3F">
      <w:pPr>
        <w:widowControl/>
        <w:adjustRightInd w:val="0"/>
        <w:snapToGrid w:val="0"/>
        <w:jc w:val="both"/>
        <w:rPr>
          <w:rFonts w:ascii="Times New Roman" w:hAnsi="Times New Roman"/>
          <w:szCs w:val="24"/>
        </w:rPr>
      </w:pPr>
    </w:p>
    <w:p w14:paraId="2F972F7A" w14:textId="77777777" w:rsidR="00074B88" w:rsidRPr="00E4085C" w:rsidRDefault="00074B88" w:rsidP="00C65A3F">
      <w:pPr>
        <w:widowControl/>
        <w:adjustRightInd w:val="0"/>
        <w:snapToGrid w:val="0"/>
        <w:jc w:val="both"/>
        <w:rPr>
          <w:rFonts w:ascii="Times New Roman" w:hAnsi="Times New Roman"/>
          <w:szCs w:val="24"/>
        </w:rPr>
      </w:pPr>
    </w:p>
    <w:p w14:paraId="5605305D" w14:textId="77777777" w:rsidR="00074B88" w:rsidRPr="00E4085C" w:rsidRDefault="00074B88" w:rsidP="00C65A3F">
      <w:pPr>
        <w:widowControl/>
        <w:adjustRightInd w:val="0"/>
        <w:snapToGrid w:val="0"/>
        <w:jc w:val="both"/>
        <w:rPr>
          <w:rFonts w:ascii="Times New Roman" w:hAnsi="Times New Roman"/>
          <w:szCs w:val="24"/>
        </w:rPr>
      </w:pPr>
    </w:p>
    <w:p w14:paraId="201D3FD8" w14:textId="77777777" w:rsidR="00074B88" w:rsidRPr="00E4085C" w:rsidRDefault="00074B88" w:rsidP="00C65A3F">
      <w:pPr>
        <w:widowControl/>
        <w:adjustRightInd w:val="0"/>
        <w:snapToGrid w:val="0"/>
        <w:jc w:val="both"/>
        <w:rPr>
          <w:rFonts w:ascii="Times New Roman" w:hAnsi="Times New Roman"/>
          <w:szCs w:val="24"/>
        </w:rPr>
        <w:sectPr w:rsidR="00074B88" w:rsidRPr="00E4085C" w:rsidSect="00C76F01">
          <w:footerReference w:type="even" r:id="rId8"/>
          <w:footerReference w:type="default" r:id="rId9"/>
          <w:pgSz w:w="11906" w:h="16838"/>
          <w:pgMar w:top="1134" w:right="1418" w:bottom="1134" w:left="1418" w:header="851" w:footer="992" w:gutter="0"/>
          <w:pgNumType w:fmt="lowerRoman" w:start="1"/>
          <w:cols w:space="425"/>
          <w:docGrid w:type="linesAndChars" w:linePitch="360"/>
        </w:sectPr>
      </w:pPr>
    </w:p>
    <w:p w14:paraId="4197DF12" w14:textId="75D2B15C" w:rsidR="00DD79F6" w:rsidRPr="004D3F2B" w:rsidRDefault="001B1DF5" w:rsidP="00225FC1">
      <w:pPr>
        <w:widowControl/>
        <w:adjustRightInd w:val="0"/>
        <w:snapToGrid w:val="0"/>
        <w:jc w:val="both"/>
        <w:rPr>
          <w:rFonts w:ascii="Times New Roman" w:hAnsi="Times New Roman"/>
          <w:b/>
          <w:bCs/>
          <w:color w:val="0000CC"/>
          <w:szCs w:val="24"/>
        </w:rPr>
      </w:pPr>
      <w:r w:rsidRPr="004D3F2B">
        <w:rPr>
          <w:rFonts w:ascii="Times New Roman" w:hAnsi="Times New Roman"/>
          <w:b/>
          <w:bCs/>
          <w:szCs w:val="24"/>
        </w:rPr>
        <w:lastRenderedPageBreak/>
        <w:t>1   Introduction</w:t>
      </w:r>
    </w:p>
    <w:p w14:paraId="51C4C8C7" w14:textId="137599CF"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The global economic landscape is continually evolving, influenced by a myriad of factors that present both challenges and opportunities for investment firms aiming to broaden their international presence. A pivotal aspect of this landscape is the behavior of key economic indicators, such as inflation rates, which serve as critical barometers for economic health and consumer purchasing </w:t>
      </w:r>
      <w:r w:rsidR="001F017C">
        <w:rPr>
          <w:rFonts w:ascii="Times New Roman" w:hAnsi="Times New Roman"/>
          <w:bCs/>
          <w:color w:val="000000" w:themeColor="text1"/>
          <w:szCs w:val="24"/>
        </w:rPr>
        <w:t>(</w:t>
      </w:r>
      <w:proofErr w:type="spellStart"/>
      <w:r w:rsidR="001F017C" w:rsidRPr="001F017C">
        <w:rPr>
          <w:rFonts w:ascii="Times New Roman" w:hAnsi="Times New Roman"/>
        </w:rPr>
        <w:t>Ogrokhina</w:t>
      </w:r>
      <w:proofErr w:type="spellEnd"/>
      <w:r w:rsidR="001F017C" w:rsidRPr="001F017C">
        <w:rPr>
          <w:rFonts w:ascii="Times New Roman" w:hAnsi="Times New Roman"/>
        </w:rPr>
        <w:t>, O., &amp; Rodriguez, C. M.</w:t>
      </w:r>
      <w:r w:rsidR="001F017C">
        <w:rPr>
          <w:rFonts w:ascii="Times New Roman" w:hAnsi="Times New Roman"/>
        </w:rPr>
        <w:t xml:space="preserve">, </w:t>
      </w:r>
      <w:r w:rsidR="001F017C" w:rsidRPr="001F017C">
        <w:rPr>
          <w:rFonts w:ascii="Times New Roman" w:hAnsi="Times New Roman"/>
        </w:rPr>
        <w:t>2018</w:t>
      </w:r>
      <w:r w:rsidR="001F017C">
        <w:rPr>
          <w:rFonts w:ascii="Times New Roman" w:hAnsi="Times New Roman"/>
          <w:bCs/>
          <w:color w:val="000000" w:themeColor="text1"/>
          <w:szCs w:val="24"/>
        </w:rPr>
        <w:t>)</w:t>
      </w:r>
      <w:r w:rsidRPr="004D3F2B">
        <w:rPr>
          <w:rFonts w:ascii="Times New Roman" w:hAnsi="Times New Roman"/>
          <w:bCs/>
          <w:color w:val="000000" w:themeColor="text1"/>
          <w:szCs w:val="24"/>
        </w:rPr>
        <w:t>. This empirical study is dedicated to examining the inflation trends within a diverse set of regions: Hong Kong, an advanced financial center in Asia; the United States and the United Kingdom, which are epitomes of mature economies with deep-rooted financial systems; and China and Malaysia, representing emerging markets characterized by rapid economic development and transformation. The primary objective is to uncover viable investment avenues that could significantly contribute to the global expansion goals of our firm.</w:t>
      </w:r>
    </w:p>
    <w:p w14:paraId="05576033"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04123935" w14:textId="295D721B"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Over the past few years, our company has faced a multitude of challenges stemming from economic instabilities, geopolitical tensions, and fluctuating market conditions. These challenges have impeded our growth trajectory and complicated our strategic investment planning. The unpredictable nature of inflation, a crucial determinant of investment viability and returns, has further compounded these difficulties. </w:t>
      </w:r>
      <w:r w:rsidR="003963B3" w:rsidRPr="003963B3">
        <w:rPr>
          <w:rFonts w:ascii="Times New Roman" w:hAnsi="Times New Roman"/>
          <w:bCs/>
          <w:color w:val="000000" w:themeColor="text1"/>
          <w:szCs w:val="24"/>
        </w:rPr>
        <w:t xml:space="preserve">The Positive and Negative Impacts of Inflation: </w:t>
      </w:r>
      <w:proofErr w:type="spellStart"/>
      <w:r w:rsidR="003963B3" w:rsidRPr="003963B3">
        <w:rPr>
          <w:rFonts w:ascii="Times New Roman" w:hAnsi="Times New Roman"/>
          <w:bCs/>
          <w:color w:val="000000" w:themeColor="text1"/>
          <w:szCs w:val="24"/>
        </w:rPr>
        <w:t>Cieślak</w:t>
      </w:r>
      <w:proofErr w:type="spellEnd"/>
      <w:r w:rsidR="003963B3" w:rsidRPr="003963B3">
        <w:rPr>
          <w:rFonts w:ascii="Times New Roman" w:hAnsi="Times New Roman"/>
          <w:bCs/>
          <w:color w:val="000000" w:themeColor="text1"/>
          <w:szCs w:val="24"/>
        </w:rPr>
        <w:t xml:space="preserve"> and Pflueger (2023) suggest that in certain instances, inflation (viewed as "good" inflation) may be associated with demand shocks, reflecting economic growth and expansion, which could lead to an increase in investment returns. However, in other cases (perceived as "bad" inflation), inflation may be related to cost-push shocks, which can result in economic slowdown, thus reducing the rate of return on investments (</w:t>
      </w:r>
      <w:proofErr w:type="spellStart"/>
      <w:r w:rsidR="003963B3" w:rsidRPr="003963B3">
        <w:rPr>
          <w:rFonts w:ascii="Times New Roman" w:hAnsi="Times New Roman"/>
          <w:bCs/>
          <w:color w:val="000000" w:themeColor="text1"/>
          <w:szCs w:val="24"/>
        </w:rPr>
        <w:t>Cieślak</w:t>
      </w:r>
      <w:proofErr w:type="spellEnd"/>
      <w:r w:rsidR="003963B3" w:rsidRPr="003963B3">
        <w:rPr>
          <w:rFonts w:ascii="Times New Roman" w:hAnsi="Times New Roman"/>
          <w:bCs/>
          <w:color w:val="000000" w:themeColor="text1"/>
          <w:szCs w:val="24"/>
        </w:rPr>
        <w:t xml:space="preserve"> &amp; Pflueger, 2023).</w:t>
      </w:r>
      <w:r w:rsidRPr="004D3F2B">
        <w:rPr>
          <w:rFonts w:ascii="Times New Roman" w:hAnsi="Times New Roman"/>
          <w:bCs/>
          <w:color w:val="000000" w:themeColor="text1"/>
          <w:szCs w:val="24"/>
        </w:rPr>
        <w:t>It is against this backdrop that this research was conceived, with a motivation rooted in the need to develop a granular understanding of inflation trends across key markets. By identifying regions where inflationary pressures are managed effectively or present unique investment prospects, our firm aims to strategically position itself in markets that not only offer stability in turbulent economic times but also hold the promise of rewarding investment opportunities.</w:t>
      </w:r>
    </w:p>
    <w:p w14:paraId="4A294DF7"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2DA0E0E9" w14:textId="50F1E6D1"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To achieve this, the study adopts a rigorous framework </w:t>
      </w:r>
      <w:r w:rsidR="009B094E">
        <w:rPr>
          <w:rFonts w:ascii="Times New Roman" w:hAnsi="Times New Roman"/>
          <w:bCs/>
          <w:color w:val="000000" w:themeColor="text1"/>
          <w:szCs w:val="24"/>
        </w:rPr>
        <w:t>to analyze</w:t>
      </w:r>
      <w:r w:rsidRPr="004D3F2B">
        <w:rPr>
          <w:rFonts w:ascii="Times New Roman" w:hAnsi="Times New Roman"/>
          <w:bCs/>
          <w:color w:val="000000" w:themeColor="text1"/>
          <w:szCs w:val="24"/>
        </w:rPr>
        <w:t xml:space="preserve"> </w:t>
      </w:r>
      <w:r w:rsidR="00AE5ED3">
        <w:rPr>
          <w:rFonts w:ascii="Times New Roman" w:hAnsi="Times New Roman"/>
          <w:bCs/>
          <w:color w:val="000000" w:themeColor="text1"/>
          <w:szCs w:val="24"/>
        </w:rPr>
        <w:t xml:space="preserve">the </w:t>
      </w:r>
      <w:r w:rsidRPr="004D3F2B">
        <w:rPr>
          <w:rFonts w:ascii="Times New Roman" w:hAnsi="Times New Roman"/>
          <w:bCs/>
          <w:color w:val="000000" w:themeColor="text1"/>
          <w:szCs w:val="24"/>
        </w:rPr>
        <w:t xml:space="preserve">time-series </w:t>
      </w:r>
      <w:r w:rsidR="00AE5ED3">
        <w:rPr>
          <w:rFonts w:ascii="Times New Roman" w:hAnsi="Times New Roman"/>
          <w:bCs/>
          <w:color w:val="000000" w:themeColor="text1"/>
          <w:szCs w:val="24"/>
        </w:rPr>
        <w:t>of consumer inflation rates in these five selected countries</w:t>
      </w:r>
      <w:r w:rsidRPr="004D3F2B">
        <w:rPr>
          <w:rFonts w:ascii="Times New Roman" w:hAnsi="Times New Roman"/>
          <w:bCs/>
          <w:color w:val="000000" w:themeColor="text1"/>
          <w:szCs w:val="24"/>
        </w:rPr>
        <w:t xml:space="preserve">. Historical data on inflation rates are scrutinized to uncover trends, spikes, and patterns, providing insights into the temporal dynamics of inflation across the selected regions. </w:t>
      </w:r>
    </w:p>
    <w:p w14:paraId="0FE11EDE"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4A69E46B" w14:textId="496FCD90"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Here, an in-depth analysis of inflation trends in Hong Kong, the United States, the United Kingdom, China, and Malaysia is presented. By examining historical inflation data, the study aims to delineate clear patterns and identify anomalies in inflation rates, offering insights into the underlying economic </w:t>
      </w:r>
      <w:r w:rsidRPr="004D3F2B">
        <w:rPr>
          <w:rFonts w:ascii="Times New Roman" w:hAnsi="Times New Roman"/>
          <w:bCs/>
          <w:color w:val="000000" w:themeColor="text1"/>
          <w:szCs w:val="24"/>
        </w:rPr>
        <w:lastRenderedPageBreak/>
        <w:t>forces driving these trends. The third section endeavors to contextualize these empirical findings within the broader scope of global investment strategy. It distills the analysis into practical investment recommendations, focusing on how to navigate the challenges posed by inflationary environments and capitalize on the opportunities they may unveil. Specifically, this section will articulate strategies for mitigating inflationary risks, identifying growth potential in high-inflation contexts, and fine-tuning the global investment portfolio to bolster resilience against economic fluctuations and enhance growth prospects.</w:t>
      </w:r>
      <w:r w:rsidR="002E7DA0" w:rsidRPr="004D3F2B">
        <w:rPr>
          <w:rFonts w:ascii="Times New Roman" w:hAnsi="Times New Roman"/>
          <w:bCs/>
          <w:color w:val="000000" w:themeColor="text1"/>
          <w:szCs w:val="24"/>
        </w:rPr>
        <w:t xml:space="preserve"> </w:t>
      </w:r>
    </w:p>
    <w:p w14:paraId="5B6CB86F"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08F6ADEE" w14:textId="77777777" w:rsidR="000A37B4" w:rsidRPr="004D3F2B" w:rsidRDefault="000A37B4" w:rsidP="000A37B4">
      <w:pPr>
        <w:adjustRightInd w:val="0"/>
        <w:snapToGrid w:val="0"/>
        <w:spacing w:line="360" w:lineRule="auto"/>
        <w:jc w:val="both"/>
        <w:rPr>
          <w:rFonts w:ascii="Times New Roman" w:hAnsi="Times New Roman"/>
          <w:bCs/>
          <w:color w:val="0000CC"/>
          <w:szCs w:val="24"/>
        </w:rPr>
      </w:pPr>
    </w:p>
    <w:p w14:paraId="6727D2BF" w14:textId="77777777" w:rsidR="009B094E" w:rsidRDefault="009B094E">
      <w:pPr>
        <w:widowControl/>
        <w:rPr>
          <w:rFonts w:ascii="Times New Roman" w:hAnsi="Times New Roman"/>
          <w:b/>
          <w:bCs/>
          <w:szCs w:val="24"/>
        </w:rPr>
      </w:pPr>
      <w:r>
        <w:rPr>
          <w:rFonts w:ascii="Times New Roman" w:hAnsi="Times New Roman"/>
          <w:b/>
          <w:bCs/>
          <w:szCs w:val="24"/>
        </w:rPr>
        <w:br w:type="page"/>
      </w:r>
    </w:p>
    <w:p w14:paraId="0EB42323" w14:textId="151277FC" w:rsidR="00B953FD" w:rsidRPr="004D3F2B" w:rsidRDefault="001B1DF5" w:rsidP="004E09D0">
      <w:pPr>
        <w:widowControl/>
        <w:adjustRightInd w:val="0"/>
        <w:snapToGrid w:val="0"/>
        <w:spacing w:line="360" w:lineRule="auto"/>
        <w:jc w:val="both"/>
        <w:rPr>
          <w:rFonts w:ascii="Times New Roman" w:hAnsi="Times New Roman"/>
          <w:b/>
          <w:bCs/>
          <w:color w:val="0000CC"/>
          <w:szCs w:val="24"/>
        </w:rPr>
      </w:pPr>
      <w:r w:rsidRPr="004D3F2B">
        <w:rPr>
          <w:rFonts w:ascii="Times New Roman" w:hAnsi="Times New Roman"/>
          <w:b/>
          <w:bCs/>
          <w:szCs w:val="24"/>
        </w:rPr>
        <w:lastRenderedPageBreak/>
        <w:t xml:space="preserve">2   </w:t>
      </w:r>
      <w:r w:rsidR="001E46DB" w:rsidRPr="004D3F2B">
        <w:rPr>
          <w:rFonts w:ascii="Times New Roman" w:hAnsi="Times New Roman"/>
          <w:b/>
          <w:szCs w:val="24"/>
        </w:rPr>
        <w:t xml:space="preserve">Research </w:t>
      </w:r>
      <w:r w:rsidR="00A664EE" w:rsidRPr="004D3F2B">
        <w:rPr>
          <w:rFonts w:ascii="Times New Roman" w:hAnsi="Times New Roman"/>
          <w:b/>
          <w:szCs w:val="24"/>
        </w:rPr>
        <w:t>B</w:t>
      </w:r>
      <w:r w:rsidR="001E46DB" w:rsidRPr="004D3F2B">
        <w:rPr>
          <w:rFonts w:ascii="Times New Roman" w:hAnsi="Times New Roman"/>
          <w:b/>
          <w:szCs w:val="24"/>
        </w:rPr>
        <w:t>ackground</w:t>
      </w:r>
      <w:r w:rsidR="00AE5ED3">
        <w:rPr>
          <w:rFonts w:ascii="Times New Roman" w:hAnsi="Times New Roman"/>
          <w:b/>
          <w:szCs w:val="24"/>
        </w:rPr>
        <w:t xml:space="preserve"> </w:t>
      </w:r>
    </w:p>
    <w:p w14:paraId="6FBD7C7F" w14:textId="0BCBC29C"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The selection of the inflation rate, particularly the end-of-period consumer prices, as the central theme of this analysis is underpinned by its significant impact on the global economic framework and its direct influence on investment strategies and decisions. Inflation fundamentally alters the purchasing power and the cost structure within economies, thereby playing a crucial role in molding the investment environment. This is exemplified in the work of Liebermann and Ungar (1983), who explored how inflation influences consumer choices among durable goods by affecting perceived investment returns. Similarly, Schwert (1981) demonstrated how stock prices react, albeit modestly, to unexpected inflation announcements, highlighting the sensitivity of financial markets to inflationary trends.</w:t>
      </w:r>
    </w:p>
    <w:p w14:paraId="535E03A1" w14:textId="77777777" w:rsidR="00C24C68" w:rsidRPr="00C24C68" w:rsidRDefault="00C24C68" w:rsidP="00C24C68">
      <w:pPr>
        <w:adjustRightInd w:val="0"/>
        <w:snapToGrid w:val="0"/>
        <w:spacing w:line="360" w:lineRule="auto"/>
        <w:jc w:val="both"/>
        <w:rPr>
          <w:rFonts w:ascii="Times New Roman" w:hAnsi="Times New Roman"/>
          <w:bCs/>
          <w:szCs w:val="24"/>
        </w:rPr>
      </w:pPr>
    </w:p>
    <w:p w14:paraId="58BE1C1E" w14:textId="77777777"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Further supporting this notion, Monacelli and Sala (2009) quantified the contribution of international factors to consumer price inflation, revealing that a significant portion of price variance could be attributed to global inflationary pressures, thereby affecting international investment decisions. Additionally, Cooley, Roenfeldt, and Chew (1975) discussed the necessity of modifying traditional capital budgeting processes in response to inflation to prevent suboptimal capital allocation, emphasizing the importance of inflation in strategic financial planning.</w:t>
      </w:r>
    </w:p>
    <w:p w14:paraId="10498291" w14:textId="77777777" w:rsidR="00C24C68" w:rsidRPr="00C24C68" w:rsidRDefault="00C24C68" w:rsidP="00C24C68">
      <w:pPr>
        <w:adjustRightInd w:val="0"/>
        <w:snapToGrid w:val="0"/>
        <w:spacing w:line="360" w:lineRule="auto"/>
        <w:jc w:val="both"/>
        <w:rPr>
          <w:rFonts w:ascii="Times New Roman" w:hAnsi="Times New Roman"/>
          <w:bCs/>
          <w:szCs w:val="24"/>
        </w:rPr>
      </w:pPr>
    </w:p>
    <w:p w14:paraId="6F22BC14" w14:textId="77777777"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These studies collectively underscore the importance of focusing on end-of-period consumer prices and inflation rates. They not only affect the micro-level decisions of consumers and investors but also have far-reaching implications on the macroeconomic landscape and global financial markets. Therefore, understanding inflation's nuances becomes indispensable for financial analysis and strategic planning, making it a vital indicator for gauging the health and direction of economies and their investment potentials.</w:t>
      </w:r>
    </w:p>
    <w:p w14:paraId="22964F71" w14:textId="77777777" w:rsidR="00C24C68" w:rsidRPr="00C24C68" w:rsidRDefault="00C24C68" w:rsidP="00C24C68">
      <w:pPr>
        <w:adjustRightInd w:val="0"/>
        <w:snapToGrid w:val="0"/>
        <w:spacing w:line="360" w:lineRule="auto"/>
        <w:jc w:val="both"/>
        <w:rPr>
          <w:rFonts w:ascii="Times New Roman" w:hAnsi="Times New Roman"/>
          <w:bCs/>
          <w:szCs w:val="24"/>
        </w:rPr>
      </w:pPr>
    </w:p>
    <w:p w14:paraId="76F1AF17" w14:textId="6F579951" w:rsidR="00AD5725" w:rsidRPr="004D3F2B" w:rsidRDefault="00AD5725" w:rsidP="00C24C68">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rationale behind choosing the United States and the United Kingdom as subjects of this study stems from their status as advanced economies with significant sway over global financial markets. Their economic policies, particularly in relation to monetary policy and inflation management, often set benchmarks for other nations and influence global economic trends. On the other hand, China and Malaysia represent the emerging market category, chosen for their dynamic economic growth, increasing contribution to global trade, and the unique investment opportunities they offer within their rapidly changing economic environments. This contrast between the mature stability of advanced economies and the vibrant growth potential of emerging markets provides a broad spectrum for analyzing inflation's impact on diverse economic contexts.</w:t>
      </w:r>
    </w:p>
    <w:p w14:paraId="6991FE5F" w14:textId="67FD7067" w:rsidR="00A664EE" w:rsidRPr="004D3F2B" w:rsidRDefault="00A664EE" w:rsidP="00E0488D">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2.</w:t>
      </w:r>
      <w:r w:rsidR="000A37B4" w:rsidRPr="004D3F2B">
        <w:rPr>
          <w:rFonts w:ascii="Times New Roman" w:hAnsi="Times New Roman"/>
          <w:b/>
          <w:bCs/>
          <w:szCs w:val="24"/>
        </w:rPr>
        <w:t>1</w:t>
      </w:r>
      <w:r w:rsidRPr="004D3F2B">
        <w:rPr>
          <w:rFonts w:ascii="Times New Roman" w:hAnsi="Times New Roman"/>
          <w:b/>
          <w:bCs/>
          <w:szCs w:val="24"/>
        </w:rPr>
        <w:t xml:space="preserve"> Date definition and sources</w:t>
      </w:r>
    </w:p>
    <w:p w14:paraId="54F2BE27" w14:textId="2421F9D6" w:rsidR="00E81C4C" w:rsidRDefault="009E190D" w:rsidP="00E0488D">
      <w:pPr>
        <w:adjustRightInd w:val="0"/>
        <w:snapToGrid w:val="0"/>
        <w:spacing w:line="360" w:lineRule="auto"/>
        <w:jc w:val="both"/>
        <w:rPr>
          <w:rFonts w:ascii="Times New Roman" w:hAnsi="Times New Roman"/>
          <w:color w:val="FF0000"/>
          <w:szCs w:val="24"/>
        </w:rPr>
      </w:pPr>
      <w:r w:rsidRPr="002A1F0F">
        <w:rPr>
          <w:rFonts w:ascii="Times New Roman" w:hAnsi="Times New Roman"/>
          <w:szCs w:val="24"/>
        </w:rPr>
        <w:t xml:space="preserve">The Consumer Price Index (CPI) as defined by the International Monetary Fund (IMF) is a measure that examines the weighted average of prices of a basket of consumer goods and services, such as transportation, food, and medical care. It is calculated by taking price changes for each item in the predetermined basket of goods and averaging them. Changes in the CPI are used to assess price changes associated with the cost of living. </w:t>
      </w:r>
      <w:r w:rsidRPr="002A1F0F">
        <w:rPr>
          <w:rFonts w:ascii="Times New Roman" w:hAnsi="Times New Roman"/>
          <w:color w:val="2C3E50"/>
          <w:sz w:val="23"/>
          <w:szCs w:val="23"/>
          <w:shd w:val="clear" w:color="auto" w:fill="FFFFFF"/>
        </w:rPr>
        <w:t>(IMF, 2014)</w:t>
      </w:r>
    </w:p>
    <w:p w14:paraId="31780736" w14:textId="77777777" w:rsidR="002A1F0F" w:rsidRDefault="002A1F0F" w:rsidP="00E0488D">
      <w:pPr>
        <w:adjustRightInd w:val="0"/>
        <w:snapToGrid w:val="0"/>
        <w:spacing w:line="360" w:lineRule="auto"/>
        <w:jc w:val="both"/>
        <w:rPr>
          <w:rFonts w:ascii="Times New Roman" w:hAnsi="Times New Roman"/>
          <w:bCs/>
          <w:szCs w:val="24"/>
        </w:rPr>
      </w:pPr>
    </w:p>
    <w:p w14:paraId="7FF5E559" w14:textId="43446233" w:rsidR="00AD5725" w:rsidRPr="004D3F2B" w:rsidRDefault="00AD5725" w:rsidP="00E0488D">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inflation rate, specifically focusing on end-of-period consumer prices, denotes the annual percentage change in the cost to the average consumer of acquiring a basket of goods and services at the year's end. This study covers a comprehensive timeline of 21 years, from 2002 to 2022, encapsulating various global economic conditions, including growth phases, recessions, and periods of economic recovery and adjustment. This extensive period allows for a nuanced analysis of inflation trends, offering insights into how different economies have navigated inflationary pressures over time.</w:t>
      </w:r>
    </w:p>
    <w:p w14:paraId="176C87FD" w14:textId="77777777" w:rsidR="00AD5725" w:rsidRPr="004D3F2B" w:rsidRDefault="00AD5725" w:rsidP="00E0488D">
      <w:pPr>
        <w:adjustRightInd w:val="0"/>
        <w:snapToGrid w:val="0"/>
        <w:spacing w:line="360" w:lineRule="auto"/>
        <w:jc w:val="both"/>
        <w:rPr>
          <w:rFonts w:ascii="Times New Roman" w:hAnsi="Times New Roman"/>
          <w:bCs/>
          <w:szCs w:val="24"/>
        </w:rPr>
      </w:pPr>
    </w:p>
    <w:p w14:paraId="39A9A3BE" w14:textId="77777777" w:rsidR="00AD5725" w:rsidRPr="004D3F2B" w:rsidRDefault="00AD5725" w:rsidP="00E0488D">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significance of the end-of-period consumer price inflation rate extends beyond its representation of yearly economic closing conditions; it serves as a critical barometer for the economic environment investors face at the culmination of each year. This measure is of paramount importance to investors as it directly influences key investment decisions, affecting the valuation of portfolios and the strategic direction of financial planning. Inflation rates are closely tied to interest rates, currency valuations, and market sentiments, which are central to identifying profitable investment avenues. High inflation rates can significantly diminish the real returns on investments, making the economic climate less favorable for investors. Conversely, environments characterized by low or stable inflation are generally perceived as conducive to sustained economic growth and attractive investment opportunities.</w:t>
      </w:r>
    </w:p>
    <w:p w14:paraId="3B766D1D" w14:textId="77777777" w:rsidR="004E09D0" w:rsidRPr="004D3F2B" w:rsidRDefault="004E09D0" w:rsidP="004E09D0">
      <w:pPr>
        <w:adjustRightInd w:val="0"/>
        <w:snapToGrid w:val="0"/>
        <w:spacing w:line="360" w:lineRule="auto"/>
        <w:jc w:val="both"/>
        <w:rPr>
          <w:rFonts w:ascii="Times New Roman" w:hAnsi="Times New Roman"/>
          <w:bCs/>
          <w:szCs w:val="24"/>
        </w:rPr>
      </w:pPr>
    </w:p>
    <w:p w14:paraId="37E17106" w14:textId="1F91BA5C" w:rsidR="00E6133C" w:rsidRPr="004D3F2B" w:rsidRDefault="00AD5725" w:rsidP="004E09D0">
      <w:pPr>
        <w:adjustRightInd w:val="0"/>
        <w:snapToGrid w:val="0"/>
        <w:spacing w:line="360" w:lineRule="auto"/>
        <w:jc w:val="both"/>
        <w:rPr>
          <w:rFonts w:ascii="Times New Roman" w:hAnsi="Times New Roman"/>
          <w:bCs/>
          <w:color w:val="0000CC"/>
          <w:szCs w:val="24"/>
        </w:rPr>
      </w:pPr>
      <w:r w:rsidRPr="004D3F2B">
        <w:rPr>
          <w:rFonts w:ascii="Times New Roman" w:hAnsi="Times New Roman"/>
          <w:bCs/>
          <w:szCs w:val="24"/>
        </w:rPr>
        <w:t xml:space="preserve">For the purposes of this study, the dataset was sourced from the International Monetary Fund (IMF) website, renowned for its comprehensive and authoritative economic data. The IMF offers standardized and comparable inflation metrics across a wide array of countries, ensuring the reliability and consistency necessary for an analysis of this scope. The choice of the IMF as the data source underscores the study's commitment to utilizing high-quality, verifiable information to underpin the examination of inflation trends across the selected economies. By drawing on data from such a reputable institution, the research ensures a solid foundation for the subsequent analysis and discussions, aiming to provide insightful conclusions that can inform and guide investment strategies in the context of global inflation dynamics. </w:t>
      </w:r>
    </w:p>
    <w:p w14:paraId="18336DD4" w14:textId="77777777" w:rsidR="00E6133C" w:rsidRPr="004D3F2B" w:rsidRDefault="00E6133C" w:rsidP="00E0488D">
      <w:pPr>
        <w:adjustRightInd w:val="0"/>
        <w:snapToGrid w:val="0"/>
        <w:spacing w:line="360" w:lineRule="auto"/>
        <w:jc w:val="both"/>
        <w:rPr>
          <w:rFonts w:ascii="Times New Roman" w:hAnsi="Times New Roman"/>
          <w:b/>
          <w:bCs/>
          <w:szCs w:val="24"/>
        </w:rPr>
      </w:pPr>
    </w:p>
    <w:p w14:paraId="7C1C7122" w14:textId="26924FFA" w:rsidR="00E6133C" w:rsidRPr="004D3F2B" w:rsidRDefault="00E6133C" w:rsidP="00E6133C">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t>2.</w:t>
      </w:r>
      <w:r w:rsidR="000A37B4" w:rsidRPr="004D3F2B">
        <w:rPr>
          <w:rFonts w:ascii="Times New Roman" w:hAnsi="Times New Roman"/>
          <w:b/>
          <w:bCs/>
          <w:szCs w:val="24"/>
        </w:rPr>
        <w:t>2</w:t>
      </w:r>
      <w:r w:rsidRPr="004D3F2B">
        <w:rPr>
          <w:rFonts w:ascii="Times New Roman" w:hAnsi="Times New Roman"/>
          <w:b/>
          <w:bCs/>
          <w:szCs w:val="24"/>
        </w:rPr>
        <w:t xml:space="preserve"> </w:t>
      </w:r>
      <w:bookmarkStart w:id="2" w:name="_Hlk155988336"/>
      <w:r w:rsidRPr="004D3F2B">
        <w:rPr>
          <w:rFonts w:ascii="Times New Roman" w:hAnsi="Times New Roman"/>
          <w:b/>
          <w:bCs/>
          <w:szCs w:val="24"/>
        </w:rPr>
        <w:t xml:space="preserve">Current performance of </w:t>
      </w:r>
      <w:r w:rsidR="00271CEE">
        <w:rPr>
          <w:rFonts w:ascii="Times New Roman" w:hAnsi="Times New Roman"/>
          <w:b/>
          <w:bCs/>
          <w:szCs w:val="24"/>
        </w:rPr>
        <w:t xml:space="preserve">consumer </w:t>
      </w:r>
      <w:r w:rsidR="00271CEE">
        <w:rPr>
          <w:rFonts w:ascii="Times New Roman" w:hAnsi="Times New Roman"/>
          <w:b/>
          <w:szCs w:val="24"/>
        </w:rPr>
        <w:t>i</w:t>
      </w:r>
      <w:r w:rsidR="004E09D0" w:rsidRPr="004D3F2B">
        <w:rPr>
          <w:rFonts w:ascii="Times New Roman" w:hAnsi="Times New Roman"/>
          <w:b/>
          <w:szCs w:val="24"/>
        </w:rPr>
        <w:t xml:space="preserve">nflation </w:t>
      </w:r>
      <w:r w:rsidRPr="004D3F2B">
        <w:rPr>
          <w:rFonts w:ascii="Times New Roman" w:hAnsi="Times New Roman"/>
          <w:b/>
          <w:bCs/>
          <w:szCs w:val="24"/>
        </w:rPr>
        <w:t>in the selected countries</w:t>
      </w:r>
      <w:bookmarkEnd w:id="2"/>
    </w:p>
    <w:p w14:paraId="6FFE6AC0" w14:textId="77777777" w:rsidR="004E09D0" w:rsidRPr="004D3F2B" w:rsidRDefault="004E09D0" w:rsidP="00E6133C">
      <w:pPr>
        <w:adjustRightInd w:val="0"/>
        <w:snapToGrid w:val="0"/>
        <w:spacing w:line="360" w:lineRule="auto"/>
        <w:jc w:val="both"/>
        <w:rPr>
          <w:rFonts w:ascii="Times New Roman" w:hAnsi="Times New Roman"/>
          <w:color w:val="000000" w:themeColor="text1"/>
          <w:szCs w:val="24"/>
        </w:rPr>
      </w:pPr>
    </w:p>
    <w:p w14:paraId="682AA4AE" w14:textId="49F6A5C5" w:rsidR="00BF76BF" w:rsidRPr="006C4407" w:rsidRDefault="004E09D0" w:rsidP="00BF76BF">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2.2.1 </w:t>
      </w:r>
      <w:r w:rsidR="00BF76BF" w:rsidRPr="009B094E">
        <w:rPr>
          <w:rFonts w:ascii="Times New Roman" w:hAnsi="Times New Roman"/>
          <w:b/>
          <w:color w:val="000000" w:themeColor="text1"/>
          <w:szCs w:val="24"/>
        </w:rPr>
        <w:t>Hong Kong</w:t>
      </w:r>
    </w:p>
    <w:p w14:paraId="06AE0B94" w14:textId="6266DF4F" w:rsidR="00BF76BF" w:rsidRPr="004D3F2B" w:rsidRDefault="00AD5725"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 xml:space="preserve">In December 2023, inflation data for Hong Kong indicated that the overall consumer prices rose by 2.4% year-over-year, which was a slight decrease from the 2.6% increase reported in November 2023. This suggests that the rate of price increases in Hong Kong has slowed down, primarily due to falling prices of fresh vegetables and a larger reduction in electricity tariffs. Excluding the impact of one-off government relief measures, the core inflation rate stood at 1.4%, lower than the 1.6% recorded in the previous month. Overall, the price increase trend in Hong Kong has been relatively mild, reflecting that the price pressures in the market have been alleviated to some extent. </w:t>
      </w:r>
      <w:r w:rsidR="00BF76BF" w:rsidRPr="004D3F2B">
        <w:rPr>
          <w:rFonts w:ascii="Times New Roman" w:hAnsi="Times New Roman"/>
          <w:color w:val="000000" w:themeColor="text1"/>
          <w:szCs w:val="24"/>
        </w:rPr>
        <w:t>reflecting that the price pressures in the market have been alleviated to some extent.</w:t>
      </w:r>
      <w:r w:rsidRPr="004D3F2B">
        <w:rPr>
          <w:rFonts w:ascii="Times New Roman" w:hAnsi="Times New Roman"/>
          <w:color w:val="000000" w:themeColor="text1"/>
          <w:szCs w:val="24"/>
        </w:rPr>
        <w:t xml:space="preserve"> (</w:t>
      </w:r>
      <w:r w:rsidRPr="004D3F2B">
        <w:rPr>
          <w:rFonts w:ascii="Times New Roman" w:hAnsi="Times New Roman"/>
          <w:color w:val="000000" w:themeColor="text1"/>
          <w:szCs w:val="24"/>
          <w:shd w:val="clear" w:color="auto" w:fill="FFFFFF"/>
        </w:rPr>
        <w:t xml:space="preserve">www.info.gov.hk, n.d.) </w:t>
      </w:r>
    </w:p>
    <w:p w14:paraId="2C727FB4" w14:textId="77777777" w:rsidR="002E7DA0" w:rsidRPr="004D3F2B" w:rsidRDefault="002E7DA0" w:rsidP="00BF76BF">
      <w:pPr>
        <w:adjustRightInd w:val="0"/>
        <w:snapToGrid w:val="0"/>
        <w:spacing w:line="360" w:lineRule="auto"/>
        <w:jc w:val="both"/>
        <w:rPr>
          <w:rFonts w:ascii="Times New Roman" w:hAnsi="Times New Roman"/>
          <w:color w:val="000000" w:themeColor="text1"/>
          <w:szCs w:val="24"/>
          <w:shd w:val="clear" w:color="auto" w:fill="FFFFFF"/>
        </w:rPr>
      </w:pPr>
    </w:p>
    <w:p w14:paraId="4BEE4664" w14:textId="03CE2897" w:rsidR="00AD5725" w:rsidRPr="006C4407" w:rsidRDefault="004E09D0" w:rsidP="00BF76BF">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2.2.2 </w:t>
      </w:r>
      <w:r w:rsidR="00AD5725" w:rsidRPr="009B094E">
        <w:rPr>
          <w:rFonts w:ascii="Times New Roman" w:hAnsi="Times New Roman"/>
          <w:b/>
          <w:color w:val="000000" w:themeColor="text1"/>
          <w:szCs w:val="24"/>
        </w:rPr>
        <w:t>Unit</w:t>
      </w:r>
      <w:r w:rsidR="00481C22" w:rsidRPr="009B094E">
        <w:rPr>
          <w:rFonts w:ascii="Times New Roman" w:hAnsi="Times New Roman"/>
          <w:b/>
          <w:color w:val="000000" w:themeColor="text1"/>
          <w:szCs w:val="24"/>
        </w:rPr>
        <w:t>ed States</w:t>
      </w:r>
    </w:p>
    <w:p w14:paraId="34A0F454" w14:textId="2F1C0E8C" w:rsidR="00AD5725" w:rsidRPr="004D3F2B" w:rsidRDefault="00AD5725"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In December 2023, the United States reported an annual inflation rate of 3.1%, indicating a slight downward trend compared to previous months. This figure reflects a gradual easing of inflationary pressures amidst a series of monetary policies and economic activities. Nevertheless, the inflation rate remains above the long-term target set by the Federal Reserve, suggesting that further policy adjustments may be necessary in the future to stabilize price levels. Moreover, fluctuations in specific areas such as energy and food prices could still impact the overall inflation rate and warrant continuous monitoring.</w:t>
      </w:r>
      <w:r w:rsidR="00481C22" w:rsidRPr="004D3F2B">
        <w:rPr>
          <w:rFonts w:ascii="Times New Roman" w:hAnsi="Times New Roman"/>
          <w:color w:val="000000" w:themeColor="text1"/>
          <w:szCs w:val="24"/>
        </w:rPr>
        <w:t xml:space="preserve"> </w:t>
      </w:r>
      <w:r w:rsidR="00481C22" w:rsidRPr="004D3F2B">
        <w:rPr>
          <w:rFonts w:ascii="Times New Roman" w:hAnsi="Times New Roman"/>
          <w:color w:val="000000" w:themeColor="text1"/>
          <w:szCs w:val="24"/>
          <w:shd w:val="clear" w:color="auto" w:fill="FFFFFF"/>
        </w:rPr>
        <w:t xml:space="preserve">(U.S. Bureau of Labor Statistics, 2023) </w:t>
      </w:r>
    </w:p>
    <w:p w14:paraId="666C48A2" w14:textId="77777777" w:rsidR="00481C22" w:rsidRPr="004D3F2B" w:rsidRDefault="00481C22" w:rsidP="00BF76BF">
      <w:pPr>
        <w:adjustRightInd w:val="0"/>
        <w:snapToGrid w:val="0"/>
        <w:spacing w:line="360" w:lineRule="auto"/>
        <w:jc w:val="both"/>
        <w:rPr>
          <w:rFonts w:ascii="Times New Roman" w:hAnsi="Times New Roman"/>
          <w:color w:val="000000" w:themeColor="text1"/>
          <w:szCs w:val="24"/>
          <w:shd w:val="clear" w:color="auto" w:fill="FFFFFF"/>
        </w:rPr>
      </w:pPr>
    </w:p>
    <w:p w14:paraId="2E472ED8" w14:textId="2AE083CE" w:rsidR="00481C22" w:rsidRPr="006C4407" w:rsidRDefault="004E09D0" w:rsidP="00BF76BF">
      <w:pPr>
        <w:adjustRightInd w:val="0"/>
        <w:snapToGrid w:val="0"/>
        <w:spacing w:line="360" w:lineRule="auto"/>
        <w:jc w:val="both"/>
        <w:rPr>
          <w:rFonts w:ascii="Times New Roman" w:hAnsi="Times New Roman"/>
          <w:b/>
          <w:color w:val="000000" w:themeColor="text1"/>
          <w:szCs w:val="24"/>
          <w:shd w:val="clear" w:color="auto" w:fill="FFFFFF"/>
        </w:rPr>
      </w:pPr>
      <w:r w:rsidRPr="009B094E">
        <w:rPr>
          <w:rFonts w:ascii="Times New Roman" w:hAnsi="Times New Roman"/>
          <w:b/>
          <w:color w:val="000000" w:themeColor="text1"/>
          <w:szCs w:val="24"/>
          <w:shd w:val="clear" w:color="auto" w:fill="FFFFFF"/>
        </w:rPr>
        <w:t xml:space="preserve">2.2.3 </w:t>
      </w:r>
      <w:r w:rsidR="00481C22" w:rsidRPr="009B094E">
        <w:rPr>
          <w:rFonts w:ascii="Times New Roman" w:hAnsi="Times New Roman"/>
          <w:b/>
          <w:color w:val="000000" w:themeColor="text1"/>
          <w:szCs w:val="24"/>
          <w:shd w:val="clear" w:color="auto" w:fill="FFFFFF"/>
        </w:rPr>
        <w:t>United Kingdom</w:t>
      </w:r>
    </w:p>
    <w:p w14:paraId="122E1655" w14:textId="6D173A14" w:rsidR="00481C22" w:rsidRPr="004D3F2B" w:rsidRDefault="00481C22"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The inflation rate in the United Kingdom remained at 4.2% in December 2023, unchanged from the previous month. This indicates that despite the challenges of high inflation rates in the preceding year, the growth in the UK's price levels has begun to stabilize. The UK government and the Bank of England are likely to continue implementing measures to control inflation and maintain economic stability. However, uncertainties in the global economic environment, as well as changes in domestic and international policies, may still impact future inflation trends.</w:t>
      </w:r>
      <w:r w:rsidR="00E52BA9" w:rsidRPr="004D3F2B">
        <w:rPr>
          <w:rFonts w:ascii="Times New Roman" w:hAnsi="Times New Roman"/>
          <w:color w:val="000000" w:themeColor="text1"/>
          <w:szCs w:val="24"/>
        </w:rPr>
        <w:t xml:space="preserve"> </w:t>
      </w:r>
      <w:r w:rsidR="00E52BA9" w:rsidRPr="004D3F2B">
        <w:rPr>
          <w:rFonts w:ascii="Times New Roman" w:hAnsi="Times New Roman"/>
          <w:color w:val="000000" w:themeColor="text1"/>
          <w:szCs w:val="24"/>
          <w:shd w:val="clear" w:color="auto" w:fill="FFFFFF"/>
        </w:rPr>
        <w:t xml:space="preserve">(Payne, 2022) </w:t>
      </w:r>
    </w:p>
    <w:p w14:paraId="57A0DBF3" w14:textId="77777777" w:rsidR="00E52BA9" w:rsidRDefault="00E52BA9" w:rsidP="00BF76BF">
      <w:pPr>
        <w:adjustRightInd w:val="0"/>
        <w:snapToGrid w:val="0"/>
        <w:spacing w:line="360" w:lineRule="auto"/>
        <w:jc w:val="both"/>
        <w:rPr>
          <w:rFonts w:ascii="Times New Roman" w:hAnsi="Times New Roman"/>
          <w:color w:val="000000" w:themeColor="text1"/>
          <w:szCs w:val="24"/>
          <w:shd w:val="clear" w:color="auto" w:fill="FFFFFF"/>
        </w:rPr>
      </w:pPr>
    </w:p>
    <w:p w14:paraId="36425BB8" w14:textId="77777777" w:rsidR="002A1F0F" w:rsidRPr="004D3F2B" w:rsidRDefault="002A1F0F" w:rsidP="00BF76BF">
      <w:pPr>
        <w:adjustRightInd w:val="0"/>
        <w:snapToGrid w:val="0"/>
        <w:spacing w:line="360" w:lineRule="auto"/>
        <w:jc w:val="both"/>
        <w:rPr>
          <w:rFonts w:ascii="Times New Roman" w:hAnsi="Times New Roman"/>
          <w:color w:val="000000" w:themeColor="text1"/>
          <w:szCs w:val="24"/>
          <w:shd w:val="clear" w:color="auto" w:fill="FFFFFF"/>
        </w:rPr>
      </w:pPr>
    </w:p>
    <w:p w14:paraId="09742705" w14:textId="6AF47B75" w:rsidR="00E52BA9" w:rsidRPr="009B094E" w:rsidRDefault="004E09D0" w:rsidP="00BF76BF">
      <w:pPr>
        <w:adjustRightInd w:val="0"/>
        <w:snapToGrid w:val="0"/>
        <w:spacing w:line="360" w:lineRule="auto"/>
        <w:jc w:val="both"/>
        <w:rPr>
          <w:rFonts w:ascii="Times New Roman" w:hAnsi="Times New Roman"/>
          <w:b/>
          <w:color w:val="000000" w:themeColor="text1"/>
          <w:szCs w:val="24"/>
          <w:shd w:val="clear" w:color="auto" w:fill="FFFFFF"/>
        </w:rPr>
      </w:pPr>
      <w:r w:rsidRPr="009B094E">
        <w:rPr>
          <w:rFonts w:ascii="Times New Roman" w:hAnsi="Times New Roman"/>
          <w:b/>
          <w:color w:val="000000" w:themeColor="text1"/>
          <w:szCs w:val="24"/>
          <w:shd w:val="clear" w:color="auto" w:fill="FFFFFF"/>
        </w:rPr>
        <w:t xml:space="preserve">2.2.4 </w:t>
      </w:r>
      <w:r w:rsidR="00E52BA9" w:rsidRPr="009B094E">
        <w:rPr>
          <w:rFonts w:ascii="Times New Roman" w:hAnsi="Times New Roman"/>
          <w:b/>
          <w:color w:val="000000" w:themeColor="text1"/>
          <w:szCs w:val="24"/>
          <w:shd w:val="clear" w:color="auto" w:fill="FFFFFF"/>
        </w:rPr>
        <w:t>China</w:t>
      </w:r>
    </w:p>
    <w:p w14:paraId="3ED94547" w14:textId="46F982AE" w:rsidR="00E52BA9" w:rsidRPr="004D3F2B" w:rsidRDefault="00E52BA9" w:rsidP="00BF76BF">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December 2023, China faced deflationary pressures, with the Consumer Price Index (CPI) falling by 0.8% year-over-year, marking the largest decline since 2009. This data reflects that there may be </w:t>
      </w:r>
      <w:r w:rsidRPr="004D3F2B">
        <w:rPr>
          <w:rFonts w:ascii="Times New Roman" w:hAnsi="Times New Roman"/>
          <w:color w:val="000000" w:themeColor="text1"/>
          <w:szCs w:val="24"/>
        </w:rPr>
        <w:lastRenderedPageBreak/>
        <w:t>a weakening in demand within the Chinese economy, particularly in the area of food prices. The government may need to implement measures to stimulate economic growth and consumption to prevent a further deepening of deflationary trends.</w:t>
      </w:r>
      <w:r w:rsidR="00DB6E0E" w:rsidRPr="004D3F2B">
        <w:rPr>
          <w:rFonts w:ascii="Times New Roman" w:hAnsi="Times New Roman"/>
          <w:color w:val="000000" w:themeColor="text1"/>
          <w:szCs w:val="24"/>
        </w:rPr>
        <w:t xml:space="preserve"> (Reuters Staff, 2024) </w:t>
      </w:r>
    </w:p>
    <w:p w14:paraId="022E5FA1"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1914DD6C" w14:textId="1BC1E55E" w:rsidR="00DB6E0E" w:rsidRPr="009B094E" w:rsidRDefault="004E09D0" w:rsidP="00DB6E0E">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2.2.5 </w:t>
      </w:r>
      <w:r w:rsidR="00DB6E0E" w:rsidRPr="009B094E">
        <w:rPr>
          <w:rFonts w:ascii="Times New Roman" w:hAnsi="Times New Roman"/>
          <w:b/>
          <w:color w:val="000000" w:themeColor="text1"/>
          <w:szCs w:val="24"/>
        </w:rPr>
        <w:t>Malaysia</w:t>
      </w:r>
    </w:p>
    <w:p w14:paraId="216F6726" w14:textId="202DA451" w:rsidR="00DB6E0E" w:rsidRPr="004D3F2B" w:rsidRDefault="00DB6E0E" w:rsidP="00DB6E0E">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December 2023, the inflation rate in Malaysia was reported at 1.5% </w:t>
      </w:r>
      <w:r w:rsidRPr="004D3F2B">
        <w:rPr>
          <w:rFonts w:ascii="Times New Roman" w:hAnsi="Times New Roman"/>
          <w:color w:val="000000" w:themeColor="text1"/>
          <w:szCs w:val="24"/>
          <w:shd w:val="clear" w:color="auto" w:fill="FFFFFF"/>
        </w:rPr>
        <w:t>(The Star, n.d.)</w:t>
      </w:r>
      <w:r w:rsidRPr="004D3F2B">
        <w:rPr>
          <w:rFonts w:ascii="Times New Roman" w:hAnsi="Times New Roman"/>
          <w:color w:val="000000" w:themeColor="text1"/>
          <w:szCs w:val="24"/>
        </w:rPr>
        <w:t>. To provide a more comprehensive analysis, we can compare this figure with the data from the previous months:</w:t>
      </w:r>
    </w:p>
    <w:p w14:paraId="49D4DAB2"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5FD51930" w14:textId="0465D7C4" w:rsidR="00DB6E0E" w:rsidRPr="004D3F2B" w:rsidRDefault="00DB6E0E" w:rsidP="00DB6E0E">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November 2023, the inflation rate was 1.4% and in October 2023, the inflation rate was 1.3% </w:t>
      </w:r>
      <w:r w:rsidRPr="004D3F2B">
        <w:rPr>
          <w:rFonts w:ascii="Times New Roman" w:hAnsi="Times New Roman"/>
          <w:color w:val="000000" w:themeColor="text1"/>
          <w:szCs w:val="24"/>
          <w:shd w:val="clear" w:color="auto" w:fill="FFFFFF"/>
        </w:rPr>
        <w:t>(Focus</w:t>
      </w:r>
      <w:r w:rsidR="00C72074">
        <w:rPr>
          <w:rFonts w:ascii="Times New Roman" w:hAnsi="Times New Roman"/>
          <w:color w:val="000000" w:themeColor="text1"/>
          <w:szCs w:val="24"/>
          <w:shd w:val="clear" w:color="auto" w:fill="FFFFFF"/>
        </w:rPr>
        <w:t xml:space="preserve"> </w:t>
      </w:r>
      <w:r w:rsidRPr="004D3F2B">
        <w:rPr>
          <w:rFonts w:ascii="Times New Roman" w:hAnsi="Times New Roman"/>
          <w:color w:val="000000" w:themeColor="text1"/>
          <w:szCs w:val="24"/>
          <w:shd w:val="clear" w:color="auto" w:fill="FFFFFF"/>
        </w:rPr>
        <w:t>Economics, n.d.)</w:t>
      </w:r>
      <w:r w:rsidRPr="004D3F2B">
        <w:rPr>
          <w:rFonts w:ascii="Times New Roman" w:hAnsi="Times New Roman"/>
          <w:color w:val="000000" w:themeColor="text1"/>
          <w:szCs w:val="24"/>
        </w:rPr>
        <w:t>.</w:t>
      </w:r>
      <w:r w:rsidR="00E0488D" w:rsidRPr="004D3F2B">
        <w:rPr>
          <w:rFonts w:ascii="Times New Roman" w:hAnsi="Times New Roman"/>
          <w:color w:val="000000" w:themeColor="text1"/>
          <w:szCs w:val="24"/>
        </w:rPr>
        <w:t xml:space="preserve"> </w:t>
      </w:r>
      <w:r w:rsidRPr="004D3F2B">
        <w:rPr>
          <w:rFonts w:ascii="Times New Roman" w:hAnsi="Times New Roman"/>
          <w:color w:val="000000" w:themeColor="text1"/>
          <w:szCs w:val="24"/>
        </w:rPr>
        <w:t>From these data points, we can observe a slight month-over-month increase in the inflation rate for Malaysia from October to December 2023. This gradual rise may reflect the impact of increased economic activity, a resurgence in consumer demand, or the easing of supply chain pressures, among other factors.</w:t>
      </w:r>
    </w:p>
    <w:p w14:paraId="0D3441C6"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34888B49" w14:textId="2099F8B3" w:rsidR="00E4085C" w:rsidRDefault="00DB6E0E" w:rsidP="00E6133C">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Moreover, this modest upward trend could also be influenced by a combination of factors such as the global economic condition, changes in raw material costs, international trade policies, and adjustments in local monetary policy.</w:t>
      </w:r>
    </w:p>
    <w:p w14:paraId="25FF0E25" w14:textId="77777777" w:rsidR="002F6C0F" w:rsidRDefault="002F6C0F" w:rsidP="00E6133C">
      <w:pPr>
        <w:adjustRightInd w:val="0"/>
        <w:snapToGrid w:val="0"/>
        <w:spacing w:line="360" w:lineRule="auto"/>
        <w:jc w:val="both"/>
        <w:rPr>
          <w:rFonts w:ascii="Times New Roman" w:hAnsi="Times New Roman"/>
          <w:color w:val="000000" w:themeColor="text1"/>
          <w:szCs w:val="24"/>
        </w:rPr>
      </w:pPr>
    </w:p>
    <w:p w14:paraId="2A4187F1" w14:textId="3D3D3F9C"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Based on the inflation data, we can identify the following similarity and differences:</w:t>
      </w:r>
    </w:p>
    <w:p w14:paraId="5DE648EA" w14:textId="473393A8"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Similarity:</w:t>
      </w:r>
    </w:p>
    <w:p w14:paraId="0B237EE5" w14:textId="1BCC65F9"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Downward Trend in Inflation: Data from Hong Kong and the United States show a decline in inflation rates, indicating easing inflationary pressures.</w:t>
      </w:r>
    </w:p>
    <w:p w14:paraId="1C9673B0" w14:textId="77777777" w:rsidR="002F6C0F" w:rsidRPr="00770538" w:rsidRDefault="002F6C0F" w:rsidP="00E6133C">
      <w:pPr>
        <w:adjustRightInd w:val="0"/>
        <w:snapToGrid w:val="0"/>
        <w:spacing w:line="360" w:lineRule="auto"/>
        <w:jc w:val="both"/>
        <w:rPr>
          <w:rFonts w:ascii="Times New Roman" w:eastAsia="DengXian" w:hAnsi="Times New Roman"/>
        </w:rPr>
      </w:pPr>
    </w:p>
    <w:p w14:paraId="1744A4E4" w14:textId="3F766F02"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Differences:</w:t>
      </w:r>
    </w:p>
    <w:p w14:paraId="1AC2E2CC" w14:textId="0D320C38" w:rsidR="00770538" w:rsidRPr="00770538" w:rsidRDefault="00770538" w:rsidP="00770538">
      <w:pPr>
        <w:rPr>
          <w:rFonts w:ascii="Times New Roman" w:eastAsia="DengXian" w:hAnsi="Times New Roman"/>
        </w:rPr>
      </w:pPr>
      <w:r w:rsidRPr="00770538">
        <w:rPr>
          <w:rFonts w:ascii="Times New Roman" w:eastAsia="DengXian" w:hAnsi="Times New Roman"/>
        </w:rPr>
        <w:t>1. Level of Inflation Rates: There's a wide variance in inflation rates among the countries, ranging from China's -0.8% deflation to the UK's relatively high inflation rate of 4.2%.</w:t>
      </w:r>
    </w:p>
    <w:p w14:paraId="545348E3" w14:textId="77777777" w:rsidR="00770538" w:rsidRPr="00770538" w:rsidRDefault="00770538" w:rsidP="00770538">
      <w:pPr>
        <w:rPr>
          <w:rFonts w:ascii="Times New Roman" w:eastAsia="DengXian" w:hAnsi="Times New Roman"/>
        </w:rPr>
      </w:pPr>
    </w:p>
    <w:p w14:paraId="68896891" w14:textId="7084EE9E" w:rsidR="00770538" w:rsidRPr="00770538" w:rsidRDefault="00770538" w:rsidP="00770538">
      <w:pPr>
        <w:rPr>
          <w:rFonts w:ascii="Times New Roman" w:eastAsia="DengXian" w:hAnsi="Times New Roman"/>
        </w:rPr>
      </w:pPr>
      <w:r w:rsidRPr="00770538">
        <w:rPr>
          <w:rFonts w:ascii="Times New Roman" w:eastAsia="DengXian" w:hAnsi="Times New Roman"/>
        </w:rPr>
        <w:t>2. Deflation vs. Inflation: China's deflation contrasts with inflation in other countries, highlighting differences in economic environments and demand levels across nations.</w:t>
      </w:r>
    </w:p>
    <w:p w14:paraId="7A7D7011" w14:textId="77777777" w:rsidR="00770538" w:rsidRPr="00770538" w:rsidRDefault="00770538" w:rsidP="00770538">
      <w:pPr>
        <w:rPr>
          <w:rFonts w:ascii="Times New Roman" w:eastAsia="DengXian" w:hAnsi="Times New Roman"/>
        </w:rPr>
      </w:pPr>
    </w:p>
    <w:p w14:paraId="539BCAE0" w14:textId="36C32566" w:rsidR="00770538" w:rsidRPr="00770538" w:rsidRDefault="00770538" w:rsidP="00770538">
      <w:pPr>
        <w:rPr>
          <w:rFonts w:ascii="Times New Roman" w:eastAsia="DengXian" w:hAnsi="Times New Roman"/>
        </w:rPr>
      </w:pPr>
      <w:r w:rsidRPr="00770538">
        <w:rPr>
          <w:rFonts w:ascii="Times New Roman" w:eastAsia="DengXian" w:hAnsi="Times New Roman"/>
        </w:rPr>
        <w:t>Comparing advanced economies (like the US and UK) with emerging markets (like Hong Kong, China, and Malaysia), it's evident that inflation dynamics are influenced by a myriad of factors, including economic policies, market demand, supply conditions, and changes in the global economic environment. Advanced economies may have more mature policy tools to manage inflation, while emerging markets might be more susceptible to external shocks and internal market changes.</w:t>
      </w:r>
    </w:p>
    <w:p w14:paraId="57AE4068" w14:textId="769E77A5" w:rsidR="00246080" w:rsidRPr="004D3F2B" w:rsidRDefault="00E4085C" w:rsidP="009B094E">
      <w:pPr>
        <w:widowControl/>
        <w:rPr>
          <w:rFonts w:ascii="Times New Roman" w:hAnsi="Times New Roman"/>
          <w:b/>
          <w:bCs/>
          <w:szCs w:val="24"/>
        </w:rPr>
      </w:pPr>
      <w:r w:rsidRPr="004D3F2B">
        <w:rPr>
          <w:rFonts w:ascii="Times New Roman" w:hAnsi="Times New Roman"/>
          <w:b/>
          <w:bCs/>
          <w:szCs w:val="24"/>
        </w:rPr>
        <w:br w:type="page"/>
      </w:r>
      <w:r w:rsidR="00B40D11" w:rsidRPr="004D3F2B">
        <w:rPr>
          <w:rFonts w:ascii="Times New Roman" w:hAnsi="Times New Roman"/>
          <w:b/>
          <w:bCs/>
          <w:szCs w:val="24"/>
        </w:rPr>
        <w:lastRenderedPageBreak/>
        <w:t>2.</w:t>
      </w:r>
      <w:r w:rsidR="000A37B4" w:rsidRPr="004D3F2B">
        <w:rPr>
          <w:rFonts w:ascii="Times New Roman" w:hAnsi="Times New Roman"/>
          <w:b/>
          <w:bCs/>
          <w:szCs w:val="24"/>
        </w:rPr>
        <w:t>3</w:t>
      </w:r>
      <w:r w:rsidR="00B40D11" w:rsidRPr="004D3F2B">
        <w:rPr>
          <w:rFonts w:ascii="Times New Roman" w:hAnsi="Times New Roman"/>
          <w:b/>
          <w:bCs/>
          <w:szCs w:val="24"/>
        </w:rPr>
        <w:t xml:space="preserve"> </w:t>
      </w:r>
      <w:r w:rsidR="00CA798C" w:rsidRPr="004D3F2B">
        <w:rPr>
          <w:rFonts w:ascii="Times New Roman" w:hAnsi="Times New Roman"/>
          <w:b/>
          <w:bCs/>
          <w:szCs w:val="24"/>
        </w:rPr>
        <w:t>Dataset</w:t>
      </w:r>
    </w:p>
    <w:p w14:paraId="61D4893B" w14:textId="77777777" w:rsidR="00A6671F" w:rsidRPr="004D3F2B" w:rsidRDefault="00A6671F" w:rsidP="00E6133C">
      <w:pPr>
        <w:adjustRightInd w:val="0"/>
        <w:snapToGrid w:val="0"/>
        <w:spacing w:line="360" w:lineRule="auto"/>
        <w:jc w:val="both"/>
        <w:rPr>
          <w:rFonts w:ascii="Times New Roman" w:hAnsi="Times New Roman"/>
          <w:b/>
          <w:bCs/>
          <w:szCs w:val="24"/>
        </w:rPr>
      </w:pPr>
    </w:p>
    <w:p w14:paraId="43E51CA4" w14:textId="455CB936" w:rsidR="00783714" w:rsidRDefault="00783714" w:rsidP="00C65A3F">
      <w:pPr>
        <w:adjustRightInd w:val="0"/>
        <w:snapToGrid w:val="0"/>
        <w:jc w:val="both"/>
        <w:rPr>
          <w:rFonts w:ascii="Times New Roman" w:hAnsi="Times New Roman"/>
          <w:bCs/>
          <w:szCs w:val="24"/>
        </w:rPr>
      </w:pPr>
      <w:bookmarkStart w:id="3" w:name="_Hlk156035012"/>
      <w:r w:rsidRPr="004D3F2B">
        <w:rPr>
          <w:rFonts w:ascii="Times New Roman" w:hAnsi="Times New Roman"/>
          <w:bCs/>
          <w:szCs w:val="24"/>
        </w:rPr>
        <w:t>Table 1</w:t>
      </w:r>
      <w:r w:rsidR="00CF7636">
        <w:rPr>
          <w:rFonts w:ascii="Times New Roman" w:hAnsi="Times New Roman"/>
          <w:bCs/>
          <w:szCs w:val="24"/>
        </w:rPr>
        <w:t>:</w:t>
      </w:r>
      <w:r w:rsidR="002E7DA0" w:rsidRPr="004D3F2B">
        <w:rPr>
          <w:rFonts w:ascii="Times New Roman" w:hAnsi="Times New Roman"/>
          <w:bCs/>
          <w:szCs w:val="24"/>
        </w:rPr>
        <w:t xml:space="preserve"> </w:t>
      </w:r>
      <w:r w:rsidR="0012643D" w:rsidRPr="004D3F2B">
        <w:rPr>
          <w:rFonts w:ascii="Times New Roman" w:hAnsi="Times New Roman"/>
          <w:bCs/>
          <w:szCs w:val="24"/>
        </w:rPr>
        <w:t xml:space="preserve">The annual </w:t>
      </w:r>
      <w:r w:rsidR="00C72074">
        <w:rPr>
          <w:rFonts w:ascii="Times New Roman" w:hAnsi="Times New Roman"/>
          <w:bCs/>
          <w:szCs w:val="24"/>
        </w:rPr>
        <w:t xml:space="preserve">consumer </w:t>
      </w:r>
      <w:r w:rsidR="002E7DA0" w:rsidRPr="004D3F2B">
        <w:rPr>
          <w:rFonts w:ascii="Times New Roman" w:hAnsi="Times New Roman"/>
          <w:bCs/>
          <w:szCs w:val="24"/>
        </w:rPr>
        <w:t>Inflation rate</w:t>
      </w:r>
      <w:r w:rsidR="00335225" w:rsidRPr="004D3F2B">
        <w:rPr>
          <w:rFonts w:ascii="Times New Roman" w:hAnsi="Times New Roman"/>
          <w:bCs/>
          <w:szCs w:val="24"/>
        </w:rPr>
        <w:t xml:space="preserve"> </w:t>
      </w:r>
      <w:r w:rsidR="0012643D" w:rsidRPr="004D3F2B">
        <w:rPr>
          <w:rFonts w:ascii="Times New Roman" w:hAnsi="Times New Roman"/>
          <w:bCs/>
          <w:szCs w:val="24"/>
        </w:rPr>
        <w:t xml:space="preserve">in </w:t>
      </w:r>
      <w:r w:rsidR="00C72074">
        <w:rPr>
          <w:rFonts w:ascii="Times New Roman" w:hAnsi="Times New Roman"/>
          <w:bCs/>
          <w:szCs w:val="24"/>
        </w:rPr>
        <w:t>the five selected countries:</w:t>
      </w:r>
      <w:r w:rsidR="0012643D" w:rsidRPr="004D3F2B">
        <w:rPr>
          <w:rFonts w:ascii="Times New Roman" w:hAnsi="Times New Roman"/>
          <w:bCs/>
          <w:szCs w:val="24"/>
        </w:rPr>
        <w:t xml:space="preserve"> 200</w:t>
      </w:r>
      <w:r w:rsidR="002E7DA0" w:rsidRPr="004D3F2B">
        <w:rPr>
          <w:rFonts w:ascii="Times New Roman" w:hAnsi="Times New Roman"/>
          <w:bCs/>
          <w:szCs w:val="24"/>
        </w:rPr>
        <w:t>2</w:t>
      </w:r>
      <w:r w:rsidR="0012643D" w:rsidRPr="004D3F2B">
        <w:rPr>
          <w:rFonts w:ascii="Times New Roman" w:hAnsi="Times New Roman"/>
          <w:bCs/>
          <w:szCs w:val="24"/>
        </w:rPr>
        <w:t xml:space="preserve"> </w:t>
      </w:r>
      <w:r w:rsidR="00F035D2" w:rsidRPr="004D3F2B">
        <w:rPr>
          <w:rFonts w:ascii="Times New Roman" w:hAnsi="Times New Roman"/>
          <w:bCs/>
          <w:szCs w:val="24"/>
        </w:rPr>
        <w:t>to 2022</w:t>
      </w:r>
      <w:r w:rsidR="00C72074">
        <w:rPr>
          <w:rFonts w:ascii="Times New Roman" w:hAnsi="Times New Roman"/>
          <w:bCs/>
          <w:szCs w:val="24"/>
        </w:rPr>
        <w:t xml:space="preserve"> (%)</w:t>
      </w:r>
    </w:p>
    <w:p w14:paraId="55773C96" w14:textId="77777777" w:rsidR="00190281" w:rsidRPr="004D3F2B" w:rsidRDefault="00190281" w:rsidP="00C65A3F">
      <w:pPr>
        <w:adjustRightInd w:val="0"/>
        <w:snapToGrid w:val="0"/>
        <w:jc w:val="both"/>
        <w:rPr>
          <w:rFonts w:ascii="Times New Roman" w:hAnsi="Times New Roman"/>
          <w:b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28"/>
      </w:tblGrid>
      <w:tr w:rsidR="00A0488C" w:rsidRPr="004D3F2B" w14:paraId="0CABAA38" w14:textId="77777777" w:rsidTr="002E7DA0">
        <w:trPr>
          <w:trHeight w:val="301"/>
        </w:trPr>
        <w:tc>
          <w:tcPr>
            <w:tcW w:w="9628" w:type="dxa"/>
          </w:tcPr>
          <w:tbl>
            <w:tblPr>
              <w:tblW w:w="10320" w:type="dxa"/>
              <w:tblLook w:val="04A0" w:firstRow="1" w:lastRow="0" w:firstColumn="1" w:lastColumn="0" w:noHBand="0" w:noVBand="1"/>
            </w:tblPr>
            <w:tblGrid>
              <w:gridCol w:w="1567"/>
              <w:gridCol w:w="1567"/>
              <w:gridCol w:w="1567"/>
              <w:gridCol w:w="1567"/>
              <w:gridCol w:w="1567"/>
              <w:gridCol w:w="1567"/>
            </w:tblGrid>
            <w:tr w:rsidR="002E7DA0" w:rsidRPr="004D3F2B" w14:paraId="682A3AFA" w14:textId="77777777" w:rsidTr="00CF7636">
              <w:trPr>
                <w:trHeight w:val="290"/>
              </w:trPr>
              <w:tc>
                <w:tcPr>
                  <w:tcW w:w="1720"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bookmarkEnd w:id="3"/>
                <w:p w14:paraId="0372D8CE"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Year</w:t>
                  </w:r>
                </w:p>
              </w:tc>
              <w:tc>
                <w:tcPr>
                  <w:tcW w:w="172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7F4140D"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China</w:t>
                  </w:r>
                </w:p>
              </w:tc>
              <w:tc>
                <w:tcPr>
                  <w:tcW w:w="172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19B21FED"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Hong Kong</w:t>
                  </w:r>
                </w:p>
              </w:tc>
              <w:tc>
                <w:tcPr>
                  <w:tcW w:w="172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17F7B79"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Malaysia</w:t>
                  </w:r>
                </w:p>
              </w:tc>
              <w:tc>
                <w:tcPr>
                  <w:tcW w:w="172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72B0A985"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United Kingdom</w:t>
                  </w:r>
                </w:p>
              </w:tc>
              <w:tc>
                <w:tcPr>
                  <w:tcW w:w="1720"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7E6447FA" w14:textId="77777777" w:rsidR="002E7DA0" w:rsidRPr="00CF7636" w:rsidRDefault="002E7DA0" w:rsidP="002E7DA0">
                  <w:pPr>
                    <w:widowControl/>
                    <w:jc w:val="center"/>
                    <w:rPr>
                      <w:rFonts w:ascii="Times New Roman" w:eastAsia="Times New Roman" w:hAnsi="Times New Roman"/>
                      <w:b/>
                      <w:bCs/>
                      <w:color w:val="000000" w:themeColor="text1"/>
                      <w:kern w:val="0"/>
                      <w:szCs w:val="24"/>
                      <w:lang w:eastAsia="zh-CN"/>
                    </w:rPr>
                  </w:pPr>
                  <w:r w:rsidRPr="00CF7636">
                    <w:rPr>
                      <w:rFonts w:ascii="Times New Roman" w:eastAsia="Times New Roman" w:hAnsi="Times New Roman"/>
                      <w:b/>
                      <w:bCs/>
                      <w:color w:val="000000" w:themeColor="text1"/>
                      <w:kern w:val="0"/>
                      <w:szCs w:val="24"/>
                      <w:lang w:eastAsia="zh-CN"/>
                    </w:rPr>
                    <w:t>United States</w:t>
                  </w:r>
                </w:p>
              </w:tc>
            </w:tr>
            <w:tr w:rsidR="002E7DA0" w:rsidRPr="004D3F2B" w14:paraId="541AB348"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7257E15"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2002</w:t>
                  </w:r>
                </w:p>
              </w:tc>
              <w:tc>
                <w:tcPr>
                  <w:tcW w:w="1720" w:type="dxa"/>
                  <w:tcBorders>
                    <w:top w:val="nil"/>
                    <w:left w:val="nil"/>
                    <w:bottom w:val="single" w:sz="4" w:space="0" w:color="auto"/>
                    <w:right w:val="single" w:sz="4" w:space="0" w:color="auto"/>
                  </w:tcBorders>
                  <w:shd w:val="clear" w:color="auto" w:fill="auto"/>
                  <w:noWrap/>
                  <w:vAlign w:val="bottom"/>
                  <w:hideMark/>
                </w:tcPr>
                <w:p w14:paraId="3462CFB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-0.4</w:t>
                  </w:r>
                </w:p>
              </w:tc>
              <w:tc>
                <w:tcPr>
                  <w:tcW w:w="1720" w:type="dxa"/>
                  <w:tcBorders>
                    <w:top w:val="nil"/>
                    <w:left w:val="nil"/>
                    <w:bottom w:val="single" w:sz="4" w:space="0" w:color="auto"/>
                    <w:right w:val="single" w:sz="4" w:space="0" w:color="auto"/>
                  </w:tcBorders>
                  <w:shd w:val="clear" w:color="auto" w:fill="auto"/>
                  <w:noWrap/>
                  <w:vAlign w:val="bottom"/>
                  <w:hideMark/>
                </w:tcPr>
                <w:p w14:paraId="4DC82C8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-1.6</w:t>
                  </w:r>
                </w:p>
              </w:tc>
              <w:tc>
                <w:tcPr>
                  <w:tcW w:w="1720" w:type="dxa"/>
                  <w:tcBorders>
                    <w:top w:val="nil"/>
                    <w:left w:val="nil"/>
                    <w:bottom w:val="single" w:sz="4" w:space="0" w:color="auto"/>
                    <w:right w:val="single" w:sz="4" w:space="0" w:color="auto"/>
                  </w:tcBorders>
                  <w:shd w:val="clear" w:color="auto" w:fill="auto"/>
                  <w:noWrap/>
                  <w:vAlign w:val="bottom"/>
                  <w:hideMark/>
                </w:tcPr>
                <w:p w14:paraId="1361DB1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1.6</w:t>
                  </w:r>
                </w:p>
              </w:tc>
              <w:tc>
                <w:tcPr>
                  <w:tcW w:w="1720" w:type="dxa"/>
                  <w:tcBorders>
                    <w:top w:val="nil"/>
                    <w:left w:val="nil"/>
                    <w:bottom w:val="single" w:sz="4" w:space="0" w:color="auto"/>
                    <w:right w:val="single" w:sz="4" w:space="0" w:color="auto"/>
                  </w:tcBorders>
                  <w:shd w:val="clear" w:color="auto" w:fill="auto"/>
                  <w:noWrap/>
                  <w:vAlign w:val="bottom"/>
                  <w:hideMark/>
                </w:tcPr>
                <w:p w14:paraId="2C1FC2B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597E0F3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2.6</w:t>
                  </w:r>
                </w:p>
              </w:tc>
            </w:tr>
            <w:tr w:rsidR="002E7DA0" w:rsidRPr="004D3F2B" w14:paraId="3F4B8B00"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F5CA621"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2003</w:t>
                  </w:r>
                </w:p>
              </w:tc>
              <w:tc>
                <w:tcPr>
                  <w:tcW w:w="1720" w:type="dxa"/>
                  <w:tcBorders>
                    <w:top w:val="nil"/>
                    <w:left w:val="nil"/>
                    <w:bottom w:val="single" w:sz="4" w:space="0" w:color="auto"/>
                    <w:right w:val="single" w:sz="4" w:space="0" w:color="auto"/>
                  </w:tcBorders>
                  <w:shd w:val="clear" w:color="auto" w:fill="auto"/>
                  <w:noWrap/>
                  <w:vAlign w:val="bottom"/>
                  <w:hideMark/>
                </w:tcPr>
                <w:p w14:paraId="405DF2B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3.3</w:t>
                  </w:r>
                </w:p>
              </w:tc>
              <w:tc>
                <w:tcPr>
                  <w:tcW w:w="1720" w:type="dxa"/>
                  <w:tcBorders>
                    <w:top w:val="nil"/>
                    <w:left w:val="nil"/>
                    <w:bottom w:val="single" w:sz="4" w:space="0" w:color="auto"/>
                    <w:right w:val="single" w:sz="4" w:space="0" w:color="auto"/>
                  </w:tcBorders>
                  <w:shd w:val="clear" w:color="auto" w:fill="auto"/>
                  <w:noWrap/>
                  <w:vAlign w:val="bottom"/>
                  <w:hideMark/>
                </w:tcPr>
                <w:p w14:paraId="6F352F3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-1.8</w:t>
                  </w:r>
                </w:p>
              </w:tc>
              <w:tc>
                <w:tcPr>
                  <w:tcW w:w="1720" w:type="dxa"/>
                  <w:tcBorders>
                    <w:top w:val="nil"/>
                    <w:left w:val="nil"/>
                    <w:bottom w:val="single" w:sz="4" w:space="0" w:color="auto"/>
                    <w:right w:val="single" w:sz="4" w:space="0" w:color="auto"/>
                  </w:tcBorders>
                  <w:shd w:val="clear" w:color="auto" w:fill="auto"/>
                  <w:noWrap/>
                  <w:vAlign w:val="bottom"/>
                  <w:hideMark/>
                </w:tcPr>
                <w:p w14:paraId="66606D66"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1.2</w:t>
                  </w:r>
                </w:p>
              </w:tc>
              <w:tc>
                <w:tcPr>
                  <w:tcW w:w="1720" w:type="dxa"/>
                  <w:tcBorders>
                    <w:top w:val="nil"/>
                    <w:left w:val="nil"/>
                    <w:bottom w:val="single" w:sz="4" w:space="0" w:color="auto"/>
                    <w:right w:val="single" w:sz="4" w:space="0" w:color="auto"/>
                  </w:tcBorders>
                  <w:shd w:val="clear" w:color="auto" w:fill="auto"/>
                  <w:noWrap/>
                  <w:vAlign w:val="bottom"/>
                  <w:hideMark/>
                </w:tcPr>
                <w:p w14:paraId="1C51D2F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1.3</w:t>
                  </w:r>
                </w:p>
              </w:tc>
              <w:tc>
                <w:tcPr>
                  <w:tcW w:w="1720" w:type="dxa"/>
                  <w:tcBorders>
                    <w:top w:val="nil"/>
                    <w:left w:val="nil"/>
                    <w:bottom w:val="single" w:sz="4" w:space="0" w:color="auto"/>
                    <w:right w:val="single" w:sz="4" w:space="0" w:color="auto"/>
                  </w:tcBorders>
                  <w:shd w:val="clear" w:color="auto" w:fill="auto"/>
                  <w:noWrap/>
                  <w:vAlign w:val="bottom"/>
                  <w:hideMark/>
                </w:tcPr>
                <w:p w14:paraId="0A176A0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1.9</w:t>
                  </w:r>
                </w:p>
              </w:tc>
            </w:tr>
            <w:tr w:rsidR="002E7DA0" w:rsidRPr="004D3F2B" w14:paraId="68110A5A"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0204D86"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2004</w:t>
                  </w:r>
                </w:p>
              </w:tc>
              <w:tc>
                <w:tcPr>
                  <w:tcW w:w="1720" w:type="dxa"/>
                  <w:tcBorders>
                    <w:top w:val="nil"/>
                    <w:left w:val="nil"/>
                    <w:bottom w:val="single" w:sz="4" w:space="0" w:color="auto"/>
                    <w:right w:val="single" w:sz="4" w:space="0" w:color="auto"/>
                  </w:tcBorders>
                  <w:shd w:val="clear" w:color="auto" w:fill="auto"/>
                  <w:noWrap/>
                  <w:vAlign w:val="bottom"/>
                  <w:hideMark/>
                </w:tcPr>
                <w:p w14:paraId="024AF54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2.4</w:t>
                  </w:r>
                </w:p>
              </w:tc>
              <w:tc>
                <w:tcPr>
                  <w:tcW w:w="1720" w:type="dxa"/>
                  <w:tcBorders>
                    <w:top w:val="nil"/>
                    <w:left w:val="nil"/>
                    <w:bottom w:val="single" w:sz="4" w:space="0" w:color="auto"/>
                    <w:right w:val="single" w:sz="4" w:space="0" w:color="auto"/>
                  </w:tcBorders>
                  <w:shd w:val="clear" w:color="auto" w:fill="auto"/>
                  <w:noWrap/>
                  <w:vAlign w:val="bottom"/>
                  <w:hideMark/>
                </w:tcPr>
                <w:p w14:paraId="10B1933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0.3</w:t>
                  </w:r>
                </w:p>
              </w:tc>
              <w:tc>
                <w:tcPr>
                  <w:tcW w:w="1720" w:type="dxa"/>
                  <w:tcBorders>
                    <w:top w:val="nil"/>
                    <w:left w:val="nil"/>
                    <w:bottom w:val="single" w:sz="4" w:space="0" w:color="auto"/>
                    <w:right w:val="single" w:sz="4" w:space="0" w:color="auto"/>
                  </w:tcBorders>
                  <w:shd w:val="clear" w:color="auto" w:fill="auto"/>
                  <w:noWrap/>
                  <w:vAlign w:val="bottom"/>
                  <w:hideMark/>
                </w:tcPr>
                <w:p w14:paraId="0768A13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2.2</w:t>
                  </w:r>
                </w:p>
              </w:tc>
              <w:tc>
                <w:tcPr>
                  <w:tcW w:w="1720" w:type="dxa"/>
                  <w:tcBorders>
                    <w:top w:val="nil"/>
                    <w:left w:val="nil"/>
                    <w:bottom w:val="single" w:sz="4" w:space="0" w:color="auto"/>
                    <w:right w:val="single" w:sz="4" w:space="0" w:color="auto"/>
                  </w:tcBorders>
                  <w:shd w:val="clear" w:color="auto" w:fill="auto"/>
                  <w:noWrap/>
                  <w:vAlign w:val="bottom"/>
                  <w:hideMark/>
                </w:tcPr>
                <w:p w14:paraId="53FC658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14CF197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3.2</w:t>
                  </w:r>
                </w:p>
              </w:tc>
            </w:tr>
            <w:tr w:rsidR="002E7DA0" w:rsidRPr="004D3F2B" w14:paraId="0B0A294C"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0C6FEE7"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2005</w:t>
                  </w:r>
                </w:p>
              </w:tc>
              <w:tc>
                <w:tcPr>
                  <w:tcW w:w="1720" w:type="dxa"/>
                  <w:tcBorders>
                    <w:top w:val="nil"/>
                    <w:left w:val="nil"/>
                    <w:bottom w:val="single" w:sz="4" w:space="0" w:color="auto"/>
                    <w:right w:val="single" w:sz="4" w:space="0" w:color="auto"/>
                  </w:tcBorders>
                  <w:shd w:val="clear" w:color="auto" w:fill="auto"/>
                  <w:noWrap/>
                  <w:vAlign w:val="bottom"/>
                  <w:hideMark/>
                </w:tcPr>
                <w:p w14:paraId="1D2DC67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0022FE3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1.4</w:t>
                  </w:r>
                </w:p>
              </w:tc>
              <w:tc>
                <w:tcPr>
                  <w:tcW w:w="1720" w:type="dxa"/>
                  <w:tcBorders>
                    <w:top w:val="nil"/>
                    <w:left w:val="nil"/>
                    <w:bottom w:val="single" w:sz="4" w:space="0" w:color="auto"/>
                    <w:right w:val="single" w:sz="4" w:space="0" w:color="auto"/>
                  </w:tcBorders>
                  <w:shd w:val="clear" w:color="auto" w:fill="auto"/>
                  <w:noWrap/>
                  <w:vAlign w:val="bottom"/>
                  <w:hideMark/>
                </w:tcPr>
                <w:p w14:paraId="597F9F6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3.2</w:t>
                  </w:r>
                </w:p>
              </w:tc>
              <w:tc>
                <w:tcPr>
                  <w:tcW w:w="1720" w:type="dxa"/>
                  <w:tcBorders>
                    <w:top w:val="nil"/>
                    <w:left w:val="nil"/>
                    <w:bottom w:val="single" w:sz="4" w:space="0" w:color="auto"/>
                    <w:right w:val="single" w:sz="4" w:space="0" w:color="auto"/>
                  </w:tcBorders>
                  <w:shd w:val="clear" w:color="auto" w:fill="auto"/>
                  <w:noWrap/>
                  <w:vAlign w:val="bottom"/>
                  <w:hideMark/>
                </w:tcPr>
                <w:p w14:paraId="101241C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1.9</w:t>
                  </w:r>
                </w:p>
              </w:tc>
              <w:tc>
                <w:tcPr>
                  <w:tcW w:w="1720" w:type="dxa"/>
                  <w:tcBorders>
                    <w:top w:val="nil"/>
                    <w:left w:val="nil"/>
                    <w:bottom w:val="single" w:sz="4" w:space="0" w:color="auto"/>
                    <w:right w:val="single" w:sz="4" w:space="0" w:color="auto"/>
                  </w:tcBorders>
                  <w:shd w:val="clear" w:color="auto" w:fill="auto"/>
                  <w:noWrap/>
                  <w:vAlign w:val="bottom"/>
                  <w:hideMark/>
                </w:tcPr>
                <w:p w14:paraId="27733D7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3.7</w:t>
                  </w:r>
                </w:p>
              </w:tc>
            </w:tr>
            <w:tr w:rsidR="002E7DA0" w:rsidRPr="004D3F2B" w14:paraId="0CCCAD88"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FDEF006"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2006</w:t>
                  </w:r>
                </w:p>
              </w:tc>
              <w:tc>
                <w:tcPr>
                  <w:tcW w:w="1720" w:type="dxa"/>
                  <w:tcBorders>
                    <w:top w:val="nil"/>
                    <w:left w:val="nil"/>
                    <w:bottom w:val="single" w:sz="4" w:space="0" w:color="auto"/>
                    <w:right w:val="single" w:sz="4" w:space="0" w:color="auto"/>
                  </w:tcBorders>
                  <w:shd w:val="clear" w:color="auto" w:fill="auto"/>
                  <w:noWrap/>
                  <w:vAlign w:val="bottom"/>
                  <w:hideMark/>
                </w:tcPr>
                <w:p w14:paraId="46AADE7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2.9</w:t>
                  </w:r>
                </w:p>
              </w:tc>
              <w:tc>
                <w:tcPr>
                  <w:tcW w:w="1720" w:type="dxa"/>
                  <w:tcBorders>
                    <w:top w:val="nil"/>
                    <w:left w:val="nil"/>
                    <w:bottom w:val="single" w:sz="4" w:space="0" w:color="auto"/>
                    <w:right w:val="single" w:sz="4" w:space="0" w:color="auto"/>
                  </w:tcBorders>
                  <w:shd w:val="clear" w:color="auto" w:fill="auto"/>
                  <w:noWrap/>
                  <w:vAlign w:val="bottom"/>
                  <w:hideMark/>
                </w:tcPr>
                <w:p w14:paraId="24261FC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2.2</w:t>
                  </w:r>
                </w:p>
              </w:tc>
              <w:tc>
                <w:tcPr>
                  <w:tcW w:w="1720" w:type="dxa"/>
                  <w:tcBorders>
                    <w:top w:val="nil"/>
                    <w:left w:val="nil"/>
                    <w:bottom w:val="single" w:sz="4" w:space="0" w:color="auto"/>
                    <w:right w:val="single" w:sz="4" w:space="0" w:color="auto"/>
                  </w:tcBorders>
                  <w:shd w:val="clear" w:color="auto" w:fill="auto"/>
                  <w:noWrap/>
                  <w:vAlign w:val="bottom"/>
                  <w:hideMark/>
                </w:tcPr>
                <w:p w14:paraId="659CE76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3.1</w:t>
                  </w:r>
                </w:p>
              </w:tc>
              <w:tc>
                <w:tcPr>
                  <w:tcW w:w="1720" w:type="dxa"/>
                  <w:tcBorders>
                    <w:top w:val="nil"/>
                    <w:left w:val="nil"/>
                    <w:bottom w:val="single" w:sz="4" w:space="0" w:color="auto"/>
                    <w:right w:val="single" w:sz="4" w:space="0" w:color="auto"/>
                  </w:tcBorders>
                  <w:shd w:val="clear" w:color="auto" w:fill="auto"/>
                  <w:noWrap/>
                  <w:vAlign w:val="bottom"/>
                  <w:hideMark/>
                </w:tcPr>
                <w:p w14:paraId="4F65844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w:t>
                  </w:r>
                </w:p>
              </w:tc>
              <w:tc>
                <w:tcPr>
                  <w:tcW w:w="1720" w:type="dxa"/>
                  <w:tcBorders>
                    <w:top w:val="nil"/>
                    <w:left w:val="nil"/>
                    <w:bottom w:val="single" w:sz="4" w:space="0" w:color="auto"/>
                    <w:right w:val="single" w:sz="4" w:space="0" w:color="auto"/>
                  </w:tcBorders>
                  <w:shd w:val="clear" w:color="auto" w:fill="auto"/>
                  <w:noWrap/>
                  <w:vAlign w:val="bottom"/>
                  <w:hideMark/>
                </w:tcPr>
                <w:p w14:paraId="048F697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2.2</w:t>
                  </w:r>
                </w:p>
              </w:tc>
            </w:tr>
            <w:tr w:rsidR="002E7DA0" w:rsidRPr="004D3F2B" w14:paraId="3C8FD02A"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329E498"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2007</w:t>
                  </w:r>
                </w:p>
              </w:tc>
              <w:tc>
                <w:tcPr>
                  <w:tcW w:w="1720" w:type="dxa"/>
                  <w:tcBorders>
                    <w:top w:val="nil"/>
                    <w:left w:val="nil"/>
                    <w:bottom w:val="single" w:sz="4" w:space="0" w:color="auto"/>
                    <w:right w:val="single" w:sz="4" w:space="0" w:color="auto"/>
                  </w:tcBorders>
                  <w:shd w:val="clear" w:color="auto" w:fill="auto"/>
                  <w:noWrap/>
                  <w:vAlign w:val="bottom"/>
                  <w:hideMark/>
                </w:tcPr>
                <w:p w14:paraId="193358D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6.6</w:t>
                  </w:r>
                </w:p>
              </w:tc>
              <w:tc>
                <w:tcPr>
                  <w:tcW w:w="1720" w:type="dxa"/>
                  <w:tcBorders>
                    <w:top w:val="nil"/>
                    <w:left w:val="nil"/>
                    <w:bottom w:val="single" w:sz="4" w:space="0" w:color="auto"/>
                    <w:right w:val="single" w:sz="4" w:space="0" w:color="auto"/>
                  </w:tcBorders>
                  <w:shd w:val="clear" w:color="auto" w:fill="auto"/>
                  <w:noWrap/>
                  <w:vAlign w:val="bottom"/>
                  <w:hideMark/>
                </w:tcPr>
                <w:p w14:paraId="61E2E2E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3.8</w:t>
                  </w:r>
                </w:p>
              </w:tc>
              <w:tc>
                <w:tcPr>
                  <w:tcW w:w="1720" w:type="dxa"/>
                  <w:tcBorders>
                    <w:top w:val="nil"/>
                    <w:left w:val="nil"/>
                    <w:bottom w:val="single" w:sz="4" w:space="0" w:color="auto"/>
                    <w:right w:val="single" w:sz="4" w:space="0" w:color="auto"/>
                  </w:tcBorders>
                  <w:shd w:val="clear" w:color="auto" w:fill="auto"/>
                  <w:noWrap/>
                  <w:vAlign w:val="bottom"/>
                  <w:hideMark/>
                </w:tcPr>
                <w:p w14:paraId="582697D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2.3</w:t>
                  </w:r>
                </w:p>
              </w:tc>
              <w:tc>
                <w:tcPr>
                  <w:tcW w:w="1720" w:type="dxa"/>
                  <w:tcBorders>
                    <w:top w:val="nil"/>
                    <w:left w:val="nil"/>
                    <w:bottom w:val="single" w:sz="4" w:space="0" w:color="auto"/>
                    <w:right w:val="single" w:sz="4" w:space="0" w:color="auto"/>
                  </w:tcBorders>
                  <w:shd w:val="clear" w:color="auto" w:fill="auto"/>
                  <w:noWrap/>
                  <w:vAlign w:val="bottom"/>
                  <w:hideMark/>
                </w:tcPr>
                <w:p w14:paraId="5B9D207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c>
                <w:tcPr>
                  <w:tcW w:w="1720" w:type="dxa"/>
                  <w:tcBorders>
                    <w:top w:val="nil"/>
                    <w:left w:val="nil"/>
                    <w:bottom w:val="single" w:sz="4" w:space="0" w:color="auto"/>
                    <w:right w:val="single" w:sz="4" w:space="0" w:color="auto"/>
                  </w:tcBorders>
                  <w:shd w:val="clear" w:color="auto" w:fill="auto"/>
                  <w:noWrap/>
                  <w:vAlign w:val="bottom"/>
                  <w:hideMark/>
                </w:tcPr>
                <w:p w14:paraId="35F2BED5"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4.1</w:t>
                  </w:r>
                </w:p>
              </w:tc>
            </w:tr>
            <w:tr w:rsidR="002E7DA0" w:rsidRPr="004D3F2B" w14:paraId="261D8D4C"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431AC7A"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2008</w:t>
                  </w:r>
                </w:p>
              </w:tc>
              <w:tc>
                <w:tcPr>
                  <w:tcW w:w="1720" w:type="dxa"/>
                  <w:tcBorders>
                    <w:top w:val="nil"/>
                    <w:left w:val="nil"/>
                    <w:bottom w:val="single" w:sz="4" w:space="0" w:color="auto"/>
                    <w:right w:val="single" w:sz="4" w:space="0" w:color="auto"/>
                  </w:tcBorders>
                  <w:shd w:val="clear" w:color="auto" w:fill="auto"/>
                  <w:noWrap/>
                  <w:vAlign w:val="bottom"/>
                  <w:hideMark/>
                </w:tcPr>
                <w:p w14:paraId="30B2C0A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1.2</w:t>
                  </w:r>
                </w:p>
              </w:tc>
              <w:tc>
                <w:tcPr>
                  <w:tcW w:w="1720" w:type="dxa"/>
                  <w:tcBorders>
                    <w:top w:val="nil"/>
                    <w:left w:val="nil"/>
                    <w:bottom w:val="single" w:sz="4" w:space="0" w:color="auto"/>
                    <w:right w:val="single" w:sz="4" w:space="0" w:color="auto"/>
                  </w:tcBorders>
                  <w:shd w:val="clear" w:color="auto" w:fill="auto"/>
                  <w:noWrap/>
                  <w:vAlign w:val="bottom"/>
                  <w:hideMark/>
                </w:tcPr>
                <w:p w14:paraId="5494A12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c>
                <w:tcPr>
                  <w:tcW w:w="1720" w:type="dxa"/>
                  <w:tcBorders>
                    <w:top w:val="nil"/>
                    <w:left w:val="nil"/>
                    <w:bottom w:val="single" w:sz="4" w:space="0" w:color="auto"/>
                    <w:right w:val="single" w:sz="4" w:space="0" w:color="auto"/>
                  </w:tcBorders>
                  <w:shd w:val="clear" w:color="auto" w:fill="auto"/>
                  <w:noWrap/>
                  <w:vAlign w:val="bottom"/>
                  <w:hideMark/>
                </w:tcPr>
                <w:p w14:paraId="64F725A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4.5</w:t>
                  </w:r>
                </w:p>
              </w:tc>
              <w:tc>
                <w:tcPr>
                  <w:tcW w:w="1720" w:type="dxa"/>
                  <w:tcBorders>
                    <w:top w:val="nil"/>
                    <w:left w:val="nil"/>
                    <w:bottom w:val="single" w:sz="4" w:space="0" w:color="auto"/>
                    <w:right w:val="single" w:sz="4" w:space="0" w:color="auto"/>
                  </w:tcBorders>
                  <w:shd w:val="clear" w:color="auto" w:fill="auto"/>
                  <w:noWrap/>
                  <w:vAlign w:val="bottom"/>
                  <w:hideMark/>
                </w:tcPr>
                <w:p w14:paraId="786BE19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3.1</w:t>
                  </w:r>
                </w:p>
              </w:tc>
              <w:tc>
                <w:tcPr>
                  <w:tcW w:w="1720" w:type="dxa"/>
                  <w:tcBorders>
                    <w:top w:val="nil"/>
                    <w:left w:val="nil"/>
                    <w:bottom w:val="single" w:sz="4" w:space="0" w:color="auto"/>
                    <w:right w:val="single" w:sz="4" w:space="0" w:color="auto"/>
                  </w:tcBorders>
                  <w:shd w:val="clear" w:color="auto" w:fill="auto"/>
                  <w:noWrap/>
                  <w:vAlign w:val="bottom"/>
                  <w:hideMark/>
                </w:tcPr>
                <w:p w14:paraId="5DB93B1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0.7</w:t>
                  </w:r>
                </w:p>
              </w:tc>
            </w:tr>
            <w:tr w:rsidR="002E7DA0" w:rsidRPr="004D3F2B" w14:paraId="1AC202E4"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6C25435"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2009</w:t>
                  </w:r>
                </w:p>
              </w:tc>
              <w:tc>
                <w:tcPr>
                  <w:tcW w:w="1720" w:type="dxa"/>
                  <w:tcBorders>
                    <w:top w:val="nil"/>
                    <w:left w:val="nil"/>
                    <w:bottom w:val="single" w:sz="4" w:space="0" w:color="auto"/>
                    <w:right w:val="single" w:sz="4" w:space="0" w:color="auto"/>
                  </w:tcBorders>
                  <w:shd w:val="clear" w:color="auto" w:fill="auto"/>
                  <w:noWrap/>
                  <w:vAlign w:val="bottom"/>
                  <w:hideMark/>
                </w:tcPr>
                <w:p w14:paraId="7825468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1.6</w:t>
                  </w:r>
                </w:p>
              </w:tc>
              <w:tc>
                <w:tcPr>
                  <w:tcW w:w="1720" w:type="dxa"/>
                  <w:tcBorders>
                    <w:top w:val="nil"/>
                    <w:left w:val="nil"/>
                    <w:bottom w:val="single" w:sz="4" w:space="0" w:color="auto"/>
                    <w:right w:val="single" w:sz="4" w:space="0" w:color="auto"/>
                  </w:tcBorders>
                  <w:shd w:val="clear" w:color="auto" w:fill="auto"/>
                  <w:noWrap/>
                  <w:vAlign w:val="bottom"/>
                  <w:hideMark/>
                </w:tcPr>
                <w:p w14:paraId="49106C2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1.5</w:t>
                  </w:r>
                </w:p>
              </w:tc>
              <w:tc>
                <w:tcPr>
                  <w:tcW w:w="1720" w:type="dxa"/>
                  <w:tcBorders>
                    <w:top w:val="nil"/>
                    <w:left w:val="nil"/>
                    <w:bottom w:val="single" w:sz="4" w:space="0" w:color="auto"/>
                    <w:right w:val="single" w:sz="4" w:space="0" w:color="auto"/>
                  </w:tcBorders>
                  <w:shd w:val="clear" w:color="auto" w:fill="auto"/>
                  <w:noWrap/>
                  <w:vAlign w:val="bottom"/>
                  <w:hideMark/>
                </w:tcPr>
                <w:p w14:paraId="1611372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720" w:type="dxa"/>
                  <w:tcBorders>
                    <w:top w:val="nil"/>
                    <w:left w:val="nil"/>
                    <w:bottom w:val="single" w:sz="4" w:space="0" w:color="auto"/>
                    <w:right w:val="single" w:sz="4" w:space="0" w:color="auto"/>
                  </w:tcBorders>
                  <w:shd w:val="clear" w:color="auto" w:fill="auto"/>
                  <w:noWrap/>
                  <w:vAlign w:val="bottom"/>
                  <w:hideMark/>
                </w:tcPr>
                <w:p w14:paraId="2D7ECFF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2.9</w:t>
                  </w:r>
                </w:p>
              </w:tc>
              <w:tc>
                <w:tcPr>
                  <w:tcW w:w="1720" w:type="dxa"/>
                  <w:tcBorders>
                    <w:top w:val="nil"/>
                    <w:left w:val="nil"/>
                    <w:bottom w:val="single" w:sz="4" w:space="0" w:color="auto"/>
                    <w:right w:val="single" w:sz="4" w:space="0" w:color="auto"/>
                  </w:tcBorders>
                  <w:shd w:val="clear" w:color="auto" w:fill="auto"/>
                  <w:noWrap/>
                  <w:vAlign w:val="bottom"/>
                  <w:hideMark/>
                </w:tcPr>
                <w:p w14:paraId="74FCA13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1.9</w:t>
                  </w:r>
                </w:p>
              </w:tc>
            </w:tr>
            <w:tr w:rsidR="002E7DA0" w:rsidRPr="004D3F2B" w14:paraId="0CB178AD"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FF5AFFC"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2010</w:t>
                  </w:r>
                </w:p>
              </w:tc>
              <w:tc>
                <w:tcPr>
                  <w:tcW w:w="1720" w:type="dxa"/>
                  <w:tcBorders>
                    <w:top w:val="nil"/>
                    <w:left w:val="nil"/>
                    <w:bottom w:val="single" w:sz="4" w:space="0" w:color="auto"/>
                    <w:right w:val="single" w:sz="4" w:space="0" w:color="auto"/>
                  </w:tcBorders>
                  <w:shd w:val="clear" w:color="auto" w:fill="auto"/>
                  <w:noWrap/>
                  <w:vAlign w:val="bottom"/>
                  <w:hideMark/>
                </w:tcPr>
                <w:p w14:paraId="2F6D112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4.5</w:t>
                  </w:r>
                </w:p>
              </w:tc>
              <w:tc>
                <w:tcPr>
                  <w:tcW w:w="1720" w:type="dxa"/>
                  <w:tcBorders>
                    <w:top w:val="nil"/>
                    <w:left w:val="nil"/>
                    <w:bottom w:val="single" w:sz="4" w:space="0" w:color="auto"/>
                    <w:right w:val="single" w:sz="4" w:space="0" w:color="auto"/>
                  </w:tcBorders>
                  <w:shd w:val="clear" w:color="auto" w:fill="auto"/>
                  <w:noWrap/>
                  <w:vAlign w:val="bottom"/>
                  <w:hideMark/>
                </w:tcPr>
                <w:p w14:paraId="06376D9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w:t>
                  </w:r>
                </w:p>
              </w:tc>
              <w:tc>
                <w:tcPr>
                  <w:tcW w:w="1720" w:type="dxa"/>
                  <w:tcBorders>
                    <w:top w:val="nil"/>
                    <w:left w:val="nil"/>
                    <w:bottom w:val="single" w:sz="4" w:space="0" w:color="auto"/>
                    <w:right w:val="single" w:sz="4" w:space="0" w:color="auto"/>
                  </w:tcBorders>
                  <w:shd w:val="clear" w:color="auto" w:fill="auto"/>
                  <w:noWrap/>
                  <w:vAlign w:val="bottom"/>
                  <w:hideMark/>
                </w:tcPr>
                <w:p w14:paraId="1773253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c>
                <w:tcPr>
                  <w:tcW w:w="1720" w:type="dxa"/>
                  <w:tcBorders>
                    <w:top w:val="nil"/>
                    <w:left w:val="nil"/>
                    <w:bottom w:val="single" w:sz="4" w:space="0" w:color="auto"/>
                    <w:right w:val="single" w:sz="4" w:space="0" w:color="auto"/>
                  </w:tcBorders>
                  <w:shd w:val="clear" w:color="auto" w:fill="auto"/>
                  <w:noWrap/>
                  <w:vAlign w:val="bottom"/>
                  <w:hideMark/>
                </w:tcPr>
                <w:p w14:paraId="3766E0F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3.7</w:t>
                  </w:r>
                </w:p>
              </w:tc>
              <w:tc>
                <w:tcPr>
                  <w:tcW w:w="1720" w:type="dxa"/>
                  <w:tcBorders>
                    <w:top w:val="nil"/>
                    <w:left w:val="nil"/>
                    <w:bottom w:val="single" w:sz="4" w:space="0" w:color="auto"/>
                    <w:right w:val="single" w:sz="4" w:space="0" w:color="auto"/>
                  </w:tcBorders>
                  <w:shd w:val="clear" w:color="auto" w:fill="auto"/>
                  <w:noWrap/>
                  <w:vAlign w:val="bottom"/>
                  <w:hideMark/>
                </w:tcPr>
                <w:p w14:paraId="00D1D3A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r>
            <w:tr w:rsidR="002E7DA0" w:rsidRPr="004D3F2B" w14:paraId="59DCA055"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F6F3182"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2011</w:t>
                  </w:r>
                </w:p>
              </w:tc>
              <w:tc>
                <w:tcPr>
                  <w:tcW w:w="1720" w:type="dxa"/>
                  <w:tcBorders>
                    <w:top w:val="nil"/>
                    <w:left w:val="nil"/>
                    <w:bottom w:val="single" w:sz="4" w:space="0" w:color="auto"/>
                    <w:right w:val="single" w:sz="4" w:space="0" w:color="auto"/>
                  </w:tcBorders>
                  <w:shd w:val="clear" w:color="auto" w:fill="auto"/>
                  <w:noWrap/>
                  <w:vAlign w:val="bottom"/>
                  <w:hideMark/>
                </w:tcPr>
                <w:p w14:paraId="37CB111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4.1</w:t>
                  </w:r>
                </w:p>
              </w:tc>
              <w:tc>
                <w:tcPr>
                  <w:tcW w:w="1720" w:type="dxa"/>
                  <w:tcBorders>
                    <w:top w:val="nil"/>
                    <w:left w:val="nil"/>
                    <w:bottom w:val="single" w:sz="4" w:space="0" w:color="auto"/>
                    <w:right w:val="single" w:sz="4" w:space="0" w:color="auto"/>
                  </w:tcBorders>
                  <w:shd w:val="clear" w:color="auto" w:fill="auto"/>
                  <w:noWrap/>
                  <w:vAlign w:val="bottom"/>
                  <w:hideMark/>
                </w:tcPr>
                <w:p w14:paraId="045BA525"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5.7</w:t>
                  </w:r>
                </w:p>
              </w:tc>
              <w:tc>
                <w:tcPr>
                  <w:tcW w:w="1720" w:type="dxa"/>
                  <w:tcBorders>
                    <w:top w:val="nil"/>
                    <w:left w:val="nil"/>
                    <w:bottom w:val="single" w:sz="4" w:space="0" w:color="auto"/>
                    <w:right w:val="single" w:sz="4" w:space="0" w:color="auto"/>
                  </w:tcBorders>
                  <w:shd w:val="clear" w:color="auto" w:fill="auto"/>
                  <w:noWrap/>
                  <w:vAlign w:val="bottom"/>
                  <w:hideMark/>
                </w:tcPr>
                <w:p w14:paraId="4ADB28F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w:t>
                  </w:r>
                </w:p>
              </w:tc>
              <w:tc>
                <w:tcPr>
                  <w:tcW w:w="1720" w:type="dxa"/>
                  <w:tcBorders>
                    <w:top w:val="nil"/>
                    <w:left w:val="nil"/>
                    <w:bottom w:val="single" w:sz="4" w:space="0" w:color="auto"/>
                    <w:right w:val="single" w:sz="4" w:space="0" w:color="auto"/>
                  </w:tcBorders>
                  <w:shd w:val="clear" w:color="auto" w:fill="auto"/>
                  <w:noWrap/>
                  <w:vAlign w:val="bottom"/>
                  <w:hideMark/>
                </w:tcPr>
                <w:p w14:paraId="54BEC81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4.2</w:t>
                  </w:r>
                </w:p>
              </w:tc>
              <w:tc>
                <w:tcPr>
                  <w:tcW w:w="1720" w:type="dxa"/>
                  <w:tcBorders>
                    <w:top w:val="nil"/>
                    <w:left w:val="nil"/>
                    <w:bottom w:val="single" w:sz="4" w:space="0" w:color="auto"/>
                    <w:right w:val="single" w:sz="4" w:space="0" w:color="auto"/>
                  </w:tcBorders>
                  <w:shd w:val="clear" w:color="auto" w:fill="auto"/>
                  <w:noWrap/>
                  <w:vAlign w:val="bottom"/>
                  <w:hideMark/>
                </w:tcPr>
                <w:p w14:paraId="360E338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3.1</w:t>
                  </w:r>
                </w:p>
              </w:tc>
            </w:tr>
            <w:tr w:rsidR="002E7DA0" w:rsidRPr="004D3F2B" w14:paraId="588A64E4"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FFFBD3C"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2012</w:t>
                  </w:r>
                </w:p>
              </w:tc>
              <w:tc>
                <w:tcPr>
                  <w:tcW w:w="1720" w:type="dxa"/>
                  <w:tcBorders>
                    <w:top w:val="nil"/>
                    <w:left w:val="nil"/>
                    <w:bottom w:val="single" w:sz="4" w:space="0" w:color="auto"/>
                    <w:right w:val="single" w:sz="4" w:space="0" w:color="auto"/>
                  </w:tcBorders>
                  <w:shd w:val="clear" w:color="auto" w:fill="auto"/>
                  <w:noWrap/>
                  <w:vAlign w:val="bottom"/>
                  <w:hideMark/>
                </w:tcPr>
                <w:p w14:paraId="110B974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2.4</w:t>
                  </w:r>
                </w:p>
              </w:tc>
              <w:tc>
                <w:tcPr>
                  <w:tcW w:w="1720" w:type="dxa"/>
                  <w:tcBorders>
                    <w:top w:val="nil"/>
                    <w:left w:val="nil"/>
                    <w:bottom w:val="single" w:sz="4" w:space="0" w:color="auto"/>
                    <w:right w:val="single" w:sz="4" w:space="0" w:color="auto"/>
                  </w:tcBorders>
                  <w:shd w:val="clear" w:color="auto" w:fill="auto"/>
                  <w:noWrap/>
                  <w:vAlign w:val="bottom"/>
                  <w:hideMark/>
                </w:tcPr>
                <w:p w14:paraId="04B6D7E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3.6</w:t>
                  </w:r>
                </w:p>
              </w:tc>
              <w:tc>
                <w:tcPr>
                  <w:tcW w:w="1720" w:type="dxa"/>
                  <w:tcBorders>
                    <w:top w:val="nil"/>
                    <w:left w:val="nil"/>
                    <w:bottom w:val="single" w:sz="4" w:space="0" w:color="auto"/>
                    <w:right w:val="single" w:sz="4" w:space="0" w:color="auto"/>
                  </w:tcBorders>
                  <w:shd w:val="clear" w:color="auto" w:fill="auto"/>
                  <w:noWrap/>
                  <w:vAlign w:val="bottom"/>
                  <w:hideMark/>
                </w:tcPr>
                <w:p w14:paraId="7585AEB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1.2</w:t>
                  </w:r>
                </w:p>
              </w:tc>
              <w:tc>
                <w:tcPr>
                  <w:tcW w:w="1720" w:type="dxa"/>
                  <w:tcBorders>
                    <w:top w:val="nil"/>
                    <w:left w:val="nil"/>
                    <w:bottom w:val="single" w:sz="4" w:space="0" w:color="auto"/>
                    <w:right w:val="single" w:sz="4" w:space="0" w:color="auto"/>
                  </w:tcBorders>
                  <w:shd w:val="clear" w:color="auto" w:fill="auto"/>
                  <w:noWrap/>
                  <w:vAlign w:val="bottom"/>
                  <w:hideMark/>
                </w:tcPr>
                <w:p w14:paraId="248C1DE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2.7</w:t>
                  </w:r>
                </w:p>
              </w:tc>
              <w:tc>
                <w:tcPr>
                  <w:tcW w:w="1720" w:type="dxa"/>
                  <w:tcBorders>
                    <w:top w:val="nil"/>
                    <w:left w:val="nil"/>
                    <w:bottom w:val="single" w:sz="4" w:space="0" w:color="auto"/>
                    <w:right w:val="single" w:sz="4" w:space="0" w:color="auto"/>
                  </w:tcBorders>
                  <w:shd w:val="clear" w:color="auto" w:fill="auto"/>
                  <w:noWrap/>
                  <w:vAlign w:val="bottom"/>
                  <w:hideMark/>
                </w:tcPr>
                <w:p w14:paraId="2E644A7D"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1.8</w:t>
                  </w:r>
                </w:p>
              </w:tc>
            </w:tr>
            <w:tr w:rsidR="002E7DA0" w:rsidRPr="004D3F2B" w14:paraId="6218377E"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04D639B"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2013</w:t>
                  </w:r>
                </w:p>
              </w:tc>
              <w:tc>
                <w:tcPr>
                  <w:tcW w:w="1720" w:type="dxa"/>
                  <w:tcBorders>
                    <w:top w:val="nil"/>
                    <w:left w:val="nil"/>
                    <w:bottom w:val="single" w:sz="4" w:space="0" w:color="auto"/>
                    <w:right w:val="single" w:sz="4" w:space="0" w:color="auto"/>
                  </w:tcBorders>
                  <w:shd w:val="clear" w:color="auto" w:fill="auto"/>
                  <w:noWrap/>
                  <w:vAlign w:val="bottom"/>
                  <w:hideMark/>
                </w:tcPr>
                <w:p w14:paraId="43F316E9"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2.6</w:t>
                  </w:r>
                </w:p>
              </w:tc>
              <w:tc>
                <w:tcPr>
                  <w:tcW w:w="1720" w:type="dxa"/>
                  <w:tcBorders>
                    <w:top w:val="nil"/>
                    <w:left w:val="nil"/>
                    <w:bottom w:val="single" w:sz="4" w:space="0" w:color="auto"/>
                    <w:right w:val="single" w:sz="4" w:space="0" w:color="auto"/>
                  </w:tcBorders>
                  <w:shd w:val="clear" w:color="auto" w:fill="auto"/>
                  <w:noWrap/>
                  <w:vAlign w:val="bottom"/>
                  <w:hideMark/>
                </w:tcPr>
                <w:p w14:paraId="5FC2CE2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4.3</w:t>
                  </w:r>
                </w:p>
              </w:tc>
              <w:tc>
                <w:tcPr>
                  <w:tcW w:w="1720" w:type="dxa"/>
                  <w:tcBorders>
                    <w:top w:val="nil"/>
                    <w:left w:val="nil"/>
                    <w:bottom w:val="single" w:sz="4" w:space="0" w:color="auto"/>
                    <w:right w:val="single" w:sz="4" w:space="0" w:color="auto"/>
                  </w:tcBorders>
                  <w:shd w:val="clear" w:color="auto" w:fill="auto"/>
                  <w:noWrap/>
                  <w:vAlign w:val="bottom"/>
                  <w:hideMark/>
                </w:tcPr>
                <w:p w14:paraId="4F6C4C8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3.2</w:t>
                  </w:r>
                </w:p>
              </w:tc>
              <w:tc>
                <w:tcPr>
                  <w:tcW w:w="1720" w:type="dxa"/>
                  <w:tcBorders>
                    <w:top w:val="nil"/>
                    <w:left w:val="nil"/>
                    <w:bottom w:val="single" w:sz="4" w:space="0" w:color="auto"/>
                    <w:right w:val="single" w:sz="4" w:space="0" w:color="auto"/>
                  </w:tcBorders>
                  <w:shd w:val="clear" w:color="auto" w:fill="auto"/>
                  <w:noWrap/>
                  <w:vAlign w:val="bottom"/>
                  <w:hideMark/>
                </w:tcPr>
                <w:p w14:paraId="08C1532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w:t>
                  </w:r>
                </w:p>
              </w:tc>
              <w:tc>
                <w:tcPr>
                  <w:tcW w:w="1720" w:type="dxa"/>
                  <w:tcBorders>
                    <w:top w:val="nil"/>
                    <w:left w:val="nil"/>
                    <w:bottom w:val="single" w:sz="4" w:space="0" w:color="auto"/>
                    <w:right w:val="single" w:sz="4" w:space="0" w:color="auto"/>
                  </w:tcBorders>
                  <w:shd w:val="clear" w:color="auto" w:fill="auto"/>
                  <w:noWrap/>
                  <w:vAlign w:val="bottom"/>
                  <w:hideMark/>
                </w:tcPr>
                <w:p w14:paraId="7BA0C7A6"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1.3</w:t>
                  </w:r>
                </w:p>
              </w:tc>
            </w:tr>
            <w:tr w:rsidR="002E7DA0" w:rsidRPr="004D3F2B" w14:paraId="533C90CA"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615D748"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2014</w:t>
                  </w:r>
                </w:p>
              </w:tc>
              <w:tc>
                <w:tcPr>
                  <w:tcW w:w="1720" w:type="dxa"/>
                  <w:tcBorders>
                    <w:top w:val="nil"/>
                    <w:left w:val="nil"/>
                    <w:bottom w:val="single" w:sz="4" w:space="0" w:color="auto"/>
                    <w:right w:val="single" w:sz="4" w:space="0" w:color="auto"/>
                  </w:tcBorders>
                  <w:shd w:val="clear" w:color="auto" w:fill="auto"/>
                  <w:noWrap/>
                  <w:vAlign w:val="bottom"/>
                  <w:hideMark/>
                </w:tcPr>
                <w:p w14:paraId="1EF0BE5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1.5</w:t>
                  </w:r>
                </w:p>
              </w:tc>
              <w:tc>
                <w:tcPr>
                  <w:tcW w:w="1720" w:type="dxa"/>
                  <w:tcBorders>
                    <w:top w:val="nil"/>
                    <w:left w:val="nil"/>
                    <w:bottom w:val="single" w:sz="4" w:space="0" w:color="auto"/>
                    <w:right w:val="single" w:sz="4" w:space="0" w:color="auto"/>
                  </w:tcBorders>
                  <w:shd w:val="clear" w:color="auto" w:fill="auto"/>
                  <w:noWrap/>
                  <w:vAlign w:val="bottom"/>
                  <w:hideMark/>
                </w:tcPr>
                <w:p w14:paraId="14C22F7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4.9</w:t>
                  </w:r>
                </w:p>
              </w:tc>
              <w:tc>
                <w:tcPr>
                  <w:tcW w:w="1720" w:type="dxa"/>
                  <w:tcBorders>
                    <w:top w:val="nil"/>
                    <w:left w:val="nil"/>
                    <w:bottom w:val="single" w:sz="4" w:space="0" w:color="auto"/>
                    <w:right w:val="single" w:sz="4" w:space="0" w:color="auto"/>
                  </w:tcBorders>
                  <w:shd w:val="clear" w:color="auto" w:fill="auto"/>
                  <w:noWrap/>
                  <w:vAlign w:val="bottom"/>
                  <w:hideMark/>
                </w:tcPr>
                <w:p w14:paraId="78A40D1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2.7</w:t>
                  </w:r>
                </w:p>
              </w:tc>
              <w:tc>
                <w:tcPr>
                  <w:tcW w:w="1720" w:type="dxa"/>
                  <w:tcBorders>
                    <w:top w:val="nil"/>
                    <w:left w:val="nil"/>
                    <w:bottom w:val="single" w:sz="4" w:space="0" w:color="auto"/>
                    <w:right w:val="single" w:sz="4" w:space="0" w:color="auto"/>
                  </w:tcBorders>
                  <w:shd w:val="clear" w:color="auto" w:fill="auto"/>
                  <w:noWrap/>
                  <w:vAlign w:val="bottom"/>
                  <w:hideMark/>
                </w:tcPr>
                <w:p w14:paraId="48965CC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0.5</w:t>
                  </w:r>
                </w:p>
              </w:tc>
              <w:tc>
                <w:tcPr>
                  <w:tcW w:w="1720" w:type="dxa"/>
                  <w:tcBorders>
                    <w:top w:val="nil"/>
                    <w:left w:val="nil"/>
                    <w:bottom w:val="single" w:sz="4" w:space="0" w:color="auto"/>
                    <w:right w:val="single" w:sz="4" w:space="0" w:color="auto"/>
                  </w:tcBorders>
                  <w:shd w:val="clear" w:color="auto" w:fill="auto"/>
                  <w:noWrap/>
                  <w:vAlign w:val="bottom"/>
                  <w:hideMark/>
                </w:tcPr>
                <w:p w14:paraId="4B7143A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0.5</w:t>
                  </w:r>
                </w:p>
              </w:tc>
            </w:tr>
            <w:tr w:rsidR="002E7DA0" w:rsidRPr="004D3F2B" w14:paraId="1E689AD2"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58B87A6"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2015</w:t>
                  </w:r>
                </w:p>
              </w:tc>
              <w:tc>
                <w:tcPr>
                  <w:tcW w:w="1720" w:type="dxa"/>
                  <w:tcBorders>
                    <w:top w:val="nil"/>
                    <w:left w:val="nil"/>
                    <w:bottom w:val="single" w:sz="4" w:space="0" w:color="auto"/>
                    <w:right w:val="single" w:sz="4" w:space="0" w:color="auto"/>
                  </w:tcBorders>
                  <w:shd w:val="clear" w:color="auto" w:fill="auto"/>
                  <w:noWrap/>
                  <w:vAlign w:val="bottom"/>
                  <w:hideMark/>
                </w:tcPr>
                <w:p w14:paraId="64DFC53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779DCDF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2.3</w:t>
                  </w:r>
                </w:p>
              </w:tc>
              <w:tc>
                <w:tcPr>
                  <w:tcW w:w="1720" w:type="dxa"/>
                  <w:tcBorders>
                    <w:top w:val="nil"/>
                    <w:left w:val="nil"/>
                    <w:bottom w:val="single" w:sz="4" w:space="0" w:color="auto"/>
                    <w:right w:val="single" w:sz="4" w:space="0" w:color="auto"/>
                  </w:tcBorders>
                  <w:shd w:val="clear" w:color="auto" w:fill="auto"/>
                  <w:noWrap/>
                  <w:vAlign w:val="bottom"/>
                  <w:hideMark/>
                </w:tcPr>
                <w:p w14:paraId="7BF411D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2.7</w:t>
                  </w:r>
                </w:p>
              </w:tc>
              <w:tc>
                <w:tcPr>
                  <w:tcW w:w="1720" w:type="dxa"/>
                  <w:tcBorders>
                    <w:top w:val="nil"/>
                    <w:left w:val="nil"/>
                    <w:bottom w:val="single" w:sz="4" w:space="0" w:color="auto"/>
                    <w:right w:val="single" w:sz="4" w:space="0" w:color="auto"/>
                  </w:tcBorders>
                  <w:shd w:val="clear" w:color="auto" w:fill="auto"/>
                  <w:noWrap/>
                  <w:vAlign w:val="bottom"/>
                  <w:hideMark/>
                </w:tcPr>
                <w:p w14:paraId="5D5C4DAD"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0.2</w:t>
                  </w:r>
                </w:p>
              </w:tc>
              <w:tc>
                <w:tcPr>
                  <w:tcW w:w="1720" w:type="dxa"/>
                  <w:tcBorders>
                    <w:top w:val="nil"/>
                    <w:left w:val="nil"/>
                    <w:bottom w:val="single" w:sz="4" w:space="0" w:color="auto"/>
                    <w:right w:val="single" w:sz="4" w:space="0" w:color="auto"/>
                  </w:tcBorders>
                  <w:shd w:val="clear" w:color="auto" w:fill="auto"/>
                  <w:noWrap/>
                  <w:vAlign w:val="bottom"/>
                  <w:hideMark/>
                </w:tcPr>
                <w:p w14:paraId="391CBC1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0.7</w:t>
                  </w:r>
                </w:p>
              </w:tc>
            </w:tr>
            <w:tr w:rsidR="002E7DA0" w:rsidRPr="004D3F2B" w14:paraId="7DA0BBD0"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E082350"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2016</w:t>
                  </w:r>
                </w:p>
              </w:tc>
              <w:tc>
                <w:tcPr>
                  <w:tcW w:w="1720" w:type="dxa"/>
                  <w:tcBorders>
                    <w:top w:val="nil"/>
                    <w:left w:val="nil"/>
                    <w:bottom w:val="single" w:sz="4" w:space="0" w:color="auto"/>
                    <w:right w:val="single" w:sz="4" w:space="0" w:color="auto"/>
                  </w:tcBorders>
                  <w:shd w:val="clear" w:color="auto" w:fill="auto"/>
                  <w:noWrap/>
                  <w:vAlign w:val="bottom"/>
                  <w:hideMark/>
                </w:tcPr>
                <w:p w14:paraId="093F704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c>
                <w:tcPr>
                  <w:tcW w:w="1720" w:type="dxa"/>
                  <w:tcBorders>
                    <w:top w:val="nil"/>
                    <w:left w:val="nil"/>
                    <w:bottom w:val="single" w:sz="4" w:space="0" w:color="auto"/>
                    <w:right w:val="single" w:sz="4" w:space="0" w:color="auto"/>
                  </w:tcBorders>
                  <w:shd w:val="clear" w:color="auto" w:fill="auto"/>
                  <w:noWrap/>
                  <w:vAlign w:val="bottom"/>
                  <w:hideMark/>
                </w:tcPr>
                <w:p w14:paraId="61C43BA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1.2</w:t>
                  </w:r>
                </w:p>
              </w:tc>
              <w:tc>
                <w:tcPr>
                  <w:tcW w:w="1720" w:type="dxa"/>
                  <w:tcBorders>
                    <w:top w:val="nil"/>
                    <w:left w:val="nil"/>
                    <w:bottom w:val="single" w:sz="4" w:space="0" w:color="auto"/>
                    <w:right w:val="single" w:sz="4" w:space="0" w:color="auto"/>
                  </w:tcBorders>
                  <w:shd w:val="clear" w:color="auto" w:fill="auto"/>
                  <w:noWrap/>
                  <w:vAlign w:val="bottom"/>
                  <w:hideMark/>
                </w:tcPr>
                <w:p w14:paraId="40321F6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5DECB905"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1.6</w:t>
                  </w:r>
                </w:p>
              </w:tc>
              <w:tc>
                <w:tcPr>
                  <w:tcW w:w="1720" w:type="dxa"/>
                  <w:tcBorders>
                    <w:top w:val="nil"/>
                    <w:left w:val="nil"/>
                    <w:bottom w:val="single" w:sz="4" w:space="0" w:color="auto"/>
                    <w:right w:val="single" w:sz="4" w:space="0" w:color="auto"/>
                  </w:tcBorders>
                  <w:shd w:val="clear" w:color="auto" w:fill="auto"/>
                  <w:noWrap/>
                  <w:vAlign w:val="bottom"/>
                  <w:hideMark/>
                </w:tcPr>
                <w:p w14:paraId="5D82CA8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2.2</w:t>
                  </w:r>
                </w:p>
              </w:tc>
            </w:tr>
            <w:tr w:rsidR="002E7DA0" w:rsidRPr="004D3F2B" w14:paraId="20EBA304"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A5216CC"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2017</w:t>
                  </w:r>
                </w:p>
              </w:tc>
              <w:tc>
                <w:tcPr>
                  <w:tcW w:w="1720" w:type="dxa"/>
                  <w:tcBorders>
                    <w:top w:val="nil"/>
                    <w:left w:val="nil"/>
                    <w:bottom w:val="single" w:sz="4" w:space="0" w:color="auto"/>
                    <w:right w:val="single" w:sz="4" w:space="0" w:color="auto"/>
                  </w:tcBorders>
                  <w:shd w:val="clear" w:color="auto" w:fill="auto"/>
                  <w:noWrap/>
                  <w:vAlign w:val="bottom"/>
                  <w:hideMark/>
                </w:tcPr>
                <w:p w14:paraId="5A4149E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15BC184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1.7</w:t>
                  </w:r>
                </w:p>
              </w:tc>
              <w:tc>
                <w:tcPr>
                  <w:tcW w:w="1720" w:type="dxa"/>
                  <w:tcBorders>
                    <w:top w:val="nil"/>
                    <w:left w:val="nil"/>
                    <w:bottom w:val="single" w:sz="4" w:space="0" w:color="auto"/>
                    <w:right w:val="single" w:sz="4" w:space="0" w:color="auto"/>
                  </w:tcBorders>
                  <w:shd w:val="clear" w:color="auto" w:fill="auto"/>
                  <w:noWrap/>
                  <w:vAlign w:val="bottom"/>
                  <w:hideMark/>
                </w:tcPr>
                <w:p w14:paraId="6BFD1A76"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3.5</w:t>
                  </w:r>
                </w:p>
              </w:tc>
              <w:tc>
                <w:tcPr>
                  <w:tcW w:w="1720" w:type="dxa"/>
                  <w:tcBorders>
                    <w:top w:val="nil"/>
                    <w:left w:val="nil"/>
                    <w:bottom w:val="single" w:sz="4" w:space="0" w:color="auto"/>
                    <w:right w:val="single" w:sz="4" w:space="0" w:color="auto"/>
                  </w:tcBorders>
                  <w:shd w:val="clear" w:color="auto" w:fill="auto"/>
                  <w:noWrap/>
                  <w:vAlign w:val="bottom"/>
                  <w:hideMark/>
                </w:tcPr>
                <w:p w14:paraId="67ED0E8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w:t>
                  </w:r>
                </w:p>
              </w:tc>
              <w:tc>
                <w:tcPr>
                  <w:tcW w:w="1720" w:type="dxa"/>
                  <w:tcBorders>
                    <w:top w:val="nil"/>
                    <w:left w:val="nil"/>
                    <w:bottom w:val="single" w:sz="4" w:space="0" w:color="auto"/>
                    <w:right w:val="single" w:sz="4" w:space="0" w:color="auto"/>
                  </w:tcBorders>
                  <w:shd w:val="clear" w:color="auto" w:fill="auto"/>
                  <w:noWrap/>
                  <w:vAlign w:val="bottom"/>
                  <w:hideMark/>
                </w:tcPr>
                <w:p w14:paraId="0C54812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2.2</w:t>
                  </w:r>
                </w:p>
              </w:tc>
            </w:tr>
            <w:tr w:rsidR="002E7DA0" w:rsidRPr="004D3F2B" w14:paraId="5ABDE10A"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AD98EDF"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2018</w:t>
                  </w:r>
                </w:p>
              </w:tc>
              <w:tc>
                <w:tcPr>
                  <w:tcW w:w="1720" w:type="dxa"/>
                  <w:tcBorders>
                    <w:top w:val="nil"/>
                    <w:left w:val="nil"/>
                    <w:bottom w:val="single" w:sz="4" w:space="0" w:color="auto"/>
                    <w:right w:val="single" w:sz="4" w:space="0" w:color="auto"/>
                  </w:tcBorders>
                  <w:shd w:val="clear" w:color="auto" w:fill="auto"/>
                  <w:noWrap/>
                  <w:vAlign w:val="bottom"/>
                  <w:hideMark/>
                </w:tcPr>
                <w:p w14:paraId="574AC04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1.8</w:t>
                  </w:r>
                </w:p>
              </w:tc>
              <w:tc>
                <w:tcPr>
                  <w:tcW w:w="1720" w:type="dxa"/>
                  <w:tcBorders>
                    <w:top w:val="nil"/>
                    <w:left w:val="nil"/>
                    <w:bottom w:val="single" w:sz="4" w:space="0" w:color="auto"/>
                    <w:right w:val="single" w:sz="4" w:space="0" w:color="auto"/>
                  </w:tcBorders>
                  <w:shd w:val="clear" w:color="auto" w:fill="auto"/>
                  <w:noWrap/>
                  <w:vAlign w:val="bottom"/>
                  <w:hideMark/>
                </w:tcPr>
                <w:p w14:paraId="69BE3CC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2.5</w:t>
                  </w:r>
                </w:p>
              </w:tc>
              <w:tc>
                <w:tcPr>
                  <w:tcW w:w="1720" w:type="dxa"/>
                  <w:tcBorders>
                    <w:top w:val="nil"/>
                    <w:left w:val="nil"/>
                    <w:bottom w:val="single" w:sz="4" w:space="0" w:color="auto"/>
                    <w:right w:val="single" w:sz="4" w:space="0" w:color="auto"/>
                  </w:tcBorders>
                  <w:shd w:val="clear" w:color="auto" w:fill="auto"/>
                  <w:noWrap/>
                  <w:vAlign w:val="bottom"/>
                  <w:hideMark/>
                </w:tcPr>
                <w:p w14:paraId="422E7CD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0.2</w:t>
                  </w:r>
                </w:p>
              </w:tc>
              <w:tc>
                <w:tcPr>
                  <w:tcW w:w="1720" w:type="dxa"/>
                  <w:tcBorders>
                    <w:top w:val="nil"/>
                    <w:left w:val="nil"/>
                    <w:bottom w:val="single" w:sz="4" w:space="0" w:color="auto"/>
                    <w:right w:val="single" w:sz="4" w:space="0" w:color="auto"/>
                  </w:tcBorders>
                  <w:shd w:val="clear" w:color="auto" w:fill="auto"/>
                  <w:noWrap/>
                  <w:vAlign w:val="bottom"/>
                  <w:hideMark/>
                </w:tcPr>
                <w:p w14:paraId="0C7899E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c>
                <w:tcPr>
                  <w:tcW w:w="1720" w:type="dxa"/>
                  <w:tcBorders>
                    <w:top w:val="nil"/>
                    <w:left w:val="nil"/>
                    <w:bottom w:val="single" w:sz="4" w:space="0" w:color="auto"/>
                    <w:right w:val="single" w:sz="4" w:space="0" w:color="auto"/>
                  </w:tcBorders>
                  <w:shd w:val="clear" w:color="auto" w:fill="auto"/>
                  <w:noWrap/>
                  <w:vAlign w:val="bottom"/>
                  <w:hideMark/>
                </w:tcPr>
                <w:p w14:paraId="09B408A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1.9</w:t>
                  </w:r>
                </w:p>
              </w:tc>
            </w:tr>
            <w:tr w:rsidR="002E7DA0" w:rsidRPr="004D3F2B" w14:paraId="658DBE2B"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16F10B4"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2019</w:t>
                  </w:r>
                </w:p>
              </w:tc>
              <w:tc>
                <w:tcPr>
                  <w:tcW w:w="1720" w:type="dxa"/>
                  <w:tcBorders>
                    <w:top w:val="nil"/>
                    <w:left w:val="nil"/>
                    <w:bottom w:val="single" w:sz="4" w:space="0" w:color="auto"/>
                    <w:right w:val="single" w:sz="4" w:space="0" w:color="auto"/>
                  </w:tcBorders>
                  <w:shd w:val="clear" w:color="auto" w:fill="auto"/>
                  <w:noWrap/>
                  <w:vAlign w:val="bottom"/>
                  <w:hideMark/>
                </w:tcPr>
                <w:p w14:paraId="5CE09B96"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4.5</w:t>
                  </w:r>
                </w:p>
              </w:tc>
              <w:tc>
                <w:tcPr>
                  <w:tcW w:w="1720" w:type="dxa"/>
                  <w:tcBorders>
                    <w:top w:val="nil"/>
                    <w:left w:val="nil"/>
                    <w:bottom w:val="single" w:sz="4" w:space="0" w:color="auto"/>
                    <w:right w:val="single" w:sz="4" w:space="0" w:color="auto"/>
                  </w:tcBorders>
                  <w:shd w:val="clear" w:color="auto" w:fill="auto"/>
                  <w:noWrap/>
                  <w:vAlign w:val="bottom"/>
                  <w:hideMark/>
                </w:tcPr>
                <w:p w14:paraId="2FBDAD4C"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2.9</w:t>
                  </w:r>
                </w:p>
              </w:tc>
              <w:tc>
                <w:tcPr>
                  <w:tcW w:w="1720" w:type="dxa"/>
                  <w:tcBorders>
                    <w:top w:val="nil"/>
                    <w:left w:val="nil"/>
                    <w:bottom w:val="single" w:sz="4" w:space="0" w:color="auto"/>
                    <w:right w:val="single" w:sz="4" w:space="0" w:color="auto"/>
                  </w:tcBorders>
                  <w:shd w:val="clear" w:color="auto" w:fill="auto"/>
                  <w:noWrap/>
                  <w:vAlign w:val="bottom"/>
                  <w:hideMark/>
                </w:tcPr>
                <w:p w14:paraId="1AAE145A"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720" w:type="dxa"/>
                  <w:tcBorders>
                    <w:top w:val="nil"/>
                    <w:left w:val="nil"/>
                    <w:bottom w:val="single" w:sz="4" w:space="0" w:color="auto"/>
                    <w:right w:val="single" w:sz="4" w:space="0" w:color="auto"/>
                  </w:tcBorders>
                  <w:shd w:val="clear" w:color="auto" w:fill="auto"/>
                  <w:noWrap/>
                  <w:vAlign w:val="bottom"/>
                  <w:hideMark/>
                </w:tcPr>
                <w:p w14:paraId="234F8F13"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1.3</w:t>
                  </w:r>
                </w:p>
              </w:tc>
              <w:tc>
                <w:tcPr>
                  <w:tcW w:w="1720" w:type="dxa"/>
                  <w:tcBorders>
                    <w:top w:val="nil"/>
                    <w:left w:val="nil"/>
                    <w:bottom w:val="single" w:sz="4" w:space="0" w:color="auto"/>
                    <w:right w:val="single" w:sz="4" w:space="0" w:color="auto"/>
                  </w:tcBorders>
                  <w:shd w:val="clear" w:color="auto" w:fill="auto"/>
                  <w:noWrap/>
                  <w:vAlign w:val="bottom"/>
                  <w:hideMark/>
                </w:tcPr>
                <w:p w14:paraId="3E307F3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2.1</w:t>
                  </w:r>
                </w:p>
              </w:tc>
            </w:tr>
            <w:tr w:rsidR="002E7DA0" w:rsidRPr="004D3F2B" w14:paraId="50503D09"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9C55942"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2020</w:t>
                  </w:r>
                </w:p>
              </w:tc>
              <w:tc>
                <w:tcPr>
                  <w:tcW w:w="1720" w:type="dxa"/>
                  <w:tcBorders>
                    <w:top w:val="nil"/>
                    <w:left w:val="nil"/>
                    <w:bottom w:val="single" w:sz="4" w:space="0" w:color="auto"/>
                    <w:right w:val="single" w:sz="4" w:space="0" w:color="auto"/>
                  </w:tcBorders>
                  <w:shd w:val="clear" w:color="auto" w:fill="auto"/>
                  <w:noWrap/>
                  <w:vAlign w:val="bottom"/>
                  <w:hideMark/>
                </w:tcPr>
                <w:p w14:paraId="72FDE016"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0.2</w:t>
                  </w:r>
                </w:p>
              </w:tc>
              <w:tc>
                <w:tcPr>
                  <w:tcW w:w="1720" w:type="dxa"/>
                  <w:tcBorders>
                    <w:top w:val="nil"/>
                    <w:left w:val="nil"/>
                    <w:bottom w:val="single" w:sz="4" w:space="0" w:color="auto"/>
                    <w:right w:val="single" w:sz="4" w:space="0" w:color="auto"/>
                  </w:tcBorders>
                  <w:shd w:val="clear" w:color="auto" w:fill="auto"/>
                  <w:noWrap/>
                  <w:vAlign w:val="bottom"/>
                  <w:hideMark/>
                </w:tcPr>
                <w:p w14:paraId="108AA52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-0.9</w:t>
                  </w:r>
                </w:p>
              </w:tc>
              <w:tc>
                <w:tcPr>
                  <w:tcW w:w="1720" w:type="dxa"/>
                  <w:tcBorders>
                    <w:top w:val="nil"/>
                    <w:left w:val="nil"/>
                    <w:bottom w:val="single" w:sz="4" w:space="0" w:color="auto"/>
                    <w:right w:val="single" w:sz="4" w:space="0" w:color="auto"/>
                  </w:tcBorders>
                  <w:shd w:val="clear" w:color="auto" w:fill="auto"/>
                  <w:noWrap/>
                  <w:vAlign w:val="bottom"/>
                  <w:hideMark/>
                </w:tcPr>
                <w:p w14:paraId="31EE981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-1.4</w:t>
                  </w:r>
                </w:p>
              </w:tc>
              <w:tc>
                <w:tcPr>
                  <w:tcW w:w="1720" w:type="dxa"/>
                  <w:tcBorders>
                    <w:top w:val="nil"/>
                    <w:left w:val="nil"/>
                    <w:bottom w:val="single" w:sz="4" w:space="0" w:color="auto"/>
                    <w:right w:val="single" w:sz="4" w:space="0" w:color="auto"/>
                  </w:tcBorders>
                  <w:shd w:val="clear" w:color="auto" w:fill="auto"/>
                  <w:noWrap/>
                  <w:vAlign w:val="bottom"/>
                  <w:hideMark/>
                </w:tcPr>
                <w:p w14:paraId="294CA848"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0.6</w:t>
                  </w:r>
                </w:p>
              </w:tc>
              <w:tc>
                <w:tcPr>
                  <w:tcW w:w="1720" w:type="dxa"/>
                  <w:tcBorders>
                    <w:top w:val="nil"/>
                    <w:left w:val="nil"/>
                    <w:bottom w:val="single" w:sz="4" w:space="0" w:color="auto"/>
                    <w:right w:val="single" w:sz="4" w:space="0" w:color="auto"/>
                  </w:tcBorders>
                  <w:shd w:val="clear" w:color="auto" w:fill="auto"/>
                  <w:noWrap/>
                  <w:vAlign w:val="bottom"/>
                  <w:hideMark/>
                </w:tcPr>
                <w:p w14:paraId="7CE09F67"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1.6</w:t>
                  </w:r>
                </w:p>
              </w:tc>
            </w:tr>
            <w:tr w:rsidR="002E7DA0" w:rsidRPr="004D3F2B" w14:paraId="2E4FCA12"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1425D9C"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2021</w:t>
                  </w:r>
                </w:p>
              </w:tc>
              <w:tc>
                <w:tcPr>
                  <w:tcW w:w="1720" w:type="dxa"/>
                  <w:tcBorders>
                    <w:top w:val="nil"/>
                    <w:left w:val="nil"/>
                    <w:bottom w:val="single" w:sz="4" w:space="0" w:color="auto"/>
                    <w:right w:val="single" w:sz="4" w:space="0" w:color="auto"/>
                  </w:tcBorders>
                  <w:shd w:val="clear" w:color="auto" w:fill="auto"/>
                  <w:noWrap/>
                  <w:vAlign w:val="bottom"/>
                  <w:hideMark/>
                </w:tcPr>
                <w:p w14:paraId="5A0DED42"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1.4</w:t>
                  </w:r>
                </w:p>
              </w:tc>
              <w:tc>
                <w:tcPr>
                  <w:tcW w:w="1720" w:type="dxa"/>
                  <w:tcBorders>
                    <w:top w:val="nil"/>
                    <w:left w:val="nil"/>
                    <w:bottom w:val="single" w:sz="4" w:space="0" w:color="auto"/>
                    <w:right w:val="single" w:sz="4" w:space="0" w:color="auto"/>
                  </w:tcBorders>
                  <w:shd w:val="clear" w:color="auto" w:fill="auto"/>
                  <w:noWrap/>
                  <w:vAlign w:val="bottom"/>
                  <w:hideMark/>
                </w:tcPr>
                <w:p w14:paraId="6353D0A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2.4</w:t>
                  </w:r>
                </w:p>
              </w:tc>
              <w:tc>
                <w:tcPr>
                  <w:tcW w:w="1720" w:type="dxa"/>
                  <w:tcBorders>
                    <w:top w:val="nil"/>
                    <w:left w:val="nil"/>
                    <w:bottom w:val="single" w:sz="4" w:space="0" w:color="auto"/>
                    <w:right w:val="single" w:sz="4" w:space="0" w:color="auto"/>
                  </w:tcBorders>
                  <w:shd w:val="clear" w:color="auto" w:fill="auto"/>
                  <w:noWrap/>
                  <w:vAlign w:val="bottom"/>
                  <w:hideMark/>
                </w:tcPr>
                <w:p w14:paraId="21792C34"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3.2</w:t>
                  </w:r>
                </w:p>
              </w:tc>
              <w:tc>
                <w:tcPr>
                  <w:tcW w:w="1720" w:type="dxa"/>
                  <w:tcBorders>
                    <w:top w:val="nil"/>
                    <w:left w:val="nil"/>
                    <w:bottom w:val="single" w:sz="4" w:space="0" w:color="auto"/>
                    <w:right w:val="single" w:sz="4" w:space="0" w:color="auto"/>
                  </w:tcBorders>
                  <w:shd w:val="clear" w:color="auto" w:fill="auto"/>
                  <w:noWrap/>
                  <w:vAlign w:val="bottom"/>
                  <w:hideMark/>
                </w:tcPr>
                <w:p w14:paraId="40A198F0"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5.4</w:t>
                  </w:r>
                </w:p>
              </w:tc>
              <w:tc>
                <w:tcPr>
                  <w:tcW w:w="1720" w:type="dxa"/>
                  <w:tcBorders>
                    <w:top w:val="nil"/>
                    <w:left w:val="nil"/>
                    <w:bottom w:val="single" w:sz="4" w:space="0" w:color="auto"/>
                    <w:right w:val="single" w:sz="4" w:space="0" w:color="auto"/>
                  </w:tcBorders>
                  <w:shd w:val="clear" w:color="auto" w:fill="auto"/>
                  <w:noWrap/>
                  <w:vAlign w:val="bottom"/>
                  <w:hideMark/>
                </w:tcPr>
                <w:p w14:paraId="1275050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7.4</w:t>
                  </w:r>
                </w:p>
              </w:tc>
            </w:tr>
            <w:tr w:rsidR="002E7DA0" w:rsidRPr="004D3F2B" w14:paraId="3A76C68B" w14:textId="77777777" w:rsidTr="00CF7636">
              <w:trPr>
                <w:trHeight w:val="290"/>
              </w:trPr>
              <w:tc>
                <w:tcPr>
                  <w:tcW w:w="172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607E22A" w14:textId="77777777" w:rsidR="002E7DA0" w:rsidRPr="00CF7636" w:rsidRDefault="002E7DA0" w:rsidP="002E7DA0">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2022</w:t>
                  </w:r>
                </w:p>
              </w:tc>
              <w:tc>
                <w:tcPr>
                  <w:tcW w:w="1720" w:type="dxa"/>
                  <w:tcBorders>
                    <w:top w:val="nil"/>
                    <w:left w:val="nil"/>
                    <w:bottom w:val="single" w:sz="4" w:space="0" w:color="auto"/>
                    <w:right w:val="single" w:sz="4" w:space="0" w:color="auto"/>
                  </w:tcBorders>
                  <w:shd w:val="clear" w:color="auto" w:fill="auto"/>
                  <w:noWrap/>
                  <w:vAlign w:val="bottom"/>
                  <w:hideMark/>
                </w:tcPr>
                <w:p w14:paraId="377C45F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1.8</w:t>
                  </w:r>
                </w:p>
              </w:tc>
              <w:tc>
                <w:tcPr>
                  <w:tcW w:w="1720" w:type="dxa"/>
                  <w:tcBorders>
                    <w:top w:val="nil"/>
                    <w:left w:val="nil"/>
                    <w:bottom w:val="single" w:sz="4" w:space="0" w:color="auto"/>
                    <w:right w:val="single" w:sz="4" w:space="0" w:color="auto"/>
                  </w:tcBorders>
                  <w:shd w:val="clear" w:color="auto" w:fill="auto"/>
                  <w:noWrap/>
                  <w:vAlign w:val="bottom"/>
                  <w:hideMark/>
                </w:tcPr>
                <w:p w14:paraId="3595E7DB"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2</w:t>
                  </w:r>
                </w:p>
              </w:tc>
              <w:tc>
                <w:tcPr>
                  <w:tcW w:w="1720" w:type="dxa"/>
                  <w:tcBorders>
                    <w:top w:val="nil"/>
                    <w:left w:val="nil"/>
                    <w:bottom w:val="single" w:sz="4" w:space="0" w:color="auto"/>
                    <w:right w:val="single" w:sz="4" w:space="0" w:color="auto"/>
                  </w:tcBorders>
                  <w:shd w:val="clear" w:color="auto" w:fill="auto"/>
                  <w:noWrap/>
                  <w:vAlign w:val="bottom"/>
                  <w:hideMark/>
                </w:tcPr>
                <w:p w14:paraId="52EC9A71"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3.8</w:t>
                  </w:r>
                </w:p>
              </w:tc>
              <w:tc>
                <w:tcPr>
                  <w:tcW w:w="1720" w:type="dxa"/>
                  <w:tcBorders>
                    <w:top w:val="nil"/>
                    <w:left w:val="nil"/>
                    <w:bottom w:val="single" w:sz="4" w:space="0" w:color="auto"/>
                    <w:right w:val="single" w:sz="4" w:space="0" w:color="auto"/>
                  </w:tcBorders>
                  <w:shd w:val="clear" w:color="auto" w:fill="auto"/>
                  <w:noWrap/>
                  <w:vAlign w:val="bottom"/>
                  <w:hideMark/>
                </w:tcPr>
                <w:p w14:paraId="59EDD1BE"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10.5</w:t>
                  </w:r>
                </w:p>
              </w:tc>
              <w:tc>
                <w:tcPr>
                  <w:tcW w:w="1720" w:type="dxa"/>
                  <w:tcBorders>
                    <w:top w:val="nil"/>
                    <w:left w:val="nil"/>
                    <w:bottom w:val="single" w:sz="4" w:space="0" w:color="auto"/>
                    <w:right w:val="single" w:sz="4" w:space="0" w:color="auto"/>
                  </w:tcBorders>
                  <w:shd w:val="clear" w:color="auto" w:fill="auto"/>
                  <w:noWrap/>
                  <w:vAlign w:val="bottom"/>
                  <w:hideMark/>
                </w:tcPr>
                <w:p w14:paraId="1394470F" w14:textId="77777777" w:rsidR="002E7DA0" w:rsidRPr="004D3F2B" w:rsidRDefault="002E7DA0" w:rsidP="002E7DA0">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6.4</w:t>
                  </w:r>
                </w:p>
              </w:tc>
            </w:tr>
          </w:tbl>
          <w:p w14:paraId="62C0773F" w14:textId="02D25BFB" w:rsidR="00A0488C" w:rsidRPr="00FB5471" w:rsidRDefault="00A0488C" w:rsidP="00FB5471">
            <w:pPr>
              <w:pStyle w:val="Web"/>
              <w:spacing w:before="0" w:beforeAutospacing="0" w:after="0" w:afterAutospacing="0" w:line="360" w:lineRule="atLeast"/>
              <w:rPr>
                <w:rFonts w:eastAsia="Times New Roman"/>
                <w:color w:val="000000"/>
                <w:lang w:eastAsia="zh-CN"/>
              </w:rPr>
            </w:pPr>
            <w:r w:rsidRPr="00CF7636">
              <w:rPr>
                <w:bCs/>
                <w:color w:val="000000" w:themeColor="text1"/>
              </w:rPr>
              <w:t xml:space="preserve">Sources: </w:t>
            </w:r>
            <w:r w:rsidR="00A6671F" w:rsidRPr="004D3F2B">
              <w:rPr>
                <w:color w:val="2C3E50"/>
                <w:shd w:val="clear" w:color="auto" w:fill="FFFFFF"/>
              </w:rPr>
              <w:t>www.imf.org, n.d.</w:t>
            </w:r>
            <w:r w:rsidR="00FB5471">
              <w:rPr>
                <w:rFonts w:cs="Calibri"/>
                <w:color w:val="000000"/>
                <w:sz w:val="27"/>
                <w:szCs w:val="27"/>
              </w:rPr>
              <w:t xml:space="preserve"> </w:t>
            </w:r>
            <w:r w:rsidR="00FB5471" w:rsidRPr="00FB5471">
              <w:rPr>
                <w:rFonts w:eastAsia="Times New Roman"/>
                <w:color w:val="000000"/>
                <w:lang w:eastAsia="zh-CN"/>
              </w:rPr>
              <w:t>https://www.imf.org/external/datamapper/PCPIEPCH@WEO/OEMDC/ADVEC/WEOWORLD</w:t>
            </w:r>
          </w:p>
        </w:tc>
      </w:tr>
    </w:tbl>
    <w:p w14:paraId="47E4EDA6" w14:textId="77777777" w:rsidR="00783714" w:rsidRPr="004D3F2B" w:rsidRDefault="00783714" w:rsidP="00C65A3F">
      <w:pPr>
        <w:adjustRightInd w:val="0"/>
        <w:snapToGrid w:val="0"/>
        <w:jc w:val="both"/>
        <w:rPr>
          <w:rFonts w:ascii="Times New Roman" w:hAnsi="Times New Roman"/>
          <w:bCs/>
          <w:color w:val="0000CC"/>
          <w:szCs w:val="24"/>
        </w:rPr>
      </w:pPr>
    </w:p>
    <w:p w14:paraId="4CD1644F" w14:textId="77777777" w:rsidR="00D712F4" w:rsidRPr="004D3F2B" w:rsidRDefault="00D712F4" w:rsidP="00B953FD">
      <w:pPr>
        <w:adjustRightInd w:val="0"/>
        <w:snapToGrid w:val="0"/>
        <w:jc w:val="both"/>
        <w:rPr>
          <w:rFonts w:ascii="Times New Roman" w:hAnsi="Times New Roman"/>
          <w:bCs/>
          <w:color w:val="0000CC"/>
          <w:szCs w:val="24"/>
        </w:rPr>
      </w:pPr>
    </w:p>
    <w:p w14:paraId="7EE23393" w14:textId="4163BCC4" w:rsidR="00745834" w:rsidRPr="004D3F2B" w:rsidRDefault="00745834">
      <w:pPr>
        <w:widowControl/>
        <w:rPr>
          <w:rFonts w:ascii="Times New Roman" w:hAnsi="Times New Roman"/>
          <w:bCs/>
          <w:color w:val="0000CC"/>
          <w:szCs w:val="24"/>
        </w:rPr>
      </w:pPr>
      <w:r w:rsidRPr="004D3F2B">
        <w:rPr>
          <w:rFonts w:ascii="Times New Roman" w:hAnsi="Times New Roman"/>
          <w:bCs/>
          <w:color w:val="0000CC"/>
          <w:szCs w:val="24"/>
        </w:rPr>
        <w:br w:type="page"/>
      </w:r>
    </w:p>
    <w:p w14:paraId="2A4D7A8E" w14:textId="570B8DB5" w:rsidR="003B4B52" w:rsidRPr="004D3F2B" w:rsidRDefault="002B60E5" w:rsidP="00B953FD">
      <w:pPr>
        <w:adjustRightInd w:val="0"/>
        <w:snapToGrid w:val="0"/>
        <w:jc w:val="both"/>
        <w:rPr>
          <w:rFonts w:ascii="Times New Roman" w:hAnsi="Times New Roman"/>
          <w:b/>
          <w:bCs/>
          <w:szCs w:val="24"/>
        </w:rPr>
      </w:pPr>
      <w:r w:rsidRPr="004D3F2B">
        <w:rPr>
          <w:rFonts w:ascii="Times New Roman" w:hAnsi="Times New Roman"/>
          <w:b/>
          <w:bCs/>
          <w:szCs w:val="24"/>
        </w:rPr>
        <w:lastRenderedPageBreak/>
        <w:t>3 Analysis and Discussion</w:t>
      </w:r>
    </w:p>
    <w:p w14:paraId="71483A62" w14:textId="4F9307B8" w:rsidR="002B60E5" w:rsidRPr="004D3F2B" w:rsidRDefault="002B60E5" w:rsidP="00B953FD">
      <w:pPr>
        <w:adjustRightInd w:val="0"/>
        <w:snapToGrid w:val="0"/>
        <w:jc w:val="both"/>
        <w:rPr>
          <w:rFonts w:ascii="Times New Roman" w:hAnsi="Times New Roman"/>
          <w:b/>
          <w:bCs/>
          <w:szCs w:val="24"/>
        </w:rPr>
      </w:pPr>
    </w:p>
    <w:p w14:paraId="569C0911" w14:textId="7BA51A06" w:rsidR="002B60E5" w:rsidRPr="004D3F2B" w:rsidRDefault="009F791F" w:rsidP="00B50065">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This </w:t>
      </w:r>
      <w:r w:rsidR="00B50065" w:rsidRPr="004D3F2B">
        <w:rPr>
          <w:rFonts w:ascii="Times New Roman" w:hAnsi="Times New Roman"/>
          <w:bCs/>
          <w:szCs w:val="24"/>
        </w:rPr>
        <w:t>section</w:t>
      </w:r>
      <w:r>
        <w:rPr>
          <w:rFonts w:ascii="Times New Roman" w:hAnsi="Times New Roman"/>
          <w:bCs/>
          <w:szCs w:val="24"/>
        </w:rPr>
        <w:t xml:space="preserve"> is used to present the</w:t>
      </w:r>
      <w:r w:rsidR="00B50065" w:rsidRPr="004D3F2B">
        <w:rPr>
          <w:rFonts w:ascii="Times New Roman" w:hAnsi="Times New Roman"/>
          <w:bCs/>
          <w:szCs w:val="24"/>
        </w:rPr>
        <w:t xml:space="preserve"> analy</w:t>
      </w:r>
      <w:r>
        <w:rPr>
          <w:rFonts w:ascii="Times New Roman" w:hAnsi="Times New Roman"/>
          <w:bCs/>
          <w:szCs w:val="24"/>
        </w:rPr>
        <w:t>sis</w:t>
      </w:r>
      <w:r w:rsidR="00B50065" w:rsidRPr="004D3F2B">
        <w:rPr>
          <w:rFonts w:ascii="Times New Roman" w:hAnsi="Times New Roman"/>
          <w:bCs/>
          <w:szCs w:val="24"/>
        </w:rPr>
        <w:t xml:space="preserve"> </w:t>
      </w:r>
      <w:r w:rsidR="008A7573">
        <w:rPr>
          <w:rFonts w:ascii="Times New Roman" w:hAnsi="Times New Roman"/>
          <w:bCs/>
          <w:szCs w:val="24"/>
        </w:rPr>
        <w:t xml:space="preserve">of </w:t>
      </w:r>
      <w:r w:rsidR="00B50065" w:rsidRPr="004D3F2B">
        <w:rPr>
          <w:rFonts w:ascii="Times New Roman" w:hAnsi="Times New Roman"/>
          <w:bCs/>
          <w:szCs w:val="24"/>
        </w:rPr>
        <w:t xml:space="preserve">the data </w:t>
      </w:r>
      <w:r>
        <w:rPr>
          <w:rFonts w:ascii="Times New Roman" w:hAnsi="Times New Roman"/>
          <w:bCs/>
          <w:szCs w:val="24"/>
        </w:rPr>
        <w:t xml:space="preserve">collected in order to get empirical evidence to </w:t>
      </w:r>
      <w:r w:rsidR="006D093C">
        <w:rPr>
          <w:rFonts w:ascii="Times New Roman" w:hAnsi="Times New Roman"/>
          <w:bCs/>
          <w:szCs w:val="24"/>
        </w:rPr>
        <w:t>formulate s</w:t>
      </w:r>
      <w:r w:rsidR="006D093C" w:rsidRPr="006D093C">
        <w:rPr>
          <w:rFonts w:ascii="Times New Roman" w:hAnsi="Times New Roman"/>
          <w:bCs/>
          <w:szCs w:val="24"/>
        </w:rPr>
        <w:t xml:space="preserve">trategic guidance </w:t>
      </w:r>
      <w:r w:rsidR="008A7573">
        <w:rPr>
          <w:rFonts w:ascii="Times New Roman" w:hAnsi="Times New Roman"/>
          <w:bCs/>
          <w:szCs w:val="24"/>
        </w:rPr>
        <w:t xml:space="preserve">for </w:t>
      </w:r>
      <w:r w:rsidR="006D093C" w:rsidRPr="006D093C">
        <w:rPr>
          <w:rFonts w:ascii="Times New Roman" w:hAnsi="Times New Roman"/>
          <w:bCs/>
          <w:szCs w:val="24"/>
        </w:rPr>
        <w:t>the company</w:t>
      </w:r>
      <w:r w:rsidR="008A7573">
        <w:rPr>
          <w:rFonts w:ascii="Times New Roman" w:hAnsi="Times New Roman"/>
          <w:bCs/>
          <w:szCs w:val="24"/>
        </w:rPr>
        <w:t xml:space="preserve"> to </w:t>
      </w:r>
      <w:r w:rsidR="00922E84">
        <w:rPr>
          <w:rFonts w:ascii="Times New Roman" w:hAnsi="Times New Roman"/>
          <w:bCs/>
          <w:szCs w:val="24"/>
        </w:rPr>
        <w:t>expand</w:t>
      </w:r>
      <w:r w:rsidR="008A7573">
        <w:rPr>
          <w:rFonts w:ascii="Times New Roman" w:hAnsi="Times New Roman"/>
          <w:bCs/>
          <w:szCs w:val="24"/>
        </w:rPr>
        <w:t xml:space="preserve"> its</w:t>
      </w:r>
      <w:r w:rsidR="006D093C" w:rsidRPr="006D093C">
        <w:rPr>
          <w:rFonts w:ascii="Times New Roman" w:hAnsi="Times New Roman"/>
          <w:bCs/>
          <w:szCs w:val="24"/>
        </w:rPr>
        <w:t xml:space="preserve"> global business</w:t>
      </w:r>
      <w:r w:rsidR="00B50065" w:rsidRPr="004D3F2B">
        <w:rPr>
          <w:rFonts w:ascii="Times New Roman" w:hAnsi="Times New Roman"/>
          <w:bCs/>
          <w:szCs w:val="24"/>
        </w:rPr>
        <w:t>. Th</w:t>
      </w:r>
      <w:r w:rsidR="008A7573">
        <w:rPr>
          <w:rFonts w:ascii="Times New Roman" w:hAnsi="Times New Roman"/>
          <w:bCs/>
          <w:szCs w:val="24"/>
        </w:rPr>
        <w:t xml:space="preserve">e analyses </w:t>
      </w:r>
      <w:r w:rsidR="00B50065" w:rsidRPr="004D3F2B">
        <w:rPr>
          <w:rFonts w:ascii="Times New Roman" w:hAnsi="Times New Roman"/>
          <w:bCs/>
          <w:szCs w:val="24"/>
        </w:rPr>
        <w:t xml:space="preserve">include the Consumer Price Index (CPI) of various countries, the correlation coefficients </w:t>
      </w:r>
      <w:r w:rsidR="008A7573">
        <w:rPr>
          <w:rFonts w:ascii="Times New Roman" w:hAnsi="Times New Roman"/>
          <w:bCs/>
          <w:szCs w:val="24"/>
        </w:rPr>
        <w:t xml:space="preserve">of inflation rates across </w:t>
      </w:r>
      <w:r w:rsidR="00B50065" w:rsidRPr="004D3F2B">
        <w:rPr>
          <w:rFonts w:ascii="Times New Roman" w:hAnsi="Times New Roman"/>
          <w:bCs/>
          <w:szCs w:val="24"/>
        </w:rPr>
        <w:t xml:space="preserve">countries, and the analysis of the average and standard deviations </w:t>
      </w:r>
      <w:r w:rsidR="008A7573">
        <w:rPr>
          <w:rFonts w:ascii="Times New Roman" w:hAnsi="Times New Roman"/>
          <w:bCs/>
          <w:szCs w:val="24"/>
        </w:rPr>
        <w:t xml:space="preserve">of inflation rates for a specific time span </w:t>
      </w:r>
      <w:r w:rsidR="00B50065" w:rsidRPr="004D3F2B">
        <w:rPr>
          <w:rFonts w:ascii="Times New Roman" w:hAnsi="Times New Roman"/>
          <w:bCs/>
          <w:szCs w:val="24"/>
        </w:rPr>
        <w:t xml:space="preserve">each </w:t>
      </w:r>
      <w:r w:rsidR="00F135F2">
        <w:rPr>
          <w:rFonts w:ascii="Times New Roman" w:hAnsi="Times New Roman"/>
          <w:bCs/>
          <w:szCs w:val="24"/>
        </w:rPr>
        <w:t xml:space="preserve">of the selected </w:t>
      </w:r>
      <w:r w:rsidR="00B50065" w:rsidRPr="004D3F2B">
        <w:rPr>
          <w:rFonts w:ascii="Times New Roman" w:hAnsi="Times New Roman"/>
          <w:bCs/>
          <w:szCs w:val="24"/>
        </w:rPr>
        <w:t>countr</w:t>
      </w:r>
      <w:r w:rsidR="00F135F2">
        <w:rPr>
          <w:rFonts w:ascii="Times New Roman" w:hAnsi="Times New Roman"/>
          <w:bCs/>
          <w:szCs w:val="24"/>
        </w:rPr>
        <w:t>ies</w:t>
      </w:r>
      <w:r w:rsidR="00B50065" w:rsidRPr="004D3F2B">
        <w:rPr>
          <w:rFonts w:ascii="Times New Roman" w:hAnsi="Times New Roman"/>
          <w:bCs/>
          <w:szCs w:val="24"/>
        </w:rPr>
        <w:t>.</w:t>
      </w:r>
      <w:r w:rsidR="0078606D" w:rsidRPr="0078606D">
        <w:t xml:space="preserve"> </w:t>
      </w:r>
      <w:r w:rsidR="00F135F2">
        <w:rPr>
          <w:rFonts w:ascii="Times New Roman" w:hAnsi="Times New Roman"/>
          <w:bCs/>
          <w:szCs w:val="24"/>
        </w:rPr>
        <w:t xml:space="preserve">Since </w:t>
      </w:r>
      <w:r w:rsidR="0078606D" w:rsidRPr="0078606D">
        <w:rPr>
          <w:rFonts w:ascii="Times New Roman" w:hAnsi="Times New Roman"/>
          <w:bCs/>
          <w:szCs w:val="24"/>
        </w:rPr>
        <w:t xml:space="preserve">long-term data is used to analyze overall trends, but the analysis of more recent data can better predict future movements, </w:t>
      </w:r>
      <w:r w:rsidR="00F135F2">
        <w:rPr>
          <w:rFonts w:ascii="Times New Roman" w:hAnsi="Times New Roman"/>
          <w:bCs/>
          <w:szCs w:val="24"/>
        </w:rPr>
        <w:t>local as well as global trends were analyzed</w:t>
      </w:r>
      <w:r w:rsidR="0078606D" w:rsidRPr="0078606D">
        <w:rPr>
          <w:rFonts w:ascii="Times New Roman" w:hAnsi="Times New Roman"/>
          <w:bCs/>
          <w:szCs w:val="24"/>
        </w:rPr>
        <w:t>.</w:t>
      </w:r>
    </w:p>
    <w:p w14:paraId="0BA29C30" w14:textId="77777777" w:rsidR="006D093C" w:rsidRPr="004D3F2B" w:rsidRDefault="006D093C" w:rsidP="00B953FD">
      <w:pPr>
        <w:adjustRightInd w:val="0"/>
        <w:snapToGrid w:val="0"/>
        <w:jc w:val="both"/>
        <w:rPr>
          <w:rFonts w:ascii="Times New Roman" w:hAnsi="Times New Roman"/>
          <w:b/>
          <w:bCs/>
          <w:szCs w:val="24"/>
        </w:rPr>
      </w:pPr>
    </w:p>
    <w:p w14:paraId="37F61B70" w14:textId="6D9D6034" w:rsidR="00C36191" w:rsidRPr="004D3F2B" w:rsidRDefault="002B60E5" w:rsidP="00C36191">
      <w:pPr>
        <w:adjustRightInd w:val="0"/>
        <w:snapToGrid w:val="0"/>
        <w:jc w:val="both"/>
        <w:rPr>
          <w:rFonts w:ascii="Times New Roman" w:hAnsi="Times New Roman"/>
          <w:b/>
          <w:szCs w:val="24"/>
        </w:rPr>
      </w:pPr>
      <w:r w:rsidRPr="004D3F2B">
        <w:rPr>
          <w:rFonts w:ascii="Times New Roman" w:hAnsi="Times New Roman"/>
          <w:b/>
          <w:bCs/>
          <w:szCs w:val="24"/>
        </w:rPr>
        <w:t>3.1</w:t>
      </w:r>
      <w:r w:rsidR="00B50065" w:rsidRPr="004D3F2B">
        <w:rPr>
          <w:rFonts w:ascii="Times New Roman" w:hAnsi="Times New Roman"/>
          <w:b/>
          <w:bCs/>
          <w:szCs w:val="24"/>
        </w:rPr>
        <w:t xml:space="preserve"> </w:t>
      </w:r>
      <w:bookmarkStart w:id="4" w:name="_Hlk156036807"/>
      <w:r w:rsidR="002217D0" w:rsidRPr="004D3F2B">
        <w:rPr>
          <w:rFonts w:ascii="Times New Roman" w:hAnsi="Times New Roman"/>
          <w:b/>
          <w:bCs/>
          <w:szCs w:val="24"/>
        </w:rPr>
        <w:t>Pattern of the global trend movement</w:t>
      </w:r>
      <w:r w:rsidR="006D093C">
        <w:rPr>
          <w:rFonts w:ascii="Times New Roman" w:hAnsi="Times New Roman"/>
          <w:b/>
          <w:bCs/>
          <w:szCs w:val="24"/>
        </w:rPr>
        <w:t>s</w:t>
      </w:r>
      <w:r w:rsidR="002217D0" w:rsidRPr="004D3F2B">
        <w:rPr>
          <w:rFonts w:ascii="Times New Roman" w:hAnsi="Times New Roman"/>
          <w:b/>
          <w:szCs w:val="24"/>
        </w:rPr>
        <w:t xml:space="preserve"> </w:t>
      </w:r>
    </w:p>
    <w:p w14:paraId="528CF1A2" w14:textId="77777777" w:rsidR="002217D0" w:rsidRPr="004D3F2B" w:rsidRDefault="002217D0" w:rsidP="00C36191">
      <w:pPr>
        <w:adjustRightInd w:val="0"/>
        <w:snapToGrid w:val="0"/>
        <w:jc w:val="both"/>
        <w:rPr>
          <w:rFonts w:ascii="Times New Roman" w:hAnsi="Times New Roman"/>
          <w:bCs/>
          <w:color w:val="0000CC"/>
          <w:szCs w:val="24"/>
        </w:rPr>
      </w:pPr>
    </w:p>
    <w:p w14:paraId="3DC5C1D8" w14:textId="4054BC4C" w:rsidR="00443886" w:rsidRDefault="00443886" w:rsidP="00DD79F6">
      <w:pPr>
        <w:adjustRightInd w:val="0"/>
        <w:snapToGrid w:val="0"/>
        <w:spacing w:line="360" w:lineRule="auto"/>
        <w:jc w:val="both"/>
        <w:rPr>
          <w:rFonts w:ascii="Times New Roman" w:hAnsi="Times New Roman"/>
          <w:bCs/>
          <w:szCs w:val="24"/>
        </w:rPr>
      </w:pPr>
      <w:r>
        <w:rPr>
          <w:rFonts w:ascii="Times New Roman" w:hAnsi="Times New Roman"/>
          <w:bCs/>
          <w:szCs w:val="24"/>
        </w:rPr>
        <w:t>3.1.1 Graphical analysis</w:t>
      </w:r>
    </w:p>
    <w:p w14:paraId="22468F0C" w14:textId="3EB6242E" w:rsidR="0027453D" w:rsidRPr="004D3F2B" w:rsidRDefault="0027453D" w:rsidP="00DD79F6">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Figure 1 Time plot of </w:t>
      </w:r>
      <w:r w:rsidR="006D093C">
        <w:rPr>
          <w:rFonts w:ascii="Times New Roman" w:hAnsi="Times New Roman"/>
          <w:bCs/>
          <w:szCs w:val="24"/>
        </w:rPr>
        <w:t>consumer i</w:t>
      </w:r>
      <w:r w:rsidR="00C52F52" w:rsidRPr="004D3F2B">
        <w:rPr>
          <w:rFonts w:ascii="Times New Roman" w:hAnsi="Times New Roman"/>
          <w:bCs/>
          <w:szCs w:val="24"/>
        </w:rPr>
        <w:t>nflation rate</w:t>
      </w:r>
      <w:r w:rsidR="00F135F2">
        <w:rPr>
          <w:rFonts w:ascii="Times New Roman" w:hAnsi="Times New Roman"/>
          <w:bCs/>
          <w:szCs w:val="24"/>
        </w:rPr>
        <w:t>s</w:t>
      </w:r>
      <w:r w:rsidR="00C52F52" w:rsidRPr="004D3F2B">
        <w:rPr>
          <w:rFonts w:ascii="Times New Roman" w:hAnsi="Times New Roman"/>
          <w:bCs/>
          <w:szCs w:val="24"/>
        </w:rPr>
        <w:t xml:space="preserve"> </w:t>
      </w:r>
      <w:r w:rsidR="00511D68" w:rsidRPr="004D3F2B">
        <w:rPr>
          <w:rFonts w:ascii="Times New Roman" w:hAnsi="Times New Roman"/>
          <w:bCs/>
          <w:szCs w:val="24"/>
        </w:rPr>
        <w:t>in the selected countries</w:t>
      </w:r>
      <w:r w:rsidR="00A5780D" w:rsidRPr="004D3F2B">
        <w:rPr>
          <w:rFonts w:ascii="Times New Roman" w:hAnsi="Times New Roman"/>
          <w:bCs/>
          <w:szCs w:val="24"/>
        </w:rPr>
        <w:t>: 200</w:t>
      </w:r>
      <w:r w:rsidR="00C52F52" w:rsidRPr="004D3F2B">
        <w:rPr>
          <w:rFonts w:ascii="Times New Roman" w:hAnsi="Times New Roman"/>
          <w:bCs/>
          <w:szCs w:val="24"/>
        </w:rPr>
        <w:t>2</w:t>
      </w:r>
      <w:r w:rsidR="00A5780D" w:rsidRPr="004D3F2B">
        <w:rPr>
          <w:rFonts w:ascii="Times New Roman" w:hAnsi="Times New Roman"/>
          <w:bCs/>
          <w:szCs w:val="24"/>
        </w:rPr>
        <w:t xml:space="preserve"> to 2022</w:t>
      </w:r>
      <w:r w:rsidR="006D093C">
        <w:rPr>
          <w:rFonts w:ascii="Times New Roman" w:hAnsi="Times New Roman"/>
          <w:bCs/>
          <w:szCs w:val="24"/>
        </w:rPr>
        <w:t xml:space="preserve"> (%) </w:t>
      </w:r>
    </w:p>
    <w:tbl>
      <w:tblPr>
        <w:tblStyle w:val="af6"/>
        <w:tblW w:w="0" w:type="auto"/>
        <w:tblCellMar>
          <w:left w:w="28" w:type="dxa"/>
          <w:right w:w="28" w:type="dxa"/>
        </w:tblCellMar>
        <w:tblLook w:val="04A0" w:firstRow="1" w:lastRow="0" w:firstColumn="1" w:lastColumn="0" w:noHBand="0" w:noVBand="1"/>
      </w:tblPr>
      <w:tblGrid>
        <w:gridCol w:w="9386"/>
      </w:tblGrid>
      <w:tr w:rsidR="0027453D" w:rsidRPr="004D3F2B" w14:paraId="02E14E72" w14:textId="77777777" w:rsidTr="000B4A97">
        <w:trPr>
          <w:trHeight w:val="5718"/>
        </w:trPr>
        <w:tc>
          <w:tcPr>
            <w:tcW w:w="9126" w:type="dxa"/>
            <w:vAlign w:val="center"/>
          </w:tcPr>
          <w:p w14:paraId="0A47E322" w14:textId="2756F23D" w:rsidR="0027453D" w:rsidRPr="004D3F2B" w:rsidRDefault="000B4A97" w:rsidP="009B217A">
            <w:pPr>
              <w:adjustRightInd w:val="0"/>
              <w:snapToGrid w:val="0"/>
              <w:spacing w:line="360" w:lineRule="auto"/>
              <w:jc w:val="center"/>
              <w:rPr>
                <w:rFonts w:ascii="Times New Roman" w:hAnsi="Times New Roman"/>
                <w:bCs/>
                <w:color w:val="0000CC"/>
                <w:szCs w:val="24"/>
              </w:rPr>
            </w:pPr>
            <w:r w:rsidRPr="004D3F2B">
              <w:rPr>
                <w:rFonts w:ascii="Times New Roman" w:hAnsi="Times New Roman"/>
                <w:noProof/>
                <w:szCs w:val="24"/>
              </w:rPr>
              <w:drawing>
                <wp:inline distT="0" distB="0" distL="0" distR="0" wp14:anchorId="4D97E2FB" wp14:editId="06463EC6">
                  <wp:extent cx="5906135" cy="3962400"/>
                  <wp:effectExtent l="0" t="0" r="18415" b="0"/>
                  <wp:docPr id="1115858389" name="圖表 1">
                    <a:extLst xmlns:a="http://schemas.openxmlformats.org/drawingml/2006/main">
                      <a:ext uri="{FF2B5EF4-FFF2-40B4-BE49-F238E27FC236}">
                        <a16:creationId xmlns:a16="http://schemas.microsoft.com/office/drawing/2014/main" id="{E721D677-DC70-016D-CCF0-75E7179E0E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c>
      </w:tr>
      <w:tr w:rsidR="0027453D" w:rsidRPr="004D3F2B" w14:paraId="2BD6A662" w14:textId="77777777" w:rsidTr="009B217A">
        <w:tblPrEx>
          <w:tblCellMar>
            <w:left w:w="108" w:type="dxa"/>
            <w:right w:w="108" w:type="dxa"/>
          </w:tblCellMar>
        </w:tblPrEx>
        <w:tc>
          <w:tcPr>
            <w:tcW w:w="9126" w:type="dxa"/>
            <w:vAlign w:val="center"/>
          </w:tcPr>
          <w:p w14:paraId="188B1CA5" w14:textId="70FBAADA" w:rsidR="0027453D" w:rsidRPr="004D3F2B" w:rsidRDefault="0027453D" w:rsidP="009B217A">
            <w:pPr>
              <w:adjustRightInd w:val="0"/>
              <w:snapToGrid w:val="0"/>
              <w:spacing w:line="360" w:lineRule="auto"/>
              <w:jc w:val="both"/>
              <w:rPr>
                <w:rFonts w:ascii="Times New Roman" w:hAnsi="Times New Roman"/>
                <w:bCs/>
                <w:color w:val="0000CC"/>
                <w:szCs w:val="24"/>
              </w:rPr>
            </w:pPr>
            <w:r w:rsidRPr="00CF7636">
              <w:rPr>
                <w:rFonts w:ascii="Times New Roman" w:hAnsi="Times New Roman"/>
                <w:bCs/>
                <w:color w:val="000000" w:themeColor="text1"/>
                <w:szCs w:val="24"/>
              </w:rPr>
              <w:t>Sources</w:t>
            </w:r>
            <w:r w:rsidR="00E846B0" w:rsidRPr="00CF7636">
              <w:rPr>
                <w:rFonts w:ascii="Times New Roman" w:hAnsi="Times New Roman"/>
                <w:bCs/>
                <w:color w:val="000000" w:themeColor="text1"/>
                <w:szCs w:val="24"/>
              </w:rPr>
              <w:t>:</w:t>
            </w:r>
            <w:r w:rsidR="000F73BB" w:rsidRPr="00CF7636">
              <w:rPr>
                <w:rFonts w:ascii="Times New Roman" w:hAnsi="Times New Roman"/>
                <w:bCs/>
                <w:color w:val="000000" w:themeColor="text1"/>
                <w:szCs w:val="24"/>
              </w:rPr>
              <w:t xml:space="preserve"> </w:t>
            </w:r>
            <w:r w:rsidR="006D093C">
              <w:rPr>
                <w:rFonts w:ascii="Times New Roman" w:hAnsi="Times New Roman"/>
                <w:color w:val="2C3E50"/>
                <w:szCs w:val="24"/>
                <w:shd w:val="clear" w:color="auto" w:fill="FFFFFF"/>
              </w:rPr>
              <w:t>Extracted from Table 1</w:t>
            </w:r>
          </w:p>
        </w:tc>
      </w:tr>
    </w:tbl>
    <w:p w14:paraId="42788078" w14:textId="77777777" w:rsidR="00B50065" w:rsidRPr="004D3F2B" w:rsidRDefault="00B50065" w:rsidP="00B50065">
      <w:pPr>
        <w:adjustRightInd w:val="0"/>
        <w:snapToGrid w:val="0"/>
        <w:spacing w:line="360" w:lineRule="auto"/>
        <w:jc w:val="both"/>
        <w:rPr>
          <w:rFonts w:ascii="Times New Roman" w:hAnsi="Times New Roman"/>
          <w:b/>
          <w:bCs/>
          <w:color w:val="000000" w:themeColor="text1"/>
          <w:szCs w:val="24"/>
        </w:rPr>
      </w:pPr>
      <w:bookmarkStart w:id="5" w:name="_Hlk156035799"/>
    </w:p>
    <w:p w14:paraId="6548BE70"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Analyzing the provided inflation rate data for the period of 2002 to 2022 for China, Hong Kong, Malaysia, the United Kingdom, and the United States, we can observe several periods where significant fluctuations occurred. It's important to link these fluctuations to global economic events, such as the 2008 financial crisis, and to examine their impact on inflation rates. Here's a summary of the trends and the associated literature:</w:t>
      </w:r>
    </w:p>
    <w:p w14:paraId="620AD66D" w14:textId="77777777" w:rsidR="00F135F2" w:rsidRDefault="00F135F2" w:rsidP="006874A6">
      <w:pPr>
        <w:pStyle w:val="HTML"/>
        <w:jc w:val="both"/>
        <w:rPr>
          <w:rFonts w:ascii="Times New Roman" w:hAnsi="Times New Roman" w:cs="Times New Roman"/>
          <w:bCs/>
          <w:color w:val="000000"/>
          <w:sz w:val="24"/>
          <w:szCs w:val="24"/>
        </w:rPr>
      </w:pPr>
    </w:p>
    <w:p w14:paraId="57F22D9A" w14:textId="4EBA7442"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Pre-2008 Financial Crisis (Up to 2007): Leading up to the 2008 financial crisis, there was a significant increase in inflation rates, particularly in China and Hong Kong, with China peaking at 6.6% in 2007. This period was characterized by a global economic boom, which was followed by the crisis that started in the US housing market, impacting economies worldwide and causing inflation rates to rise due to increased commodity prices and financial market instability (Lin et al., 2014).</w:t>
      </w:r>
    </w:p>
    <w:p w14:paraId="00CC49DC" w14:textId="77777777" w:rsidR="006874A6" w:rsidRPr="004D3F2B" w:rsidRDefault="006874A6" w:rsidP="006874A6">
      <w:pPr>
        <w:pStyle w:val="HTML"/>
        <w:jc w:val="both"/>
        <w:rPr>
          <w:rFonts w:ascii="Times New Roman" w:hAnsi="Times New Roman" w:cs="Times New Roman"/>
          <w:bCs/>
          <w:color w:val="000000"/>
          <w:sz w:val="24"/>
          <w:szCs w:val="24"/>
        </w:rPr>
      </w:pPr>
    </w:p>
    <w:p w14:paraId="383A3964"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2008 Financial Crisis and Immediate Aftermath (2008-2009): The financial crisis led to a decrease in inflation rates in 2008 and 2009 as the global economy faced a recession, reduced consumer demand, and a downturn in economic activities. The impact varied by country, with some experiencing deflationary pressures (Damian, 2009).</w:t>
      </w:r>
    </w:p>
    <w:p w14:paraId="2CB87B36" w14:textId="77777777" w:rsidR="006874A6" w:rsidRPr="004D3F2B" w:rsidRDefault="006874A6" w:rsidP="006874A6">
      <w:pPr>
        <w:pStyle w:val="HTML"/>
        <w:jc w:val="both"/>
        <w:rPr>
          <w:rFonts w:ascii="Times New Roman" w:hAnsi="Times New Roman" w:cs="Times New Roman"/>
          <w:bCs/>
          <w:color w:val="000000"/>
          <w:sz w:val="24"/>
          <w:szCs w:val="24"/>
        </w:rPr>
      </w:pPr>
    </w:p>
    <w:p w14:paraId="3C5B894E"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Post-Financial Crisis Recovery (2010-2011): Inflation rates rose again as economies started to recover from the crisis. This increase can be attributed to recovery efforts, including stimulus packages and monetary policy changes, which led to increased demand and rising prices (</w:t>
      </w:r>
      <w:proofErr w:type="spellStart"/>
      <w:r w:rsidRPr="004D3F2B">
        <w:rPr>
          <w:rFonts w:ascii="Times New Roman" w:hAnsi="Times New Roman" w:cs="Times New Roman"/>
          <w:bCs/>
          <w:color w:val="000000"/>
          <w:sz w:val="24"/>
          <w:szCs w:val="24"/>
        </w:rPr>
        <w:t>Fouejieu</w:t>
      </w:r>
      <w:proofErr w:type="spellEnd"/>
      <w:r w:rsidRPr="004D3F2B">
        <w:rPr>
          <w:rFonts w:ascii="Times New Roman" w:hAnsi="Times New Roman" w:cs="Times New Roman"/>
          <w:bCs/>
          <w:color w:val="000000"/>
          <w:sz w:val="24"/>
          <w:szCs w:val="24"/>
        </w:rPr>
        <w:t>, 2012).</w:t>
      </w:r>
    </w:p>
    <w:p w14:paraId="1EAF4224" w14:textId="77777777" w:rsidR="006874A6" w:rsidRPr="004D3F2B" w:rsidRDefault="006874A6" w:rsidP="006874A6">
      <w:pPr>
        <w:pStyle w:val="HTML"/>
        <w:jc w:val="both"/>
        <w:rPr>
          <w:rFonts w:ascii="Times New Roman" w:hAnsi="Times New Roman" w:cs="Times New Roman"/>
          <w:bCs/>
          <w:color w:val="000000"/>
          <w:sz w:val="24"/>
          <w:szCs w:val="24"/>
        </w:rPr>
      </w:pPr>
    </w:p>
    <w:p w14:paraId="44891986"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Post-2020 COVID-19 Pandemic (2020-2022): The COVID-19 pandemic caused significant economic disruptions, leading to fluctuations in inflation rates due to demand shocks, supply chain interruptions, and fiscal stimulus measures. The subsequent Russia-Ukraine conflict exacerbated these inflationary pressures, particularly in 2022, as seen in the sharp increase in inflation in the United Kingdom and the United States (</w:t>
      </w:r>
      <w:proofErr w:type="spellStart"/>
      <w:r w:rsidRPr="004D3F2B">
        <w:rPr>
          <w:rFonts w:ascii="Times New Roman" w:hAnsi="Times New Roman" w:cs="Times New Roman"/>
          <w:bCs/>
          <w:color w:val="000000"/>
          <w:sz w:val="24"/>
          <w:szCs w:val="24"/>
        </w:rPr>
        <w:t>Jałtuszyk</w:t>
      </w:r>
      <w:proofErr w:type="spellEnd"/>
      <w:r w:rsidRPr="004D3F2B">
        <w:rPr>
          <w:rFonts w:ascii="Times New Roman" w:hAnsi="Times New Roman" w:cs="Times New Roman"/>
          <w:bCs/>
          <w:color w:val="000000"/>
          <w:sz w:val="24"/>
          <w:szCs w:val="24"/>
        </w:rPr>
        <w:t>, 2023).</w:t>
      </w:r>
    </w:p>
    <w:p w14:paraId="5AA4F73B" w14:textId="77777777" w:rsidR="006874A6" w:rsidRPr="004D3F2B" w:rsidRDefault="006874A6" w:rsidP="006874A6">
      <w:pPr>
        <w:pStyle w:val="HTML"/>
        <w:jc w:val="both"/>
        <w:rPr>
          <w:rFonts w:ascii="Times New Roman" w:hAnsi="Times New Roman" w:cs="Times New Roman"/>
          <w:bCs/>
          <w:color w:val="000000"/>
          <w:sz w:val="24"/>
          <w:szCs w:val="24"/>
        </w:rPr>
      </w:pPr>
    </w:p>
    <w:p w14:paraId="619849D4" w14:textId="5D06F101" w:rsidR="006510B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 xml:space="preserve">In conclusion, the inflation rates in the reviewed regions from 2002 to 2022 show significant fluctuations that correspond to major global economic events such as the 2008 financial crisis and the COVID-19 pandemic. These events had profound impacts on inflation due to their influence on global commodity prices, financial markets, and economic policies across the world. </w:t>
      </w:r>
    </w:p>
    <w:p w14:paraId="6E589CA3" w14:textId="77777777" w:rsidR="006510BB" w:rsidRDefault="006510BB">
      <w:pPr>
        <w:widowControl/>
        <w:rPr>
          <w:rFonts w:ascii="Times New Roman" w:eastAsia="Times New Roman" w:hAnsi="Times New Roman"/>
          <w:bCs/>
          <w:color w:val="000000"/>
          <w:kern w:val="0"/>
          <w:szCs w:val="24"/>
        </w:rPr>
      </w:pPr>
      <w:r>
        <w:rPr>
          <w:rFonts w:ascii="Times New Roman" w:hAnsi="Times New Roman"/>
          <w:bCs/>
          <w:color w:val="000000"/>
          <w:szCs w:val="24"/>
        </w:rPr>
        <w:br w:type="page"/>
      </w:r>
    </w:p>
    <w:p w14:paraId="387426B1" w14:textId="73974ECD" w:rsidR="00443886" w:rsidRPr="004D3F2B" w:rsidRDefault="00443886" w:rsidP="00CF7636">
      <w:pPr>
        <w:pStyle w:val="HTML"/>
        <w:numPr>
          <w:ilvl w:val="2"/>
          <w:numId w:val="4"/>
        </w:numPr>
        <w:jc w:val="both"/>
        <w:rPr>
          <w:rFonts w:ascii="Times New Roman" w:eastAsiaTheme="minorEastAsia" w:hAnsi="Times New Roman" w:cs="Times New Roman"/>
          <w:bCs/>
          <w:color w:val="000000"/>
          <w:sz w:val="24"/>
          <w:szCs w:val="24"/>
        </w:rPr>
      </w:pPr>
      <w:r>
        <w:rPr>
          <w:rFonts w:ascii="Times New Roman" w:eastAsiaTheme="minorEastAsia" w:hAnsi="Times New Roman" w:cs="Times New Roman"/>
          <w:bCs/>
          <w:color w:val="000000"/>
          <w:sz w:val="24"/>
          <w:szCs w:val="24"/>
        </w:rPr>
        <w:lastRenderedPageBreak/>
        <w:t>Major statistics</w:t>
      </w:r>
    </w:p>
    <w:p w14:paraId="1FFF1009" w14:textId="77777777" w:rsidR="00443886" w:rsidRDefault="00443886" w:rsidP="002217D0">
      <w:pPr>
        <w:adjustRightInd w:val="0"/>
        <w:snapToGrid w:val="0"/>
        <w:jc w:val="both"/>
        <w:rPr>
          <w:rFonts w:ascii="Times New Roman" w:hAnsi="Times New Roman"/>
          <w:b/>
          <w:szCs w:val="24"/>
        </w:rPr>
      </w:pPr>
    </w:p>
    <w:p w14:paraId="5464F5DA" w14:textId="4F012CBA" w:rsidR="00443886" w:rsidRPr="006510BB" w:rsidRDefault="00443886" w:rsidP="006510BB">
      <w:pPr>
        <w:pStyle w:val="af"/>
        <w:numPr>
          <w:ilvl w:val="0"/>
          <w:numId w:val="5"/>
        </w:numPr>
        <w:adjustRightInd w:val="0"/>
        <w:snapToGrid w:val="0"/>
        <w:ind w:leftChars="0"/>
        <w:jc w:val="both"/>
        <w:rPr>
          <w:rFonts w:ascii="Times New Roman" w:hAnsi="Times New Roman"/>
          <w:bCs/>
          <w:szCs w:val="24"/>
        </w:rPr>
      </w:pPr>
      <w:r w:rsidRPr="00CF7636">
        <w:rPr>
          <w:rFonts w:ascii="Times New Roman" w:hAnsi="Times New Roman"/>
          <w:bCs/>
          <w:szCs w:val="24"/>
        </w:rPr>
        <w:t>Summary statistics</w:t>
      </w:r>
    </w:p>
    <w:p w14:paraId="52BC4777" w14:textId="77777777" w:rsidR="00F135F2" w:rsidRDefault="00F135F2" w:rsidP="002217D0">
      <w:pPr>
        <w:adjustRightInd w:val="0"/>
        <w:snapToGrid w:val="0"/>
        <w:jc w:val="both"/>
        <w:rPr>
          <w:rFonts w:ascii="Times New Roman" w:hAnsi="Times New Roman"/>
          <w:bCs/>
          <w:szCs w:val="24"/>
        </w:rPr>
      </w:pPr>
    </w:p>
    <w:p w14:paraId="65D5A538" w14:textId="1EEBAF99" w:rsidR="002217D0" w:rsidRPr="006510BB" w:rsidRDefault="002217D0" w:rsidP="002217D0">
      <w:pPr>
        <w:adjustRightInd w:val="0"/>
        <w:snapToGrid w:val="0"/>
        <w:jc w:val="both"/>
        <w:rPr>
          <w:rFonts w:ascii="Times New Roman" w:hAnsi="Times New Roman"/>
          <w:bCs/>
          <w:szCs w:val="24"/>
        </w:rPr>
      </w:pPr>
      <w:r w:rsidRPr="006510BB">
        <w:rPr>
          <w:rFonts w:ascii="Times New Roman" w:hAnsi="Times New Roman"/>
          <w:bCs/>
          <w:szCs w:val="24"/>
        </w:rPr>
        <w:t xml:space="preserve">Table 2 Major summary statistics of </w:t>
      </w:r>
      <w:r w:rsidR="006D093C" w:rsidRPr="006510BB">
        <w:rPr>
          <w:rFonts w:ascii="Times New Roman" w:hAnsi="Times New Roman"/>
          <w:bCs/>
          <w:szCs w:val="24"/>
        </w:rPr>
        <w:t>consumer i</w:t>
      </w:r>
      <w:r w:rsidRPr="006510BB">
        <w:rPr>
          <w:rFonts w:ascii="Times New Roman" w:hAnsi="Times New Roman"/>
          <w:bCs/>
          <w:szCs w:val="24"/>
        </w:rPr>
        <w:t>nflation rate in selected countries: 2002 to 2022</w:t>
      </w:r>
      <w:r w:rsidR="006D093C" w:rsidRPr="006510BB">
        <w:rPr>
          <w:rFonts w:ascii="Times New Roman" w:hAnsi="Times New Roman"/>
          <w:bCs/>
          <w:szCs w:val="24"/>
        </w:rPr>
        <w:t xml:space="preserve"> (%)</w:t>
      </w:r>
    </w:p>
    <w:p w14:paraId="692DFD5D" w14:textId="6B851501" w:rsidR="00E903CD" w:rsidRPr="006510BB" w:rsidRDefault="00E903CD" w:rsidP="002217D0">
      <w:pPr>
        <w:adjustRightInd w:val="0"/>
        <w:snapToGrid w:val="0"/>
        <w:jc w:val="both"/>
        <w:rPr>
          <w:rFonts w:ascii="Times New Roman" w:hAnsi="Times New Roman"/>
          <w:bCs/>
          <w:szCs w:val="24"/>
        </w:rPr>
      </w:pPr>
    </w:p>
    <w:tbl>
      <w:tblPr>
        <w:tblW w:w="9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8"/>
        <w:gridCol w:w="1523"/>
        <w:gridCol w:w="1701"/>
        <w:gridCol w:w="1559"/>
        <w:gridCol w:w="1151"/>
        <w:gridCol w:w="1154"/>
      </w:tblGrid>
      <w:tr w:rsidR="00CF7636" w:rsidRPr="00CF7636" w14:paraId="5B239641" w14:textId="77777777" w:rsidTr="00CF7636">
        <w:tc>
          <w:tcPr>
            <w:tcW w:w="2188" w:type="dxa"/>
            <w:tcBorders>
              <w:top w:val="nil"/>
              <w:left w:val="nil"/>
              <w:bottom w:val="single" w:sz="4" w:space="0" w:color="auto"/>
              <w:right w:val="single" w:sz="4" w:space="0" w:color="auto"/>
            </w:tcBorders>
            <w:shd w:val="clear" w:color="auto" w:fill="FFFFFF" w:themeFill="background1"/>
          </w:tcPr>
          <w:p w14:paraId="50304F67" w14:textId="5A24BFFC" w:rsidR="002217D0" w:rsidRPr="004D3F2B" w:rsidRDefault="002217D0" w:rsidP="003E6DB9">
            <w:pPr>
              <w:adjustRightInd w:val="0"/>
              <w:snapToGrid w:val="0"/>
              <w:jc w:val="center"/>
              <w:rPr>
                <w:rFonts w:ascii="Times New Roman" w:hAnsi="Times New Roman"/>
                <w:bCs/>
                <w:color w:val="FFFFFF" w:themeColor="background1"/>
                <w:szCs w:val="24"/>
              </w:rPr>
            </w:pPr>
          </w:p>
        </w:tc>
        <w:tc>
          <w:tcPr>
            <w:tcW w:w="1523" w:type="dxa"/>
            <w:tcBorders>
              <w:left w:val="single" w:sz="4" w:space="0" w:color="auto"/>
            </w:tcBorders>
            <w:shd w:val="clear" w:color="auto" w:fill="FFFFFF" w:themeFill="background1"/>
          </w:tcPr>
          <w:p w14:paraId="6862F822" w14:textId="77777777" w:rsidR="002217D0" w:rsidRPr="00CF7636" w:rsidRDefault="002217D0"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Hong Kong</w:t>
            </w:r>
          </w:p>
        </w:tc>
        <w:tc>
          <w:tcPr>
            <w:tcW w:w="1701" w:type="dxa"/>
            <w:shd w:val="clear" w:color="auto" w:fill="FFFFFF" w:themeFill="background1"/>
          </w:tcPr>
          <w:p w14:paraId="37D628C3" w14:textId="77777777" w:rsidR="002217D0" w:rsidRPr="00CF7636" w:rsidRDefault="002217D0"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United Kingdom</w:t>
            </w:r>
          </w:p>
        </w:tc>
        <w:tc>
          <w:tcPr>
            <w:tcW w:w="1559" w:type="dxa"/>
            <w:shd w:val="clear" w:color="auto" w:fill="FFFFFF" w:themeFill="background1"/>
          </w:tcPr>
          <w:p w14:paraId="2DE696B6" w14:textId="77777777" w:rsidR="002217D0" w:rsidRPr="00CF7636" w:rsidRDefault="002217D0"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United States</w:t>
            </w:r>
          </w:p>
        </w:tc>
        <w:tc>
          <w:tcPr>
            <w:tcW w:w="1151" w:type="dxa"/>
            <w:shd w:val="clear" w:color="auto" w:fill="FFFFFF" w:themeFill="background1"/>
          </w:tcPr>
          <w:p w14:paraId="02307DBE" w14:textId="77777777" w:rsidR="002217D0" w:rsidRPr="00CF7636" w:rsidRDefault="002217D0"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China</w:t>
            </w:r>
          </w:p>
        </w:tc>
        <w:tc>
          <w:tcPr>
            <w:tcW w:w="1154" w:type="dxa"/>
            <w:shd w:val="clear" w:color="auto" w:fill="FFFFFF" w:themeFill="background1"/>
          </w:tcPr>
          <w:p w14:paraId="1954894A" w14:textId="77777777" w:rsidR="002217D0" w:rsidRPr="00CF7636" w:rsidRDefault="002217D0"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Malaysia</w:t>
            </w:r>
          </w:p>
        </w:tc>
      </w:tr>
      <w:tr w:rsidR="00335225" w:rsidRPr="004D3F2B" w14:paraId="4A9CE84C" w14:textId="77777777" w:rsidTr="00CF7636">
        <w:tc>
          <w:tcPr>
            <w:tcW w:w="2188" w:type="dxa"/>
            <w:tcBorders>
              <w:top w:val="single" w:sz="4" w:space="0" w:color="auto"/>
            </w:tcBorders>
            <w:shd w:val="clear" w:color="auto" w:fill="FFFFFF" w:themeFill="background1"/>
          </w:tcPr>
          <w:p w14:paraId="7F481932" w14:textId="77777777" w:rsidR="002217D0" w:rsidRPr="00CF7636" w:rsidRDefault="002217D0" w:rsidP="002217D0">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Mean (units)</w:t>
            </w:r>
          </w:p>
        </w:tc>
        <w:tc>
          <w:tcPr>
            <w:tcW w:w="1523" w:type="dxa"/>
            <w:vAlign w:val="center"/>
          </w:tcPr>
          <w:p w14:paraId="0BFB8E5A" w14:textId="5599DEEF"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2.07</w:t>
            </w:r>
          </w:p>
        </w:tc>
        <w:tc>
          <w:tcPr>
            <w:tcW w:w="1701" w:type="dxa"/>
            <w:vAlign w:val="center"/>
          </w:tcPr>
          <w:p w14:paraId="4C90B77C"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2.64</w:t>
            </w:r>
          </w:p>
        </w:tc>
        <w:tc>
          <w:tcPr>
            <w:tcW w:w="1559" w:type="dxa"/>
            <w:shd w:val="clear" w:color="auto" w:fill="auto"/>
            <w:vAlign w:val="center"/>
          </w:tcPr>
          <w:p w14:paraId="66DBF101"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2.53</w:t>
            </w:r>
          </w:p>
        </w:tc>
        <w:tc>
          <w:tcPr>
            <w:tcW w:w="1151" w:type="dxa"/>
            <w:shd w:val="clear" w:color="auto" w:fill="auto"/>
            <w:vAlign w:val="center"/>
          </w:tcPr>
          <w:p w14:paraId="1EB98EDA"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2.37</w:t>
            </w:r>
          </w:p>
        </w:tc>
        <w:tc>
          <w:tcPr>
            <w:tcW w:w="1154" w:type="dxa"/>
            <w:vAlign w:val="center"/>
          </w:tcPr>
          <w:p w14:paraId="4FAA12B7"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2.19</w:t>
            </w:r>
          </w:p>
        </w:tc>
      </w:tr>
      <w:tr w:rsidR="00335225" w:rsidRPr="004D3F2B" w14:paraId="7168B609" w14:textId="77777777" w:rsidTr="00CF7636">
        <w:tc>
          <w:tcPr>
            <w:tcW w:w="2188" w:type="dxa"/>
            <w:shd w:val="clear" w:color="auto" w:fill="FFFFFF" w:themeFill="background1"/>
          </w:tcPr>
          <w:p w14:paraId="00888215" w14:textId="77777777" w:rsidR="002217D0" w:rsidRPr="00CF7636" w:rsidRDefault="002217D0" w:rsidP="002217D0">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Standard deviation</w:t>
            </w:r>
          </w:p>
          <w:p w14:paraId="78F79E16" w14:textId="7CC96374" w:rsidR="002217D0" w:rsidRPr="00CF7636" w:rsidRDefault="00CF7636" w:rsidP="00CF7636">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Coefficient of variation</w:t>
            </w:r>
          </w:p>
        </w:tc>
        <w:tc>
          <w:tcPr>
            <w:tcW w:w="1523" w:type="dxa"/>
            <w:vAlign w:val="center"/>
          </w:tcPr>
          <w:p w14:paraId="4E78A139" w14:textId="117B27E2"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1.94</w:t>
            </w:r>
          </w:p>
        </w:tc>
        <w:tc>
          <w:tcPr>
            <w:tcW w:w="1701" w:type="dxa"/>
            <w:vAlign w:val="center"/>
          </w:tcPr>
          <w:p w14:paraId="04CDE73F"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2.19</w:t>
            </w:r>
          </w:p>
        </w:tc>
        <w:tc>
          <w:tcPr>
            <w:tcW w:w="1559" w:type="dxa"/>
            <w:shd w:val="clear" w:color="auto" w:fill="auto"/>
            <w:vAlign w:val="center"/>
          </w:tcPr>
          <w:p w14:paraId="6A2CFFB3"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1.72</w:t>
            </w:r>
          </w:p>
        </w:tc>
        <w:tc>
          <w:tcPr>
            <w:tcW w:w="1151" w:type="dxa"/>
            <w:shd w:val="clear" w:color="auto" w:fill="auto"/>
            <w:vAlign w:val="center"/>
          </w:tcPr>
          <w:p w14:paraId="5B5A6F7C"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1.57</w:t>
            </w:r>
          </w:p>
        </w:tc>
        <w:tc>
          <w:tcPr>
            <w:tcW w:w="1154" w:type="dxa"/>
            <w:vAlign w:val="center"/>
          </w:tcPr>
          <w:p w14:paraId="3773D2BF" w14:textId="77777777" w:rsidR="002217D0" w:rsidRPr="004D3F2B" w:rsidRDefault="002217D0" w:rsidP="002217D0">
            <w:pPr>
              <w:adjustRightInd w:val="0"/>
              <w:snapToGrid w:val="0"/>
              <w:jc w:val="center"/>
              <w:rPr>
                <w:rFonts w:ascii="Times New Roman" w:hAnsi="Times New Roman"/>
                <w:bCs/>
                <w:szCs w:val="24"/>
              </w:rPr>
            </w:pPr>
            <w:r w:rsidRPr="004D3F2B">
              <w:rPr>
                <w:rFonts w:ascii="Times New Roman" w:hAnsi="Times New Roman"/>
                <w:bCs/>
                <w:szCs w:val="24"/>
              </w:rPr>
              <w:t>1.36</w:t>
            </w:r>
          </w:p>
        </w:tc>
      </w:tr>
      <w:tr w:rsidR="00335225" w:rsidRPr="004D3F2B" w14:paraId="58CCBA96" w14:textId="77777777" w:rsidTr="00CF7636">
        <w:tc>
          <w:tcPr>
            <w:tcW w:w="2188" w:type="dxa"/>
            <w:shd w:val="clear" w:color="auto" w:fill="FFFFFF" w:themeFill="background1"/>
          </w:tcPr>
          <w:p w14:paraId="591C7081" w14:textId="77777777" w:rsidR="002217D0" w:rsidRPr="00CF7636" w:rsidRDefault="002217D0"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Maximum (units)</w:t>
            </w:r>
          </w:p>
        </w:tc>
        <w:tc>
          <w:tcPr>
            <w:tcW w:w="1523" w:type="dxa"/>
          </w:tcPr>
          <w:p w14:paraId="3314DACF"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-1.8</w:t>
            </w:r>
          </w:p>
        </w:tc>
        <w:tc>
          <w:tcPr>
            <w:tcW w:w="1701" w:type="dxa"/>
            <w:vAlign w:val="center"/>
          </w:tcPr>
          <w:p w14:paraId="421AF7CA"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0.2</w:t>
            </w:r>
          </w:p>
        </w:tc>
        <w:tc>
          <w:tcPr>
            <w:tcW w:w="1559" w:type="dxa"/>
            <w:shd w:val="clear" w:color="auto" w:fill="auto"/>
            <w:vAlign w:val="center"/>
          </w:tcPr>
          <w:p w14:paraId="1FA0C9E4"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0.5</w:t>
            </w:r>
          </w:p>
        </w:tc>
        <w:tc>
          <w:tcPr>
            <w:tcW w:w="1151" w:type="dxa"/>
            <w:shd w:val="clear" w:color="auto" w:fill="auto"/>
            <w:vAlign w:val="center"/>
          </w:tcPr>
          <w:p w14:paraId="766DEA92"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-0.4</w:t>
            </w:r>
          </w:p>
        </w:tc>
        <w:tc>
          <w:tcPr>
            <w:tcW w:w="1154" w:type="dxa"/>
            <w:vAlign w:val="center"/>
          </w:tcPr>
          <w:p w14:paraId="71CCCC76"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-1.4</w:t>
            </w:r>
          </w:p>
        </w:tc>
      </w:tr>
      <w:tr w:rsidR="00335225" w:rsidRPr="004D3F2B" w14:paraId="3A0668D3" w14:textId="77777777" w:rsidTr="00CF7636">
        <w:tc>
          <w:tcPr>
            <w:tcW w:w="2188" w:type="dxa"/>
            <w:shd w:val="clear" w:color="auto" w:fill="FFFFFF" w:themeFill="background1"/>
          </w:tcPr>
          <w:p w14:paraId="411EDFBD" w14:textId="77777777" w:rsidR="002217D0" w:rsidRPr="00CF7636" w:rsidRDefault="002217D0"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Minimum (units)</w:t>
            </w:r>
          </w:p>
        </w:tc>
        <w:tc>
          <w:tcPr>
            <w:tcW w:w="1523" w:type="dxa"/>
          </w:tcPr>
          <w:p w14:paraId="587A27EE"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5.7</w:t>
            </w:r>
          </w:p>
        </w:tc>
        <w:tc>
          <w:tcPr>
            <w:tcW w:w="1701" w:type="dxa"/>
            <w:vAlign w:val="center"/>
          </w:tcPr>
          <w:p w14:paraId="615AC03B"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10.5</w:t>
            </w:r>
          </w:p>
        </w:tc>
        <w:tc>
          <w:tcPr>
            <w:tcW w:w="1559" w:type="dxa"/>
            <w:shd w:val="clear" w:color="auto" w:fill="auto"/>
            <w:vAlign w:val="center"/>
          </w:tcPr>
          <w:p w14:paraId="718D916A"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7.4</w:t>
            </w:r>
          </w:p>
        </w:tc>
        <w:tc>
          <w:tcPr>
            <w:tcW w:w="1151" w:type="dxa"/>
            <w:shd w:val="clear" w:color="auto" w:fill="auto"/>
            <w:vAlign w:val="center"/>
          </w:tcPr>
          <w:p w14:paraId="5F10849F"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6.6</w:t>
            </w:r>
          </w:p>
        </w:tc>
        <w:tc>
          <w:tcPr>
            <w:tcW w:w="1154" w:type="dxa"/>
            <w:vAlign w:val="center"/>
          </w:tcPr>
          <w:p w14:paraId="17BC9E02" w14:textId="77777777" w:rsidR="002217D0" w:rsidRPr="004D3F2B" w:rsidRDefault="002217D0" w:rsidP="003E6DB9">
            <w:pPr>
              <w:adjustRightInd w:val="0"/>
              <w:snapToGrid w:val="0"/>
              <w:jc w:val="center"/>
              <w:rPr>
                <w:rFonts w:ascii="Times New Roman" w:hAnsi="Times New Roman"/>
                <w:bCs/>
                <w:szCs w:val="24"/>
              </w:rPr>
            </w:pPr>
            <w:r w:rsidRPr="004D3F2B">
              <w:rPr>
                <w:rFonts w:ascii="Times New Roman" w:hAnsi="Times New Roman"/>
                <w:bCs/>
                <w:szCs w:val="24"/>
              </w:rPr>
              <w:t>4.5</w:t>
            </w:r>
          </w:p>
        </w:tc>
      </w:tr>
      <w:tr w:rsidR="00335225" w:rsidRPr="004D3F2B" w14:paraId="76BBA9DF" w14:textId="77777777" w:rsidTr="002217D0">
        <w:trPr>
          <w:trHeight w:val="301"/>
        </w:trPr>
        <w:tc>
          <w:tcPr>
            <w:tcW w:w="9276" w:type="dxa"/>
            <w:gridSpan w:val="6"/>
          </w:tcPr>
          <w:p w14:paraId="22F0460A" w14:textId="77777777" w:rsidR="002217D0" w:rsidRPr="004D3F2B" w:rsidRDefault="002217D0" w:rsidP="003E6DB9">
            <w:pPr>
              <w:adjustRightInd w:val="0"/>
              <w:snapToGrid w:val="0"/>
              <w:jc w:val="both"/>
              <w:rPr>
                <w:rFonts w:ascii="Times New Roman" w:hAnsi="Times New Roman"/>
                <w:bCs/>
                <w:szCs w:val="24"/>
              </w:rPr>
            </w:pPr>
            <w:r w:rsidRPr="004D3F2B">
              <w:rPr>
                <w:rFonts w:ascii="Times New Roman" w:hAnsi="Times New Roman"/>
                <w:bCs/>
                <w:szCs w:val="24"/>
              </w:rPr>
              <w:t>Sources: Calculated from the dataset listed in Table 1</w:t>
            </w:r>
          </w:p>
        </w:tc>
      </w:tr>
    </w:tbl>
    <w:p w14:paraId="35D64EA3" w14:textId="77777777" w:rsidR="002217D0" w:rsidRPr="004D3F2B" w:rsidRDefault="002217D0" w:rsidP="00101A6B">
      <w:pPr>
        <w:adjustRightInd w:val="0"/>
        <w:snapToGrid w:val="0"/>
        <w:spacing w:line="360" w:lineRule="auto"/>
        <w:jc w:val="both"/>
        <w:rPr>
          <w:rFonts w:ascii="Times New Roman" w:hAnsi="Times New Roman"/>
          <w:bCs/>
          <w:szCs w:val="24"/>
        </w:rPr>
      </w:pPr>
    </w:p>
    <w:p w14:paraId="2CD6D9B6" w14:textId="2B7951D9" w:rsidR="00E903CD" w:rsidRPr="004D3F2B" w:rsidRDefault="004E6916" w:rsidP="004E6916">
      <w:pPr>
        <w:adjustRightInd w:val="0"/>
        <w:snapToGrid w:val="0"/>
        <w:spacing w:line="360" w:lineRule="auto"/>
        <w:jc w:val="both"/>
        <w:rPr>
          <w:rFonts w:ascii="Times New Roman" w:hAnsi="Times New Roman"/>
          <w:b/>
          <w:szCs w:val="24"/>
        </w:rPr>
      </w:pPr>
      <w:r w:rsidRPr="004D3F2B">
        <w:rPr>
          <w:rFonts w:ascii="Times New Roman" w:hAnsi="Times New Roman"/>
          <w:bCs/>
          <w:szCs w:val="24"/>
        </w:rPr>
        <w:t xml:space="preserve">Based on the data of </w:t>
      </w:r>
      <w:r w:rsidR="00E903CD" w:rsidRPr="004D3F2B">
        <w:rPr>
          <w:rFonts w:ascii="Times New Roman" w:hAnsi="Times New Roman"/>
          <w:bCs/>
          <w:szCs w:val="24"/>
        </w:rPr>
        <w:t xml:space="preserve">table 2, </w:t>
      </w:r>
      <w:r w:rsidR="006D093C">
        <w:rPr>
          <w:rFonts w:ascii="Times New Roman" w:hAnsi="Times New Roman"/>
          <w:bCs/>
          <w:szCs w:val="24"/>
        </w:rPr>
        <w:t>there are several interesting points to note</w:t>
      </w:r>
      <w:r w:rsidR="00E903CD" w:rsidRPr="004D3F2B">
        <w:rPr>
          <w:rFonts w:ascii="Times New Roman" w:hAnsi="Times New Roman"/>
          <w:bCs/>
          <w:szCs w:val="24"/>
        </w:rPr>
        <w:t>:</w:t>
      </w:r>
    </w:p>
    <w:p w14:paraId="2652B78A" w14:textId="77777777" w:rsidR="00E903CD" w:rsidRPr="004D3F2B" w:rsidRDefault="00E903CD" w:rsidP="004E6916">
      <w:pPr>
        <w:adjustRightInd w:val="0"/>
        <w:snapToGrid w:val="0"/>
        <w:spacing w:line="360" w:lineRule="auto"/>
        <w:jc w:val="both"/>
        <w:rPr>
          <w:rFonts w:ascii="Times New Roman" w:hAnsi="Times New Roman"/>
          <w:b/>
          <w:szCs w:val="24"/>
        </w:rPr>
      </w:pPr>
    </w:p>
    <w:p w14:paraId="157C273A" w14:textId="474E966F"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w:t>
      </w:r>
      <w:r w:rsidR="00E903CD" w:rsidRPr="004D3F2B">
        <w:rPr>
          <w:rFonts w:ascii="Times New Roman" w:hAnsi="Times New Roman"/>
          <w:bCs/>
          <w:szCs w:val="24"/>
        </w:rPr>
        <w:t xml:space="preserve"> </w:t>
      </w:r>
      <w:r w:rsidRPr="004D3F2B">
        <w:rPr>
          <w:rFonts w:ascii="Times New Roman" w:hAnsi="Times New Roman"/>
          <w:bCs/>
          <w:szCs w:val="24"/>
        </w:rPr>
        <w:t xml:space="preserve">The inflation rate in the past twenty years has shown some volatility, but the average remains relatively low, indicating that purchasing power has remained </w:t>
      </w:r>
      <w:r w:rsidR="00E903CD" w:rsidRPr="004D3F2B">
        <w:rPr>
          <w:rFonts w:ascii="Times New Roman" w:hAnsi="Times New Roman"/>
          <w:bCs/>
          <w:szCs w:val="24"/>
        </w:rPr>
        <w:t>stable</w:t>
      </w:r>
      <w:r w:rsidRPr="004D3F2B">
        <w:rPr>
          <w:rFonts w:ascii="Times New Roman" w:hAnsi="Times New Roman"/>
          <w:bCs/>
          <w:szCs w:val="24"/>
        </w:rPr>
        <w:t xml:space="preserve"> in the long term.</w:t>
      </w:r>
      <w:r w:rsidR="00E903CD" w:rsidRPr="004D3F2B">
        <w:rPr>
          <w:rFonts w:ascii="Times New Roman" w:hAnsi="Times New Roman"/>
          <w:bCs/>
          <w:szCs w:val="24"/>
        </w:rPr>
        <w:t xml:space="preserve"> </w:t>
      </w:r>
      <w:r w:rsidRPr="004D3F2B">
        <w:rPr>
          <w:rFonts w:ascii="Times New Roman" w:hAnsi="Times New Roman"/>
          <w:bCs/>
          <w:szCs w:val="24"/>
        </w:rPr>
        <w:t>The occurrence of deflation indicates that during certain periods, prices may have generally decreased due to economic recession or a decline in demand, which can be beneficial for debtors but potentially disadvantageous for investors and savers.</w:t>
      </w:r>
      <w:r w:rsidR="00E903CD" w:rsidRPr="004D3F2B">
        <w:rPr>
          <w:rFonts w:ascii="Times New Roman" w:hAnsi="Times New Roman"/>
          <w:bCs/>
          <w:szCs w:val="24"/>
        </w:rPr>
        <w:t xml:space="preserve"> </w:t>
      </w:r>
      <w:r w:rsidRPr="004D3F2B">
        <w:rPr>
          <w:rFonts w:ascii="Times New Roman" w:hAnsi="Times New Roman"/>
          <w:bCs/>
          <w:szCs w:val="24"/>
        </w:rPr>
        <w:t>The peak inflation rate refers to the short-term upper limit of inflationary pressure, and Hong Kong has shown moderation in this respect, which may be attractive to investors seeking stable returns.</w:t>
      </w:r>
    </w:p>
    <w:p w14:paraId="56F99756" w14:textId="77777777" w:rsidR="004E6916" w:rsidRPr="004D3F2B" w:rsidRDefault="004E6916" w:rsidP="004E6916">
      <w:pPr>
        <w:adjustRightInd w:val="0"/>
        <w:snapToGrid w:val="0"/>
        <w:spacing w:line="360" w:lineRule="auto"/>
        <w:jc w:val="both"/>
        <w:rPr>
          <w:rFonts w:ascii="Times New Roman" w:hAnsi="Times New Roman"/>
          <w:bCs/>
          <w:szCs w:val="24"/>
        </w:rPr>
      </w:pPr>
    </w:p>
    <w:p w14:paraId="13AB5260" w14:textId="455EAFE9"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w:t>
      </w:r>
      <w:r w:rsidR="00E903CD" w:rsidRPr="004D3F2B">
        <w:rPr>
          <w:rFonts w:ascii="Times New Roman" w:hAnsi="Times New Roman"/>
          <w:bCs/>
          <w:szCs w:val="24"/>
        </w:rPr>
        <w:t xml:space="preserve">: </w:t>
      </w:r>
      <w:r w:rsidRPr="004D3F2B">
        <w:rPr>
          <w:rFonts w:ascii="Times New Roman" w:hAnsi="Times New Roman"/>
          <w:bCs/>
          <w:szCs w:val="24"/>
        </w:rPr>
        <w:t>As one of the world's largest economies, the average inflation rate in the United States is slightly higher than that of Hong Kong, but still within a controllable range, demonstrating economic stability.</w:t>
      </w:r>
      <w:r w:rsidR="00E903CD" w:rsidRPr="004D3F2B">
        <w:rPr>
          <w:rFonts w:ascii="Times New Roman" w:hAnsi="Times New Roman"/>
          <w:bCs/>
          <w:szCs w:val="24"/>
        </w:rPr>
        <w:t xml:space="preserve"> </w:t>
      </w:r>
      <w:r w:rsidRPr="004D3F2B">
        <w:rPr>
          <w:rFonts w:ascii="Times New Roman" w:hAnsi="Times New Roman"/>
          <w:bCs/>
          <w:szCs w:val="24"/>
        </w:rPr>
        <w:t>A lower standard deviation indicates less volatility in its annual inflation rate, a positive sign for investors seeking economic stability and predictability.</w:t>
      </w:r>
      <w:r w:rsidR="00E903CD" w:rsidRPr="004D3F2B">
        <w:rPr>
          <w:rFonts w:ascii="Times New Roman" w:hAnsi="Times New Roman"/>
          <w:bCs/>
          <w:szCs w:val="24"/>
        </w:rPr>
        <w:t xml:space="preserve"> </w:t>
      </w:r>
      <w:r w:rsidRPr="004D3F2B">
        <w:rPr>
          <w:rFonts w:ascii="Times New Roman" w:hAnsi="Times New Roman"/>
          <w:bCs/>
          <w:szCs w:val="24"/>
        </w:rPr>
        <w:t>The absence of deflation may reflect the resilience of the US economy and effective monetary policy.</w:t>
      </w:r>
    </w:p>
    <w:p w14:paraId="2E83E359" w14:textId="77777777" w:rsidR="004E6916" w:rsidRPr="004D3F2B" w:rsidRDefault="004E6916" w:rsidP="004E6916">
      <w:pPr>
        <w:adjustRightInd w:val="0"/>
        <w:snapToGrid w:val="0"/>
        <w:spacing w:line="360" w:lineRule="auto"/>
        <w:jc w:val="both"/>
        <w:rPr>
          <w:rFonts w:ascii="Times New Roman" w:hAnsi="Times New Roman"/>
          <w:bCs/>
          <w:szCs w:val="24"/>
        </w:rPr>
      </w:pPr>
    </w:p>
    <w:p w14:paraId="5AA454EF" w14:textId="4A72B89C"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w:t>
      </w:r>
      <w:r w:rsidR="00E903CD" w:rsidRPr="004D3F2B">
        <w:rPr>
          <w:rFonts w:ascii="Times New Roman" w:hAnsi="Times New Roman"/>
          <w:bCs/>
          <w:szCs w:val="24"/>
        </w:rPr>
        <w:t xml:space="preserve"> </w:t>
      </w:r>
      <w:r w:rsidRPr="004D3F2B">
        <w:rPr>
          <w:rFonts w:ascii="Times New Roman" w:hAnsi="Times New Roman"/>
          <w:bCs/>
          <w:szCs w:val="24"/>
        </w:rPr>
        <w:t>The United Kingdom has the highest average inflation rate among these countries, which may be due to uncertainties in its economy from events such as Brexit.</w:t>
      </w:r>
      <w:r w:rsidR="00E903CD" w:rsidRPr="004D3F2B">
        <w:rPr>
          <w:rFonts w:ascii="Times New Roman" w:hAnsi="Times New Roman"/>
          <w:bCs/>
          <w:szCs w:val="24"/>
        </w:rPr>
        <w:t xml:space="preserve"> </w:t>
      </w:r>
      <w:r w:rsidRPr="004D3F2B">
        <w:rPr>
          <w:rFonts w:ascii="Times New Roman" w:hAnsi="Times New Roman"/>
          <w:bCs/>
          <w:szCs w:val="24"/>
        </w:rPr>
        <w:t>The volatility of the inflation rate is also the highest among these countries, indicating that its price levels are affected by multiple factors, including fluctuations in exchange rates and changes in energy prices.</w:t>
      </w:r>
      <w:r w:rsidR="00E903CD" w:rsidRPr="004D3F2B">
        <w:rPr>
          <w:rFonts w:ascii="Times New Roman" w:hAnsi="Times New Roman"/>
          <w:bCs/>
          <w:szCs w:val="24"/>
        </w:rPr>
        <w:t xml:space="preserve"> </w:t>
      </w:r>
      <w:r w:rsidRPr="004D3F2B">
        <w:rPr>
          <w:rFonts w:ascii="Times New Roman" w:hAnsi="Times New Roman"/>
          <w:bCs/>
          <w:szCs w:val="24"/>
        </w:rPr>
        <w:t>Extreme value analysis suggests that the UK may face higher inflationary pressures in certain years, which could be a risk for investors seeking to protect their capital from inflationary erosion.</w:t>
      </w:r>
    </w:p>
    <w:p w14:paraId="6D5B34A8" w14:textId="77777777" w:rsidR="004E6916" w:rsidRPr="004D3F2B" w:rsidRDefault="004E6916" w:rsidP="004E6916">
      <w:pPr>
        <w:adjustRightInd w:val="0"/>
        <w:snapToGrid w:val="0"/>
        <w:spacing w:line="360" w:lineRule="auto"/>
        <w:jc w:val="both"/>
        <w:rPr>
          <w:rFonts w:ascii="Times New Roman" w:hAnsi="Times New Roman"/>
          <w:bCs/>
          <w:szCs w:val="24"/>
        </w:rPr>
      </w:pPr>
    </w:p>
    <w:p w14:paraId="209BEECA" w14:textId="1EF69D48"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China:</w:t>
      </w:r>
      <w:r w:rsidR="00E903CD" w:rsidRPr="004D3F2B">
        <w:rPr>
          <w:rFonts w:ascii="Times New Roman" w:hAnsi="Times New Roman"/>
          <w:bCs/>
          <w:szCs w:val="24"/>
        </w:rPr>
        <w:t xml:space="preserve"> </w:t>
      </w:r>
      <w:r w:rsidRPr="004D3F2B">
        <w:rPr>
          <w:rFonts w:ascii="Times New Roman" w:hAnsi="Times New Roman"/>
          <w:bCs/>
          <w:szCs w:val="24"/>
        </w:rPr>
        <w:t>China's average inflation rate is at a mid-level, reflecting price increases accompanying rapid economic growth in an emerging market.</w:t>
      </w:r>
      <w:r w:rsidR="00E903CD" w:rsidRPr="004D3F2B">
        <w:rPr>
          <w:rFonts w:ascii="Times New Roman" w:hAnsi="Times New Roman"/>
          <w:bCs/>
          <w:szCs w:val="24"/>
        </w:rPr>
        <w:t xml:space="preserve"> </w:t>
      </w:r>
      <w:r w:rsidRPr="004D3F2B">
        <w:rPr>
          <w:rFonts w:ascii="Times New Roman" w:hAnsi="Times New Roman"/>
          <w:bCs/>
          <w:szCs w:val="24"/>
        </w:rPr>
        <w:t>The volatility of the inflation rate is relatively low, possibly due to the government's proactive intervention and regulation of the economy.</w:t>
      </w:r>
      <w:r w:rsidR="00E903CD" w:rsidRPr="004D3F2B">
        <w:rPr>
          <w:rFonts w:ascii="Times New Roman" w:hAnsi="Times New Roman"/>
          <w:bCs/>
          <w:szCs w:val="24"/>
        </w:rPr>
        <w:t xml:space="preserve"> </w:t>
      </w:r>
      <w:r w:rsidRPr="004D3F2B">
        <w:rPr>
          <w:rFonts w:ascii="Times New Roman" w:hAnsi="Times New Roman"/>
          <w:bCs/>
          <w:szCs w:val="24"/>
        </w:rPr>
        <w:t>Minor deflationary occurrences may relate to economic cycle adjustments or specific policy measures, but overall, China still has significant economic growth potential.</w:t>
      </w:r>
    </w:p>
    <w:p w14:paraId="19248950" w14:textId="77777777" w:rsidR="004E6916" w:rsidRPr="004D3F2B" w:rsidRDefault="004E6916" w:rsidP="004E6916">
      <w:pPr>
        <w:adjustRightInd w:val="0"/>
        <w:snapToGrid w:val="0"/>
        <w:spacing w:line="360" w:lineRule="auto"/>
        <w:jc w:val="both"/>
        <w:rPr>
          <w:rFonts w:ascii="Times New Roman" w:hAnsi="Times New Roman"/>
          <w:bCs/>
          <w:szCs w:val="24"/>
        </w:rPr>
      </w:pPr>
    </w:p>
    <w:p w14:paraId="5CF64D90" w14:textId="243BF682"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w:t>
      </w:r>
      <w:r w:rsidR="00E903CD" w:rsidRPr="004D3F2B">
        <w:rPr>
          <w:rFonts w:ascii="Times New Roman" w:hAnsi="Times New Roman"/>
          <w:bCs/>
          <w:szCs w:val="24"/>
        </w:rPr>
        <w:t xml:space="preserve"> </w:t>
      </w:r>
      <w:r w:rsidRPr="004D3F2B">
        <w:rPr>
          <w:rFonts w:ascii="Times New Roman" w:hAnsi="Times New Roman"/>
          <w:bCs/>
          <w:szCs w:val="24"/>
        </w:rPr>
        <w:t>Malaysia exhibits the lowest volatility in inflation rates, indicating a relatively stable economy and strong predictability of policy effects in an emerging market.</w:t>
      </w:r>
      <w:r w:rsidR="00E903CD" w:rsidRPr="004D3F2B">
        <w:rPr>
          <w:rFonts w:ascii="Times New Roman" w:hAnsi="Times New Roman"/>
          <w:bCs/>
          <w:szCs w:val="24"/>
        </w:rPr>
        <w:t xml:space="preserve"> </w:t>
      </w:r>
      <w:r w:rsidRPr="004D3F2B">
        <w:rPr>
          <w:rFonts w:ascii="Times New Roman" w:hAnsi="Times New Roman"/>
          <w:bCs/>
          <w:szCs w:val="24"/>
        </w:rPr>
        <w:t>The average inflation rate is also relatively low, suggesting that the pressure of consumer price increases is within a controlled range.</w:t>
      </w:r>
      <w:r w:rsidR="00E903CD" w:rsidRPr="004D3F2B">
        <w:rPr>
          <w:rFonts w:ascii="Times New Roman" w:hAnsi="Times New Roman"/>
          <w:bCs/>
          <w:szCs w:val="24"/>
        </w:rPr>
        <w:t xml:space="preserve"> </w:t>
      </w:r>
      <w:r w:rsidRPr="004D3F2B">
        <w:rPr>
          <w:rFonts w:ascii="Times New Roman" w:hAnsi="Times New Roman"/>
          <w:bCs/>
          <w:szCs w:val="24"/>
        </w:rPr>
        <w:t>Malaysia's economic growth and potential investment returns may be underestimated, making it an attractive choice for investors looking to invest in emerging markets.</w:t>
      </w:r>
    </w:p>
    <w:p w14:paraId="0838A169" w14:textId="77777777" w:rsidR="00F135F2" w:rsidRDefault="00F135F2" w:rsidP="004E6916">
      <w:pPr>
        <w:adjustRightInd w:val="0"/>
        <w:snapToGrid w:val="0"/>
        <w:spacing w:line="360" w:lineRule="auto"/>
        <w:jc w:val="both"/>
        <w:rPr>
          <w:rFonts w:ascii="Times New Roman" w:hAnsi="Times New Roman"/>
          <w:bCs/>
          <w:szCs w:val="24"/>
        </w:rPr>
      </w:pPr>
    </w:p>
    <w:p w14:paraId="49D0DDB3" w14:textId="5C74CF11"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Considering the stability of the inflation rate and the potential for economic growth, Malaysia may be the best choice for conservative investors due to its stable economic performance and low inflation pressure.</w:t>
      </w:r>
      <w:r w:rsidR="00E903CD" w:rsidRPr="004D3F2B">
        <w:rPr>
          <w:rFonts w:ascii="Times New Roman" w:hAnsi="Times New Roman"/>
          <w:bCs/>
          <w:szCs w:val="24"/>
        </w:rPr>
        <w:t xml:space="preserve"> </w:t>
      </w:r>
      <w:r w:rsidRPr="004D3F2B">
        <w:rPr>
          <w:rFonts w:ascii="Times New Roman" w:hAnsi="Times New Roman"/>
          <w:bCs/>
          <w:szCs w:val="24"/>
        </w:rPr>
        <w:t>For investors with a higher risk tolerance seeking larger markets and mature economies, the United States</w:t>
      </w:r>
      <w:r w:rsidR="00E903CD" w:rsidRPr="004D3F2B">
        <w:rPr>
          <w:rFonts w:ascii="Times New Roman" w:hAnsi="Times New Roman"/>
          <w:bCs/>
          <w:szCs w:val="24"/>
        </w:rPr>
        <w:t xml:space="preserve"> </w:t>
      </w:r>
      <w:r w:rsidRPr="004D3F2B">
        <w:rPr>
          <w:rFonts w:ascii="Times New Roman" w:hAnsi="Times New Roman"/>
          <w:bCs/>
          <w:szCs w:val="24"/>
        </w:rPr>
        <w:t>offers a relatively stable and predictable investment environment.</w:t>
      </w:r>
      <w:r w:rsidR="00E903CD" w:rsidRPr="004D3F2B">
        <w:rPr>
          <w:rFonts w:ascii="Times New Roman" w:hAnsi="Times New Roman"/>
          <w:bCs/>
          <w:szCs w:val="24"/>
        </w:rPr>
        <w:t xml:space="preserve"> </w:t>
      </w:r>
      <w:r w:rsidRPr="004D3F2B">
        <w:rPr>
          <w:rFonts w:ascii="Times New Roman" w:hAnsi="Times New Roman"/>
          <w:bCs/>
          <w:szCs w:val="24"/>
        </w:rPr>
        <w:t>If the investment strategy is more aggressive and willing to endure greater volatility for potentially higher returns, then the United Kingdom could offer opportunities due to its high volatility.</w:t>
      </w:r>
    </w:p>
    <w:p w14:paraId="1E9BE017" w14:textId="33810BE6"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For those optimistic about the growth potential of emerging markets and who can accept some volatility, China offers a more balanced choice</w:t>
      </w:r>
      <w:r w:rsidR="00980559" w:rsidRPr="004D3F2B">
        <w:rPr>
          <w:rFonts w:ascii="Times New Roman" w:hAnsi="Times New Roman"/>
          <w:bCs/>
          <w:szCs w:val="24"/>
        </w:rPr>
        <w:t>.</w:t>
      </w:r>
    </w:p>
    <w:p w14:paraId="723BB3B3" w14:textId="1EEAB95E" w:rsidR="003504DB" w:rsidRPr="004D3F2B" w:rsidRDefault="003504DB">
      <w:pPr>
        <w:widowControl/>
        <w:rPr>
          <w:rFonts w:ascii="Times New Roman" w:hAnsi="Times New Roman"/>
          <w:b/>
          <w:szCs w:val="24"/>
        </w:rPr>
      </w:pPr>
    </w:p>
    <w:p w14:paraId="18681DCC" w14:textId="266A06FC" w:rsidR="00101A6B" w:rsidRPr="00CF7636" w:rsidRDefault="00101A6B" w:rsidP="00CF7636">
      <w:pPr>
        <w:pStyle w:val="af"/>
        <w:numPr>
          <w:ilvl w:val="0"/>
          <w:numId w:val="5"/>
        </w:numPr>
        <w:adjustRightInd w:val="0"/>
        <w:snapToGrid w:val="0"/>
        <w:spacing w:line="360" w:lineRule="auto"/>
        <w:ind w:leftChars="0"/>
        <w:jc w:val="both"/>
        <w:rPr>
          <w:rFonts w:ascii="Times New Roman" w:hAnsi="Times New Roman"/>
          <w:bCs/>
          <w:szCs w:val="24"/>
        </w:rPr>
      </w:pPr>
      <w:r w:rsidRPr="00CF7636">
        <w:rPr>
          <w:rFonts w:ascii="Times New Roman" w:hAnsi="Times New Roman"/>
          <w:bCs/>
          <w:szCs w:val="24"/>
        </w:rPr>
        <w:t>Correlation Coefficients</w:t>
      </w:r>
    </w:p>
    <w:bookmarkEnd w:id="4"/>
    <w:bookmarkEnd w:id="5"/>
    <w:p w14:paraId="097B5AC8" w14:textId="77777777" w:rsidR="0068694B" w:rsidRDefault="0068694B" w:rsidP="0068694B">
      <w:pPr>
        <w:adjustRightInd w:val="0"/>
        <w:snapToGrid w:val="0"/>
        <w:spacing w:line="360" w:lineRule="auto"/>
        <w:jc w:val="both"/>
        <w:rPr>
          <w:rFonts w:ascii="Times New Roman" w:hAnsi="Times New Roman"/>
          <w:bCs/>
          <w:szCs w:val="24"/>
        </w:rPr>
      </w:pPr>
      <w:r w:rsidRPr="004D3F2B">
        <w:rPr>
          <w:rFonts w:ascii="Times New Roman" w:hAnsi="Times New Roman"/>
          <w:bCs/>
          <w:szCs w:val="24"/>
        </w:rPr>
        <w:t>Next, I will use the correlation coefficients derived from the inflation rate (end-of-period consumer prices) to analyze the inflation trends in these five regions and their interconnectivity with the other four regions. This will help us understand the strength of the relationship between the inflation trends in these areas and their regional economic activities.</w:t>
      </w:r>
    </w:p>
    <w:p w14:paraId="1AAA941C" w14:textId="77777777" w:rsidR="00421BAD" w:rsidRPr="00421BAD" w:rsidRDefault="00421BAD" w:rsidP="00421BAD">
      <w:pPr>
        <w:rPr>
          <w:rFonts w:ascii="Times New Roman" w:eastAsia="DengXian" w:hAnsi="Times New Roman"/>
        </w:rPr>
      </w:pPr>
    </w:p>
    <w:p w14:paraId="1D00B111" w14:textId="4498E672" w:rsidR="00421BAD" w:rsidRPr="00421BAD" w:rsidRDefault="00421BAD" w:rsidP="00421BAD">
      <w:pPr>
        <w:rPr>
          <w:rFonts w:ascii="Times New Roman" w:eastAsia="DengXian" w:hAnsi="Times New Roman"/>
        </w:rPr>
      </w:pPr>
      <w:r w:rsidRPr="00421BAD">
        <w:rPr>
          <w:rFonts w:ascii="Times New Roman" w:eastAsia="DengXian" w:hAnsi="Times New Roman"/>
        </w:rPr>
        <w:t>The Pearson correlation coefficient is a statistical measure that assesses the strength and direction of a linear relationship between two variables. It ranges between -1 and 1, where 1 indicates a perfect positive correlation, -1 indicates a perfect negative correlation, and 0 implies no linear correlation. The Pearson correlation coefficient is commonly used to evaluate the degree of linear association between two continuous variables. (P. Schober, C. Boer, &amp; L. Schwarte, 2018</w:t>
      </w:r>
      <w:r w:rsidRPr="00421BAD">
        <w:rPr>
          <w:rFonts w:ascii="Times New Roman" w:eastAsiaTheme="minorEastAsia" w:hAnsi="Times New Roman"/>
        </w:rPr>
        <w:t>)</w:t>
      </w:r>
    </w:p>
    <w:p w14:paraId="1F97B940" w14:textId="77777777" w:rsidR="00421BAD" w:rsidRDefault="00421BAD" w:rsidP="0068694B">
      <w:pPr>
        <w:adjustRightInd w:val="0"/>
        <w:snapToGrid w:val="0"/>
        <w:spacing w:line="360" w:lineRule="auto"/>
        <w:jc w:val="both"/>
        <w:rPr>
          <w:rFonts w:ascii="Times New Roman" w:hAnsi="Times New Roman"/>
          <w:bCs/>
          <w:szCs w:val="24"/>
        </w:rPr>
      </w:pPr>
    </w:p>
    <w:p w14:paraId="7B220087" w14:textId="77777777" w:rsidR="0068694B" w:rsidRDefault="0068694B" w:rsidP="00511D68">
      <w:pPr>
        <w:adjustRightInd w:val="0"/>
        <w:snapToGrid w:val="0"/>
        <w:jc w:val="both"/>
        <w:rPr>
          <w:rFonts w:ascii="Times New Roman" w:hAnsi="Times New Roman"/>
          <w:bCs/>
          <w:szCs w:val="24"/>
        </w:rPr>
      </w:pPr>
    </w:p>
    <w:p w14:paraId="2DA926C4" w14:textId="77777777" w:rsidR="00421BAD" w:rsidRPr="004D3F2B" w:rsidRDefault="00421BAD" w:rsidP="00511D68">
      <w:pPr>
        <w:adjustRightInd w:val="0"/>
        <w:snapToGrid w:val="0"/>
        <w:jc w:val="both"/>
        <w:rPr>
          <w:rFonts w:ascii="Times New Roman" w:hAnsi="Times New Roman"/>
          <w:bCs/>
          <w:szCs w:val="24"/>
        </w:rPr>
      </w:pPr>
    </w:p>
    <w:p w14:paraId="0E914BAB" w14:textId="0678D83B" w:rsidR="00511D68" w:rsidRPr="00CF7636" w:rsidRDefault="00511D68" w:rsidP="00511D68">
      <w:pPr>
        <w:adjustRightInd w:val="0"/>
        <w:snapToGrid w:val="0"/>
        <w:jc w:val="both"/>
        <w:rPr>
          <w:rFonts w:ascii="Times New Roman" w:hAnsi="Times New Roman"/>
          <w:bCs/>
          <w:szCs w:val="24"/>
        </w:rPr>
      </w:pPr>
      <w:r w:rsidRPr="00CF7636">
        <w:rPr>
          <w:rFonts w:ascii="Times New Roman" w:hAnsi="Times New Roman"/>
          <w:bCs/>
          <w:szCs w:val="24"/>
        </w:rPr>
        <w:t>T</w:t>
      </w:r>
      <w:bookmarkStart w:id="6" w:name="_Hlk156035597"/>
      <w:r w:rsidRPr="00CF7636">
        <w:rPr>
          <w:rFonts w:ascii="Times New Roman" w:hAnsi="Times New Roman"/>
          <w:bCs/>
          <w:szCs w:val="24"/>
        </w:rPr>
        <w:t xml:space="preserve">able </w:t>
      </w:r>
      <w:r w:rsidR="00E903CD" w:rsidRPr="00CF7636">
        <w:rPr>
          <w:rFonts w:ascii="Times New Roman" w:hAnsi="Times New Roman"/>
          <w:bCs/>
          <w:szCs w:val="24"/>
        </w:rPr>
        <w:t>3</w:t>
      </w:r>
      <w:r w:rsidRPr="00CF7636">
        <w:rPr>
          <w:rFonts w:ascii="Times New Roman" w:hAnsi="Times New Roman"/>
          <w:bCs/>
          <w:szCs w:val="24"/>
        </w:rPr>
        <w:t xml:space="preserve"> </w:t>
      </w:r>
      <w:r w:rsidR="009C7926" w:rsidRPr="00CF7636">
        <w:rPr>
          <w:rFonts w:ascii="Times New Roman" w:hAnsi="Times New Roman"/>
          <w:bCs/>
          <w:szCs w:val="24"/>
        </w:rPr>
        <w:t xml:space="preserve">Correlation </w:t>
      </w:r>
      <w:r w:rsidR="00443886" w:rsidRPr="00CF7636">
        <w:rPr>
          <w:rFonts w:ascii="Times New Roman" w:hAnsi="Times New Roman"/>
          <w:bCs/>
          <w:szCs w:val="24"/>
        </w:rPr>
        <w:t>matrix of consumer inflation rates</w:t>
      </w:r>
      <w:r w:rsidRPr="00CF7636">
        <w:rPr>
          <w:rFonts w:ascii="Times New Roman" w:hAnsi="Times New Roman"/>
          <w:bCs/>
          <w:szCs w:val="24"/>
        </w:rPr>
        <w:t xml:space="preserve"> in </w:t>
      </w:r>
      <w:r w:rsidR="00A0488C" w:rsidRPr="00CF7636">
        <w:rPr>
          <w:rFonts w:ascii="Times New Roman" w:hAnsi="Times New Roman"/>
          <w:bCs/>
          <w:szCs w:val="24"/>
        </w:rPr>
        <w:t>selected countries</w:t>
      </w:r>
      <w:r w:rsidRPr="00CF7636">
        <w:rPr>
          <w:rFonts w:ascii="Times New Roman" w:hAnsi="Times New Roman"/>
          <w:bCs/>
          <w:szCs w:val="24"/>
        </w:rPr>
        <w:t xml:space="preserve">: </w:t>
      </w:r>
      <w:r w:rsidR="00A5780D" w:rsidRPr="00CF7636">
        <w:rPr>
          <w:rFonts w:ascii="Times New Roman" w:hAnsi="Times New Roman"/>
          <w:bCs/>
          <w:szCs w:val="24"/>
        </w:rPr>
        <w:t>2000</w:t>
      </w:r>
      <w:r w:rsidRPr="00CF7636">
        <w:rPr>
          <w:rFonts w:ascii="Times New Roman" w:hAnsi="Times New Roman"/>
          <w:bCs/>
          <w:szCs w:val="24"/>
        </w:rPr>
        <w:t xml:space="preserve"> to 2022</w:t>
      </w:r>
    </w:p>
    <w:p w14:paraId="5BBFBBE1" w14:textId="0EDEBBED" w:rsidR="00511D68" w:rsidRPr="004D3F2B" w:rsidRDefault="00511D68" w:rsidP="00DD79F6">
      <w:pPr>
        <w:adjustRightInd w:val="0"/>
        <w:snapToGrid w:val="0"/>
        <w:spacing w:line="360" w:lineRule="auto"/>
        <w:jc w:val="both"/>
        <w:rPr>
          <w:rFonts w:ascii="Times New Roman" w:hAnsi="Times New Roman"/>
          <w:b/>
          <w:bCs/>
          <w:szCs w:val="24"/>
        </w:rPr>
      </w:pPr>
      <w:bookmarkStart w:id="7" w:name="_Hlk159934587"/>
    </w:p>
    <w:tbl>
      <w:tblPr>
        <w:tblW w:w="10065" w:type="dxa"/>
        <w:tblLook w:val="04A0" w:firstRow="1" w:lastRow="0" w:firstColumn="1" w:lastColumn="0" w:noHBand="0" w:noVBand="1"/>
      </w:tblPr>
      <w:tblGrid>
        <w:gridCol w:w="1838"/>
        <w:gridCol w:w="1418"/>
        <w:gridCol w:w="1701"/>
        <w:gridCol w:w="1371"/>
        <w:gridCol w:w="1894"/>
        <w:gridCol w:w="1843"/>
      </w:tblGrid>
      <w:tr w:rsidR="00CF7636" w:rsidRPr="00CF7636" w14:paraId="746378B3" w14:textId="77777777" w:rsidTr="00CF7636">
        <w:trPr>
          <w:trHeight w:val="290"/>
        </w:trPr>
        <w:tc>
          <w:tcPr>
            <w:tcW w:w="1838" w:type="dxa"/>
            <w:tcBorders>
              <w:bottom w:val="single" w:sz="4" w:space="0" w:color="auto"/>
              <w:right w:val="single" w:sz="4" w:space="0" w:color="auto"/>
            </w:tcBorders>
            <w:shd w:val="clear" w:color="auto" w:fill="auto"/>
            <w:noWrap/>
            <w:vAlign w:val="bottom"/>
            <w:hideMark/>
          </w:tcPr>
          <w:bookmarkEnd w:id="7"/>
          <w:p w14:paraId="1AD6B1AF" w14:textId="77777777" w:rsidR="0068694B" w:rsidRPr="004D3F2B" w:rsidRDefault="0068694B" w:rsidP="0068694B">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 </w:t>
            </w:r>
          </w:p>
        </w:tc>
        <w:tc>
          <w:tcPr>
            <w:tcW w:w="1418"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396B48BD" w14:textId="77777777" w:rsidR="0068694B" w:rsidRPr="00CF7636" w:rsidRDefault="0068694B" w:rsidP="00F46983">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China</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3D23D0B" w14:textId="77777777" w:rsidR="0068694B" w:rsidRPr="00CF7636" w:rsidRDefault="0068694B" w:rsidP="00F46983">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Hong Kong</w:t>
            </w:r>
          </w:p>
        </w:tc>
        <w:tc>
          <w:tcPr>
            <w:tcW w:w="1371"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137CCCA7" w14:textId="77777777" w:rsidR="0068694B" w:rsidRPr="00CF7636" w:rsidRDefault="0068694B" w:rsidP="00F46983">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Malaysia</w:t>
            </w:r>
          </w:p>
        </w:tc>
        <w:tc>
          <w:tcPr>
            <w:tcW w:w="1894"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35C3ED99" w14:textId="77777777" w:rsidR="0068694B" w:rsidRPr="00CF7636" w:rsidRDefault="0068694B" w:rsidP="00F46983">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Kingdom</w:t>
            </w:r>
          </w:p>
        </w:tc>
        <w:tc>
          <w:tcPr>
            <w:tcW w:w="1843"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387ED2A3" w14:textId="77777777" w:rsidR="0068694B" w:rsidRPr="00CF7636" w:rsidRDefault="0068694B" w:rsidP="00F46983">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States</w:t>
            </w:r>
          </w:p>
        </w:tc>
      </w:tr>
      <w:tr w:rsidR="00E4085C" w:rsidRPr="004D3F2B" w14:paraId="50A48A7E" w14:textId="77777777" w:rsidTr="00CF7636">
        <w:trPr>
          <w:trHeight w:val="290"/>
        </w:trPr>
        <w:tc>
          <w:tcPr>
            <w:tcW w:w="1838"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271A61CA" w14:textId="77777777" w:rsidR="0068694B" w:rsidRPr="00CF7636" w:rsidRDefault="0068694B" w:rsidP="0068694B">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China</w:t>
            </w:r>
          </w:p>
        </w:tc>
        <w:tc>
          <w:tcPr>
            <w:tcW w:w="1418" w:type="dxa"/>
            <w:tcBorders>
              <w:top w:val="nil"/>
              <w:left w:val="nil"/>
              <w:bottom w:val="single" w:sz="4" w:space="0" w:color="auto"/>
              <w:right w:val="single" w:sz="4" w:space="0" w:color="auto"/>
            </w:tcBorders>
            <w:shd w:val="clear" w:color="auto" w:fill="auto"/>
            <w:noWrap/>
            <w:vAlign w:val="bottom"/>
            <w:hideMark/>
          </w:tcPr>
          <w:p w14:paraId="3A26587A" w14:textId="77777777"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701" w:type="dxa"/>
            <w:tcBorders>
              <w:top w:val="nil"/>
              <w:left w:val="nil"/>
              <w:bottom w:val="single" w:sz="4" w:space="0" w:color="auto"/>
              <w:right w:val="single" w:sz="4" w:space="0" w:color="auto"/>
            </w:tcBorders>
            <w:shd w:val="clear" w:color="auto" w:fill="auto"/>
            <w:noWrap/>
            <w:vAlign w:val="bottom"/>
            <w:hideMark/>
          </w:tcPr>
          <w:p w14:paraId="6C1D0ED8" w14:textId="76ABFE5F"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371" w:type="dxa"/>
            <w:tcBorders>
              <w:top w:val="nil"/>
              <w:left w:val="nil"/>
              <w:bottom w:val="single" w:sz="4" w:space="0" w:color="auto"/>
              <w:right w:val="single" w:sz="4" w:space="0" w:color="auto"/>
            </w:tcBorders>
            <w:shd w:val="clear" w:color="auto" w:fill="auto"/>
            <w:noWrap/>
            <w:vAlign w:val="bottom"/>
            <w:hideMark/>
          </w:tcPr>
          <w:p w14:paraId="31CF5C19" w14:textId="3F4A67BD"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894" w:type="dxa"/>
            <w:tcBorders>
              <w:top w:val="nil"/>
              <w:left w:val="nil"/>
              <w:bottom w:val="single" w:sz="4" w:space="0" w:color="auto"/>
              <w:right w:val="single" w:sz="4" w:space="0" w:color="auto"/>
            </w:tcBorders>
            <w:shd w:val="clear" w:color="auto" w:fill="auto"/>
            <w:noWrap/>
            <w:vAlign w:val="bottom"/>
            <w:hideMark/>
          </w:tcPr>
          <w:p w14:paraId="7B0CE6A6" w14:textId="247AA6C9"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38F957A8" w14:textId="105D40CB" w:rsidR="0068694B" w:rsidRPr="004D3F2B" w:rsidRDefault="0068694B" w:rsidP="00F46983">
            <w:pPr>
              <w:widowControl/>
              <w:jc w:val="center"/>
              <w:rPr>
                <w:rFonts w:ascii="Times New Roman" w:eastAsia="Times New Roman" w:hAnsi="Times New Roman"/>
                <w:color w:val="000000"/>
                <w:kern w:val="0"/>
                <w:szCs w:val="24"/>
                <w:lang w:eastAsia="zh-CN"/>
              </w:rPr>
            </w:pPr>
          </w:p>
        </w:tc>
      </w:tr>
      <w:tr w:rsidR="00E4085C" w:rsidRPr="004D3F2B" w14:paraId="70CA85B0"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361E208" w14:textId="77777777" w:rsidR="0068694B" w:rsidRPr="00CF7636" w:rsidRDefault="0068694B" w:rsidP="0068694B">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Hong Kong</w:t>
            </w:r>
          </w:p>
        </w:tc>
        <w:tc>
          <w:tcPr>
            <w:tcW w:w="1418" w:type="dxa"/>
            <w:tcBorders>
              <w:top w:val="nil"/>
              <w:left w:val="nil"/>
              <w:bottom w:val="single" w:sz="4" w:space="0" w:color="auto"/>
              <w:right w:val="single" w:sz="4" w:space="0" w:color="auto"/>
            </w:tcBorders>
            <w:shd w:val="clear" w:color="auto" w:fill="auto"/>
            <w:noWrap/>
            <w:vAlign w:val="bottom"/>
            <w:hideMark/>
          </w:tcPr>
          <w:p w14:paraId="6D293A13" w14:textId="111E50BB"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0.4</w:t>
            </w:r>
            <w:r w:rsidR="00D12ED3" w:rsidRPr="004D3F2B">
              <w:rPr>
                <w:rFonts w:ascii="Times New Roman" w:eastAsia="Times New Roman" w:hAnsi="Times New Roman"/>
                <w:color w:val="000000"/>
                <w:kern w:val="0"/>
                <w:szCs w:val="24"/>
                <w:lang w:eastAsia="zh-CN"/>
              </w:rPr>
              <w:t>8</w:t>
            </w:r>
          </w:p>
        </w:tc>
        <w:tc>
          <w:tcPr>
            <w:tcW w:w="1701" w:type="dxa"/>
            <w:tcBorders>
              <w:top w:val="nil"/>
              <w:left w:val="nil"/>
              <w:bottom w:val="single" w:sz="4" w:space="0" w:color="auto"/>
              <w:right w:val="single" w:sz="4" w:space="0" w:color="auto"/>
            </w:tcBorders>
            <w:shd w:val="clear" w:color="auto" w:fill="auto"/>
            <w:noWrap/>
            <w:vAlign w:val="bottom"/>
            <w:hideMark/>
          </w:tcPr>
          <w:p w14:paraId="61A5DDB1" w14:textId="77777777"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371" w:type="dxa"/>
            <w:tcBorders>
              <w:top w:val="nil"/>
              <w:left w:val="nil"/>
              <w:bottom w:val="single" w:sz="4" w:space="0" w:color="auto"/>
              <w:right w:val="single" w:sz="4" w:space="0" w:color="auto"/>
            </w:tcBorders>
            <w:shd w:val="clear" w:color="auto" w:fill="auto"/>
            <w:noWrap/>
            <w:vAlign w:val="bottom"/>
            <w:hideMark/>
          </w:tcPr>
          <w:p w14:paraId="3336B3A2" w14:textId="648B6211"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894" w:type="dxa"/>
            <w:tcBorders>
              <w:top w:val="nil"/>
              <w:left w:val="nil"/>
              <w:bottom w:val="single" w:sz="4" w:space="0" w:color="auto"/>
              <w:right w:val="single" w:sz="4" w:space="0" w:color="auto"/>
            </w:tcBorders>
            <w:shd w:val="clear" w:color="auto" w:fill="auto"/>
            <w:noWrap/>
            <w:vAlign w:val="bottom"/>
            <w:hideMark/>
          </w:tcPr>
          <w:p w14:paraId="549609A5" w14:textId="523E1A77"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1AFCD6D6" w14:textId="338A1D79" w:rsidR="0068694B" w:rsidRPr="004D3F2B" w:rsidRDefault="0068694B" w:rsidP="00F46983">
            <w:pPr>
              <w:widowControl/>
              <w:jc w:val="center"/>
              <w:rPr>
                <w:rFonts w:ascii="Times New Roman" w:eastAsia="Times New Roman" w:hAnsi="Times New Roman"/>
                <w:color w:val="000000"/>
                <w:kern w:val="0"/>
                <w:szCs w:val="24"/>
                <w:lang w:eastAsia="zh-CN"/>
              </w:rPr>
            </w:pPr>
          </w:p>
        </w:tc>
      </w:tr>
      <w:tr w:rsidR="00E4085C" w:rsidRPr="004D3F2B" w14:paraId="10BD3043"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477A8C0" w14:textId="77777777" w:rsidR="0068694B" w:rsidRPr="00CF7636" w:rsidRDefault="0068694B" w:rsidP="0068694B">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Malaysia</w:t>
            </w:r>
          </w:p>
        </w:tc>
        <w:tc>
          <w:tcPr>
            <w:tcW w:w="1418" w:type="dxa"/>
            <w:tcBorders>
              <w:top w:val="nil"/>
              <w:left w:val="nil"/>
              <w:bottom w:val="single" w:sz="4" w:space="0" w:color="auto"/>
              <w:right w:val="single" w:sz="4" w:space="0" w:color="auto"/>
            </w:tcBorders>
            <w:shd w:val="clear" w:color="auto" w:fill="auto"/>
            <w:noWrap/>
            <w:vAlign w:val="bottom"/>
            <w:hideMark/>
          </w:tcPr>
          <w:p w14:paraId="1D919250" w14:textId="6BFA61B1"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0.08</w:t>
            </w:r>
          </w:p>
        </w:tc>
        <w:tc>
          <w:tcPr>
            <w:tcW w:w="1701" w:type="dxa"/>
            <w:tcBorders>
              <w:top w:val="nil"/>
              <w:left w:val="nil"/>
              <w:bottom w:val="single" w:sz="4" w:space="0" w:color="auto"/>
              <w:right w:val="single" w:sz="4" w:space="0" w:color="auto"/>
            </w:tcBorders>
            <w:shd w:val="clear" w:color="auto" w:fill="auto"/>
            <w:noWrap/>
            <w:vAlign w:val="bottom"/>
            <w:hideMark/>
          </w:tcPr>
          <w:p w14:paraId="74A6C241" w14:textId="7763DF4F"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0.3</w:t>
            </w:r>
            <w:r w:rsidR="00D12ED3" w:rsidRPr="004D3F2B">
              <w:rPr>
                <w:rFonts w:ascii="Times New Roman" w:eastAsia="Times New Roman" w:hAnsi="Times New Roman"/>
                <w:color w:val="000000"/>
                <w:kern w:val="0"/>
                <w:szCs w:val="24"/>
                <w:lang w:eastAsia="zh-CN"/>
              </w:rPr>
              <w:t>9</w:t>
            </w:r>
          </w:p>
        </w:tc>
        <w:tc>
          <w:tcPr>
            <w:tcW w:w="1371" w:type="dxa"/>
            <w:tcBorders>
              <w:top w:val="nil"/>
              <w:left w:val="nil"/>
              <w:bottom w:val="single" w:sz="4" w:space="0" w:color="auto"/>
              <w:right w:val="single" w:sz="4" w:space="0" w:color="auto"/>
            </w:tcBorders>
            <w:shd w:val="clear" w:color="auto" w:fill="auto"/>
            <w:noWrap/>
            <w:vAlign w:val="bottom"/>
            <w:hideMark/>
          </w:tcPr>
          <w:p w14:paraId="3C77247C" w14:textId="77777777"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894" w:type="dxa"/>
            <w:tcBorders>
              <w:top w:val="nil"/>
              <w:left w:val="nil"/>
              <w:bottom w:val="single" w:sz="4" w:space="0" w:color="auto"/>
              <w:right w:val="single" w:sz="4" w:space="0" w:color="auto"/>
            </w:tcBorders>
            <w:shd w:val="clear" w:color="auto" w:fill="auto"/>
            <w:noWrap/>
            <w:vAlign w:val="bottom"/>
            <w:hideMark/>
          </w:tcPr>
          <w:p w14:paraId="41BF800A" w14:textId="5499876B" w:rsidR="0068694B" w:rsidRPr="004D3F2B" w:rsidRDefault="0068694B" w:rsidP="00F46983">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6A9FD50C" w14:textId="20ECF342" w:rsidR="0068694B" w:rsidRPr="004D3F2B" w:rsidRDefault="0068694B" w:rsidP="00F46983">
            <w:pPr>
              <w:widowControl/>
              <w:jc w:val="center"/>
              <w:rPr>
                <w:rFonts w:ascii="Times New Roman" w:eastAsia="Times New Roman" w:hAnsi="Times New Roman"/>
                <w:color w:val="000000"/>
                <w:kern w:val="0"/>
                <w:szCs w:val="24"/>
                <w:lang w:eastAsia="zh-CN"/>
              </w:rPr>
            </w:pPr>
          </w:p>
        </w:tc>
      </w:tr>
      <w:tr w:rsidR="00E4085C" w:rsidRPr="004D3F2B" w14:paraId="00B8AB75"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4F13A54" w14:textId="77777777" w:rsidR="0068694B" w:rsidRPr="00CF7636" w:rsidRDefault="0068694B" w:rsidP="0068694B">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Kingdom</w:t>
            </w:r>
          </w:p>
        </w:tc>
        <w:tc>
          <w:tcPr>
            <w:tcW w:w="1418" w:type="dxa"/>
            <w:tcBorders>
              <w:top w:val="nil"/>
              <w:left w:val="nil"/>
              <w:bottom w:val="single" w:sz="4" w:space="0" w:color="auto"/>
              <w:right w:val="single" w:sz="4" w:space="0" w:color="auto"/>
            </w:tcBorders>
            <w:shd w:val="clear" w:color="auto" w:fill="auto"/>
            <w:noWrap/>
            <w:vAlign w:val="bottom"/>
            <w:hideMark/>
          </w:tcPr>
          <w:p w14:paraId="755786FF" w14:textId="28E35E38"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0.0</w:t>
            </w:r>
            <w:r w:rsidR="00D12ED3" w:rsidRPr="004D3F2B">
              <w:rPr>
                <w:rFonts w:ascii="Times New Roman" w:eastAsia="Times New Roman" w:hAnsi="Times New Roman"/>
                <w:color w:val="000000"/>
                <w:kern w:val="0"/>
                <w:szCs w:val="24"/>
                <w:lang w:eastAsia="zh-CN"/>
              </w:rPr>
              <w:t>3</w:t>
            </w:r>
          </w:p>
        </w:tc>
        <w:tc>
          <w:tcPr>
            <w:tcW w:w="1701" w:type="dxa"/>
            <w:tcBorders>
              <w:top w:val="nil"/>
              <w:left w:val="nil"/>
              <w:bottom w:val="single" w:sz="4" w:space="0" w:color="auto"/>
              <w:right w:val="single" w:sz="4" w:space="0" w:color="auto"/>
            </w:tcBorders>
            <w:shd w:val="clear" w:color="auto" w:fill="auto"/>
            <w:noWrap/>
            <w:vAlign w:val="bottom"/>
            <w:hideMark/>
          </w:tcPr>
          <w:p w14:paraId="39E2E6B7" w14:textId="7510D9EE"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0.1</w:t>
            </w:r>
            <w:r w:rsidR="00D12ED3" w:rsidRPr="004D3F2B">
              <w:rPr>
                <w:rFonts w:ascii="Times New Roman" w:eastAsia="Times New Roman" w:hAnsi="Times New Roman"/>
                <w:color w:val="000000"/>
                <w:kern w:val="0"/>
                <w:szCs w:val="24"/>
                <w:lang w:eastAsia="zh-CN"/>
              </w:rPr>
              <w:t>7</w:t>
            </w:r>
          </w:p>
        </w:tc>
        <w:tc>
          <w:tcPr>
            <w:tcW w:w="1371" w:type="dxa"/>
            <w:tcBorders>
              <w:top w:val="nil"/>
              <w:left w:val="nil"/>
              <w:bottom w:val="single" w:sz="4" w:space="0" w:color="auto"/>
              <w:right w:val="single" w:sz="4" w:space="0" w:color="auto"/>
            </w:tcBorders>
            <w:shd w:val="clear" w:color="auto" w:fill="auto"/>
            <w:noWrap/>
            <w:vAlign w:val="bottom"/>
            <w:hideMark/>
          </w:tcPr>
          <w:p w14:paraId="50B9BA8B" w14:textId="1A856DCD"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0.4</w:t>
            </w:r>
            <w:r w:rsidR="00D12ED3" w:rsidRPr="004D3F2B">
              <w:rPr>
                <w:rFonts w:ascii="Times New Roman" w:eastAsia="Times New Roman" w:hAnsi="Times New Roman"/>
                <w:color w:val="000000"/>
                <w:kern w:val="0"/>
                <w:szCs w:val="24"/>
                <w:lang w:eastAsia="zh-CN"/>
              </w:rPr>
              <w:t>5</w:t>
            </w:r>
          </w:p>
        </w:tc>
        <w:tc>
          <w:tcPr>
            <w:tcW w:w="1894" w:type="dxa"/>
            <w:tcBorders>
              <w:top w:val="nil"/>
              <w:left w:val="nil"/>
              <w:bottom w:val="single" w:sz="4" w:space="0" w:color="auto"/>
              <w:right w:val="single" w:sz="4" w:space="0" w:color="auto"/>
            </w:tcBorders>
            <w:shd w:val="clear" w:color="auto" w:fill="auto"/>
            <w:noWrap/>
            <w:vAlign w:val="bottom"/>
            <w:hideMark/>
          </w:tcPr>
          <w:p w14:paraId="00364BF4" w14:textId="77777777"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c>
          <w:tcPr>
            <w:tcW w:w="1843" w:type="dxa"/>
            <w:tcBorders>
              <w:top w:val="nil"/>
              <w:left w:val="nil"/>
              <w:bottom w:val="single" w:sz="4" w:space="0" w:color="auto"/>
              <w:right w:val="single" w:sz="4" w:space="0" w:color="auto"/>
            </w:tcBorders>
            <w:shd w:val="clear" w:color="auto" w:fill="auto"/>
            <w:noWrap/>
            <w:vAlign w:val="bottom"/>
            <w:hideMark/>
          </w:tcPr>
          <w:p w14:paraId="3E0C80DE" w14:textId="3D3CE738" w:rsidR="0068694B" w:rsidRPr="004D3F2B" w:rsidRDefault="0068694B" w:rsidP="00F46983">
            <w:pPr>
              <w:widowControl/>
              <w:jc w:val="center"/>
              <w:rPr>
                <w:rFonts w:ascii="Times New Roman" w:eastAsia="Times New Roman" w:hAnsi="Times New Roman"/>
                <w:color w:val="000000"/>
                <w:kern w:val="0"/>
                <w:szCs w:val="24"/>
                <w:lang w:eastAsia="zh-CN"/>
              </w:rPr>
            </w:pPr>
          </w:p>
        </w:tc>
      </w:tr>
      <w:tr w:rsidR="00E4085C" w:rsidRPr="004D3F2B" w14:paraId="2ED18A2C"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7964B18" w14:textId="77777777" w:rsidR="0068694B" w:rsidRPr="00CF7636" w:rsidRDefault="0068694B" w:rsidP="0068694B">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States</w:t>
            </w:r>
          </w:p>
        </w:tc>
        <w:tc>
          <w:tcPr>
            <w:tcW w:w="1418" w:type="dxa"/>
            <w:tcBorders>
              <w:top w:val="nil"/>
              <w:left w:val="nil"/>
              <w:bottom w:val="single" w:sz="4" w:space="0" w:color="auto"/>
              <w:right w:val="single" w:sz="4" w:space="0" w:color="auto"/>
            </w:tcBorders>
            <w:shd w:val="clear" w:color="auto" w:fill="auto"/>
            <w:noWrap/>
            <w:vAlign w:val="bottom"/>
            <w:hideMark/>
          </w:tcPr>
          <w:p w14:paraId="6BCBBC45" w14:textId="3B1FB05F"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0.0</w:t>
            </w:r>
            <w:r w:rsidR="00D12ED3" w:rsidRPr="004D3F2B">
              <w:rPr>
                <w:rFonts w:ascii="Times New Roman" w:eastAsia="Times New Roman" w:hAnsi="Times New Roman"/>
                <w:color w:val="000000"/>
                <w:kern w:val="0"/>
                <w:szCs w:val="24"/>
                <w:lang w:eastAsia="zh-CN"/>
              </w:rPr>
              <w:t>8</w:t>
            </w:r>
          </w:p>
        </w:tc>
        <w:tc>
          <w:tcPr>
            <w:tcW w:w="1701" w:type="dxa"/>
            <w:tcBorders>
              <w:top w:val="nil"/>
              <w:left w:val="nil"/>
              <w:bottom w:val="single" w:sz="4" w:space="0" w:color="auto"/>
              <w:right w:val="single" w:sz="4" w:space="0" w:color="auto"/>
            </w:tcBorders>
            <w:shd w:val="clear" w:color="auto" w:fill="auto"/>
            <w:noWrap/>
            <w:vAlign w:val="bottom"/>
            <w:hideMark/>
          </w:tcPr>
          <w:p w14:paraId="0202A598" w14:textId="22857A58"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-0.02</w:t>
            </w:r>
          </w:p>
        </w:tc>
        <w:tc>
          <w:tcPr>
            <w:tcW w:w="1371" w:type="dxa"/>
            <w:tcBorders>
              <w:top w:val="nil"/>
              <w:left w:val="nil"/>
              <w:bottom w:val="single" w:sz="4" w:space="0" w:color="auto"/>
              <w:right w:val="single" w:sz="4" w:space="0" w:color="auto"/>
            </w:tcBorders>
            <w:shd w:val="clear" w:color="auto" w:fill="auto"/>
            <w:noWrap/>
            <w:vAlign w:val="bottom"/>
            <w:hideMark/>
          </w:tcPr>
          <w:p w14:paraId="3A977BE1" w14:textId="2F7E25C1"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0.26</w:t>
            </w:r>
          </w:p>
        </w:tc>
        <w:tc>
          <w:tcPr>
            <w:tcW w:w="1894" w:type="dxa"/>
            <w:tcBorders>
              <w:top w:val="nil"/>
              <w:left w:val="nil"/>
              <w:bottom w:val="single" w:sz="4" w:space="0" w:color="auto"/>
              <w:right w:val="single" w:sz="4" w:space="0" w:color="auto"/>
            </w:tcBorders>
            <w:shd w:val="clear" w:color="auto" w:fill="auto"/>
            <w:noWrap/>
            <w:vAlign w:val="bottom"/>
            <w:hideMark/>
          </w:tcPr>
          <w:p w14:paraId="60784167" w14:textId="0BD211B1"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0.71</w:t>
            </w:r>
          </w:p>
        </w:tc>
        <w:tc>
          <w:tcPr>
            <w:tcW w:w="1843" w:type="dxa"/>
            <w:tcBorders>
              <w:top w:val="nil"/>
              <w:left w:val="nil"/>
              <w:bottom w:val="single" w:sz="4" w:space="0" w:color="auto"/>
              <w:right w:val="single" w:sz="4" w:space="0" w:color="auto"/>
            </w:tcBorders>
            <w:shd w:val="clear" w:color="auto" w:fill="auto"/>
            <w:noWrap/>
            <w:vAlign w:val="bottom"/>
            <w:hideMark/>
          </w:tcPr>
          <w:p w14:paraId="0071F506" w14:textId="77777777" w:rsidR="0068694B" w:rsidRPr="004D3F2B" w:rsidRDefault="0068694B" w:rsidP="00F46983">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r>
    </w:tbl>
    <w:p w14:paraId="03B6E852" w14:textId="77777777" w:rsidR="0067709A" w:rsidRPr="004D3F2B" w:rsidRDefault="00F46983" w:rsidP="0067709A">
      <w:pPr>
        <w:adjustRightInd w:val="0"/>
        <w:snapToGrid w:val="0"/>
        <w:spacing w:line="360" w:lineRule="auto"/>
        <w:jc w:val="both"/>
        <w:rPr>
          <w:rFonts w:ascii="Times New Roman" w:hAnsi="Times New Roman"/>
          <w:color w:val="2C3E50"/>
          <w:szCs w:val="24"/>
          <w:shd w:val="clear" w:color="auto" w:fill="FFFFFF"/>
        </w:rPr>
      </w:pPr>
      <w:r w:rsidRPr="004D3F2B">
        <w:rPr>
          <w:rFonts w:ascii="Times New Roman" w:hAnsi="Times New Roman"/>
          <w:b/>
          <w:bCs/>
          <w:szCs w:val="24"/>
        </w:rPr>
        <w:t xml:space="preserve">Sources: </w:t>
      </w:r>
      <w:r w:rsidRPr="004D3F2B">
        <w:rPr>
          <w:rFonts w:ascii="Times New Roman" w:hAnsi="Times New Roman"/>
          <w:color w:val="2C3E50"/>
          <w:szCs w:val="24"/>
          <w:shd w:val="clear" w:color="auto" w:fill="FFFFFF"/>
        </w:rPr>
        <w:t>www.imf.org, n.d.</w:t>
      </w:r>
    </w:p>
    <w:p w14:paraId="3712970E" w14:textId="77777777" w:rsidR="0067709A" w:rsidRPr="004D3F2B" w:rsidRDefault="0067709A" w:rsidP="0067709A">
      <w:pPr>
        <w:adjustRightInd w:val="0"/>
        <w:snapToGrid w:val="0"/>
        <w:spacing w:line="360" w:lineRule="auto"/>
        <w:jc w:val="both"/>
        <w:rPr>
          <w:rFonts w:ascii="Times New Roman" w:hAnsi="Times New Roman"/>
          <w:color w:val="2C3E50"/>
          <w:szCs w:val="24"/>
          <w:shd w:val="clear" w:color="auto" w:fill="FFFFFF"/>
        </w:rPr>
      </w:pPr>
    </w:p>
    <w:p w14:paraId="4FD6CC47" w14:textId="48D851D8"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Based on the comprehensive analysis of inflation rate correlations from 2002 to 2022 for China, Hong Kong, Malaysia, the United Kingdom, and the United States, we can draw the following conclusions:</w:t>
      </w:r>
    </w:p>
    <w:p w14:paraId="7E67A5B1" w14:textId="77777777" w:rsidR="0067709A" w:rsidRPr="004D3F2B" w:rsidRDefault="0067709A" w:rsidP="0067709A">
      <w:pPr>
        <w:adjustRightInd w:val="0"/>
        <w:snapToGrid w:val="0"/>
        <w:spacing w:line="360" w:lineRule="auto"/>
        <w:jc w:val="both"/>
        <w:rPr>
          <w:rFonts w:ascii="Times New Roman" w:hAnsi="Times New Roman"/>
          <w:szCs w:val="24"/>
        </w:rPr>
      </w:pPr>
    </w:p>
    <w:p w14:paraId="694C78B3" w14:textId="09B967C5"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Hong Kong: Moderate correlation with China and weaker links with other regions suggest</w:t>
      </w:r>
      <w:r w:rsidR="00F135F2">
        <w:rPr>
          <w:rFonts w:ascii="Times New Roman" w:hAnsi="Times New Roman"/>
          <w:szCs w:val="24"/>
        </w:rPr>
        <w:t>s</w:t>
      </w:r>
      <w:r w:rsidRPr="004D3F2B">
        <w:rPr>
          <w:rFonts w:ascii="Times New Roman" w:hAnsi="Times New Roman"/>
          <w:szCs w:val="24"/>
        </w:rPr>
        <w:t xml:space="preserve"> that Hong Kong's inflation is influenced by regional factors, particularly its economic ties with China, but also shows a degree of independence.</w:t>
      </w:r>
    </w:p>
    <w:p w14:paraId="35BF5F8B" w14:textId="77777777" w:rsidR="0067709A" w:rsidRPr="004D3F2B" w:rsidRDefault="0067709A" w:rsidP="0067709A">
      <w:pPr>
        <w:adjustRightInd w:val="0"/>
        <w:snapToGrid w:val="0"/>
        <w:spacing w:line="360" w:lineRule="auto"/>
        <w:jc w:val="both"/>
        <w:rPr>
          <w:rFonts w:ascii="Times New Roman" w:hAnsi="Times New Roman"/>
          <w:szCs w:val="24"/>
        </w:rPr>
      </w:pPr>
    </w:p>
    <w:p w14:paraId="09C11C49" w14:textId="2FF7AEE0"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China: Exhibits low correlations with all regions, indicating that its inflation trends are largely driven by domestic factors and policies, making it relatively insulated from global inflation trends.</w:t>
      </w:r>
    </w:p>
    <w:p w14:paraId="5066C641" w14:textId="77777777" w:rsidR="0067709A" w:rsidRPr="004D3F2B" w:rsidRDefault="0067709A" w:rsidP="0067709A">
      <w:pPr>
        <w:adjustRightInd w:val="0"/>
        <w:snapToGrid w:val="0"/>
        <w:spacing w:line="360" w:lineRule="auto"/>
        <w:jc w:val="both"/>
        <w:rPr>
          <w:rFonts w:ascii="Times New Roman" w:hAnsi="Times New Roman"/>
          <w:szCs w:val="24"/>
        </w:rPr>
      </w:pPr>
    </w:p>
    <w:p w14:paraId="11D08C20" w14:textId="012D5CB5"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Malaysia: Shows moderate correlations with the UK and weaker ones with other regions, suggesting some influence from global economic trends but also a significant degree of autonomy in its inflation dynamics.</w:t>
      </w:r>
    </w:p>
    <w:p w14:paraId="089C594E" w14:textId="77777777" w:rsidR="0067709A" w:rsidRPr="004D3F2B" w:rsidRDefault="0067709A" w:rsidP="0067709A">
      <w:pPr>
        <w:adjustRightInd w:val="0"/>
        <w:snapToGrid w:val="0"/>
        <w:spacing w:line="360" w:lineRule="auto"/>
        <w:jc w:val="both"/>
        <w:rPr>
          <w:rFonts w:ascii="Times New Roman" w:hAnsi="Times New Roman"/>
          <w:szCs w:val="24"/>
        </w:rPr>
      </w:pPr>
    </w:p>
    <w:p w14:paraId="711AC938" w14:textId="2E5B2AE7"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United Kingdom: The strong correlation with the US highlights the close economic ties and shared inflation trends between these two developed economies, while weaker correlations with Asian markets indicate less influence from these regions.</w:t>
      </w:r>
    </w:p>
    <w:p w14:paraId="0B225BD8" w14:textId="77777777" w:rsidR="0067709A" w:rsidRPr="004D3F2B" w:rsidRDefault="0067709A" w:rsidP="0067709A">
      <w:pPr>
        <w:adjustRightInd w:val="0"/>
        <w:snapToGrid w:val="0"/>
        <w:spacing w:line="360" w:lineRule="auto"/>
        <w:jc w:val="both"/>
        <w:rPr>
          <w:rFonts w:ascii="Times New Roman" w:hAnsi="Times New Roman"/>
          <w:szCs w:val="24"/>
        </w:rPr>
      </w:pPr>
    </w:p>
    <w:p w14:paraId="5361A457" w14:textId="248F90E4" w:rsidR="00321F1F"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United States: Strong correlation with the UK and weaker correlations with Asian markets underscore the US's role as a global economic leader, with its inflation trends closely aligned with other developed economies and less affected by emerging markets.</w:t>
      </w:r>
      <w:bookmarkEnd w:id="6"/>
    </w:p>
    <w:p w14:paraId="3B9B59AE" w14:textId="77777777" w:rsidR="0067709A" w:rsidRPr="004D3F2B" w:rsidRDefault="0067709A" w:rsidP="0067709A">
      <w:pPr>
        <w:adjustRightInd w:val="0"/>
        <w:snapToGrid w:val="0"/>
        <w:spacing w:line="360" w:lineRule="auto"/>
        <w:jc w:val="both"/>
        <w:rPr>
          <w:rFonts w:ascii="Times New Roman" w:hAnsi="Times New Roman"/>
          <w:b/>
          <w:bCs/>
          <w:szCs w:val="24"/>
        </w:rPr>
      </w:pPr>
    </w:p>
    <w:p w14:paraId="7410042D" w14:textId="77777777" w:rsidR="006510BB" w:rsidRDefault="006510BB">
      <w:pPr>
        <w:widowControl/>
        <w:rPr>
          <w:rFonts w:ascii="Times New Roman" w:hAnsi="Times New Roman"/>
          <w:b/>
          <w:bCs/>
          <w:szCs w:val="24"/>
        </w:rPr>
      </w:pPr>
      <w:r>
        <w:rPr>
          <w:rFonts w:ascii="Times New Roman" w:hAnsi="Times New Roman"/>
          <w:b/>
          <w:bCs/>
          <w:szCs w:val="24"/>
        </w:rPr>
        <w:br w:type="page"/>
      </w:r>
    </w:p>
    <w:p w14:paraId="12C6EB54" w14:textId="587DFAEC" w:rsidR="003504DB" w:rsidRPr="00443886" w:rsidRDefault="003504DB" w:rsidP="00325F1F">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3.2 Pattern of the local trend movement</w:t>
      </w:r>
      <w:r w:rsidR="002A2309" w:rsidRPr="004D3F2B">
        <w:rPr>
          <w:rFonts w:ascii="Times New Roman" w:hAnsi="Times New Roman"/>
          <w:b/>
          <w:bCs/>
          <w:szCs w:val="24"/>
        </w:rPr>
        <w:t xml:space="preserve"> </w:t>
      </w:r>
      <w:r w:rsidR="002A2309" w:rsidRPr="004D3F2B">
        <w:rPr>
          <w:rFonts w:ascii="Times New Roman" w:hAnsi="Times New Roman"/>
          <w:b/>
          <w:szCs w:val="24"/>
        </w:rPr>
        <w:t>(Inflation rate, end of period consumer prices)</w:t>
      </w:r>
    </w:p>
    <w:p w14:paraId="1E22ED8A" w14:textId="0ABAA362" w:rsidR="003B19AE" w:rsidRPr="004D3F2B" w:rsidRDefault="003B19AE" w:rsidP="003B19AE">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Figure 1 Time plot of </w:t>
      </w:r>
      <w:r w:rsidR="00F135F2">
        <w:rPr>
          <w:rFonts w:ascii="Times New Roman" w:hAnsi="Times New Roman"/>
          <w:bCs/>
          <w:szCs w:val="24"/>
        </w:rPr>
        <w:t>consumer i</w:t>
      </w:r>
      <w:r w:rsidRPr="004D3F2B">
        <w:rPr>
          <w:rFonts w:ascii="Times New Roman" w:hAnsi="Times New Roman"/>
          <w:bCs/>
          <w:szCs w:val="24"/>
        </w:rPr>
        <w:t>nflation rate</w:t>
      </w:r>
      <w:r w:rsidR="00F135F2">
        <w:rPr>
          <w:rFonts w:ascii="Times New Roman" w:hAnsi="Times New Roman"/>
          <w:bCs/>
          <w:szCs w:val="24"/>
        </w:rPr>
        <w:t>s</w:t>
      </w:r>
      <w:r w:rsidR="00922E84">
        <w:rPr>
          <w:rFonts w:ascii="Times New Roman" w:hAnsi="Times New Roman"/>
          <w:bCs/>
          <w:szCs w:val="24"/>
        </w:rPr>
        <w:t xml:space="preserve"> </w:t>
      </w:r>
      <w:r w:rsidRPr="004D3F2B">
        <w:rPr>
          <w:rFonts w:ascii="Times New Roman" w:hAnsi="Times New Roman"/>
          <w:bCs/>
          <w:szCs w:val="24"/>
        </w:rPr>
        <w:t>in the selected countries: 2019 to 2022</w:t>
      </w:r>
      <w:r w:rsidR="00F135F2">
        <w:rPr>
          <w:rFonts w:ascii="Times New Roman" w:hAnsi="Times New Roman"/>
          <w:bCs/>
          <w:szCs w:val="24"/>
        </w:rPr>
        <w:t xml:space="preserve"> (%)</w:t>
      </w:r>
    </w:p>
    <w:tbl>
      <w:tblPr>
        <w:tblStyle w:val="af6"/>
        <w:tblW w:w="0" w:type="auto"/>
        <w:tblCellMar>
          <w:left w:w="28" w:type="dxa"/>
          <w:right w:w="28" w:type="dxa"/>
        </w:tblCellMar>
        <w:tblLook w:val="04A0" w:firstRow="1" w:lastRow="0" w:firstColumn="1" w:lastColumn="0" w:noHBand="0" w:noVBand="1"/>
      </w:tblPr>
      <w:tblGrid>
        <w:gridCol w:w="8500"/>
      </w:tblGrid>
      <w:tr w:rsidR="003B19AE" w:rsidRPr="004D3F2B" w14:paraId="2FADC8BE" w14:textId="77777777" w:rsidTr="00443886">
        <w:trPr>
          <w:trHeight w:val="5094"/>
        </w:trPr>
        <w:tc>
          <w:tcPr>
            <w:tcW w:w="8500" w:type="dxa"/>
            <w:vAlign w:val="center"/>
          </w:tcPr>
          <w:p w14:paraId="3CFF7810" w14:textId="33F00013" w:rsidR="003B19AE" w:rsidRPr="004D3F2B" w:rsidRDefault="000B4A97" w:rsidP="003E6DB9">
            <w:pPr>
              <w:adjustRightInd w:val="0"/>
              <w:snapToGrid w:val="0"/>
              <w:spacing w:line="360" w:lineRule="auto"/>
              <w:jc w:val="center"/>
              <w:rPr>
                <w:rFonts w:ascii="Times New Roman" w:hAnsi="Times New Roman"/>
                <w:bCs/>
                <w:color w:val="0000CC"/>
                <w:szCs w:val="24"/>
              </w:rPr>
            </w:pPr>
            <w:r w:rsidRPr="004D3F2B">
              <w:rPr>
                <w:rFonts w:ascii="Times New Roman" w:hAnsi="Times New Roman"/>
                <w:noProof/>
                <w:szCs w:val="24"/>
              </w:rPr>
              <w:drawing>
                <wp:inline distT="0" distB="0" distL="0" distR="0" wp14:anchorId="193FADA6" wp14:editId="47DD0710">
                  <wp:extent cx="4627659" cy="3252084"/>
                  <wp:effectExtent l="0" t="0" r="1905" b="5715"/>
                  <wp:docPr id="1624498480" name="圖表 1">
                    <a:extLst xmlns:a="http://schemas.openxmlformats.org/drawingml/2006/main">
                      <a:ext uri="{FF2B5EF4-FFF2-40B4-BE49-F238E27FC236}">
                        <a16:creationId xmlns:a16="http://schemas.microsoft.com/office/drawing/2014/main" id="{EB51001E-CE0A-44A6-AB03-10683081DE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r>
      <w:tr w:rsidR="003B19AE" w:rsidRPr="004D3F2B" w14:paraId="0D65D9C2" w14:textId="77777777" w:rsidTr="00443886">
        <w:tblPrEx>
          <w:tblCellMar>
            <w:left w:w="108" w:type="dxa"/>
            <w:right w:w="108" w:type="dxa"/>
          </w:tblCellMar>
        </w:tblPrEx>
        <w:trPr>
          <w:trHeight w:val="60"/>
        </w:trPr>
        <w:tc>
          <w:tcPr>
            <w:tcW w:w="8500" w:type="dxa"/>
            <w:vAlign w:val="center"/>
          </w:tcPr>
          <w:p w14:paraId="38FAED14" w14:textId="77777777" w:rsidR="003B19AE" w:rsidRPr="004D3F2B" w:rsidRDefault="003B19AE" w:rsidP="003E6DB9">
            <w:pPr>
              <w:adjustRightInd w:val="0"/>
              <w:snapToGrid w:val="0"/>
              <w:spacing w:line="360" w:lineRule="auto"/>
              <w:jc w:val="both"/>
              <w:rPr>
                <w:rFonts w:ascii="Times New Roman" w:hAnsi="Times New Roman"/>
                <w:bCs/>
                <w:color w:val="0000CC"/>
                <w:szCs w:val="24"/>
              </w:rPr>
            </w:pPr>
            <w:r w:rsidRPr="00CF7636">
              <w:rPr>
                <w:rFonts w:ascii="Times New Roman" w:hAnsi="Times New Roman"/>
                <w:bCs/>
                <w:color w:val="000000" w:themeColor="text1"/>
                <w:szCs w:val="24"/>
              </w:rPr>
              <w:t>Sources:</w:t>
            </w:r>
            <w:r w:rsidRPr="004D3F2B">
              <w:rPr>
                <w:rFonts w:ascii="Times New Roman" w:hAnsi="Times New Roman"/>
                <w:bCs/>
                <w:color w:val="0000CC"/>
                <w:szCs w:val="24"/>
              </w:rPr>
              <w:t xml:space="preserve"> </w:t>
            </w:r>
            <w:r w:rsidRPr="004D3F2B">
              <w:rPr>
                <w:rFonts w:ascii="Times New Roman" w:hAnsi="Times New Roman"/>
                <w:color w:val="2C3E50"/>
                <w:szCs w:val="24"/>
                <w:shd w:val="clear" w:color="auto" w:fill="FFFFFF"/>
              </w:rPr>
              <w:t>www.imf.org, n.d.</w:t>
            </w:r>
          </w:p>
        </w:tc>
      </w:tr>
    </w:tbl>
    <w:p w14:paraId="61E72A2B" w14:textId="77777777" w:rsidR="008F0095" w:rsidRPr="004D3F2B" w:rsidRDefault="008F0095" w:rsidP="00325F1F">
      <w:pPr>
        <w:adjustRightInd w:val="0"/>
        <w:snapToGrid w:val="0"/>
        <w:spacing w:line="360" w:lineRule="auto"/>
        <w:jc w:val="both"/>
        <w:rPr>
          <w:rFonts w:ascii="Times New Roman" w:hAnsi="Times New Roman"/>
          <w:bCs/>
          <w:color w:val="0000CC"/>
          <w:szCs w:val="24"/>
        </w:rPr>
      </w:pPr>
    </w:p>
    <w:p w14:paraId="2CD7E3C9" w14:textId="410BEFA3" w:rsidR="008F0095" w:rsidRPr="004D3F2B" w:rsidRDefault="008F0095"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provided data shows the inflation rates, at the end of period consumer prices, for China, Hong Kong, Malaysia, the United Kingdom, and the United States from 2019 to 2022. There is a noticeable fluctuation in inflation rates across all these regions, particularly in the years 2020 through 2022. These fluctuations can be largely attributed to the economic impact of the COVID-19 pandemic and other global events such as the Russia-Ukraine conflict.</w:t>
      </w:r>
      <w:r w:rsidR="0077750A" w:rsidRPr="004D3F2B">
        <w:rPr>
          <w:rFonts w:ascii="Times New Roman" w:hAnsi="Times New Roman"/>
          <w:bCs/>
          <w:szCs w:val="24"/>
        </w:rPr>
        <w:t xml:space="preserve"> </w:t>
      </w:r>
      <w:r w:rsidRPr="004D3F2B">
        <w:rPr>
          <w:rFonts w:ascii="Times New Roman" w:hAnsi="Times New Roman"/>
          <w:bCs/>
          <w:szCs w:val="24"/>
        </w:rPr>
        <w:t>Here is a summary of the trends and significant events that influenced these fluctuations, supported by the relevant literature:</w:t>
      </w:r>
    </w:p>
    <w:p w14:paraId="714A546F" w14:textId="77777777" w:rsidR="008F0095" w:rsidRPr="004D3F2B" w:rsidRDefault="008F0095" w:rsidP="008F0095">
      <w:pPr>
        <w:adjustRightInd w:val="0"/>
        <w:snapToGrid w:val="0"/>
        <w:spacing w:line="360" w:lineRule="auto"/>
        <w:jc w:val="both"/>
        <w:rPr>
          <w:rFonts w:ascii="Times New Roman" w:hAnsi="Times New Roman"/>
          <w:bCs/>
          <w:szCs w:val="24"/>
        </w:rPr>
      </w:pPr>
    </w:p>
    <w:p w14:paraId="4B960BED" w14:textId="0D44E384"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Year 2020: S</w:t>
      </w:r>
      <w:r w:rsidR="008F0095" w:rsidRPr="004D3F2B">
        <w:rPr>
          <w:rFonts w:ascii="Times New Roman" w:hAnsi="Times New Roman"/>
          <w:bCs/>
          <w:szCs w:val="24"/>
        </w:rPr>
        <w:t>aw a dramatic decrease in inflation rates across most regions due to the COVID-19 pandemic. Lockdowns and restrictions on movement led to a reduction in consumer spending and a significant economic downturn. The United States experienced a less severe decrease in inflation, possibly due to different policy responses and the scale of fiscal stimulus measures (Li, Wu, &amp; Yang, 2023).</w:t>
      </w:r>
    </w:p>
    <w:p w14:paraId="5B7EBAE6" w14:textId="77777777" w:rsidR="006874A6" w:rsidRPr="004D3F2B" w:rsidRDefault="006874A6" w:rsidP="008F0095">
      <w:pPr>
        <w:adjustRightInd w:val="0"/>
        <w:snapToGrid w:val="0"/>
        <w:spacing w:line="360" w:lineRule="auto"/>
        <w:jc w:val="both"/>
        <w:rPr>
          <w:rFonts w:ascii="Times New Roman" w:hAnsi="Times New Roman"/>
          <w:bCs/>
          <w:szCs w:val="24"/>
        </w:rPr>
      </w:pPr>
    </w:p>
    <w:p w14:paraId="7F3EA0AE" w14:textId="134451D5"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Year </w:t>
      </w:r>
      <w:r w:rsidR="008F0095" w:rsidRPr="004D3F2B">
        <w:rPr>
          <w:rFonts w:ascii="Times New Roman" w:hAnsi="Times New Roman"/>
          <w:bCs/>
          <w:szCs w:val="24"/>
        </w:rPr>
        <w:t>2021</w:t>
      </w:r>
      <w:r w:rsidRPr="004D3F2B">
        <w:rPr>
          <w:rFonts w:ascii="Times New Roman" w:hAnsi="Times New Roman"/>
          <w:bCs/>
          <w:szCs w:val="24"/>
        </w:rPr>
        <w:t>:</w:t>
      </w:r>
      <w:r w:rsidR="008F0095" w:rsidRPr="004D3F2B">
        <w:rPr>
          <w:rFonts w:ascii="Times New Roman" w:hAnsi="Times New Roman"/>
          <w:bCs/>
          <w:szCs w:val="24"/>
        </w:rPr>
        <w:t xml:space="preserve"> marked a period of economic recovery with inflation rates increasing as consumer spending rebounded. However, supply chain disruptions and energy price hikes due to the pandemic's lingering effects contributed to inflationary pressures (Huang, 2021).</w:t>
      </w:r>
    </w:p>
    <w:p w14:paraId="20A73C42" w14:textId="77777777" w:rsidR="008F0095" w:rsidRPr="004D3F2B" w:rsidRDefault="008F0095" w:rsidP="008F0095">
      <w:pPr>
        <w:adjustRightInd w:val="0"/>
        <w:snapToGrid w:val="0"/>
        <w:spacing w:line="360" w:lineRule="auto"/>
        <w:jc w:val="both"/>
        <w:rPr>
          <w:rFonts w:ascii="Times New Roman" w:hAnsi="Times New Roman"/>
          <w:bCs/>
          <w:szCs w:val="24"/>
        </w:rPr>
      </w:pPr>
    </w:p>
    <w:p w14:paraId="4ABF6BFE" w14:textId="056BE091"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 xml:space="preserve">Year </w:t>
      </w:r>
      <w:r w:rsidR="008F0095" w:rsidRPr="004D3F2B">
        <w:rPr>
          <w:rFonts w:ascii="Times New Roman" w:hAnsi="Times New Roman"/>
          <w:bCs/>
          <w:szCs w:val="24"/>
        </w:rPr>
        <w:t>2022</w:t>
      </w:r>
      <w:r w:rsidRPr="004D3F2B">
        <w:rPr>
          <w:rFonts w:ascii="Times New Roman" w:hAnsi="Times New Roman"/>
          <w:bCs/>
          <w:szCs w:val="24"/>
        </w:rPr>
        <w:t>:</w:t>
      </w:r>
      <w:r w:rsidR="008F0095" w:rsidRPr="004D3F2B">
        <w:rPr>
          <w:rFonts w:ascii="Times New Roman" w:hAnsi="Times New Roman"/>
          <w:bCs/>
          <w:szCs w:val="24"/>
        </w:rPr>
        <w:t xml:space="preserve"> </w:t>
      </w:r>
      <w:r w:rsidRPr="004D3F2B">
        <w:rPr>
          <w:rFonts w:ascii="Times New Roman" w:hAnsi="Times New Roman"/>
          <w:bCs/>
          <w:szCs w:val="24"/>
        </w:rPr>
        <w:t>S</w:t>
      </w:r>
      <w:r w:rsidR="008F0095" w:rsidRPr="004D3F2B">
        <w:rPr>
          <w:rFonts w:ascii="Times New Roman" w:hAnsi="Times New Roman"/>
          <w:bCs/>
          <w:szCs w:val="24"/>
        </w:rPr>
        <w:t>aw further increases in inflation rates, with the United Kingdom experiencing a particularly sharp rise to 10.5%. This increase can be attributed to the combined effects of post-pandemic economic recovery, high energy prices, and the impact of the Russia-Ukraine conflict on global commodity prices (Chen, 2023).</w:t>
      </w:r>
    </w:p>
    <w:p w14:paraId="2C9EDC12" w14:textId="77777777" w:rsidR="008F0095" w:rsidRPr="004D3F2B" w:rsidRDefault="008F0095" w:rsidP="008F0095">
      <w:pPr>
        <w:adjustRightInd w:val="0"/>
        <w:snapToGrid w:val="0"/>
        <w:spacing w:line="360" w:lineRule="auto"/>
        <w:jc w:val="both"/>
        <w:rPr>
          <w:rFonts w:ascii="Times New Roman" w:hAnsi="Times New Roman"/>
          <w:bCs/>
          <w:szCs w:val="24"/>
        </w:rPr>
      </w:pPr>
    </w:p>
    <w:p w14:paraId="656D6E7C" w14:textId="77777777" w:rsidR="008F0095" w:rsidRPr="004D3F2B" w:rsidRDefault="008F0095"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research concludes that the pandemic has posed significant challenges to the global economy, leading to recessionary tendencies and inflation crises. Efforts by governments and monetary authorities to stimulate the economy have had mixed results, with the need to balance inflation risks against economic growth. The situation was further complicated by the conflict between Russia and Ukraine, which had an additional inflationary impact.</w:t>
      </w:r>
    </w:p>
    <w:p w14:paraId="323483FB" w14:textId="77777777" w:rsidR="008F0095" w:rsidRPr="004D3F2B" w:rsidRDefault="008F0095" w:rsidP="008F0095">
      <w:pPr>
        <w:adjustRightInd w:val="0"/>
        <w:snapToGrid w:val="0"/>
        <w:spacing w:line="360" w:lineRule="auto"/>
        <w:jc w:val="both"/>
        <w:rPr>
          <w:rFonts w:ascii="Times New Roman" w:hAnsi="Times New Roman"/>
          <w:bCs/>
          <w:szCs w:val="24"/>
        </w:rPr>
      </w:pPr>
    </w:p>
    <w:p w14:paraId="6D14FA9B" w14:textId="27C76D70" w:rsidR="00443886" w:rsidRDefault="008F0095" w:rsidP="00421BAD">
      <w:pPr>
        <w:adjustRightInd w:val="0"/>
        <w:snapToGrid w:val="0"/>
        <w:spacing w:line="360" w:lineRule="auto"/>
        <w:jc w:val="both"/>
        <w:rPr>
          <w:rFonts w:ascii="Times New Roman" w:hAnsi="Times New Roman"/>
          <w:b/>
          <w:szCs w:val="24"/>
        </w:rPr>
      </w:pPr>
      <w:r w:rsidRPr="004D3F2B">
        <w:rPr>
          <w:rFonts w:ascii="Times New Roman" w:hAnsi="Times New Roman"/>
          <w:bCs/>
          <w:szCs w:val="24"/>
        </w:rPr>
        <w:t>In summary, the inflation rates in these regions during 2019-2022 were significantly influenced by the COVID-19 pandemic, policy responses to the pandemic, and global events such as the Russia-Ukraine conflict. These factors led to fluctuations in consumer prices, which are reflected in the varying inflation rates across the years.</w:t>
      </w:r>
      <w:r w:rsidR="00443886">
        <w:rPr>
          <w:rFonts w:ascii="Times New Roman" w:hAnsi="Times New Roman"/>
          <w:b/>
          <w:szCs w:val="24"/>
        </w:rPr>
        <w:br w:type="page"/>
      </w:r>
    </w:p>
    <w:p w14:paraId="6E92E5E7" w14:textId="4C5F2092" w:rsidR="006874A6" w:rsidRDefault="006874A6" w:rsidP="006874A6">
      <w:pPr>
        <w:adjustRightInd w:val="0"/>
        <w:snapToGrid w:val="0"/>
        <w:jc w:val="both"/>
        <w:rPr>
          <w:rFonts w:ascii="Times New Roman" w:hAnsi="Times New Roman"/>
          <w:b/>
          <w:szCs w:val="24"/>
        </w:rPr>
      </w:pPr>
      <w:r w:rsidRPr="004D3F2B">
        <w:rPr>
          <w:rFonts w:ascii="Times New Roman" w:hAnsi="Times New Roman"/>
          <w:b/>
          <w:szCs w:val="24"/>
        </w:rPr>
        <w:lastRenderedPageBreak/>
        <w:t xml:space="preserve">Table 2 Major summary statistics of </w:t>
      </w:r>
      <w:r w:rsidR="00443886">
        <w:rPr>
          <w:rFonts w:ascii="Times New Roman" w:hAnsi="Times New Roman"/>
          <w:b/>
          <w:szCs w:val="24"/>
        </w:rPr>
        <w:t>consumer i</w:t>
      </w:r>
      <w:r w:rsidRPr="004D3F2B">
        <w:rPr>
          <w:rFonts w:ascii="Times New Roman" w:hAnsi="Times New Roman"/>
          <w:b/>
          <w:szCs w:val="24"/>
        </w:rPr>
        <w:t>nflation rate</w:t>
      </w:r>
      <w:r w:rsidR="00F135F2">
        <w:rPr>
          <w:rFonts w:ascii="Times New Roman" w:hAnsi="Times New Roman"/>
          <w:b/>
          <w:szCs w:val="24"/>
        </w:rPr>
        <w:t>s</w:t>
      </w:r>
      <w:r w:rsidRPr="004D3F2B">
        <w:rPr>
          <w:rFonts w:ascii="Times New Roman" w:hAnsi="Times New Roman"/>
          <w:b/>
          <w:szCs w:val="24"/>
        </w:rPr>
        <w:t xml:space="preserve"> in selected countries: 20</w:t>
      </w:r>
      <w:r w:rsidR="00EA00BF" w:rsidRPr="004D3F2B">
        <w:rPr>
          <w:rFonts w:ascii="Times New Roman" w:hAnsi="Times New Roman"/>
          <w:b/>
          <w:szCs w:val="24"/>
        </w:rPr>
        <w:t>19</w:t>
      </w:r>
      <w:r w:rsidRPr="004D3F2B">
        <w:rPr>
          <w:rFonts w:ascii="Times New Roman" w:hAnsi="Times New Roman"/>
          <w:b/>
          <w:szCs w:val="24"/>
        </w:rPr>
        <w:t xml:space="preserve"> to 2022</w:t>
      </w:r>
      <w:r w:rsidR="00443886">
        <w:rPr>
          <w:rFonts w:ascii="Times New Roman" w:hAnsi="Times New Roman"/>
          <w:b/>
          <w:szCs w:val="24"/>
        </w:rPr>
        <w:t xml:space="preserve"> (%)</w:t>
      </w:r>
    </w:p>
    <w:p w14:paraId="148AC994" w14:textId="77777777" w:rsidR="006874A6" w:rsidRPr="004D3F2B" w:rsidRDefault="006874A6" w:rsidP="006874A6">
      <w:pPr>
        <w:adjustRightInd w:val="0"/>
        <w:snapToGrid w:val="0"/>
        <w:jc w:val="both"/>
        <w:rPr>
          <w:rFonts w:ascii="Times New Roman" w:hAnsi="Times New Roman"/>
          <w:b/>
          <w:szCs w:val="24"/>
        </w:rPr>
      </w:pPr>
    </w:p>
    <w:tbl>
      <w:tblPr>
        <w:tblW w:w="9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8"/>
        <w:gridCol w:w="1523"/>
        <w:gridCol w:w="1701"/>
        <w:gridCol w:w="1559"/>
        <w:gridCol w:w="1151"/>
        <w:gridCol w:w="1154"/>
      </w:tblGrid>
      <w:tr w:rsidR="006874A6" w:rsidRPr="004D3F2B" w14:paraId="2E4A7FCC" w14:textId="77777777" w:rsidTr="00CF7636">
        <w:tc>
          <w:tcPr>
            <w:tcW w:w="2188" w:type="dxa"/>
            <w:tcBorders>
              <w:top w:val="nil"/>
              <w:left w:val="nil"/>
              <w:bottom w:val="single" w:sz="4" w:space="0" w:color="auto"/>
              <w:right w:val="single" w:sz="4" w:space="0" w:color="auto"/>
            </w:tcBorders>
            <w:shd w:val="clear" w:color="auto" w:fill="FFFFFF" w:themeFill="background1"/>
          </w:tcPr>
          <w:p w14:paraId="2B63F395" w14:textId="77777777" w:rsidR="006874A6" w:rsidRPr="00CF7636" w:rsidRDefault="006874A6" w:rsidP="003E6DB9">
            <w:pPr>
              <w:adjustRightInd w:val="0"/>
              <w:snapToGrid w:val="0"/>
              <w:jc w:val="center"/>
              <w:rPr>
                <w:rFonts w:ascii="Times New Roman" w:hAnsi="Times New Roman"/>
                <w:bCs/>
                <w:color w:val="000000" w:themeColor="text1"/>
                <w:szCs w:val="24"/>
              </w:rPr>
            </w:pPr>
            <w:bookmarkStart w:id="8" w:name="_Hlk159796050"/>
          </w:p>
        </w:tc>
        <w:tc>
          <w:tcPr>
            <w:tcW w:w="1523" w:type="dxa"/>
            <w:tcBorders>
              <w:left w:val="single" w:sz="4" w:space="0" w:color="auto"/>
            </w:tcBorders>
            <w:shd w:val="clear" w:color="auto" w:fill="FFFFFF" w:themeFill="background1"/>
          </w:tcPr>
          <w:p w14:paraId="3484532D" w14:textId="77777777" w:rsidR="006874A6" w:rsidRPr="00CF7636" w:rsidRDefault="006874A6"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Hong Kong</w:t>
            </w:r>
          </w:p>
        </w:tc>
        <w:tc>
          <w:tcPr>
            <w:tcW w:w="1701" w:type="dxa"/>
            <w:shd w:val="clear" w:color="auto" w:fill="FFFFFF" w:themeFill="background1"/>
          </w:tcPr>
          <w:p w14:paraId="5377BA17" w14:textId="77777777" w:rsidR="006874A6" w:rsidRPr="00CF7636" w:rsidRDefault="006874A6"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United Kingdom</w:t>
            </w:r>
          </w:p>
        </w:tc>
        <w:tc>
          <w:tcPr>
            <w:tcW w:w="1559" w:type="dxa"/>
            <w:shd w:val="clear" w:color="auto" w:fill="FFFFFF" w:themeFill="background1"/>
          </w:tcPr>
          <w:p w14:paraId="332AEEE8" w14:textId="77777777" w:rsidR="006874A6" w:rsidRPr="00CF7636" w:rsidRDefault="006874A6"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United States</w:t>
            </w:r>
          </w:p>
        </w:tc>
        <w:tc>
          <w:tcPr>
            <w:tcW w:w="1151" w:type="dxa"/>
            <w:shd w:val="clear" w:color="auto" w:fill="FFFFFF" w:themeFill="background1"/>
          </w:tcPr>
          <w:p w14:paraId="111BF900" w14:textId="77777777" w:rsidR="006874A6" w:rsidRPr="00CF7636" w:rsidRDefault="006874A6"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China</w:t>
            </w:r>
          </w:p>
        </w:tc>
        <w:tc>
          <w:tcPr>
            <w:tcW w:w="1154" w:type="dxa"/>
            <w:shd w:val="clear" w:color="auto" w:fill="FFFFFF" w:themeFill="background1"/>
          </w:tcPr>
          <w:p w14:paraId="792C29BF" w14:textId="77777777" w:rsidR="006874A6" w:rsidRPr="00CF7636" w:rsidRDefault="006874A6" w:rsidP="003E6DB9">
            <w:pPr>
              <w:widowControl/>
              <w:jc w:val="center"/>
              <w:rPr>
                <w:rFonts w:ascii="Times New Roman" w:hAnsi="Times New Roman"/>
                <w:bCs/>
                <w:color w:val="000000" w:themeColor="text1"/>
                <w:kern w:val="0"/>
                <w:szCs w:val="24"/>
              </w:rPr>
            </w:pPr>
            <w:r w:rsidRPr="00CF7636">
              <w:rPr>
                <w:rFonts w:ascii="Times New Roman" w:hAnsi="Times New Roman"/>
                <w:bCs/>
                <w:color w:val="000000" w:themeColor="text1"/>
                <w:szCs w:val="24"/>
              </w:rPr>
              <w:t>Malaysia</w:t>
            </w:r>
          </w:p>
        </w:tc>
      </w:tr>
      <w:tr w:rsidR="006874A6" w:rsidRPr="004D3F2B" w14:paraId="18B2459E" w14:textId="77777777" w:rsidTr="00CF7636">
        <w:tc>
          <w:tcPr>
            <w:tcW w:w="2188" w:type="dxa"/>
            <w:tcBorders>
              <w:top w:val="single" w:sz="4" w:space="0" w:color="auto"/>
            </w:tcBorders>
            <w:shd w:val="clear" w:color="auto" w:fill="FFFFFF" w:themeFill="background1"/>
          </w:tcPr>
          <w:p w14:paraId="7B156EE0" w14:textId="77777777" w:rsidR="006874A6" w:rsidRPr="00CF7636" w:rsidRDefault="006874A6"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Mean (units)</w:t>
            </w:r>
          </w:p>
        </w:tc>
        <w:tc>
          <w:tcPr>
            <w:tcW w:w="1523" w:type="dxa"/>
            <w:vAlign w:val="center"/>
          </w:tcPr>
          <w:p w14:paraId="004B894E" w14:textId="1FF3A7EF"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1.6</w:t>
            </w:r>
          </w:p>
        </w:tc>
        <w:tc>
          <w:tcPr>
            <w:tcW w:w="1701" w:type="dxa"/>
            <w:vAlign w:val="center"/>
          </w:tcPr>
          <w:p w14:paraId="6CDF279C" w14:textId="0B561F9C"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4.45</w:t>
            </w:r>
          </w:p>
        </w:tc>
        <w:tc>
          <w:tcPr>
            <w:tcW w:w="1559" w:type="dxa"/>
            <w:shd w:val="clear" w:color="auto" w:fill="auto"/>
            <w:vAlign w:val="center"/>
          </w:tcPr>
          <w:p w14:paraId="47FF874E" w14:textId="588D2E16"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4.38</w:t>
            </w:r>
          </w:p>
        </w:tc>
        <w:tc>
          <w:tcPr>
            <w:tcW w:w="1151" w:type="dxa"/>
            <w:shd w:val="clear" w:color="auto" w:fill="auto"/>
            <w:vAlign w:val="center"/>
          </w:tcPr>
          <w:p w14:paraId="30F69853" w14:textId="29382009"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1.98</w:t>
            </w:r>
          </w:p>
        </w:tc>
        <w:tc>
          <w:tcPr>
            <w:tcW w:w="1154" w:type="dxa"/>
            <w:vAlign w:val="center"/>
          </w:tcPr>
          <w:p w14:paraId="7F3E6B96" w14:textId="6BF8C148"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1.65</w:t>
            </w:r>
          </w:p>
        </w:tc>
      </w:tr>
      <w:tr w:rsidR="006874A6" w:rsidRPr="004D3F2B" w14:paraId="72DEA6FA" w14:textId="77777777" w:rsidTr="00CF7636">
        <w:tc>
          <w:tcPr>
            <w:tcW w:w="2188" w:type="dxa"/>
            <w:shd w:val="clear" w:color="auto" w:fill="FFFFFF" w:themeFill="background1"/>
          </w:tcPr>
          <w:p w14:paraId="0A257613" w14:textId="77777777" w:rsidR="006874A6" w:rsidRPr="00CF7636" w:rsidRDefault="006874A6"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Standard deviation</w:t>
            </w:r>
          </w:p>
          <w:p w14:paraId="67D47FA0" w14:textId="6915BCAB" w:rsidR="006874A6" w:rsidRPr="00CF7636" w:rsidRDefault="00CF7636" w:rsidP="00CF7636">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Coefficient of variation</w:t>
            </w:r>
          </w:p>
        </w:tc>
        <w:tc>
          <w:tcPr>
            <w:tcW w:w="1523" w:type="dxa"/>
            <w:vAlign w:val="center"/>
          </w:tcPr>
          <w:p w14:paraId="5E310054" w14:textId="713DF594" w:rsidR="006874A6" w:rsidRPr="004D3F2B" w:rsidRDefault="006874A6" w:rsidP="006874A6">
            <w:pPr>
              <w:adjustRightInd w:val="0"/>
              <w:snapToGrid w:val="0"/>
              <w:jc w:val="center"/>
              <w:rPr>
                <w:rFonts w:ascii="Times New Roman" w:hAnsi="Times New Roman"/>
                <w:bCs/>
                <w:szCs w:val="24"/>
              </w:rPr>
            </w:pPr>
            <w:r w:rsidRPr="004D3F2B">
              <w:rPr>
                <w:rFonts w:ascii="Times New Roman" w:hAnsi="Times New Roman"/>
                <w:bCs/>
                <w:szCs w:val="24"/>
              </w:rPr>
              <w:t>1.71</w:t>
            </w:r>
          </w:p>
        </w:tc>
        <w:tc>
          <w:tcPr>
            <w:tcW w:w="1701" w:type="dxa"/>
            <w:vAlign w:val="center"/>
          </w:tcPr>
          <w:p w14:paraId="18E6833D" w14:textId="24AD2948"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4.56</w:t>
            </w:r>
          </w:p>
        </w:tc>
        <w:tc>
          <w:tcPr>
            <w:tcW w:w="1559" w:type="dxa"/>
            <w:shd w:val="clear" w:color="auto" w:fill="auto"/>
            <w:vAlign w:val="center"/>
          </w:tcPr>
          <w:p w14:paraId="5E458424" w14:textId="3604A66B"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2.95</w:t>
            </w:r>
          </w:p>
        </w:tc>
        <w:tc>
          <w:tcPr>
            <w:tcW w:w="1151" w:type="dxa"/>
            <w:shd w:val="clear" w:color="auto" w:fill="auto"/>
            <w:vAlign w:val="center"/>
          </w:tcPr>
          <w:p w14:paraId="2BEB2FC6" w14:textId="17021AB4"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1.82</w:t>
            </w:r>
          </w:p>
        </w:tc>
        <w:tc>
          <w:tcPr>
            <w:tcW w:w="1154" w:type="dxa"/>
            <w:vAlign w:val="center"/>
          </w:tcPr>
          <w:p w14:paraId="78947879" w14:textId="61A23E8E"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2</w:t>
            </w:r>
            <w:r w:rsidR="006874A6" w:rsidRPr="004D3F2B">
              <w:rPr>
                <w:rFonts w:ascii="Times New Roman" w:hAnsi="Times New Roman"/>
                <w:bCs/>
                <w:szCs w:val="24"/>
              </w:rPr>
              <w:t>.36</w:t>
            </w:r>
          </w:p>
        </w:tc>
      </w:tr>
      <w:tr w:rsidR="006874A6" w:rsidRPr="004D3F2B" w14:paraId="5AF63084" w14:textId="77777777" w:rsidTr="00CF7636">
        <w:tc>
          <w:tcPr>
            <w:tcW w:w="2188" w:type="dxa"/>
            <w:shd w:val="clear" w:color="auto" w:fill="FFFFFF" w:themeFill="background1"/>
          </w:tcPr>
          <w:p w14:paraId="62B8A9BF" w14:textId="3AF026D6" w:rsidR="006874A6" w:rsidRPr="00CF7636" w:rsidRDefault="006874A6"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 xml:space="preserve">Maximum </w:t>
            </w:r>
          </w:p>
        </w:tc>
        <w:tc>
          <w:tcPr>
            <w:tcW w:w="1523" w:type="dxa"/>
          </w:tcPr>
          <w:p w14:paraId="6154F800" w14:textId="0F26CA31"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-0.9</w:t>
            </w:r>
          </w:p>
        </w:tc>
        <w:tc>
          <w:tcPr>
            <w:tcW w:w="1701" w:type="dxa"/>
            <w:vAlign w:val="center"/>
          </w:tcPr>
          <w:p w14:paraId="13BAFC42" w14:textId="30613EF6"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0.6</w:t>
            </w:r>
          </w:p>
        </w:tc>
        <w:tc>
          <w:tcPr>
            <w:tcW w:w="1559" w:type="dxa"/>
            <w:shd w:val="clear" w:color="auto" w:fill="auto"/>
            <w:vAlign w:val="center"/>
          </w:tcPr>
          <w:p w14:paraId="076C24CE" w14:textId="4CBB5BE3"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1.6</w:t>
            </w:r>
          </w:p>
        </w:tc>
        <w:tc>
          <w:tcPr>
            <w:tcW w:w="1151" w:type="dxa"/>
            <w:shd w:val="clear" w:color="auto" w:fill="auto"/>
            <w:vAlign w:val="center"/>
          </w:tcPr>
          <w:p w14:paraId="5ACCA87C" w14:textId="54D1B3E0"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0.2</w:t>
            </w:r>
          </w:p>
        </w:tc>
        <w:tc>
          <w:tcPr>
            <w:tcW w:w="1154" w:type="dxa"/>
            <w:vAlign w:val="center"/>
          </w:tcPr>
          <w:p w14:paraId="786878FB" w14:textId="77777777"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-1.4</w:t>
            </w:r>
          </w:p>
        </w:tc>
      </w:tr>
      <w:tr w:rsidR="006874A6" w:rsidRPr="004D3F2B" w14:paraId="3E4D93C8" w14:textId="77777777" w:rsidTr="00CF7636">
        <w:tc>
          <w:tcPr>
            <w:tcW w:w="2188" w:type="dxa"/>
            <w:shd w:val="clear" w:color="auto" w:fill="FFFFFF" w:themeFill="background1"/>
          </w:tcPr>
          <w:p w14:paraId="31B01132" w14:textId="4EA107A9" w:rsidR="006874A6" w:rsidRPr="00CF7636" w:rsidRDefault="006874A6" w:rsidP="003E6DB9">
            <w:pPr>
              <w:adjustRightInd w:val="0"/>
              <w:snapToGrid w:val="0"/>
              <w:jc w:val="center"/>
              <w:rPr>
                <w:rFonts w:ascii="Times New Roman" w:hAnsi="Times New Roman"/>
                <w:bCs/>
                <w:color w:val="000000" w:themeColor="text1"/>
                <w:szCs w:val="24"/>
              </w:rPr>
            </w:pPr>
            <w:r w:rsidRPr="00CF7636">
              <w:rPr>
                <w:rFonts w:ascii="Times New Roman" w:hAnsi="Times New Roman"/>
                <w:bCs/>
                <w:color w:val="000000" w:themeColor="text1"/>
                <w:szCs w:val="24"/>
              </w:rPr>
              <w:t xml:space="preserve">Minimum </w:t>
            </w:r>
          </w:p>
        </w:tc>
        <w:tc>
          <w:tcPr>
            <w:tcW w:w="1523" w:type="dxa"/>
          </w:tcPr>
          <w:p w14:paraId="4A906B74" w14:textId="4960DC7A"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2.9</w:t>
            </w:r>
          </w:p>
        </w:tc>
        <w:tc>
          <w:tcPr>
            <w:tcW w:w="1701" w:type="dxa"/>
            <w:vAlign w:val="center"/>
          </w:tcPr>
          <w:p w14:paraId="21771523" w14:textId="1E75FA11"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10.5</w:t>
            </w:r>
          </w:p>
        </w:tc>
        <w:tc>
          <w:tcPr>
            <w:tcW w:w="1559" w:type="dxa"/>
            <w:shd w:val="clear" w:color="auto" w:fill="auto"/>
            <w:vAlign w:val="center"/>
          </w:tcPr>
          <w:p w14:paraId="7072AAF1" w14:textId="77777777" w:rsidR="006874A6" w:rsidRPr="004D3F2B" w:rsidRDefault="006874A6" w:rsidP="003E6DB9">
            <w:pPr>
              <w:adjustRightInd w:val="0"/>
              <w:snapToGrid w:val="0"/>
              <w:jc w:val="center"/>
              <w:rPr>
                <w:rFonts w:ascii="Times New Roman" w:hAnsi="Times New Roman"/>
                <w:bCs/>
                <w:szCs w:val="24"/>
              </w:rPr>
            </w:pPr>
            <w:r w:rsidRPr="004D3F2B">
              <w:rPr>
                <w:rFonts w:ascii="Times New Roman" w:hAnsi="Times New Roman"/>
                <w:bCs/>
                <w:szCs w:val="24"/>
              </w:rPr>
              <w:t>7.4</w:t>
            </w:r>
          </w:p>
        </w:tc>
        <w:tc>
          <w:tcPr>
            <w:tcW w:w="1151" w:type="dxa"/>
            <w:shd w:val="clear" w:color="auto" w:fill="auto"/>
            <w:vAlign w:val="center"/>
          </w:tcPr>
          <w:p w14:paraId="7A14C779" w14:textId="07310685"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4.5</w:t>
            </w:r>
          </w:p>
        </w:tc>
        <w:tc>
          <w:tcPr>
            <w:tcW w:w="1154" w:type="dxa"/>
            <w:vAlign w:val="center"/>
          </w:tcPr>
          <w:p w14:paraId="0A356AC4" w14:textId="77179956" w:rsidR="006874A6" w:rsidRPr="004D3F2B" w:rsidRDefault="00EA00BF" w:rsidP="003E6DB9">
            <w:pPr>
              <w:adjustRightInd w:val="0"/>
              <w:snapToGrid w:val="0"/>
              <w:jc w:val="center"/>
              <w:rPr>
                <w:rFonts w:ascii="Times New Roman" w:hAnsi="Times New Roman"/>
                <w:bCs/>
                <w:szCs w:val="24"/>
              </w:rPr>
            </w:pPr>
            <w:r w:rsidRPr="004D3F2B">
              <w:rPr>
                <w:rFonts w:ascii="Times New Roman" w:hAnsi="Times New Roman"/>
                <w:bCs/>
                <w:szCs w:val="24"/>
              </w:rPr>
              <w:t>3</w:t>
            </w:r>
            <w:r w:rsidR="006874A6" w:rsidRPr="004D3F2B">
              <w:rPr>
                <w:rFonts w:ascii="Times New Roman" w:hAnsi="Times New Roman"/>
                <w:bCs/>
                <w:szCs w:val="24"/>
              </w:rPr>
              <w:t>.</w:t>
            </w:r>
            <w:r w:rsidRPr="004D3F2B">
              <w:rPr>
                <w:rFonts w:ascii="Times New Roman" w:hAnsi="Times New Roman"/>
                <w:bCs/>
                <w:szCs w:val="24"/>
              </w:rPr>
              <w:t>8</w:t>
            </w:r>
          </w:p>
        </w:tc>
      </w:tr>
      <w:bookmarkEnd w:id="8"/>
      <w:tr w:rsidR="006874A6" w:rsidRPr="004D3F2B" w14:paraId="3007C8CE" w14:textId="77777777" w:rsidTr="003E6DB9">
        <w:trPr>
          <w:trHeight w:val="301"/>
        </w:trPr>
        <w:tc>
          <w:tcPr>
            <w:tcW w:w="9276" w:type="dxa"/>
            <w:gridSpan w:val="6"/>
          </w:tcPr>
          <w:p w14:paraId="412B2A6F" w14:textId="77777777" w:rsidR="006874A6" w:rsidRPr="004D3F2B" w:rsidRDefault="006874A6" w:rsidP="003E6DB9">
            <w:pPr>
              <w:adjustRightInd w:val="0"/>
              <w:snapToGrid w:val="0"/>
              <w:jc w:val="both"/>
              <w:rPr>
                <w:rFonts w:ascii="Times New Roman" w:hAnsi="Times New Roman"/>
                <w:bCs/>
                <w:szCs w:val="24"/>
              </w:rPr>
            </w:pPr>
            <w:r w:rsidRPr="004D3F2B">
              <w:rPr>
                <w:rFonts w:ascii="Times New Roman" w:hAnsi="Times New Roman"/>
                <w:bCs/>
                <w:szCs w:val="24"/>
              </w:rPr>
              <w:t>Sources: Calculated from the dataset listed in Table 1</w:t>
            </w:r>
          </w:p>
        </w:tc>
      </w:tr>
    </w:tbl>
    <w:p w14:paraId="39A5BD48" w14:textId="77777777" w:rsidR="006874A6" w:rsidRPr="004D3F2B" w:rsidRDefault="006874A6" w:rsidP="008F0095">
      <w:pPr>
        <w:adjustRightInd w:val="0"/>
        <w:snapToGrid w:val="0"/>
        <w:spacing w:line="360" w:lineRule="auto"/>
        <w:jc w:val="both"/>
        <w:rPr>
          <w:rFonts w:ascii="Times New Roman" w:hAnsi="Times New Roman"/>
          <w:bCs/>
          <w:szCs w:val="24"/>
        </w:rPr>
      </w:pPr>
    </w:p>
    <w:p w14:paraId="3223E3C1" w14:textId="77777777" w:rsidR="00AC5AD4" w:rsidRPr="004D3F2B" w:rsidRDefault="00AC5AD4" w:rsidP="00AC5AD4">
      <w:pPr>
        <w:adjustRightInd w:val="0"/>
        <w:snapToGrid w:val="0"/>
        <w:spacing w:line="360" w:lineRule="auto"/>
        <w:jc w:val="both"/>
        <w:rPr>
          <w:rFonts w:ascii="Times New Roman" w:hAnsi="Times New Roman"/>
          <w:b/>
          <w:szCs w:val="24"/>
        </w:rPr>
      </w:pPr>
      <w:r w:rsidRPr="004D3F2B">
        <w:rPr>
          <w:rFonts w:ascii="Times New Roman" w:hAnsi="Times New Roman"/>
          <w:bCs/>
          <w:szCs w:val="24"/>
        </w:rPr>
        <w:t>Based on the data of table 2, we can find that:</w:t>
      </w:r>
    </w:p>
    <w:p w14:paraId="425AD82C" w14:textId="77777777" w:rsidR="00AC5AD4" w:rsidRPr="004D3F2B" w:rsidRDefault="00AC5AD4" w:rsidP="008F0095">
      <w:pPr>
        <w:adjustRightInd w:val="0"/>
        <w:snapToGrid w:val="0"/>
        <w:spacing w:line="360" w:lineRule="auto"/>
        <w:jc w:val="both"/>
        <w:rPr>
          <w:rFonts w:ascii="Times New Roman" w:hAnsi="Times New Roman"/>
          <w:bCs/>
          <w:szCs w:val="24"/>
        </w:rPr>
      </w:pPr>
    </w:p>
    <w:p w14:paraId="1BC39AF8" w14:textId="476B9E5D"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 The mean and coefficient of variation of the inflation rate indicate that the overall price growth in Hong Kong is relatively stable, but there is significant annual volatility. The presence of deflation reflects potential downward pressures on the economy or temporary decreases in demand.</w:t>
      </w:r>
    </w:p>
    <w:p w14:paraId="3A1CDACF" w14:textId="77777777" w:rsidR="00EA6771" w:rsidRPr="004D3F2B" w:rsidRDefault="00EA6771" w:rsidP="00EA6771">
      <w:pPr>
        <w:adjustRightInd w:val="0"/>
        <w:snapToGrid w:val="0"/>
        <w:spacing w:line="360" w:lineRule="auto"/>
        <w:jc w:val="both"/>
        <w:rPr>
          <w:rFonts w:ascii="Times New Roman" w:hAnsi="Times New Roman"/>
          <w:bCs/>
          <w:szCs w:val="24"/>
        </w:rPr>
      </w:pPr>
    </w:p>
    <w:p w14:paraId="10E25C1C" w14:textId="549BF8A9"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 Compared to other countries, the UK experiences the greatest volatility in inflation, which may be related to recent political and economic changes, such as Brexit. High inflation rates and significant fluctuations may indicate higher investment risks, but also the possibility of higher returns.</w:t>
      </w:r>
    </w:p>
    <w:p w14:paraId="56F457DE" w14:textId="77777777" w:rsidR="00EA6771" w:rsidRPr="004D3F2B" w:rsidRDefault="00EA6771" w:rsidP="00EA6771">
      <w:pPr>
        <w:adjustRightInd w:val="0"/>
        <w:snapToGrid w:val="0"/>
        <w:spacing w:line="360" w:lineRule="auto"/>
        <w:jc w:val="both"/>
        <w:rPr>
          <w:rFonts w:ascii="Times New Roman" w:hAnsi="Times New Roman"/>
          <w:bCs/>
          <w:szCs w:val="24"/>
        </w:rPr>
      </w:pPr>
    </w:p>
    <w:p w14:paraId="67B0E33C" w14:textId="41E7812C"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 The average inflation rate is higher, with moderate volatility, indicating that the US economy faces some price pressures, but compared to the UK, the price growth in the US is more predictable. This stability is a positive factor for long-term investment.</w:t>
      </w:r>
    </w:p>
    <w:p w14:paraId="080A65B8" w14:textId="77777777" w:rsidR="00EA6771" w:rsidRPr="004D3F2B" w:rsidRDefault="00EA6771" w:rsidP="00EA6771">
      <w:pPr>
        <w:adjustRightInd w:val="0"/>
        <w:snapToGrid w:val="0"/>
        <w:spacing w:line="360" w:lineRule="auto"/>
        <w:jc w:val="both"/>
        <w:rPr>
          <w:rFonts w:ascii="Times New Roman" w:hAnsi="Times New Roman"/>
          <w:bCs/>
          <w:szCs w:val="24"/>
        </w:rPr>
      </w:pPr>
    </w:p>
    <w:p w14:paraId="494F082E" w14:textId="3BF846D8"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China: The stability of China's inflation rate falls between that of developed countries and other emerging markets. The lower average inflation rate and stable volatility suggest that China's economic policies are relatively effective in controlling prices.</w:t>
      </w:r>
    </w:p>
    <w:p w14:paraId="77F99B3C" w14:textId="77777777" w:rsidR="00EA6771" w:rsidRPr="004D3F2B" w:rsidRDefault="00EA6771" w:rsidP="00EA6771">
      <w:pPr>
        <w:adjustRightInd w:val="0"/>
        <w:snapToGrid w:val="0"/>
        <w:spacing w:line="360" w:lineRule="auto"/>
        <w:jc w:val="both"/>
        <w:rPr>
          <w:rFonts w:ascii="Times New Roman" w:hAnsi="Times New Roman"/>
          <w:bCs/>
          <w:szCs w:val="24"/>
        </w:rPr>
      </w:pPr>
    </w:p>
    <w:p w14:paraId="5178F52A" w14:textId="491A5CE9"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 Malaysia's average inflation rate is low, and volatility is relatively high, which may reflect the different challenges faced by the country's economy. The occurrence of deflation could indicate a slowdown in economic activity in certain years.</w:t>
      </w:r>
    </w:p>
    <w:p w14:paraId="2862359C" w14:textId="77777777" w:rsidR="00EA6771" w:rsidRPr="004D3F2B" w:rsidRDefault="00EA6771" w:rsidP="00EA6771">
      <w:pPr>
        <w:adjustRightInd w:val="0"/>
        <w:snapToGrid w:val="0"/>
        <w:spacing w:line="360" w:lineRule="auto"/>
        <w:jc w:val="both"/>
        <w:rPr>
          <w:rFonts w:ascii="Times New Roman" w:hAnsi="Times New Roman"/>
          <w:bCs/>
          <w:szCs w:val="24"/>
        </w:rPr>
      </w:pPr>
    </w:p>
    <w:p w14:paraId="122FD6B9" w14:textId="77777777" w:rsidR="00EA6771" w:rsidRDefault="00EA6771" w:rsidP="00EA6771">
      <w:pPr>
        <w:adjustRightInd w:val="0"/>
        <w:snapToGrid w:val="0"/>
        <w:spacing w:line="360" w:lineRule="auto"/>
        <w:jc w:val="both"/>
        <w:rPr>
          <w:rFonts w:ascii="Times New Roman" w:hAnsi="Times New Roman"/>
          <w:bCs/>
          <w:szCs w:val="24"/>
        </w:rPr>
      </w:pPr>
    </w:p>
    <w:p w14:paraId="4D5CD050" w14:textId="77777777" w:rsidR="006510BB" w:rsidRPr="004D3F2B" w:rsidRDefault="006510BB" w:rsidP="00EA6771">
      <w:pPr>
        <w:adjustRightInd w:val="0"/>
        <w:snapToGrid w:val="0"/>
        <w:spacing w:line="360" w:lineRule="auto"/>
        <w:jc w:val="both"/>
        <w:rPr>
          <w:rFonts w:ascii="Times New Roman" w:hAnsi="Times New Roman"/>
          <w:bCs/>
          <w:szCs w:val="24"/>
        </w:rPr>
      </w:pPr>
    </w:p>
    <w:p w14:paraId="159B8ADF" w14:textId="0A713254"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When considering investments, markets that are economically stable, with lower risks, and potential for growth are typically sought after. Based on these factors, China show</w:t>
      </w:r>
      <w:r w:rsidR="00F135F2">
        <w:rPr>
          <w:rFonts w:ascii="Times New Roman" w:hAnsi="Times New Roman"/>
          <w:bCs/>
          <w:szCs w:val="24"/>
        </w:rPr>
        <w:t>s</w:t>
      </w:r>
      <w:r w:rsidRPr="004D3F2B">
        <w:rPr>
          <w:rFonts w:ascii="Times New Roman" w:hAnsi="Times New Roman"/>
          <w:bCs/>
          <w:szCs w:val="24"/>
        </w:rPr>
        <w:t xml:space="preserve"> better control of inflation, which may be attractive to investors seeking stable investments. Although the US faces greater inflationary pressures, it still dominates the global economy and remains an important choice for investors seeking to invest in a stable economy. The UK's high volatility may attract investors willing to take on higher risks for possibly higher returns. Malaysia may be suitable for investors familiar with the local market and able to manage volatility risks.</w:t>
      </w:r>
    </w:p>
    <w:p w14:paraId="0B2B5C11" w14:textId="77777777" w:rsidR="00EA6771" w:rsidRPr="004D3F2B" w:rsidRDefault="00EA6771" w:rsidP="00EA6771">
      <w:pPr>
        <w:adjustRightInd w:val="0"/>
        <w:snapToGrid w:val="0"/>
        <w:spacing w:line="360" w:lineRule="auto"/>
        <w:jc w:val="both"/>
        <w:rPr>
          <w:rFonts w:ascii="Times New Roman" w:hAnsi="Times New Roman"/>
          <w:bCs/>
          <w:szCs w:val="24"/>
        </w:rPr>
      </w:pPr>
    </w:p>
    <w:p w14:paraId="190CBF11" w14:textId="7F7AE7CC" w:rsidR="004744A0"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Therefore, if one is a risk-averse investor, they might lean towards choosing China. If one is risk-neutral, the stability and growth potential of the US could be a better choice. For risk-seeking investors, the UK might offer opportunities for higher yields. Malaysia would suit those looking for emerging market opportunities.</w:t>
      </w:r>
    </w:p>
    <w:p w14:paraId="64EE1025" w14:textId="77777777" w:rsidR="0065482D" w:rsidRPr="004D3F2B" w:rsidRDefault="0065482D" w:rsidP="00EA6771">
      <w:pPr>
        <w:adjustRightInd w:val="0"/>
        <w:snapToGrid w:val="0"/>
        <w:spacing w:line="360" w:lineRule="auto"/>
        <w:jc w:val="both"/>
        <w:rPr>
          <w:rFonts w:ascii="Times New Roman" w:hAnsi="Times New Roman"/>
          <w:bCs/>
          <w:szCs w:val="24"/>
        </w:rPr>
      </w:pPr>
    </w:p>
    <w:p w14:paraId="4D2B4B57"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When comparing long-term (2002-2022) and short-term (2019-2022) data, we can observe some key differences and trends:</w:t>
      </w:r>
    </w:p>
    <w:p w14:paraId="10F6152F" w14:textId="77777777" w:rsidR="0065482D" w:rsidRPr="004D3F2B" w:rsidRDefault="0065482D" w:rsidP="0065482D">
      <w:pPr>
        <w:adjustRightInd w:val="0"/>
        <w:snapToGrid w:val="0"/>
        <w:spacing w:line="360" w:lineRule="auto"/>
        <w:jc w:val="both"/>
        <w:rPr>
          <w:rFonts w:ascii="Times New Roman" w:hAnsi="Times New Roman"/>
          <w:bCs/>
          <w:szCs w:val="24"/>
        </w:rPr>
      </w:pPr>
    </w:p>
    <w:p w14:paraId="4B9777FA"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Long-term Trends (2002-2022) show that Malaysia has maintained a stable inflation environment over the past two decades, while the UK has experienced greater fluctuations. The inflation rate volatility of the US and China falls between these two, with Hong Kong showing greater volatility in inflation rates, but maintaining a lower average rate of inflation.</w:t>
      </w:r>
    </w:p>
    <w:p w14:paraId="02D3FAE1" w14:textId="77777777" w:rsidR="0065482D" w:rsidRPr="004D3F2B" w:rsidRDefault="0065482D" w:rsidP="0065482D">
      <w:pPr>
        <w:adjustRightInd w:val="0"/>
        <w:snapToGrid w:val="0"/>
        <w:spacing w:line="360" w:lineRule="auto"/>
        <w:jc w:val="both"/>
        <w:rPr>
          <w:rFonts w:ascii="Times New Roman" w:hAnsi="Times New Roman"/>
          <w:bCs/>
          <w:szCs w:val="24"/>
        </w:rPr>
      </w:pPr>
    </w:p>
    <w:p w14:paraId="0CE28BBD"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Short-term Trends (2019-2022) indicate that Malaysia continues to demonstrate its stability, while inflationary pressures in the US have shown an upward trend but remain relatively stable. The UK's volatility continues to reflect the economic challenges it faces, particularly in the uncertain environment post-Brexit.</w:t>
      </w:r>
    </w:p>
    <w:p w14:paraId="02315611" w14:textId="77777777" w:rsidR="0065482D" w:rsidRPr="004D3F2B" w:rsidRDefault="0065482D" w:rsidP="0065482D">
      <w:pPr>
        <w:adjustRightInd w:val="0"/>
        <w:snapToGrid w:val="0"/>
        <w:spacing w:line="360" w:lineRule="auto"/>
        <w:jc w:val="both"/>
        <w:rPr>
          <w:rFonts w:ascii="Times New Roman" w:hAnsi="Times New Roman"/>
          <w:bCs/>
          <w:szCs w:val="24"/>
        </w:rPr>
      </w:pPr>
    </w:p>
    <w:p w14:paraId="20E2CA44" w14:textId="3C9E182F"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Based on these observations, investment recommendations might vary depending on the time period considered:</w:t>
      </w:r>
      <w:r w:rsidR="00B259D5">
        <w:rPr>
          <w:rFonts w:ascii="Times New Roman" w:hAnsi="Times New Roman"/>
          <w:bCs/>
          <w:szCs w:val="24"/>
        </w:rPr>
        <w:t xml:space="preserve"> f</w:t>
      </w:r>
      <w:r w:rsidRPr="004D3F2B">
        <w:rPr>
          <w:rFonts w:ascii="Times New Roman" w:hAnsi="Times New Roman"/>
          <w:bCs/>
          <w:szCs w:val="24"/>
        </w:rPr>
        <w:t>or long-term investments, Malaysia might be the best choice due to its stable inflation environment and low inflation risk. China is also an attractive option due to its relatively stable inflation rates, especially for those looking to invest in emerging markets</w:t>
      </w:r>
      <w:r w:rsidR="00B259D5">
        <w:rPr>
          <w:rFonts w:ascii="Times New Roman" w:hAnsi="Times New Roman"/>
          <w:bCs/>
          <w:szCs w:val="24"/>
        </w:rPr>
        <w:t>; f</w:t>
      </w:r>
      <w:r w:rsidRPr="004D3F2B">
        <w:rPr>
          <w:rFonts w:ascii="Times New Roman" w:hAnsi="Times New Roman"/>
          <w:bCs/>
          <w:szCs w:val="24"/>
        </w:rPr>
        <w:t>or short-term investments, the US could be a better choice, as it has shown relatively stable inflationary pressures in recent years and possesses a mature financial market with a diversity of investment opportunities.</w:t>
      </w:r>
    </w:p>
    <w:p w14:paraId="1CB8A24D" w14:textId="77777777" w:rsidR="00EA6771" w:rsidRPr="004D3F2B" w:rsidRDefault="00EA6771" w:rsidP="00EA6771">
      <w:pPr>
        <w:adjustRightInd w:val="0"/>
        <w:snapToGrid w:val="0"/>
        <w:spacing w:line="360" w:lineRule="auto"/>
        <w:jc w:val="both"/>
        <w:rPr>
          <w:rFonts w:ascii="Times New Roman" w:hAnsi="Times New Roman"/>
          <w:bCs/>
          <w:color w:val="0000CC"/>
          <w:szCs w:val="24"/>
        </w:rPr>
      </w:pPr>
    </w:p>
    <w:p w14:paraId="4B1D8978" w14:textId="7EB3E426" w:rsidR="0065482D" w:rsidRPr="004D3F2B" w:rsidRDefault="0065482D" w:rsidP="0065482D">
      <w:pPr>
        <w:adjustRightInd w:val="0"/>
        <w:snapToGrid w:val="0"/>
        <w:jc w:val="both"/>
        <w:rPr>
          <w:rFonts w:ascii="Times New Roman" w:hAnsi="Times New Roman"/>
          <w:b/>
          <w:szCs w:val="24"/>
        </w:rPr>
      </w:pPr>
      <w:r w:rsidRPr="004D3F2B">
        <w:rPr>
          <w:rFonts w:ascii="Times New Roman" w:hAnsi="Times New Roman"/>
          <w:b/>
          <w:szCs w:val="24"/>
        </w:rPr>
        <w:t xml:space="preserve">Table 3 Correlation Coefficients </w:t>
      </w:r>
      <w:r w:rsidR="0000586C">
        <w:rPr>
          <w:rFonts w:ascii="Times New Roman" w:hAnsi="Times New Roman"/>
          <w:b/>
          <w:szCs w:val="24"/>
        </w:rPr>
        <w:t xml:space="preserve">of consumer inflation </w:t>
      </w:r>
      <w:r w:rsidRPr="004D3F2B">
        <w:rPr>
          <w:rFonts w:ascii="Times New Roman" w:hAnsi="Times New Roman"/>
          <w:b/>
          <w:szCs w:val="24"/>
        </w:rPr>
        <w:t>in selected countries: 2019 to 2022</w:t>
      </w:r>
      <w:r w:rsidR="0000586C">
        <w:rPr>
          <w:rFonts w:ascii="Times New Roman" w:hAnsi="Times New Roman"/>
          <w:b/>
          <w:szCs w:val="24"/>
        </w:rPr>
        <w:t xml:space="preserve"> (%)</w:t>
      </w:r>
    </w:p>
    <w:p w14:paraId="7B56C702" w14:textId="77777777" w:rsidR="0065482D" w:rsidRPr="004D3F2B" w:rsidRDefault="0065482D" w:rsidP="002C6D2E">
      <w:pPr>
        <w:adjustRightInd w:val="0"/>
        <w:snapToGrid w:val="0"/>
        <w:spacing w:line="360" w:lineRule="auto"/>
        <w:jc w:val="both"/>
        <w:rPr>
          <w:rFonts w:ascii="Times New Roman" w:hAnsi="Times New Roman"/>
          <w:bCs/>
          <w:szCs w:val="24"/>
        </w:rPr>
      </w:pPr>
    </w:p>
    <w:tbl>
      <w:tblPr>
        <w:tblW w:w="10065" w:type="dxa"/>
        <w:tblLook w:val="04A0" w:firstRow="1" w:lastRow="0" w:firstColumn="1" w:lastColumn="0" w:noHBand="0" w:noVBand="1"/>
      </w:tblPr>
      <w:tblGrid>
        <w:gridCol w:w="1838"/>
        <w:gridCol w:w="1418"/>
        <w:gridCol w:w="1701"/>
        <w:gridCol w:w="1371"/>
        <w:gridCol w:w="1894"/>
        <w:gridCol w:w="1843"/>
      </w:tblGrid>
      <w:tr w:rsidR="00CF7636" w:rsidRPr="00CF7636" w14:paraId="485B8655" w14:textId="77777777" w:rsidTr="00CF7636">
        <w:trPr>
          <w:trHeight w:val="290"/>
        </w:trPr>
        <w:tc>
          <w:tcPr>
            <w:tcW w:w="1838" w:type="dxa"/>
            <w:tcBorders>
              <w:bottom w:val="single" w:sz="4" w:space="0" w:color="auto"/>
              <w:right w:val="single" w:sz="4" w:space="0" w:color="auto"/>
            </w:tcBorders>
            <w:shd w:val="clear" w:color="auto" w:fill="auto"/>
            <w:noWrap/>
            <w:vAlign w:val="bottom"/>
            <w:hideMark/>
          </w:tcPr>
          <w:p w14:paraId="6785B438" w14:textId="77777777" w:rsidR="0065482D" w:rsidRPr="004D3F2B" w:rsidRDefault="0065482D" w:rsidP="003E6DB9">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lastRenderedPageBreak/>
              <w:t> </w:t>
            </w:r>
          </w:p>
        </w:tc>
        <w:tc>
          <w:tcPr>
            <w:tcW w:w="1418"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0F5FBBF6" w14:textId="77777777" w:rsidR="0065482D" w:rsidRPr="00CF7636" w:rsidRDefault="0065482D" w:rsidP="003E6DB9">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China</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66BA8A42" w14:textId="77777777" w:rsidR="0065482D" w:rsidRPr="00CF7636" w:rsidRDefault="0065482D" w:rsidP="003E6DB9">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Hong Kong</w:t>
            </w:r>
          </w:p>
        </w:tc>
        <w:tc>
          <w:tcPr>
            <w:tcW w:w="1371"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1D56E12B" w14:textId="77777777" w:rsidR="0065482D" w:rsidRPr="00CF7636" w:rsidRDefault="0065482D" w:rsidP="003E6DB9">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Malaysia</w:t>
            </w:r>
          </w:p>
        </w:tc>
        <w:tc>
          <w:tcPr>
            <w:tcW w:w="1894"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2908E445" w14:textId="77777777" w:rsidR="0065482D" w:rsidRPr="00CF7636" w:rsidRDefault="0065482D" w:rsidP="003E6DB9">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Kingdom</w:t>
            </w:r>
          </w:p>
        </w:tc>
        <w:tc>
          <w:tcPr>
            <w:tcW w:w="1843" w:type="dxa"/>
            <w:tcBorders>
              <w:top w:val="single" w:sz="4" w:space="0" w:color="auto"/>
              <w:left w:val="nil"/>
              <w:bottom w:val="single" w:sz="4" w:space="0" w:color="auto"/>
              <w:right w:val="single" w:sz="4" w:space="0" w:color="auto"/>
            </w:tcBorders>
            <w:shd w:val="clear" w:color="auto" w:fill="FFFFFF" w:themeFill="background1"/>
            <w:noWrap/>
            <w:vAlign w:val="bottom"/>
            <w:hideMark/>
          </w:tcPr>
          <w:p w14:paraId="552A0701" w14:textId="77777777" w:rsidR="0065482D" w:rsidRPr="00CF7636" w:rsidRDefault="0065482D" w:rsidP="003E6DB9">
            <w:pPr>
              <w:widowControl/>
              <w:jc w:val="center"/>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States</w:t>
            </w:r>
          </w:p>
        </w:tc>
      </w:tr>
      <w:tr w:rsidR="0065482D" w:rsidRPr="004D3F2B" w14:paraId="686CBCAB" w14:textId="77777777" w:rsidTr="00CF7636">
        <w:trPr>
          <w:trHeight w:val="290"/>
        </w:trPr>
        <w:tc>
          <w:tcPr>
            <w:tcW w:w="1838"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7A3D43F7" w14:textId="77777777" w:rsidR="0065482D" w:rsidRPr="00CF7636" w:rsidRDefault="0065482D" w:rsidP="0065482D">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China</w:t>
            </w:r>
          </w:p>
        </w:tc>
        <w:tc>
          <w:tcPr>
            <w:tcW w:w="1418" w:type="dxa"/>
            <w:tcBorders>
              <w:top w:val="nil"/>
              <w:left w:val="nil"/>
              <w:bottom w:val="single" w:sz="4" w:space="0" w:color="auto"/>
              <w:right w:val="single" w:sz="4" w:space="0" w:color="auto"/>
            </w:tcBorders>
            <w:shd w:val="clear" w:color="auto" w:fill="auto"/>
            <w:noWrap/>
            <w:vAlign w:val="bottom"/>
            <w:hideMark/>
          </w:tcPr>
          <w:p w14:paraId="1B6559D0" w14:textId="0BB8A51A"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1</w:t>
            </w:r>
          </w:p>
        </w:tc>
        <w:tc>
          <w:tcPr>
            <w:tcW w:w="1701" w:type="dxa"/>
            <w:tcBorders>
              <w:top w:val="nil"/>
              <w:left w:val="nil"/>
              <w:bottom w:val="single" w:sz="4" w:space="0" w:color="auto"/>
              <w:right w:val="single" w:sz="4" w:space="0" w:color="auto"/>
            </w:tcBorders>
            <w:shd w:val="clear" w:color="auto" w:fill="auto"/>
            <w:noWrap/>
            <w:vAlign w:val="bottom"/>
            <w:hideMark/>
          </w:tcPr>
          <w:p w14:paraId="1A333670"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371" w:type="dxa"/>
            <w:tcBorders>
              <w:top w:val="nil"/>
              <w:left w:val="nil"/>
              <w:bottom w:val="single" w:sz="4" w:space="0" w:color="auto"/>
              <w:right w:val="single" w:sz="4" w:space="0" w:color="auto"/>
            </w:tcBorders>
            <w:shd w:val="clear" w:color="auto" w:fill="auto"/>
            <w:noWrap/>
            <w:vAlign w:val="bottom"/>
            <w:hideMark/>
          </w:tcPr>
          <w:p w14:paraId="39BC312B"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894" w:type="dxa"/>
            <w:tcBorders>
              <w:top w:val="nil"/>
              <w:left w:val="nil"/>
              <w:bottom w:val="single" w:sz="4" w:space="0" w:color="auto"/>
              <w:right w:val="single" w:sz="4" w:space="0" w:color="auto"/>
            </w:tcBorders>
            <w:shd w:val="clear" w:color="auto" w:fill="auto"/>
            <w:noWrap/>
            <w:vAlign w:val="bottom"/>
            <w:hideMark/>
          </w:tcPr>
          <w:p w14:paraId="03B7073B"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1F9D1649"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r>
      <w:tr w:rsidR="0065482D" w:rsidRPr="004D3F2B" w14:paraId="292960B1"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E8ED745" w14:textId="77777777" w:rsidR="0065482D" w:rsidRPr="00CF7636" w:rsidRDefault="0065482D" w:rsidP="0065482D">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Hong Kong</w:t>
            </w:r>
          </w:p>
        </w:tc>
        <w:tc>
          <w:tcPr>
            <w:tcW w:w="1418" w:type="dxa"/>
            <w:tcBorders>
              <w:top w:val="nil"/>
              <w:left w:val="nil"/>
              <w:bottom w:val="single" w:sz="4" w:space="0" w:color="auto"/>
              <w:right w:val="single" w:sz="4" w:space="0" w:color="auto"/>
            </w:tcBorders>
            <w:shd w:val="clear" w:color="auto" w:fill="auto"/>
            <w:noWrap/>
            <w:vAlign w:val="bottom"/>
            <w:hideMark/>
          </w:tcPr>
          <w:p w14:paraId="38E5422A" w14:textId="07DCB10C"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0.789</w:t>
            </w:r>
          </w:p>
        </w:tc>
        <w:tc>
          <w:tcPr>
            <w:tcW w:w="1701" w:type="dxa"/>
            <w:tcBorders>
              <w:top w:val="nil"/>
              <w:left w:val="nil"/>
              <w:bottom w:val="single" w:sz="4" w:space="0" w:color="auto"/>
              <w:right w:val="single" w:sz="4" w:space="0" w:color="auto"/>
            </w:tcBorders>
            <w:shd w:val="clear" w:color="auto" w:fill="auto"/>
            <w:noWrap/>
            <w:vAlign w:val="bottom"/>
            <w:hideMark/>
          </w:tcPr>
          <w:p w14:paraId="4E2825C4" w14:textId="3CA1BE42"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1</w:t>
            </w:r>
          </w:p>
        </w:tc>
        <w:tc>
          <w:tcPr>
            <w:tcW w:w="1371" w:type="dxa"/>
            <w:tcBorders>
              <w:top w:val="nil"/>
              <w:left w:val="nil"/>
              <w:bottom w:val="single" w:sz="4" w:space="0" w:color="auto"/>
              <w:right w:val="single" w:sz="4" w:space="0" w:color="auto"/>
            </w:tcBorders>
            <w:shd w:val="clear" w:color="auto" w:fill="auto"/>
            <w:noWrap/>
            <w:vAlign w:val="bottom"/>
            <w:hideMark/>
          </w:tcPr>
          <w:p w14:paraId="753DA83E"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894" w:type="dxa"/>
            <w:tcBorders>
              <w:top w:val="nil"/>
              <w:left w:val="nil"/>
              <w:bottom w:val="single" w:sz="4" w:space="0" w:color="auto"/>
              <w:right w:val="single" w:sz="4" w:space="0" w:color="auto"/>
            </w:tcBorders>
            <w:shd w:val="clear" w:color="auto" w:fill="auto"/>
            <w:noWrap/>
            <w:vAlign w:val="bottom"/>
            <w:hideMark/>
          </w:tcPr>
          <w:p w14:paraId="596C3CC5"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28644149"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r>
      <w:tr w:rsidR="0065482D" w:rsidRPr="004D3F2B" w14:paraId="52C7EDCC"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336F319B" w14:textId="77777777" w:rsidR="0065482D" w:rsidRPr="00CF7636" w:rsidRDefault="0065482D" w:rsidP="0065482D">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Malaysia</w:t>
            </w:r>
          </w:p>
        </w:tc>
        <w:tc>
          <w:tcPr>
            <w:tcW w:w="1418" w:type="dxa"/>
            <w:tcBorders>
              <w:top w:val="nil"/>
              <w:left w:val="nil"/>
              <w:bottom w:val="single" w:sz="4" w:space="0" w:color="auto"/>
              <w:right w:val="single" w:sz="4" w:space="0" w:color="auto"/>
            </w:tcBorders>
            <w:shd w:val="clear" w:color="auto" w:fill="auto"/>
            <w:noWrap/>
            <w:vAlign w:val="bottom"/>
            <w:hideMark/>
          </w:tcPr>
          <w:p w14:paraId="4BCECFD7" w14:textId="415E727B"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0.19</w:t>
            </w:r>
          </w:p>
        </w:tc>
        <w:tc>
          <w:tcPr>
            <w:tcW w:w="1701" w:type="dxa"/>
            <w:tcBorders>
              <w:top w:val="nil"/>
              <w:left w:val="nil"/>
              <w:bottom w:val="single" w:sz="4" w:space="0" w:color="auto"/>
              <w:right w:val="single" w:sz="4" w:space="0" w:color="auto"/>
            </w:tcBorders>
            <w:shd w:val="clear" w:color="auto" w:fill="auto"/>
            <w:noWrap/>
            <w:vAlign w:val="bottom"/>
            <w:hideMark/>
          </w:tcPr>
          <w:p w14:paraId="58083E5A" w14:textId="1A2B2A4E"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0.73</w:t>
            </w:r>
          </w:p>
        </w:tc>
        <w:tc>
          <w:tcPr>
            <w:tcW w:w="1371" w:type="dxa"/>
            <w:tcBorders>
              <w:top w:val="nil"/>
              <w:left w:val="nil"/>
              <w:bottom w:val="single" w:sz="4" w:space="0" w:color="auto"/>
              <w:right w:val="single" w:sz="4" w:space="0" w:color="auto"/>
            </w:tcBorders>
            <w:shd w:val="clear" w:color="auto" w:fill="auto"/>
            <w:noWrap/>
            <w:vAlign w:val="bottom"/>
            <w:hideMark/>
          </w:tcPr>
          <w:p w14:paraId="4F4CD4F7" w14:textId="24163377"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1</w:t>
            </w:r>
          </w:p>
        </w:tc>
        <w:tc>
          <w:tcPr>
            <w:tcW w:w="1894" w:type="dxa"/>
            <w:tcBorders>
              <w:top w:val="nil"/>
              <w:left w:val="nil"/>
              <w:bottom w:val="single" w:sz="4" w:space="0" w:color="auto"/>
              <w:right w:val="single" w:sz="4" w:space="0" w:color="auto"/>
            </w:tcBorders>
            <w:shd w:val="clear" w:color="auto" w:fill="auto"/>
            <w:noWrap/>
            <w:vAlign w:val="bottom"/>
            <w:hideMark/>
          </w:tcPr>
          <w:p w14:paraId="5192F281"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c>
          <w:tcPr>
            <w:tcW w:w="1843" w:type="dxa"/>
            <w:tcBorders>
              <w:top w:val="nil"/>
              <w:left w:val="nil"/>
              <w:bottom w:val="single" w:sz="4" w:space="0" w:color="auto"/>
              <w:right w:val="single" w:sz="4" w:space="0" w:color="auto"/>
            </w:tcBorders>
            <w:shd w:val="clear" w:color="auto" w:fill="auto"/>
            <w:noWrap/>
            <w:vAlign w:val="bottom"/>
            <w:hideMark/>
          </w:tcPr>
          <w:p w14:paraId="0D6E127D"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r>
      <w:tr w:rsidR="0065482D" w:rsidRPr="004D3F2B" w14:paraId="4195AC68"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AFA8147" w14:textId="77777777" w:rsidR="0065482D" w:rsidRPr="00CF7636" w:rsidRDefault="0065482D" w:rsidP="0065482D">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Kingdom</w:t>
            </w:r>
          </w:p>
        </w:tc>
        <w:tc>
          <w:tcPr>
            <w:tcW w:w="1418" w:type="dxa"/>
            <w:tcBorders>
              <w:top w:val="nil"/>
              <w:left w:val="nil"/>
              <w:bottom w:val="single" w:sz="4" w:space="0" w:color="auto"/>
              <w:right w:val="single" w:sz="4" w:space="0" w:color="auto"/>
            </w:tcBorders>
            <w:shd w:val="clear" w:color="auto" w:fill="auto"/>
            <w:noWrap/>
            <w:vAlign w:val="bottom"/>
            <w:hideMark/>
          </w:tcPr>
          <w:p w14:paraId="573E5649" w14:textId="36E9C00F"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-0.11</w:t>
            </w:r>
          </w:p>
        </w:tc>
        <w:tc>
          <w:tcPr>
            <w:tcW w:w="1701" w:type="dxa"/>
            <w:tcBorders>
              <w:top w:val="nil"/>
              <w:left w:val="nil"/>
              <w:bottom w:val="single" w:sz="4" w:space="0" w:color="auto"/>
              <w:right w:val="single" w:sz="4" w:space="0" w:color="auto"/>
            </w:tcBorders>
            <w:shd w:val="clear" w:color="auto" w:fill="auto"/>
            <w:noWrap/>
            <w:vAlign w:val="bottom"/>
            <w:hideMark/>
          </w:tcPr>
          <w:p w14:paraId="0D811207" w14:textId="543AD03B"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0.37</w:t>
            </w:r>
          </w:p>
        </w:tc>
        <w:tc>
          <w:tcPr>
            <w:tcW w:w="1371" w:type="dxa"/>
            <w:tcBorders>
              <w:top w:val="nil"/>
              <w:left w:val="nil"/>
              <w:bottom w:val="single" w:sz="4" w:space="0" w:color="auto"/>
              <w:right w:val="single" w:sz="4" w:space="0" w:color="auto"/>
            </w:tcBorders>
            <w:shd w:val="clear" w:color="auto" w:fill="auto"/>
            <w:noWrap/>
            <w:vAlign w:val="bottom"/>
            <w:hideMark/>
          </w:tcPr>
          <w:p w14:paraId="2B9D526A" w14:textId="439B6364"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0.88</w:t>
            </w:r>
          </w:p>
        </w:tc>
        <w:tc>
          <w:tcPr>
            <w:tcW w:w="1894" w:type="dxa"/>
            <w:tcBorders>
              <w:top w:val="nil"/>
              <w:left w:val="nil"/>
              <w:bottom w:val="single" w:sz="4" w:space="0" w:color="auto"/>
              <w:right w:val="single" w:sz="4" w:space="0" w:color="auto"/>
            </w:tcBorders>
            <w:shd w:val="clear" w:color="auto" w:fill="auto"/>
            <w:noWrap/>
            <w:vAlign w:val="bottom"/>
            <w:hideMark/>
          </w:tcPr>
          <w:p w14:paraId="4D6F6501" w14:textId="2A545859"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1</w:t>
            </w:r>
          </w:p>
        </w:tc>
        <w:tc>
          <w:tcPr>
            <w:tcW w:w="1843" w:type="dxa"/>
            <w:tcBorders>
              <w:top w:val="nil"/>
              <w:left w:val="nil"/>
              <w:bottom w:val="single" w:sz="4" w:space="0" w:color="auto"/>
              <w:right w:val="single" w:sz="4" w:space="0" w:color="auto"/>
            </w:tcBorders>
            <w:shd w:val="clear" w:color="auto" w:fill="auto"/>
            <w:noWrap/>
            <w:vAlign w:val="bottom"/>
            <w:hideMark/>
          </w:tcPr>
          <w:p w14:paraId="4582AF8E" w14:textId="77777777" w:rsidR="0065482D" w:rsidRPr="004D3F2B" w:rsidRDefault="0065482D" w:rsidP="0065482D">
            <w:pPr>
              <w:widowControl/>
              <w:jc w:val="center"/>
              <w:rPr>
                <w:rFonts w:ascii="Times New Roman" w:eastAsia="Times New Roman" w:hAnsi="Times New Roman"/>
                <w:color w:val="000000"/>
                <w:kern w:val="0"/>
                <w:szCs w:val="24"/>
                <w:lang w:eastAsia="zh-CN"/>
              </w:rPr>
            </w:pPr>
          </w:p>
        </w:tc>
      </w:tr>
      <w:tr w:rsidR="0065482D" w:rsidRPr="004D3F2B" w14:paraId="522BE433" w14:textId="77777777" w:rsidTr="00CF7636">
        <w:trPr>
          <w:trHeight w:val="290"/>
        </w:trPr>
        <w:tc>
          <w:tcPr>
            <w:tcW w:w="183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2603F91C" w14:textId="77777777" w:rsidR="0065482D" w:rsidRPr="00CF7636" w:rsidRDefault="0065482D" w:rsidP="0065482D">
            <w:pPr>
              <w:widowControl/>
              <w:rPr>
                <w:rFonts w:ascii="Times New Roman" w:eastAsia="Times New Roman" w:hAnsi="Times New Roman"/>
                <w:color w:val="000000" w:themeColor="text1"/>
                <w:kern w:val="0"/>
                <w:szCs w:val="24"/>
                <w:lang w:eastAsia="zh-CN"/>
              </w:rPr>
            </w:pPr>
            <w:r w:rsidRPr="00CF7636">
              <w:rPr>
                <w:rFonts w:ascii="Times New Roman" w:eastAsia="Times New Roman" w:hAnsi="Times New Roman"/>
                <w:color w:val="000000" w:themeColor="text1"/>
                <w:kern w:val="0"/>
                <w:szCs w:val="24"/>
                <w:lang w:eastAsia="zh-CN"/>
              </w:rPr>
              <w:t>United States</w:t>
            </w:r>
          </w:p>
        </w:tc>
        <w:tc>
          <w:tcPr>
            <w:tcW w:w="1418" w:type="dxa"/>
            <w:tcBorders>
              <w:top w:val="nil"/>
              <w:left w:val="nil"/>
              <w:bottom w:val="single" w:sz="4" w:space="0" w:color="auto"/>
              <w:right w:val="single" w:sz="4" w:space="0" w:color="auto"/>
            </w:tcBorders>
            <w:shd w:val="clear" w:color="auto" w:fill="auto"/>
            <w:noWrap/>
            <w:vAlign w:val="bottom"/>
            <w:hideMark/>
          </w:tcPr>
          <w:p w14:paraId="01786D29" w14:textId="1A6CE1C5"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-0.18</w:t>
            </w:r>
          </w:p>
        </w:tc>
        <w:tc>
          <w:tcPr>
            <w:tcW w:w="1701" w:type="dxa"/>
            <w:tcBorders>
              <w:top w:val="nil"/>
              <w:left w:val="nil"/>
              <w:bottom w:val="single" w:sz="4" w:space="0" w:color="auto"/>
              <w:right w:val="single" w:sz="4" w:space="0" w:color="auto"/>
            </w:tcBorders>
            <w:shd w:val="clear" w:color="auto" w:fill="auto"/>
            <w:noWrap/>
            <w:vAlign w:val="bottom"/>
            <w:hideMark/>
          </w:tcPr>
          <w:p w14:paraId="04006409" w14:textId="685DA7B4"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0.48</w:t>
            </w:r>
          </w:p>
        </w:tc>
        <w:tc>
          <w:tcPr>
            <w:tcW w:w="1371" w:type="dxa"/>
            <w:tcBorders>
              <w:top w:val="nil"/>
              <w:left w:val="nil"/>
              <w:bottom w:val="single" w:sz="4" w:space="0" w:color="auto"/>
              <w:right w:val="single" w:sz="4" w:space="0" w:color="auto"/>
            </w:tcBorders>
            <w:shd w:val="clear" w:color="auto" w:fill="auto"/>
            <w:noWrap/>
            <w:vAlign w:val="bottom"/>
            <w:hideMark/>
          </w:tcPr>
          <w:p w14:paraId="1E0A7235" w14:textId="40C98AC3"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0.91</w:t>
            </w:r>
          </w:p>
        </w:tc>
        <w:tc>
          <w:tcPr>
            <w:tcW w:w="1894" w:type="dxa"/>
            <w:tcBorders>
              <w:top w:val="nil"/>
              <w:left w:val="nil"/>
              <w:bottom w:val="single" w:sz="4" w:space="0" w:color="auto"/>
              <w:right w:val="single" w:sz="4" w:space="0" w:color="auto"/>
            </w:tcBorders>
            <w:shd w:val="clear" w:color="auto" w:fill="auto"/>
            <w:noWrap/>
            <w:vAlign w:val="bottom"/>
            <w:hideMark/>
          </w:tcPr>
          <w:p w14:paraId="11CC1E6D" w14:textId="7C923810"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hAnsi="Times New Roman"/>
                <w:color w:val="000000"/>
                <w:szCs w:val="24"/>
              </w:rPr>
              <w:t>0.82</w:t>
            </w:r>
          </w:p>
        </w:tc>
        <w:tc>
          <w:tcPr>
            <w:tcW w:w="1843" w:type="dxa"/>
            <w:tcBorders>
              <w:top w:val="nil"/>
              <w:left w:val="nil"/>
              <w:bottom w:val="single" w:sz="4" w:space="0" w:color="auto"/>
              <w:right w:val="single" w:sz="4" w:space="0" w:color="auto"/>
            </w:tcBorders>
            <w:shd w:val="clear" w:color="auto" w:fill="auto"/>
            <w:noWrap/>
            <w:vAlign w:val="bottom"/>
            <w:hideMark/>
          </w:tcPr>
          <w:p w14:paraId="5EB7F481" w14:textId="77777777" w:rsidR="0065482D" w:rsidRPr="004D3F2B" w:rsidRDefault="0065482D" w:rsidP="0065482D">
            <w:pPr>
              <w:widowControl/>
              <w:jc w:val="center"/>
              <w:rPr>
                <w:rFonts w:ascii="Times New Roman" w:eastAsia="Times New Roman" w:hAnsi="Times New Roman"/>
                <w:color w:val="000000"/>
                <w:kern w:val="0"/>
                <w:szCs w:val="24"/>
                <w:lang w:eastAsia="zh-CN"/>
              </w:rPr>
            </w:pPr>
            <w:r w:rsidRPr="004D3F2B">
              <w:rPr>
                <w:rFonts w:ascii="Times New Roman" w:eastAsia="Times New Roman" w:hAnsi="Times New Roman"/>
                <w:color w:val="000000"/>
                <w:kern w:val="0"/>
                <w:szCs w:val="24"/>
                <w:lang w:eastAsia="zh-CN"/>
              </w:rPr>
              <w:t>1</w:t>
            </w:r>
          </w:p>
        </w:tc>
      </w:tr>
    </w:tbl>
    <w:p w14:paraId="38E892EE" w14:textId="77777777" w:rsidR="0041712E" w:rsidRPr="004D3F2B" w:rsidRDefault="0041712E" w:rsidP="0041712E">
      <w:pPr>
        <w:adjustRightInd w:val="0"/>
        <w:snapToGrid w:val="0"/>
        <w:spacing w:line="360" w:lineRule="auto"/>
        <w:jc w:val="both"/>
        <w:rPr>
          <w:rFonts w:ascii="Times New Roman" w:hAnsi="Times New Roman"/>
          <w:bCs/>
          <w:szCs w:val="24"/>
        </w:rPr>
      </w:pPr>
    </w:p>
    <w:p w14:paraId="4AF4A6CF" w14:textId="7777777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Having analyzed the inflation rate correlations between Hong Kong, China, Malaysia, the United Kingdom, and the United States, we can draw the following conclusions and provide investment recommendations:</w:t>
      </w:r>
    </w:p>
    <w:p w14:paraId="26B01F7A" w14:textId="77777777" w:rsidR="0041712E" w:rsidRPr="004D3F2B" w:rsidRDefault="0041712E" w:rsidP="0041712E">
      <w:pPr>
        <w:adjustRightInd w:val="0"/>
        <w:snapToGrid w:val="0"/>
        <w:spacing w:line="360" w:lineRule="auto"/>
        <w:jc w:val="both"/>
        <w:rPr>
          <w:rFonts w:ascii="Times New Roman" w:hAnsi="Times New Roman"/>
          <w:bCs/>
          <w:szCs w:val="24"/>
        </w:rPr>
      </w:pPr>
    </w:p>
    <w:p w14:paraId="1C156D85" w14:textId="52DCC66E"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 Strongly influenced by China, and to a lesser extent by the economic activities of Malaysia and the United States. The investment climate here is closely tied to regional developments, especially those emanating from China.</w:t>
      </w:r>
    </w:p>
    <w:p w14:paraId="7D173817" w14:textId="7777777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   </w:t>
      </w:r>
    </w:p>
    <w:p w14:paraId="7ECFD412" w14:textId="0342913F"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China: Displays a strong correlation with Hong Kong but has weak or negligible correlations with the other regions. This indicates a regional focus in economic activities and inflation drivers.</w:t>
      </w:r>
    </w:p>
    <w:p w14:paraId="0607B15A" w14:textId="77777777" w:rsidR="0041712E" w:rsidRPr="004D3F2B" w:rsidRDefault="0041712E" w:rsidP="0041712E">
      <w:pPr>
        <w:adjustRightInd w:val="0"/>
        <w:snapToGrid w:val="0"/>
        <w:spacing w:line="360" w:lineRule="auto"/>
        <w:jc w:val="both"/>
        <w:rPr>
          <w:rFonts w:ascii="Times New Roman" w:hAnsi="Times New Roman"/>
          <w:bCs/>
          <w:szCs w:val="24"/>
        </w:rPr>
      </w:pPr>
    </w:p>
    <w:p w14:paraId="702B7214" w14:textId="1C8448D8"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 Shows strong correlations with the United Kingdom and the United States, suggesting that it is significantly influenced by global economic trends, especially those from developed economies.</w:t>
      </w:r>
    </w:p>
    <w:p w14:paraId="4DC465CC" w14:textId="77777777" w:rsidR="0041712E" w:rsidRPr="004D3F2B" w:rsidRDefault="0041712E" w:rsidP="0041712E">
      <w:pPr>
        <w:adjustRightInd w:val="0"/>
        <w:snapToGrid w:val="0"/>
        <w:spacing w:line="360" w:lineRule="auto"/>
        <w:jc w:val="both"/>
        <w:rPr>
          <w:rFonts w:ascii="Times New Roman" w:hAnsi="Times New Roman"/>
          <w:bCs/>
          <w:szCs w:val="24"/>
        </w:rPr>
      </w:pPr>
    </w:p>
    <w:p w14:paraId="028218C2" w14:textId="038B03C9"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 The strong positive correlation with Malaysia and the United States implies a considerable influence from these economies. The UK’s inflation rate seems more aligned with global economic trends, particularly those related to the US.</w:t>
      </w:r>
    </w:p>
    <w:p w14:paraId="53FC6F31" w14:textId="77777777" w:rsidR="0041712E" w:rsidRPr="004D3F2B" w:rsidRDefault="0041712E" w:rsidP="0041712E">
      <w:pPr>
        <w:adjustRightInd w:val="0"/>
        <w:snapToGrid w:val="0"/>
        <w:spacing w:line="360" w:lineRule="auto"/>
        <w:jc w:val="both"/>
        <w:rPr>
          <w:rFonts w:ascii="Times New Roman" w:hAnsi="Times New Roman"/>
          <w:bCs/>
          <w:szCs w:val="24"/>
        </w:rPr>
      </w:pPr>
    </w:p>
    <w:p w14:paraId="164284CB" w14:textId="7C6CF0D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 Exhibits a varied correlation with the economies in question, with the strongest ties to Malaysia and the UK. While global trends are influential, the US also has unique domestic factors affecting its inflation rate.</w:t>
      </w:r>
    </w:p>
    <w:p w14:paraId="546B819D" w14:textId="77777777" w:rsidR="00B00238" w:rsidRPr="004D3F2B" w:rsidRDefault="00B00238" w:rsidP="0041712E">
      <w:pPr>
        <w:adjustRightInd w:val="0"/>
        <w:snapToGrid w:val="0"/>
        <w:spacing w:line="360" w:lineRule="auto"/>
        <w:jc w:val="both"/>
        <w:rPr>
          <w:rFonts w:ascii="Times New Roman" w:hAnsi="Times New Roman"/>
          <w:bCs/>
          <w:szCs w:val="24"/>
        </w:rPr>
      </w:pPr>
    </w:p>
    <w:p w14:paraId="19D13AAC" w14:textId="2E8E0B16"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Investment Recommendations (2019-2022):</w:t>
      </w:r>
    </w:p>
    <w:p w14:paraId="0AC49EC5"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Short-term data indicates that inflation rates in Malaysia and the United States are highly correlated with other regions, which may mean that these markets respond more uniformly to global economic events. Hong Kong investors might consider these regions for short-term investments, especially if they are looking to follow or hedge against global inflation trends.</w:t>
      </w:r>
    </w:p>
    <w:p w14:paraId="340BAD94" w14:textId="77777777" w:rsidR="00B00238" w:rsidRPr="004D3F2B" w:rsidRDefault="00B00238" w:rsidP="00B00238">
      <w:pPr>
        <w:adjustRightInd w:val="0"/>
        <w:snapToGrid w:val="0"/>
        <w:spacing w:line="360" w:lineRule="auto"/>
        <w:jc w:val="both"/>
        <w:rPr>
          <w:rFonts w:ascii="Times New Roman" w:hAnsi="Times New Roman"/>
          <w:bCs/>
          <w:szCs w:val="24"/>
        </w:rPr>
      </w:pPr>
    </w:p>
    <w:p w14:paraId="3F0EE194"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Investment Recommendations (2002-2022):</w:t>
      </w:r>
    </w:p>
    <w:p w14:paraId="38F0CA4D"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Given the generally low correlations over the long-term trend, investors in Hong Kong might seek to diversify investments across different regions to mitigate the impact of regional economic fluctuations. The low correlation between China and Hong Kong suggests that investing in the Chinese market could provide diversification benefits to the investment portfolio.</w:t>
      </w:r>
    </w:p>
    <w:p w14:paraId="22D67EF5" w14:textId="77777777" w:rsidR="00B00238" w:rsidRPr="004D3F2B" w:rsidRDefault="00B00238" w:rsidP="00B00238">
      <w:pPr>
        <w:adjustRightInd w:val="0"/>
        <w:snapToGrid w:val="0"/>
        <w:spacing w:line="360" w:lineRule="auto"/>
        <w:jc w:val="both"/>
        <w:rPr>
          <w:rFonts w:ascii="Times New Roman" w:hAnsi="Times New Roman"/>
          <w:bCs/>
          <w:szCs w:val="24"/>
        </w:rPr>
      </w:pPr>
    </w:p>
    <w:p w14:paraId="4524D6B5" w14:textId="534FA390"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A comprehensive comparison of the two sets of data reveals changes in inflation correlation between regions over different time frames. In the long-term, lower correlations may reflect the impact of economic cycles and region-specific factors. In the short term, the increased correlation of some markets reflects the synchronized impact of global economic events on these markets. For investors in Hong Kong, this means that short-term investment strategies may need to pay closer attention to global economic trends, while long-term investment strategies should consider more the region-specific economic conditions and independence.</w:t>
      </w:r>
    </w:p>
    <w:p w14:paraId="10ED2FFF" w14:textId="19710037" w:rsidR="0041712E" w:rsidRPr="004D3F2B" w:rsidRDefault="0041712E" w:rsidP="0041712E">
      <w:pPr>
        <w:adjustRightInd w:val="0"/>
        <w:snapToGrid w:val="0"/>
        <w:spacing w:line="360" w:lineRule="auto"/>
        <w:jc w:val="both"/>
        <w:rPr>
          <w:rFonts w:ascii="Times New Roman" w:hAnsi="Times New Roman"/>
          <w:bCs/>
          <w:szCs w:val="24"/>
        </w:rPr>
      </w:pPr>
    </w:p>
    <w:p w14:paraId="3AA82CE2" w14:textId="1578AA42" w:rsidR="008D43A2" w:rsidRPr="004D3F2B" w:rsidRDefault="008D43A2" w:rsidP="008D43A2">
      <w:pPr>
        <w:widowControl/>
        <w:jc w:val="both"/>
        <w:rPr>
          <w:rFonts w:ascii="Times New Roman" w:hAnsi="Times New Roman"/>
          <w:b/>
          <w:szCs w:val="24"/>
        </w:rPr>
      </w:pPr>
      <w:r w:rsidRPr="004D3F2B">
        <w:rPr>
          <w:rFonts w:ascii="Times New Roman" w:hAnsi="Times New Roman"/>
          <w:b/>
          <w:szCs w:val="24"/>
        </w:rPr>
        <w:t>3.3 Summary</w:t>
      </w:r>
      <w:r w:rsidR="0000586C">
        <w:rPr>
          <w:rFonts w:ascii="Times New Roman" w:hAnsi="Times New Roman"/>
          <w:b/>
          <w:szCs w:val="24"/>
        </w:rPr>
        <w:t xml:space="preserve"> of findings</w:t>
      </w:r>
    </w:p>
    <w:p w14:paraId="7329B260" w14:textId="4465CBA6" w:rsidR="00F35DE0" w:rsidRPr="004D3F2B" w:rsidRDefault="00F35DE0" w:rsidP="008D43A2">
      <w:pPr>
        <w:widowControl/>
        <w:jc w:val="both"/>
        <w:rPr>
          <w:rFonts w:ascii="Times New Roman" w:hAnsi="Times New Roman"/>
          <w:b/>
          <w:szCs w:val="24"/>
        </w:rPr>
      </w:pPr>
    </w:p>
    <w:p w14:paraId="4478DAE1"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Upon completion of the aforementioned analyses, we have achieved our research objectives as follows:</w:t>
      </w:r>
    </w:p>
    <w:p w14:paraId="6B71BFFA" w14:textId="77777777" w:rsidR="00F35DE0" w:rsidRPr="004D3F2B" w:rsidRDefault="00F35DE0" w:rsidP="00F35DE0">
      <w:pPr>
        <w:widowControl/>
        <w:jc w:val="both"/>
        <w:rPr>
          <w:rFonts w:ascii="Times New Roman" w:hAnsi="Times New Roman"/>
          <w:szCs w:val="24"/>
        </w:rPr>
      </w:pPr>
    </w:p>
    <w:p w14:paraId="05DEDCA6"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Trends and Volatility: By comparing the average inflation rates and standard deviations, we have gained an understanding of the long-term trends and volatility in inflation across different countries. A higher standard deviation indicates greater volatility.</w:t>
      </w:r>
    </w:p>
    <w:p w14:paraId="51C38579" w14:textId="77777777" w:rsidR="00F35DE0" w:rsidRPr="004D3F2B" w:rsidRDefault="00F35DE0" w:rsidP="00F35DE0">
      <w:pPr>
        <w:widowControl/>
        <w:jc w:val="both"/>
        <w:rPr>
          <w:rFonts w:ascii="Times New Roman" w:hAnsi="Times New Roman"/>
          <w:szCs w:val="24"/>
        </w:rPr>
      </w:pPr>
    </w:p>
    <w:p w14:paraId="54E46380"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Risk Assessment: The coefficient of variation assists in evaluating the relative risk of inflation rates among different countries. A higher coefficient of variation may signify a higher investment risk.</w:t>
      </w:r>
    </w:p>
    <w:p w14:paraId="58C9F898" w14:textId="77777777" w:rsidR="00F35DE0" w:rsidRPr="004D3F2B" w:rsidRDefault="00F35DE0" w:rsidP="00F35DE0">
      <w:pPr>
        <w:widowControl/>
        <w:jc w:val="both"/>
        <w:rPr>
          <w:rFonts w:ascii="Times New Roman" w:hAnsi="Times New Roman"/>
          <w:szCs w:val="24"/>
        </w:rPr>
      </w:pPr>
    </w:p>
    <w:p w14:paraId="5752C9EA"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Extreme Value Analysis: By examining the maximum and minimum values, we can comprehend the potential extreme levels that inflation rates may reach.</w:t>
      </w:r>
    </w:p>
    <w:p w14:paraId="417BFE0D"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Correlation Analysis: The correlation coefficients between the inflation rates can reveal the interconnectedness of inflation across different country markets. Strong correlations may indicate the influence of global economic factors, while low correlations could suggest the independent impact of domestic economic policies and conditions.</w:t>
      </w:r>
    </w:p>
    <w:p w14:paraId="4CCE0E84" w14:textId="77777777" w:rsidR="00F35DE0" w:rsidRPr="004D3F2B" w:rsidRDefault="00F35DE0" w:rsidP="00F35DE0">
      <w:pPr>
        <w:widowControl/>
        <w:jc w:val="both"/>
        <w:rPr>
          <w:rFonts w:ascii="Times New Roman" w:hAnsi="Times New Roman"/>
          <w:szCs w:val="24"/>
        </w:rPr>
      </w:pPr>
    </w:p>
    <w:p w14:paraId="10428AE8" w14:textId="531B1BDD" w:rsidR="00F35DE0" w:rsidRPr="004D3F2B" w:rsidRDefault="00F35DE0" w:rsidP="00F35DE0">
      <w:pPr>
        <w:widowControl/>
        <w:jc w:val="both"/>
        <w:rPr>
          <w:rFonts w:ascii="Times New Roman" w:hAnsi="Times New Roman"/>
          <w:szCs w:val="24"/>
        </w:rPr>
      </w:pPr>
      <w:r w:rsidRPr="004D3F2B">
        <w:rPr>
          <w:rFonts w:ascii="Times New Roman" w:hAnsi="Times New Roman"/>
          <w:szCs w:val="24"/>
        </w:rPr>
        <w:t>These analytical results can help the investment fund company to understand the inflation dynamics of different markets, evaluate the geographic diversification strategy of their investment portfolio, and make more informed investment decisions.</w:t>
      </w:r>
    </w:p>
    <w:p w14:paraId="5208C4E0" w14:textId="77777777" w:rsidR="00F35DE0" w:rsidRPr="004D3F2B" w:rsidRDefault="00F35DE0" w:rsidP="00F35DE0">
      <w:pPr>
        <w:widowControl/>
        <w:jc w:val="both"/>
        <w:rPr>
          <w:rFonts w:ascii="Times New Roman" w:hAnsi="Times New Roman"/>
          <w:szCs w:val="24"/>
        </w:rPr>
      </w:pPr>
    </w:p>
    <w:p w14:paraId="49221670" w14:textId="13448C71" w:rsidR="007F32F4" w:rsidRPr="004D3F2B" w:rsidRDefault="007F32F4" w:rsidP="007F32F4">
      <w:pPr>
        <w:widowControl/>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 xml:space="preserve">4   Conclusion and recommendations </w:t>
      </w:r>
    </w:p>
    <w:p w14:paraId="5E05C947" w14:textId="77777777" w:rsidR="007F32F4" w:rsidRPr="004D3F2B" w:rsidRDefault="007F32F4" w:rsidP="007F32F4">
      <w:pPr>
        <w:widowControl/>
        <w:adjustRightInd w:val="0"/>
        <w:snapToGrid w:val="0"/>
        <w:spacing w:line="360" w:lineRule="auto"/>
        <w:jc w:val="both"/>
        <w:rPr>
          <w:rFonts w:ascii="Times New Roman" w:hAnsi="Times New Roman"/>
          <w:b/>
          <w:bCs/>
          <w:szCs w:val="24"/>
        </w:rPr>
      </w:pPr>
    </w:p>
    <w:p w14:paraId="1F0797EA" w14:textId="21D0DAB1" w:rsidR="007F32F4" w:rsidRPr="004D3F2B" w:rsidRDefault="00CF7636" w:rsidP="007F32F4">
      <w:pPr>
        <w:adjustRightInd w:val="0"/>
        <w:snapToGrid w:val="0"/>
        <w:spacing w:line="360" w:lineRule="auto"/>
        <w:jc w:val="both"/>
        <w:rPr>
          <w:rFonts w:ascii="Times New Roman" w:hAnsi="Times New Roman"/>
          <w:b/>
          <w:bCs/>
          <w:szCs w:val="24"/>
        </w:rPr>
      </w:pPr>
      <w:r>
        <w:rPr>
          <w:rFonts w:ascii="Times New Roman" w:hAnsi="Times New Roman"/>
          <w:b/>
          <w:bCs/>
          <w:szCs w:val="24"/>
        </w:rPr>
        <w:t>4.1</w:t>
      </w:r>
      <w:r>
        <w:rPr>
          <w:rFonts w:ascii="Times New Roman" w:hAnsi="Times New Roman"/>
          <w:b/>
          <w:bCs/>
          <w:szCs w:val="24"/>
        </w:rPr>
        <w:tab/>
        <w:t>Conclusion</w:t>
      </w:r>
      <w:r w:rsidR="007F32F4" w:rsidRPr="004D3F2B">
        <w:rPr>
          <w:rFonts w:ascii="Times New Roman" w:hAnsi="Times New Roman"/>
          <w:b/>
          <w:szCs w:val="24"/>
        </w:rPr>
        <w:t>:</w:t>
      </w:r>
      <w:r>
        <w:rPr>
          <w:rFonts w:ascii="Times New Roman" w:hAnsi="Times New Roman"/>
          <w:b/>
          <w:szCs w:val="24"/>
        </w:rPr>
        <w:t xml:space="preserve"> </w:t>
      </w:r>
    </w:p>
    <w:p w14:paraId="54722B9C" w14:textId="07638B4E" w:rsidR="00B259D5" w:rsidRDefault="00B259D5" w:rsidP="002C6D2E">
      <w:pPr>
        <w:widowControl/>
        <w:jc w:val="both"/>
        <w:rPr>
          <w:rFonts w:ascii="Times New Roman" w:hAnsi="Times New Roman"/>
          <w:bCs/>
          <w:szCs w:val="24"/>
        </w:rPr>
      </w:pPr>
      <w:r w:rsidRPr="00B259D5">
        <w:rPr>
          <w:rFonts w:ascii="Times New Roman" w:hAnsi="Times New Roman"/>
          <w:bCs/>
          <w:szCs w:val="24"/>
        </w:rPr>
        <w:t xml:space="preserve">[If you have put forward your research problem or research questions in the introduction section, the responses can enhance the persuasiveness of your </w:t>
      </w:r>
      <w:r>
        <w:rPr>
          <w:rFonts w:ascii="Times New Roman" w:hAnsi="Times New Roman"/>
          <w:bCs/>
          <w:szCs w:val="24"/>
        </w:rPr>
        <w:t xml:space="preserve">conclusion and </w:t>
      </w:r>
      <w:r w:rsidRPr="00B259D5">
        <w:rPr>
          <w:rFonts w:ascii="Times New Roman" w:hAnsi="Times New Roman"/>
          <w:bCs/>
          <w:szCs w:val="24"/>
        </w:rPr>
        <w:t>recommendations.]</w:t>
      </w:r>
    </w:p>
    <w:p w14:paraId="2BCFF64A" w14:textId="77777777" w:rsidR="00B259D5" w:rsidRDefault="00B259D5" w:rsidP="002C6D2E">
      <w:pPr>
        <w:widowControl/>
        <w:jc w:val="both"/>
        <w:rPr>
          <w:rFonts w:ascii="Times New Roman" w:hAnsi="Times New Roman"/>
          <w:bCs/>
          <w:szCs w:val="24"/>
        </w:rPr>
      </w:pPr>
    </w:p>
    <w:p w14:paraId="46CEE74B" w14:textId="5F647456" w:rsidR="006510BB" w:rsidRDefault="006510BB" w:rsidP="002C6D2E">
      <w:pPr>
        <w:widowControl/>
        <w:jc w:val="both"/>
        <w:rPr>
          <w:rFonts w:ascii="Times New Roman" w:hAnsi="Times New Roman"/>
          <w:bCs/>
          <w:szCs w:val="24"/>
        </w:rPr>
      </w:pPr>
      <w:r w:rsidRPr="006510BB">
        <w:rPr>
          <w:rFonts w:ascii="Times New Roman" w:hAnsi="Times New Roman"/>
          <w:bCs/>
          <w:szCs w:val="24"/>
        </w:rPr>
        <w:t>The analysis underlines the nuanced relationship between inflation dynamics and investment decision-making, emphasizing that mere awareness of average inflation rates is insufficient. A deeper understanding of inflation's volatility and its extreme potentialities is pivotal for crafting robust investment strategies. Moreover, the interplay between global economic forces and domestic policies, as revealed through correlation analysis, necessitates a strategic approach to geographic diversification. This multifaceted insight into inflation's behavior aids the investment fund company in refining its portfolio strategy, ensuring resilience and adaptability in the face of global economic fluctuations.</w:t>
      </w:r>
    </w:p>
    <w:p w14:paraId="608DBDA8" w14:textId="77777777" w:rsidR="00FC53DC" w:rsidRDefault="00FC53DC" w:rsidP="002C6D2E">
      <w:pPr>
        <w:widowControl/>
        <w:jc w:val="both"/>
        <w:rPr>
          <w:rFonts w:ascii="Times New Roman" w:hAnsi="Times New Roman"/>
          <w:bCs/>
          <w:szCs w:val="24"/>
        </w:rPr>
      </w:pPr>
    </w:p>
    <w:p w14:paraId="7F5864EC" w14:textId="77777777"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Analyzing the theoretical relationship between a country's Consumer Price Index (CPI) inflation trends and investors' decisions to invest in that country involves several key aspects, supported by research findings:</w:t>
      </w:r>
    </w:p>
    <w:p w14:paraId="7D24BDEC" w14:textId="77777777" w:rsidR="00FC53DC" w:rsidRPr="00FC53DC" w:rsidRDefault="00FC53DC" w:rsidP="00FC53DC">
      <w:pPr>
        <w:widowControl/>
        <w:jc w:val="both"/>
        <w:rPr>
          <w:rFonts w:ascii="Times New Roman" w:hAnsi="Times New Roman"/>
          <w:bCs/>
          <w:szCs w:val="24"/>
        </w:rPr>
      </w:pPr>
    </w:p>
    <w:p w14:paraId="59B39F7E" w14:textId="677E74F0"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Inflation and Investment Growth: Inflation not only impacts the performance of the financial sector but also directly affects investment growth. An analytical study by Zhou Jin (2014) found a long-term stable relationship between inflation and economic growth, with a two-way Granger causality. The study indicates that economic growth promotes investment growth, which in turn can lead to higher inflation. Conversely, inflation expansion raises the level of investment growth, subsequently affecting economic growth.</w:t>
      </w:r>
    </w:p>
    <w:p w14:paraId="5AFA78C4" w14:textId="77777777" w:rsidR="00FC53DC" w:rsidRPr="00FC53DC" w:rsidRDefault="00FC53DC" w:rsidP="00FC53DC">
      <w:pPr>
        <w:widowControl/>
        <w:jc w:val="both"/>
        <w:rPr>
          <w:rFonts w:ascii="Times New Roman" w:hAnsi="Times New Roman"/>
          <w:bCs/>
          <w:szCs w:val="24"/>
        </w:rPr>
      </w:pPr>
    </w:p>
    <w:p w14:paraId="55F7E8CB" w14:textId="71208889"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Inflation, Taxation, and Long-Term Growth: The relationship between inflation, taxation, and long-term economic growth is explored in a study by Gregorio (1993), which emphasizes how inflation affects the rate of investment and the productivity of investment through different channels. High rates of inflation, as a result of inefficiencies in the tax system, can negatively impact economic growth by reducing the level and efficiency of investment</w:t>
      </w:r>
      <w:r>
        <w:rPr>
          <w:rFonts w:ascii="Times New Roman" w:hAnsi="Times New Roman"/>
          <w:bCs/>
          <w:szCs w:val="24"/>
        </w:rPr>
        <w:t>.</w:t>
      </w:r>
    </w:p>
    <w:p w14:paraId="22AA9BAC" w14:textId="77777777" w:rsidR="00FC53DC" w:rsidRPr="00FC53DC" w:rsidRDefault="00FC53DC" w:rsidP="00FC53DC">
      <w:pPr>
        <w:widowControl/>
        <w:jc w:val="both"/>
        <w:rPr>
          <w:rFonts w:ascii="Times New Roman" w:hAnsi="Times New Roman"/>
          <w:bCs/>
          <w:szCs w:val="24"/>
        </w:rPr>
      </w:pPr>
    </w:p>
    <w:p w14:paraId="0622ECDB" w14:textId="2A55B3FB"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 xml:space="preserve">Inflation Expectations and Investment Plans: A study by Grasso &amp; </w:t>
      </w:r>
      <w:proofErr w:type="spellStart"/>
      <w:r w:rsidRPr="00FC53DC">
        <w:rPr>
          <w:rFonts w:ascii="Times New Roman" w:hAnsi="Times New Roman"/>
          <w:bCs/>
          <w:szCs w:val="24"/>
        </w:rPr>
        <w:t>Ropele</w:t>
      </w:r>
      <w:proofErr w:type="spellEnd"/>
      <w:r w:rsidRPr="00FC53DC">
        <w:rPr>
          <w:rFonts w:ascii="Times New Roman" w:hAnsi="Times New Roman"/>
          <w:bCs/>
          <w:szCs w:val="24"/>
        </w:rPr>
        <w:t xml:space="preserve"> (2018) investigates the relationship between firms' inflation expectations and their investment plans. The study reveals that higher expected inflation is positively correlated with firms' willingness to invest, suggesting that inflation expectations can influence investment decisions and performance.</w:t>
      </w:r>
    </w:p>
    <w:p w14:paraId="04E53919" w14:textId="77777777" w:rsidR="00FC53DC" w:rsidRPr="00FC53DC" w:rsidRDefault="00FC53DC" w:rsidP="00FC53DC">
      <w:pPr>
        <w:widowControl/>
        <w:jc w:val="both"/>
        <w:rPr>
          <w:rFonts w:ascii="Times New Roman" w:hAnsi="Times New Roman"/>
          <w:bCs/>
          <w:szCs w:val="24"/>
        </w:rPr>
      </w:pPr>
    </w:p>
    <w:p w14:paraId="1894578F" w14:textId="68CC15A6" w:rsidR="00FC53DC" w:rsidRDefault="00FC53DC" w:rsidP="00FC53DC">
      <w:pPr>
        <w:widowControl/>
        <w:jc w:val="both"/>
        <w:rPr>
          <w:rFonts w:ascii="Times New Roman" w:hAnsi="Times New Roman"/>
          <w:bCs/>
          <w:szCs w:val="24"/>
        </w:rPr>
      </w:pPr>
      <w:r w:rsidRPr="00FC53DC">
        <w:rPr>
          <w:rFonts w:ascii="Times New Roman" w:hAnsi="Times New Roman"/>
          <w:bCs/>
          <w:szCs w:val="24"/>
        </w:rPr>
        <w:t xml:space="preserve">In summary, the theoretical relationship between a country's CPI inflation trends and investors' decisions to invest there involves the impact of inflation on the financial sector, direct effects on </w:t>
      </w:r>
      <w:r w:rsidRPr="00FC53DC">
        <w:rPr>
          <w:rFonts w:ascii="Times New Roman" w:hAnsi="Times New Roman"/>
          <w:bCs/>
          <w:szCs w:val="24"/>
        </w:rPr>
        <w:lastRenderedPageBreak/>
        <w:t>investment growth, and the influence of inflation expectations on investment decisions. These research findings provide a theoretical basis for investors to make informed decisions in varying inflationary environments.</w:t>
      </w:r>
    </w:p>
    <w:p w14:paraId="3B24360A" w14:textId="77777777" w:rsidR="006510BB" w:rsidRDefault="006510BB" w:rsidP="002C6D2E">
      <w:pPr>
        <w:widowControl/>
        <w:jc w:val="both"/>
        <w:rPr>
          <w:rFonts w:ascii="Times New Roman" w:hAnsi="Times New Roman"/>
          <w:bCs/>
          <w:szCs w:val="24"/>
        </w:rPr>
      </w:pPr>
    </w:p>
    <w:p w14:paraId="39925415" w14:textId="0A8C1592" w:rsidR="002D2559" w:rsidRPr="004D3F2B" w:rsidRDefault="008D43A2" w:rsidP="002C6D2E">
      <w:pPr>
        <w:widowControl/>
        <w:jc w:val="both"/>
        <w:rPr>
          <w:rFonts w:ascii="Times New Roman" w:hAnsi="Times New Roman"/>
          <w:b/>
          <w:szCs w:val="24"/>
        </w:rPr>
      </w:pPr>
      <w:r w:rsidRPr="004D3F2B">
        <w:rPr>
          <w:rFonts w:ascii="Times New Roman" w:hAnsi="Times New Roman"/>
          <w:b/>
          <w:szCs w:val="24"/>
        </w:rPr>
        <w:t>4</w:t>
      </w:r>
      <w:r w:rsidR="002D2559" w:rsidRPr="004D3F2B">
        <w:rPr>
          <w:rFonts w:ascii="Times New Roman" w:hAnsi="Times New Roman"/>
          <w:b/>
          <w:szCs w:val="24"/>
        </w:rPr>
        <w:t>.2 Recommendations</w:t>
      </w:r>
    </w:p>
    <w:p w14:paraId="6E13BD3C" w14:textId="77777777" w:rsidR="00F35DE0" w:rsidRPr="004D3F2B" w:rsidRDefault="00F35DE0" w:rsidP="002C6D2E">
      <w:pPr>
        <w:widowControl/>
        <w:jc w:val="both"/>
        <w:rPr>
          <w:rFonts w:ascii="Times New Roman" w:hAnsi="Times New Roman"/>
          <w:b/>
          <w:szCs w:val="24"/>
        </w:rPr>
      </w:pPr>
    </w:p>
    <w:p w14:paraId="53DBE0A9"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Given the close economic ties between Hong Kong and China, as well as the moderate correlation between their inflation rates, China may be an attractive investment destination for investors seeking exposure to the Hong Kong market. China's macroeconomic policies and regional economic integration processes may have a significant impact on Hong Kong, so it is crucial to closely monitor China's economic trends and policy changes for making wise investment decisions.</w:t>
      </w:r>
    </w:p>
    <w:p w14:paraId="3546915B" w14:textId="77777777" w:rsidR="00F35DE0" w:rsidRPr="004D3F2B" w:rsidRDefault="00F35DE0" w:rsidP="00F35DE0">
      <w:pPr>
        <w:widowControl/>
        <w:jc w:val="both"/>
        <w:rPr>
          <w:rFonts w:ascii="Times New Roman" w:hAnsi="Times New Roman"/>
          <w:bCs/>
          <w:szCs w:val="24"/>
        </w:rPr>
      </w:pPr>
    </w:p>
    <w:p w14:paraId="6F43215A"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At the same time, Malaysia, as an emerging market with strong links to Hong Kong, could also be a region for Hong Kong investors to consider. The close collaboration between the two in trade and investment could offer favorable opportunities for Hong Kong investors.</w:t>
      </w:r>
    </w:p>
    <w:p w14:paraId="7D637CF7" w14:textId="77777777" w:rsidR="00F35DE0" w:rsidRPr="004D3F2B" w:rsidRDefault="00F35DE0" w:rsidP="00F35DE0">
      <w:pPr>
        <w:widowControl/>
        <w:jc w:val="both"/>
        <w:rPr>
          <w:rFonts w:ascii="Times New Roman" w:hAnsi="Times New Roman"/>
          <w:bCs/>
          <w:szCs w:val="24"/>
        </w:rPr>
      </w:pPr>
    </w:p>
    <w:p w14:paraId="6CBE18EC"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Although the correlation with the inflation rates of the UK and the US is relatively weak, given the importance of both countries in the global economy, Hong Kong investors should still keep a close watch on the economic and policy dynamics of these two markets, especially the potential widespread impact of the US market on global financial markets.</w:t>
      </w:r>
    </w:p>
    <w:p w14:paraId="3DB08890" w14:textId="77777777" w:rsidR="002D2559" w:rsidRPr="004D3F2B" w:rsidRDefault="002D2559" w:rsidP="002C6D2E">
      <w:pPr>
        <w:widowControl/>
        <w:jc w:val="both"/>
        <w:rPr>
          <w:rFonts w:ascii="Times New Roman" w:hAnsi="Times New Roman"/>
          <w:bCs/>
          <w:szCs w:val="24"/>
        </w:rPr>
      </w:pPr>
    </w:p>
    <w:p w14:paraId="663D9104" w14:textId="6511A9A8" w:rsidR="00A1610E" w:rsidRPr="00A1610E" w:rsidRDefault="002D2559" w:rsidP="00C6763D">
      <w:pPr>
        <w:widowControl/>
        <w:jc w:val="both"/>
        <w:rPr>
          <w:rFonts w:ascii="Times New Roman" w:hAnsi="Times New Roman"/>
          <w:b/>
          <w:bCs/>
          <w:szCs w:val="24"/>
        </w:rPr>
      </w:pPr>
      <w:r w:rsidRPr="004D3F2B">
        <w:rPr>
          <w:rFonts w:ascii="Times New Roman" w:hAnsi="Times New Roman"/>
          <w:bCs/>
          <w:szCs w:val="24"/>
        </w:rPr>
        <w:t xml:space="preserve">In conclusion, for Hong Kong investors, </w:t>
      </w:r>
      <w:r w:rsidR="00ED40BD" w:rsidRPr="004D3F2B">
        <w:rPr>
          <w:rFonts w:ascii="Times New Roman" w:hAnsi="Times New Roman"/>
          <w:bCs/>
          <w:szCs w:val="24"/>
        </w:rPr>
        <w:t xml:space="preserve">I recommend </w:t>
      </w:r>
      <w:r w:rsidR="00B259D5">
        <w:rPr>
          <w:rFonts w:ascii="Times New Roman" w:hAnsi="Times New Roman"/>
          <w:bCs/>
          <w:szCs w:val="24"/>
        </w:rPr>
        <w:t>i</w:t>
      </w:r>
      <w:r w:rsidR="00B259D5" w:rsidRPr="004D3F2B">
        <w:rPr>
          <w:rFonts w:ascii="Times New Roman" w:hAnsi="Times New Roman"/>
          <w:bCs/>
          <w:szCs w:val="24"/>
        </w:rPr>
        <w:t>nvesting</w:t>
      </w:r>
      <w:r w:rsidR="00ED40BD" w:rsidRPr="004D3F2B">
        <w:rPr>
          <w:rFonts w:ascii="Times New Roman" w:hAnsi="Times New Roman"/>
          <w:bCs/>
          <w:szCs w:val="24"/>
        </w:rPr>
        <w:t xml:space="preserve"> </w:t>
      </w:r>
      <w:r w:rsidR="00B259D5">
        <w:rPr>
          <w:rFonts w:ascii="Times New Roman" w:hAnsi="Times New Roman"/>
          <w:bCs/>
          <w:szCs w:val="24"/>
        </w:rPr>
        <w:t xml:space="preserve">in </w:t>
      </w:r>
      <w:r w:rsidRPr="004D3F2B">
        <w:rPr>
          <w:rFonts w:ascii="Times New Roman" w:hAnsi="Times New Roman"/>
          <w:bCs/>
          <w:szCs w:val="24"/>
        </w:rPr>
        <w:t xml:space="preserve">China </w:t>
      </w:r>
      <w:r w:rsidR="00421BAD">
        <w:rPr>
          <w:rFonts w:ascii="Times New Roman" w:hAnsi="Times New Roman"/>
          <w:bCs/>
          <w:szCs w:val="24"/>
        </w:rPr>
        <w:t xml:space="preserve">or </w:t>
      </w:r>
      <w:r w:rsidRPr="004D3F2B">
        <w:rPr>
          <w:rFonts w:ascii="Times New Roman" w:hAnsi="Times New Roman"/>
          <w:bCs/>
          <w:szCs w:val="24"/>
        </w:rPr>
        <w:t>Malaysia</w:t>
      </w:r>
      <w:r w:rsidR="00ED40BD" w:rsidRPr="004D3F2B">
        <w:rPr>
          <w:rFonts w:ascii="Times New Roman" w:hAnsi="Times New Roman"/>
          <w:bCs/>
          <w:szCs w:val="24"/>
        </w:rPr>
        <w:t xml:space="preserve">, it </w:t>
      </w:r>
      <w:r w:rsidR="00B259D5">
        <w:rPr>
          <w:rFonts w:ascii="Times New Roman" w:hAnsi="Times New Roman"/>
          <w:bCs/>
          <w:szCs w:val="24"/>
        </w:rPr>
        <w:t xml:space="preserve">is a </w:t>
      </w:r>
      <w:r w:rsidRPr="004D3F2B">
        <w:rPr>
          <w:rFonts w:ascii="Times New Roman" w:hAnsi="Times New Roman"/>
          <w:bCs/>
          <w:szCs w:val="24"/>
        </w:rPr>
        <w:t>suitable investment choice in the current environment, particularly considering their close economic ties with Hong Kong and the correlation with inflation rates.</w:t>
      </w:r>
    </w:p>
    <w:sectPr w:rsidR="00A1610E" w:rsidRPr="00A1610E" w:rsidSect="00C76F01">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A8F8B" w14:textId="77777777" w:rsidR="00C76F01" w:rsidRDefault="00C76F01">
      <w:r>
        <w:separator/>
      </w:r>
    </w:p>
  </w:endnote>
  <w:endnote w:type="continuationSeparator" w:id="0">
    <w:p w14:paraId="25CC9AA3" w14:textId="77777777" w:rsidR="00C76F01" w:rsidRDefault="00C76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標楷體">
    <w:panose1 w:val="03000509000000000000"/>
    <w:charset w:val="88"/>
    <w:family w:val="script"/>
    <w:pitch w:val="fixed"/>
    <w:sig w:usb0="00000003" w:usb1="080E0000"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B765AF" w:rsidRDefault="00B765AF">
    <w:pPr>
      <w:pStyle w:val="a6"/>
      <w:framePr w:wrap="around" w:vAnchor="text" w:hAnchor="margin" w:xAlign="center" w:y="1"/>
      <w:rPr>
        <w:rStyle w:val="ab"/>
      </w:rPr>
    </w:pPr>
    <w:r>
      <w:rPr>
        <w:rStyle w:val="ab"/>
      </w:rPr>
      <w:fldChar w:fldCharType="begin"/>
    </w:r>
    <w:r>
      <w:rPr>
        <w:rStyle w:val="ab"/>
      </w:rPr>
      <w:instrText xml:space="preserve">PAGE  </w:instrText>
    </w:r>
    <w:r>
      <w:rPr>
        <w:rStyle w:val="ab"/>
      </w:rPr>
      <w:fldChar w:fldCharType="separate"/>
    </w:r>
    <w:r>
      <w:rPr>
        <w:rStyle w:val="ab"/>
        <w:noProof/>
      </w:rPr>
      <w:t>i</w:t>
    </w:r>
    <w:r>
      <w:rPr>
        <w:rStyle w:val="ab"/>
      </w:rPr>
      <w:fldChar w:fldCharType="end"/>
    </w:r>
  </w:p>
  <w:p w14:paraId="436EE74F" w14:textId="77777777" w:rsidR="00B765AF" w:rsidRDefault="00B765AF">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479D6" w14:textId="77777777" w:rsidR="00B765AF" w:rsidRDefault="00B765AF">
    <w:pPr>
      <w:pStyle w:val="a6"/>
      <w:framePr w:wrap="around" w:vAnchor="text" w:hAnchor="margin" w:xAlign="center" w:y="1"/>
      <w:rPr>
        <w:rStyle w:val="ab"/>
      </w:rPr>
    </w:pPr>
  </w:p>
  <w:p w14:paraId="1AF2B952" w14:textId="703E341B" w:rsidR="00B765AF" w:rsidRDefault="00B765AF">
    <w:pPr>
      <w:pStyle w:val="a6"/>
      <w:jc w:val="center"/>
    </w:pPr>
    <w:r>
      <w:rPr>
        <w:rStyle w:val="ab"/>
      </w:rPr>
      <w:fldChar w:fldCharType="begin"/>
    </w:r>
    <w:r>
      <w:rPr>
        <w:rStyle w:val="ab"/>
      </w:rPr>
      <w:instrText xml:space="preserve"> PAGE </w:instrText>
    </w:r>
    <w:r>
      <w:rPr>
        <w:rStyle w:val="ab"/>
      </w:rPr>
      <w:fldChar w:fldCharType="separate"/>
    </w:r>
    <w:r w:rsidR="00922E84">
      <w:rPr>
        <w:rStyle w:val="ab"/>
        <w:noProof/>
      </w:rPr>
      <w:t>24</w:t>
    </w:r>
    <w:r>
      <w:rPr>
        <w:rStyle w:val="ab"/>
      </w:rPr>
      <w:fldChar w:fldCharType="end"/>
    </w:r>
  </w:p>
  <w:p w14:paraId="6CBC4991" w14:textId="77777777" w:rsidR="00B765AF" w:rsidRDefault="00B765AF">
    <w:pPr>
      <w:pStyle w:val="a6"/>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79EB9" w14:textId="77777777" w:rsidR="00C76F01" w:rsidRDefault="00C76F01">
      <w:r>
        <w:separator/>
      </w:r>
    </w:p>
  </w:footnote>
  <w:footnote w:type="continuationSeparator" w:id="0">
    <w:p w14:paraId="6761048B" w14:textId="77777777" w:rsidR="00C76F01" w:rsidRDefault="00C76F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05889"/>
    <w:multiLevelType w:val="hybridMultilevel"/>
    <w:tmpl w:val="3CFCFDF4"/>
    <w:lvl w:ilvl="0" w:tplc="A3740D0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 w15:restartNumberingAfterBreak="0">
    <w:nsid w:val="4DC37C17"/>
    <w:multiLevelType w:val="multilevel"/>
    <w:tmpl w:val="BE7AF64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51B32EE"/>
    <w:multiLevelType w:val="hybridMultilevel"/>
    <w:tmpl w:val="BD0CF42E"/>
    <w:lvl w:ilvl="0" w:tplc="01E27D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299500500">
    <w:abstractNumId w:val="1"/>
  </w:num>
  <w:num w:numId="2" w16cid:durableId="283391104">
    <w:abstractNumId w:val="4"/>
  </w:num>
  <w:num w:numId="3" w16cid:durableId="369257831">
    <w:abstractNumId w:val="0"/>
  </w:num>
  <w:num w:numId="4" w16cid:durableId="2101678076">
    <w:abstractNumId w:val="2"/>
  </w:num>
  <w:num w:numId="5" w16cid:durableId="1842892552">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BDA"/>
    <w:rsid w:val="0000586C"/>
    <w:rsid w:val="000122C2"/>
    <w:rsid w:val="00015359"/>
    <w:rsid w:val="00032C95"/>
    <w:rsid w:val="000563A6"/>
    <w:rsid w:val="000617B8"/>
    <w:rsid w:val="00063320"/>
    <w:rsid w:val="000669F2"/>
    <w:rsid w:val="000734C8"/>
    <w:rsid w:val="00073C3C"/>
    <w:rsid w:val="00074310"/>
    <w:rsid w:val="00074B88"/>
    <w:rsid w:val="00084FA0"/>
    <w:rsid w:val="00090DD5"/>
    <w:rsid w:val="00093362"/>
    <w:rsid w:val="0009415E"/>
    <w:rsid w:val="000A37B4"/>
    <w:rsid w:val="000A57F9"/>
    <w:rsid w:val="000B3E47"/>
    <w:rsid w:val="000B4A97"/>
    <w:rsid w:val="000B6600"/>
    <w:rsid w:val="000C61E4"/>
    <w:rsid w:val="000D21B6"/>
    <w:rsid w:val="000D3340"/>
    <w:rsid w:val="000E7A6B"/>
    <w:rsid w:val="000F57AA"/>
    <w:rsid w:val="000F6803"/>
    <w:rsid w:val="000F73BB"/>
    <w:rsid w:val="00101A6B"/>
    <w:rsid w:val="001222BD"/>
    <w:rsid w:val="0012643D"/>
    <w:rsid w:val="00131A65"/>
    <w:rsid w:val="001320BA"/>
    <w:rsid w:val="001324D5"/>
    <w:rsid w:val="00133300"/>
    <w:rsid w:val="00133640"/>
    <w:rsid w:val="00142C22"/>
    <w:rsid w:val="00146992"/>
    <w:rsid w:val="00147247"/>
    <w:rsid w:val="00155454"/>
    <w:rsid w:val="00171878"/>
    <w:rsid w:val="00173F08"/>
    <w:rsid w:val="00175DD0"/>
    <w:rsid w:val="001817CC"/>
    <w:rsid w:val="00182625"/>
    <w:rsid w:val="001870C1"/>
    <w:rsid w:val="00190281"/>
    <w:rsid w:val="00193611"/>
    <w:rsid w:val="001A5C97"/>
    <w:rsid w:val="001A7A26"/>
    <w:rsid w:val="001B0195"/>
    <w:rsid w:val="001B1DF5"/>
    <w:rsid w:val="001C1162"/>
    <w:rsid w:val="001C6DC2"/>
    <w:rsid w:val="001D4213"/>
    <w:rsid w:val="001E2AE8"/>
    <w:rsid w:val="001E46DB"/>
    <w:rsid w:val="001E6BC3"/>
    <w:rsid w:val="001E74AF"/>
    <w:rsid w:val="001F017C"/>
    <w:rsid w:val="001F171B"/>
    <w:rsid w:val="001F3715"/>
    <w:rsid w:val="001F65FD"/>
    <w:rsid w:val="0020154A"/>
    <w:rsid w:val="0020248F"/>
    <w:rsid w:val="00202E67"/>
    <w:rsid w:val="00206EEF"/>
    <w:rsid w:val="00217EA4"/>
    <w:rsid w:val="00220D81"/>
    <w:rsid w:val="002210CC"/>
    <w:rsid w:val="002217D0"/>
    <w:rsid w:val="00222688"/>
    <w:rsid w:val="00225FC1"/>
    <w:rsid w:val="002352F6"/>
    <w:rsid w:val="00240FC2"/>
    <w:rsid w:val="0024164F"/>
    <w:rsid w:val="002433E4"/>
    <w:rsid w:val="00245CCC"/>
    <w:rsid w:val="00246080"/>
    <w:rsid w:val="00246DD2"/>
    <w:rsid w:val="002475D4"/>
    <w:rsid w:val="002559D2"/>
    <w:rsid w:val="00261C59"/>
    <w:rsid w:val="002635E5"/>
    <w:rsid w:val="00271CEE"/>
    <w:rsid w:val="00271DC6"/>
    <w:rsid w:val="00271EAD"/>
    <w:rsid w:val="0027451D"/>
    <w:rsid w:val="0027453D"/>
    <w:rsid w:val="00281F6E"/>
    <w:rsid w:val="002904D7"/>
    <w:rsid w:val="00293F31"/>
    <w:rsid w:val="00294774"/>
    <w:rsid w:val="00295BC4"/>
    <w:rsid w:val="002A0C6E"/>
    <w:rsid w:val="002A1F0F"/>
    <w:rsid w:val="002A2309"/>
    <w:rsid w:val="002A5933"/>
    <w:rsid w:val="002B082C"/>
    <w:rsid w:val="002B1650"/>
    <w:rsid w:val="002B60E5"/>
    <w:rsid w:val="002B615E"/>
    <w:rsid w:val="002B69A7"/>
    <w:rsid w:val="002C00FA"/>
    <w:rsid w:val="002C5008"/>
    <w:rsid w:val="002C6D2E"/>
    <w:rsid w:val="002C6D36"/>
    <w:rsid w:val="002D2559"/>
    <w:rsid w:val="002D33B3"/>
    <w:rsid w:val="002E7DA0"/>
    <w:rsid w:val="002F0D20"/>
    <w:rsid w:val="002F23ED"/>
    <w:rsid w:val="002F361F"/>
    <w:rsid w:val="002F5A28"/>
    <w:rsid w:val="002F6C0F"/>
    <w:rsid w:val="003047B3"/>
    <w:rsid w:val="00306563"/>
    <w:rsid w:val="003115A5"/>
    <w:rsid w:val="00311ADA"/>
    <w:rsid w:val="00313CFB"/>
    <w:rsid w:val="00320E26"/>
    <w:rsid w:val="00321F1F"/>
    <w:rsid w:val="0032410B"/>
    <w:rsid w:val="00325F1F"/>
    <w:rsid w:val="00334634"/>
    <w:rsid w:val="00335225"/>
    <w:rsid w:val="00340A26"/>
    <w:rsid w:val="00344541"/>
    <w:rsid w:val="003504DB"/>
    <w:rsid w:val="003531DD"/>
    <w:rsid w:val="00353909"/>
    <w:rsid w:val="003632B8"/>
    <w:rsid w:val="00364FC5"/>
    <w:rsid w:val="00372343"/>
    <w:rsid w:val="0037238F"/>
    <w:rsid w:val="0037275D"/>
    <w:rsid w:val="00374E46"/>
    <w:rsid w:val="003872F6"/>
    <w:rsid w:val="003920A7"/>
    <w:rsid w:val="003963B3"/>
    <w:rsid w:val="00396AF3"/>
    <w:rsid w:val="00396BAD"/>
    <w:rsid w:val="003B19AE"/>
    <w:rsid w:val="003B1AA3"/>
    <w:rsid w:val="003B3DC2"/>
    <w:rsid w:val="003B4B52"/>
    <w:rsid w:val="003C1399"/>
    <w:rsid w:val="003C584D"/>
    <w:rsid w:val="003D5704"/>
    <w:rsid w:val="003D607E"/>
    <w:rsid w:val="003D6E3B"/>
    <w:rsid w:val="003E6DB9"/>
    <w:rsid w:val="003F7FC0"/>
    <w:rsid w:val="00400416"/>
    <w:rsid w:val="00407DD6"/>
    <w:rsid w:val="0041712E"/>
    <w:rsid w:val="00417630"/>
    <w:rsid w:val="004212D7"/>
    <w:rsid w:val="00421BAD"/>
    <w:rsid w:val="004227B2"/>
    <w:rsid w:val="004238D8"/>
    <w:rsid w:val="004243CE"/>
    <w:rsid w:val="00433146"/>
    <w:rsid w:val="00443886"/>
    <w:rsid w:val="00473FC8"/>
    <w:rsid w:val="004744A0"/>
    <w:rsid w:val="00476518"/>
    <w:rsid w:val="00481C22"/>
    <w:rsid w:val="004857C6"/>
    <w:rsid w:val="00486184"/>
    <w:rsid w:val="00490413"/>
    <w:rsid w:val="00492397"/>
    <w:rsid w:val="004A19CD"/>
    <w:rsid w:val="004A2B65"/>
    <w:rsid w:val="004A3F59"/>
    <w:rsid w:val="004B1D19"/>
    <w:rsid w:val="004C1824"/>
    <w:rsid w:val="004C3BB6"/>
    <w:rsid w:val="004C5348"/>
    <w:rsid w:val="004D3F2B"/>
    <w:rsid w:val="004D6E44"/>
    <w:rsid w:val="004E09D0"/>
    <w:rsid w:val="004E5F5E"/>
    <w:rsid w:val="004E6916"/>
    <w:rsid w:val="004F2917"/>
    <w:rsid w:val="004F75CD"/>
    <w:rsid w:val="00500AA3"/>
    <w:rsid w:val="00501F33"/>
    <w:rsid w:val="0050557D"/>
    <w:rsid w:val="00511D68"/>
    <w:rsid w:val="00517C02"/>
    <w:rsid w:val="0052173A"/>
    <w:rsid w:val="005267E5"/>
    <w:rsid w:val="0052784E"/>
    <w:rsid w:val="00537D94"/>
    <w:rsid w:val="005425E0"/>
    <w:rsid w:val="00544335"/>
    <w:rsid w:val="0054548B"/>
    <w:rsid w:val="0054639B"/>
    <w:rsid w:val="00553A41"/>
    <w:rsid w:val="00572C3F"/>
    <w:rsid w:val="00581964"/>
    <w:rsid w:val="005827E1"/>
    <w:rsid w:val="00582BF0"/>
    <w:rsid w:val="005A0D1A"/>
    <w:rsid w:val="005A7124"/>
    <w:rsid w:val="005A7979"/>
    <w:rsid w:val="005B1967"/>
    <w:rsid w:val="005B40FD"/>
    <w:rsid w:val="005B61B0"/>
    <w:rsid w:val="005C4ED3"/>
    <w:rsid w:val="005D12B4"/>
    <w:rsid w:val="005D2A07"/>
    <w:rsid w:val="005D3924"/>
    <w:rsid w:val="005E0786"/>
    <w:rsid w:val="005E2C59"/>
    <w:rsid w:val="005E4AA8"/>
    <w:rsid w:val="005E59E4"/>
    <w:rsid w:val="005F5BA8"/>
    <w:rsid w:val="005F6E6F"/>
    <w:rsid w:val="005F6F3B"/>
    <w:rsid w:val="0060001E"/>
    <w:rsid w:val="00603A24"/>
    <w:rsid w:val="00603E07"/>
    <w:rsid w:val="006067C2"/>
    <w:rsid w:val="00617F7E"/>
    <w:rsid w:val="0062280C"/>
    <w:rsid w:val="00627B86"/>
    <w:rsid w:val="00631303"/>
    <w:rsid w:val="00634788"/>
    <w:rsid w:val="00635D3C"/>
    <w:rsid w:val="00640797"/>
    <w:rsid w:val="00641F6D"/>
    <w:rsid w:val="006425E0"/>
    <w:rsid w:val="006508F5"/>
    <w:rsid w:val="006510BB"/>
    <w:rsid w:val="0065482D"/>
    <w:rsid w:val="006657B3"/>
    <w:rsid w:val="00672187"/>
    <w:rsid w:val="0067404A"/>
    <w:rsid w:val="006768F7"/>
    <w:rsid w:val="0067709A"/>
    <w:rsid w:val="006800F2"/>
    <w:rsid w:val="006841F6"/>
    <w:rsid w:val="00684616"/>
    <w:rsid w:val="0068694B"/>
    <w:rsid w:val="006874A6"/>
    <w:rsid w:val="00697338"/>
    <w:rsid w:val="006A0855"/>
    <w:rsid w:val="006A0BDA"/>
    <w:rsid w:val="006A22B7"/>
    <w:rsid w:val="006A3E24"/>
    <w:rsid w:val="006C3494"/>
    <w:rsid w:val="006C4407"/>
    <w:rsid w:val="006D093C"/>
    <w:rsid w:val="006D1D96"/>
    <w:rsid w:val="006E2EE7"/>
    <w:rsid w:val="006E508D"/>
    <w:rsid w:val="006E6814"/>
    <w:rsid w:val="006F122E"/>
    <w:rsid w:val="006F346A"/>
    <w:rsid w:val="006F5A45"/>
    <w:rsid w:val="00733A00"/>
    <w:rsid w:val="00744DAE"/>
    <w:rsid w:val="00745834"/>
    <w:rsid w:val="007520B9"/>
    <w:rsid w:val="00755540"/>
    <w:rsid w:val="00762607"/>
    <w:rsid w:val="00764178"/>
    <w:rsid w:val="00767A43"/>
    <w:rsid w:val="00770538"/>
    <w:rsid w:val="0077084A"/>
    <w:rsid w:val="00774BFB"/>
    <w:rsid w:val="0077605D"/>
    <w:rsid w:val="0077750A"/>
    <w:rsid w:val="007824BA"/>
    <w:rsid w:val="00783714"/>
    <w:rsid w:val="007839F3"/>
    <w:rsid w:val="00785B24"/>
    <w:rsid w:val="0078606D"/>
    <w:rsid w:val="00793757"/>
    <w:rsid w:val="007A00F3"/>
    <w:rsid w:val="007A59B0"/>
    <w:rsid w:val="007A5C66"/>
    <w:rsid w:val="007A75E9"/>
    <w:rsid w:val="007C3F4C"/>
    <w:rsid w:val="007C4EF0"/>
    <w:rsid w:val="007D6DB7"/>
    <w:rsid w:val="007E39F0"/>
    <w:rsid w:val="007E5997"/>
    <w:rsid w:val="007F0744"/>
    <w:rsid w:val="007F32F4"/>
    <w:rsid w:val="007F4EC3"/>
    <w:rsid w:val="007F6448"/>
    <w:rsid w:val="00802856"/>
    <w:rsid w:val="00806C45"/>
    <w:rsid w:val="0081088B"/>
    <w:rsid w:val="0081485C"/>
    <w:rsid w:val="00816E31"/>
    <w:rsid w:val="0083316F"/>
    <w:rsid w:val="008349B4"/>
    <w:rsid w:val="008402A6"/>
    <w:rsid w:val="008423E0"/>
    <w:rsid w:val="00847315"/>
    <w:rsid w:val="00850120"/>
    <w:rsid w:val="00850AF7"/>
    <w:rsid w:val="008527D9"/>
    <w:rsid w:val="00854698"/>
    <w:rsid w:val="00874C1B"/>
    <w:rsid w:val="00875BAD"/>
    <w:rsid w:val="00876D08"/>
    <w:rsid w:val="008777A7"/>
    <w:rsid w:val="008832F1"/>
    <w:rsid w:val="008837E1"/>
    <w:rsid w:val="00890AB2"/>
    <w:rsid w:val="00894AD7"/>
    <w:rsid w:val="00894DAD"/>
    <w:rsid w:val="008A1E92"/>
    <w:rsid w:val="008A7573"/>
    <w:rsid w:val="008B6705"/>
    <w:rsid w:val="008C66E3"/>
    <w:rsid w:val="008C7EC7"/>
    <w:rsid w:val="008D24B7"/>
    <w:rsid w:val="008D43A2"/>
    <w:rsid w:val="008D7576"/>
    <w:rsid w:val="008E6BB5"/>
    <w:rsid w:val="008F0095"/>
    <w:rsid w:val="008F37F3"/>
    <w:rsid w:val="008F73A5"/>
    <w:rsid w:val="00910037"/>
    <w:rsid w:val="009222A2"/>
    <w:rsid w:val="00922E84"/>
    <w:rsid w:val="00924D4A"/>
    <w:rsid w:val="009268D4"/>
    <w:rsid w:val="00934FB3"/>
    <w:rsid w:val="009374E6"/>
    <w:rsid w:val="00950792"/>
    <w:rsid w:val="00951B71"/>
    <w:rsid w:val="00956F19"/>
    <w:rsid w:val="0096038B"/>
    <w:rsid w:val="0096079B"/>
    <w:rsid w:val="0096250A"/>
    <w:rsid w:val="00964084"/>
    <w:rsid w:val="0097518E"/>
    <w:rsid w:val="00976F55"/>
    <w:rsid w:val="00980559"/>
    <w:rsid w:val="00983B22"/>
    <w:rsid w:val="009879AC"/>
    <w:rsid w:val="00992705"/>
    <w:rsid w:val="009928BC"/>
    <w:rsid w:val="00995ADB"/>
    <w:rsid w:val="00997987"/>
    <w:rsid w:val="009A546E"/>
    <w:rsid w:val="009A69C9"/>
    <w:rsid w:val="009A7025"/>
    <w:rsid w:val="009B094E"/>
    <w:rsid w:val="009B217A"/>
    <w:rsid w:val="009B5596"/>
    <w:rsid w:val="009C1F23"/>
    <w:rsid w:val="009C3942"/>
    <w:rsid w:val="009C4242"/>
    <w:rsid w:val="009C6A86"/>
    <w:rsid w:val="009C7063"/>
    <w:rsid w:val="009C7926"/>
    <w:rsid w:val="009D05DE"/>
    <w:rsid w:val="009D5429"/>
    <w:rsid w:val="009E190D"/>
    <w:rsid w:val="009E6700"/>
    <w:rsid w:val="009F12B7"/>
    <w:rsid w:val="009F791F"/>
    <w:rsid w:val="00A01F30"/>
    <w:rsid w:val="00A0488C"/>
    <w:rsid w:val="00A1193C"/>
    <w:rsid w:val="00A143DE"/>
    <w:rsid w:val="00A1610E"/>
    <w:rsid w:val="00A22DD0"/>
    <w:rsid w:val="00A23170"/>
    <w:rsid w:val="00A26724"/>
    <w:rsid w:val="00A33F6A"/>
    <w:rsid w:val="00A372FD"/>
    <w:rsid w:val="00A37748"/>
    <w:rsid w:val="00A37E8E"/>
    <w:rsid w:val="00A45A43"/>
    <w:rsid w:val="00A51061"/>
    <w:rsid w:val="00A5435D"/>
    <w:rsid w:val="00A5780D"/>
    <w:rsid w:val="00A65DBE"/>
    <w:rsid w:val="00A664EE"/>
    <w:rsid w:val="00A6671F"/>
    <w:rsid w:val="00A66BDA"/>
    <w:rsid w:val="00A70379"/>
    <w:rsid w:val="00A74548"/>
    <w:rsid w:val="00A761ED"/>
    <w:rsid w:val="00A83E23"/>
    <w:rsid w:val="00A9020C"/>
    <w:rsid w:val="00A93647"/>
    <w:rsid w:val="00A93D4E"/>
    <w:rsid w:val="00A94FA3"/>
    <w:rsid w:val="00AA010F"/>
    <w:rsid w:val="00AB4694"/>
    <w:rsid w:val="00AB576F"/>
    <w:rsid w:val="00AB5D04"/>
    <w:rsid w:val="00AC03C9"/>
    <w:rsid w:val="00AC34A1"/>
    <w:rsid w:val="00AC5AD4"/>
    <w:rsid w:val="00AC75E9"/>
    <w:rsid w:val="00AD3EA5"/>
    <w:rsid w:val="00AD5725"/>
    <w:rsid w:val="00AD7B1F"/>
    <w:rsid w:val="00AE3CA3"/>
    <w:rsid w:val="00AE3EC8"/>
    <w:rsid w:val="00AE5ED3"/>
    <w:rsid w:val="00AF417C"/>
    <w:rsid w:val="00AF4C14"/>
    <w:rsid w:val="00AF5B50"/>
    <w:rsid w:val="00AF6616"/>
    <w:rsid w:val="00B00238"/>
    <w:rsid w:val="00B0321E"/>
    <w:rsid w:val="00B1129B"/>
    <w:rsid w:val="00B259D5"/>
    <w:rsid w:val="00B25B3D"/>
    <w:rsid w:val="00B2674E"/>
    <w:rsid w:val="00B32D83"/>
    <w:rsid w:val="00B343CF"/>
    <w:rsid w:val="00B34D89"/>
    <w:rsid w:val="00B354BC"/>
    <w:rsid w:val="00B37B4D"/>
    <w:rsid w:val="00B40D11"/>
    <w:rsid w:val="00B4314C"/>
    <w:rsid w:val="00B465A7"/>
    <w:rsid w:val="00B50065"/>
    <w:rsid w:val="00B54B17"/>
    <w:rsid w:val="00B56718"/>
    <w:rsid w:val="00B61E5A"/>
    <w:rsid w:val="00B62FB6"/>
    <w:rsid w:val="00B638D9"/>
    <w:rsid w:val="00B65B2E"/>
    <w:rsid w:val="00B70FAA"/>
    <w:rsid w:val="00B7427F"/>
    <w:rsid w:val="00B765AF"/>
    <w:rsid w:val="00B85A24"/>
    <w:rsid w:val="00B92681"/>
    <w:rsid w:val="00B94B34"/>
    <w:rsid w:val="00B953FD"/>
    <w:rsid w:val="00BA089F"/>
    <w:rsid w:val="00BA5FA9"/>
    <w:rsid w:val="00BB17DB"/>
    <w:rsid w:val="00BB1849"/>
    <w:rsid w:val="00BB4C1B"/>
    <w:rsid w:val="00BC2CBE"/>
    <w:rsid w:val="00BC3940"/>
    <w:rsid w:val="00BC74F5"/>
    <w:rsid w:val="00BD439E"/>
    <w:rsid w:val="00BE12B2"/>
    <w:rsid w:val="00BF0404"/>
    <w:rsid w:val="00BF0CC8"/>
    <w:rsid w:val="00BF76BF"/>
    <w:rsid w:val="00C039CC"/>
    <w:rsid w:val="00C04DD8"/>
    <w:rsid w:val="00C146E5"/>
    <w:rsid w:val="00C17926"/>
    <w:rsid w:val="00C24C68"/>
    <w:rsid w:val="00C31347"/>
    <w:rsid w:val="00C36191"/>
    <w:rsid w:val="00C40B94"/>
    <w:rsid w:val="00C43D72"/>
    <w:rsid w:val="00C52F52"/>
    <w:rsid w:val="00C56763"/>
    <w:rsid w:val="00C57406"/>
    <w:rsid w:val="00C623B4"/>
    <w:rsid w:val="00C6413D"/>
    <w:rsid w:val="00C65A3F"/>
    <w:rsid w:val="00C6763D"/>
    <w:rsid w:val="00C72074"/>
    <w:rsid w:val="00C74786"/>
    <w:rsid w:val="00C74E8B"/>
    <w:rsid w:val="00C75BDC"/>
    <w:rsid w:val="00C76F01"/>
    <w:rsid w:val="00C81EB7"/>
    <w:rsid w:val="00C8202C"/>
    <w:rsid w:val="00C87366"/>
    <w:rsid w:val="00C95BE3"/>
    <w:rsid w:val="00CA0B6C"/>
    <w:rsid w:val="00CA1589"/>
    <w:rsid w:val="00CA2B78"/>
    <w:rsid w:val="00CA798C"/>
    <w:rsid w:val="00CB3F2A"/>
    <w:rsid w:val="00CB7453"/>
    <w:rsid w:val="00CC0AA6"/>
    <w:rsid w:val="00CC0E1D"/>
    <w:rsid w:val="00CC69B2"/>
    <w:rsid w:val="00CC7B8D"/>
    <w:rsid w:val="00CD4800"/>
    <w:rsid w:val="00CD6383"/>
    <w:rsid w:val="00CD7E3B"/>
    <w:rsid w:val="00CE2668"/>
    <w:rsid w:val="00CE45CB"/>
    <w:rsid w:val="00CF330D"/>
    <w:rsid w:val="00CF7636"/>
    <w:rsid w:val="00D12ED3"/>
    <w:rsid w:val="00D20206"/>
    <w:rsid w:val="00D2543F"/>
    <w:rsid w:val="00D30C87"/>
    <w:rsid w:val="00D30EA4"/>
    <w:rsid w:val="00D3216B"/>
    <w:rsid w:val="00D40DFA"/>
    <w:rsid w:val="00D417A9"/>
    <w:rsid w:val="00D5484F"/>
    <w:rsid w:val="00D66450"/>
    <w:rsid w:val="00D712F4"/>
    <w:rsid w:val="00D771A8"/>
    <w:rsid w:val="00D93F92"/>
    <w:rsid w:val="00DA0FF4"/>
    <w:rsid w:val="00DB2551"/>
    <w:rsid w:val="00DB31BE"/>
    <w:rsid w:val="00DB488B"/>
    <w:rsid w:val="00DB6E0E"/>
    <w:rsid w:val="00DD2307"/>
    <w:rsid w:val="00DD3736"/>
    <w:rsid w:val="00DD79F6"/>
    <w:rsid w:val="00DF39E6"/>
    <w:rsid w:val="00DF6F15"/>
    <w:rsid w:val="00E0488D"/>
    <w:rsid w:val="00E12851"/>
    <w:rsid w:val="00E312E1"/>
    <w:rsid w:val="00E4085C"/>
    <w:rsid w:val="00E441F5"/>
    <w:rsid w:val="00E52BA9"/>
    <w:rsid w:val="00E52CF8"/>
    <w:rsid w:val="00E6133C"/>
    <w:rsid w:val="00E65A87"/>
    <w:rsid w:val="00E80CF7"/>
    <w:rsid w:val="00E80E06"/>
    <w:rsid w:val="00E81C4C"/>
    <w:rsid w:val="00E82032"/>
    <w:rsid w:val="00E846B0"/>
    <w:rsid w:val="00E9005B"/>
    <w:rsid w:val="00E903CD"/>
    <w:rsid w:val="00E940F0"/>
    <w:rsid w:val="00E94A00"/>
    <w:rsid w:val="00EA00BF"/>
    <w:rsid w:val="00EA0CAE"/>
    <w:rsid w:val="00EA3110"/>
    <w:rsid w:val="00EA6771"/>
    <w:rsid w:val="00EC1D54"/>
    <w:rsid w:val="00EC79A2"/>
    <w:rsid w:val="00ED32A9"/>
    <w:rsid w:val="00ED40BD"/>
    <w:rsid w:val="00ED5F42"/>
    <w:rsid w:val="00EE3B41"/>
    <w:rsid w:val="00EE62DF"/>
    <w:rsid w:val="00EF001E"/>
    <w:rsid w:val="00EF300E"/>
    <w:rsid w:val="00EF340D"/>
    <w:rsid w:val="00F03170"/>
    <w:rsid w:val="00F035D2"/>
    <w:rsid w:val="00F03AA6"/>
    <w:rsid w:val="00F05208"/>
    <w:rsid w:val="00F063CC"/>
    <w:rsid w:val="00F135F2"/>
    <w:rsid w:val="00F23A47"/>
    <w:rsid w:val="00F33F08"/>
    <w:rsid w:val="00F34801"/>
    <w:rsid w:val="00F35DE0"/>
    <w:rsid w:val="00F3790B"/>
    <w:rsid w:val="00F46983"/>
    <w:rsid w:val="00F474D1"/>
    <w:rsid w:val="00F53B97"/>
    <w:rsid w:val="00F63E69"/>
    <w:rsid w:val="00F64306"/>
    <w:rsid w:val="00F74BBF"/>
    <w:rsid w:val="00F83748"/>
    <w:rsid w:val="00F87B2A"/>
    <w:rsid w:val="00F90F85"/>
    <w:rsid w:val="00F930B4"/>
    <w:rsid w:val="00F951F7"/>
    <w:rsid w:val="00FA40BD"/>
    <w:rsid w:val="00FB2111"/>
    <w:rsid w:val="00FB401C"/>
    <w:rsid w:val="00FB4044"/>
    <w:rsid w:val="00FB5471"/>
    <w:rsid w:val="00FB5A6C"/>
    <w:rsid w:val="00FC4759"/>
    <w:rsid w:val="00FC5135"/>
    <w:rsid w:val="00FC53DC"/>
    <w:rsid w:val="00FD00F1"/>
    <w:rsid w:val="00FD615B"/>
    <w:rsid w:val="00FE2BDF"/>
    <w:rsid w:val="00FE6608"/>
    <w:rsid w:val="00FF12EE"/>
    <w:rsid w:val="00FF45EB"/>
    <w:rsid w:val="00FF521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1D68"/>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jc w:val="center"/>
      <w:outlineLvl w:val="2"/>
    </w:pPr>
    <w:rPr>
      <w:rFonts w:ascii="Times New Roman" w:hAnsi="Times New Roman"/>
      <w:b/>
      <w:sz w:val="28"/>
      <w:szCs w:val="28"/>
    </w:rPr>
  </w:style>
  <w:style w:type="paragraph" w:styleId="4">
    <w:name w:val="heading 4"/>
    <w:basedOn w:val="a"/>
    <w:next w:val="a"/>
    <w:link w:val="40"/>
    <w:uiPriority w:val="9"/>
    <w:semiHidden/>
    <w:unhideWhenUsed/>
    <w:qFormat/>
    <w:rsid w:val="0096250A"/>
    <w:pPr>
      <w:keepNext/>
      <w:spacing w:line="720" w:lineRule="auto"/>
      <w:outlineLvl w:val="3"/>
    </w:pPr>
    <w:rPr>
      <w:rFonts w:ascii="Cambria"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unhideWhenUsed/>
    <w:pPr>
      <w:tabs>
        <w:tab w:val="center" w:pos="4153"/>
        <w:tab w:val="right" w:pos="8306"/>
      </w:tabs>
      <w:snapToGrid w:val="0"/>
    </w:pPr>
    <w:rPr>
      <w:sz w:val="20"/>
      <w:szCs w:val="20"/>
    </w:rPr>
  </w:style>
  <w:style w:type="character" w:customStyle="1" w:styleId="a5">
    <w:name w:val="字元"/>
    <w:rPr>
      <w:kern w:val="2"/>
    </w:rPr>
  </w:style>
  <w:style w:type="paragraph" w:styleId="a6">
    <w:name w:val="footer"/>
    <w:basedOn w:val="a"/>
    <w:unhideWhenUsed/>
    <w:pPr>
      <w:tabs>
        <w:tab w:val="center" w:pos="4153"/>
        <w:tab w:val="right" w:pos="8306"/>
      </w:tabs>
      <w:snapToGrid w:val="0"/>
    </w:pPr>
    <w:rPr>
      <w:sz w:val="20"/>
      <w:szCs w:val="20"/>
    </w:rPr>
  </w:style>
  <w:style w:type="character" w:customStyle="1" w:styleId="a7">
    <w:name w:val="字元"/>
    <w:rPr>
      <w:kern w:val="2"/>
    </w:rPr>
  </w:style>
  <w:style w:type="character" w:customStyle="1" w:styleId="a8">
    <w:name w:val="字元"/>
    <w:rPr>
      <w:rFonts w:ascii="Times New Roman" w:hAnsi="Times New Roman"/>
      <w:b/>
      <w:sz w:val="22"/>
      <w:lang w:val="en-US" w:eastAsia="en-US" w:bidi="ar-SA"/>
    </w:rPr>
  </w:style>
  <w:style w:type="paragraph" w:styleId="a0">
    <w:name w:val="Body Text"/>
    <w:link w:val="a9"/>
    <w:semiHidden/>
    <w:pPr>
      <w:spacing w:after="240"/>
      <w:jc w:val="both"/>
    </w:pPr>
    <w:rPr>
      <w:rFonts w:ascii="Times New Roman" w:hAnsi="Times New Roman"/>
      <w:sz w:val="22"/>
      <w:lang w:eastAsia="en-US"/>
    </w:rPr>
  </w:style>
  <w:style w:type="character" w:customStyle="1" w:styleId="aa">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rFonts w:ascii="Times New Roman" w:hAnsi="Times New Roman"/>
      <w:i/>
      <w:kern w:val="0"/>
      <w:sz w:val="22"/>
      <w:szCs w:val="20"/>
      <w:lang w:eastAsia="en-US"/>
    </w:rPr>
  </w:style>
  <w:style w:type="character" w:styleId="ab">
    <w:name w:val="page number"/>
    <w:basedOn w:val="a1"/>
    <w:semiHidden/>
  </w:style>
  <w:style w:type="paragraph" w:styleId="ac">
    <w:name w:val="footnote text"/>
    <w:basedOn w:val="a"/>
    <w:semiHidden/>
    <w:pPr>
      <w:widowControl/>
    </w:pPr>
    <w:rPr>
      <w:rFonts w:ascii="Arial" w:hAnsi="Arial"/>
      <w:kern w:val="0"/>
      <w:sz w:val="18"/>
      <w:szCs w:val="20"/>
      <w:lang w:eastAsia="en-US"/>
    </w:rPr>
  </w:style>
  <w:style w:type="character" w:customStyle="1" w:styleId="ad">
    <w:name w:val="字元"/>
    <w:semiHidden/>
    <w:rPr>
      <w:rFonts w:ascii="Arial" w:hAnsi="Arial"/>
      <w:sz w:val="18"/>
      <w:lang w:eastAsia="en-US"/>
    </w:rPr>
  </w:style>
  <w:style w:type="character" w:styleId="ae">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af">
    <w:name w:val="List Paragraph"/>
    <w:basedOn w:val="a"/>
    <w:qFormat/>
    <w:pPr>
      <w:ind w:leftChars="200" w:left="480"/>
    </w:pPr>
  </w:style>
  <w:style w:type="character" w:styleId="af0">
    <w:name w:val="annotation reference"/>
    <w:semiHidden/>
    <w:rPr>
      <w:sz w:val="18"/>
      <w:szCs w:val="18"/>
    </w:rPr>
  </w:style>
  <w:style w:type="paragraph" w:styleId="af1">
    <w:name w:val="annotation text"/>
    <w:basedOn w:val="a"/>
    <w:semiHidden/>
  </w:style>
  <w:style w:type="paragraph" w:customStyle="1" w:styleId="10">
    <w:name w:val="註解主旨1"/>
    <w:basedOn w:val="af1"/>
    <w:next w:val="af1"/>
    <w:semiHidden/>
    <w:rPr>
      <w:b/>
      <w:bCs/>
    </w:rPr>
  </w:style>
  <w:style w:type="paragraph" w:customStyle="1" w:styleId="11">
    <w:name w:val="註解方塊文字1"/>
    <w:basedOn w:val="a"/>
    <w:semiHidden/>
    <w:rPr>
      <w:rFonts w:ascii="Arial" w:hAnsi="Arial"/>
      <w:sz w:val="18"/>
      <w:szCs w:val="18"/>
    </w:rPr>
  </w:style>
  <w:style w:type="paragraph" w:customStyle="1" w:styleId="Style1">
    <w:name w:val="Style1"/>
    <w:basedOn w:val="a"/>
    <w:pPr>
      <w:widowControl/>
    </w:pPr>
    <w:rPr>
      <w:rFonts w:ascii="Times New Roman" w:hAnsi="Times New Roman"/>
      <w:kern w:val="0"/>
      <w:szCs w:val="20"/>
      <w:lang w:val="en-GB" w:eastAsia="en-US"/>
    </w:rPr>
  </w:style>
  <w:style w:type="paragraph" w:styleId="12">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2">
    <w:name w:val="Hyperlink"/>
    <w:semiHidden/>
    <w:rPr>
      <w:color w:val="0000FF"/>
      <w:u w:val="single"/>
    </w:rPr>
  </w:style>
  <w:style w:type="paragraph" w:styleId="af3">
    <w:name w:val="Title"/>
    <w:basedOn w:val="a"/>
    <w:qFormat/>
    <w:pPr>
      <w:widowControl/>
      <w:jc w:val="center"/>
    </w:pPr>
    <w:rPr>
      <w:rFonts w:ascii="Times New Roman" w:hAnsi="Times New Roman"/>
      <w:b/>
      <w:bCs/>
      <w:kern w:val="0"/>
      <w:sz w:val="32"/>
      <w:szCs w:val="24"/>
      <w:lang w:eastAsia="en-US"/>
    </w:rPr>
  </w:style>
  <w:style w:type="character" w:styleId="af4">
    <w:name w:val="Strong"/>
    <w:uiPriority w:val="22"/>
    <w:qFormat/>
    <w:rPr>
      <w:b/>
      <w:bCs/>
    </w:rPr>
  </w:style>
  <w:style w:type="character" w:customStyle="1" w:styleId="shorttext">
    <w:name w:val="short_text"/>
    <w:basedOn w:val="a1"/>
  </w:style>
  <w:style w:type="character" w:customStyle="1" w:styleId="af5">
    <w:name w:val="頁尾 字元"/>
    <w:rPr>
      <w:rFonts w:eastAsia="SimSun"/>
      <w:kern w:val="2"/>
      <w:lang w:eastAsia="zh-CN"/>
    </w:rPr>
  </w:style>
  <w:style w:type="table" w:styleId="af6">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9">
    <w:name w:val="本文 字元"/>
    <w:link w:val="a0"/>
    <w:semiHidden/>
    <w:rsid w:val="00CA1589"/>
    <w:rPr>
      <w:rFonts w:ascii="Times New Roman" w:hAnsi="Times New Roman"/>
      <w:sz w:val="22"/>
      <w:lang w:eastAsia="en-US"/>
    </w:rPr>
  </w:style>
  <w:style w:type="character" w:customStyle="1" w:styleId="13">
    <w:name w:val="未解析的提及1"/>
    <w:basedOn w:val="a1"/>
    <w:uiPriority w:val="99"/>
    <w:semiHidden/>
    <w:unhideWhenUsed/>
    <w:rsid w:val="000D3340"/>
    <w:rPr>
      <w:color w:val="605E5C"/>
      <w:shd w:val="clear" w:color="auto" w:fill="E1DFDD"/>
    </w:rPr>
  </w:style>
  <w:style w:type="paragraph" w:styleId="HTML">
    <w:name w:val="HTML Preformatted"/>
    <w:basedOn w:val="a"/>
    <w:link w:val="HTML0"/>
    <w:uiPriority w:val="99"/>
    <w:unhideWhenUsed/>
    <w:rsid w:val="004C3BB6"/>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character" w:customStyle="1" w:styleId="HTML0">
    <w:name w:val="HTML 預設格式 字元"/>
    <w:basedOn w:val="a1"/>
    <w:link w:val="HTML"/>
    <w:uiPriority w:val="99"/>
    <w:rsid w:val="004C3BB6"/>
    <w:rPr>
      <w:rFonts w:ascii="Courier New" w:eastAsia="Times New Roman" w:hAnsi="Courier New" w:cs="Courier New"/>
    </w:rPr>
  </w:style>
  <w:style w:type="paragraph" w:styleId="af7">
    <w:name w:val="Revision"/>
    <w:hidden/>
    <w:uiPriority w:val="99"/>
    <w:semiHidden/>
    <w:rsid w:val="00C72074"/>
    <w:rPr>
      <w:kern w:val="2"/>
      <w:sz w:val="24"/>
      <w:szCs w:val="22"/>
    </w:rPr>
  </w:style>
  <w:style w:type="paragraph" w:styleId="af8">
    <w:name w:val="Balloon Text"/>
    <w:basedOn w:val="a"/>
    <w:link w:val="af9"/>
    <w:uiPriority w:val="99"/>
    <w:semiHidden/>
    <w:unhideWhenUsed/>
    <w:rsid w:val="009B094E"/>
    <w:rPr>
      <w:rFonts w:asciiTheme="majorHAnsi" w:eastAsiaTheme="majorEastAsia" w:hAnsiTheme="majorHAnsi" w:cstheme="majorBidi"/>
      <w:sz w:val="18"/>
      <w:szCs w:val="18"/>
    </w:rPr>
  </w:style>
  <w:style w:type="character" w:customStyle="1" w:styleId="af9">
    <w:name w:val="註解方塊文字 字元"/>
    <w:basedOn w:val="a1"/>
    <w:link w:val="af8"/>
    <w:uiPriority w:val="99"/>
    <w:semiHidden/>
    <w:rsid w:val="009B094E"/>
    <w:rPr>
      <w:rFonts w:asciiTheme="majorHAnsi" w:eastAsiaTheme="majorEastAsia" w:hAnsiTheme="majorHAnsi" w:cstheme="majorBidi"/>
      <w:kern w:val="2"/>
      <w:sz w:val="18"/>
      <w:szCs w:val="18"/>
    </w:rPr>
  </w:style>
  <w:style w:type="character" w:styleId="afa">
    <w:name w:val="Emphasis"/>
    <w:basedOn w:val="a1"/>
    <w:uiPriority w:val="20"/>
    <w:qFormat/>
    <w:rsid w:val="00245CCC"/>
    <w:rPr>
      <w:i/>
      <w:iCs/>
    </w:rPr>
  </w:style>
  <w:style w:type="character" w:customStyle="1" w:styleId="22">
    <w:name w:val="未解析的提及2"/>
    <w:basedOn w:val="a1"/>
    <w:uiPriority w:val="99"/>
    <w:semiHidden/>
    <w:unhideWhenUsed/>
    <w:rsid w:val="00C56763"/>
    <w:rPr>
      <w:color w:val="605E5C"/>
      <w:shd w:val="clear" w:color="auto" w:fill="E1DFDD"/>
    </w:rPr>
  </w:style>
  <w:style w:type="character" w:styleId="afb">
    <w:name w:val="Unresolved Mention"/>
    <w:basedOn w:val="a1"/>
    <w:uiPriority w:val="99"/>
    <w:semiHidden/>
    <w:unhideWhenUsed/>
    <w:rsid w:val="00421B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4769">
      <w:bodyDiv w:val="1"/>
      <w:marLeft w:val="0"/>
      <w:marRight w:val="0"/>
      <w:marTop w:val="0"/>
      <w:marBottom w:val="0"/>
      <w:divBdr>
        <w:top w:val="none" w:sz="0" w:space="0" w:color="auto"/>
        <w:left w:val="none" w:sz="0" w:space="0" w:color="auto"/>
        <w:bottom w:val="none" w:sz="0" w:space="0" w:color="auto"/>
        <w:right w:val="none" w:sz="0" w:space="0" w:color="auto"/>
      </w:divBdr>
    </w:div>
    <w:div w:id="150566006">
      <w:bodyDiv w:val="1"/>
      <w:marLeft w:val="0"/>
      <w:marRight w:val="0"/>
      <w:marTop w:val="0"/>
      <w:marBottom w:val="0"/>
      <w:divBdr>
        <w:top w:val="none" w:sz="0" w:space="0" w:color="auto"/>
        <w:left w:val="none" w:sz="0" w:space="0" w:color="auto"/>
        <w:bottom w:val="none" w:sz="0" w:space="0" w:color="auto"/>
        <w:right w:val="none" w:sz="0" w:space="0" w:color="auto"/>
      </w:divBdr>
    </w:div>
    <w:div w:id="191848586">
      <w:bodyDiv w:val="1"/>
      <w:marLeft w:val="0"/>
      <w:marRight w:val="0"/>
      <w:marTop w:val="0"/>
      <w:marBottom w:val="0"/>
      <w:divBdr>
        <w:top w:val="none" w:sz="0" w:space="0" w:color="auto"/>
        <w:left w:val="none" w:sz="0" w:space="0" w:color="auto"/>
        <w:bottom w:val="none" w:sz="0" w:space="0" w:color="auto"/>
        <w:right w:val="none" w:sz="0" w:space="0" w:color="auto"/>
      </w:divBdr>
    </w:div>
    <w:div w:id="262954864">
      <w:bodyDiv w:val="1"/>
      <w:marLeft w:val="0"/>
      <w:marRight w:val="0"/>
      <w:marTop w:val="0"/>
      <w:marBottom w:val="0"/>
      <w:divBdr>
        <w:top w:val="none" w:sz="0" w:space="0" w:color="auto"/>
        <w:left w:val="none" w:sz="0" w:space="0" w:color="auto"/>
        <w:bottom w:val="none" w:sz="0" w:space="0" w:color="auto"/>
        <w:right w:val="none" w:sz="0" w:space="0" w:color="auto"/>
      </w:divBdr>
    </w:div>
    <w:div w:id="289094159">
      <w:bodyDiv w:val="1"/>
      <w:marLeft w:val="0"/>
      <w:marRight w:val="0"/>
      <w:marTop w:val="0"/>
      <w:marBottom w:val="0"/>
      <w:divBdr>
        <w:top w:val="none" w:sz="0" w:space="0" w:color="auto"/>
        <w:left w:val="none" w:sz="0" w:space="0" w:color="auto"/>
        <w:bottom w:val="none" w:sz="0" w:space="0" w:color="auto"/>
        <w:right w:val="none" w:sz="0" w:space="0" w:color="auto"/>
      </w:divBdr>
    </w:div>
    <w:div w:id="307629857">
      <w:bodyDiv w:val="1"/>
      <w:marLeft w:val="0"/>
      <w:marRight w:val="0"/>
      <w:marTop w:val="0"/>
      <w:marBottom w:val="0"/>
      <w:divBdr>
        <w:top w:val="none" w:sz="0" w:space="0" w:color="auto"/>
        <w:left w:val="none" w:sz="0" w:space="0" w:color="auto"/>
        <w:bottom w:val="none" w:sz="0" w:space="0" w:color="auto"/>
        <w:right w:val="none" w:sz="0" w:space="0" w:color="auto"/>
      </w:divBdr>
    </w:div>
    <w:div w:id="321664122">
      <w:bodyDiv w:val="1"/>
      <w:marLeft w:val="0"/>
      <w:marRight w:val="0"/>
      <w:marTop w:val="0"/>
      <w:marBottom w:val="0"/>
      <w:divBdr>
        <w:top w:val="none" w:sz="0" w:space="0" w:color="auto"/>
        <w:left w:val="none" w:sz="0" w:space="0" w:color="auto"/>
        <w:bottom w:val="none" w:sz="0" w:space="0" w:color="auto"/>
        <w:right w:val="none" w:sz="0" w:space="0" w:color="auto"/>
      </w:divBdr>
    </w:div>
    <w:div w:id="339814087">
      <w:bodyDiv w:val="1"/>
      <w:marLeft w:val="0"/>
      <w:marRight w:val="0"/>
      <w:marTop w:val="0"/>
      <w:marBottom w:val="0"/>
      <w:divBdr>
        <w:top w:val="none" w:sz="0" w:space="0" w:color="auto"/>
        <w:left w:val="none" w:sz="0" w:space="0" w:color="auto"/>
        <w:bottom w:val="none" w:sz="0" w:space="0" w:color="auto"/>
        <w:right w:val="none" w:sz="0" w:space="0" w:color="auto"/>
      </w:divBdr>
    </w:div>
    <w:div w:id="340667113">
      <w:bodyDiv w:val="1"/>
      <w:marLeft w:val="0"/>
      <w:marRight w:val="0"/>
      <w:marTop w:val="0"/>
      <w:marBottom w:val="0"/>
      <w:divBdr>
        <w:top w:val="none" w:sz="0" w:space="0" w:color="auto"/>
        <w:left w:val="none" w:sz="0" w:space="0" w:color="auto"/>
        <w:bottom w:val="none" w:sz="0" w:space="0" w:color="auto"/>
        <w:right w:val="none" w:sz="0" w:space="0" w:color="auto"/>
      </w:divBdr>
    </w:div>
    <w:div w:id="397214240">
      <w:bodyDiv w:val="1"/>
      <w:marLeft w:val="0"/>
      <w:marRight w:val="0"/>
      <w:marTop w:val="0"/>
      <w:marBottom w:val="0"/>
      <w:divBdr>
        <w:top w:val="none" w:sz="0" w:space="0" w:color="auto"/>
        <w:left w:val="none" w:sz="0" w:space="0" w:color="auto"/>
        <w:bottom w:val="none" w:sz="0" w:space="0" w:color="auto"/>
        <w:right w:val="none" w:sz="0" w:space="0" w:color="auto"/>
      </w:divBdr>
    </w:div>
    <w:div w:id="399131557">
      <w:bodyDiv w:val="1"/>
      <w:marLeft w:val="0"/>
      <w:marRight w:val="0"/>
      <w:marTop w:val="0"/>
      <w:marBottom w:val="0"/>
      <w:divBdr>
        <w:top w:val="none" w:sz="0" w:space="0" w:color="auto"/>
        <w:left w:val="none" w:sz="0" w:space="0" w:color="auto"/>
        <w:bottom w:val="none" w:sz="0" w:space="0" w:color="auto"/>
        <w:right w:val="none" w:sz="0" w:space="0" w:color="auto"/>
      </w:divBdr>
    </w:div>
    <w:div w:id="403139294">
      <w:bodyDiv w:val="1"/>
      <w:marLeft w:val="0"/>
      <w:marRight w:val="0"/>
      <w:marTop w:val="0"/>
      <w:marBottom w:val="0"/>
      <w:divBdr>
        <w:top w:val="none" w:sz="0" w:space="0" w:color="auto"/>
        <w:left w:val="none" w:sz="0" w:space="0" w:color="auto"/>
        <w:bottom w:val="none" w:sz="0" w:space="0" w:color="auto"/>
        <w:right w:val="none" w:sz="0" w:space="0" w:color="auto"/>
      </w:divBdr>
    </w:div>
    <w:div w:id="424880483">
      <w:bodyDiv w:val="1"/>
      <w:marLeft w:val="0"/>
      <w:marRight w:val="0"/>
      <w:marTop w:val="0"/>
      <w:marBottom w:val="0"/>
      <w:divBdr>
        <w:top w:val="none" w:sz="0" w:space="0" w:color="auto"/>
        <w:left w:val="none" w:sz="0" w:space="0" w:color="auto"/>
        <w:bottom w:val="none" w:sz="0" w:space="0" w:color="auto"/>
        <w:right w:val="none" w:sz="0" w:space="0" w:color="auto"/>
      </w:divBdr>
    </w:div>
    <w:div w:id="444934299">
      <w:bodyDiv w:val="1"/>
      <w:marLeft w:val="0"/>
      <w:marRight w:val="0"/>
      <w:marTop w:val="0"/>
      <w:marBottom w:val="0"/>
      <w:divBdr>
        <w:top w:val="none" w:sz="0" w:space="0" w:color="auto"/>
        <w:left w:val="none" w:sz="0" w:space="0" w:color="auto"/>
        <w:bottom w:val="none" w:sz="0" w:space="0" w:color="auto"/>
        <w:right w:val="none" w:sz="0" w:space="0" w:color="auto"/>
      </w:divBdr>
    </w:div>
    <w:div w:id="445347714">
      <w:bodyDiv w:val="1"/>
      <w:marLeft w:val="0"/>
      <w:marRight w:val="0"/>
      <w:marTop w:val="0"/>
      <w:marBottom w:val="0"/>
      <w:divBdr>
        <w:top w:val="none" w:sz="0" w:space="0" w:color="auto"/>
        <w:left w:val="none" w:sz="0" w:space="0" w:color="auto"/>
        <w:bottom w:val="none" w:sz="0" w:space="0" w:color="auto"/>
        <w:right w:val="none" w:sz="0" w:space="0" w:color="auto"/>
      </w:divBdr>
    </w:div>
    <w:div w:id="473841538">
      <w:bodyDiv w:val="1"/>
      <w:marLeft w:val="0"/>
      <w:marRight w:val="0"/>
      <w:marTop w:val="0"/>
      <w:marBottom w:val="0"/>
      <w:divBdr>
        <w:top w:val="none" w:sz="0" w:space="0" w:color="auto"/>
        <w:left w:val="none" w:sz="0" w:space="0" w:color="auto"/>
        <w:bottom w:val="none" w:sz="0" w:space="0" w:color="auto"/>
        <w:right w:val="none" w:sz="0" w:space="0" w:color="auto"/>
      </w:divBdr>
    </w:div>
    <w:div w:id="480193059">
      <w:bodyDiv w:val="1"/>
      <w:marLeft w:val="0"/>
      <w:marRight w:val="0"/>
      <w:marTop w:val="0"/>
      <w:marBottom w:val="0"/>
      <w:divBdr>
        <w:top w:val="none" w:sz="0" w:space="0" w:color="auto"/>
        <w:left w:val="none" w:sz="0" w:space="0" w:color="auto"/>
        <w:bottom w:val="none" w:sz="0" w:space="0" w:color="auto"/>
        <w:right w:val="none" w:sz="0" w:space="0" w:color="auto"/>
      </w:divBdr>
    </w:div>
    <w:div w:id="514928151">
      <w:bodyDiv w:val="1"/>
      <w:marLeft w:val="0"/>
      <w:marRight w:val="0"/>
      <w:marTop w:val="0"/>
      <w:marBottom w:val="0"/>
      <w:divBdr>
        <w:top w:val="none" w:sz="0" w:space="0" w:color="auto"/>
        <w:left w:val="none" w:sz="0" w:space="0" w:color="auto"/>
        <w:bottom w:val="none" w:sz="0" w:space="0" w:color="auto"/>
        <w:right w:val="none" w:sz="0" w:space="0" w:color="auto"/>
      </w:divBdr>
    </w:div>
    <w:div w:id="525100537">
      <w:bodyDiv w:val="1"/>
      <w:marLeft w:val="0"/>
      <w:marRight w:val="0"/>
      <w:marTop w:val="0"/>
      <w:marBottom w:val="0"/>
      <w:divBdr>
        <w:top w:val="none" w:sz="0" w:space="0" w:color="auto"/>
        <w:left w:val="none" w:sz="0" w:space="0" w:color="auto"/>
        <w:bottom w:val="none" w:sz="0" w:space="0" w:color="auto"/>
        <w:right w:val="none" w:sz="0" w:space="0" w:color="auto"/>
      </w:divBdr>
    </w:div>
    <w:div w:id="598222205">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82918019">
      <w:bodyDiv w:val="1"/>
      <w:marLeft w:val="0"/>
      <w:marRight w:val="0"/>
      <w:marTop w:val="0"/>
      <w:marBottom w:val="0"/>
      <w:divBdr>
        <w:top w:val="none" w:sz="0" w:space="0" w:color="auto"/>
        <w:left w:val="none" w:sz="0" w:space="0" w:color="auto"/>
        <w:bottom w:val="none" w:sz="0" w:space="0" w:color="auto"/>
        <w:right w:val="none" w:sz="0" w:space="0" w:color="auto"/>
      </w:divBdr>
    </w:div>
    <w:div w:id="786197670">
      <w:bodyDiv w:val="1"/>
      <w:marLeft w:val="0"/>
      <w:marRight w:val="0"/>
      <w:marTop w:val="0"/>
      <w:marBottom w:val="0"/>
      <w:divBdr>
        <w:top w:val="none" w:sz="0" w:space="0" w:color="auto"/>
        <w:left w:val="none" w:sz="0" w:space="0" w:color="auto"/>
        <w:bottom w:val="none" w:sz="0" w:space="0" w:color="auto"/>
        <w:right w:val="none" w:sz="0" w:space="0" w:color="auto"/>
      </w:divBdr>
    </w:div>
    <w:div w:id="828402917">
      <w:bodyDiv w:val="1"/>
      <w:marLeft w:val="0"/>
      <w:marRight w:val="0"/>
      <w:marTop w:val="0"/>
      <w:marBottom w:val="0"/>
      <w:divBdr>
        <w:top w:val="none" w:sz="0" w:space="0" w:color="auto"/>
        <w:left w:val="none" w:sz="0" w:space="0" w:color="auto"/>
        <w:bottom w:val="none" w:sz="0" w:space="0" w:color="auto"/>
        <w:right w:val="none" w:sz="0" w:space="0" w:color="auto"/>
      </w:divBdr>
    </w:div>
    <w:div w:id="870652041">
      <w:bodyDiv w:val="1"/>
      <w:marLeft w:val="0"/>
      <w:marRight w:val="0"/>
      <w:marTop w:val="0"/>
      <w:marBottom w:val="0"/>
      <w:divBdr>
        <w:top w:val="none" w:sz="0" w:space="0" w:color="auto"/>
        <w:left w:val="none" w:sz="0" w:space="0" w:color="auto"/>
        <w:bottom w:val="none" w:sz="0" w:space="0" w:color="auto"/>
        <w:right w:val="none" w:sz="0" w:space="0" w:color="auto"/>
      </w:divBdr>
    </w:div>
    <w:div w:id="901988796">
      <w:bodyDiv w:val="1"/>
      <w:marLeft w:val="0"/>
      <w:marRight w:val="0"/>
      <w:marTop w:val="0"/>
      <w:marBottom w:val="0"/>
      <w:divBdr>
        <w:top w:val="none" w:sz="0" w:space="0" w:color="auto"/>
        <w:left w:val="none" w:sz="0" w:space="0" w:color="auto"/>
        <w:bottom w:val="none" w:sz="0" w:space="0" w:color="auto"/>
        <w:right w:val="none" w:sz="0" w:space="0" w:color="auto"/>
      </w:divBdr>
    </w:div>
    <w:div w:id="912544707">
      <w:bodyDiv w:val="1"/>
      <w:marLeft w:val="0"/>
      <w:marRight w:val="0"/>
      <w:marTop w:val="0"/>
      <w:marBottom w:val="0"/>
      <w:divBdr>
        <w:top w:val="none" w:sz="0" w:space="0" w:color="auto"/>
        <w:left w:val="none" w:sz="0" w:space="0" w:color="auto"/>
        <w:bottom w:val="none" w:sz="0" w:space="0" w:color="auto"/>
        <w:right w:val="none" w:sz="0" w:space="0" w:color="auto"/>
      </w:divBdr>
    </w:div>
    <w:div w:id="965889880">
      <w:bodyDiv w:val="1"/>
      <w:marLeft w:val="0"/>
      <w:marRight w:val="0"/>
      <w:marTop w:val="0"/>
      <w:marBottom w:val="0"/>
      <w:divBdr>
        <w:top w:val="none" w:sz="0" w:space="0" w:color="auto"/>
        <w:left w:val="none" w:sz="0" w:space="0" w:color="auto"/>
        <w:bottom w:val="none" w:sz="0" w:space="0" w:color="auto"/>
        <w:right w:val="none" w:sz="0" w:space="0" w:color="auto"/>
      </w:divBdr>
    </w:div>
    <w:div w:id="967903941">
      <w:bodyDiv w:val="1"/>
      <w:marLeft w:val="0"/>
      <w:marRight w:val="0"/>
      <w:marTop w:val="0"/>
      <w:marBottom w:val="0"/>
      <w:divBdr>
        <w:top w:val="none" w:sz="0" w:space="0" w:color="auto"/>
        <w:left w:val="none" w:sz="0" w:space="0" w:color="auto"/>
        <w:bottom w:val="none" w:sz="0" w:space="0" w:color="auto"/>
        <w:right w:val="none" w:sz="0" w:space="0" w:color="auto"/>
      </w:divBdr>
    </w:div>
    <w:div w:id="983119634">
      <w:bodyDiv w:val="1"/>
      <w:marLeft w:val="0"/>
      <w:marRight w:val="0"/>
      <w:marTop w:val="0"/>
      <w:marBottom w:val="0"/>
      <w:divBdr>
        <w:top w:val="none" w:sz="0" w:space="0" w:color="auto"/>
        <w:left w:val="none" w:sz="0" w:space="0" w:color="auto"/>
        <w:bottom w:val="none" w:sz="0" w:space="0" w:color="auto"/>
        <w:right w:val="none" w:sz="0" w:space="0" w:color="auto"/>
      </w:divBdr>
    </w:div>
    <w:div w:id="1013460201">
      <w:bodyDiv w:val="1"/>
      <w:marLeft w:val="0"/>
      <w:marRight w:val="0"/>
      <w:marTop w:val="0"/>
      <w:marBottom w:val="0"/>
      <w:divBdr>
        <w:top w:val="none" w:sz="0" w:space="0" w:color="auto"/>
        <w:left w:val="none" w:sz="0" w:space="0" w:color="auto"/>
        <w:bottom w:val="none" w:sz="0" w:space="0" w:color="auto"/>
        <w:right w:val="none" w:sz="0" w:space="0" w:color="auto"/>
      </w:divBdr>
    </w:div>
    <w:div w:id="1023047336">
      <w:bodyDiv w:val="1"/>
      <w:marLeft w:val="0"/>
      <w:marRight w:val="0"/>
      <w:marTop w:val="0"/>
      <w:marBottom w:val="0"/>
      <w:divBdr>
        <w:top w:val="none" w:sz="0" w:space="0" w:color="auto"/>
        <w:left w:val="none" w:sz="0" w:space="0" w:color="auto"/>
        <w:bottom w:val="none" w:sz="0" w:space="0" w:color="auto"/>
        <w:right w:val="none" w:sz="0" w:space="0" w:color="auto"/>
      </w:divBdr>
    </w:div>
    <w:div w:id="1074158764">
      <w:bodyDiv w:val="1"/>
      <w:marLeft w:val="0"/>
      <w:marRight w:val="0"/>
      <w:marTop w:val="0"/>
      <w:marBottom w:val="0"/>
      <w:divBdr>
        <w:top w:val="none" w:sz="0" w:space="0" w:color="auto"/>
        <w:left w:val="none" w:sz="0" w:space="0" w:color="auto"/>
        <w:bottom w:val="none" w:sz="0" w:space="0" w:color="auto"/>
        <w:right w:val="none" w:sz="0" w:space="0" w:color="auto"/>
      </w:divBdr>
    </w:div>
    <w:div w:id="1127704217">
      <w:bodyDiv w:val="1"/>
      <w:marLeft w:val="0"/>
      <w:marRight w:val="0"/>
      <w:marTop w:val="0"/>
      <w:marBottom w:val="0"/>
      <w:divBdr>
        <w:top w:val="none" w:sz="0" w:space="0" w:color="auto"/>
        <w:left w:val="none" w:sz="0" w:space="0" w:color="auto"/>
        <w:bottom w:val="none" w:sz="0" w:space="0" w:color="auto"/>
        <w:right w:val="none" w:sz="0" w:space="0" w:color="auto"/>
      </w:divBdr>
    </w:div>
    <w:div w:id="1162936321">
      <w:bodyDiv w:val="1"/>
      <w:marLeft w:val="0"/>
      <w:marRight w:val="0"/>
      <w:marTop w:val="0"/>
      <w:marBottom w:val="0"/>
      <w:divBdr>
        <w:top w:val="none" w:sz="0" w:space="0" w:color="auto"/>
        <w:left w:val="none" w:sz="0" w:space="0" w:color="auto"/>
        <w:bottom w:val="none" w:sz="0" w:space="0" w:color="auto"/>
        <w:right w:val="none" w:sz="0" w:space="0" w:color="auto"/>
      </w:divBdr>
    </w:div>
    <w:div w:id="1209874846">
      <w:bodyDiv w:val="1"/>
      <w:marLeft w:val="0"/>
      <w:marRight w:val="0"/>
      <w:marTop w:val="0"/>
      <w:marBottom w:val="0"/>
      <w:divBdr>
        <w:top w:val="none" w:sz="0" w:space="0" w:color="auto"/>
        <w:left w:val="none" w:sz="0" w:space="0" w:color="auto"/>
        <w:bottom w:val="none" w:sz="0" w:space="0" w:color="auto"/>
        <w:right w:val="none" w:sz="0" w:space="0" w:color="auto"/>
      </w:divBdr>
    </w:div>
    <w:div w:id="1385135764">
      <w:bodyDiv w:val="1"/>
      <w:marLeft w:val="0"/>
      <w:marRight w:val="0"/>
      <w:marTop w:val="0"/>
      <w:marBottom w:val="0"/>
      <w:divBdr>
        <w:top w:val="none" w:sz="0" w:space="0" w:color="auto"/>
        <w:left w:val="none" w:sz="0" w:space="0" w:color="auto"/>
        <w:bottom w:val="none" w:sz="0" w:space="0" w:color="auto"/>
        <w:right w:val="none" w:sz="0" w:space="0" w:color="auto"/>
      </w:divBdr>
    </w:div>
    <w:div w:id="1393891398">
      <w:bodyDiv w:val="1"/>
      <w:marLeft w:val="0"/>
      <w:marRight w:val="0"/>
      <w:marTop w:val="0"/>
      <w:marBottom w:val="0"/>
      <w:divBdr>
        <w:top w:val="none" w:sz="0" w:space="0" w:color="auto"/>
        <w:left w:val="none" w:sz="0" w:space="0" w:color="auto"/>
        <w:bottom w:val="none" w:sz="0" w:space="0" w:color="auto"/>
        <w:right w:val="none" w:sz="0" w:space="0" w:color="auto"/>
      </w:divBdr>
    </w:div>
    <w:div w:id="1397127457">
      <w:bodyDiv w:val="1"/>
      <w:marLeft w:val="0"/>
      <w:marRight w:val="0"/>
      <w:marTop w:val="0"/>
      <w:marBottom w:val="0"/>
      <w:divBdr>
        <w:top w:val="none" w:sz="0" w:space="0" w:color="auto"/>
        <w:left w:val="none" w:sz="0" w:space="0" w:color="auto"/>
        <w:bottom w:val="none" w:sz="0" w:space="0" w:color="auto"/>
        <w:right w:val="none" w:sz="0" w:space="0" w:color="auto"/>
      </w:divBdr>
    </w:div>
    <w:div w:id="1397897105">
      <w:bodyDiv w:val="1"/>
      <w:marLeft w:val="0"/>
      <w:marRight w:val="0"/>
      <w:marTop w:val="0"/>
      <w:marBottom w:val="0"/>
      <w:divBdr>
        <w:top w:val="none" w:sz="0" w:space="0" w:color="auto"/>
        <w:left w:val="none" w:sz="0" w:space="0" w:color="auto"/>
        <w:bottom w:val="none" w:sz="0" w:space="0" w:color="auto"/>
        <w:right w:val="none" w:sz="0" w:space="0" w:color="auto"/>
      </w:divBdr>
    </w:div>
    <w:div w:id="1452898466">
      <w:bodyDiv w:val="1"/>
      <w:marLeft w:val="0"/>
      <w:marRight w:val="0"/>
      <w:marTop w:val="0"/>
      <w:marBottom w:val="0"/>
      <w:divBdr>
        <w:top w:val="none" w:sz="0" w:space="0" w:color="auto"/>
        <w:left w:val="none" w:sz="0" w:space="0" w:color="auto"/>
        <w:bottom w:val="none" w:sz="0" w:space="0" w:color="auto"/>
        <w:right w:val="none" w:sz="0" w:space="0" w:color="auto"/>
      </w:divBdr>
    </w:div>
    <w:div w:id="1470317228">
      <w:bodyDiv w:val="1"/>
      <w:marLeft w:val="0"/>
      <w:marRight w:val="0"/>
      <w:marTop w:val="0"/>
      <w:marBottom w:val="0"/>
      <w:divBdr>
        <w:top w:val="none" w:sz="0" w:space="0" w:color="auto"/>
        <w:left w:val="none" w:sz="0" w:space="0" w:color="auto"/>
        <w:bottom w:val="none" w:sz="0" w:space="0" w:color="auto"/>
        <w:right w:val="none" w:sz="0" w:space="0" w:color="auto"/>
      </w:divBdr>
    </w:div>
    <w:div w:id="1479808757">
      <w:bodyDiv w:val="1"/>
      <w:marLeft w:val="0"/>
      <w:marRight w:val="0"/>
      <w:marTop w:val="0"/>
      <w:marBottom w:val="0"/>
      <w:divBdr>
        <w:top w:val="none" w:sz="0" w:space="0" w:color="auto"/>
        <w:left w:val="none" w:sz="0" w:space="0" w:color="auto"/>
        <w:bottom w:val="none" w:sz="0" w:space="0" w:color="auto"/>
        <w:right w:val="none" w:sz="0" w:space="0" w:color="auto"/>
      </w:divBdr>
    </w:div>
    <w:div w:id="1507674858">
      <w:bodyDiv w:val="1"/>
      <w:marLeft w:val="0"/>
      <w:marRight w:val="0"/>
      <w:marTop w:val="0"/>
      <w:marBottom w:val="0"/>
      <w:divBdr>
        <w:top w:val="none" w:sz="0" w:space="0" w:color="auto"/>
        <w:left w:val="none" w:sz="0" w:space="0" w:color="auto"/>
        <w:bottom w:val="none" w:sz="0" w:space="0" w:color="auto"/>
        <w:right w:val="none" w:sz="0" w:space="0" w:color="auto"/>
      </w:divBdr>
    </w:div>
    <w:div w:id="1543319753">
      <w:bodyDiv w:val="1"/>
      <w:marLeft w:val="0"/>
      <w:marRight w:val="0"/>
      <w:marTop w:val="0"/>
      <w:marBottom w:val="0"/>
      <w:divBdr>
        <w:top w:val="none" w:sz="0" w:space="0" w:color="auto"/>
        <w:left w:val="none" w:sz="0" w:space="0" w:color="auto"/>
        <w:bottom w:val="none" w:sz="0" w:space="0" w:color="auto"/>
        <w:right w:val="none" w:sz="0" w:space="0" w:color="auto"/>
      </w:divBdr>
    </w:div>
    <w:div w:id="1574661475">
      <w:bodyDiv w:val="1"/>
      <w:marLeft w:val="0"/>
      <w:marRight w:val="0"/>
      <w:marTop w:val="0"/>
      <w:marBottom w:val="0"/>
      <w:divBdr>
        <w:top w:val="none" w:sz="0" w:space="0" w:color="auto"/>
        <w:left w:val="none" w:sz="0" w:space="0" w:color="auto"/>
        <w:bottom w:val="none" w:sz="0" w:space="0" w:color="auto"/>
        <w:right w:val="none" w:sz="0" w:space="0" w:color="auto"/>
      </w:divBdr>
    </w:div>
    <w:div w:id="1582324745">
      <w:bodyDiv w:val="1"/>
      <w:marLeft w:val="0"/>
      <w:marRight w:val="0"/>
      <w:marTop w:val="0"/>
      <w:marBottom w:val="0"/>
      <w:divBdr>
        <w:top w:val="none" w:sz="0" w:space="0" w:color="auto"/>
        <w:left w:val="none" w:sz="0" w:space="0" w:color="auto"/>
        <w:bottom w:val="none" w:sz="0" w:space="0" w:color="auto"/>
        <w:right w:val="none" w:sz="0" w:space="0" w:color="auto"/>
      </w:divBdr>
    </w:div>
    <w:div w:id="1604805322">
      <w:bodyDiv w:val="1"/>
      <w:marLeft w:val="0"/>
      <w:marRight w:val="0"/>
      <w:marTop w:val="0"/>
      <w:marBottom w:val="0"/>
      <w:divBdr>
        <w:top w:val="none" w:sz="0" w:space="0" w:color="auto"/>
        <w:left w:val="none" w:sz="0" w:space="0" w:color="auto"/>
        <w:bottom w:val="none" w:sz="0" w:space="0" w:color="auto"/>
        <w:right w:val="none" w:sz="0" w:space="0" w:color="auto"/>
      </w:divBdr>
    </w:div>
    <w:div w:id="1627348059">
      <w:bodyDiv w:val="1"/>
      <w:marLeft w:val="0"/>
      <w:marRight w:val="0"/>
      <w:marTop w:val="0"/>
      <w:marBottom w:val="0"/>
      <w:divBdr>
        <w:top w:val="none" w:sz="0" w:space="0" w:color="auto"/>
        <w:left w:val="none" w:sz="0" w:space="0" w:color="auto"/>
        <w:bottom w:val="none" w:sz="0" w:space="0" w:color="auto"/>
        <w:right w:val="none" w:sz="0" w:space="0" w:color="auto"/>
      </w:divBdr>
      <w:divsChild>
        <w:div w:id="1144851418">
          <w:marLeft w:val="0"/>
          <w:marRight w:val="0"/>
          <w:marTop w:val="0"/>
          <w:marBottom w:val="0"/>
          <w:divBdr>
            <w:top w:val="single" w:sz="2" w:space="0" w:color="E3E3E3"/>
            <w:left w:val="single" w:sz="2" w:space="0" w:color="E3E3E3"/>
            <w:bottom w:val="single" w:sz="2" w:space="0" w:color="E3E3E3"/>
            <w:right w:val="single" w:sz="2" w:space="0" w:color="E3E3E3"/>
          </w:divBdr>
          <w:divsChild>
            <w:div w:id="1051076025">
              <w:marLeft w:val="0"/>
              <w:marRight w:val="0"/>
              <w:marTop w:val="0"/>
              <w:marBottom w:val="0"/>
              <w:divBdr>
                <w:top w:val="single" w:sz="2" w:space="0" w:color="E3E3E3"/>
                <w:left w:val="single" w:sz="2" w:space="0" w:color="E3E3E3"/>
                <w:bottom w:val="single" w:sz="2" w:space="0" w:color="E3E3E3"/>
                <w:right w:val="single" w:sz="2" w:space="0" w:color="E3E3E3"/>
              </w:divBdr>
              <w:divsChild>
                <w:div w:id="802307955">
                  <w:marLeft w:val="0"/>
                  <w:marRight w:val="0"/>
                  <w:marTop w:val="0"/>
                  <w:marBottom w:val="0"/>
                  <w:divBdr>
                    <w:top w:val="single" w:sz="2" w:space="0" w:color="E3E3E3"/>
                    <w:left w:val="single" w:sz="2" w:space="0" w:color="E3E3E3"/>
                    <w:bottom w:val="single" w:sz="2" w:space="0" w:color="E3E3E3"/>
                    <w:right w:val="single" w:sz="2" w:space="0" w:color="E3E3E3"/>
                  </w:divBdr>
                  <w:divsChild>
                    <w:div w:id="141119682">
                      <w:marLeft w:val="0"/>
                      <w:marRight w:val="0"/>
                      <w:marTop w:val="0"/>
                      <w:marBottom w:val="0"/>
                      <w:divBdr>
                        <w:top w:val="single" w:sz="2" w:space="0" w:color="E3E3E3"/>
                        <w:left w:val="single" w:sz="2" w:space="0" w:color="E3E3E3"/>
                        <w:bottom w:val="single" w:sz="2" w:space="0" w:color="E3E3E3"/>
                        <w:right w:val="single" w:sz="2" w:space="0" w:color="E3E3E3"/>
                      </w:divBdr>
                      <w:divsChild>
                        <w:div w:id="418478566">
                          <w:marLeft w:val="0"/>
                          <w:marRight w:val="0"/>
                          <w:marTop w:val="0"/>
                          <w:marBottom w:val="0"/>
                          <w:divBdr>
                            <w:top w:val="single" w:sz="2" w:space="0" w:color="E3E3E3"/>
                            <w:left w:val="single" w:sz="2" w:space="0" w:color="E3E3E3"/>
                            <w:bottom w:val="single" w:sz="2" w:space="0" w:color="E3E3E3"/>
                            <w:right w:val="single" w:sz="2" w:space="0" w:color="E3E3E3"/>
                          </w:divBdr>
                          <w:divsChild>
                            <w:div w:id="1228028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63613069">
          <w:marLeft w:val="0"/>
          <w:marRight w:val="0"/>
          <w:marTop w:val="0"/>
          <w:marBottom w:val="0"/>
          <w:divBdr>
            <w:top w:val="single" w:sz="2" w:space="0" w:color="E3E3E3"/>
            <w:left w:val="single" w:sz="2" w:space="0" w:color="E3E3E3"/>
            <w:bottom w:val="single" w:sz="2" w:space="0" w:color="E3E3E3"/>
            <w:right w:val="single" w:sz="2" w:space="0" w:color="E3E3E3"/>
          </w:divBdr>
          <w:divsChild>
            <w:div w:id="913389922">
              <w:marLeft w:val="0"/>
              <w:marRight w:val="0"/>
              <w:marTop w:val="0"/>
              <w:marBottom w:val="0"/>
              <w:divBdr>
                <w:top w:val="single" w:sz="2" w:space="0" w:color="E3E3E3"/>
                <w:left w:val="single" w:sz="2" w:space="0" w:color="E3E3E3"/>
                <w:bottom w:val="single" w:sz="2" w:space="0" w:color="E3E3E3"/>
                <w:right w:val="single" w:sz="2" w:space="0" w:color="E3E3E3"/>
              </w:divBdr>
            </w:div>
            <w:div w:id="1446466749">
              <w:marLeft w:val="0"/>
              <w:marRight w:val="0"/>
              <w:marTop w:val="0"/>
              <w:marBottom w:val="0"/>
              <w:divBdr>
                <w:top w:val="single" w:sz="2" w:space="0" w:color="E3E3E3"/>
                <w:left w:val="single" w:sz="2" w:space="0" w:color="E3E3E3"/>
                <w:bottom w:val="single" w:sz="2" w:space="0" w:color="E3E3E3"/>
                <w:right w:val="single" w:sz="2" w:space="0" w:color="E3E3E3"/>
              </w:divBdr>
              <w:divsChild>
                <w:div w:id="52965915">
                  <w:marLeft w:val="0"/>
                  <w:marRight w:val="0"/>
                  <w:marTop w:val="0"/>
                  <w:marBottom w:val="0"/>
                  <w:divBdr>
                    <w:top w:val="single" w:sz="2" w:space="0" w:color="E3E3E3"/>
                    <w:left w:val="single" w:sz="2" w:space="0" w:color="E3E3E3"/>
                    <w:bottom w:val="single" w:sz="2" w:space="0" w:color="E3E3E3"/>
                    <w:right w:val="single" w:sz="2" w:space="0" w:color="E3E3E3"/>
                  </w:divBdr>
                  <w:divsChild>
                    <w:div w:id="1087070004">
                      <w:marLeft w:val="0"/>
                      <w:marRight w:val="0"/>
                      <w:marTop w:val="0"/>
                      <w:marBottom w:val="0"/>
                      <w:divBdr>
                        <w:top w:val="single" w:sz="2" w:space="0" w:color="E3E3E3"/>
                        <w:left w:val="single" w:sz="2" w:space="0" w:color="E3E3E3"/>
                        <w:bottom w:val="single" w:sz="2" w:space="0" w:color="E3E3E3"/>
                        <w:right w:val="single" w:sz="2" w:space="0" w:color="E3E3E3"/>
                      </w:divBdr>
                      <w:divsChild>
                        <w:div w:id="1141651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68551387">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2073139">
      <w:bodyDiv w:val="1"/>
      <w:marLeft w:val="0"/>
      <w:marRight w:val="0"/>
      <w:marTop w:val="0"/>
      <w:marBottom w:val="0"/>
      <w:divBdr>
        <w:top w:val="none" w:sz="0" w:space="0" w:color="auto"/>
        <w:left w:val="none" w:sz="0" w:space="0" w:color="auto"/>
        <w:bottom w:val="none" w:sz="0" w:space="0" w:color="auto"/>
        <w:right w:val="none" w:sz="0" w:space="0" w:color="auto"/>
      </w:divBdr>
    </w:div>
    <w:div w:id="1808278822">
      <w:bodyDiv w:val="1"/>
      <w:marLeft w:val="0"/>
      <w:marRight w:val="0"/>
      <w:marTop w:val="0"/>
      <w:marBottom w:val="0"/>
      <w:divBdr>
        <w:top w:val="none" w:sz="0" w:space="0" w:color="auto"/>
        <w:left w:val="none" w:sz="0" w:space="0" w:color="auto"/>
        <w:bottom w:val="none" w:sz="0" w:space="0" w:color="auto"/>
        <w:right w:val="none" w:sz="0" w:space="0" w:color="auto"/>
      </w:divBdr>
    </w:div>
    <w:div w:id="1817800183">
      <w:bodyDiv w:val="1"/>
      <w:marLeft w:val="0"/>
      <w:marRight w:val="0"/>
      <w:marTop w:val="0"/>
      <w:marBottom w:val="0"/>
      <w:divBdr>
        <w:top w:val="none" w:sz="0" w:space="0" w:color="auto"/>
        <w:left w:val="none" w:sz="0" w:space="0" w:color="auto"/>
        <w:bottom w:val="none" w:sz="0" w:space="0" w:color="auto"/>
        <w:right w:val="none" w:sz="0" w:space="0" w:color="auto"/>
      </w:divBdr>
    </w:div>
    <w:div w:id="1854026773">
      <w:bodyDiv w:val="1"/>
      <w:marLeft w:val="0"/>
      <w:marRight w:val="0"/>
      <w:marTop w:val="0"/>
      <w:marBottom w:val="0"/>
      <w:divBdr>
        <w:top w:val="none" w:sz="0" w:space="0" w:color="auto"/>
        <w:left w:val="none" w:sz="0" w:space="0" w:color="auto"/>
        <w:bottom w:val="none" w:sz="0" w:space="0" w:color="auto"/>
        <w:right w:val="none" w:sz="0" w:space="0" w:color="auto"/>
      </w:divBdr>
    </w:div>
    <w:div w:id="1874920102">
      <w:bodyDiv w:val="1"/>
      <w:marLeft w:val="0"/>
      <w:marRight w:val="0"/>
      <w:marTop w:val="0"/>
      <w:marBottom w:val="0"/>
      <w:divBdr>
        <w:top w:val="none" w:sz="0" w:space="0" w:color="auto"/>
        <w:left w:val="none" w:sz="0" w:space="0" w:color="auto"/>
        <w:bottom w:val="none" w:sz="0" w:space="0" w:color="auto"/>
        <w:right w:val="none" w:sz="0" w:space="0" w:color="auto"/>
      </w:divBdr>
    </w:div>
    <w:div w:id="1883595624">
      <w:bodyDiv w:val="1"/>
      <w:marLeft w:val="0"/>
      <w:marRight w:val="0"/>
      <w:marTop w:val="0"/>
      <w:marBottom w:val="0"/>
      <w:divBdr>
        <w:top w:val="none" w:sz="0" w:space="0" w:color="auto"/>
        <w:left w:val="none" w:sz="0" w:space="0" w:color="auto"/>
        <w:bottom w:val="none" w:sz="0" w:space="0" w:color="auto"/>
        <w:right w:val="none" w:sz="0" w:space="0" w:color="auto"/>
      </w:divBdr>
    </w:div>
    <w:div w:id="1989748628">
      <w:bodyDiv w:val="1"/>
      <w:marLeft w:val="0"/>
      <w:marRight w:val="0"/>
      <w:marTop w:val="0"/>
      <w:marBottom w:val="0"/>
      <w:divBdr>
        <w:top w:val="none" w:sz="0" w:space="0" w:color="auto"/>
        <w:left w:val="none" w:sz="0" w:space="0" w:color="auto"/>
        <w:bottom w:val="none" w:sz="0" w:space="0" w:color="auto"/>
        <w:right w:val="none" w:sz="0" w:space="0" w:color="auto"/>
      </w:divBdr>
    </w:div>
    <w:div w:id="1994403357">
      <w:bodyDiv w:val="1"/>
      <w:marLeft w:val="0"/>
      <w:marRight w:val="0"/>
      <w:marTop w:val="0"/>
      <w:marBottom w:val="0"/>
      <w:divBdr>
        <w:top w:val="none" w:sz="0" w:space="0" w:color="auto"/>
        <w:left w:val="none" w:sz="0" w:space="0" w:color="auto"/>
        <w:bottom w:val="none" w:sz="0" w:space="0" w:color="auto"/>
        <w:right w:val="none" w:sz="0" w:space="0" w:color="auto"/>
      </w:divBdr>
    </w:div>
    <w:div w:id="2013144843">
      <w:bodyDiv w:val="1"/>
      <w:marLeft w:val="0"/>
      <w:marRight w:val="0"/>
      <w:marTop w:val="0"/>
      <w:marBottom w:val="0"/>
      <w:divBdr>
        <w:top w:val="none" w:sz="0" w:space="0" w:color="auto"/>
        <w:left w:val="none" w:sz="0" w:space="0" w:color="auto"/>
        <w:bottom w:val="none" w:sz="0" w:space="0" w:color="auto"/>
        <w:right w:val="none" w:sz="0" w:space="0" w:color="auto"/>
      </w:divBdr>
    </w:div>
    <w:div w:id="2061902934">
      <w:bodyDiv w:val="1"/>
      <w:marLeft w:val="0"/>
      <w:marRight w:val="0"/>
      <w:marTop w:val="0"/>
      <w:marBottom w:val="0"/>
      <w:divBdr>
        <w:top w:val="none" w:sz="0" w:space="0" w:color="auto"/>
        <w:left w:val="none" w:sz="0" w:space="0" w:color="auto"/>
        <w:bottom w:val="none" w:sz="0" w:space="0" w:color="auto"/>
        <w:right w:val="none" w:sz="0" w:space="0" w:color="auto"/>
      </w:divBdr>
    </w:div>
    <w:div w:id="2094423750">
      <w:bodyDiv w:val="1"/>
      <w:marLeft w:val="0"/>
      <w:marRight w:val="0"/>
      <w:marTop w:val="0"/>
      <w:marBottom w:val="0"/>
      <w:divBdr>
        <w:top w:val="none" w:sz="0" w:space="0" w:color="auto"/>
        <w:left w:val="none" w:sz="0" w:space="0" w:color="auto"/>
        <w:bottom w:val="none" w:sz="0" w:space="0" w:color="auto"/>
        <w:right w:val="none" w:sz="0" w:space="0" w:color="auto"/>
      </w:divBdr>
    </w:div>
    <w:div w:id="2108891568">
      <w:bodyDiv w:val="1"/>
      <w:marLeft w:val="0"/>
      <w:marRight w:val="0"/>
      <w:marTop w:val="0"/>
      <w:marBottom w:val="0"/>
      <w:divBdr>
        <w:top w:val="none" w:sz="0" w:space="0" w:color="auto"/>
        <w:left w:val="none" w:sz="0" w:space="0" w:color="auto"/>
        <w:bottom w:val="none" w:sz="0" w:space="0" w:color="auto"/>
        <w:right w:val="none" w:sz="0" w:space="0" w:color="auto"/>
      </w:divBdr>
    </w:div>
    <w:div w:id="212830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none\Desktop\assignment\Inflation%20rate,%20end%20of%20period%20consumer%20prices%20.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none\Desktop\assignment\Inflation%20rate,%20end%20of%20period%20consumer%20prices%20.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1"/>
          <c:tx>
            <c:strRef>
              <c:f>TOTAL!$C$1</c:f>
              <c:strCache>
                <c:ptCount val="1"/>
                <c:pt idx="0">
                  <c:v>China</c:v>
                </c:pt>
              </c:strCache>
            </c:strRef>
          </c:tx>
          <c:spPr>
            <a:ln w="12700" cap="rnd">
              <a:solidFill>
                <a:schemeClr val="accent2"/>
              </a:solidFill>
              <a:round/>
            </a:ln>
            <a:effectLst/>
          </c:spPr>
          <c:marker>
            <c:symbol val="circle"/>
            <c:size val="5"/>
            <c:spPr>
              <a:solidFill>
                <a:schemeClr val="accent2"/>
              </a:solidFill>
              <a:ln w="12700">
                <a:solidFill>
                  <a:schemeClr val="accent2"/>
                </a:solidFill>
              </a:ln>
              <a:effectLst/>
            </c:spPr>
          </c:marker>
          <c:cat>
            <c:numRef>
              <c:f>TOTAL!$B$2:$B$22</c:f>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f>TOTAL!$C$2:$C$22</c:f>
              <c:numCache>
                <c:formatCode>General</c:formatCode>
                <c:ptCount val="21"/>
                <c:pt idx="0">
                  <c:v>-0.4</c:v>
                </c:pt>
                <c:pt idx="1">
                  <c:v>3.3</c:v>
                </c:pt>
                <c:pt idx="2">
                  <c:v>2.4</c:v>
                </c:pt>
                <c:pt idx="3">
                  <c:v>1.7</c:v>
                </c:pt>
                <c:pt idx="4">
                  <c:v>2.9</c:v>
                </c:pt>
                <c:pt idx="5">
                  <c:v>6.6</c:v>
                </c:pt>
                <c:pt idx="6">
                  <c:v>1.2</c:v>
                </c:pt>
                <c:pt idx="7">
                  <c:v>1.6</c:v>
                </c:pt>
                <c:pt idx="8">
                  <c:v>4.5</c:v>
                </c:pt>
                <c:pt idx="9">
                  <c:v>4.0999999999999996</c:v>
                </c:pt>
                <c:pt idx="10">
                  <c:v>2.4</c:v>
                </c:pt>
                <c:pt idx="11">
                  <c:v>2.6</c:v>
                </c:pt>
                <c:pt idx="12">
                  <c:v>1.5</c:v>
                </c:pt>
                <c:pt idx="13">
                  <c:v>1.7</c:v>
                </c:pt>
                <c:pt idx="14">
                  <c:v>2.1</c:v>
                </c:pt>
                <c:pt idx="15">
                  <c:v>1.7</c:v>
                </c:pt>
                <c:pt idx="16">
                  <c:v>1.8</c:v>
                </c:pt>
                <c:pt idx="17">
                  <c:v>4.5</c:v>
                </c:pt>
                <c:pt idx="18">
                  <c:v>0.2</c:v>
                </c:pt>
                <c:pt idx="19">
                  <c:v>1.4</c:v>
                </c:pt>
                <c:pt idx="20">
                  <c:v>1.8</c:v>
                </c:pt>
              </c:numCache>
            </c:numRef>
          </c:val>
          <c:smooth val="0"/>
          <c:extLst>
            <c:ext xmlns:c16="http://schemas.microsoft.com/office/drawing/2014/chart" uri="{C3380CC4-5D6E-409C-BE32-E72D297353CC}">
              <c16:uniqueId val="{00000000-F9AC-4F21-9031-E92554A91936}"/>
            </c:ext>
          </c:extLst>
        </c:ser>
        <c:ser>
          <c:idx val="2"/>
          <c:order val="2"/>
          <c:tx>
            <c:strRef>
              <c:f>TOTAL!$D$1</c:f>
              <c:strCache>
                <c:ptCount val="1"/>
                <c:pt idx="0">
                  <c:v>Hong Kong</c:v>
                </c:pt>
              </c:strCache>
            </c:strRef>
          </c:tx>
          <c:spPr>
            <a:ln w="12700" cap="rnd">
              <a:solidFill>
                <a:schemeClr val="accent3"/>
              </a:solidFill>
              <a:round/>
            </a:ln>
            <a:effectLst/>
          </c:spPr>
          <c:marker>
            <c:symbol val="circle"/>
            <c:size val="5"/>
            <c:spPr>
              <a:solidFill>
                <a:schemeClr val="accent3"/>
              </a:solidFill>
              <a:ln w="12700">
                <a:solidFill>
                  <a:schemeClr val="accent3"/>
                </a:solidFill>
              </a:ln>
              <a:effectLst/>
            </c:spPr>
          </c:marker>
          <c:cat>
            <c:numRef>
              <c:f>TOTAL!$B$2:$B$22</c:f>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f>TOTAL!$D$2:$D$22</c:f>
              <c:numCache>
                <c:formatCode>General</c:formatCode>
                <c:ptCount val="21"/>
                <c:pt idx="0">
                  <c:v>-1.6</c:v>
                </c:pt>
                <c:pt idx="1">
                  <c:v>-1.8</c:v>
                </c:pt>
                <c:pt idx="2">
                  <c:v>0.3</c:v>
                </c:pt>
                <c:pt idx="3">
                  <c:v>1.4</c:v>
                </c:pt>
                <c:pt idx="4">
                  <c:v>2.2000000000000002</c:v>
                </c:pt>
                <c:pt idx="5">
                  <c:v>3.8</c:v>
                </c:pt>
                <c:pt idx="6">
                  <c:v>2.1</c:v>
                </c:pt>
                <c:pt idx="7">
                  <c:v>1.5</c:v>
                </c:pt>
                <c:pt idx="8">
                  <c:v>3</c:v>
                </c:pt>
                <c:pt idx="9">
                  <c:v>5.7</c:v>
                </c:pt>
                <c:pt idx="10">
                  <c:v>3.6</c:v>
                </c:pt>
                <c:pt idx="11">
                  <c:v>4.3</c:v>
                </c:pt>
                <c:pt idx="12">
                  <c:v>4.9000000000000004</c:v>
                </c:pt>
                <c:pt idx="13">
                  <c:v>2.2999999999999998</c:v>
                </c:pt>
                <c:pt idx="14">
                  <c:v>1.2</c:v>
                </c:pt>
                <c:pt idx="15">
                  <c:v>1.7</c:v>
                </c:pt>
                <c:pt idx="16">
                  <c:v>2.5</c:v>
                </c:pt>
                <c:pt idx="17">
                  <c:v>2.9</c:v>
                </c:pt>
                <c:pt idx="18">
                  <c:v>-0.9</c:v>
                </c:pt>
                <c:pt idx="19">
                  <c:v>2.4</c:v>
                </c:pt>
                <c:pt idx="20">
                  <c:v>2</c:v>
                </c:pt>
              </c:numCache>
            </c:numRef>
          </c:val>
          <c:smooth val="0"/>
          <c:extLst>
            <c:ext xmlns:c16="http://schemas.microsoft.com/office/drawing/2014/chart" uri="{C3380CC4-5D6E-409C-BE32-E72D297353CC}">
              <c16:uniqueId val="{00000001-F9AC-4F21-9031-E92554A91936}"/>
            </c:ext>
          </c:extLst>
        </c:ser>
        <c:ser>
          <c:idx val="3"/>
          <c:order val="3"/>
          <c:tx>
            <c:strRef>
              <c:f>TOTAL!$E$1</c:f>
              <c:strCache>
                <c:ptCount val="1"/>
                <c:pt idx="0">
                  <c:v>Malaysia</c:v>
                </c:pt>
              </c:strCache>
            </c:strRef>
          </c:tx>
          <c:spPr>
            <a:ln w="12700" cap="rnd">
              <a:solidFill>
                <a:schemeClr val="accent4"/>
              </a:solidFill>
              <a:round/>
            </a:ln>
            <a:effectLst/>
          </c:spPr>
          <c:marker>
            <c:symbol val="circle"/>
            <c:size val="5"/>
            <c:spPr>
              <a:solidFill>
                <a:schemeClr val="accent4"/>
              </a:solidFill>
              <a:ln w="12700">
                <a:solidFill>
                  <a:schemeClr val="accent4"/>
                </a:solidFill>
              </a:ln>
              <a:effectLst/>
            </c:spPr>
          </c:marker>
          <c:cat>
            <c:numRef>
              <c:f>TOTAL!$B$2:$B$22</c:f>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f>TOTAL!$E$2:$E$22</c:f>
              <c:numCache>
                <c:formatCode>General</c:formatCode>
                <c:ptCount val="21"/>
                <c:pt idx="0">
                  <c:v>1.6</c:v>
                </c:pt>
                <c:pt idx="1">
                  <c:v>1.2</c:v>
                </c:pt>
                <c:pt idx="2">
                  <c:v>2.2000000000000002</c:v>
                </c:pt>
                <c:pt idx="3">
                  <c:v>3.2</c:v>
                </c:pt>
                <c:pt idx="4">
                  <c:v>3.1</c:v>
                </c:pt>
                <c:pt idx="5">
                  <c:v>2.2999999999999998</c:v>
                </c:pt>
                <c:pt idx="6">
                  <c:v>4.5</c:v>
                </c:pt>
                <c:pt idx="7">
                  <c:v>1</c:v>
                </c:pt>
                <c:pt idx="8">
                  <c:v>2.1</c:v>
                </c:pt>
                <c:pt idx="9">
                  <c:v>3</c:v>
                </c:pt>
                <c:pt idx="10">
                  <c:v>1.2</c:v>
                </c:pt>
                <c:pt idx="11">
                  <c:v>3.2</c:v>
                </c:pt>
                <c:pt idx="12">
                  <c:v>2.7</c:v>
                </c:pt>
                <c:pt idx="13">
                  <c:v>2.7</c:v>
                </c:pt>
                <c:pt idx="14">
                  <c:v>1.7</c:v>
                </c:pt>
                <c:pt idx="15">
                  <c:v>3.5</c:v>
                </c:pt>
                <c:pt idx="16">
                  <c:v>0.2</c:v>
                </c:pt>
                <c:pt idx="17">
                  <c:v>1</c:v>
                </c:pt>
                <c:pt idx="18">
                  <c:v>-1.4</c:v>
                </c:pt>
                <c:pt idx="19">
                  <c:v>3.2</c:v>
                </c:pt>
                <c:pt idx="20">
                  <c:v>3.8</c:v>
                </c:pt>
              </c:numCache>
            </c:numRef>
          </c:val>
          <c:smooth val="0"/>
          <c:extLst>
            <c:ext xmlns:c16="http://schemas.microsoft.com/office/drawing/2014/chart" uri="{C3380CC4-5D6E-409C-BE32-E72D297353CC}">
              <c16:uniqueId val="{00000002-F9AC-4F21-9031-E92554A91936}"/>
            </c:ext>
          </c:extLst>
        </c:ser>
        <c:ser>
          <c:idx val="4"/>
          <c:order val="4"/>
          <c:tx>
            <c:strRef>
              <c:f>TOTAL!$F$1</c:f>
              <c:strCache>
                <c:ptCount val="1"/>
                <c:pt idx="0">
                  <c:v>United Kingdom</c:v>
                </c:pt>
              </c:strCache>
            </c:strRef>
          </c:tx>
          <c:spPr>
            <a:ln w="12700" cap="rnd">
              <a:solidFill>
                <a:schemeClr val="accent5"/>
              </a:solidFill>
              <a:round/>
            </a:ln>
            <a:effectLst/>
          </c:spPr>
          <c:marker>
            <c:symbol val="circle"/>
            <c:size val="5"/>
            <c:spPr>
              <a:solidFill>
                <a:schemeClr val="accent5"/>
              </a:solidFill>
              <a:ln w="12700">
                <a:solidFill>
                  <a:schemeClr val="accent5"/>
                </a:solidFill>
              </a:ln>
              <a:effectLst/>
            </c:spPr>
          </c:marker>
          <c:cat>
            <c:numRef>
              <c:f>TOTAL!$B$2:$B$22</c:f>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f>TOTAL!$F$2:$F$22</c:f>
              <c:numCache>
                <c:formatCode>General</c:formatCode>
                <c:ptCount val="21"/>
                <c:pt idx="0">
                  <c:v>1.7</c:v>
                </c:pt>
                <c:pt idx="1">
                  <c:v>1.3</c:v>
                </c:pt>
                <c:pt idx="2">
                  <c:v>1.7</c:v>
                </c:pt>
                <c:pt idx="3">
                  <c:v>1.9</c:v>
                </c:pt>
                <c:pt idx="4">
                  <c:v>3</c:v>
                </c:pt>
                <c:pt idx="5">
                  <c:v>2.1</c:v>
                </c:pt>
                <c:pt idx="6">
                  <c:v>3.1</c:v>
                </c:pt>
                <c:pt idx="7">
                  <c:v>2.9</c:v>
                </c:pt>
                <c:pt idx="8">
                  <c:v>3.7</c:v>
                </c:pt>
                <c:pt idx="9">
                  <c:v>4.2</c:v>
                </c:pt>
                <c:pt idx="10">
                  <c:v>2.7</c:v>
                </c:pt>
                <c:pt idx="11">
                  <c:v>2</c:v>
                </c:pt>
                <c:pt idx="12">
                  <c:v>0.5</c:v>
                </c:pt>
                <c:pt idx="13">
                  <c:v>0.2</c:v>
                </c:pt>
                <c:pt idx="14">
                  <c:v>1.6</c:v>
                </c:pt>
                <c:pt idx="15">
                  <c:v>3</c:v>
                </c:pt>
                <c:pt idx="16">
                  <c:v>2.1</c:v>
                </c:pt>
                <c:pt idx="17">
                  <c:v>1.3</c:v>
                </c:pt>
                <c:pt idx="18">
                  <c:v>0.6</c:v>
                </c:pt>
                <c:pt idx="19">
                  <c:v>5.4</c:v>
                </c:pt>
                <c:pt idx="20">
                  <c:v>10.5</c:v>
                </c:pt>
              </c:numCache>
            </c:numRef>
          </c:val>
          <c:smooth val="0"/>
          <c:extLst>
            <c:ext xmlns:c16="http://schemas.microsoft.com/office/drawing/2014/chart" uri="{C3380CC4-5D6E-409C-BE32-E72D297353CC}">
              <c16:uniqueId val="{00000003-F9AC-4F21-9031-E92554A91936}"/>
            </c:ext>
          </c:extLst>
        </c:ser>
        <c:ser>
          <c:idx val="5"/>
          <c:order val="5"/>
          <c:tx>
            <c:strRef>
              <c:f>TOTAL!$G$1</c:f>
              <c:strCache>
                <c:ptCount val="1"/>
                <c:pt idx="0">
                  <c:v>United States</c:v>
                </c:pt>
              </c:strCache>
            </c:strRef>
          </c:tx>
          <c:spPr>
            <a:ln w="12700" cap="rnd">
              <a:solidFill>
                <a:schemeClr val="accent6"/>
              </a:solidFill>
              <a:round/>
            </a:ln>
            <a:effectLst/>
          </c:spPr>
          <c:marker>
            <c:symbol val="circle"/>
            <c:size val="5"/>
            <c:spPr>
              <a:solidFill>
                <a:schemeClr val="accent6"/>
              </a:solidFill>
              <a:ln w="12700">
                <a:solidFill>
                  <a:schemeClr val="accent6"/>
                </a:solidFill>
              </a:ln>
              <a:effectLst/>
            </c:spPr>
          </c:marker>
          <c:cat>
            <c:numRef>
              <c:f>TOTAL!$B$2:$B$22</c:f>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f>TOTAL!$G$2:$G$22</c:f>
              <c:numCache>
                <c:formatCode>General</c:formatCode>
                <c:ptCount val="21"/>
                <c:pt idx="0">
                  <c:v>2.6</c:v>
                </c:pt>
                <c:pt idx="1">
                  <c:v>1.9</c:v>
                </c:pt>
                <c:pt idx="2">
                  <c:v>3.2</c:v>
                </c:pt>
                <c:pt idx="3">
                  <c:v>3.7</c:v>
                </c:pt>
                <c:pt idx="4">
                  <c:v>2.2000000000000002</c:v>
                </c:pt>
                <c:pt idx="5">
                  <c:v>4.0999999999999996</c:v>
                </c:pt>
                <c:pt idx="6">
                  <c:v>0.7</c:v>
                </c:pt>
                <c:pt idx="7">
                  <c:v>1.9</c:v>
                </c:pt>
                <c:pt idx="8">
                  <c:v>1.7</c:v>
                </c:pt>
                <c:pt idx="9">
                  <c:v>3.1</c:v>
                </c:pt>
                <c:pt idx="10">
                  <c:v>1.8</c:v>
                </c:pt>
                <c:pt idx="11">
                  <c:v>1.3</c:v>
                </c:pt>
                <c:pt idx="12">
                  <c:v>0.5</c:v>
                </c:pt>
                <c:pt idx="13">
                  <c:v>0.7</c:v>
                </c:pt>
                <c:pt idx="14">
                  <c:v>2.2000000000000002</c:v>
                </c:pt>
                <c:pt idx="15">
                  <c:v>2.2000000000000002</c:v>
                </c:pt>
                <c:pt idx="16">
                  <c:v>1.9</c:v>
                </c:pt>
                <c:pt idx="17">
                  <c:v>2.1</c:v>
                </c:pt>
                <c:pt idx="18">
                  <c:v>1.6</c:v>
                </c:pt>
                <c:pt idx="19">
                  <c:v>7.4</c:v>
                </c:pt>
                <c:pt idx="20">
                  <c:v>6.4</c:v>
                </c:pt>
              </c:numCache>
            </c:numRef>
          </c:val>
          <c:smooth val="0"/>
          <c:extLst>
            <c:ext xmlns:c16="http://schemas.microsoft.com/office/drawing/2014/chart" uri="{C3380CC4-5D6E-409C-BE32-E72D297353CC}">
              <c16:uniqueId val="{00000004-F9AC-4F21-9031-E92554A91936}"/>
            </c:ext>
          </c:extLst>
        </c:ser>
        <c:dLbls>
          <c:showLegendKey val="0"/>
          <c:showVal val="0"/>
          <c:showCatName val="0"/>
          <c:showSerName val="0"/>
          <c:showPercent val="0"/>
          <c:showBubbleSize val="0"/>
        </c:dLbls>
        <c:marker val="1"/>
        <c:smooth val="0"/>
        <c:axId val="1652715135"/>
        <c:axId val="1391466847"/>
        <c:extLst>
          <c:ext xmlns:c15="http://schemas.microsoft.com/office/drawing/2012/chart" uri="{02D57815-91ED-43cb-92C2-25804820EDAC}">
            <c15:filteredLineSeries>
              <c15:ser>
                <c:idx val="0"/>
                <c:order val="0"/>
                <c:tx>
                  <c:strRef>
                    <c:extLst>
                      <c:ext uri="{02D57815-91ED-43cb-92C2-25804820EDAC}">
                        <c15:formulaRef>
                          <c15:sqref>TOTAL!$B$1</c15:sqref>
                        </c15:formulaRef>
                      </c:ext>
                    </c:extLst>
                    <c:strCache>
                      <c:ptCount val="1"/>
                      <c:pt idx="0">
                        <c:v>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TOTAL!$B$2:$B$22</c15:sqref>
                        </c15:formulaRef>
                      </c:ext>
                    </c:extLst>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cat>
                <c:val>
                  <c:numRef>
                    <c:extLst>
                      <c:ext uri="{02D57815-91ED-43cb-92C2-25804820EDAC}">
                        <c15:formulaRef>
                          <c15:sqref>TOTAL!$B$2:$B$22</c15:sqref>
                        </c15:formulaRef>
                      </c:ext>
                    </c:extLst>
                    <c:numCache>
                      <c:formatCode>General</c:formatCode>
                      <c:ptCount val="21"/>
                      <c:pt idx="0">
                        <c:v>2002</c:v>
                      </c:pt>
                      <c:pt idx="1">
                        <c:v>2003</c:v>
                      </c:pt>
                      <c:pt idx="2">
                        <c:v>2004</c:v>
                      </c:pt>
                      <c:pt idx="3">
                        <c:v>2005</c:v>
                      </c:pt>
                      <c:pt idx="4">
                        <c:v>2006</c:v>
                      </c:pt>
                      <c:pt idx="5">
                        <c:v>2007</c:v>
                      </c:pt>
                      <c:pt idx="6">
                        <c:v>2008</c:v>
                      </c:pt>
                      <c:pt idx="7">
                        <c:v>2009</c:v>
                      </c:pt>
                      <c:pt idx="8">
                        <c:v>2010</c:v>
                      </c:pt>
                      <c:pt idx="9">
                        <c:v>2011</c:v>
                      </c:pt>
                      <c:pt idx="10">
                        <c:v>2012</c:v>
                      </c:pt>
                      <c:pt idx="11">
                        <c:v>2013</c:v>
                      </c:pt>
                      <c:pt idx="12">
                        <c:v>2014</c:v>
                      </c:pt>
                      <c:pt idx="13">
                        <c:v>2015</c:v>
                      </c:pt>
                      <c:pt idx="14">
                        <c:v>2016</c:v>
                      </c:pt>
                      <c:pt idx="15">
                        <c:v>2017</c:v>
                      </c:pt>
                      <c:pt idx="16">
                        <c:v>2018</c:v>
                      </c:pt>
                      <c:pt idx="17">
                        <c:v>2019</c:v>
                      </c:pt>
                      <c:pt idx="18">
                        <c:v>2020</c:v>
                      </c:pt>
                      <c:pt idx="19">
                        <c:v>2021</c:v>
                      </c:pt>
                      <c:pt idx="20">
                        <c:v>2022</c:v>
                      </c:pt>
                    </c:numCache>
                  </c:numRef>
                </c:val>
                <c:smooth val="0"/>
                <c:extLst>
                  <c:ext xmlns:c16="http://schemas.microsoft.com/office/drawing/2014/chart" uri="{C3380CC4-5D6E-409C-BE32-E72D297353CC}">
                    <c16:uniqueId val="{00000005-F9AC-4F21-9031-E92554A91936}"/>
                  </c:ext>
                </c:extLst>
              </c15:ser>
            </c15:filteredLineSeries>
          </c:ext>
        </c:extLst>
      </c:lineChart>
      <c:catAx>
        <c:axId val="1652715135"/>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ltLang="zh-TW"/>
              </a:p>
            </c:rich>
          </c:tx>
          <c:layout>
            <c:manualLayout>
              <c:xMode val="edge"/>
              <c:yMode val="edge"/>
              <c:x val="0.47452708590716086"/>
              <c:y val="0.8815814205775662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91466847"/>
        <c:crosses val="autoZero"/>
        <c:auto val="0"/>
        <c:lblAlgn val="ctr"/>
        <c:lblOffset val="1000"/>
        <c:noMultiLvlLbl val="0"/>
      </c:catAx>
      <c:valAx>
        <c:axId val="1391466847"/>
        <c:scaling>
          <c:orientation val="minMax"/>
          <c:max val="11"/>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52715135"/>
        <c:crosses val="autoZero"/>
        <c:crossBetween val="between"/>
        <c:majorUnit val="0.5"/>
        <c:minorUnit val="0.2"/>
      </c:valAx>
      <c:spPr>
        <a:noFill/>
        <a:ln w="12700">
          <a:noFill/>
        </a:ln>
        <a:effectLst/>
      </c:spPr>
    </c:plotArea>
    <c:legend>
      <c:legendPos val="b"/>
      <c:layout>
        <c:manualLayout>
          <c:xMode val="edge"/>
          <c:yMode val="edge"/>
          <c:x val="9.2085403420508402E-2"/>
          <c:y val="0.93423947903048743"/>
          <c:w val="0.78150724695589247"/>
          <c:h val="4.9733549911572132E-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800">
          <a:latin typeface="Times New Roman" panose="02020603050405020304" pitchFamily="18" charset="0"/>
          <a:cs typeface="Times New Roman" panose="02020603050405020304" pitchFamily="18" charset="0"/>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1"/>
          <c:tx>
            <c:strRef>
              <c:f>'TOTAL (2)'!$C$1</c:f>
              <c:strCache>
                <c:ptCount val="1"/>
                <c:pt idx="0">
                  <c:v>China</c:v>
                </c:pt>
              </c:strCache>
            </c:strRef>
          </c:tx>
          <c:spPr>
            <a:ln w="12700" cap="rnd">
              <a:solidFill>
                <a:schemeClr val="accent2"/>
              </a:solidFill>
              <a:round/>
            </a:ln>
            <a:effectLst/>
          </c:spPr>
          <c:marker>
            <c:symbol val="circle"/>
            <c:size val="5"/>
            <c:spPr>
              <a:solidFill>
                <a:schemeClr val="accent2"/>
              </a:solidFill>
              <a:ln w="12700">
                <a:solidFill>
                  <a:schemeClr val="accent2"/>
                </a:solidFill>
              </a:ln>
              <a:effectLst/>
            </c:spPr>
          </c:marker>
          <c:cat>
            <c:numRef>
              <c:f>'TOTAL (2)'!$B$2:$B$5</c:f>
              <c:numCache>
                <c:formatCode>General</c:formatCode>
                <c:ptCount val="4"/>
                <c:pt idx="0">
                  <c:v>2019</c:v>
                </c:pt>
                <c:pt idx="1">
                  <c:v>2020</c:v>
                </c:pt>
                <c:pt idx="2">
                  <c:v>2021</c:v>
                </c:pt>
                <c:pt idx="3">
                  <c:v>2022</c:v>
                </c:pt>
              </c:numCache>
            </c:numRef>
          </c:cat>
          <c:val>
            <c:numRef>
              <c:f>'TOTAL (2)'!$C$2:$C$5</c:f>
              <c:numCache>
                <c:formatCode>General</c:formatCode>
                <c:ptCount val="4"/>
                <c:pt idx="0">
                  <c:v>4.5</c:v>
                </c:pt>
                <c:pt idx="1">
                  <c:v>0.2</c:v>
                </c:pt>
                <c:pt idx="2">
                  <c:v>1.4</c:v>
                </c:pt>
                <c:pt idx="3">
                  <c:v>1.8</c:v>
                </c:pt>
              </c:numCache>
            </c:numRef>
          </c:val>
          <c:smooth val="0"/>
          <c:extLst>
            <c:ext xmlns:c16="http://schemas.microsoft.com/office/drawing/2014/chart" uri="{C3380CC4-5D6E-409C-BE32-E72D297353CC}">
              <c16:uniqueId val="{00000000-03BD-4364-9E10-B01E2D90478B}"/>
            </c:ext>
          </c:extLst>
        </c:ser>
        <c:ser>
          <c:idx val="2"/>
          <c:order val="2"/>
          <c:tx>
            <c:strRef>
              <c:f>'TOTAL (2)'!$D$1</c:f>
              <c:strCache>
                <c:ptCount val="1"/>
                <c:pt idx="0">
                  <c:v>Hong Kong</c:v>
                </c:pt>
              </c:strCache>
            </c:strRef>
          </c:tx>
          <c:spPr>
            <a:ln w="12700" cap="rnd">
              <a:solidFill>
                <a:schemeClr val="accent3"/>
              </a:solidFill>
              <a:round/>
            </a:ln>
            <a:effectLst/>
          </c:spPr>
          <c:marker>
            <c:symbol val="circle"/>
            <c:size val="5"/>
            <c:spPr>
              <a:solidFill>
                <a:schemeClr val="accent3"/>
              </a:solidFill>
              <a:ln w="12700">
                <a:solidFill>
                  <a:schemeClr val="accent3"/>
                </a:solidFill>
              </a:ln>
              <a:effectLst/>
            </c:spPr>
          </c:marker>
          <c:cat>
            <c:numRef>
              <c:f>'TOTAL (2)'!$B$2:$B$5</c:f>
              <c:numCache>
                <c:formatCode>General</c:formatCode>
                <c:ptCount val="4"/>
                <c:pt idx="0">
                  <c:v>2019</c:v>
                </c:pt>
                <c:pt idx="1">
                  <c:v>2020</c:v>
                </c:pt>
                <c:pt idx="2">
                  <c:v>2021</c:v>
                </c:pt>
                <c:pt idx="3">
                  <c:v>2022</c:v>
                </c:pt>
              </c:numCache>
            </c:numRef>
          </c:cat>
          <c:val>
            <c:numRef>
              <c:f>'TOTAL (2)'!$D$2:$D$5</c:f>
              <c:numCache>
                <c:formatCode>General</c:formatCode>
                <c:ptCount val="4"/>
                <c:pt idx="0">
                  <c:v>2.9</c:v>
                </c:pt>
                <c:pt idx="1">
                  <c:v>-0.9</c:v>
                </c:pt>
                <c:pt idx="2">
                  <c:v>2.4</c:v>
                </c:pt>
                <c:pt idx="3">
                  <c:v>2</c:v>
                </c:pt>
              </c:numCache>
            </c:numRef>
          </c:val>
          <c:smooth val="0"/>
          <c:extLst>
            <c:ext xmlns:c16="http://schemas.microsoft.com/office/drawing/2014/chart" uri="{C3380CC4-5D6E-409C-BE32-E72D297353CC}">
              <c16:uniqueId val="{00000001-03BD-4364-9E10-B01E2D90478B}"/>
            </c:ext>
          </c:extLst>
        </c:ser>
        <c:ser>
          <c:idx val="3"/>
          <c:order val="3"/>
          <c:tx>
            <c:strRef>
              <c:f>'TOTAL (2)'!$E$1</c:f>
              <c:strCache>
                <c:ptCount val="1"/>
                <c:pt idx="0">
                  <c:v>Malaysia</c:v>
                </c:pt>
              </c:strCache>
            </c:strRef>
          </c:tx>
          <c:spPr>
            <a:ln w="12700" cap="rnd">
              <a:solidFill>
                <a:schemeClr val="accent4"/>
              </a:solidFill>
              <a:round/>
            </a:ln>
            <a:effectLst/>
          </c:spPr>
          <c:marker>
            <c:symbol val="circle"/>
            <c:size val="5"/>
            <c:spPr>
              <a:solidFill>
                <a:schemeClr val="accent4"/>
              </a:solidFill>
              <a:ln w="12700">
                <a:solidFill>
                  <a:schemeClr val="accent4"/>
                </a:solidFill>
              </a:ln>
              <a:effectLst/>
            </c:spPr>
          </c:marker>
          <c:cat>
            <c:numRef>
              <c:f>'TOTAL (2)'!$B$2:$B$5</c:f>
              <c:numCache>
                <c:formatCode>General</c:formatCode>
                <c:ptCount val="4"/>
                <c:pt idx="0">
                  <c:v>2019</c:v>
                </c:pt>
                <c:pt idx="1">
                  <c:v>2020</c:v>
                </c:pt>
                <c:pt idx="2">
                  <c:v>2021</c:v>
                </c:pt>
                <c:pt idx="3">
                  <c:v>2022</c:v>
                </c:pt>
              </c:numCache>
            </c:numRef>
          </c:cat>
          <c:val>
            <c:numRef>
              <c:f>'TOTAL (2)'!$E$2:$E$5</c:f>
              <c:numCache>
                <c:formatCode>General</c:formatCode>
                <c:ptCount val="4"/>
                <c:pt idx="0">
                  <c:v>1</c:v>
                </c:pt>
                <c:pt idx="1">
                  <c:v>-1.4</c:v>
                </c:pt>
                <c:pt idx="2">
                  <c:v>3.2</c:v>
                </c:pt>
                <c:pt idx="3">
                  <c:v>3.8</c:v>
                </c:pt>
              </c:numCache>
            </c:numRef>
          </c:val>
          <c:smooth val="0"/>
          <c:extLst>
            <c:ext xmlns:c16="http://schemas.microsoft.com/office/drawing/2014/chart" uri="{C3380CC4-5D6E-409C-BE32-E72D297353CC}">
              <c16:uniqueId val="{00000002-03BD-4364-9E10-B01E2D90478B}"/>
            </c:ext>
          </c:extLst>
        </c:ser>
        <c:ser>
          <c:idx val="4"/>
          <c:order val="4"/>
          <c:tx>
            <c:strRef>
              <c:f>'TOTAL (2)'!$F$1</c:f>
              <c:strCache>
                <c:ptCount val="1"/>
                <c:pt idx="0">
                  <c:v>United Kingdom</c:v>
                </c:pt>
              </c:strCache>
            </c:strRef>
          </c:tx>
          <c:spPr>
            <a:ln w="12700" cap="rnd">
              <a:solidFill>
                <a:schemeClr val="accent5"/>
              </a:solidFill>
              <a:round/>
            </a:ln>
            <a:effectLst/>
          </c:spPr>
          <c:marker>
            <c:symbol val="circle"/>
            <c:size val="5"/>
            <c:spPr>
              <a:solidFill>
                <a:schemeClr val="accent5"/>
              </a:solidFill>
              <a:ln w="12700">
                <a:solidFill>
                  <a:schemeClr val="accent5"/>
                </a:solidFill>
              </a:ln>
              <a:effectLst/>
            </c:spPr>
          </c:marker>
          <c:cat>
            <c:numRef>
              <c:f>'TOTAL (2)'!$B$2:$B$5</c:f>
              <c:numCache>
                <c:formatCode>General</c:formatCode>
                <c:ptCount val="4"/>
                <c:pt idx="0">
                  <c:v>2019</c:v>
                </c:pt>
                <c:pt idx="1">
                  <c:v>2020</c:v>
                </c:pt>
                <c:pt idx="2">
                  <c:v>2021</c:v>
                </c:pt>
                <c:pt idx="3">
                  <c:v>2022</c:v>
                </c:pt>
              </c:numCache>
            </c:numRef>
          </c:cat>
          <c:val>
            <c:numRef>
              <c:f>'TOTAL (2)'!$F$2:$F$5</c:f>
              <c:numCache>
                <c:formatCode>General</c:formatCode>
                <c:ptCount val="4"/>
                <c:pt idx="0">
                  <c:v>1.3</c:v>
                </c:pt>
                <c:pt idx="1">
                  <c:v>0.6</c:v>
                </c:pt>
                <c:pt idx="2">
                  <c:v>5.4</c:v>
                </c:pt>
                <c:pt idx="3">
                  <c:v>10.5</c:v>
                </c:pt>
              </c:numCache>
            </c:numRef>
          </c:val>
          <c:smooth val="0"/>
          <c:extLst>
            <c:ext xmlns:c16="http://schemas.microsoft.com/office/drawing/2014/chart" uri="{C3380CC4-5D6E-409C-BE32-E72D297353CC}">
              <c16:uniqueId val="{00000003-03BD-4364-9E10-B01E2D90478B}"/>
            </c:ext>
          </c:extLst>
        </c:ser>
        <c:ser>
          <c:idx val="5"/>
          <c:order val="5"/>
          <c:tx>
            <c:strRef>
              <c:f>'TOTAL (2)'!$G$1</c:f>
              <c:strCache>
                <c:ptCount val="1"/>
                <c:pt idx="0">
                  <c:v>United States</c:v>
                </c:pt>
              </c:strCache>
            </c:strRef>
          </c:tx>
          <c:spPr>
            <a:ln w="12700" cap="rnd">
              <a:solidFill>
                <a:schemeClr val="accent6"/>
              </a:solidFill>
              <a:round/>
            </a:ln>
            <a:effectLst/>
          </c:spPr>
          <c:marker>
            <c:symbol val="circle"/>
            <c:size val="5"/>
            <c:spPr>
              <a:solidFill>
                <a:schemeClr val="accent6"/>
              </a:solidFill>
              <a:ln w="12700">
                <a:solidFill>
                  <a:schemeClr val="accent6"/>
                </a:solidFill>
              </a:ln>
              <a:effectLst/>
            </c:spPr>
          </c:marker>
          <c:cat>
            <c:numRef>
              <c:f>'TOTAL (2)'!$B$2:$B$5</c:f>
              <c:numCache>
                <c:formatCode>General</c:formatCode>
                <c:ptCount val="4"/>
                <c:pt idx="0">
                  <c:v>2019</c:v>
                </c:pt>
                <c:pt idx="1">
                  <c:v>2020</c:v>
                </c:pt>
                <c:pt idx="2">
                  <c:v>2021</c:v>
                </c:pt>
                <c:pt idx="3">
                  <c:v>2022</c:v>
                </c:pt>
              </c:numCache>
            </c:numRef>
          </c:cat>
          <c:val>
            <c:numRef>
              <c:f>'TOTAL (2)'!$G$2:$G$5</c:f>
              <c:numCache>
                <c:formatCode>General</c:formatCode>
                <c:ptCount val="4"/>
                <c:pt idx="0">
                  <c:v>2.1</c:v>
                </c:pt>
                <c:pt idx="1">
                  <c:v>1.6</c:v>
                </c:pt>
                <c:pt idx="2">
                  <c:v>7.4</c:v>
                </c:pt>
                <c:pt idx="3">
                  <c:v>6.4</c:v>
                </c:pt>
              </c:numCache>
            </c:numRef>
          </c:val>
          <c:smooth val="0"/>
          <c:extLst>
            <c:ext xmlns:c16="http://schemas.microsoft.com/office/drawing/2014/chart" uri="{C3380CC4-5D6E-409C-BE32-E72D297353CC}">
              <c16:uniqueId val="{00000004-03BD-4364-9E10-B01E2D90478B}"/>
            </c:ext>
          </c:extLst>
        </c:ser>
        <c:dLbls>
          <c:showLegendKey val="0"/>
          <c:showVal val="0"/>
          <c:showCatName val="0"/>
          <c:showSerName val="0"/>
          <c:showPercent val="0"/>
          <c:showBubbleSize val="0"/>
        </c:dLbls>
        <c:marker val="1"/>
        <c:smooth val="0"/>
        <c:axId val="1652715135"/>
        <c:axId val="1391466847"/>
        <c:extLst>
          <c:ext xmlns:c15="http://schemas.microsoft.com/office/drawing/2012/chart" uri="{02D57815-91ED-43cb-92C2-25804820EDAC}">
            <c15:filteredLineSeries>
              <c15:ser>
                <c:idx val="0"/>
                <c:order val="0"/>
                <c:tx>
                  <c:strRef>
                    <c:extLst>
                      <c:ext uri="{02D57815-91ED-43cb-92C2-25804820EDAC}">
                        <c15:formulaRef>
                          <c15:sqref>'TOTAL (2)'!$B$1</c15:sqref>
                        </c15:formulaRef>
                      </c:ext>
                    </c:extLst>
                    <c:strCache>
                      <c:ptCount val="1"/>
                      <c:pt idx="0">
                        <c:v>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'TOTAL (2)'!$B$2:$B$5</c15:sqref>
                        </c15:formulaRef>
                      </c:ext>
                    </c:extLst>
                    <c:numCache>
                      <c:formatCode>General</c:formatCode>
                      <c:ptCount val="4"/>
                      <c:pt idx="0">
                        <c:v>2019</c:v>
                      </c:pt>
                      <c:pt idx="1">
                        <c:v>2020</c:v>
                      </c:pt>
                      <c:pt idx="2">
                        <c:v>2021</c:v>
                      </c:pt>
                      <c:pt idx="3">
                        <c:v>2022</c:v>
                      </c:pt>
                    </c:numCache>
                  </c:numRef>
                </c:cat>
                <c:val>
                  <c:numRef>
                    <c:extLst>
                      <c:ext uri="{02D57815-91ED-43cb-92C2-25804820EDAC}">
                        <c15:formulaRef>
                          <c15:sqref>'TOTAL (2)'!$B$2:$B$5</c15:sqref>
                        </c15:formulaRef>
                      </c:ext>
                    </c:extLst>
                    <c:numCache>
                      <c:formatCode>General</c:formatCode>
                      <c:ptCount val="4"/>
                      <c:pt idx="0">
                        <c:v>2019</c:v>
                      </c:pt>
                      <c:pt idx="1">
                        <c:v>2020</c:v>
                      </c:pt>
                      <c:pt idx="2">
                        <c:v>2021</c:v>
                      </c:pt>
                      <c:pt idx="3">
                        <c:v>2022</c:v>
                      </c:pt>
                    </c:numCache>
                  </c:numRef>
                </c:val>
                <c:smooth val="0"/>
                <c:extLst>
                  <c:ext xmlns:c16="http://schemas.microsoft.com/office/drawing/2014/chart" uri="{C3380CC4-5D6E-409C-BE32-E72D297353CC}">
                    <c16:uniqueId val="{00000005-03BD-4364-9E10-B01E2D90478B}"/>
                  </c:ext>
                </c:extLst>
              </c15:ser>
            </c15:filteredLineSeries>
          </c:ext>
        </c:extLst>
      </c:lineChart>
      <c:catAx>
        <c:axId val="1652715135"/>
        <c:scaling>
          <c:orientation val="minMax"/>
        </c:scaling>
        <c:delete val="0"/>
        <c:axPos val="b"/>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ltLang="zh-TW"/>
              </a:p>
            </c:rich>
          </c:tx>
          <c:layout>
            <c:manualLayout>
              <c:xMode val="edge"/>
              <c:yMode val="edge"/>
              <c:x val="0.47452708590716086"/>
              <c:y val="0.8815814205775662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91466847"/>
        <c:crosses val="autoZero"/>
        <c:auto val="0"/>
        <c:lblAlgn val="ctr"/>
        <c:lblOffset val="1000"/>
        <c:noMultiLvlLbl val="0"/>
      </c:catAx>
      <c:valAx>
        <c:axId val="1391466847"/>
        <c:scaling>
          <c:orientation val="minMax"/>
          <c:max val="11"/>
          <c:min val="-2"/>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52715135"/>
        <c:crosses val="autoZero"/>
        <c:crossBetween val="between"/>
        <c:majorUnit val="0.5"/>
        <c:minorUnit val="0.2"/>
      </c:valAx>
      <c:spPr>
        <a:noFill/>
        <a:ln>
          <a:noFill/>
        </a:ln>
        <a:effectLst/>
      </c:spPr>
    </c:plotArea>
    <c:legend>
      <c:legendPos val="b"/>
      <c:layout>
        <c:manualLayout>
          <c:xMode val="edge"/>
          <c:yMode val="edge"/>
          <c:x val="9.2085403420508402E-2"/>
          <c:y val="0.93423947903048743"/>
          <c:w val="0.67440618573209377"/>
          <c:h val="5.7762452050652495E-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800">
          <a:latin typeface="Times New Roman" panose="02020603050405020304" pitchFamily="18" charset="0"/>
          <a:cs typeface="Times New Roman" panose="02020603050405020304" pitchFamily="18" charset="0"/>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0.02406</cdr:y>
    </cdr:from>
    <cdr:to>
      <cdr:x>0.05872</cdr:x>
      <cdr:y>0.09093</cdr:y>
    </cdr:to>
    <cdr:sp macro="" textlink="">
      <cdr:nvSpPr>
        <cdr:cNvPr id="2" name="文字方塊 1">
          <a:extLst xmlns:a="http://schemas.openxmlformats.org/drawingml/2006/main">
            <a:ext uri="{FF2B5EF4-FFF2-40B4-BE49-F238E27FC236}">
              <a16:creationId xmlns:a16="http://schemas.microsoft.com/office/drawing/2014/main" id="{DDF5DF31-10B0-16B4-BD8C-DFE22D227A92}"/>
            </a:ext>
          </a:extLst>
        </cdr:cNvPr>
        <cdr:cNvSpPr txBox="1"/>
      </cdr:nvSpPr>
      <cdr:spPr>
        <a:xfrm xmlns:a="http://schemas.openxmlformats.org/drawingml/2006/main">
          <a:off x="0" y="90753"/>
          <a:ext cx="346840" cy="25224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TW" sz="800">
              <a:latin typeface="Times New Roman" panose="02020603050405020304" pitchFamily="18" charset="0"/>
              <a:cs typeface="Times New Roman" panose="02020603050405020304" pitchFamily="18" charset="0"/>
            </a:rPr>
            <a:t>(%)</a:t>
          </a:r>
        </a:p>
        <a:p xmlns:a="http://schemas.openxmlformats.org/drawingml/2006/main">
          <a:endParaRPr lang="en-US" altLang="zh-TW" sz="1100">
            <a:latin typeface="Times New Roman" panose="02020603050405020304" pitchFamily="18" charset="0"/>
            <a:cs typeface="Times New Roman" panose="02020603050405020304" pitchFamily="18" charset="0"/>
          </a:endParaRPr>
        </a:p>
        <a:p xmlns:a="http://schemas.openxmlformats.org/drawingml/2006/main">
          <a:endParaRPr lang="zh-TW" altLang="en-US" sz="1100">
            <a:latin typeface="Times New Roman" panose="02020603050405020304" pitchFamily="18" charset="0"/>
            <a:cs typeface="Times New Roman" panose="02020603050405020304" pitchFamily="18" charset="0"/>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cdr:x>
      <cdr:y>0.02406</cdr:y>
    </cdr:from>
    <cdr:to>
      <cdr:x>0.05872</cdr:x>
      <cdr:y>0.09093</cdr:y>
    </cdr:to>
    <cdr:sp macro="" textlink="">
      <cdr:nvSpPr>
        <cdr:cNvPr id="2" name="文字方塊 1">
          <a:extLst xmlns:a="http://schemas.openxmlformats.org/drawingml/2006/main">
            <a:ext uri="{FF2B5EF4-FFF2-40B4-BE49-F238E27FC236}">
              <a16:creationId xmlns:a16="http://schemas.microsoft.com/office/drawing/2014/main" id="{DDF5DF31-10B0-16B4-BD8C-DFE22D227A92}"/>
            </a:ext>
          </a:extLst>
        </cdr:cNvPr>
        <cdr:cNvSpPr txBox="1"/>
      </cdr:nvSpPr>
      <cdr:spPr>
        <a:xfrm xmlns:a="http://schemas.openxmlformats.org/drawingml/2006/main">
          <a:off x="0" y="90753"/>
          <a:ext cx="346840" cy="25224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TW" sz="800">
              <a:latin typeface="Times New Roman" panose="02020603050405020304" pitchFamily="18" charset="0"/>
              <a:cs typeface="Times New Roman" panose="02020603050405020304" pitchFamily="18" charset="0"/>
            </a:rPr>
            <a:t>(%)</a:t>
          </a:r>
        </a:p>
        <a:p xmlns:a="http://schemas.openxmlformats.org/drawingml/2006/main">
          <a:endParaRPr lang="en-US" altLang="zh-TW" sz="1100">
            <a:latin typeface="Times New Roman" panose="02020603050405020304" pitchFamily="18" charset="0"/>
            <a:cs typeface="Times New Roman" panose="02020603050405020304" pitchFamily="18" charset="0"/>
          </a:endParaRPr>
        </a:p>
        <a:p xmlns:a="http://schemas.openxmlformats.org/drawingml/2006/main">
          <a:endParaRPr lang="zh-TW" altLang="en-US" sz="1100">
            <a:latin typeface="Times New Roman" panose="02020603050405020304" pitchFamily="18"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00F392-775B-4B74-8E16-E99667AD3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22</Pages>
  <Words>6078</Words>
  <Characters>34647</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40644</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CW LAI</cp:lastModifiedBy>
  <cp:revision>14</cp:revision>
  <cp:lastPrinted>2010-07-30T07:51:00Z</cp:lastPrinted>
  <dcterms:created xsi:type="dcterms:W3CDTF">2024-02-28T03:15:00Z</dcterms:created>
  <dcterms:modified xsi:type="dcterms:W3CDTF">2024-03-08T16:58:00Z</dcterms:modified>
</cp:coreProperties>
</file>