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0E611" w14:textId="072BC622" w:rsidR="00A3051F" w:rsidRDefault="00D87AB9">
      <w:r>
        <w:t xml:space="preserve"> </w:t>
      </w:r>
    </w:p>
    <w:p w14:paraId="0E3126FB" w14:textId="77777777" w:rsidR="00A3051F" w:rsidRDefault="00A3051F"/>
    <w:p w14:paraId="3D36DC74" w14:textId="77777777" w:rsidR="00A3051F" w:rsidRDefault="00A3051F"/>
    <w:p w14:paraId="259143D1" w14:textId="77777777" w:rsidR="00A3051F" w:rsidRDefault="00A3051F"/>
    <w:p w14:paraId="3EDDDBC3" w14:textId="77777777" w:rsidR="00A3051F" w:rsidRDefault="00A3051F"/>
    <w:p w14:paraId="41A57CC8" w14:textId="77777777" w:rsidR="00A3051F" w:rsidRDefault="00A3051F"/>
    <w:p w14:paraId="5E5787A5" w14:textId="60449218" w:rsidR="00D123C4" w:rsidRDefault="00900BE1">
      <w:r>
        <w:t xml:space="preserve">Student </w:t>
      </w:r>
      <w:r w:rsidR="0E8956C9">
        <w:t>Name</w:t>
      </w:r>
      <w:r w:rsidR="00950CA4">
        <w:t>:</w:t>
      </w:r>
      <w:r w:rsidR="00BC5A85">
        <w:t xml:space="preserve"> </w:t>
      </w:r>
      <w:r w:rsidR="00950CA4">
        <w:t>Heshu Ahmed</w:t>
      </w:r>
    </w:p>
    <w:p w14:paraId="652FB88E" w14:textId="4E84C2A0" w:rsidR="00BC5A85" w:rsidRDefault="004D315E">
      <w:r>
        <w:t xml:space="preserve">Student </w:t>
      </w:r>
      <w:r w:rsidR="00900BE1">
        <w:t>Number:</w:t>
      </w:r>
      <w:r w:rsidR="003C2683">
        <w:t>2522882</w:t>
      </w:r>
    </w:p>
    <w:p w14:paraId="6A0577F5" w14:textId="1C2E3BD3" w:rsidR="007A4D5A" w:rsidRDefault="00571603">
      <w:r>
        <w:t>M</w:t>
      </w:r>
      <w:r w:rsidR="003C2683">
        <w:t>o</w:t>
      </w:r>
      <w:r>
        <w:t xml:space="preserve">dule </w:t>
      </w:r>
      <w:r w:rsidR="00134669">
        <w:t>Code: LCHS</w:t>
      </w:r>
      <w:r w:rsidR="002023BB">
        <w:t>4003</w:t>
      </w:r>
    </w:p>
    <w:p w14:paraId="72F6776D" w14:textId="31BA7FFB" w:rsidR="007A4D5A" w:rsidRDefault="0027558A">
      <w:r>
        <w:t>L</w:t>
      </w:r>
      <w:r w:rsidR="007A4D5A">
        <w:t>ectur</w:t>
      </w:r>
      <w:r>
        <w:t>e name:</w:t>
      </w:r>
      <w:r w:rsidR="002C7969" w:rsidRPr="002C7969">
        <w:t xml:space="preserve"> Vivian </w:t>
      </w:r>
      <w:proofErr w:type="spellStart"/>
      <w:r w:rsidR="002C7969" w:rsidRPr="002C7969">
        <w:t>Osuchukwu</w:t>
      </w:r>
      <w:proofErr w:type="spellEnd"/>
    </w:p>
    <w:p w14:paraId="54C8E68E" w14:textId="5A1EB241" w:rsidR="0027558A" w:rsidRDefault="00BC59C0">
      <w:r>
        <w:t>Assignment title:</w:t>
      </w:r>
      <w:r w:rsidR="00134669">
        <w:t xml:space="preserve"> written Assignment</w:t>
      </w:r>
    </w:p>
    <w:p w14:paraId="2B8B51E4" w14:textId="78F7C837" w:rsidR="39415BCF" w:rsidRDefault="39415BCF"/>
    <w:p w14:paraId="22DA22CD" w14:textId="0C81163D" w:rsidR="39415BCF" w:rsidRDefault="39415BCF"/>
    <w:p w14:paraId="7E0553F8" w14:textId="5CF09C8C" w:rsidR="39415BCF" w:rsidRDefault="39415BCF"/>
    <w:p w14:paraId="717D6D38" w14:textId="72A6D7D2" w:rsidR="39415BCF" w:rsidRDefault="39415BCF"/>
    <w:p w14:paraId="3EED5460" w14:textId="7D551F05" w:rsidR="39415BCF" w:rsidRDefault="39415BCF"/>
    <w:p w14:paraId="475AE118" w14:textId="2B80D19E" w:rsidR="39415BCF" w:rsidRDefault="39415BCF"/>
    <w:p w14:paraId="671A649C" w14:textId="77F8634E" w:rsidR="39415BCF" w:rsidRDefault="39415BCF"/>
    <w:p w14:paraId="3368CF1A" w14:textId="43A371A7" w:rsidR="39415BCF" w:rsidRDefault="39415BCF"/>
    <w:p w14:paraId="22D2C770" w14:textId="0FB79884" w:rsidR="39415BCF" w:rsidRDefault="39415BCF"/>
    <w:p w14:paraId="0078473B" w14:textId="3EF560C3" w:rsidR="39415BCF" w:rsidRDefault="39415BCF"/>
    <w:p w14:paraId="7A13381E" w14:textId="02A229A8" w:rsidR="39415BCF" w:rsidRDefault="39415BCF"/>
    <w:p w14:paraId="08E60F8E" w14:textId="329938BC" w:rsidR="39415BCF" w:rsidRDefault="39415BCF"/>
    <w:p w14:paraId="3DC8CD3A" w14:textId="5C2484A7" w:rsidR="39415BCF" w:rsidRDefault="39415BCF"/>
    <w:p w14:paraId="1355B050" w14:textId="7A8E6C76" w:rsidR="39415BCF" w:rsidRDefault="39415BCF"/>
    <w:p w14:paraId="56A06FAA" w14:textId="2CEADF6B" w:rsidR="39415BCF" w:rsidRDefault="39415BCF"/>
    <w:p w14:paraId="76D8F42D" w14:textId="2AB1ADE5" w:rsidR="39415BCF" w:rsidRDefault="39415BCF"/>
    <w:p w14:paraId="118289A4" w14:textId="0E980AEC" w:rsidR="39415BCF" w:rsidRDefault="39415BCF"/>
    <w:p w14:paraId="5B8E52AD" w14:textId="760DF909" w:rsidR="39415BCF" w:rsidRDefault="39415BCF"/>
    <w:p w14:paraId="51FC7C6E" w14:textId="66A02062" w:rsidR="39415BCF" w:rsidRDefault="39415BCF"/>
    <w:p w14:paraId="42D4AED1" w14:textId="53CBED3B" w:rsidR="39415BCF" w:rsidRDefault="39415BCF"/>
    <w:p w14:paraId="177B6020" w14:textId="058A2E64" w:rsidR="39415BCF" w:rsidRDefault="39415BCF"/>
    <w:p w14:paraId="40B873EB" w14:textId="1A1CED3B" w:rsidR="39415BCF" w:rsidRDefault="39415BCF"/>
    <w:p w14:paraId="458B8801" w14:textId="3C97BDBB" w:rsidR="39415BCF" w:rsidRDefault="39415BCF"/>
    <w:p w14:paraId="4949A9DD" w14:textId="77777777" w:rsidR="00506019" w:rsidRDefault="00506019" w:rsidP="39415BCF"/>
    <w:p w14:paraId="4BCD7B26" w14:textId="5F4731AD" w:rsidR="7C5D1CCB" w:rsidRPr="00506019" w:rsidRDefault="7C5D1CCB" w:rsidP="00506019">
      <w:pPr>
        <w:spacing w:line="360" w:lineRule="auto"/>
        <w:rPr>
          <w:rFonts w:ascii="Arial" w:hAnsi="Arial" w:cs="Arial"/>
          <w:sz w:val="22"/>
          <w:szCs w:val="22"/>
        </w:rPr>
      </w:pPr>
      <w:r w:rsidRPr="00506019">
        <w:rPr>
          <w:rFonts w:ascii="Arial" w:eastAsia="Arial" w:hAnsi="Arial" w:cs="Arial"/>
          <w:sz w:val="22"/>
          <w:szCs w:val="22"/>
        </w:rPr>
        <w:t>Introduction:</w:t>
      </w:r>
    </w:p>
    <w:p w14:paraId="2CEE1169" w14:textId="637BCFF0" w:rsidR="0E8956C9" w:rsidRPr="00506019" w:rsidRDefault="0E8956C9" w:rsidP="00506019">
      <w:pPr>
        <w:spacing w:line="360" w:lineRule="auto"/>
        <w:rPr>
          <w:rFonts w:ascii="Arial" w:hAnsi="Arial" w:cs="Arial"/>
          <w:sz w:val="22"/>
          <w:szCs w:val="22"/>
        </w:rPr>
      </w:pPr>
      <w:r w:rsidRPr="00506019">
        <w:rPr>
          <w:rFonts w:ascii="Arial" w:eastAsia="Arial" w:hAnsi="Arial" w:cs="Arial"/>
          <w:sz w:val="22"/>
          <w:szCs w:val="22"/>
        </w:rPr>
        <w:t>Mrs Thompson’s situation demonstrates the importance of key professional practices in health and social care, particularly effective communication, accurate administration, and partnership working between different services. She is an 84-year-old woman who lives alone in sheltered accommodation and has recently returned home after being treated in hospital for pneumonia. She receives domiciliary care twice a day, but her mild dementia affects her memory, meaning she sometimes forgets to take her medication and becomes confused. A recent incident where she was found outside in cold weather without suitable clothing has raised concerns about her safety and wellbeing. These issues highlight the need for health and social care professionals, including her GP, community nurse, care workers, and the local authority, to work closely together to provide safe, person-centred support. This report will examine the role of communication, administration, and multi-agency working in meeting Mrs Thompson’s needs, using relevant legislation, policies, and academic evidence to support the discussion (Department of Health and Social Care, 2022).</w:t>
      </w:r>
    </w:p>
    <w:p w14:paraId="4844024D" w14:textId="30E0E268" w:rsidR="39415BCF" w:rsidRPr="00506019" w:rsidRDefault="39415BCF" w:rsidP="00506019">
      <w:pPr>
        <w:spacing w:line="360" w:lineRule="auto"/>
        <w:rPr>
          <w:rFonts w:ascii="Arial" w:eastAsia="Arial" w:hAnsi="Arial" w:cs="Arial"/>
          <w:sz w:val="22"/>
          <w:szCs w:val="22"/>
        </w:rPr>
      </w:pPr>
    </w:p>
    <w:p w14:paraId="0AA889AF" w14:textId="04B0EB3D" w:rsidR="772BDD3C" w:rsidRPr="00506019" w:rsidRDefault="772BDD3C" w:rsidP="00506019">
      <w:pPr>
        <w:pStyle w:val="Heading3"/>
        <w:spacing w:before="281" w:after="281" w:line="360" w:lineRule="auto"/>
        <w:rPr>
          <w:rFonts w:ascii="Arial" w:hAnsi="Arial" w:cs="Arial"/>
          <w:sz w:val="22"/>
          <w:szCs w:val="22"/>
        </w:rPr>
      </w:pPr>
      <w:r w:rsidRPr="00506019">
        <w:rPr>
          <w:rFonts w:ascii="Arial" w:eastAsia="Arial" w:hAnsi="Arial" w:cs="Arial"/>
          <w:b/>
          <w:bCs/>
          <w:sz w:val="22"/>
          <w:szCs w:val="22"/>
        </w:rPr>
        <w:t>importance of Effective Communication in Mrs Thompson’s Care</w:t>
      </w:r>
      <w:r w:rsidR="00A3051F">
        <w:rPr>
          <w:rFonts w:ascii="Arial" w:eastAsia="Arial" w:hAnsi="Arial" w:cs="Arial"/>
          <w:b/>
          <w:bCs/>
          <w:sz w:val="22"/>
          <w:szCs w:val="22"/>
        </w:rPr>
        <w:t>:</w:t>
      </w:r>
    </w:p>
    <w:p w14:paraId="704B8D99" w14:textId="310DB894"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Effective communication plays a vital role in providing safe and person-centred care for Mrs Thompson. As she has mild dementia, she may struggle with memory, concentration, and understanding information. This means that the way health and social care professionals communicate with her can have a significant impact on her wellbeing and quality of care. Good communication helps reduce confusion, builds trust, and allows Mrs Thompson to remain involved in decisions about her care wherever possible (Bach &amp; Grant, 2015).</w:t>
      </w:r>
    </w:p>
    <w:p w14:paraId="68B4B676" w14:textId="45CAFC3B"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When speaking with Mrs Thompson, professionals should use clear and simple language, speak at a calm pace, and give her enough time to respond. Maintaining eye contact, listening carefully, and avoiding unnecessary medical terms can make conversations easier for her to understand. Dementia-friendly communication techniques, such as using short </w:t>
      </w:r>
      <w:r w:rsidRPr="00506019">
        <w:rPr>
          <w:rFonts w:ascii="Arial" w:eastAsia="Arial" w:hAnsi="Arial" w:cs="Arial"/>
          <w:sz w:val="22"/>
          <w:szCs w:val="22"/>
        </w:rPr>
        <w:lastRenderedPageBreak/>
        <w:t>sentences, repeating important information when needed, and giving gentle reminders, can help support her independence while reducing anxiety and frustration (Alzheimer’s Society, 2021).</w:t>
      </w:r>
    </w:p>
    <w:p w14:paraId="653FED64" w14:textId="2D0D7D60"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Communication should also extend beyond Mrs Thompson to include her family and carers. Since dementia can affect memory and judgement, family members can provide valuable information about her daily routine, preferences, and any changes in her behaviour. Their involvement can also help professionals recognise early signs that her condition may be worsening. The Care Act 2014 highlights the importance of involving carers and family members in care planning where appropriate, helping to ensure that care is coordinated and meets the person's overall needs.</w:t>
      </w:r>
    </w:p>
    <w:p w14:paraId="2BEBC1B6" w14:textId="72CC7EF6"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The Equality Act 2010 also supports effective communication by requiring health and social care providers to make reasonable adjustments for people with disabilities, including those living with dementia. For Mrs Thompson, this could involve using written reminders with large, clear text, visual prompts, or explaining information more than once if necessary. These adjustments help ensure that she has equal access to services and is treated with dignity and respect, regardless of her age or cognitive impairment (Equality and Human Rights Commission, 2020).</w:t>
      </w:r>
    </w:p>
    <w:p w14:paraId="3523C942" w14:textId="3A2FCB97"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One communication model that is particularly useful in Mrs Thompson's care is the SOLER model (Egan, 2014). SOLER encourages professionals to demonstrate active listening through positive body language by sitting squarely, keeping an open posture, leaning slightly forward, maintaining appropriate eye contact, and remaining relaxed throughout the conversation. These non-verbal communication skills can help Mrs Thompson feel valued, listened to, and more comfortable expressing any concerns she may have. This is especially important when discussing sensitive topics such as missed medication, confusion, or concerns about her safety.</w:t>
      </w:r>
    </w:p>
    <w:p w14:paraId="73630C88" w14:textId="04CEEE95" w:rsidR="772BDD3C" w:rsidRPr="00506019" w:rsidRDefault="772BDD3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Communication should always be compassionate and person-centred. Mrs Thompson may feel upset, embarrassed, or frustrated when she forgets to take her medication or when others become concerned about her safety. Rather than criticising her, professionals should offer reassurance, show empathy, and work with her to find practical solutions that support her independence. </w:t>
      </w:r>
      <w:proofErr w:type="spellStart"/>
      <w:r w:rsidRPr="00506019">
        <w:rPr>
          <w:rFonts w:ascii="Arial" w:eastAsia="Arial" w:hAnsi="Arial" w:cs="Arial"/>
          <w:sz w:val="22"/>
          <w:szCs w:val="22"/>
        </w:rPr>
        <w:t>Kitwood</w:t>
      </w:r>
      <w:proofErr w:type="spellEnd"/>
      <w:r w:rsidRPr="00506019">
        <w:rPr>
          <w:rFonts w:ascii="Arial" w:eastAsia="Arial" w:hAnsi="Arial" w:cs="Arial"/>
          <w:sz w:val="22"/>
          <w:szCs w:val="22"/>
        </w:rPr>
        <w:t xml:space="preserve"> (1997) argues that compassionate communication is essential in dementia care because it promotes emotional wellbeing, preserves dignity, and reduces distress. By communicating in a respectful and supportive way, professionals can strengthen relationships with Mrs Thompson, her family, and the wider care team while helping to deliver safe and effective care.</w:t>
      </w:r>
    </w:p>
    <w:p w14:paraId="3BF8CB57" w14:textId="74AD644C" w:rsidR="39415BCF" w:rsidRPr="00506019" w:rsidRDefault="39415BCF" w:rsidP="00506019">
      <w:pPr>
        <w:spacing w:before="240" w:after="240" w:line="360" w:lineRule="auto"/>
        <w:rPr>
          <w:rFonts w:ascii="Arial" w:eastAsia="Arial" w:hAnsi="Arial" w:cs="Arial"/>
          <w:sz w:val="22"/>
          <w:szCs w:val="22"/>
        </w:rPr>
      </w:pPr>
    </w:p>
    <w:p w14:paraId="212DF0D4" w14:textId="123D29D4" w:rsidR="49B537DF" w:rsidRPr="00506019" w:rsidRDefault="49B537DF" w:rsidP="00506019">
      <w:pPr>
        <w:pStyle w:val="Heading3"/>
        <w:spacing w:before="281" w:after="281" w:line="360" w:lineRule="auto"/>
        <w:rPr>
          <w:rFonts w:ascii="Arial" w:hAnsi="Arial" w:cs="Arial"/>
          <w:sz w:val="22"/>
          <w:szCs w:val="22"/>
        </w:rPr>
      </w:pPr>
      <w:r w:rsidRPr="00506019">
        <w:rPr>
          <w:rFonts w:ascii="Arial" w:eastAsia="Arial" w:hAnsi="Arial" w:cs="Arial"/>
          <w:b/>
          <w:bCs/>
          <w:sz w:val="22"/>
          <w:szCs w:val="22"/>
        </w:rPr>
        <w:t>Importance of Good Administrative Skills and Record Keeping</w:t>
      </w:r>
      <w:r w:rsidR="00A3051F">
        <w:rPr>
          <w:rFonts w:ascii="Arial" w:eastAsia="Arial" w:hAnsi="Arial" w:cs="Arial"/>
          <w:b/>
          <w:bCs/>
          <w:sz w:val="22"/>
          <w:szCs w:val="22"/>
        </w:rPr>
        <w:t>:</w:t>
      </w:r>
    </w:p>
    <w:p w14:paraId="6A56895B" w14:textId="64F45F67"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Good administrative skills are essential in health and social care because they help ensure that people receive safe, consistent, and high-quality care. One of the most important administrative responsibilities is keeping accurate and up-to-date records. For Mrs Thompson, clear documentation of events such as missed medication, increased confusion, and the incident where she was found outside without suitable clothing is vital. Recording this information allows professionals to monitor changes in her condition, identify potential risks, and make informed decisions about the support she needs (Rixon et al., 2016).</w:t>
      </w:r>
    </w:p>
    <w:p w14:paraId="534C4C3B" w14:textId="16E6D4FD"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Accurate records also improve communication between professionals involved in Mrs Thompson's care. As she receives support from several services, including care workers, her GP, the community nurse, and the local authority, everyone involved needs access to reliable and current information. If records are incomplete or inaccurate, important details may be missed, which could affect her safety. For example, if a missed dose of medication is not recorded, the next care worker may assume the medication has already been taken, increasing the risk of further health problems or hospital readmission.</w:t>
      </w:r>
    </w:p>
    <w:p w14:paraId="46E631C0" w14:textId="0127620B"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The Data Protection Act 2018 and the UK General Data Protection Regulation (UK GDPR) set out how personal information should be collected, stored, and shared. These laws require health and social care professionals to keep records accurate, confidential, and secure, while ensuring that information is only shared with authorised people who need it to provide care (Information Commissioner’s Office, 2021). In Mrs Thompson's case, records such as her care plan, medication chart, and incident reports should contain only relevant information and be stored securely to protect her privacy.</w:t>
      </w:r>
    </w:p>
    <w:p w14:paraId="34A59D04" w14:textId="577ED94F"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Good record keeping is also important for professional accountability. National guidance, including the NMC Code (2018) and the Care Quality Commission (CQC) Fundamental Standards, requires professionals to produce records that are accurate, factual, and completed as soon as possible after an event. These records provide evidence of the care that has been delivered and support safe clinical decision-making. For someone living with dementia, accurate documentation is especially important because changes in memory, behaviour, or health may happen gradually and need to be monitored over time.</w:t>
      </w:r>
    </w:p>
    <w:p w14:paraId="6B9EB04D" w14:textId="716509BC"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Administrative skills involve more than writing records. Professionals must also organise information efficiently, complete referrals, update care plans, and communicate important changes to other members of the multidisciplinary team. In Mrs Thompson's case, concerns </w:t>
      </w:r>
      <w:r w:rsidRPr="00506019">
        <w:rPr>
          <w:rFonts w:ascii="Arial" w:eastAsia="Arial" w:hAnsi="Arial" w:cs="Arial"/>
          <w:sz w:val="22"/>
          <w:szCs w:val="22"/>
        </w:rPr>
        <w:lastRenderedPageBreak/>
        <w:t>about her missed medication and increasing confusion should be clearly documented to support the medication review requested by her GP. Likewise, the incident of her wandering outside in cold weather should be recorded and shared with the relevant agencies as part of safeguarding procedures under the Care Act 2014.</w:t>
      </w:r>
    </w:p>
    <w:p w14:paraId="18BC7B5C" w14:textId="1615E6F9"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Confidentiality is another key aspect of good administration. Although family members can play an important role in supporting Mrs Thompson, professionals must normally gain her consent before sharing personal information. However, where there is a risk of serious harm, such as concerns about her safety, the Data Protection Act 2018 allows information to be shared with appropriate professionals without consent if it is necessary to protect her wellbeing.</w:t>
      </w:r>
    </w:p>
    <w:p w14:paraId="6DBF1608" w14:textId="6E78F294" w:rsidR="49B537DF" w:rsidRPr="00506019" w:rsidRDefault="49B537DF" w:rsidP="00506019">
      <w:pPr>
        <w:spacing w:before="240" w:after="240" w:line="360" w:lineRule="auto"/>
        <w:rPr>
          <w:rFonts w:ascii="Arial" w:hAnsi="Arial" w:cs="Arial"/>
          <w:sz w:val="22"/>
          <w:szCs w:val="22"/>
        </w:rPr>
      </w:pPr>
      <w:r w:rsidRPr="00506019">
        <w:rPr>
          <w:rFonts w:ascii="Arial" w:eastAsia="Arial" w:hAnsi="Arial" w:cs="Arial"/>
          <w:sz w:val="22"/>
          <w:szCs w:val="22"/>
        </w:rPr>
        <w:t>Overall, effective administrative skills and accurate record keeping help ensure that Mrs Thompson receives coordinated, safe, and person-centred care. They support communication between professionals, meet legal and professional requirements, and allow potential risks to be identified and managed at an early stage, helping to protect both her health and her rights.</w:t>
      </w:r>
    </w:p>
    <w:p w14:paraId="4636E2C7" w14:textId="0BFAEC87" w:rsidR="39415BCF" w:rsidRPr="00506019" w:rsidRDefault="39415BCF" w:rsidP="00506019">
      <w:pPr>
        <w:spacing w:line="360" w:lineRule="auto"/>
        <w:rPr>
          <w:rFonts w:ascii="Arial" w:eastAsia="Arial" w:hAnsi="Arial" w:cs="Arial"/>
          <w:sz w:val="22"/>
          <w:szCs w:val="22"/>
        </w:rPr>
      </w:pPr>
    </w:p>
    <w:p w14:paraId="32B83B71" w14:textId="4F7A5300" w:rsidR="5910EBB2" w:rsidRPr="00506019" w:rsidRDefault="5910EBB2" w:rsidP="00506019">
      <w:pPr>
        <w:pStyle w:val="Heading3"/>
        <w:spacing w:before="281" w:after="281" w:line="360" w:lineRule="auto"/>
        <w:rPr>
          <w:rFonts w:ascii="Arial" w:hAnsi="Arial" w:cs="Arial"/>
          <w:sz w:val="22"/>
          <w:szCs w:val="22"/>
        </w:rPr>
      </w:pPr>
      <w:r w:rsidRPr="00506019">
        <w:rPr>
          <w:rFonts w:ascii="Arial" w:eastAsia="Arial" w:hAnsi="Arial" w:cs="Arial"/>
          <w:b/>
          <w:bCs/>
          <w:sz w:val="22"/>
          <w:szCs w:val="22"/>
        </w:rPr>
        <w:t>Importance of Collaborative Working</w:t>
      </w:r>
      <w:r w:rsidR="00A3051F">
        <w:rPr>
          <w:rFonts w:ascii="Arial" w:eastAsia="Arial" w:hAnsi="Arial" w:cs="Arial"/>
          <w:b/>
          <w:bCs/>
          <w:sz w:val="22"/>
          <w:szCs w:val="22"/>
        </w:rPr>
        <w:t>:</w:t>
      </w:r>
    </w:p>
    <w:p w14:paraId="187806FB" w14:textId="42228DCA" w:rsidR="5910EBB2" w:rsidRPr="00506019" w:rsidRDefault="5910EBB2"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Collaborative working is essential in ensuring that Mrs Thompson receives safe, effective, and person-centred care. Because she has a range of health and social care needs, no single professional can meet </w:t>
      </w:r>
      <w:proofErr w:type="gramStart"/>
      <w:r w:rsidRPr="00506019">
        <w:rPr>
          <w:rFonts w:ascii="Arial" w:eastAsia="Arial" w:hAnsi="Arial" w:cs="Arial"/>
          <w:sz w:val="22"/>
          <w:szCs w:val="22"/>
        </w:rPr>
        <w:t>all of</w:t>
      </w:r>
      <w:proofErr w:type="gramEnd"/>
      <w:r w:rsidRPr="00506019">
        <w:rPr>
          <w:rFonts w:ascii="Arial" w:eastAsia="Arial" w:hAnsi="Arial" w:cs="Arial"/>
          <w:sz w:val="22"/>
          <w:szCs w:val="22"/>
        </w:rPr>
        <w:t xml:space="preserve"> her requirements alone. Instead, different professionals, including her GP, community nurse, domiciliary care workers, and the local authority, need to work together to monitor her health, manage her medication, and respond to safeguarding concerns. When professionals share information and communicate effectively, they are better able to identify risks early and provide coordinated support that meets Mrs Thompson's changing needs (Glasby &amp; Dickinson, 2008).</w:t>
      </w:r>
    </w:p>
    <w:p w14:paraId="6235A970" w14:textId="18E0F930" w:rsidR="5910EBB2" w:rsidRPr="00506019" w:rsidRDefault="5910EBB2"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There are several ways to promote effective partnership working. Regular communication between professionals, shared care plans, and multidisciplinary team meetings </w:t>
      </w:r>
      <w:proofErr w:type="gramStart"/>
      <w:r w:rsidRPr="00506019">
        <w:rPr>
          <w:rFonts w:ascii="Arial" w:eastAsia="Arial" w:hAnsi="Arial" w:cs="Arial"/>
          <w:sz w:val="22"/>
          <w:szCs w:val="22"/>
        </w:rPr>
        <w:t>help</w:t>
      </w:r>
      <w:proofErr w:type="gramEnd"/>
      <w:r w:rsidRPr="00506019">
        <w:rPr>
          <w:rFonts w:ascii="Arial" w:eastAsia="Arial" w:hAnsi="Arial" w:cs="Arial"/>
          <w:sz w:val="22"/>
          <w:szCs w:val="22"/>
        </w:rPr>
        <w:t xml:space="preserve"> ensure that everyone involved has access to the same up-to-date information. For example, if a care worker notices that Mrs Thompson has missed her medication or appears more confused than usual, this information should be passed on promptly to the community nurse and GP so that her condition can be reviewed. Shared electronic care records can also improve communication by allowing authorised professionals to access important </w:t>
      </w:r>
      <w:r w:rsidRPr="00506019">
        <w:rPr>
          <w:rFonts w:ascii="Arial" w:eastAsia="Arial" w:hAnsi="Arial" w:cs="Arial"/>
          <w:sz w:val="22"/>
          <w:szCs w:val="22"/>
        </w:rPr>
        <w:lastRenderedPageBreak/>
        <w:t>information quickly, reducing delays and unnecessary duplication of work (NHS England, 2022).</w:t>
      </w:r>
    </w:p>
    <w:p w14:paraId="3FAD3227" w14:textId="7E61D928" w:rsidR="5910EBB2" w:rsidRPr="00506019" w:rsidRDefault="5910EBB2" w:rsidP="00506019">
      <w:pPr>
        <w:spacing w:before="240" w:after="240" w:line="360" w:lineRule="auto"/>
        <w:rPr>
          <w:rFonts w:ascii="Arial" w:hAnsi="Arial" w:cs="Arial"/>
          <w:sz w:val="22"/>
          <w:szCs w:val="22"/>
        </w:rPr>
      </w:pPr>
      <w:r w:rsidRPr="00506019">
        <w:rPr>
          <w:rFonts w:ascii="Arial" w:eastAsia="Arial" w:hAnsi="Arial" w:cs="Arial"/>
          <w:sz w:val="22"/>
          <w:szCs w:val="22"/>
        </w:rPr>
        <w:t>However, collaborative working can sometimes be challenging. Different organisations may have their own priorities, communication systems, and ways of working, which can make information sharing more difficult. There is also a risk that important observations made by care workers may not be passed on if reporting procedures are unclear. To reduce these problems, organisations should use clear communication processes and structured handover tools such as SBAR (Situation, Background, Assessment, Recommendation). This helps ensure that important information is shared accurately and consistently between professionals. Encouraging mutual respect and recognising the contribution of each member of the care team can also improve partnership working (Wood &amp; Gray, 1991).</w:t>
      </w:r>
    </w:p>
    <w:p w14:paraId="73BD8C13" w14:textId="51B0CD62" w:rsidR="5910EBB2" w:rsidRPr="00506019" w:rsidRDefault="5910EBB2" w:rsidP="00506019">
      <w:pPr>
        <w:spacing w:before="240" w:after="240" w:line="360" w:lineRule="auto"/>
        <w:rPr>
          <w:rFonts w:ascii="Arial" w:hAnsi="Arial" w:cs="Arial"/>
          <w:sz w:val="22"/>
          <w:szCs w:val="22"/>
        </w:rPr>
      </w:pPr>
      <w:r w:rsidRPr="00506019">
        <w:rPr>
          <w:rFonts w:ascii="Arial" w:eastAsia="Arial" w:hAnsi="Arial" w:cs="Arial"/>
          <w:sz w:val="22"/>
          <w:szCs w:val="22"/>
        </w:rPr>
        <w:t>Providing regular training in areas such as dementia care and safeguarding can further strengthen collaborative practice by giving professionals the knowledge and confidence to respond appropriately to Mrs Thompson's needs. Overall, effective collaborative working supports better decision-making, improves continuity of care, and helps reduce the risk of further incidents, allowing Mrs Thompson to remain as safe and independent as possible.</w:t>
      </w:r>
    </w:p>
    <w:p w14:paraId="08F215A2" w14:textId="22CF0E8E" w:rsidR="03559B2D" w:rsidRPr="00506019" w:rsidRDefault="03559B2D" w:rsidP="00506019">
      <w:pPr>
        <w:pStyle w:val="Heading3"/>
        <w:spacing w:before="281" w:after="281" w:line="360" w:lineRule="auto"/>
        <w:rPr>
          <w:rFonts w:ascii="Arial" w:hAnsi="Arial" w:cs="Arial"/>
          <w:sz w:val="22"/>
          <w:szCs w:val="22"/>
        </w:rPr>
      </w:pPr>
      <w:r w:rsidRPr="00506019">
        <w:rPr>
          <w:rFonts w:ascii="Arial" w:eastAsia="Arial" w:hAnsi="Arial" w:cs="Arial"/>
          <w:b/>
          <w:bCs/>
          <w:sz w:val="22"/>
          <w:szCs w:val="22"/>
        </w:rPr>
        <w:t>Conclusion</w:t>
      </w:r>
      <w:r w:rsidR="00A3051F">
        <w:rPr>
          <w:rFonts w:ascii="Arial" w:eastAsia="Arial" w:hAnsi="Arial" w:cs="Arial"/>
          <w:b/>
          <w:bCs/>
          <w:sz w:val="22"/>
          <w:szCs w:val="22"/>
        </w:rPr>
        <w:t>:</w:t>
      </w:r>
    </w:p>
    <w:p w14:paraId="1A5C4D84" w14:textId="7785A434" w:rsidR="03559B2D" w:rsidRPr="00506019" w:rsidRDefault="03559B2D" w:rsidP="00506019">
      <w:pPr>
        <w:spacing w:before="240" w:after="240" w:line="360" w:lineRule="auto"/>
        <w:rPr>
          <w:rFonts w:ascii="Arial" w:hAnsi="Arial" w:cs="Arial"/>
          <w:sz w:val="22"/>
          <w:szCs w:val="22"/>
        </w:rPr>
      </w:pPr>
      <w:r w:rsidRPr="00506019">
        <w:rPr>
          <w:rFonts w:ascii="Arial" w:eastAsia="Arial" w:hAnsi="Arial" w:cs="Arial"/>
          <w:sz w:val="22"/>
          <w:szCs w:val="22"/>
        </w:rPr>
        <w:t>Mrs Thompson’s case shows how important effective communication, good administrative practice, and collaborative working are in providing safe and person-centred care. Clear and compassionate communication helps her understand information, reduces confusion caused by her dementia, and encourages her involvement in decisions about her care while also including her family where appropriate. Accurate record keeping and good administrative skills ensure that important information, such as missed medication or safeguarding concerns, is recorded correctly and shared securely in line with the Data Protection Act 2018. Working collaboratively allows the GP, community nurse, care workers, and local authority to share information, respond quickly to concerns, and provide coordinated support that meets Mrs Thompson’s needs. Overall, applying relevant legislation, professional guidance, and effective communication and partnership approaches helps promote Mrs Thompson’s safety, dignity, independence, and overall wellbeing while ensuring she receives consistent, high-quality care.</w:t>
      </w:r>
    </w:p>
    <w:p w14:paraId="36224848" w14:textId="7C6E121B" w:rsidR="1FEAABBC" w:rsidRPr="00506019" w:rsidRDefault="1FEAABBC" w:rsidP="00506019">
      <w:pPr>
        <w:pStyle w:val="Heading2"/>
        <w:spacing w:before="299" w:after="299" w:line="360" w:lineRule="auto"/>
        <w:rPr>
          <w:rFonts w:ascii="Arial" w:hAnsi="Arial" w:cs="Arial"/>
          <w:sz w:val="22"/>
          <w:szCs w:val="22"/>
        </w:rPr>
      </w:pPr>
      <w:r w:rsidRPr="00506019">
        <w:rPr>
          <w:rFonts w:ascii="Arial" w:eastAsia="Arial" w:hAnsi="Arial" w:cs="Arial"/>
          <w:b/>
          <w:bCs/>
          <w:sz w:val="22"/>
          <w:szCs w:val="22"/>
        </w:rPr>
        <w:lastRenderedPageBreak/>
        <w:t>References</w:t>
      </w:r>
      <w:r w:rsidR="00A3051F">
        <w:rPr>
          <w:rFonts w:ascii="Arial" w:eastAsia="Arial" w:hAnsi="Arial" w:cs="Arial"/>
          <w:b/>
          <w:bCs/>
          <w:sz w:val="22"/>
          <w:szCs w:val="22"/>
        </w:rPr>
        <w:t>:</w:t>
      </w:r>
    </w:p>
    <w:p w14:paraId="028692B0" w14:textId="73A13C16"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Alzheimer's Society (2021) </w:t>
      </w:r>
      <w:r w:rsidRPr="00506019">
        <w:rPr>
          <w:rFonts w:ascii="Arial" w:eastAsia="Arial" w:hAnsi="Arial" w:cs="Arial"/>
          <w:i/>
          <w:iCs/>
          <w:sz w:val="22"/>
          <w:szCs w:val="22"/>
        </w:rPr>
        <w:t>Communicating with people with dementia</w:t>
      </w:r>
      <w:r w:rsidRPr="00506019">
        <w:rPr>
          <w:rFonts w:ascii="Arial" w:eastAsia="Arial" w:hAnsi="Arial" w:cs="Arial"/>
          <w:sz w:val="22"/>
          <w:szCs w:val="22"/>
        </w:rPr>
        <w:t>. London: Alzheimer's Society.</w:t>
      </w:r>
    </w:p>
    <w:p w14:paraId="3EACABF4" w14:textId="6D2EFAF2"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Bach, S. and Grant, A. (2015) </w:t>
      </w:r>
      <w:r w:rsidRPr="00506019">
        <w:rPr>
          <w:rFonts w:ascii="Arial" w:eastAsia="Arial" w:hAnsi="Arial" w:cs="Arial"/>
          <w:i/>
          <w:iCs/>
          <w:sz w:val="22"/>
          <w:szCs w:val="22"/>
        </w:rPr>
        <w:t>Communication and interpersonal skills in nursing</w:t>
      </w:r>
      <w:r w:rsidRPr="00506019">
        <w:rPr>
          <w:rFonts w:ascii="Arial" w:eastAsia="Arial" w:hAnsi="Arial" w:cs="Arial"/>
          <w:sz w:val="22"/>
          <w:szCs w:val="22"/>
        </w:rPr>
        <w:t xml:space="preserve">. 4th </w:t>
      </w:r>
      <w:proofErr w:type="spellStart"/>
      <w:r w:rsidRPr="00506019">
        <w:rPr>
          <w:rFonts w:ascii="Arial" w:eastAsia="Arial" w:hAnsi="Arial" w:cs="Arial"/>
          <w:sz w:val="22"/>
          <w:szCs w:val="22"/>
        </w:rPr>
        <w:t>edn</w:t>
      </w:r>
      <w:proofErr w:type="spellEnd"/>
      <w:r w:rsidRPr="00506019">
        <w:rPr>
          <w:rFonts w:ascii="Arial" w:eastAsia="Arial" w:hAnsi="Arial" w:cs="Arial"/>
          <w:sz w:val="22"/>
          <w:szCs w:val="22"/>
        </w:rPr>
        <w:t>. London: Learning Matters.</w:t>
      </w:r>
    </w:p>
    <w:p w14:paraId="77B70282" w14:textId="3D244FEC"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Care Act 2014. (c.23). London: The Stationery Office.</w:t>
      </w:r>
    </w:p>
    <w:p w14:paraId="5135596B" w14:textId="5740F962"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Department of Health and Social Care (2022) </w:t>
      </w:r>
      <w:r w:rsidRPr="00506019">
        <w:rPr>
          <w:rFonts w:ascii="Arial" w:eastAsia="Arial" w:hAnsi="Arial" w:cs="Arial"/>
          <w:i/>
          <w:iCs/>
          <w:sz w:val="22"/>
          <w:szCs w:val="22"/>
        </w:rPr>
        <w:t>Person-centred care guidance</w:t>
      </w:r>
      <w:r w:rsidRPr="00506019">
        <w:rPr>
          <w:rFonts w:ascii="Arial" w:eastAsia="Arial" w:hAnsi="Arial" w:cs="Arial"/>
          <w:sz w:val="22"/>
          <w:szCs w:val="22"/>
        </w:rPr>
        <w:t>. London: Department of Health and Social Care.</w:t>
      </w:r>
    </w:p>
    <w:p w14:paraId="35E9D0CD" w14:textId="7C8B3FCB"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Egan, G. (2014) </w:t>
      </w:r>
      <w:r w:rsidRPr="00506019">
        <w:rPr>
          <w:rFonts w:ascii="Arial" w:eastAsia="Arial" w:hAnsi="Arial" w:cs="Arial"/>
          <w:i/>
          <w:iCs/>
          <w:sz w:val="22"/>
          <w:szCs w:val="22"/>
        </w:rPr>
        <w:t>The skilled helper: A problem-management and opportunity-development approach to helping</w:t>
      </w:r>
      <w:r w:rsidRPr="00506019">
        <w:rPr>
          <w:rFonts w:ascii="Arial" w:eastAsia="Arial" w:hAnsi="Arial" w:cs="Arial"/>
          <w:sz w:val="22"/>
          <w:szCs w:val="22"/>
        </w:rPr>
        <w:t xml:space="preserve">. 10th </w:t>
      </w:r>
      <w:proofErr w:type="spellStart"/>
      <w:r w:rsidRPr="00506019">
        <w:rPr>
          <w:rFonts w:ascii="Arial" w:eastAsia="Arial" w:hAnsi="Arial" w:cs="Arial"/>
          <w:sz w:val="22"/>
          <w:szCs w:val="22"/>
        </w:rPr>
        <w:t>edn</w:t>
      </w:r>
      <w:proofErr w:type="spellEnd"/>
      <w:r w:rsidRPr="00506019">
        <w:rPr>
          <w:rFonts w:ascii="Arial" w:eastAsia="Arial" w:hAnsi="Arial" w:cs="Arial"/>
          <w:sz w:val="22"/>
          <w:szCs w:val="22"/>
        </w:rPr>
        <w:t>. Boston: Cengage Learning.</w:t>
      </w:r>
    </w:p>
    <w:p w14:paraId="25D031A9" w14:textId="637FA113"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Equality and Human Rights Commission (2020) </w:t>
      </w:r>
      <w:r w:rsidRPr="00506019">
        <w:rPr>
          <w:rFonts w:ascii="Arial" w:eastAsia="Arial" w:hAnsi="Arial" w:cs="Arial"/>
          <w:i/>
          <w:iCs/>
          <w:sz w:val="22"/>
          <w:szCs w:val="22"/>
        </w:rPr>
        <w:t>Equality Act 2010 guidance</w:t>
      </w:r>
      <w:r w:rsidRPr="00506019">
        <w:rPr>
          <w:rFonts w:ascii="Arial" w:eastAsia="Arial" w:hAnsi="Arial" w:cs="Arial"/>
          <w:sz w:val="22"/>
          <w:szCs w:val="22"/>
        </w:rPr>
        <w:t>. Manchester: Equality and Human Rights Commission.</w:t>
      </w:r>
    </w:p>
    <w:p w14:paraId="3B33D83C" w14:textId="60E4470F"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Glasby, J. and Dickinson, H. (2008) </w:t>
      </w:r>
      <w:r w:rsidRPr="00506019">
        <w:rPr>
          <w:rFonts w:ascii="Arial" w:eastAsia="Arial" w:hAnsi="Arial" w:cs="Arial"/>
          <w:i/>
          <w:iCs/>
          <w:sz w:val="22"/>
          <w:szCs w:val="22"/>
        </w:rPr>
        <w:t>Partnership working in health and social care</w:t>
      </w:r>
      <w:r w:rsidRPr="00506019">
        <w:rPr>
          <w:rFonts w:ascii="Arial" w:eastAsia="Arial" w:hAnsi="Arial" w:cs="Arial"/>
          <w:sz w:val="22"/>
          <w:szCs w:val="22"/>
        </w:rPr>
        <w:t>. Bristol: Policy Press.</w:t>
      </w:r>
    </w:p>
    <w:p w14:paraId="1E394DD2" w14:textId="54B8ED38"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Information Commissioner's Office (2021) </w:t>
      </w:r>
      <w:r w:rsidRPr="00506019">
        <w:rPr>
          <w:rFonts w:ascii="Arial" w:eastAsia="Arial" w:hAnsi="Arial" w:cs="Arial"/>
          <w:i/>
          <w:iCs/>
          <w:sz w:val="22"/>
          <w:szCs w:val="22"/>
        </w:rPr>
        <w:t>Guide to data protection</w:t>
      </w:r>
      <w:r w:rsidRPr="00506019">
        <w:rPr>
          <w:rFonts w:ascii="Arial" w:eastAsia="Arial" w:hAnsi="Arial" w:cs="Arial"/>
          <w:sz w:val="22"/>
          <w:szCs w:val="22"/>
        </w:rPr>
        <w:t>. Wilmslow: Information Commissioner's Office.</w:t>
      </w:r>
    </w:p>
    <w:p w14:paraId="4D5865EE" w14:textId="526109DD" w:rsidR="1FEAABBC" w:rsidRPr="00506019" w:rsidRDefault="1FEAABBC" w:rsidP="00506019">
      <w:pPr>
        <w:spacing w:before="240" w:after="240" w:line="360" w:lineRule="auto"/>
        <w:rPr>
          <w:rFonts w:ascii="Arial" w:hAnsi="Arial" w:cs="Arial"/>
          <w:sz w:val="22"/>
          <w:szCs w:val="22"/>
        </w:rPr>
      </w:pPr>
      <w:proofErr w:type="spellStart"/>
      <w:r w:rsidRPr="00506019">
        <w:rPr>
          <w:rFonts w:ascii="Arial" w:eastAsia="Arial" w:hAnsi="Arial" w:cs="Arial"/>
          <w:sz w:val="22"/>
          <w:szCs w:val="22"/>
        </w:rPr>
        <w:t>Kitwood</w:t>
      </w:r>
      <w:proofErr w:type="spellEnd"/>
      <w:r w:rsidRPr="00506019">
        <w:rPr>
          <w:rFonts w:ascii="Arial" w:eastAsia="Arial" w:hAnsi="Arial" w:cs="Arial"/>
          <w:sz w:val="22"/>
          <w:szCs w:val="22"/>
        </w:rPr>
        <w:t xml:space="preserve">, T. (1997) </w:t>
      </w:r>
      <w:r w:rsidRPr="00506019">
        <w:rPr>
          <w:rFonts w:ascii="Arial" w:eastAsia="Arial" w:hAnsi="Arial" w:cs="Arial"/>
          <w:i/>
          <w:iCs/>
          <w:sz w:val="22"/>
          <w:szCs w:val="22"/>
        </w:rPr>
        <w:t>Dementia reconsidered: The person comes first</w:t>
      </w:r>
      <w:r w:rsidRPr="00506019">
        <w:rPr>
          <w:rFonts w:ascii="Arial" w:eastAsia="Arial" w:hAnsi="Arial" w:cs="Arial"/>
          <w:sz w:val="22"/>
          <w:szCs w:val="22"/>
        </w:rPr>
        <w:t>. Buckingham: Open University Press.</w:t>
      </w:r>
    </w:p>
    <w:p w14:paraId="3DDB76AF" w14:textId="7E158A66"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NHS England (2022) </w:t>
      </w:r>
      <w:r w:rsidRPr="00506019">
        <w:rPr>
          <w:rFonts w:ascii="Arial" w:eastAsia="Arial" w:hAnsi="Arial" w:cs="Arial"/>
          <w:i/>
          <w:iCs/>
          <w:sz w:val="22"/>
          <w:szCs w:val="22"/>
        </w:rPr>
        <w:t>Integrated care systems guidance</w:t>
      </w:r>
      <w:r w:rsidRPr="00506019">
        <w:rPr>
          <w:rFonts w:ascii="Arial" w:eastAsia="Arial" w:hAnsi="Arial" w:cs="Arial"/>
          <w:sz w:val="22"/>
          <w:szCs w:val="22"/>
        </w:rPr>
        <w:t>. London: NHS England.</w:t>
      </w:r>
    </w:p>
    <w:p w14:paraId="173EBA56" w14:textId="01916946"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Nursing and Midwifery Council (NMC) (2018) </w:t>
      </w:r>
      <w:r w:rsidRPr="00506019">
        <w:rPr>
          <w:rFonts w:ascii="Arial" w:eastAsia="Arial" w:hAnsi="Arial" w:cs="Arial"/>
          <w:i/>
          <w:iCs/>
          <w:sz w:val="22"/>
          <w:szCs w:val="22"/>
        </w:rPr>
        <w:t>The Code: Professional standards of practice and behaviour for nurses, midwives and nursing associates</w:t>
      </w:r>
      <w:r w:rsidRPr="00506019">
        <w:rPr>
          <w:rFonts w:ascii="Arial" w:eastAsia="Arial" w:hAnsi="Arial" w:cs="Arial"/>
          <w:sz w:val="22"/>
          <w:szCs w:val="22"/>
        </w:rPr>
        <w:t>. London: NMC.</w:t>
      </w:r>
    </w:p>
    <w:p w14:paraId="4BB1B27D" w14:textId="7541C360"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Rixon, L., Hirani, S.P., Cartwright, M. and Beynon, M. (2016) </w:t>
      </w:r>
      <w:r w:rsidRPr="00506019">
        <w:rPr>
          <w:rFonts w:ascii="Arial" w:eastAsia="Arial" w:hAnsi="Arial" w:cs="Arial"/>
          <w:i/>
          <w:iCs/>
          <w:sz w:val="22"/>
          <w:szCs w:val="22"/>
        </w:rPr>
        <w:t>Record keeping in health and social care</w:t>
      </w:r>
      <w:r w:rsidRPr="00506019">
        <w:rPr>
          <w:rFonts w:ascii="Arial" w:eastAsia="Arial" w:hAnsi="Arial" w:cs="Arial"/>
          <w:sz w:val="22"/>
          <w:szCs w:val="22"/>
        </w:rPr>
        <w:t>. London: King's College London.</w:t>
      </w:r>
    </w:p>
    <w:p w14:paraId="1BF85E57" w14:textId="5DE6A453" w:rsidR="1FEAABBC" w:rsidRPr="00506019" w:rsidRDefault="1FEAABBC" w:rsidP="00506019">
      <w:pPr>
        <w:spacing w:before="240" w:after="240" w:line="360" w:lineRule="auto"/>
        <w:rPr>
          <w:rFonts w:ascii="Arial" w:hAnsi="Arial" w:cs="Arial"/>
          <w:sz w:val="22"/>
          <w:szCs w:val="22"/>
        </w:rPr>
      </w:pPr>
      <w:r w:rsidRPr="00506019">
        <w:rPr>
          <w:rFonts w:ascii="Arial" w:eastAsia="Arial" w:hAnsi="Arial" w:cs="Arial"/>
          <w:sz w:val="22"/>
          <w:szCs w:val="22"/>
        </w:rPr>
        <w:t xml:space="preserve">Wood, D.J. and Gray, B. (1991) ‘Toward a comprehensive theory of collaboration’, </w:t>
      </w:r>
      <w:r w:rsidRPr="00506019">
        <w:rPr>
          <w:rFonts w:ascii="Arial" w:eastAsia="Arial" w:hAnsi="Arial" w:cs="Arial"/>
          <w:i/>
          <w:iCs/>
          <w:sz w:val="22"/>
          <w:szCs w:val="22"/>
        </w:rPr>
        <w:t xml:space="preserve">The Journal of Applied </w:t>
      </w:r>
      <w:proofErr w:type="spellStart"/>
      <w:r w:rsidRPr="00506019">
        <w:rPr>
          <w:rFonts w:ascii="Arial" w:eastAsia="Arial" w:hAnsi="Arial" w:cs="Arial"/>
          <w:i/>
          <w:iCs/>
          <w:sz w:val="22"/>
          <w:szCs w:val="22"/>
        </w:rPr>
        <w:t>Behavioral</w:t>
      </w:r>
      <w:proofErr w:type="spellEnd"/>
      <w:r w:rsidRPr="00506019">
        <w:rPr>
          <w:rFonts w:ascii="Arial" w:eastAsia="Arial" w:hAnsi="Arial" w:cs="Arial"/>
          <w:i/>
          <w:iCs/>
          <w:sz w:val="22"/>
          <w:szCs w:val="22"/>
        </w:rPr>
        <w:t xml:space="preserve"> Science</w:t>
      </w:r>
      <w:r w:rsidRPr="00506019">
        <w:rPr>
          <w:rFonts w:ascii="Arial" w:eastAsia="Arial" w:hAnsi="Arial" w:cs="Arial"/>
          <w:sz w:val="22"/>
          <w:szCs w:val="22"/>
        </w:rPr>
        <w:t>, 27(2), pp. 139–162.</w:t>
      </w:r>
    </w:p>
    <w:p w14:paraId="24FA03CC" w14:textId="228BA29D" w:rsidR="39415BCF" w:rsidRPr="00506019" w:rsidRDefault="39415BCF" w:rsidP="00506019">
      <w:pPr>
        <w:spacing w:before="240" w:after="240" w:line="360" w:lineRule="auto"/>
        <w:rPr>
          <w:rFonts w:ascii="Arial" w:eastAsia="Arial" w:hAnsi="Arial" w:cs="Arial"/>
          <w:sz w:val="22"/>
          <w:szCs w:val="22"/>
        </w:rPr>
      </w:pPr>
    </w:p>
    <w:p w14:paraId="45A33F57" w14:textId="03C094BE" w:rsidR="39415BCF" w:rsidRPr="00506019" w:rsidRDefault="39415BCF" w:rsidP="00506019">
      <w:pPr>
        <w:spacing w:line="360" w:lineRule="auto"/>
        <w:rPr>
          <w:rFonts w:ascii="Arial" w:hAnsi="Arial" w:cs="Arial"/>
          <w:sz w:val="22"/>
          <w:szCs w:val="22"/>
        </w:rPr>
      </w:pPr>
    </w:p>
    <w:sectPr w:rsidR="39415BCF" w:rsidRPr="00506019">
      <w:foot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4F1F3" w14:textId="77777777" w:rsidR="00E645C1" w:rsidRDefault="00E645C1" w:rsidP="002C7B8D">
      <w:pPr>
        <w:spacing w:after="0" w:line="240" w:lineRule="auto"/>
      </w:pPr>
      <w:r>
        <w:separator/>
      </w:r>
    </w:p>
  </w:endnote>
  <w:endnote w:type="continuationSeparator" w:id="0">
    <w:p w14:paraId="6D6F5A98" w14:textId="77777777" w:rsidR="00E645C1" w:rsidRDefault="00E645C1" w:rsidP="002C7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126071"/>
      <w:docPartObj>
        <w:docPartGallery w:val="Page Numbers (Bottom of Page)"/>
        <w:docPartUnique/>
      </w:docPartObj>
    </w:sdtPr>
    <w:sdtContent>
      <w:p w14:paraId="503DD4F9" w14:textId="3FB135E3" w:rsidR="002C7B8D" w:rsidRDefault="002C7B8D">
        <w:pPr>
          <w:pStyle w:val="Footer"/>
          <w:jc w:val="center"/>
        </w:pPr>
        <w:r>
          <w:fldChar w:fldCharType="begin"/>
        </w:r>
        <w:r>
          <w:instrText>PAGE   \* MERGEFORMAT</w:instrText>
        </w:r>
        <w:r>
          <w:fldChar w:fldCharType="separate"/>
        </w:r>
        <w:r>
          <w:t>2</w:t>
        </w:r>
        <w:r>
          <w:fldChar w:fldCharType="end"/>
        </w:r>
      </w:p>
    </w:sdtContent>
  </w:sdt>
  <w:p w14:paraId="7F3E2F99" w14:textId="77777777" w:rsidR="002C7B8D" w:rsidRDefault="002C7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1B759" w14:textId="77777777" w:rsidR="00E645C1" w:rsidRDefault="00E645C1" w:rsidP="002C7B8D">
      <w:pPr>
        <w:spacing w:after="0" w:line="240" w:lineRule="auto"/>
      </w:pPr>
      <w:r>
        <w:separator/>
      </w:r>
    </w:p>
  </w:footnote>
  <w:footnote w:type="continuationSeparator" w:id="0">
    <w:p w14:paraId="7059B541" w14:textId="77777777" w:rsidR="00E645C1" w:rsidRDefault="00E645C1" w:rsidP="002C7B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CB0135"/>
    <w:rsid w:val="00134669"/>
    <w:rsid w:val="001C54CB"/>
    <w:rsid w:val="002023BB"/>
    <w:rsid w:val="002530A0"/>
    <w:rsid w:val="0027558A"/>
    <w:rsid w:val="002C7969"/>
    <w:rsid w:val="002C7B8D"/>
    <w:rsid w:val="003C2683"/>
    <w:rsid w:val="0045095E"/>
    <w:rsid w:val="004D315E"/>
    <w:rsid w:val="00506019"/>
    <w:rsid w:val="00551597"/>
    <w:rsid w:val="00571603"/>
    <w:rsid w:val="00593407"/>
    <w:rsid w:val="00657C85"/>
    <w:rsid w:val="00696A66"/>
    <w:rsid w:val="007A4D5A"/>
    <w:rsid w:val="00873A68"/>
    <w:rsid w:val="00891921"/>
    <w:rsid w:val="00900BE1"/>
    <w:rsid w:val="00950CA4"/>
    <w:rsid w:val="00A3051F"/>
    <w:rsid w:val="00BC59C0"/>
    <w:rsid w:val="00BC5A85"/>
    <w:rsid w:val="00D123C4"/>
    <w:rsid w:val="00D87AB9"/>
    <w:rsid w:val="00E645C1"/>
    <w:rsid w:val="00E976EF"/>
    <w:rsid w:val="03559B2D"/>
    <w:rsid w:val="05CB0135"/>
    <w:rsid w:val="0E8956C9"/>
    <w:rsid w:val="1820ABA4"/>
    <w:rsid w:val="1DC42AB7"/>
    <w:rsid w:val="1FEAABBC"/>
    <w:rsid w:val="39415BCF"/>
    <w:rsid w:val="49B537DF"/>
    <w:rsid w:val="5910EBB2"/>
    <w:rsid w:val="5D4D8B9E"/>
    <w:rsid w:val="6C8C9CC3"/>
    <w:rsid w:val="75EF0D80"/>
    <w:rsid w:val="772BDD3C"/>
    <w:rsid w:val="7C5D1CCB"/>
    <w:rsid w:val="7EA4E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50673"/>
  <w15:chartTrackingRefBased/>
  <w15:docId w15:val="{C3C5C1B6-734A-4F5E-8633-D7312B010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39415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9415BC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7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B8D"/>
  </w:style>
  <w:style w:type="paragraph" w:styleId="Footer">
    <w:name w:val="footer"/>
    <w:basedOn w:val="Normal"/>
    <w:link w:val="FooterChar"/>
    <w:uiPriority w:val="99"/>
    <w:unhideWhenUsed/>
    <w:rsid w:val="002C7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2096</Words>
  <Characters>11951</Characters>
  <Application>Microsoft Office Word</Application>
  <DocSecurity>0</DocSecurity>
  <Lines>99</Lines>
  <Paragraphs>28</Paragraphs>
  <ScaleCrop>false</ScaleCrop>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Heshu Ahmed (2522882)</dc:creator>
  <cp:keywords/>
  <dc:description/>
  <cp:lastModifiedBy>Heshu Ahmed (2522882)</cp:lastModifiedBy>
  <cp:revision>35</cp:revision>
  <dcterms:created xsi:type="dcterms:W3CDTF">2026-07-11T21:16:00Z</dcterms:created>
  <dcterms:modified xsi:type="dcterms:W3CDTF">2026-07-13T21:52:00Z</dcterms:modified>
</cp:coreProperties>
</file>