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14="http://schemas.microsoft.com/office/word/2010/wordml" xmlns:wp14="http://schemas.microsoft.com/office/word/2010/wordprocessingDrawing"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xmlns:mc="http://schemas.openxmlformats.org/markup-compatibility/2006" mc:Ignorable="w14 wp14">
  <w:body>
    <w:p xmlns:wp14="http://schemas.microsoft.com/office/word/2010/wordml" w:rsidP="12A6D599" w14:paraId="20911113" wp14:textId="711997CE">
      <w:pPr>
        <w:pStyle w:val="FirstParagraph"/>
      </w:pPr>
      <w:r w:rsidR="12A6D599">
        <w:rPr/>
        <w:t>Time Management and Study Skills – Answer Sheet</w:t>
      </w:r>
    </w:p>
    <w:p xmlns:wp14="http://schemas.microsoft.com/office/word/2010/wordml" w14:paraId="5CED7E2A" wp14:textId="77777777">
      <w:pPr>
        <w:numPr>
          <w:ilvl w:val="0"/>
          <w:numId w:val="1001"/>
        </w:numPr>
      </w:pPr>
      <w:r>
        <w:t xml:space="preserve">Time management is described in the article as:</w:t>
      </w:r>
      <w:r>
        <w:t xml:space="preserve"> </w:t>
      </w:r>
      <w:r>
        <w:rPr>
          <w:b/>
          <w:bCs/>
        </w:rPr>
        <w:t xml:space="preserve">b) One of the most important and challenging skills for students</w:t>
      </w:r>
    </w:p>
    <w:p xmlns:wp14="http://schemas.microsoft.com/office/word/2010/wordml" w14:paraId="0E5664D4" wp14:textId="77777777">
      <w:pPr>
        <w:numPr>
          <w:ilvl w:val="0"/>
          <w:numId w:val="1001"/>
        </w:numPr>
      </w:pPr>
      <w:r>
        <w:t xml:space="preserve">In your own words, explain why some people prefer planning early while others work better close to deadlines.</w:t>
      </w:r>
      <w:r>
        <w:t xml:space="preserve"> </w:t>
      </w:r>
      <w:r>
        <w:t xml:space="preserve">People have different working styles and levels of motivation. Some prefer early planning because it reduces stress and gives structure, while others work better under pressure and find deadlines help them focus and increase productivity.</w:t>
      </w:r>
    </w:p>
    <w:p xmlns:wp14="http://schemas.microsoft.com/office/word/2010/wordml" w14:paraId="32A6F35B" wp14:textId="77777777">
      <w:pPr>
        <w:numPr>
          <w:ilvl w:val="0"/>
          <w:numId w:val="1001"/>
        </w:numPr>
      </w:pPr>
      <w:r>
        <w:t xml:space="preserve">Working long hours (10–12 per day) is:</w:t>
      </w:r>
      <w:r>
        <w:t xml:space="preserve"> </w:t>
      </w:r>
      <w:r>
        <w:rPr>
          <w:b/>
          <w:bCs/>
        </w:rPr>
        <w:t xml:space="preserve">c) Not sustainable and may reduce focus</w:t>
      </w:r>
    </w:p>
    <w:p xmlns:wp14="http://schemas.microsoft.com/office/word/2010/wordml" w14:paraId="372857FB" wp14:textId="77777777">
      <w:pPr>
        <w:numPr>
          <w:ilvl w:val="0"/>
          <w:numId w:val="1001"/>
        </w:numPr>
      </w:pPr>
      <w:r>
        <w:t xml:space="preserve">True or False: Downtime is an unnecessary distraction when managing your time.</w:t>
      </w:r>
      <w:r>
        <w:t xml:space="preserve"> </w:t>
      </w:r>
      <w:r>
        <w:rPr>
          <w:b/>
          <w:bCs/>
        </w:rPr>
        <w:t xml:space="preserve">False</w:t>
      </w:r>
      <w:r>
        <w:t xml:space="preserve"> </w:t>
      </w:r>
      <w:r>
        <w:t xml:space="preserve">– Downtime is actually important because it helps maintain focus, prevents burnout, and improves long-term productivity.</w:t>
      </w:r>
    </w:p>
    <w:p xmlns:wp14="http://schemas.microsoft.com/office/word/2010/wordml" w14:paraId="78545BD0" wp14:textId="77777777">
      <w:pPr>
        <w:numPr>
          <w:ilvl w:val="0"/>
          <w:numId w:val="1001"/>
        </w:numPr>
      </w:pPr>
      <w:r>
        <w:t xml:space="preserve">Describe two habits the article suggests for creating a sustainable study routine.</w:t>
      </w:r>
    </w:p>
    <w:p xmlns:wp14="http://schemas.microsoft.com/office/word/2010/wordml" w14:paraId="2B029D5A" wp14:textId="77777777">
      <w:pPr>
        <w:numPr>
          <w:ilvl w:val="0"/>
          <w:numId w:val="1002"/>
        </w:numPr>
      </w:pPr>
      <w:r>
        <w:t xml:space="preserve">Setting a clear start and end time for your working day (</w:t>
      </w:r>
      <w:r>
        <w:t xml:space="preserve">“top and tail”</w:t>
      </w:r>
      <w:r>
        <w:t xml:space="preserve">) so you can switch off properly.</w:t>
      </w:r>
    </w:p>
    <w:p xmlns:wp14="http://schemas.microsoft.com/office/word/2010/wordml" w14:paraId="3D485198" wp14:textId="77777777">
      <w:pPr>
        <w:numPr>
          <w:ilvl w:val="0"/>
          <w:numId w:val="1002"/>
        </w:numPr>
      </w:pPr>
      <w:r>
        <w:t xml:space="preserve">Building in regular downtime such as social time, exercise, or rest to avoid burnout and maintain focus.</w:t>
      </w:r>
    </w:p>
    <w:p xmlns:wp14="http://schemas.microsoft.com/office/word/2010/wordml" w14:paraId="79727689" wp14:textId="77777777">
      <w:pPr>
        <w:numPr>
          <w:ilvl w:val="0"/>
          <w:numId w:val="1003"/>
        </w:numPr>
      </w:pPr>
      <w:r>
        <w:t xml:space="preserve">True or False: A full‑time university course is roughly equal to a 35‑hour working week.</w:t>
      </w:r>
      <w:r>
        <w:t xml:space="preserve"> </w:t>
      </w:r>
      <w:r>
        <w:rPr>
          <w:b/>
          <w:bCs/>
        </w:rPr>
        <w:t xml:space="preserve">True</w:t>
      </w:r>
    </w:p>
    <w:p xmlns:wp14="http://schemas.microsoft.com/office/word/2010/wordml" w14:paraId="153EC3C6" wp14:textId="77777777">
      <w:pPr>
        <w:numPr>
          <w:ilvl w:val="0"/>
          <w:numId w:val="1003"/>
        </w:numPr>
      </w:pPr>
      <w:r>
        <w:t xml:space="preserve">The article recommends planning your weekly schedule based on:</w:t>
      </w:r>
      <w:r>
        <w:t xml:space="preserve"> </w:t>
      </w:r>
      <w:r>
        <w:rPr>
          <w:b/>
          <w:bCs/>
        </w:rPr>
        <w:t xml:space="preserve">c) Contact hours plus independent study requirements</w:t>
      </w:r>
    </w:p>
    <w:p xmlns:wp14="http://schemas.microsoft.com/office/word/2010/wordml" w14:paraId="2C41C360" wp14:textId="77777777">
      <w:pPr>
        <w:numPr>
          <w:ilvl w:val="0"/>
          <w:numId w:val="1003"/>
        </w:numPr>
      </w:pPr>
      <w:r>
        <w:t xml:space="preserve">In your own words, explain what a Prioritised To‑Do list is and how it might help you.</w:t>
      </w:r>
      <w:r>
        <w:t xml:space="preserve"> </w:t>
      </w:r>
      <w:r>
        <w:t xml:space="preserve">A prioritised to‑do list is a structured list of tasks ranked by importance and urgency. It helps students focus on high-priority work first, manage workload effectively, and ensure key deadlines are met before less important tasks.</w:t>
      </w:r>
    </w:p>
    <w:p xmlns:wp14="http://schemas.microsoft.com/office/word/2010/wordml" w14:paraId="653829B1" wp14:textId="77777777">
      <w:pPr>
        <w:numPr>
          <w:ilvl w:val="0"/>
          <w:numId w:val="1003"/>
        </w:numPr>
      </w:pPr>
      <w:r>
        <w:t xml:space="preserve">According to the article, what percentage of students procrastinate regularly?</w:t>
      </w:r>
      <w:r>
        <w:t xml:space="preserve"> </w:t>
      </w:r>
      <w:r>
        <w:rPr>
          <w:b/>
          <w:bCs/>
        </w:rPr>
        <w:t xml:space="preserve">c) At least 70%</w:t>
      </w:r>
    </w:p>
    <w:p xmlns:wp14="http://schemas.microsoft.com/office/word/2010/wordml" w14:paraId="21C886DB" wp14:textId="77777777">
      <w:pPr>
        <w:numPr>
          <w:ilvl w:val="0"/>
          <w:numId w:val="1003"/>
        </w:numPr>
      </w:pPr>
      <w:r>
        <w:t xml:space="preserve">Which one strategy from the article could help YOU reduce procrastination? Explain why.</w:t>
      </w:r>
      <w:r>
        <w:t xml:space="preserve"> </w:t>
      </w:r>
      <w:r>
        <w:t xml:space="preserve">One useful strategy is breaking large tasks into smaller, manageable chunks. This reduces overwhelm, makes starting easier, and helps maintain steady progress rather than delaying work due to feeling stressed by the size of the task.</w:t>
      </w:r>
    </w:p>
    <w:p xmlns:wp14="http://schemas.microsoft.com/office/word/2010/wordml" w14:paraId="6E2BFC74" wp14:textId="77777777">
      <w:pPr>
        <w:numPr>
          <w:ilvl w:val="0"/>
          <w:numId w:val="1003"/>
        </w:numPr>
      </w:pPr>
      <w:r>
        <w:t xml:space="preserve">Time management is described in the article as:</w:t>
      </w:r>
      <w:r>
        <w:t xml:space="preserve"> </w:t>
      </w:r>
      <w:r>
        <w:rPr>
          <w:b/>
          <w:bCs/>
        </w:rPr>
        <w:t xml:space="preserve">b) One of the most important and challenging skills for students</w:t>
      </w:r>
    </w:p>
    <w:p xmlns:wp14="http://schemas.microsoft.com/office/word/2010/wordml" w14:paraId="71AABC55" wp14:textId="77777777">
      <w:pPr>
        <w:numPr>
          <w:ilvl w:val="0"/>
          <w:numId w:val="1003"/>
        </w:numPr>
      </w:pPr>
      <w:r>
        <w:t xml:space="preserve">In your own words, explain why some people prefer planning early while others work better close to deadlines.</w:t>
      </w:r>
      <w:r>
        <w:t xml:space="preserve"> </w:t>
      </w:r>
      <w:r>
        <w:t xml:space="preserve">People have different working styles and levels of motivation. Some prefer early planning because it reduces stress and gives structure, while others work better under pressure and find deadlines help them focus and increase productivity.</w:t>
      </w:r>
    </w:p>
    <w:p xmlns:wp14="http://schemas.microsoft.com/office/word/2010/wordml" w14:paraId="41423F98" wp14:textId="77777777">
      <w:pPr>
        <w:numPr>
          <w:ilvl w:val="0"/>
          <w:numId w:val="1003"/>
        </w:numPr>
      </w:pPr>
      <w:r>
        <w:t xml:space="preserve">Working long hours (10–12 per day) is:</w:t>
      </w:r>
      <w:r>
        <w:t xml:space="preserve"> </w:t>
      </w:r>
      <w:r>
        <w:rPr>
          <w:b/>
          <w:bCs/>
        </w:rPr>
        <w:t xml:space="preserve">c) Not sustainable and may reduce focus</w:t>
      </w:r>
    </w:p>
    <w:p xmlns:wp14="http://schemas.microsoft.com/office/word/2010/wordml" w14:paraId="0159E0B8" wp14:textId="77777777">
      <w:pPr>
        <w:numPr>
          <w:ilvl w:val="0"/>
          <w:numId w:val="1003"/>
        </w:numPr>
      </w:pPr>
      <w:r>
        <w:t xml:space="preserve">True or False: Downtime is an unnecessary distraction when managing your time.</w:t>
      </w:r>
      <w:r>
        <w:t xml:space="preserve"> </w:t>
      </w:r>
      <w:r>
        <w:rPr>
          <w:b/>
          <w:bCs/>
        </w:rPr>
        <w:t xml:space="preserve">False</w:t>
      </w:r>
    </w:p>
    <w:p xmlns:wp14="http://schemas.microsoft.com/office/word/2010/wordml" w14:paraId="57877B9D" wp14:textId="77777777">
      <w:pPr>
        <w:numPr>
          <w:ilvl w:val="0"/>
          <w:numId w:val="1003"/>
        </w:numPr>
      </w:pPr>
      <w:r>
        <w:t xml:space="preserve">Describe two habits the article suggests for creating a sustainable study routine.</w:t>
      </w:r>
    </w:p>
    <w:p xmlns:wp14="http://schemas.microsoft.com/office/word/2010/wordml" w14:paraId="1642C9CA" wp14:textId="77777777">
      <w:pPr>
        <w:numPr>
          <w:ilvl w:val="0"/>
          <w:numId w:val="1004"/>
        </w:numPr>
      </w:pPr>
      <w:r>
        <w:t xml:space="preserve">Setting a clear start and end time for your working day (</w:t>
      </w:r>
      <w:r>
        <w:t xml:space="preserve">“top and tail”</w:t>
      </w:r>
      <w:r>
        <w:t xml:space="preserve">) so you can switch off properly.</w:t>
      </w:r>
    </w:p>
    <w:p xmlns:wp14="http://schemas.microsoft.com/office/word/2010/wordml" w14:paraId="631934E2" wp14:textId="77777777">
      <w:pPr>
        <w:numPr>
          <w:ilvl w:val="0"/>
          <w:numId w:val="1004"/>
        </w:numPr>
      </w:pPr>
      <w:r>
        <w:t xml:space="preserve">Building in regular downtime such as social time, exercise, or rest to avoid burnout and maintain focus.</w:t>
      </w:r>
    </w:p>
    <w:p xmlns:wp14="http://schemas.microsoft.com/office/word/2010/wordml" w14:paraId="4E3ACAC2" wp14:textId="77777777">
      <w:pPr>
        <w:numPr>
          <w:ilvl w:val="0"/>
          <w:numId w:val="1005"/>
        </w:numPr>
      </w:pPr>
      <w:r>
        <w:t xml:space="preserve">True or False: A full‑time university course is roughly equal to a 35‑hour working week.</w:t>
      </w:r>
      <w:r>
        <w:t xml:space="preserve"> </w:t>
      </w:r>
      <w:r>
        <w:rPr>
          <w:b/>
          <w:bCs/>
        </w:rPr>
        <w:t xml:space="preserve">True</w:t>
      </w:r>
    </w:p>
    <w:p xmlns:wp14="http://schemas.microsoft.com/office/word/2010/wordml" w14:paraId="0F988136" wp14:textId="77777777">
      <w:pPr>
        <w:numPr>
          <w:ilvl w:val="0"/>
          <w:numId w:val="1005"/>
        </w:numPr>
      </w:pPr>
      <w:r>
        <w:t xml:space="preserve">The article recommends planning your weekly schedule based on:</w:t>
      </w:r>
      <w:r>
        <w:t xml:space="preserve"> </w:t>
      </w:r>
      <w:r>
        <w:rPr>
          <w:b/>
          <w:bCs/>
        </w:rPr>
        <w:t xml:space="preserve">c) Contact hours plus independent study requirements</w:t>
      </w:r>
    </w:p>
    <w:p xmlns:wp14="http://schemas.microsoft.com/office/word/2010/wordml" w14:paraId="1E903723" wp14:textId="77777777">
      <w:pPr>
        <w:numPr>
          <w:ilvl w:val="0"/>
          <w:numId w:val="1005"/>
        </w:numPr>
      </w:pPr>
      <w:r>
        <w:t xml:space="preserve">In your own words, explain what a Prioritised To‑Do list is and how it might help you.</w:t>
      </w:r>
      <w:r>
        <w:t xml:space="preserve"> </w:t>
      </w:r>
      <w:r>
        <w:t xml:space="preserve">A prioritised to‑do list is a structured list of tasks ranked by importance and urgency. It helps students focus on high-priority work first, manage workload effectively, and ensure key deadlines are met before less important tasks.</w:t>
      </w:r>
    </w:p>
    <w:p xmlns:wp14="http://schemas.microsoft.com/office/word/2010/wordml" w14:paraId="55DA9084" wp14:textId="77777777">
      <w:pPr>
        <w:numPr>
          <w:ilvl w:val="0"/>
          <w:numId w:val="1005"/>
        </w:numPr>
      </w:pPr>
      <w:r>
        <w:t xml:space="preserve">According to the article, what percentage of students procrastinate regularly?</w:t>
      </w:r>
      <w:r>
        <w:t xml:space="preserve"> </w:t>
      </w:r>
      <w:r>
        <w:rPr>
          <w:b/>
          <w:bCs/>
        </w:rPr>
        <w:t xml:space="preserve">c) At least 70%</w:t>
      </w:r>
    </w:p>
    <w:p xmlns:wp14="http://schemas.microsoft.com/office/word/2010/wordml" w14:paraId="2CFB721E" wp14:textId="77777777">
      <w:pPr>
        <w:numPr>
          <w:ilvl w:val="0"/>
          <w:numId w:val="1005"/>
        </w:numPr>
      </w:pPr>
      <w:r>
        <w:t xml:space="preserve">Which one strategy from the article could help YOU reduce procrastination? Explain why.</w:t>
      </w:r>
      <w:r>
        <w:t xml:space="preserve"> </w:t>
      </w:r>
      <w:r>
        <w:t xml:space="preserve">One useful strategy is breaking large tasks into smaller, manageable chunks. This reduces overwhelm, makes starting easier, and helps maintain steady progress rather than delaying work due to feeling stressed by the size of the task.</w:t>
      </w:r>
    </w:p>
    <w:sectPr>
      <w:footnotePr>
        <w:numRestart w:val="eachSect"/>
      </w:footnotePr>
      <w:pgMar w:top="1440" w:right="1440" w:bottom="1440" w:left="1440"/>
      <w:pgSz w:w="12240" w:h="15840" w:orient="portrait"/>
      <w:cols w:num="1"/>
    </w:sectPr>
  </w:body>
</w:document>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821">
    <w:nsid w:val="00A99821"/>
    <w:multiLevelType w:val="multilevel"/>
    <w:lvl w:ilvl="0">
      <w:start w:val="1"/>
      <w:numFmt w:val="upperLetter"/>
      <w:lvlText w:val="%1)"/>
      <w:lvlJc w:val="left"/>
      <w:pPr>
        <w:ind w:left="720" w:hanging="360"/>
      </w:pPr>
    </w:lvl>
    <w:lvl w:ilvl="1">
      <w:start w:val="1"/>
      <w:numFmt w:val="upperLetter"/>
      <w:lvlText w:val="%2)"/>
      <w:lvlJc w:val="left"/>
      <w:pPr>
        <w:ind w:left="1440" w:hanging="360"/>
      </w:pPr>
    </w:lvl>
    <w:lvl w:ilvl="2">
      <w:start w:val="1"/>
      <w:numFmt w:val="upperLetter"/>
      <w:lvlText w:val="%3)"/>
      <w:lvlJc w:val="left"/>
      <w:pPr>
        <w:ind w:left="2160" w:hanging="360"/>
      </w:pPr>
    </w:lvl>
    <w:lvl w:ilvl="3">
      <w:start w:val="1"/>
      <w:numFmt w:val="upperLetter"/>
      <w:lvlText w:val="%4)"/>
      <w:lvlJc w:val="left"/>
      <w:pPr>
        <w:ind w:left="2880" w:hanging="360"/>
      </w:pPr>
    </w:lvl>
    <w:lvl w:ilvl="4">
      <w:start w:val="1"/>
      <w:numFmt w:val="upperLetter"/>
      <w:lvlText w:val="%5)"/>
      <w:lvlJc w:val="left"/>
      <w:pPr>
        <w:ind w:left="3600" w:hanging="360"/>
      </w:pPr>
    </w:lvl>
    <w:lvl w:ilvl="5">
      <w:start w:val="1"/>
      <w:numFmt w:val="upperLetter"/>
      <w:lvlText w:val="%6)"/>
      <w:lvlJc w:val="left"/>
      <w:pPr>
        <w:ind w:left="4320" w:hanging="360"/>
      </w:pPr>
    </w:lvl>
    <w:lvl w:ilvl="6">
      <w:start w:val="1"/>
      <w:numFmt w:val="upperLetter"/>
      <w:lvlText w:val="%7)"/>
      <w:lvlJc w:val="left"/>
      <w:pPr>
        <w:ind w:left="5040" w:hanging="360"/>
      </w:pPr>
    </w:lvl>
    <w:lvl w:ilvl="7">
      <w:start w:val="1"/>
      <w:numFmt w:val="upperLetter"/>
      <w:lvlText w:val="%8)"/>
      <w:lvlJc w:val="left"/>
      <w:pPr>
        <w:ind w:left="5760" w:hanging="360"/>
      </w:pPr>
    </w:lvl>
    <w:lvl w:ilvl="8">
      <w:start w:val="1"/>
      <w:numFmt w:val="upperLetter"/>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8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004">
    <w:abstractNumId w:val="998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bering>
</file>

<file path=word/settings.xml><?xml version="1.0" encoding="utf-8"?>
<w:settings xmlns:w14="http://schemas.microsoft.com/office/word/2010/wordml" xmlns:wp14="http://schemas.microsoft.com/office/word/2010/wordprocessingDrawing"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xmlns:mc="http://schemas.openxmlformats.org/markup-compatibility/2006" xmlns:w15="http://schemas.microsoft.com/office/word/2012/wordml" mc:Ignorable="w14 wp14 w15">
  <w:zoom w:percent="100"/>
  <w:embedSystemFonts/>
  <w:proofState w:spelling="clean" w:grammar="dirty"/>
  <w:stylePaneFormatFilter w:val="0004"/>
  <w:trackRevisions w:val="false"/>
  <w:doNotTrackMoves/>
  <w:defaultTabStop w:val="720"/>
  <w:drawingGridHorizontalSpacing w:val="360"/>
  <w:drawingGridVerticalSpacing w:val="360"/>
  <w:displayHorizontalDrawingGridEvery w:val="0"/>
  <w:displayVerticalDrawingGridEvery w:val="0"/>
  <w:characterSpacingControl w:val="doNotCompress"/>
  <w:savePreviewPicture/>
  <w:rsids>
    <w:rsidRoot w:val="12A6D599"/>
    <w:rsid w:val="12A6D599"/>
  </w:rsids>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72F6392"/>
  <w15:docId w15:val="{61947BF8-D232-4E8C-8E30-94ADA6F63945}"/>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style w:type="paragraph" w:styleId="Normal" w:default="1">
    <w:name w:val="Normal"/>
    <w:qFormat/>
  </w:style>
  <w:style w:type="paragraph" w:styleId="BodyText">
    <w:name w:val="Body Text"/>
    <w:basedOn w:val="Normal"/>
    <w:link w:val="BodyTextChar"/>
    <w:qFormat/>
    <w:pPr>
      <w:spacing w:before="180" w:after="180"/>
    </w:pPr>
  </w:style>
  <w:style w:type="paragraph" w:styleId="FirstParagraph" w:customStyle="1">
    <w:name w:val="First Paragraph"/>
    <w:basedOn w:val="BodyText"/>
    <w:next w:val="BodyText"/>
    <w:qFormat/>
  </w:style>
  <w:style w:type="paragraph" w:styleId="Compact" w:customStyle="1">
    <w:name w:val="Compact"/>
    <w:basedOn w:val="BodyText"/>
    <w:qFormat/>
    <w:pPr>
      <w:spacing w:before="36" w:after="36"/>
    </w:pPr>
  </w:style>
  <w:style w:type="paragraph" w:styleId="Title">
    <w:name w:val="Title"/>
    <w:basedOn w:val="Normal"/>
    <w:next w:val="BodyText"/>
    <w:link w:val="TitleChar"/>
    <w:uiPriority w:val="10"/>
    <w:qFormat/>
    <w:rsid w:val="00A10FD9"/>
    <w:pPr>
      <w:spacing w:after="80" w:line="240" w:lineRule="auto"/>
      <w:contextualSpacing/>
      <w:jc w:val="center"/>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10FD9"/>
    <w:rPr>
      <w:rFonts w:asciiTheme="majorHAnsi" w:hAnsiTheme="majorHAnsi" w:eastAsiaTheme="majorEastAsia"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rFonts w:eastAsiaTheme="majorEastAsia" w:cstheme="majorBidi"/>
      <w:spacing w:val="15"/>
      <w:sz w:val="28"/>
      <w:szCs w:val="28"/>
    </w:rPr>
  </w:style>
  <w:style w:type="character" w:styleId="SubtitleChar" w:customStyle="1">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styleId="Author" w:customStyle="1">
    <w:name w:val="Author"/>
    <w:next w:val="BodyText"/>
    <w:qFormat/>
    <w:pPr>
      <w:keepNext/>
      <w:keepLines/>
      <w:jc w:val="center"/>
    </w:pPr>
  </w:style>
  <w:style w:type="paragraph" w:styleId="Date">
    <w:name w:val="Date"/>
    <w:next w:val="BodyText"/>
    <w:qFormat/>
    <w:pPr>
      <w:keepNext/>
      <w:keepLines/>
      <w:jc w:val="center"/>
    </w:pPr>
  </w:style>
  <w:style w:type="paragraph" w:styleId="AbstractTitle" w:customStyle="1">
    <w:name w:val="Abstract Title"/>
    <w:basedOn w:val="Normal"/>
    <w:next w:val="Abstract"/>
    <w:qFormat/>
    <w:pPr>
      <w:keepNext/>
      <w:keepLines/>
      <w:spacing w:before="300" w:after="0"/>
      <w:jc w:val="center"/>
    </w:pPr>
    <w:rPr>
      <w:b/>
      <w:sz w:val="20"/>
      <w:szCs w:val="20"/>
    </w:rPr>
  </w:style>
  <w:style w:type="paragraph" w:styleId="Abstract" w:customStyle="1">
    <w:name w:val="Abstract"/>
    <w:basedOn w:val="Normal"/>
    <w:next w:val="BodyText"/>
    <w:qFormat/>
    <w:pPr>
      <w:keepNext/>
      <w:keepLines/>
      <w:spacing w:before="100" w:after="300"/>
    </w:pPr>
    <w:rPr>
      <w:sz w:val="20"/>
      <w:szCs w:val="20"/>
    </w:rPr>
  </w:style>
  <w:style w:type="paragraph" w:styleId="Bibliography">
    <w:name w:val="Bibliography"/>
    <w:basedOn w:val="Normal"/>
    <w:next w:val="Bibliography"/>
    <w:qFormat/>
    <w:pPr/>
    <w:rPr/>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styleId="Heading1Char" w:customStyle="1">
    <w:name w:val="Heading 1 Char"/>
    <w:basedOn w:val="DefaultParagraphFont"/>
    <w:link w:val="Heading1"/>
    <w:uiPriority w:val="9"/>
    <w:rsid w:val="00A10FD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10FD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10FD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10FD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10FD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10FD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firstLine="0"/>
    </w:pPr>
  </w:style>
  <w:style w:type="paragraph" w:styleId="FootnoteText">
    <w:name w:val="footnote text"/>
    <w:basedOn w:val="Normal"/>
    <w:next w:val="FootnoteText"/>
    <w:uiPriority w:val="9"/>
    <w:unhideWhenUsed/>
    <w:qFormat/>
  </w:style>
  <w:style w:type="paragraph" w:styleId="FootnoteBlockText">
    <w:name w:val="Footnote Block Text"/>
    <w:basedOn w:val="FootnoteText"/>
    <w:next w:val="FootnoteText"/>
    <w:uiPriority w:val="9"/>
    <w:unhideWhenUsed/>
    <w:qFormat/>
    <w:pPr>
      <w:spacing w:before="100" w:after="100"/>
      <w:ind w:left="480" w:right="480" w:firstLine="0"/>
    </w:pPr>
  </w:style>
  <w:style w:type="character" w:styleId="DefaultParagraphFont" w:default="1">
    <w:name w:val="Default Paragraph Font"/>
    <w:semiHidden/>
    <w:unhideWhenUsed/>
  </w:style>
  <w:style w:type="table" w:styleId="Table" w:default="1">
    <w:name w:val="Table"/>
    <w:basedOn w:val="TableNormal"/>
    <w:semiHidden/>
    <w:unhideWhenUsed/>
    <w:qFormat/>
    <w:tblPr>
      <w:tblInd w:w="0" w:type="dxa"/>
      <w:tblCellMar>
        <w:top w:w="0" w:type="dxa"/>
        <w:left w:w="108" w:type="dxa"/>
        <w:bottom w:w="0" w:type="dxa"/>
        <w:right w:w="108" w:type="dxa"/>
      </w:tblCellMar>
    </w:tblPr>
    <w:tblStylePr w:type="firstRow">
      <w:tblPr>
        <w:jc w:val="left"/>
        <w:tblInd w:w="0" w:type="dxa"/>
      </w:tblPr>
      <w:trPr>
        <w:jc w:val="left"/>
      </w:trPr>
      <w:tcPr>
        <w:tcBorders>
          <w:bottom w:val="single"/>
        </w:tcBorders>
        <w:vAlign w:val="bottom"/>
      </w:tcPr>
    </w:tblStylePr>
  </w:style>
  <w:style w:type="paragraph" w:styleId="DefinitionTerm" w:customStyle="1">
    <w:name w:val="Definition Term"/>
    <w:basedOn w:val="Normal"/>
    <w:next w:val="Definition"/>
    <w:pPr>
      <w:keepNext/>
      <w:keepLines/>
      <w:spacing w:after="0"/>
    </w:pPr>
    <w:rPr>
      <w:b/>
    </w:rPr>
  </w:style>
  <w:style w:type="paragraph" w:styleId="Definition" w:customStyle="1">
    <w:name w:val="Definition"/>
    <w:basedOn w:val="Normal"/>
  </w:style>
  <w:style w:type="paragraph" w:styleId="Caption">
    <w:name w:val="Caption"/>
    <w:basedOn w:val="Normal"/>
    <w:link w:val="BodyTextChar"/>
    <w:pPr>
      <w:spacing w:before="0" w:after="120"/>
    </w:pPr>
    <w:rPr>
      <w:i/>
    </w:rPr>
  </w:style>
  <w:style w:type="paragraph" w:styleId="TableCaption" w:customStyle="1">
    <w:name w:val="Table Caption"/>
    <w:basedOn w:val="Caption"/>
    <w:pPr>
      <w:keepNext/>
    </w:pPr>
  </w:style>
  <w:style w:type="paragraph" w:styleId="ImageCaption" w:customStyle="1">
    <w:name w:val="Image Caption"/>
    <w:basedOn w:val="Caption"/>
  </w:style>
  <w:style w:type="paragraph" w:styleId="Figure" w:customStyle="1">
    <w:name w:val="Figure"/>
    <w:basedOn w:val="Normal"/>
  </w:style>
  <w:style w:type="paragraph" w:styleId="CaptionedFigure" w:customStyle="1">
    <w:name w:val="Captioned Figure"/>
    <w:basedOn w:val="Figure"/>
    <w:pPr>
      <w:keepNext/>
    </w:pPr>
  </w:style>
  <w:style w:type="character" w:styleId="BodyTextChar" w:customStyle="1">
    <w:name w:val="Body Text Char"/>
    <w:basedOn w:val="DefaultParagraphFont"/>
    <w:link w:val="BodyText"/>
  </w:style>
  <w:style w:type="character" w:styleId="VerbatimChar" w:customStyle="1">
    <w:name w:val="Verbatim Char"/>
    <w:basedOn w:val="BodyTextChar"/>
    <w:rPr>
      <w:rFonts w:ascii="Consolas" w:hAnsi="Consolas"/>
      <w:sz w:val="22"/>
    </w:rPr>
  </w:style>
  <w:style w:type="character" w:styleId="SectionNumber" w:customStyle="1">
    <w:name w:val="Section Number"/>
    <w:basedOn w:val="BodyTextChar"/>
  </w:style>
  <w:style w:type="character" w:styleId="FootnoteReference">
    <w:name w:val="footnote reference"/>
    <w:basedOn w:val="BodyTextChar"/>
    <w:rPr>
      <w:vertAlign w:val="superscript"/>
    </w:rPr>
  </w:style>
  <w:style w:type="character" w:styleId="Hyperlink">
    <w:name w:val="Hyperlink"/>
    <w:basedOn w:val="BodyText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rFonts w:asciiTheme="majorHAnsi" w:hAnsiTheme="majorHAnsi" w:eastAsiaTheme="majorEastAsia" w:cstheme="majorBidi"/>
      <w:b w:val="0"/>
      <w:bCs w:val="0"/>
      <w:color w:val="365F91" w:themeColor="accent1" w:themeShade="BF"/>
    </w:rPr>
  </w:style>
  <w:style w:type="paragraph" w:styleId="SourceCode" w:customStyle="1">
    <w:name w:val="Source Code"/>
    <w:basedOn w:val="Normal"/>
    <w:link w:val="VerbatimChar"/>
    <w:pPr>
      <w:wordWrap w:val="off"/>
    </w:pPr>
  </w:style>
  <w:style w:type="character" w:styleId="KeywordTok" w:customStyle="1">
    <w:name w:val="KeywordTok"/>
    <w:basedOn w:val="VerbatimChar"/>
    <w:rPr>
      <w:b/>
      <w:color w:val="007020"/>
    </w:rPr>
  </w:style>
  <w:style w:type="character" w:styleId="DataTypeTok" w:customStyle="1">
    <w:name w:val="DataTypeTok"/>
    <w:basedOn w:val="VerbatimChar"/>
    <w:rPr>
      <w:color w:val="902000"/>
    </w:rPr>
  </w:style>
  <w:style w:type="character" w:styleId="DecValTok" w:customStyle="1">
    <w:name w:val="DecValTok"/>
    <w:basedOn w:val="VerbatimChar"/>
    <w:rPr>
      <w:color w:val="40a070"/>
    </w:rPr>
  </w:style>
  <w:style w:type="character" w:styleId="BaseNTok" w:customStyle="1">
    <w:name w:val="BaseNTok"/>
    <w:basedOn w:val="VerbatimChar"/>
    <w:rPr>
      <w:color w:val="40a070"/>
    </w:rPr>
  </w:style>
  <w:style w:type="character" w:styleId="FloatTok" w:customStyle="1">
    <w:name w:val="FloatTok"/>
    <w:basedOn w:val="VerbatimChar"/>
    <w:rPr>
      <w:color w:val="40a070"/>
    </w:rPr>
  </w:style>
  <w:style w:type="character" w:styleId="ConstantTok" w:customStyle="1">
    <w:name w:val="ConstantTok"/>
    <w:basedOn w:val="VerbatimChar"/>
    <w:rPr>
      <w:color w:val="880000"/>
    </w:rPr>
  </w:style>
  <w:style w:type="character" w:styleId="CharTok" w:customStyle="1">
    <w:name w:val="CharTok"/>
    <w:basedOn w:val="VerbatimChar"/>
    <w:rPr>
      <w:color w:val="4070a0"/>
    </w:rPr>
  </w:style>
  <w:style w:type="character" w:styleId="SpecialCharTok" w:customStyle="1">
    <w:name w:val="SpecialCharTok"/>
    <w:basedOn w:val="VerbatimChar"/>
    <w:rPr>
      <w:color w:val="4070a0"/>
    </w:rPr>
  </w:style>
  <w:style w:type="character" w:styleId="StringTok" w:customStyle="1">
    <w:name w:val="StringTok"/>
    <w:basedOn w:val="VerbatimChar"/>
    <w:rPr>
      <w:color w:val="4070a0"/>
    </w:rPr>
  </w:style>
  <w:style w:type="character" w:styleId="VerbatimStringTok" w:customStyle="1">
    <w:name w:val="VerbatimStringTok"/>
    <w:basedOn w:val="VerbatimChar"/>
    <w:rPr>
      <w:color w:val="4070a0"/>
    </w:rPr>
  </w:style>
  <w:style w:type="character" w:styleId="SpecialStringTok" w:customStyle="1">
    <w:name w:val="SpecialStringTok"/>
    <w:basedOn w:val="VerbatimChar"/>
    <w:rPr>
      <w:color w:val="bb6688"/>
    </w:rPr>
  </w:style>
  <w:style w:type="character" w:styleId="ImportTok" w:customStyle="1">
    <w:name w:val="ImportTok"/>
    <w:basedOn w:val="VerbatimChar"/>
    <w:rPr>
      <w:b/>
      <w:color w:val="008000"/>
    </w:rPr>
  </w:style>
  <w:style w:type="character" w:styleId="CommentTok" w:customStyle="1">
    <w:name w:val="CommentTok"/>
    <w:basedOn w:val="VerbatimChar"/>
    <w:rPr>
      <w:i/>
      <w:color w:val="60a0b0"/>
    </w:rPr>
  </w:style>
  <w:style w:type="character" w:styleId="DocumentationTok" w:customStyle="1">
    <w:name w:val="DocumentationTok"/>
    <w:basedOn w:val="VerbatimChar"/>
    <w:rPr>
      <w:i/>
      <w:color w:val="ba2121"/>
    </w:rPr>
  </w:style>
  <w:style w:type="character" w:styleId="AnnotationTok" w:customStyle="1">
    <w:name w:val="AnnotationTok"/>
    <w:basedOn w:val="VerbatimChar"/>
    <w:rPr>
      <w:b/>
      <w:i/>
      <w:color w:val="60a0b0"/>
    </w:rPr>
  </w:style>
  <w:style w:type="character" w:styleId="CommentVarTok" w:customStyle="1">
    <w:name w:val="CommentVarTok"/>
    <w:basedOn w:val="VerbatimChar"/>
    <w:rPr>
      <w:b/>
      <w:i/>
      <w:color w:val="60a0b0"/>
    </w:rPr>
  </w:style>
  <w:style w:type="character" w:styleId="OtherTok" w:customStyle="1">
    <w:name w:val="OtherTok"/>
    <w:basedOn w:val="VerbatimChar"/>
    <w:rPr>
      <w:color w:val="007020"/>
    </w:rPr>
  </w:style>
  <w:style w:type="character" w:styleId="FunctionTok" w:customStyle="1">
    <w:name w:val="FunctionTok"/>
    <w:basedOn w:val="VerbatimChar"/>
    <w:rPr>
      <w:color w:val="06287e"/>
    </w:rPr>
  </w:style>
  <w:style w:type="character" w:styleId="VariableTok" w:customStyle="1">
    <w:name w:val="VariableTok"/>
    <w:basedOn w:val="VerbatimChar"/>
    <w:rPr>
      <w:color w:val="19177c"/>
    </w:rPr>
  </w:style>
  <w:style w:type="character" w:styleId="ControlFlowTok" w:customStyle="1">
    <w:name w:val="ControlFlowTok"/>
    <w:basedOn w:val="VerbatimChar"/>
    <w:rPr>
      <w:b/>
      <w:color w:val="007020"/>
    </w:rPr>
  </w:style>
  <w:style w:type="character" w:styleId="OperatorTok" w:customStyle="1">
    <w:name w:val="OperatorTok"/>
    <w:basedOn w:val="VerbatimChar"/>
    <w:rPr>
      <w:color w:val="666666"/>
    </w:rPr>
  </w:style>
  <w:style w:type="character" w:styleId="BuiltInTok" w:customStyle="1">
    <w:name w:val="BuiltInTok"/>
    <w:basedOn w:val="VerbatimChar"/>
    <w:rPr>
      <w:color w:val="008000"/>
    </w:rPr>
  </w:style>
  <w:style w:type="character" w:styleId="ExtensionTok" w:customStyle="1">
    <w:name w:val="ExtensionTok"/>
    <w:basedOn w:val="VerbatimChar"/>
    <w:rPr/>
  </w:style>
  <w:style w:type="character" w:styleId="PreprocessorTok" w:customStyle="1">
    <w:name w:val="PreprocessorTok"/>
    <w:basedOn w:val="VerbatimChar"/>
    <w:rPr>
      <w:color w:val="bc7a00"/>
    </w:rPr>
  </w:style>
  <w:style w:type="character" w:styleId="AttributeTok" w:customStyle="1">
    <w:name w:val="AttributeTok"/>
    <w:basedOn w:val="VerbatimChar"/>
    <w:rPr>
      <w:color w:val="7d9029"/>
    </w:rPr>
  </w:style>
  <w:style w:type="character" w:styleId="RegionMarkerTok" w:customStyle="1">
    <w:name w:val="RegionMarkerTok"/>
    <w:basedOn w:val="VerbatimChar"/>
    <w:rPr/>
  </w:style>
  <w:style w:type="character" w:styleId="InformationTok" w:customStyle="1">
    <w:name w:val="InformationTok"/>
    <w:basedOn w:val="VerbatimChar"/>
    <w:rPr>
      <w:b/>
      <w:i/>
      <w:color w:val="60a0b0"/>
    </w:rPr>
  </w:style>
  <w:style w:type="character" w:styleId="WarningTok" w:customStyle="1">
    <w:name w:val="WarningTok"/>
    <w:basedOn w:val="VerbatimChar"/>
    <w:rPr>
      <w:b/>
      <w:i/>
      <w:color w:val="60a0b0"/>
    </w:rPr>
  </w:style>
  <w:style w:type="character" w:styleId="AlertTok" w:customStyle="1">
    <w:name w:val="AlertTok"/>
    <w:basedOn w:val="VerbatimChar"/>
    <w:rPr>
      <w:b/>
      <w:color w:val="ff0000"/>
    </w:rPr>
  </w:style>
  <w:style w:type="character" w:styleId="ErrorTok" w:customStyle="1">
    <w:name w:val="ErrorTok"/>
    <w:basedOn w:val="VerbatimChar"/>
    <w:rPr>
      <w:b/>
      <w:color w:val="ff0000"/>
    </w:rPr>
  </w:style>
  <w:style w:type="character" w:styleId="NormalTok" w:customStyle="1">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&#65279;<?xml version="1.0" encoding="utf-8"?><Relationships xmlns="http://schemas.openxmlformats.org/package/2006/relationships"><Relationship Type="http://schemas.openxmlformats.org/officeDocument/2006/relationships/numbering" Target="numbering.xml" Id="rId1" /><Relationship Type="http://schemas.openxmlformats.org/officeDocument/2006/relationships/styles" Target="styles.xml" Id="rId2" /><Relationship Type="http://schemas.openxmlformats.org/officeDocument/2006/relationships/settings" Target="settings.xml" Id="rId3" /><Relationship Type="http://schemas.openxmlformats.org/officeDocument/2006/relationships/webSettings" Target="webSettings.xml" Id="rId4" /><Relationship Type="http://schemas.openxmlformats.org/officeDocument/2006/relationships/fontTable" Target="fontTable.xml" Id="rId5" /><Relationship Type="http://schemas.openxmlformats.org/officeDocument/2006/relationships/theme" Target="theme/theme1.xml" Id="rId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SharedDoc>false</ap:SharedDoc>
  <ap:HyperlinksChanged>false</ap:HyperlinksChanged>
  <ap:AppVersion>16.0000</ap:AppVersion>
  <ap:Application>Microsoft Word for the web</ap:Application>
  <ap:Template>Normal.dotm</ap:Template>
  <ap:DocSecurity>0</ap:DocSecurity>
  <ap:ScaleCrop>false</ap:ScaleCrop>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keywords/>
  <dcterms:created xsi:type="dcterms:W3CDTF">2026-04-10T18:31:27.0000000Z</dcterms:created>
  <dcterms:modified xsi:type="dcterms:W3CDTF">2026-04-10T18:32:22.1954575Z</dcterms:modified>
  <lastModifiedBy>Naomi Doerge</lastModifiedBy>
</coreProperties>
</file>

<file path=docProps/custom.xml><?xml version="1.0" encoding="utf-8"?>
<Properties xmlns="http://schemas.openxmlformats.org/officeDocument/2006/custom-properties" xmlns:vt="http://schemas.openxmlformats.org/officeDocument/2006/docPropsVTypes"/>
</file>