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r>
        <w:rPr>
          <w:noProof/>
          <w:lang w:eastAsia="en-GB"/>
        </w:rPr>
        <w:drawing>
          <wp:inline distL="0" distT="0" distB="0" distR="0">
            <wp:extent cx="2921000" cy="1117600"/>
            <wp:effectExtent l="0" t="0" r="0" b="635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3852" t="14667" r="7515" b="7112"/>
                    <a:stretch/>
                  </pic:blipFill>
                  <pic:spPr>
                    <a:xfrm rot="0">
                      <a:off x="0" y="0"/>
                      <a:ext cx="2921000" cy="1117600"/>
                    </a:xfrm>
                    <a:prstGeom prst="rect"/>
                    <a:ln>
                      <a:noFill/>
                    </a:ln>
                  </pic:spPr>
                </pic:pic>
              </a:graphicData>
            </a:graphic>
          </wp:inline>
        </w:drawing>
      </w:r>
    </w:p>
    <w:p>
      <w:pPr>
        <w:pStyle w:val="style0"/>
        <w:jc w:val="center"/>
        <w:rPr/>
      </w:pPr>
    </w:p>
    <w:p>
      <w:pPr>
        <w:pStyle w:val="style0"/>
        <w:jc w:val="center"/>
        <w:rPr/>
      </w:pPr>
    </w:p>
    <w:tbl>
      <w:tblPr>
        <w:tblStyle w:val="style154"/>
        <w:tblW w:w="0" w:type="auto"/>
        <w:tblLook w:val="04A0" w:firstRow="1" w:lastRow="0" w:firstColumn="1" w:lastColumn="0" w:noHBand="0" w:noVBand="1"/>
      </w:tblPr>
      <w:tblGrid>
        <w:gridCol w:w="4508"/>
        <w:gridCol w:w="4508"/>
      </w:tblGrid>
      <w:tr>
        <w:trPr/>
        <w:tc>
          <w:tcPr>
            <w:tcW w:w="4508" w:type="dxa"/>
            <w:tcBorders/>
          </w:tcPr>
          <w:p>
            <w:pPr>
              <w:pStyle w:val="style0"/>
              <w:jc w:val="center"/>
              <w:rPr/>
            </w:pPr>
            <w:r>
              <w:t>University</w:t>
            </w:r>
          </w:p>
          <w:p>
            <w:pPr>
              <w:pStyle w:val="style0"/>
              <w:jc w:val="center"/>
              <w:rPr/>
            </w:pPr>
          </w:p>
        </w:tc>
        <w:tc>
          <w:tcPr>
            <w:tcW w:w="4508" w:type="dxa"/>
            <w:tcBorders/>
          </w:tcPr>
          <w:p>
            <w:pPr>
              <w:pStyle w:val="style0"/>
              <w:jc w:val="center"/>
              <w:rPr/>
            </w:pPr>
            <w:r>
              <w:t>University of Wales Trinity Saint David</w:t>
            </w:r>
          </w:p>
        </w:tc>
      </w:tr>
      <w:tr>
        <w:tblPrEx/>
        <w:trPr/>
        <w:tc>
          <w:tcPr>
            <w:tcW w:w="4508" w:type="dxa"/>
            <w:tcBorders/>
          </w:tcPr>
          <w:p>
            <w:pPr>
              <w:pStyle w:val="style0"/>
              <w:jc w:val="center"/>
              <w:rPr/>
            </w:pPr>
            <w:r>
              <w:t>Programme</w:t>
            </w:r>
          </w:p>
          <w:p>
            <w:pPr>
              <w:pStyle w:val="style0"/>
              <w:jc w:val="center"/>
              <w:rPr/>
            </w:pPr>
          </w:p>
        </w:tc>
        <w:tc>
          <w:tcPr>
            <w:tcW w:w="4508" w:type="dxa"/>
            <w:tcBorders/>
          </w:tcPr>
          <w:p>
            <w:pPr>
              <w:pStyle w:val="style0"/>
              <w:jc w:val="center"/>
              <w:rPr/>
            </w:pPr>
            <w:r>
              <w:t>Master of Business Administration (MBA)</w:t>
            </w:r>
          </w:p>
        </w:tc>
      </w:tr>
      <w:tr>
        <w:tblPrEx/>
        <w:trPr/>
        <w:tc>
          <w:tcPr>
            <w:tcW w:w="4508" w:type="dxa"/>
            <w:tcBorders/>
          </w:tcPr>
          <w:p>
            <w:pPr>
              <w:pStyle w:val="style0"/>
              <w:jc w:val="center"/>
              <w:rPr/>
            </w:pPr>
            <w:r>
              <w:t>Module Name</w:t>
            </w:r>
          </w:p>
        </w:tc>
        <w:tc>
          <w:tcPr>
            <w:tcW w:w="4508" w:type="dxa"/>
            <w:tcBorders/>
          </w:tcPr>
          <w:p>
            <w:pPr>
              <w:pStyle w:val="style0"/>
              <w:jc w:val="center"/>
              <w:rPr/>
            </w:pPr>
            <w:r>
              <w:t>International Marketing: Principles and Practices</w:t>
            </w:r>
          </w:p>
        </w:tc>
      </w:tr>
      <w:tr>
        <w:tblPrEx/>
        <w:trPr/>
        <w:tc>
          <w:tcPr>
            <w:tcW w:w="4508" w:type="dxa"/>
            <w:tcBorders/>
          </w:tcPr>
          <w:p>
            <w:pPr>
              <w:pStyle w:val="style0"/>
              <w:jc w:val="center"/>
              <w:rPr/>
            </w:pPr>
            <w:r>
              <w:t>Module Code</w:t>
            </w:r>
          </w:p>
        </w:tc>
        <w:tc>
          <w:tcPr>
            <w:tcW w:w="4508" w:type="dxa"/>
            <w:tcBorders/>
          </w:tcPr>
          <w:p>
            <w:pPr>
              <w:pStyle w:val="style0"/>
              <w:jc w:val="center"/>
              <w:rPr/>
            </w:pPr>
            <w:r>
              <w:t>LCMB7026</w:t>
            </w:r>
          </w:p>
        </w:tc>
      </w:tr>
      <w:tr>
        <w:tblPrEx/>
        <w:trPr/>
        <w:tc>
          <w:tcPr>
            <w:tcW w:w="4508" w:type="dxa"/>
            <w:tcBorders/>
          </w:tcPr>
          <w:p>
            <w:pPr>
              <w:pStyle w:val="style0"/>
              <w:jc w:val="center"/>
              <w:rPr/>
            </w:pPr>
            <w:r>
              <w:t>Assessment Title</w:t>
            </w:r>
          </w:p>
        </w:tc>
        <w:tc>
          <w:tcPr>
            <w:tcW w:w="4508" w:type="dxa"/>
            <w:tcBorders/>
          </w:tcPr>
          <w:p>
            <w:pPr>
              <w:pStyle w:val="style0"/>
              <w:jc w:val="center"/>
              <w:rPr/>
            </w:pPr>
            <w:r>
              <w:t>Internationa</w:t>
            </w:r>
            <w:r>
              <w:t>l Marketing Mix Analysis of KFC</w:t>
            </w:r>
          </w:p>
        </w:tc>
      </w:tr>
      <w:tr>
        <w:tblPrEx/>
        <w:trPr/>
        <w:tc>
          <w:tcPr>
            <w:tcW w:w="4508" w:type="dxa"/>
            <w:tcBorders/>
          </w:tcPr>
          <w:p>
            <w:pPr>
              <w:pStyle w:val="style0"/>
              <w:jc w:val="center"/>
              <w:rPr/>
            </w:pPr>
            <w:r>
              <w:t>Report Title</w:t>
            </w:r>
          </w:p>
        </w:tc>
        <w:tc>
          <w:tcPr>
            <w:tcW w:w="4508" w:type="dxa"/>
            <w:tcBorders/>
          </w:tcPr>
          <w:p>
            <w:pPr>
              <w:pStyle w:val="style0"/>
              <w:jc w:val="center"/>
              <w:rPr/>
            </w:pPr>
            <w:r>
              <w:t>A Criti</w:t>
            </w:r>
            <w:r>
              <w:t>cal Comparative Analysis of KFC</w:t>
            </w:r>
            <w:r>
              <w:t>’s International Marketing Strategy in the UK and India</w:t>
            </w:r>
          </w:p>
        </w:tc>
      </w:tr>
      <w:tr>
        <w:tblPrEx/>
        <w:trPr/>
        <w:tc>
          <w:tcPr>
            <w:tcW w:w="4508" w:type="dxa"/>
            <w:tcBorders/>
          </w:tcPr>
          <w:p>
            <w:pPr>
              <w:pStyle w:val="style0"/>
              <w:jc w:val="center"/>
              <w:rPr/>
            </w:pPr>
            <w:r>
              <w:t>Student Name</w:t>
            </w:r>
          </w:p>
        </w:tc>
        <w:tc>
          <w:tcPr>
            <w:tcW w:w="4508" w:type="dxa"/>
            <w:tcBorders/>
          </w:tcPr>
          <w:p>
            <w:pPr>
              <w:pStyle w:val="style0"/>
              <w:jc w:val="center"/>
              <w:rPr/>
            </w:pPr>
            <w:r>
              <w:rPr>
                <w:lang w:val="en-US"/>
              </w:rPr>
              <w:t xml:space="preserve">Hamza khan </w:t>
            </w:r>
          </w:p>
          <w:p>
            <w:pPr>
              <w:pStyle w:val="style0"/>
              <w:jc w:val="left"/>
              <w:rPr/>
            </w:pPr>
          </w:p>
        </w:tc>
      </w:tr>
      <w:tr>
        <w:tblPrEx/>
        <w:trPr/>
        <w:tc>
          <w:tcPr>
            <w:tcW w:w="4508" w:type="dxa"/>
            <w:tcBorders/>
          </w:tcPr>
          <w:p>
            <w:pPr>
              <w:pStyle w:val="style0"/>
              <w:jc w:val="center"/>
              <w:rPr/>
            </w:pPr>
            <w:r>
              <w:t>Student ID</w:t>
            </w:r>
          </w:p>
        </w:tc>
        <w:tc>
          <w:tcPr>
            <w:tcW w:w="4508" w:type="dxa"/>
            <w:tcBorders/>
          </w:tcPr>
          <w:p>
            <w:pPr>
              <w:pStyle w:val="style0"/>
              <w:jc w:val="center"/>
              <w:rPr/>
            </w:pPr>
            <w:r>
              <w:rPr>
                <w:lang w:val="en-US"/>
              </w:rPr>
              <w:t xml:space="preserve">2504521 </w:t>
            </w:r>
          </w:p>
        </w:tc>
      </w:tr>
      <w:tr>
        <w:tblPrEx/>
        <w:trPr/>
        <w:tc>
          <w:tcPr>
            <w:tcW w:w="4508" w:type="dxa"/>
            <w:tcBorders/>
          </w:tcPr>
          <w:p>
            <w:pPr>
              <w:pStyle w:val="style0"/>
              <w:jc w:val="center"/>
              <w:rPr/>
            </w:pPr>
            <w:r>
              <w:t>Lecturer</w:t>
            </w:r>
          </w:p>
        </w:tc>
        <w:tc>
          <w:tcPr>
            <w:tcW w:w="4508" w:type="dxa"/>
            <w:tcBorders/>
          </w:tcPr>
          <w:p>
            <w:pPr>
              <w:pStyle w:val="style0"/>
              <w:jc w:val="center"/>
              <w:rPr/>
            </w:pPr>
            <w:r>
              <w:t>Tushara</w:t>
            </w:r>
            <w:r>
              <w:t xml:space="preserve"> </w:t>
            </w:r>
            <w:r>
              <w:t>Balendran</w:t>
            </w:r>
            <w:r>
              <w:t xml:space="preserve"> / Dian </w:t>
            </w:r>
            <w:r>
              <w:t>Mayasari</w:t>
            </w:r>
          </w:p>
        </w:tc>
      </w:tr>
      <w:tr>
        <w:tblPrEx/>
        <w:trPr/>
        <w:tc>
          <w:tcPr>
            <w:tcW w:w="4508" w:type="dxa"/>
            <w:tcBorders/>
          </w:tcPr>
          <w:p>
            <w:pPr>
              <w:pStyle w:val="style0"/>
              <w:jc w:val="center"/>
              <w:rPr/>
            </w:pPr>
            <w:r>
              <w:t>Submission Date</w:t>
            </w:r>
          </w:p>
        </w:tc>
        <w:tc>
          <w:tcPr>
            <w:tcW w:w="4508" w:type="dxa"/>
            <w:tcBorders/>
          </w:tcPr>
          <w:p>
            <w:pPr>
              <w:pStyle w:val="style0"/>
              <w:jc w:val="center"/>
              <w:rPr/>
            </w:pPr>
            <w:r>
              <w:t>24 April 2026</w:t>
            </w:r>
          </w:p>
        </w:tc>
      </w:tr>
      <w:tr>
        <w:tblPrEx/>
        <w:trPr/>
        <w:tc>
          <w:tcPr>
            <w:tcW w:w="4508" w:type="dxa"/>
            <w:tcBorders/>
          </w:tcPr>
          <w:p>
            <w:pPr>
              <w:pStyle w:val="style0"/>
              <w:jc w:val="center"/>
              <w:rPr/>
            </w:pPr>
            <w:r>
              <w:t>Word Count</w:t>
            </w:r>
          </w:p>
        </w:tc>
        <w:tc>
          <w:tcPr>
            <w:tcW w:w="4508" w:type="dxa"/>
            <w:tcBorders/>
          </w:tcPr>
          <w:p>
            <w:pPr>
              <w:pStyle w:val="style0"/>
              <w:jc w:val="center"/>
              <w:rPr/>
            </w:pPr>
            <w:r>
              <w:t>5450</w:t>
            </w:r>
          </w:p>
        </w:tc>
      </w:tr>
    </w:tbl>
    <w:p>
      <w:pPr>
        <w:pStyle w:val="style0"/>
        <w:jc w:val="center"/>
        <w:rPr/>
      </w:pPr>
    </w:p>
    <w:p>
      <w:pPr>
        <w:pStyle w:val="style0"/>
        <w:spacing w:lineRule="auto" w:line="278"/>
        <w:jc w:val="left"/>
        <w:rPr/>
      </w:pPr>
      <w:r>
        <w:br w:type="page"/>
      </w:r>
    </w:p>
    <w:p>
      <w:pPr>
        <w:pStyle w:val="style1"/>
        <w:jc w:val="center"/>
        <w:rPr/>
      </w:pPr>
      <w:r>
        <w:t>Section 1</w:t>
      </w:r>
    </w:p>
    <w:p>
      <w:pPr>
        <w:pStyle w:val="style1"/>
        <w:rPr/>
      </w:pPr>
      <w:r>
        <w:t xml:space="preserve">1. INTRODUCTION </w:t>
      </w:r>
    </w:p>
    <w:p>
      <w:pPr>
        <w:pStyle w:val="style0"/>
        <w:rPr/>
      </w:pPr>
      <w:r>
        <w:t xml:space="preserve">The issue of balancing global standardisation and local adaptation is one of the strategic dilemmas that multinational corporations are facing in the modern global marketplace and has been a core debate in the international marketing literature (Levitt, 1983; Kotler and Keller, 2016). Standardisation gives the firms economies of scale and a uniform global brand, but on the other hand, localisation enables organisations to effectively respond to cultural, economic and behavioural differences among markets (Vrontis and </w:t>
      </w:r>
      <w:r>
        <w:t>Thrassou</w:t>
      </w:r>
      <w:r>
        <w:t>, 2007). This strain is especially apparent in the fast-food sector, where consumer choices are imprinted in the local culture and patterns of consumption.</w:t>
      </w:r>
    </w:p>
    <w:p>
      <w:pPr>
        <w:pStyle w:val="style0"/>
        <w:rPr/>
      </w:pPr>
      <w:r>
        <w:t>An interesting example of globalisation which is realised through strategic localisation is Brands. KFC is present in over 150 countries and has become a globally recognisable brand, yet its prosperity is not attained based on the strictly standardised model (Rashid et al., 2023). Rather, it is market responsive, and the firm will adjust its product, pricing and marketing strategy, to meet expectations of the local consumers (</w:t>
      </w:r>
      <w:r>
        <w:t>Czinkota</w:t>
      </w:r>
      <w:r>
        <w:t xml:space="preserve"> and </w:t>
      </w:r>
      <w:r>
        <w:t>Ronkainen</w:t>
      </w:r>
      <w:r>
        <w:t>, 2013). This is even more so when its operations are juxtaposed in the United Kingdom that is a mature and highly competitive market with health conscious consumers and in India where affordability, cultural food habits and collectivist consumption habits dominate (Hofstede, 2011).</w:t>
      </w:r>
    </w:p>
    <w:p>
      <w:pPr>
        <w:pStyle w:val="style0"/>
        <w:rPr/>
      </w:pPr>
      <w:r>
        <w:t xml:space="preserve">More importantly, as localisation boosts market penetration and customer relevance, it also creates strategic complexities, such as higher operational expenses, brand inconsistency and supply chain issues (Douglas and Craig, 2011). Thus, the international strategy of KFC can be viewed as a manifestation both of adapting to the environmental differences and as a constant negotiation between efficiency and responsiveness. To this end, this report will critically </w:t>
      </w:r>
      <w:r>
        <w:t>analyse</w:t>
      </w:r>
      <w:r>
        <w:t xml:space="preserve"> the international marketing approach of KFC by comparing the operations in India and the UK (</w:t>
      </w:r>
      <w:r>
        <w:t>Abdelmoety</w:t>
      </w:r>
      <w:r>
        <w:t xml:space="preserve"> et al., 2022). In particular, the macro-environmental analysis (PESTEL) and cultural impacts on consumer behaviour analysis will be provided, as well as the segmentation, targeting, positioning (STP) and marketing mix (7Ps) strategies of the </w:t>
      </w:r>
      <w:r>
        <w:t>firm. Additionally, the report will evaluate the ethical aspects and give evidence-based recommendations to improve the global strategic alignment of KFC.</w:t>
      </w:r>
    </w:p>
    <w:p>
      <w:pPr>
        <w:pStyle w:val="style1"/>
        <w:rPr/>
      </w:pPr>
      <w:r>
        <w:t xml:space="preserve">2. PESTEL ANALYSIS </w:t>
      </w:r>
    </w:p>
    <w:p>
      <w:pPr>
        <w:pStyle w:val="style0"/>
        <w:rPr/>
      </w:pPr>
      <w:r>
        <w:t>Macro-environment plays a critical role in the strategic choices of the multinational companies especially in the fast-food industry whereby regulatory, economic and social environments differ across markets. In the case of KFC, the presence in the United Kingdom and India brings out a stark difference between a developed economy and a high-growth emerging market (</w:t>
      </w:r>
      <w:r>
        <w:t>Lauber</w:t>
      </w:r>
      <w:r>
        <w:t xml:space="preserve"> et al., 2021). </w:t>
      </w:r>
      <w:r>
        <w:t>Such differences necessitate a delicate strike between globalisation and localisation.</w:t>
      </w:r>
    </w:p>
    <w:p>
      <w:pPr>
        <w:pStyle w:val="style0"/>
        <w:rPr/>
      </w:pPr>
      <w:r>
        <w:rPr>
          <w:noProof/>
          <w:lang w:eastAsia="en-GB"/>
        </w:rPr>
        <w:drawing>
          <wp:inline distL="0" distT="0" distB="0" distR="0">
            <wp:extent cx="5731510" cy="3923730"/>
            <wp:effectExtent l="0" t="0" r="2540" b="635"/>
            <wp:docPr id="1027"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1"/>
                    <pic:cNvPicPr/>
                  </pic:nvPicPr>
                  <pic:blipFill>
                    <a:blip r:embed="rId3" cstate="print"/>
                    <a:srcRect l="0" t="0" r="0" b="0"/>
                    <a:stretch/>
                  </pic:blipFill>
                  <pic:spPr>
                    <a:xfrm rot="0">
                      <a:off x="0" y="0"/>
                      <a:ext cx="5731510" cy="3923730"/>
                    </a:xfrm>
                    <a:prstGeom prst="rect"/>
                  </pic:spPr>
                </pic:pic>
              </a:graphicData>
            </a:graphic>
          </wp:inline>
        </w:drawing>
      </w:r>
    </w:p>
    <w:p>
      <w:pPr>
        <w:pStyle w:val="style0"/>
        <w:jc w:val="center"/>
        <w:rPr>
          <w:b/>
        </w:rPr>
      </w:pPr>
      <w:r>
        <w:rPr>
          <w:b/>
        </w:rPr>
        <w:t>Figure 1: PESTEL Framework Applied to KFC International Strategy</w:t>
      </w:r>
    </w:p>
    <w:p>
      <w:pPr>
        <w:pStyle w:val="style0"/>
        <w:rPr/>
      </w:pPr>
    </w:p>
    <w:p>
      <w:pPr>
        <w:pStyle w:val="style2"/>
        <w:rPr/>
      </w:pPr>
      <w:r>
        <w:t xml:space="preserve">2.1 </w:t>
      </w:r>
      <w:r>
        <w:t xml:space="preserve">Political Factors </w:t>
      </w:r>
    </w:p>
    <w:p>
      <w:pPr>
        <w:pStyle w:val="style0"/>
        <w:rPr/>
      </w:pPr>
      <w:r>
        <w:t xml:space="preserve">Both the risk profile and operating constraints of KFC in the United Kingdom and India are influenced by political environment. UK has one of the most stable and rule-based systems with good regulatory quality and predictable policy execution that tends to </w:t>
      </w:r>
      <w:r>
        <w:t>decrease uncertainty and promote long-term planning (World Bank, 2024). This is a good stability to KFC. Nevertheless, recent government focus on promoting population health like the prohibition of high-fat, sugar and salt (HFSS) advertisements and the compulsory labelling of calories directly limits fast-food marketing and menu strategy, which makes the political environment somewhat unfavourable (Department of Health and Social Care, 2022). The policy environment in India is generally pro-investment and further encourages foreign direct investment in the retail and food services sector, which is favourable to growth (DPIIT, 2023).</w:t>
      </w:r>
      <w:r>
        <w:t xml:space="preserve"> </w:t>
      </w:r>
    </w:p>
    <w:p>
      <w:pPr>
        <w:pStyle w:val="style0"/>
        <w:rPr/>
      </w:pPr>
      <w:r>
        <w:t>However, regulation procedures may be uneven among states, and bureaucracy relating to licensing and compliance brings delays and uncertainty to the environment, which makes some aspects unfavourable (</w:t>
      </w:r>
      <w:r>
        <w:t>Czinkota</w:t>
      </w:r>
      <w:r>
        <w:t xml:space="preserve"> and </w:t>
      </w:r>
      <w:r>
        <w:t>Ronkainen</w:t>
      </w:r>
      <w:r>
        <w:t>, 2013). Comprehensively, KFC enjoys UK stability with tougher regulatory pressure, whilst in India it enjoys growth-focused policy assistance at the cost of bureaucratic friction, meaning that it might need to be flexible and locally responsive in governance (Gupta et al., 2021).</w:t>
      </w:r>
    </w:p>
    <w:p>
      <w:pPr>
        <w:pStyle w:val="style2"/>
        <w:rPr/>
      </w:pPr>
      <w:r>
        <w:t xml:space="preserve">2.2 </w:t>
      </w:r>
      <w:r>
        <w:t xml:space="preserve">Economic Factors </w:t>
      </w:r>
    </w:p>
    <w:p>
      <w:pPr>
        <w:pStyle w:val="style0"/>
        <w:rPr/>
      </w:pPr>
      <w:r>
        <w:t>The economic situation gives an apparent difference in the pricing and growth strategy of KFC in the two markets. UK is a high-income economy with GDP per capita approximately at $45,000, which helps to support discretionary spending and allows KFC to maintain comparatively high price levels (World Bank, 2024). This is a favourable purchasing power (</w:t>
      </w:r>
      <w:r>
        <w:t>Babu</w:t>
      </w:r>
      <w:r>
        <w:t xml:space="preserve"> &amp; Sarkar, 2024). Growth has, however, been relatively low (around 1 to 2 percent) and inflation has lately been in the range of 4-6 percent, squeezing real incomes and competition in a saturated quick-service restaurant sector, which is not conducive to growth (ONS, 2024). The Indian picture is rather different: a high GDP growth of approximately 67 per cent and fast urbanisation are most beneficial to the expansion of outlets and increase in volume (IMF, 2024).</w:t>
      </w:r>
    </w:p>
    <w:p>
      <w:pPr>
        <w:pStyle w:val="style0"/>
        <w:rPr/>
      </w:pPr>
      <w:r>
        <w:t>However, GDP per capita is only about 2,500 which signals high price sensitivity; KFC will have to depend on value menus and localisation to sustain demand limiting margins and is not a good result in terms of profitability (Kotler and Keller, 2016). Practically, KFC finds itself between a two-way economic logic stability in the UK and volume-driven growth in India as an example of why a single standardised pricing model would not work across these markets (</w:t>
      </w:r>
      <w:r>
        <w:t>Byaro</w:t>
      </w:r>
      <w:r>
        <w:t xml:space="preserve"> &amp; </w:t>
      </w:r>
      <w:r>
        <w:t>Rwezaura</w:t>
      </w:r>
      <w:r>
        <w:t>, 2025).</w:t>
      </w:r>
    </w:p>
    <w:p>
      <w:pPr>
        <w:pStyle w:val="style2"/>
        <w:rPr/>
      </w:pPr>
      <w:r>
        <w:t>2.3 Social Factors</w:t>
      </w:r>
    </w:p>
    <w:p>
      <w:pPr>
        <w:pStyle w:val="style0"/>
        <w:rPr/>
      </w:pPr>
      <w:r>
        <w:t>Consumption behaviour and brand positioning is founded on the social dynamics. Health awareness in the UK is changing the food preferences: most consumers say they are increasingly demanding healthier food, and this is a threat to the classic fried products and not favourable to the KFC original menu (Statista, 2024). Simultaneously, the time-pressured lifestyles continue to drive the need to consume convenient and fast foods, which is favourable. Social patterns vary significantly in India. A higher collectivist orientation promotes eating and consumption events in groups and global brands have a symbolic meaning amongst urbanites (Hofstede, 2011).</w:t>
      </w:r>
      <w:r>
        <w:t xml:space="preserve"> </w:t>
      </w:r>
    </w:p>
    <w:p>
      <w:pPr>
        <w:pStyle w:val="style0"/>
        <w:rPr/>
      </w:pPr>
      <w:r>
        <w:t xml:space="preserve">These aspects are very favourable to KFC, as long as it follows local preferences specifically towards spicier flavour profiles and in certain areas towards vegetarian food. Menu boundaries also are subject to cultural and religious influences and must be carefully localised; this is a conditionally unfavourable situation unless well handled (Vrontis and </w:t>
      </w:r>
      <w:r>
        <w:t>Thrassou</w:t>
      </w:r>
      <w:r>
        <w:t xml:space="preserve">, 2007). On the whole, KFC has a risk of demand erosion in the UK because of the health trends, but has high social traction in India by aspirational branding and communal dining, which argues in </w:t>
      </w:r>
      <w:r>
        <w:t>favor</w:t>
      </w:r>
      <w:r>
        <w:t xml:space="preserve"> of differentiated menu and positioning (</w:t>
      </w:r>
      <w:r>
        <w:t>Hungund</w:t>
      </w:r>
      <w:r>
        <w:t>, 2025).</w:t>
      </w:r>
    </w:p>
    <w:p>
      <w:pPr>
        <w:pStyle w:val="style2"/>
        <w:rPr/>
      </w:pPr>
      <w:r>
        <w:t>2</w:t>
      </w:r>
      <w:r>
        <w:rPr>
          <w:rFonts w:ascii="Segoe UI Symbol" w:cs="Segoe UI Symbol" w:hAnsi="Segoe UI Symbol"/>
        </w:rPr>
        <w:t xml:space="preserve">.4 </w:t>
      </w:r>
      <w:r>
        <w:t>Technological Factors</w:t>
      </w:r>
    </w:p>
    <w:p>
      <w:pPr>
        <w:pStyle w:val="style0"/>
        <w:rPr/>
      </w:pPr>
      <w:r>
        <w:t xml:space="preserve">The technology affects the reach to customers and efficiency. </w:t>
      </w:r>
      <w:r>
        <w:t>The UK has a highly developed digital ecosystem with over 90 per cent of the population having internet access and online payment and third-party delivery systems are widespread. It is a very favourable environment, and KFC can simplify ordering, logistics, and communication with customers, relying on channels of data (</w:t>
      </w:r>
      <w:r>
        <w:t>Euromonitor</w:t>
      </w:r>
      <w:r>
        <w:t xml:space="preserve">, 2024). The pace of digital adoption in India has been extremely rapid, with the penetration of smartphones increasing, and brokers such as </w:t>
      </w:r>
      <w:r>
        <w:t>Zomato</w:t>
      </w:r>
      <w:r>
        <w:t xml:space="preserve"> or </w:t>
      </w:r>
      <w:r>
        <w:t>Swiggy</w:t>
      </w:r>
      <w:r>
        <w:t xml:space="preserve"> gaining popularity. This tendency will be favourable to the growth of KFC, particularly in urban areas (</w:t>
      </w:r>
      <w:r>
        <w:t>Susilowati</w:t>
      </w:r>
      <w:r>
        <w:t xml:space="preserve"> et al., 2021).</w:t>
      </w:r>
      <w:r>
        <w:t xml:space="preserve"> </w:t>
      </w:r>
    </w:p>
    <w:p>
      <w:pPr>
        <w:pStyle w:val="style0"/>
        <w:rPr/>
      </w:pPr>
      <w:r>
        <w:t xml:space="preserve">Nevertheless, the quality and connectivity of infrastructure is not consistent throughout the areas, and this can interfere with the functioning of last-mile delivery and stores, rendering the environment somewhat hostile (McKinsey, 2023). Therefore, both markets are conducive to digital integration, but the UK is a manifestation of </w:t>
      </w:r>
      <w:r>
        <w:t>technological maturity and effectiveness, and India is a manifestation of scale potential with implementation variability. KFC should hence integrate cutting-edge analytics and smooth omnichannel operations in the UK, with adaptable, region-specific digital operations in India, to seize the growth without stealing its services (</w:t>
      </w:r>
      <w:r>
        <w:t>Deepali</w:t>
      </w:r>
      <w:r>
        <w:t>, 2024).</w:t>
      </w:r>
    </w:p>
    <w:p>
      <w:pPr>
        <w:pStyle w:val="style2"/>
        <w:rPr/>
      </w:pPr>
      <w:r>
        <w:rPr>
          <w:rFonts w:ascii="Segoe UI Symbol" w:cs="Segoe UI Symbol" w:hAnsi="Segoe UI Symbol"/>
        </w:rPr>
        <w:t xml:space="preserve">2.5 </w:t>
      </w:r>
      <w:r>
        <w:t>Environmental Factors</w:t>
      </w:r>
    </w:p>
    <w:p>
      <w:pPr>
        <w:pStyle w:val="style0"/>
        <w:rPr/>
      </w:pPr>
      <w:r>
        <w:t xml:space="preserve">The environmental pressures in the two contexts are viewed in stark contrast and directly impact the costs and reputations. Sustainability standards are high in the UK: the consumers and authorities insist on the decrease of single-use plastic, the carbon footprint, and disclosure of the sourcing (Gupta and Gupta, 2021). According to surveys, a huge proportion of consumers are fond of the brands that are environmentally responsible, and environmental pressure is, therefore, largely negative unless KFC invests in more sustainable packaging and supply chains (DEFRA, 2023). </w:t>
      </w:r>
      <w:r>
        <w:t>These demands increase expenses but are becoming a non-negotiable issue of brand legitimacy</w:t>
      </w:r>
      <w:r>
        <w:t>.</w:t>
      </w:r>
      <w:r>
        <w:t xml:space="preserve"> </w:t>
      </w:r>
    </w:p>
    <w:p>
      <w:pPr>
        <w:pStyle w:val="style0"/>
        <w:rPr/>
      </w:pPr>
      <w:r>
        <w:t xml:space="preserve">Ecological control and consumer </w:t>
      </w:r>
      <w:r>
        <w:t>skepticism</w:t>
      </w:r>
      <w:r>
        <w:t xml:space="preserve"> is relatively less acute in India, which is advantageous in the short term since it provides flexibility of operation and reduced compliance expenses. However, the awareness is increasing, and the regulation tightening may improve with time, which means the latent unfavourable risk in case the sustainability is not prioritised (UNEP, 2023). The overall result is a sustainability imbalance: KFC has to operate to the high environmental standards in the UK and actively develop the potential in India to make operations future-proof and prevent any reputational loopholes between markets (</w:t>
      </w:r>
      <w:r>
        <w:t>Olarewaju</w:t>
      </w:r>
      <w:r>
        <w:t xml:space="preserve"> et al., 2024).</w:t>
      </w:r>
    </w:p>
    <w:p>
      <w:pPr>
        <w:pStyle w:val="style2"/>
        <w:rPr/>
      </w:pPr>
      <w:r>
        <w:rPr>
          <w:rFonts w:ascii="Segoe UI Symbol" w:cs="Segoe UI Symbol" w:hAnsi="Segoe UI Symbol"/>
        </w:rPr>
        <w:t xml:space="preserve">2.6 </w:t>
      </w:r>
      <w:r>
        <w:t xml:space="preserve">Legal Factors </w:t>
      </w:r>
    </w:p>
    <w:p>
      <w:pPr>
        <w:pStyle w:val="style0"/>
        <w:rPr/>
      </w:pPr>
      <w:r>
        <w:t>Compliance costs and operational certainty are determined by legal frameworks. The UK has stringent laws in food safety, labour laws, and consumer protection, which have established a predictable environment that is conducive to predictable operations (Food Standards Agency, 2023). Nevertheless, absolute compliance encompassing hygiene audits, employment laws and marketing limits increases operational expenses and decreases flexibility which is n</w:t>
      </w:r>
      <w:r>
        <w:t xml:space="preserve">ot favourable in terms of cost </w:t>
      </w:r>
      <w:r>
        <w:t>(</w:t>
      </w:r>
      <w:r>
        <w:t>Shanmugam</w:t>
      </w:r>
      <w:r>
        <w:t xml:space="preserve"> et al., 2024). This flexibility can reduce the compliance burdens of the time that are favourable in terms of flexibility but adds uncertainty and may represent </w:t>
      </w:r>
      <w:r>
        <w:t>reputational risk in case standards are not even, which is not desirable (</w:t>
      </w:r>
      <w:r>
        <w:t>Czinkota</w:t>
      </w:r>
      <w:r>
        <w:t xml:space="preserve"> and </w:t>
      </w:r>
      <w:r>
        <w:t>Ronkainen</w:t>
      </w:r>
      <w:r>
        <w:t>, 2013). In the case of KFC, this implies keeping standards high internally in India but not uniformly applied, and in the UK to bear higher and more certain costs of compliance. The company should strategically manage global brand standards to local legal realities, to ensure uniformity and efficiency is not compromised Kaplan et al. (2022).</w:t>
      </w:r>
    </w:p>
    <w:p>
      <w:pPr>
        <w:pStyle w:val="style1"/>
        <w:rPr/>
      </w:pPr>
      <w:r>
        <w:t xml:space="preserve">3. CULTURE (HOFSTEDE) </w:t>
      </w:r>
    </w:p>
    <w:p>
      <w:pPr>
        <w:pStyle w:val="style0"/>
        <w:rPr/>
      </w:pPr>
      <w:r>
        <w:t>The cultural differences are a significant determinant of consumer behaviour especially in the fast-food sector where eating habits are entrenched in the social norms. Geert Hofstede (2011) suggests that national culture may be studied in six dimensions, which give companies an idea about the cross-country differences. In the case of KFC, the specifics of working work in the United Kingdom and India imply that the differences in the cultures of these countries must be carefully aligned since their differences directly affect consumption rates, brand perception, and the process of strat</w:t>
      </w:r>
      <w:r>
        <w:t>egic adjustment (</w:t>
      </w:r>
      <w:r>
        <w:t>Fonseka</w:t>
      </w:r>
      <w:r>
        <w:t>, 2024)</w:t>
      </w:r>
      <w:r>
        <w:t>.</w:t>
      </w:r>
    </w:p>
    <w:p>
      <w:pPr>
        <w:pStyle w:val="style0"/>
        <w:rPr>
          <w:b/>
        </w:rPr>
      </w:pPr>
      <w:r>
        <w:rPr>
          <w:b/>
        </w:rPr>
        <w:t>Table:</w:t>
      </w:r>
      <w:r>
        <w:rPr>
          <w:b/>
        </w:rPr>
        <w:t xml:space="preserve">1 Hofstede Cultural Dimensions </w:t>
      </w:r>
    </w:p>
    <w:tbl>
      <w:tblPr>
        <w:tblStyle w:val="style4112"/>
        <w:tblW w:w="0" w:type="auto"/>
        <w:tblLook w:val="04A0" w:firstRow="1" w:lastRow="0" w:firstColumn="1" w:lastColumn="0" w:noHBand="0" w:noVBand="1"/>
      </w:tblPr>
      <w:tblGrid>
        <w:gridCol w:w="2254"/>
        <w:gridCol w:w="2254"/>
        <w:gridCol w:w="2254"/>
        <w:gridCol w:w="2254"/>
      </w:tblGrid>
      <w:tr>
        <w:trPr/>
        <w:tc>
          <w:tcPr>
            <w:tcW w:w="2254" w:type="dxa"/>
            <w:tcBorders/>
          </w:tcPr>
          <w:p>
            <w:pPr>
              <w:pStyle w:val="style0"/>
              <w:rPr/>
            </w:pPr>
            <w:r>
              <w:t>Dimension</w:t>
            </w:r>
          </w:p>
        </w:tc>
        <w:tc>
          <w:tcPr>
            <w:tcW w:w="2254" w:type="dxa"/>
            <w:tcBorders/>
          </w:tcPr>
          <w:p>
            <w:pPr>
              <w:pStyle w:val="style0"/>
              <w:rPr/>
            </w:pPr>
            <w:r>
              <w:t>UK</w:t>
            </w:r>
          </w:p>
        </w:tc>
        <w:tc>
          <w:tcPr>
            <w:tcW w:w="2254" w:type="dxa"/>
            <w:tcBorders/>
          </w:tcPr>
          <w:p>
            <w:pPr>
              <w:pStyle w:val="style0"/>
              <w:rPr/>
            </w:pPr>
            <w:r>
              <w:t>India</w:t>
            </w:r>
          </w:p>
        </w:tc>
        <w:tc>
          <w:tcPr>
            <w:tcW w:w="2254" w:type="dxa"/>
            <w:tcBorders/>
          </w:tcPr>
          <w:p>
            <w:pPr>
              <w:pStyle w:val="style0"/>
              <w:rPr/>
            </w:pPr>
            <w:r>
              <w:t>Interpretation</w:t>
            </w:r>
          </w:p>
        </w:tc>
      </w:tr>
      <w:tr>
        <w:tblPrEx/>
        <w:trPr/>
        <w:tc>
          <w:tcPr>
            <w:tcW w:w="2254" w:type="dxa"/>
            <w:tcBorders/>
          </w:tcPr>
          <w:p>
            <w:pPr>
              <w:pStyle w:val="style0"/>
              <w:rPr/>
            </w:pPr>
            <w:r>
              <w:t>Power Distance</w:t>
            </w:r>
          </w:p>
        </w:tc>
        <w:tc>
          <w:tcPr>
            <w:tcW w:w="2254" w:type="dxa"/>
            <w:tcBorders/>
          </w:tcPr>
          <w:p>
            <w:pPr>
              <w:pStyle w:val="style0"/>
              <w:rPr/>
            </w:pPr>
            <w:r>
              <w:t>35</w:t>
            </w:r>
          </w:p>
        </w:tc>
        <w:tc>
          <w:tcPr>
            <w:tcW w:w="2254" w:type="dxa"/>
            <w:tcBorders/>
          </w:tcPr>
          <w:p>
            <w:pPr>
              <w:pStyle w:val="style0"/>
              <w:rPr/>
            </w:pPr>
            <w:r>
              <w:t>77</w:t>
            </w:r>
          </w:p>
        </w:tc>
        <w:tc>
          <w:tcPr>
            <w:tcW w:w="2254" w:type="dxa"/>
            <w:tcBorders/>
          </w:tcPr>
          <w:p>
            <w:pPr>
              <w:pStyle w:val="style0"/>
              <w:rPr/>
            </w:pPr>
            <w:r>
              <w:t>India more hierarchical</w:t>
            </w:r>
          </w:p>
        </w:tc>
      </w:tr>
      <w:tr>
        <w:tblPrEx/>
        <w:trPr/>
        <w:tc>
          <w:tcPr>
            <w:tcW w:w="2254" w:type="dxa"/>
            <w:tcBorders/>
          </w:tcPr>
          <w:p>
            <w:pPr>
              <w:pStyle w:val="style0"/>
              <w:rPr/>
            </w:pPr>
            <w:r>
              <w:t>Individualism</w:t>
            </w:r>
          </w:p>
        </w:tc>
        <w:tc>
          <w:tcPr>
            <w:tcW w:w="2254" w:type="dxa"/>
            <w:tcBorders/>
          </w:tcPr>
          <w:p>
            <w:pPr>
              <w:pStyle w:val="style0"/>
              <w:rPr/>
            </w:pPr>
            <w:r>
              <w:t>89</w:t>
            </w:r>
          </w:p>
        </w:tc>
        <w:tc>
          <w:tcPr>
            <w:tcW w:w="2254" w:type="dxa"/>
            <w:tcBorders/>
          </w:tcPr>
          <w:p>
            <w:pPr>
              <w:pStyle w:val="style0"/>
              <w:rPr/>
            </w:pPr>
            <w:r>
              <w:t>48</w:t>
            </w:r>
          </w:p>
        </w:tc>
        <w:tc>
          <w:tcPr>
            <w:tcW w:w="2254" w:type="dxa"/>
            <w:tcBorders/>
          </w:tcPr>
          <w:p>
            <w:pPr>
              <w:pStyle w:val="style0"/>
              <w:rPr/>
            </w:pPr>
            <w:r>
              <w:t>UK individualistic, India collectivist</w:t>
            </w:r>
          </w:p>
        </w:tc>
      </w:tr>
      <w:tr>
        <w:tblPrEx/>
        <w:trPr/>
        <w:tc>
          <w:tcPr>
            <w:tcW w:w="2254" w:type="dxa"/>
            <w:tcBorders/>
          </w:tcPr>
          <w:p>
            <w:pPr>
              <w:pStyle w:val="style0"/>
              <w:rPr/>
            </w:pPr>
            <w:r>
              <w:t>Masculinity</w:t>
            </w:r>
          </w:p>
        </w:tc>
        <w:tc>
          <w:tcPr>
            <w:tcW w:w="2254" w:type="dxa"/>
            <w:tcBorders/>
          </w:tcPr>
          <w:p>
            <w:pPr>
              <w:pStyle w:val="style0"/>
              <w:rPr/>
            </w:pPr>
            <w:r>
              <w:t>66</w:t>
            </w:r>
          </w:p>
        </w:tc>
        <w:tc>
          <w:tcPr>
            <w:tcW w:w="2254" w:type="dxa"/>
            <w:tcBorders/>
          </w:tcPr>
          <w:p>
            <w:pPr>
              <w:pStyle w:val="style0"/>
              <w:rPr/>
            </w:pPr>
            <w:r>
              <w:t>56</w:t>
            </w:r>
          </w:p>
        </w:tc>
        <w:tc>
          <w:tcPr>
            <w:tcW w:w="2254" w:type="dxa"/>
            <w:tcBorders/>
          </w:tcPr>
          <w:p>
            <w:pPr>
              <w:pStyle w:val="style0"/>
              <w:rPr/>
            </w:pPr>
            <w:r>
              <w:t>Both moderately competitive</w:t>
            </w:r>
          </w:p>
        </w:tc>
      </w:tr>
      <w:tr>
        <w:tblPrEx/>
        <w:trPr/>
        <w:tc>
          <w:tcPr>
            <w:tcW w:w="2254" w:type="dxa"/>
            <w:tcBorders/>
          </w:tcPr>
          <w:p>
            <w:pPr>
              <w:pStyle w:val="style0"/>
              <w:rPr/>
            </w:pPr>
            <w:r>
              <w:t>Uncertainty Avoidance</w:t>
            </w:r>
          </w:p>
        </w:tc>
        <w:tc>
          <w:tcPr>
            <w:tcW w:w="2254" w:type="dxa"/>
            <w:tcBorders/>
          </w:tcPr>
          <w:p>
            <w:pPr>
              <w:pStyle w:val="style0"/>
              <w:rPr/>
            </w:pPr>
            <w:r>
              <w:t>35</w:t>
            </w:r>
          </w:p>
        </w:tc>
        <w:tc>
          <w:tcPr>
            <w:tcW w:w="2254" w:type="dxa"/>
            <w:tcBorders/>
          </w:tcPr>
          <w:p>
            <w:pPr>
              <w:pStyle w:val="style0"/>
              <w:rPr/>
            </w:pPr>
            <w:r>
              <w:t>40</w:t>
            </w:r>
          </w:p>
        </w:tc>
        <w:tc>
          <w:tcPr>
            <w:tcW w:w="2254" w:type="dxa"/>
            <w:tcBorders/>
          </w:tcPr>
          <w:p>
            <w:pPr>
              <w:pStyle w:val="style0"/>
              <w:rPr/>
            </w:pPr>
            <w:r>
              <w:t>Both relatively flexible</w:t>
            </w:r>
          </w:p>
        </w:tc>
      </w:tr>
      <w:tr>
        <w:tblPrEx/>
        <w:trPr/>
        <w:tc>
          <w:tcPr>
            <w:tcW w:w="2254" w:type="dxa"/>
            <w:tcBorders/>
          </w:tcPr>
          <w:p>
            <w:pPr>
              <w:pStyle w:val="style0"/>
              <w:rPr/>
            </w:pPr>
            <w:r>
              <w:t>Long-Term Orientation</w:t>
            </w:r>
          </w:p>
        </w:tc>
        <w:tc>
          <w:tcPr>
            <w:tcW w:w="2254" w:type="dxa"/>
            <w:tcBorders/>
          </w:tcPr>
          <w:p>
            <w:pPr>
              <w:pStyle w:val="style0"/>
              <w:rPr/>
            </w:pPr>
            <w:r>
              <w:t>51</w:t>
            </w:r>
          </w:p>
        </w:tc>
        <w:tc>
          <w:tcPr>
            <w:tcW w:w="2254" w:type="dxa"/>
            <w:tcBorders/>
          </w:tcPr>
          <w:p>
            <w:pPr>
              <w:pStyle w:val="style0"/>
              <w:rPr/>
            </w:pPr>
            <w:r>
              <w:t>51</w:t>
            </w:r>
          </w:p>
        </w:tc>
        <w:tc>
          <w:tcPr>
            <w:tcW w:w="2254" w:type="dxa"/>
            <w:tcBorders/>
          </w:tcPr>
          <w:p>
            <w:pPr>
              <w:pStyle w:val="style0"/>
              <w:rPr/>
            </w:pPr>
            <w:r>
              <w:t>Balanced</w:t>
            </w:r>
          </w:p>
        </w:tc>
      </w:tr>
      <w:tr>
        <w:tblPrEx/>
        <w:trPr/>
        <w:tc>
          <w:tcPr>
            <w:tcW w:w="2254" w:type="dxa"/>
            <w:tcBorders/>
          </w:tcPr>
          <w:p>
            <w:pPr>
              <w:pStyle w:val="style0"/>
              <w:rPr/>
            </w:pPr>
            <w:r>
              <w:t>Indulgence</w:t>
            </w:r>
          </w:p>
        </w:tc>
        <w:tc>
          <w:tcPr>
            <w:tcW w:w="2254" w:type="dxa"/>
            <w:tcBorders/>
          </w:tcPr>
          <w:p>
            <w:pPr>
              <w:pStyle w:val="style0"/>
              <w:rPr/>
            </w:pPr>
            <w:r>
              <w:t>69</w:t>
            </w:r>
          </w:p>
        </w:tc>
        <w:tc>
          <w:tcPr>
            <w:tcW w:w="2254" w:type="dxa"/>
            <w:tcBorders/>
          </w:tcPr>
          <w:p>
            <w:pPr>
              <w:pStyle w:val="style0"/>
              <w:rPr/>
            </w:pPr>
            <w:r>
              <w:t>26</w:t>
            </w:r>
          </w:p>
        </w:tc>
        <w:tc>
          <w:tcPr>
            <w:tcW w:w="2254" w:type="dxa"/>
            <w:tcBorders/>
          </w:tcPr>
          <w:p>
            <w:pPr>
              <w:pStyle w:val="style0"/>
              <w:rPr/>
            </w:pPr>
            <w:r>
              <w:t>UK indulgent, India restrained</w:t>
            </w:r>
          </w:p>
        </w:tc>
      </w:tr>
    </w:tbl>
    <w:p>
      <w:pPr>
        <w:pStyle w:val="style0"/>
        <w:rPr>
          <w:rFonts w:ascii="Segoe UI Symbol" w:cs="Segoe UI Symbol" w:hAnsi="Segoe UI Symbol"/>
        </w:rPr>
      </w:pPr>
    </w:p>
    <w:p>
      <w:pPr>
        <w:pStyle w:val="style0"/>
        <w:rPr/>
      </w:pPr>
      <w:r>
        <w:rPr>
          <w:b/>
        </w:rPr>
        <w:t>Comparison, Application &amp; Evaluation</w:t>
      </w:r>
      <w:r>
        <w:t xml:space="preserve"> </w:t>
      </w:r>
    </w:p>
    <w:p>
      <w:pPr>
        <w:pStyle w:val="style0"/>
        <w:rPr/>
      </w:pPr>
      <w:r>
        <w:t>The most significant cultural difference between India and the UK is on individualism and collectivism which is the basic determinant of consumption behaviour. The high individualism score (89) characterises the UK as a society in which consumers value personal convenience and autonomy, which greatly correlates with the fast-food consumption habits associated with speed and efficiency (</w:t>
      </w:r>
      <w:r>
        <w:t>Prashar</w:t>
      </w:r>
      <w:r>
        <w:t>, 2022). Conversely, India has a more collectivist orientation (48) which focuses on group interrelations and eating together, which means that KFC will have to market itself not only as a convenience store but also as a social and experience brand. This means that the UK has a moderately favourable culture and India has a highly favourable culture, as long as KFC can adapt to the local norms of consumption (</w:t>
      </w:r>
      <w:r>
        <w:t>Liew</w:t>
      </w:r>
      <w:r>
        <w:t>, Cao, 2025).</w:t>
      </w:r>
    </w:p>
    <w:p>
      <w:pPr>
        <w:pStyle w:val="style0"/>
        <w:rPr/>
      </w:pPr>
      <w:r>
        <w:t>This is further supported by power distance. The reason why India scored highly (77) is that it embraces the hierarchy, and therefore global brands such as KFC are a status symbol and representation of modernity, which is a positive strategy. In the UK, on the other hand, the low power distance (35) undermines the symbolic strength of international brands, moving the consumer attention to value and quality over prestige (Kaplan et al., 2022). As well, there is a great disparity in the levels of indulgence, with the UK (69) showing a culture that is open to consumption and enjoyment, which is conducive to the demand of fast food. As a contrast, the Indian modest culture (26) sets behavioural boundaries influenced by tradition such as dietary restrictions, which necessitates adaptation but not the overall demand (</w:t>
      </w:r>
      <w:r>
        <w:t>Ratanjee-Vanmali</w:t>
      </w:r>
      <w:r>
        <w:t xml:space="preserve"> et al., 2020).</w:t>
      </w:r>
    </w:p>
    <w:p>
      <w:pPr>
        <w:pStyle w:val="style0"/>
        <w:rPr/>
      </w:pPr>
      <w:r>
        <w:rPr>
          <w:noProof/>
          <w:lang w:eastAsia="en-GB"/>
        </w:rPr>
        <w:drawing>
          <wp:inline distL="0" distT="0" distB="0" distR="0">
            <wp:extent cx="5731510" cy="3036627"/>
            <wp:effectExtent l="0" t="0" r="2540" b="0"/>
            <wp:docPr id="1028"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
                    <pic:cNvPicPr/>
                  </pic:nvPicPr>
                  <pic:blipFill>
                    <a:blip r:embed="rId4" cstate="print"/>
                    <a:srcRect l="0" t="0" r="0" b="20524"/>
                    <a:stretch/>
                  </pic:blipFill>
                  <pic:spPr>
                    <a:xfrm rot="0">
                      <a:off x="0" y="0"/>
                      <a:ext cx="5731510" cy="3036627"/>
                    </a:xfrm>
                    <a:prstGeom prst="rect"/>
                    <a:ln>
                      <a:noFill/>
                    </a:ln>
                  </pic:spPr>
                </pic:pic>
              </a:graphicData>
            </a:graphic>
          </wp:inline>
        </w:drawing>
      </w:r>
    </w:p>
    <w:p>
      <w:pPr>
        <w:pStyle w:val="style0"/>
        <w:jc w:val="center"/>
        <w:rPr>
          <w:b/>
        </w:rPr>
      </w:pPr>
      <w:r>
        <w:rPr>
          <w:b/>
        </w:rPr>
        <w:t>Figure</w:t>
      </w:r>
      <w:r>
        <w:rPr>
          <w:b/>
        </w:rPr>
        <w:t xml:space="preserve"> 2</w:t>
      </w:r>
      <w:r>
        <w:rPr>
          <w:b/>
        </w:rPr>
        <w:t>: Hofstede Cultural Dimensions Co</w:t>
      </w:r>
      <w:r>
        <w:rPr>
          <w:b/>
        </w:rPr>
        <w:t>mparison (UK vs India)</w:t>
      </w:r>
    </w:p>
    <w:p>
      <w:pPr>
        <w:pStyle w:val="style0"/>
        <w:jc w:val="center"/>
        <w:rPr>
          <w:b/>
        </w:rPr>
      </w:pPr>
    </w:p>
    <w:p>
      <w:pPr>
        <w:pStyle w:val="style0"/>
        <w:rPr/>
      </w:pPr>
      <w:r>
        <w:t>There is relatively the same score in uncertainty avoidance and long-term orientation, indicating that both markets are open to new products and innovation, which is positive to the menu development strategies of KFC. But such similarities are not enough to compensate the underlying behavioural differences that have been motivated by individualism and indulge (</w:t>
      </w:r>
      <w:r>
        <w:t>Thrassou</w:t>
      </w:r>
      <w:r>
        <w:t>, 2007). Conceptually, the Hofstede model is a valuable comparative model that offers a quantifiable data applicable to the strategic decision making process. It does have significant weaknesses, however, such as reduction of intricate cultural processes to simplified forms, the assumption of national homogeneity, which is especially unproductive in culturally diverse states such as India.</w:t>
      </w:r>
      <w:r>
        <w:t xml:space="preserve"> </w:t>
      </w:r>
    </w:p>
    <w:p>
      <w:pPr>
        <w:pStyle w:val="style0"/>
        <w:rPr/>
      </w:pPr>
      <w:r>
        <w:t>Moreover, the model is founded on past data and might not be able to capture the fast changing consumer behaviour in the globalised markets (Hofstede, 2011). The success of KFC cannot be universally applied to India; it is culture specific, and has to be localised in India with extensive localisation but exploit the convenience of demand in the UK. This indicates the shortcomings of an entirely standardised global strategy.</w:t>
      </w:r>
    </w:p>
    <w:p>
      <w:pPr>
        <w:pStyle w:val="style1"/>
        <w:rPr/>
      </w:pPr>
      <w:r>
        <w:t xml:space="preserve">4. STP ANALYSIS </w:t>
      </w:r>
    </w:p>
    <w:p>
      <w:pPr>
        <w:pStyle w:val="style0"/>
        <w:rPr/>
      </w:pPr>
      <w:r>
        <w:t>The STP framework helps the firms to recognize and focus on specific groups of customers as well as carving out a niche in the market. In the case of KFC, the UK and India differ greatly in terms of consumer behaviour and economic conditions, which is why segmentation, targeting, and positioning in the UK and India are different (</w:t>
      </w:r>
      <w:r>
        <w:t>Hanaysha</w:t>
      </w:r>
      <w:r>
        <w:t xml:space="preserve"> and </w:t>
      </w:r>
      <w:r>
        <w:t>Hasouneh</w:t>
      </w:r>
      <w:r>
        <w:t>, 2023). Whereas the UK is more representative of a more standardised, efficiency-based strategy, India needs a more intensive localisation to be more in line with cultural and income diversity. This shows that STP strategy cannot be applied universally but instead, it is dependent on the context (</w:t>
      </w:r>
      <w:r>
        <w:t>Kraak</w:t>
      </w:r>
      <w:r>
        <w:t xml:space="preserve"> et al., 2019).</w:t>
      </w:r>
    </w:p>
    <w:p>
      <w:pPr>
        <w:pStyle w:val="style0"/>
        <w:jc w:val="center"/>
        <w:rPr/>
      </w:pPr>
      <w:r>
        <w:rPr>
          <w:noProof/>
          <w:lang w:eastAsia="en-GB"/>
        </w:rPr>
        <w:drawing>
          <wp:inline distL="0" distT="0" distB="0" distR="0">
            <wp:extent cx="4338087" cy="2470150"/>
            <wp:effectExtent l="0" t="0" r="5715" b="6350"/>
            <wp:docPr id="1029" name="Picture 6" descr="STP marketing: The Segmentation, Targeting, Positioning model"/>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5" cstate="print"/>
                    <a:srcRect l="0" t="10505" r="0" b="24697"/>
                    <a:stretch/>
                  </pic:blipFill>
                  <pic:spPr>
                    <a:xfrm rot="0">
                      <a:off x="0" y="0"/>
                      <a:ext cx="4338087" cy="2470150"/>
                    </a:xfrm>
                    <a:prstGeom prst="rect"/>
                    <a:ln>
                      <a:noFill/>
                    </a:ln>
                  </pic:spPr>
                </pic:pic>
              </a:graphicData>
            </a:graphic>
          </wp:inline>
        </w:drawing>
      </w:r>
    </w:p>
    <w:p>
      <w:pPr>
        <w:pStyle w:val="style0"/>
        <w:jc w:val="center"/>
        <w:rPr>
          <w:b/>
        </w:rPr>
      </w:pPr>
      <w:r>
        <w:rPr>
          <w:b/>
        </w:rPr>
        <w:t xml:space="preserve">Figure 3: STP Marketing </w:t>
      </w:r>
      <w:r>
        <w:rPr>
          <w:b/>
        </w:rPr>
        <w:t>Strategy</w:t>
      </w:r>
    </w:p>
    <w:p>
      <w:pPr>
        <w:pStyle w:val="style2"/>
        <w:rPr/>
      </w:pPr>
      <w:r>
        <w:t xml:space="preserve">4.1 Segmentation </w:t>
      </w:r>
    </w:p>
    <w:p>
      <w:pPr>
        <w:pStyle w:val="style0"/>
        <w:rPr/>
      </w:pPr>
      <w:r>
        <w:t xml:space="preserve">Segmentation helps firms to determine specific groups of consumers according to their common features, which increases precision in marketing (Wedel and Kamakura, 2012). KFC in the UK segments the market mainly using psychographic and behavioural factors, focusing on time-starved people in search of convenience and fast food. This is an indication of a </w:t>
      </w:r>
      <w:r>
        <w:t>well developed</w:t>
      </w:r>
      <w:r>
        <w:t xml:space="preserve"> market where lifestyle choices are the driving force in consumption. Conversely, segmentation in India is more demographic and income-based, targeting urban middle-income customers and the younger demographics (</w:t>
      </w:r>
      <w:r>
        <w:t>Bankole</w:t>
      </w:r>
      <w:r>
        <w:t xml:space="preserve"> et al., 2023). Also, cultural segmentation like vegetarian tastes and regional taste variations are important. Importantly, this deviation points out that segmentation in new markets needs more localisation. The UK segmentation is efficiency driven, and India segmentation is complexity-driven and embedded in the culture (</w:t>
      </w:r>
      <w:r>
        <w:t>Bagnato</w:t>
      </w:r>
      <w:r>
        <w:t xml:space="preserve"> et al., 2023).</w:t>
      </w:r>
    </w:p>
    <w:p>
      <w:pPr>
        <w:pStyle w:val="style2"/>
        <w:rPr/>
      </w:pPr>
      <w:r>
        <w:t xml:space="preserve">4.2 Targeting </w:t>
      </w:r>
    </w:p>
    <w:p>
      <w:pPr>
        <w:pStyle w:val="style0"/>
        <w:rPr/>
      </w:pPr>
      <w:r>
        <w:t xml:space="preserve">The economic and social conditions vary greatly in terms of targeting strategies that the two markets use. KFC in the UK uses a mass targeting approach, which targets a wide range of consumers due to affordability and convenience. Nevertheless, the growing level of competition and awareness of health diminishes differentiation, and this approach is no longer effective (Kumar et al., 2022). On the other hand, in India, KFC employs a more selective targeting policy whereby it targets urban middle-class consumers whose disposable incomes are increasing. This segment regards western </w:t>
      </w:r>
      <w:r>
        <w:t xml:space="preserve">brands as aspirational and targeting is very effective. In the UK, mass targeting is fairly effective, whereas selective targeting is strategically advantageous in India, where it is more socio-economically realistic and maximizes the growth potential (Dibb and </w:t>
      </w:r>
      <w:r>
        <w:t>Simkin</w:t>
      </w:r>
      <w:r>
        <w:t>, 2016).</w:t>
      </w:r>
    </w:p>
    <w:p>
      <w:pPr>
        <w:pStyle w:val="style2"/>
        <w:rPr/>
      </w:pPr>
      <w:r>
        <w:t xml:space="preserve">4.3 Positioning </w:t>
      </w:r>
    </w:p>
    <w:p>
      <w:pPr>
        <w:pStyle w:val="style0"/>
        <w:rPr/>
      </w:pPr>
      <w:r>
        <w:t>Positioning is a perception of a brand in comparison to other brands (</w:t>
      </w:r>
      <w:r>
        <w:t>Ries</w:t>
      </w:r>
      <w:r>
        <w:t xml:space="preserve"> and Trout, 2001). KFC holds the position of a fast-food company that is value-based in the UK, where the main competition is based on convenience and price. Nevertheless, the health-conscious trends and competition of healthier options are also challenging this positioning. Contrary to this, KFC in India is positioned as a luxury but affordable Western brand, something that is both international and localised in flavour </w:t>
      </w:r>
      <w:r>
        <w:t>Northcott</w:t>
      </w:r>
      <w:r>
        <w:t xml:space="preserve"> et al. (2025). This two-sided positioning boosts brand desirability and differentiation. In the UK, KFC is less competitive (commoditisation), whereas in India, it uses the aspirational value, cultural adaptation to maintain a competitive advantage (</w:t>
      </w:r>
      <w:r>
        <w:t>Bankole</w:t>
      </w:r>
      <w:r>
        <w:t xml:space="preserve"> et al. 2024).</w:t>
      </w:r>
    </w:p>
    <w:p>
      <w:pPr>
        <w:pStyle w:val="style0"/>
        <w:rPr>
          <w:b/>
        </w:rPr>
      </w:pPr>
      <w:r>
        <w:rPr>
          <w:b/>
        </w:rPr>
        <w:t>TABLE 2</w:t>
      </w:r>
      <w:r>
        <w:rPr>
          <w:b/>
        </w:rPr>
        <w:t>: STP COMPARISON</w:t>
      </w:r>
    </w:p>
    <w:tbl>
      <w:tblPr>
        <w:tblStyle w:val="style4112"/>
        <w:tblW w:w="0" w:type="auto"/>
        <w:tblLook w:val="04A0" w:firstRow="1" w:lastRow="0" w:firstColumn="1" w:lastColumn="0" w:noHBand="0" w:noVBand="1"/>
      </w:tblPr>
      <w:tblGrid>
        <w:gridCol w:w="2254"/>
        <w:gridCol w:w="2254"/>
        <w:gridCol w:w="2254"/>
        <w:gridCol w:w="2254"/>
      </w:tblGrid>
      <w:tr>
        <w:trPr/>
        <w:tc>
          <w:tcPr>
            <w:tcW w:w="2254" w:type="dxa"/>
            <w:tcBorders/>
          </w:tcPr>
          <w:p>
            <w:pPr>
              <w:pStyle w:val="style0"/>
              <w:rPr/>
            </w:pPr>
            <w:r>
              <w:t>Element</w:t>
            </w:r>
          </w:p>
          <w:p>
            <w:pPr>
              <w:pStyle w:val="style0"/>
              <w:rPr/>
            </w:pPr>
          </w:p>
        </w:tc>
        <w:tc>
          <w:tcPr>
            <w:tcW w:w="2254" w:type="dxa"/>
            <w:tcBorders/>
          </w:tcPr>
          <w:p>
            <w:pPr>
              <w:pStyle w:val="style0"/>
              <w:rPr/>
            </w:pPr>
            <w:r>
              <w:t>UK</w:t>
            </w:r>
          </w:p>
        </w:tc>
        <w:tc>
          <w:tcPr>
            <w:tcW w:w="2254" w:type="dxa"/>
            <w:tcBorders/>
          </w:tcPr>
          <w:p>
            <w:pPr>
              <w:pStyle w:val="style0"/>
              <w:rPr/>
            </w:pPr>
            <w:r>
              <w:t>India</w:t>
            </w:r>
          </w:p>
        </w:tc>
        <w:tc>
          <w:tcPr>
            <w:tcW w:w="2254" w:type="dxa"/>
            <w:tcBorders/>
          </w:tcPr>
          <w:p>
            <w:pPr>
              <w:pStyle w:val="style0"/>
              <w:rPr/>
            </w:pPr>
            <w:r>
              <w:t>Critical Insight</w:t>
            </w:r>
          </w:p>
        </w:tc>
      </w:tr>
      <w:tr>
        <w:tblPrEx/>
        <w:trPr/>
        <w:tc>
          <w:tcPr>
            <w:tcW w:w="2254" w:type="dxa"/>
            <w:tcBorders/>
          </w:tcPr>
          <w:p>
            <w:pPr>
              <w:pStyle w:val="style0"/>
              <w:rPr/>
            </w:pPr>
            <w:r>
              <w:t>Segmentation</w:t>
            </w:r>
          </w:p>
          <w:p>
            <w:pPr>
              <w:pStyle w:val="style0"/>
              <w:rPr/>
            </w:pPr>
          </w:p>
        </w:tc>
        <w:tc>
          <w:tcPr>
            <w:tcW w:w="2254" w:type="dxa"/>
            <w:tcBorders/>
          </w:tcPr>
          <w:p>
            <w:pPr>
              <w:pStyle w:val="style0"/>
              <w:rPr/>
            </w:pPr>
            <w:r>
              <w:t>Lifestyle</w:t>
            </w:r>
          </w:p>
        </w:tc>
        <w:tc>
          <w:tcPr>
            <w:tcW w:w="2254" w:type="dxa"/>
            <w:tcBorders/>
          </w:tcPr>
          <w:p>
            <w:pPr>
              <w:pStyle w:val="style0"/>
              <w:rPr/>
            </w:pPr>
            <w:r>
              <w:t>Income + culture</w:t>
            </w:r>
          </w:p>
        </w:tc>
        <w:tc>
          <w:tcPr>
            <w:tcW w:w="2254" w:type="dxa"/>
            <w:tcBorders/>
          </w:tcPr>
          <w:p>
            <w:pPr>
              <w:pStyle w:val="style0"/>
              <w:rPr/>
            </w:pPr>
            <w:r>
              <w:t>Different drivers</w:t>
            </w:r>
          </w:p>
        </w:tc>
      </w:tr>
      <w:tr>
        <w:tblPrEx/>
        <w:trPr/>
        <w:tc>
          <w:tcPr>
            <w:tcW w:w="2254" w:type="dxa"/>
            <w:tcBorders/>
          </w:tcPr>
          <w:p>
            <w:pPr>
              <w:pStyle w:val="style0"/>
              <w:rPr/>
            </w:pPr>
            <w:r>
              <w:t>Targeting</w:t>
            </w:r>
          </w:p>
          <w:p>
            <w:pPr>
              <w:pStyle w:val="style0"/>
              <w:rPr/>
            </w:pPr>
          </w:p>
        </w:tc>
        <w:tc>
          <w:tcPr>
            <w:tcW w:w="2254" w:type="dxa"/>
            <w:tcBorders/>
          </w:tcPr>
          <w:p>
            <w:pPr>
              <w:pStyle w:val="style0"/>
              <w:rPr/>
            </w:pPr>
            <w:r>
              <w:t>Mass</w:t>
            </w:r>
          </w:p>
        </w:tc>
        <w:tc>
          <w:tcPr>
            <w:tcW w:w="2254" w:type="dxa"/>
            <w:tcBorders/>
          </w:tcPr>
          <w:p>
            <w:pPr>
              <w:pStyle w:val="style0"/>
              <w:rPr/>
            </w:pPr>
            <w:r>
              <w:t>Selective</w:t>
            </w:r>
          </w:p>
        </w:tc>
        <w:tc>
          <w:tcPr>
            <w:tcW w:w="2254" w:type="dxa"/>
            <w:tcBorders/>
          </w:tcPr>
          <w:p>
            <w:pPr>
              <w:pStyle w:val="style0"/>
              <w:rPr/>
            </w:pPr>
            <w:r>
              <w:t>India more focused</w:t>
            </w:r>
          </w:p>
        </w:tc>
      </w:tr>
      <w:tr>
        <w:tblPrEx/>
        <w:trPr/>
        <w:tc>
          <w:tcPr>
            <w:tcW w:w="2254" w:type="dxa"/>
            <w:tcBorders/>
          </w:tcPr>
          <w:p>
            <w:pPr>
              <w:pStyle w:val="style0"/>
              <w:rPr/>
            </w:pPr>
            <w:r>
              <w:t>Positioning</w:t>
            </w:r>
          </w:p>
        </w:tc>
        <w:tc>
          <w:tcPr>
            <w:tcW w:w="2254" w:type="dxa"/>
            <w:tcBorders/>
          </w:tcPr>
          <w:p>
            <w:pPr>
              <w:pStyle w:val="style0"/>
              <w:rPr/>
            </w:pPr>
            <w:r>
              <w:t>Value fast food</w:t>
            </w:r>
          </w:p>
        </w:tc>
        <w:tc>
          <w:tcPr>
            <w:tcW w:w="2254" w:type="dxa"/>
            <w:tcBorders/>
          </w:tcPr>
          <w:p>
            <w:pPr>
              <w:pStyle w:val="style0"/>
              <w:rPr/>
            </w:pPr>
            <w:r>
              <w:t>Premium aspirational</w:t>
            </w:r>
          </w:p>
        </w:tc>
        <w:tc>
          <w:tcPr>
            <w:tcW w:w="2254" w:type="dxa"/>
            <w:tcBorders/>
          </w:tcPr>
          <w:p>
            <w:pPr>
              <w:pStyle w:val="style0"/>
              <w:rPr/>
            </w:pPr>
            <w:r>
              <w:t>Stronger in India</w:t>
            </w:r>
          </w:p>
        </w:tc>
      </w:tr>
    </w:tbl>
    <w:p>
      <w:pPr>
        <w:pStyle w:val="style2"/>
        <w:rPr/>
      </w:pPr>
      <w:r>
        <w:t xml:space="preserve">4.4 Perceptual Map </w:t>
      </w:r>
    </w:p>
    <w:p>
      <w:pPr>
        <w:pStyle w:val="style0"/>
        <w:rPr/>
      </w:pPr>
      <w:r>
        <w:t>The perceptual map places KFC against other fast-food brands like McDonalds and local fast food brands. KFC is located in the middle of the price, middle-quality segment in the UK, which implies a low level of differentiation Lin et al. (2023). However, in India, KFC moves to a more perceived quality and slightly premium positioning, which are indicative of its aspirational brand image. Across markets, there is a vast difference in perception, which supports the rationale of context-relevant positioning strategies.</w:t>
      </w:r>
    </w:p>
    <w:p>
      <w:pPr>
        <w:pStyle w:val="style0"/>
        <w:jc w:val="center"/>
        <w:rPr/>
      </w:pPr>
      <w:r>
        <w:rPr>
          <w:noProof/>
          <w:lang w:eastAsia="en-GB"/>
        </w:rPr>
        <w:drawing>
          <wp:inline distL="0" distT="0" distB="0" distR="0">
            <wp:extent cx="4960961" cy="3281587"/>
            <wp:effectExtent l="0" t="0" r="0" b="0"/>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srcRect l="5120" t="0" r="8306" b="14094"/>
                    <a:stretch/>
                  </pic:blipFill>
                  <pic:spPr>
                    <a:xfrm rot="0">
                      <a:off x="0" y="0"/>
                      <a:ext cx="4960961" cy="3281587"/>
                    </a:xfrm>
                    <a:prstGeom prst="rect"/>
                    <a:ln>
                      <a:noFill/>
                    </a:ln>
                  </pic:spPr>
                </pic:pic>
              </a:graphicData>
            </a:graphic>
          </wp:inline>
        </w:drawing>
      </w:r>
    </w:p>
    <w:p>
      <w:pPr>
        <w:pStyle w:val="style0"/>
        <w:jc w:val="center"/>
        <w:rPr>
          <w:b/>
        </w:rPr>
      </w:pPr>
      <w:r>
        <w:rPr>
          <w:b/>
        </w:rPr>
        <w:t>Figure 4:</w:t>
      </w:r>
    </w:p>
    <w:p>
      <w:pPr>
        <w:pStyle w:val="style0"/>
        <w:rPr/>
      </w:pPr>
      <w:r>
        <w:rPr>
          <w:rStyle w:val="style4098"/>
        </w:rPr>
        <w:t>4.5 Similarities &amp; Differences</w:t>
      </w:r>
      <w:r>
        <w:t xml:space="preserve"> </w:t>
      </w:r>
    </w:p>
    <w:p>
      <w:pPr>
        <w:pStyle w:val="style0"/>
        <w:rPr/>
      </w:pPr>
      <w:r>
        <w:t>Although KFC has a worldwide operation, the STP strategy of the company is not homogenous. The company focuses on urban customers in both markets and uses brand recognition. Nevertheless, some critical differences are observed in implementation. UK indicates a standardised, efficiency-based STP strategy, whereas India demands great adaptability in segmentation, targeting, and positioning (</w:t>
      </w:r>
      <w:r>
        <w:t>Pantha</w:t>
      </w:r>
      <w:r>
        <w:t xml:space="preserve"> et al., 2023). The resemblance is in the fact that the core brand identity of KFC is the same; however, the difference is its level of localisation that is much greater in India. This shows that STP strategies have to be changed depending on the maturity of the market and the culture (Ahuja and Krupa, 2025).</w:t>
      </w:r>
    </w:p>
    <w:p>
      <w:pPr>
        <w:pStyle w:val="style1"/>
        <w:rPr/>
      </w:pPr>
      <w:r>
        <w:t xml:space="preserve">5. MARKETING MIX (7Ps) </w:t>
      </w:r>
    </w:p>
    <w:p>
      <w:pPr>
        <w:pStyle w:val="style0"/>
        <w:rPr/>
      </w:pPr>
      <w:r>
        <w:t>The marketing mix is the operationalisation of strategy, which is the transformation of market understanding into actionable policies in the product, pricing, distribution and communication. In the case of KFC, the 7Ps work differently in the United Kingdom and India, as they are characterized by the level of market maturity, consumer behaviour and economic conditions (</w:t>
      </w:r>
      <w:r>
        <w:t>Hilger</w:t>
      </w:r>
      <w:r>
        <w:t xml:space="preserve"> et al., 2023). Although KFC has a globally </w:t>
      </w:r>
      <w:r>
        <w:t>familiar brand, the marketing mix exhibits different levels of localisation, which display a strategic tension between efficiency and responsiveness (Pandey et al., 2021).</w:t>
      </w:r>
    </w:p>
    <w:p>
      <w:pPr>
        <w:pStyle w:val="style0"/>
        <w:jc w:val="center"/>
        <w:rPr/>
      </w:pPr>
      <w:r>
        <w:rPr>
          <w:noProof/>
          <w:lang w:eastAsia="en-GB"/>
        </w:rPr>
        <w:drawing>
          <wp:inline distL="0" distT="0" distB="0" distR="0">
            <wp:extent cx="3874021" cy="3575714"/>
            <wp:effectExtent l="0" t="0" r="0" b="5715"/>
            <wp:docPr id="1031" name="Picture 5" descr="7ps Marketing Model Diagram Strategic Marketing Stock Vector (Royalty Free)  2148021081 | Shutterstock"/>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srcRect l="0" t="0" r="0" b="9320"/>
                    <a:stretch/>
                  </pic:blipFill>
                  <pic:spPr>
                    <a:xfrm rot="0">
                      <a:off x="0" y="0"/>
                      <a:ext cx="3874021" cy="3575714"/>
                    </a:xfrm>
                    <a:prstGeom prst="rect"/>
                    <a:ln>
                      <a:noFill/>
                    </a:ln>
                  </pic:spPr>
                </pic:pic>
              </a:graphicData>
            </a:graphic>
          </wp:inline>
        </w:drawing>
      </w:r>
    </w:p>
    <w:p>
      <w:pPr>
        <w:pStyle w:val="style0"/>
        <w:jc w:val="center"/>
        <w:rPr>
          <w:b/>
        </w:rPr>
      </w:pPr>
      <w:r>
        <w:rPr>
          <w:b/>
        </w:rPr>
        <w:t>Figure 5</w:t>
      </w:r>
      <w:r>
        <w:rPr>
          <w:b/>
        </w:rPr>
        <w:t>: Extended Marketing Mix (7Ps) Framework</w:t>
      </w:r>
    </w:p>
    <w:p>
      <w:pPr>
        <w:pStyle w:val="style0"/>
        <w:jc w:val="left"/>
        <w:rPr>
          <w:b/>
        </w:rPr>
      </w:pPr>
      <w:r>
        <w:rPr>
          <w:b/>
        </w:rPr>
        <w:t>TABLE 3</w:t>
      </w:r>
      <w:r>
        <w:rPr>
          <w:b/>
        </w:rPr>
        <w:t>: 7Ps COMPARISON</w:t>
      </w:r>
    </w:p>
    <w:tbl>
      <w:tblPr>
        <w:tblStyle w:val="style4112"/>
        <w:tblW w:w="0" w:type="auto"/>
        <w:tblLook w:val="04A0" w:firstRow="1" w:lastRow="0" w:firstColumn="1" w:lastColumn="0" w:noHBand="0" w:noVBand="1"/>
      </w:tblPr>
      <w:tblGrid>
        <w:gridCol w:w="2254"/>
        <w:gridCol w:w="2254"/>
        <w:gridCol w:w="2254"/>
        <w:gridCol w:w="2254"/>
      </w:tblGrid>
      <w:tr>
        <w:trPr/>
        <w:tc>
          <w:tcPr>
            <w:tcW w:w="2254" w:type="dxa"/>
            <w:tcBorders/>
          </w:tcPr>
          <w:p>
            <w:pPr>
              <w:pStyle w:val="style0"/>
              <w:rPr/>
            </w:pPr>
            <w:r>
              <w:t>Element</w:t>
            </w:r>
          </w:p>
        </w:tc>
        <w:tc>
          <w:tcPr>
            <w:tcW w:w="2254" w:type="dxa"/>
            <w:tcBorders/>
          </w:tcPr>
          <w:p>
            <w:pPr>
              <w:pStyle w:val="style0"/>
              <w:rPr/>
            </w:pPr>
            <w:r>
              <w:t>UK Strategy</w:t>
            </w:r>
          </w:p>
        </w:tc>
        <w:tc>
          <w:tcPr>
            <w:tcW w:w="2254" w:type="dxa"/>
            <w:tcBorders/>
          </w:tcPr>
          <w:p>
            <w:pPr>
              <w:pStyle w:val="style0"/>
              <w:rPr/>
            </w:pPr>
            <w:r>
              <w:t>India Strategy</w:t>
            </w:r>
          </w:p>
        </w:tc>
        <w:tc>
          <w:tcPr>
            <w:tcW w:w="2254" w:type="dxa"/>
            <w:tcBorders/>
          </w:tcPr>
          <w:p>
            <w:pPr>
              <w:pStyle w:val="style0"/>
              <w:rPr/>
            </w:pPr>
            <w:r>
              <w:t>Critical Insight</w:t>
            </w:r>
          </w:p>
        </w:tc>
      </w:tr>
      <w:tr>
        <w:tblPrEx/>
        <w:trPr/>
        <w:tc>
          <w:tcPr>
            <w:tcW w:w="2254" w:type="dxa"/>
            <w:tcBorders/>
          </w:tcPr>
          <w:p>
            <w:pPr>
              <w:pStyle w:val="style0"/>
              <w:rPr/>
            </w:pPr>
            <w:r>
              <w:t>Product</w:t>
            </w:r>
          </w:p>
        </w:tc>
        <w:tc>
          <w:tcPr>
            <w:tcW w:w="2254" w:type="dxa"/>
            <w:tcBorders/>
          </w:tcPr>
          <w:p>
            <w:pPr>
              <w:pStyle w:val="style0"/>
              <w:rPr/>
            </w:pPr>
            <w:r>
              <w:t>Standard menu + minor variation</w:t>
            </w:r>
          </w:p>
        </w:tc>
        <w:tc>
          <w:tcPr>
            <w:tcW w:w="2254" w:type="dxa"/>
            <w:tcBorders/>
          </w:tcPr>
          <w:p>
            <w:pPr>
              <w:pStyle w:val="style0"/>
              <w:rPr/>
            </w:pPr>
            <w:r>
              <w:t>Highly localised (spicy, veg)</w:t>
            </w:r>
          </w:p>
        </w:tc>
        <w:tc>
          <w:tcPr>
            <w:tcW w:w="2254" w:type="dxa"/>
            <w:tcBorders/>
          </w:tcPr>
          <w:p>
            <w:pPr>
              <w:pStyle w:val="style0"/>
              <w:rPr/>
            </w:pPr>
            <w:r>
              <w:t>Strong adaptation in India</w:t>
            </w:r>
          </w:p>
        </w:tc>
      </w:tr>
      <w:tr>
        <w:tblPrEx/>
        <w:trPr/>
        <w:tc>
          <w:tcPr>
            <w:tcW w:w="2254" w:type="dxa"/>
            <w:tcBorders/>
          </w:tcPr>
          <w:p>
            <w:pPr>
              <w:pStyle w:val="style0"/>
              <w:rPr/>
            </w:pPr>
            <w:r>
              <w:t>Price</w:t>
            </w:r>
          </w:p>
        </w:tc>
        <w:tc>
          <w:tcPr>
            <w:tcW w:w="2254" w:type="dxa"/>
            <w:tcBorders/>
          </w:tcPr>
          <w:p>
            <w:pPr>
              <w:pStyle w:val="style0"/>
              <w:rPr/>
            </w:pPr>
            <w:r>
              <w:t>Competitive pricing</w:t>
            </w:r>
          </w:p>
        </w:tc>
        <w:tc>
          <w:tcPr>
            <w:tcW w:w="2254" w:type="dxa"/>
            <w:tcBorders/>
          </w:tcPr>
          <w:p>
            <w:pPr>
              <w:pStyle w:val="style0"/>
              <w:rPr/>
            </w:pPr>
            <w:r>
              <w:t>Value-based pricing</w:t>
            </w:r>
          </w:p>
        </w:tc>
        <w:tc>
          <w:tcPr>
            <w:tcW w:w="2254" w:type="dxa"/>
            <w:tcBorders/>
          </w:tcPr>
          <w:p>
            <w:pPr>
              <w:pStyle w:val="style0"/>
              <w:rPr/>
            </w:pPr>
            <w:r>
              <w:t>Affordability gap</w:t>
            </w:r>
          </w:p>
        </w:tc>
      </w:tr>
      <w:tr>
        <w:tblPrEx/>
        <w:trPr/>
        <w:tc>
          <w:tcPr>
            <w:tcW w:w="2254" w:type="dxa"/>
            <w:tcBorders/>
          </w:tcPr>
          <w:p>
            <w:pPr>
              <w:pStyle w:val="style0"/>
              <w:rPr/>
            </w:pPr>
            <w:r>
              <w:t>Place</w:t>
            </w:r>
          </w:p>
        </w:tc>
        <w:tc>
          <w:tcPr>
            <w:tcW w:w="2254" w:type="dxa"/>
            <w:tcBorders/>
          </w:tcPr>
          <w:p>
            <w:pPr>
              <w:pStyle w:val="style0"/>
              <w:rPr/>
            </w:pPr>
            <w:r>
              <w:t>Dense outlets + delivery apps</w:t>
            </w:r>
          </w:p>
        </w:tc>
        <w:tc>
          <w:tcPr>
            <w:tcW w:w="2254" w:type="dxa"/>
            <w:tcBorders/>
          </w:tcPr>
          <w:p>
            <w:pPr>
              <w:pStyle w:val="style0"/>
              <w:rPr/>
            </w:pPr>
            <w:r>
              <w:t>Expanding urban network</w:t>
            </w:r>
          </w:p>
        </w:tc>
        <w:tc>
          <w:tcPr>
            <w:tcW w:w="2254" w:type="dxa"/>
            <w:tcBorders/>
          </w:tcPr>
          <w:p>
            <w:pPr>
              <w:pStyle w:val="style0"/>
              <w:rPr/>
            </w:pPr>
            <w:r>
              <w:t>Growth opportunity</w:t>
            </w:r>
          </w:p>
        </w:tc>
      </w:tr>
      <w:tr>
        <w:tblPrEx/>
        <w:trPr/>
        <w:tc>
          <w:tcPr>
            <w:tcW w:w="2254" w:type="dxa"/>
            <w:tcBorders/>
          </w:tcPr>
          <w:p>
            <w:pPr>
              <w:pStyle w:val="style0"/>
              <w:rPr/>
            </w:pPr>
            <w:r>
              <w:t>Promotion</w:t>
            </w:r>
          </w:p>
        </w:tc>
        <w:tc>
          <w:tcPr>
            <w:tcW w:w="2254" w:type="dxa"/>
            <w:tcBorders/>
          </w:tcPr>
          <w:p>
            <w:pPr>
              <w:pStyle w:val="style0"/>
              <w:rPr/>
            </w:pPr>
            <w:r>
              <w:t>Digital + discount-led</w:t>
            </w:r>
          </w:p>
        </w:tc>
        <w:tc>
          <w:tcPr>
            <w:tcW w:w="2254" w:type="dxa"/>
            <w:tcBorders/>
          </w:tcPr>
          <w:p>
            <w:pPr>
              <w:pStyle w:val="style0"/>
              <w:rPr/>
            </w:pPr>
            <w:r>
              <w:t>Emotional + influencer-led</w:t>
            </w:r>
          </w:p>
        </w:tc>
        <w:tc>
          <w:tcPr>
            <w:tcW w:w="2254" w:type="dxa"/>
            <w:tcBorders/>
          </w:tcPr>
          <w:p>
            <w:pPr>
              <w:pStyle w:val="style0"/>
              <w:rPr/>
            </w:pPr>
            <w:r>
              <w:t>Cultural shift</w:t>
            </w:r>
          </w:p>
        </w:tc>
      </w:tr>
      <w:tr>
        <w:tblPrEx/>
        <w:trPr/>
        <w:tc>
          <w:tcPr>
            <w:tcW w:w="2254" w:type="dxa"/>
            <w:tcBorders/>
          </w:tcPr>
          <w:p>
            <w:pPr>
              <w:pStyle w:val="style0"/>
              <w:rPr/>
            </w:pPr>
            <w:r>
              <w:t>People</w:t>
            </w:r>
          </w:p>
          <w:p>
            <w:pPr>
              <w:pStyle w:val="style0"/>
              <w:rPr/>
            </w:pPr>
          </w:p>
        </w:tc>
        <w:tc>
          <w:tcPr>
            <w:tcW w:w="2254" w:type="dxa"/>
            <w:tcBorders/>
          </w:tcPr>
          <w:p>
            <w:pPr>
              <w:pStyle w:val="style0"/>
              <w:rPr/>
            </w:pPr>
            <w:r>
              <w:t>Skilled workforce</w:t>
            </w:r>
          </w:p>
        </w:tc>
        <w:tc>
          <w:tcPr>
            <w:tcW w:w="2254" w:type="dxa"/>
            <w:tcBorders/>
          </w:tcPr>
          <w:p>
            <w:pPr>
              <w:pStyle w:val="style0"/>
              <w:rPr/>
            </w:pPr>
            <w:r>
              <w:t>Service variability</w:t>
            </w:r>
          </w:p>
        </w:tc>
        <w:tc>
          <w:tcPr>
            <w:tcW w:w="2254" w:type="dxa"/>
            <w:tcBorders/>
          </w:tcPr>
          <w:p>
            <w:pPr>
              <w:pStyle w:val="style0"/>
              <w:rPr/>
            </w:pPr>
            <w:r>
              <w:t>Training gap</w:t>
            </w:r>
          </w:p>
        </w:tc>
      </w:tr>
      <w:tr>
        <w:tblPrEx/>
        <w:trPr/>
        <w:tc>
          <w:tcPr>
            <w:tcW w:w="2254" w:type="dxa"/>
            <w:tcBorders/>
          </w:tcPr>
          <w:p>
            <w:pPr>
              <w:pStyle w:val="style0"/>
              <w:rPr/>
            </w:pPr>
            <w:r>
              <w:t>Process</w:t>
            </w:r>
          </w:p>
          <w:p>
            <w:pPr>
              <w:pStyle w:val="style0"/>
              <w:rPr/>
            </w:pPr>
          </w:p>
        </w:tc>
        <w:tc>
          <w:tcPr>
            <w:tcW w:w="2254" w:type="dxa"/>
            <w:tcBorders/>
          </w:tcPr>
          <w:p>
            <w:pPr>
              <w:pStyle w:val="style0"/>
              <w:rPr/>
            </w:pPr>
            <w:r>
              <w:t>Efficient systems</w:t>
            </w:r>
          </w:p>
        </w:tc>
        <w:tc>
          <w:tcPr>
            <w:tcW w:w="2254" w:type="dxa"/>
            <w:tcBorders/>
          </w:tcPr>
          <w:p>
            <w:pPr>
              <w:pStyle w:val="style0"/>
              <w:rPr/>
            </w:pPr>
            <w:r>
              <w:t>Slower execution</w:t>
            </w:r>
          </w:p>
        </w:tc>
        <w:tc>
          <w:tcPr>
            <w:tcW w:w="2254" w:type="dxa"/>
            <w:tcBorders/>
          </w:tcPr>
          <w:p>
            <w:pPr>
              <w:pStyle w:val="style0"/>
              <w:rPr/>
            </w:pPr>
            <w:r>
              <w:t>Infrastructure issue</w:t>
            </w:r>
          </w:p>
        </w:tc>
      </w:tr>
      <w:tr>
        <w:tblPrEx/>
        <w:trPr/>
        <w:tc>
          <w:tcPr>
            <w:tcW w:w="2254" w:type="dxa"/>
            <w:tcBorders/>
          </w:tcPr>
          <w:p>
            <w:pPr>
              <w:pStyle w:val="style0"/>
              <w:rPr/>
            </w:pPr>
            <w:r>
              <w:t>Physical</w:t>
            </w:r>
          </w:p>
          <w:p>
            <w:pPr>
              <w:pStyle w:val="style0"/>
              <w:rPr/>
            </w:pPr>
          </w:p>
        </w:tc>
        <w:tc>
          <w:tcPr>
            <w:tcW w:w="2254" w:type="dxa"/>
            <w:tcBorders/>
          </w:tcPr>
          <w:p>
            <w:pPr>
              <w:pStyle w:val="style0"/>
              <w:rPr/>
            </w:pPr>
            <w:r>
              <w:t>Functional stores</w:t>
            </w:r>
          </w:p>
        </w:tc>
        <w:tc>
          <w:tcPr>
            <w:tcW w:w="2254" w:type="dxa"/>
            <w:tcBorders/>
          </w:tcPr>
          <w:p>
            <w:pPr>
              <w:pStyle w:val="style0"/>
              <w:rPr/>
            </w:pPr>
            <w:r>
              <w:t>Premium perception</w:t>
            </w:r>
          </w:p>
        </w:tc>
        <w:tc>
          <w:tcPr>
            <w:tcW w:w="2254" w:type="dxa"/>
            <w:tcBorders/>
          </w:tcPr>
          <w:p>
            <w:pPr>
              <w:pStyle w:val="style0"/>
              <w:rPr/>
            </w:pPr>
            <w:r>
              <w:t>Experience differs</w:t>
            </w:r>
          </w:p>
        </w:tc>
      </w:tr>
    </w:tbl>
    <w:p>
      <w:pPr>
        <w:pStyle w:val="style2"/>
        <w:rPr/>
      </w:pPr>
      <w:r>
        <w:t xml:space="preserve">5.2 Product </w:t>
      </w:r>
    </w:p>
    <w:p>
      <w:pPr>
        <w:pStyle w:val="style0"/>
        <w:rPr/>
      </w:pPr>
      <w:r>
        <w:t>The most regarding adaptation in international operations is the product strategy of KFC. The menu in the UK is comparatively standardised, concentrating on the main offerings, which include fried chicken, burgers, and meal packages, and t</w:t>
      </w:r>
      <w:r>
        <w:t xml:space="preserve">here is very little innovation </w:t>
      </w:r>
      <w:r>
        <w:t>(</w:t>
      </w:r>
      <w:r>
        <w:t>Ravindran</w:t>
      </w:r>
      <w:r>
        <w:t xml:space="preserve"> et al., 2022). India, on the contrary, is characterised by deep product localisation, such as spicy, vegetarian style, and region-based products. This greatly enhances the depth and width of the products, which enables KFC to satisfy the various tastes of consumers. Also, brand extension in India is more decisive, and menu innovations are oriented on the local tastes and cultural norms (</w:t>
      </w:r>
      <w:r>
        <w:t>Syah</w:t>
      </w:r>
      <w:r>
        <w:t xml:space="preserve"> et al., 2022).</w:t>
      </w:r>
    </w:p>
    <w:p>
      <w:pPr>
        <w:pStyle w:val="style0"/>
        <w:rPr/>
      </w:pPr>
      <w:r>
        <w:t xml:space="preserve">Critically, product strategy is quite effective in the UK, where standardisation promotes efficiency and few </w:t>
      </w:r>
      <w:r>
        <w:t>differentiations</w:t>
      </w:r>
      <w:r>
        <w:t>. In India, product localisation is very favourable, which is propelled by market penetration and customer engagement. This implies that the competitive edge of KFC is becoming more and more based on its adaptability of products instead of global uniformity (</w:t>
      </w:r>
      <w:r>
        <w:t>Zakaria</w:t>
      </w:r>
      <w:r>
        <w:t xml:space="preserve"> et al., 2023).</w:t>
      </w:r>
    </w:p>
    <w:p>
      <w:pPr>
        <w:pStyle w:val="style2"/>
        <w:rPr/>
      </w:pPr>
      <w:r>
        <w:t xml:space="preserve">5.3 Price </w:t>
      </w:r>
    </w:p>
    <w:p>
      <w:pPr>
        <w:pStyle w:val="style0"/>
        <w:rPr/>
      </w:pPr>
      <w:r>
        <w:t>Markets vary greatly in terms of pricing strategies. KFC uses a competitive pricing model in the UK, which is in line with its competitors like McDonalds to ensure that its products are affordable in a saturated market. Nonetheless, inflation and cost pressures decrease the level of price flexibility (</w:t>
      </w:r>
      <w:r>
        <w:t>Dilip</w:t>
      </w:r>
      <w:r>
        <w:t xml:space="preserve"> et al., 2021). KFC uses penetration and value-based pricing strategy in India, where it sells low-cost meal options to consumers that are sensitive to prices. More importantly, UK pricing is both stable and limited but in India, it is growth-oriented and limited on the margin. This demonstrates the dilemma of profitability and accessibility in emerging markets (</w:t>
      </w:r>
      <w:r>
        <w:t>Channa</w:t>
      </w:r>
      <w:r>
        <w:t xml:space="preserve"> et al., 2021).</w:t>
      </w:r>
    </w:p>
    <w:p>
      <w:pPr>
        <w:pStyle w:val="style2"/>
        <w:rPr/>
      </w:pPr>
      <w:r>
        <w:t xml:space="preserve">5.4 Place </w:t>
      </w:r>
    </w:p>
    <w:p>
      <w:pPr>
        <w:pStyle w:val="style0"/>
        <w:rPr/>
      </w:pPr>
      <w:r>
        <w:t xml:space="preserve">Maturity of the market is indicated in distribution strategy. The UK boasts an extensive system of outlets, and they are upheld by the state-of-the-art delivery systems like Uber Eats and </w:t>
      </w:r>
      <w:r>
        <w:t>Deliveroo</w:t>
      </w:r>
      <w:r>
        <w:t xml:space="preserve">. This makes it very accessible and efficient. In India, KFC is </w:t>
      </w:r>
      <w:r>
        <w:t xml:space="preserve">mostly located in cities, and the growth process is supported by the growing demand and online delivery services such as </w:t>
      </w:r>
      <w:r>
        <w:t>Zomato</w:t>
      </w:r>
      <w:r>
        <w:t xml:space="preserve"> and </w:t>
      </w:r>
      <w:r>
        <w:t>Swiggy</w:t>
      </w:r>
      <w:r>
        <w:t xml:space="preserve"> (</w:t>
      </w:r>
      <w:r>
        <w:t>Hongdiyanto</w:t>
      </w:r>
      <w:r>
        <w:t xml:space="preserve"> et al., 2023). Critically, place strategy works very effectively in the UK whereas in India place strategy is a growth opportunity as opposed to a developed system.</w:t>
      </w:r>
    </w:p>
    <w:p>
      <w:pPr>
        <w:pStyle w:val="style2"/>
        <w:rPr/>
      </w:pPr>
      <w:r>
        <w:t xml:space="preserve">5.5 Promotion </w:t>
      </w:r>
    </w:p>
    <w:p>
      <w:pPr>
        <w:pStyle w:val="style0"/>
        <w:rPr/>
      </w:pPr>
      <w:r>
        <w:t xml:space="preserve">The promotion is an indication of the move towards localisation and away </w:t>
      </w:r>
      <w:r>
        <w:t>away</w:t>
      </w:r>
      <w:r>
        <w:t xml:space="preserve"> standardisation. KFC in the UK has been relying on the use of Integrated Marketing Communications (IMC) which is a combination of digital advertising, promotions and discount campaigns that helps in short term sales promotion. Nonetheless, this method is not very emotionally appealing (Yew, 2023). Promotions in India are culturally oriented and are conducted through the support of celebrities, social media influencers, and emotionally based campaigns. Importantly, UK promotion is transactional and price-based and India is relational and culturally integrated, which is more effective in developing long-term brand loyalty (Lin et al., 2023).</w:t>
      </w:r>
    </w:p>
    <w:p>
      <w:pPr>
        <w:pStyle w:val="style2"/>
        <w:rPr/>
      </w:pPr>
      <w:r>
        <w:t xml:space="preserve">5.6 People </w:t>
      </w:r>
    </w:p>
    <w:p>
      <w:pPr>
        <w:pStyle w:val="style0"/>
        <w:rPr/>
      </w:pPr>
      <w:r>
        <w:t>Marketing mix is one of the service components of people. KFC in the UK has a trained workforce whose service protocols are standardised and this means that there is uniformity in service delivery across the outlets. The fast growth and diversity in the workforce in India bring about an element of variation in service quality. Critically speaking, the UK is operationally consistent, and India is struggling with training and service quality, which emphasizes the human resource development in emerging markets (Chan et al., 2020).</w:t>
      </w:r>
    </w:p>
    <w:p>
      <w:pPr>
        <w:pStyle w:val="style2"/>
        <w:rPr/>
      </w:pPr>
      <w:r>
        <w:t xml:space="preserve">5.7 Process </w:t>
      </w:r>
    </w:p>
    <w:p>
      <w:pPr>
        <w:pStyle w:val="style0"/>
        <w:rPr/>
      </w:pPr>
      <w:r>
        <w:t>Customer satisfaction requires efficiency in processes. KFC has a well-organized ordering systems, digital integration, and effective mechanisms of handling complaints in the UK. India is on the path to improvement but with less consistency as a result of infrastructural constraints and complexity of operations. Importantly, process management in the UK is very efficient, whereas in India it is in the developmental stage but not very stable, which needs to be optimised further to contribute to the development (Song et al., 2022).</w:t>
      </w:r>
    </w:p>
    <w:p>
      <w:pPr>
        <w:pStyle w:val="style2"/>
        <w:rPr/>
      </w:pPr>
      <w:r>
        <w:t xml:space="preserve">5.8 Physical Evidence </w:t>
      </w:r>
    </w:p>
    <w:p>
      <w:pPr>
        <w:pStyle w:val="style0"/>
        <w:rPr/>
      </w:pPr>
      <w:r>
        <w:t>Physical evidence is a factor affecting customer perception and brand experience. The KFC outlets are functional and standardised in the UK and are not based on experience but efficiency. The image that the outlets present in India is usually more luxurious and aspirational, which indicates that the brand is identified as a western-style meal. Importantly, the UK has less differentiated physical evidence, and in India, it is a strategic approach to effective brand perception and customer attraction (Li et al., 2020).</w:t>
      </w:r>
    </w:p>
    <w:p>
      <w:pPr>
        <w:pStyle w:val="style2"/>
        <w:rPr/>
      </w:pPr>
      <w:r>
        <w:t xml:space="preserve"> 5.9 Similarities &amp; Differences </w:t>
      </w:r>
    </w:p>
    <w:p>
      <w:pPr>
        <w:pStyle w:val="style0"/>
        <w:rPr/>
      </w:pPr>
      <w:r>
        <w:t>The marketing mix of KFC shows homogeneity and heterogeneity within markets. The fundamental components like product offerings, brand identity and pricing logic are widely aligned in such a way that it is recognized globally. Nonetheless, there are major discrepancies in implementation (Hu et al., 2025). UK is an example of standardised and efficiency orientation approach, whereas India needs massive localisation of the product, promotion and pricing. The similarity is that KFC has a global structure, whereas the difference is in the level of adaptation (</w:t>
      </w:r>
      <w:r>
        <w:t>Liem</w:t>
      </w:r>
      <w:r>
        <w:t xml:space="preserve"> et al., 2023). India is a localisation-oriented market, whereas the UK is a maturity-oriented market. This validates the point of view that the competitive advantage of KFC is becoming more and more reliant on the capacity to adapt instead of standardisation.</w:t>
      </w:r>
    </w:p>
    <w:p>
      <w:pPr>
        <w:pStyle w:val="style1"/>
        <w:rPr/>
      </w:pPr>
      <w:r>
        <w:t xml:space="preserve">6. DIRECTIONAL STRATEGY (ANSOFF) </w:t>
      </w:r>
    </w:p>
    <w:p>
      <w:pPr>
        <w:pStyle w:val="style0"/>
        <w:rPr/>
      </w:pPr>
      <w:r>
        <w:t>The Ansoff Matrix can be critically applied to the growth path of KFC and indicates strategic options comprising of market penetration, market development, product development and diversification. KFC, in the UK, is to a large extent engaged in a market penetration approach, aiming to grow the sales in an already saturated and highly competitive market in the sector of fast-food (</w:t>
      </w:r>
      <w:r>
        <w:t>Niwayansari</w:t>
      </w:r>
      <w:r>
        <w:t xml:space="preserve"> et al., 2024). Since the market in the UK is mature with reduced growth and competition, there is limited growth prospects therefore this strategy is operationally effective but has no strategic potential. </w:t>
      </w:r>
      <w:r>
        <w:t>Consequently, a more gradual innovation like healthier menu options or online ordering enhancements is necessary to remain relevant (</w:t>
      </w:r>
      <w:r>
        <w:t>Muslichah</w:t>
      </w:r>
      <w:r>
        <w:t xml:space="preserve"> &amp; Ibrahim, 2021).</w:t>
      </w:r>
    </w:p>
    <w:p>
      <w:pPr>
        <w:pStyle w:val="style0"/>
        <w:jc w:val="center"/>
        <w:rPr/>
      </w:pPr>
      <w:r>
        <w:rPr>
          <w:noProof/>
          <w:lang w:eastAsia="en-GB"/>
        </w:rPr>
        <w:drawing>
          <wp:inline distL="0" distT="0" distB="0" distR="0">
            <wp:extent cx="5076967" cy="3554567"/>
            <wp:effectExtent l="0" t="0" r="0" b="8255"/>
            <wp:docPr id="1032" name="Picture 7" descr="Ansoff matrix - Wikipedi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7"/>
                    <pic:cNvPicPr/>
                  </pic:nvPicPr>
                  <pic:blipFill>
                    <a:blip r:embed="rId8" cstate="print"/>
                    <a:srcRect l="0" t="0" r="0" b="0"/>
                    <a:stretch/>
                  </pic:blipFill>
                  <pic:spPr>
                    <a:xfrm rot="0">
                      <a:off x="0" y="0"/>
                      <a:ext cx="5076967" cy="3554567"/>
                    </a:xfrm>
                    <a:prstGeom prst="rect"/>
                    <a:ln>
                      <a:noFill/>
                    </a:ln>
                  </pic:spPr>
                </pic:pic>
              </a:graphicData>
            </a:graphic>
          </wp:inline>
        </w:drawing>
      </w:r>
    </w:p>
    <w:p>
      <w:pPr>
        <w:pStyle w:val="style0"/>
        <w:jc w:val="center"/>
        <w:rPr>
          <w:b/>
        </w:rPr>
      </w:pPr>
      <w:r>
        <w:rPr>
          <w:b/>
        </w:rPr>
        <w:t>Figure 6</w:t>
      </w:r>
      <w:r>
        <w:rPr>
          <w:b/>
        </w:rPr>
        <w:t>: Ansoff Growth Matrix Applied to KFC</w:t>
      </w:r>
    </w:p>
    <w:p>
      <w:pPr>
        <w:pStyle w:val="style0"/>
        <w:rPr/>
      </w:pPr>
      <w:r>
        <w:t>Conversely, India is a vivid example of a market development and product development strategy, with KFC increasing its geographical reach and at the same time varying its menu to meet the local preferences. The presence of fast urbanisation, the rise in the middle classes and the growing demand in Western brands provide tremendous growth opportunities (</w:t>
      </w:r>
      <w:r>
        <w:t>Alamuri</w:t>
      </w:r>
      <w:r>
        <w:t xml:space="preserve"> and </w:t>
      </w:r>
      <w:r>
        <w:t>Aluvala</w:t>
      </w:r>
      <w:r>
        <w:t>, 2024). Nonetheless, this growth demands a lot of localisation and investment, making it more complex. The strategy of KFC can be characterized as a structural change, whereby future expansion will be more reliant on the developing markets, such as India, and future expansion will be more about maintaining the competitiveness of the company, instead of making new gains (</w:t>
      </w:r>
      <w:r>
        <w:t>Guo</w:t>
      </w:r>
      <w:r>
        <w:t xml:space="preserve"> et al., 2024).</w:t>
      </w:r>
    </w:p>
    <w:p>
      <w:pPr>
        <w:pStyle w:val="style1"/>
        <w:rPr/>
      </w:pPr>
      <w:r>
        <w:t xml:space="preserve">7. ETHICAL ANALYSIS </w:t>
      </w:r>
    </w:p>
    <w:p>
      <w:pPr>
        <w:pStyle w:val="style0"/>
        <w:rPr/>
      </w:pPr>
      <w:r>
        <w:t xml:space="preserve">KFC global operations are becoming more focused on ethical issues, especially in the fast-food sector where the health, environmental and labour issues are prevalent. A major ethical concern is associated with the nutritional effect as the products with high fat and caloric content lead to the increase of obesity rates especially in the developed countries such as the UK (Spiro et al., 2024). This poses a dilemma between </w:t>
      </w:r>
      <w:r>
        <w:t>profitability and social responsibility in regard to protecting the health of the people and thus is ethically questionable. A second issue is environmental sustainability, specifically plastic packaging and carbon-expensive supply chains, which have been subject to criticism in the world (</w:t>
      </w:r>
      <w:r>
        <w:t>AlQurashi</w:t>
      </w:r>
      <w:r>
        <w:t xml:space="preserve"> et al., 2021).</w:t>
      </w:r>
    </w:p>
    <w:p>
      <w:pPr>
        <w:pStyle w:val="style0"/>
        <w:rPr/>
      </w:pPr>
      <w:r>
        <w:t>KFC, on the other hand, portrays ethical responsibility by adopting sustainable sourcing and waste minimization efforts, which is indicative of an increasing compliance with environmental standards. Also, job creation in both markets also brings economic value, especially in India where employment creation helps in local development (Sacks et al., 2020). Although KFC undertakes responsible practices, its fundamental business model presents moral dilemmas. This underscores the importance of further embedding sustainability and health factors into the marketing mix, and not considering them as side issues (Jain and Jain, 2022).</w:t>
      </w:r>
    </w:p>
    <w:p>
      <w:pPr>
        <w:pStyle w:val="style1"/>
        <w:rPr/>
      </w:pPr>
      <w:r>
        <w:t xml:space="preserve">8. RECOMMENDATIONS </w:t>
      </w:r>
    </w:p>
    <w:p>
      <w:pPr>
        <w:pStyle w:val="style0"/>
        <w:rPr/>
      </w:pPr>
      <w:r>
        <w:t>In order to achieve greater strategic success, KFC needs to embrace differentiated UK and Indian recommendations based on challenges and opportunities in the market. The main suggestion in the UK is to create healthier product lines, such as low-calorie and plant-based, to accommodate the increasing health awareness. Also, a saturated market can be enhanced by fortifying digital engagement by offering customised promotions to enhance customer retention (Bha</w:t>
      </w:r>
      <w:r>
        <w:t>ttacharya &amp; Bhattacharya, 2021)</w:t>
      </w:r>
      <w:r>
        <w:t>.</w:t>
      </w:r>
    </w:p>
    <w:p>
      <w:pPr>
        <w:pStyle w:val="style0"/>
        <w:rPr/>
      </w:pPr>
      <w:r>
        <w:t>In India, it should revolve around increasing localisation strategies, more so by innovating its menus according to regional tastes and dietary preferences. The opportunity to expand to other cities (tier-2 and tier-3) is also an important expansion opportunity (Mehta and Shukla, 2024). Moreover, a tiered pricing approach will enhance the affordability and brand positioning. In both markets, KFC ought to focus on sustainable practices, including environmentally friendly packaging and transparent sourcing, to build brand credibility. Employee training and quality of service should also be invested in to guarantee a similar customer experience (Nguyen et al., 2023). Best advice should go beyond standardisation, focusing on market-adaptation to realise sustainable competitive advantage.</w:t>
      </w:r>
    </w:p>
    <w:p>
      <w:pPr>
        <w:pStyle w:val="style1"/>
        <w:rPr/>
      </w:pPr>
      <w:r>
        <w:t xml:space="preserve">9. CONCLUSION </w:t>
      </w:r>
    </w:p>
    <w:p>
      <w:pPr>
        <w:pStyle w:val="style0"/>
        <w:rPr/>
      </w:pPr>
      <w:r>
        <w:t>The present report critically discussed the international marketing strategy of KFC based on the comparison between the UK and India. The results indicate that although KFC is operating in a globally recognised system, its effectiveness is greatly reliant on its capacity to fit in the local market environment. UK is a highly regulated and mature environment with a limited growth and where efficiency and retention are given strategic priority. India, on the other hand, has high growth prospects due to economic growth, positive social forces as well as demand of western brands. The comparison of the PESTEL, cultural dimensions, STP, and marketing mix shows that they share one common theme: standardisation is not enough in various global markets. Rather, the competitive advantage is obtained through a balance between the global consistency and local responsiveness. The key to KFC achieving long-term success will be the extent to which it can strategically balance this aspect, exploiting the efficiency in the mature markets and adopting deep localisation in the new economies. This solidifies the significance of adaptive strategy in maintaining competitiveness in the world.</w:t>
      </w:r>
    </w:p>
    <w:p>
      <w:pPr>
        <w:pStyle w:val="style0"/>
        <w:spacing w:lineRule="auto" w:line="278"/>
        <w:jc w:val="left"/>
        <w:rPr/>
      </w:pPr>
      <w:r>
        <w:br w:type="page"/>
      </w:r>
    </w:p>
    <w:p>
      <w:pPr>
        <w:pStyle w:val="style1"/>
        <w:jc w:val="center"/>
        <w:rPr>
          <w:sz w:val="40"/>
        </w:rPr>
      </w:pPr>
      <w:r>
        <w:rPr>
          <w:sz w:val="40"/>
        </w:rPr>
        <w:t>Section 2</w:t>
      </w:r>
    </w:p>
    <w:p>
      <w:pPr>
        <w:pStyle w:val="style1"/>
        <w:rPr/>
      </w:pPr>
      <w:r>
        <w:t>1. REFLECTIVE REPORT (GIBBS REFLECTIVE CYCLE)</w:t>
      </w:r>
    </w:p>
    <w:p>
      <w:pPr>
        <w:pStyle w:val="style0"/>
        <w:rPr/>
      </w:pPr>
      <w:r>
        <w:t xml:space="preserve">This reflective report follows a reflective cycle presented by Graham Gibbs, which offers a step-by-step approach to assessing the learning process in six phases, which are a description, feelings, evaluation, analysis, conclusion and action plan (Gibbs, 1988). The model is used to go beyond the descriptive reflection and understanding of the learning process critically. Through this systematic method, the reflection helps to </w:t>
      </w:r>
      <w:r>
        <w:t>analyze</w:t>
      </w:r>
      <w:r>
        <w:t xml:space="preserve"> in greater detail the application of theoretical knowledge and the development of analytical skills during the assignment (</w:t>
      </w:r>
      <w:r>
        <w:t>Onyusheva</w:t>
      </w:r>
      <w:r>
        <w:t xml:space="preserve"> et al., 2020).</w:t>
      </w:r>
    </w:p>
    <w:p>
      <w:pPr>
        <w:pStyle w:val="style0"/>
        <w:jc w:val="center"/>
        <w:rPr/>
      </w:pPr>
      <w:r>
        <w:rPr>
          <w:noProof/>
          <w:lang w:eastAsia="en-GB"/>
        </w:rPr>
        <w:drawing>
          <wp:inline distL="0" distT="0" distB="0" distR="0">
            <wp:extent cx="4830123" cy="3220518"/>
            <wp:effectExtent l="0" t="0" r="0" b="0"/>
            <wp:docPr id="1033" name="Picture 10" descr="Gibbs Reflective Cycle - Assignment Help Australi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0"/>
                    <pic:cNvPicPr/>
                  </pic:nvPicPr>
                  <pic:blipFill>
                    <a:blip r:embed="rId9" cstate="print"/>
                    <a:srcRect l="0" t="0" r="0" b="0"/>
                    <a:stretch/>
                  </pic:blipFill>
                  <pic:spPr>
                    <a:xfrm rot="0">
                      <a:off x="0" y="0"/>
                      <a:ext cx="4830123" cy="3220518"/>
                    </a:xfrm>
                    <a:prstGeom prst="rect"/>
                    <a:ln>
                      <a:noFill/>
                    </a:ln>
                  </pic:spPr>
                </pic:pic>
              </a:graphicData>
            </a:graphic>
          </wp:inline>
        </w:drawing>
      </w:r>
    </w:p>
    <w:p>
      <w:pPr>
        <w:pStyle w:val="style2"/>
        <w:rPr/>
      </w:pPr>
      <w:r>
        <w:t xml:space="preserve">1.1 Description </w:t>
      </w:r>
    </w:p>
    <w:p>
      <w:pPr>
        <w:pStyle w:val="style0"/>
        <w:rPr/>
      </w:pPr>
      <w:r>
        <w:t xml:space="preserve">This assignment has critically analysed the international marketing of KFC in the United Kingdom and India, using some of the major frameworks like PESTEL, Hofstede cultural dimensions, STP and marketing mix of 7Ps. This meant going past the descriptive analysis to create a comparative and critical analysis of the application of macro-environmental and cultural factors to strategic choices (Roy et al., 2022). Specifically, the assignment was dedicated to comprehending the way a universal </w:t>
      </w:r>
      <w:r>
        <w:t>company can change its strategy in the opposite markets. This was done through a combination of theoretical and real world data which made it possible to explore more on international marketing practices. The systematic nature of the assignment furnished an explicit basis of acquisition of analytical and critical thinking (</w:t>
      </w:r>
      <w:r>
        <w:t>Maha</w:t>
      </w:r>
      <w:r>
        <w:t xml:space="preserve"> et al., 2024).</w:t>
      </w:r>
    </w:p>
    <w:p>
      <w:pPr>
        <w:pStyle w:val="style2"/>
        <w:rPr/>
      </w:pPr>
      <w:r>
        <w:t xml:space="preserve">1.2 Feelings </w:t>
      </w:r>
    </w:p>
    <w:p>
      <w:pPr>
        <w:pStyle w:val="style0"/>
        <w:rPr/>
      </w:pPr>
      <w:r>
        <w:t>The task seemed complicated at the first level as it was necessary to combine several frameworks and use them in a critical but not descriptive way. In distinguishing between explanation and evaluation, there existed some confusion. Nevertheless, the confidence grew as the analysis went on, especially when it came to the ability to connect theoretical models with the practical strategies in business (O’Neill et al., 2023). The fact that the two different markets were compared made the process more interesting because some differences were evident in strategy and consumer behaviour. This transition to a higher level of understanding to a critical approach was thought-provoking and showed that critical thinking is important in academic tasks (</w:t>
      </w:r>
      <w:r>
        <w:t>Mietra</w:t>
      </w:r>
      <w:r>
        <w:t xml:space="preserve"> &amp; </w:t>
      </w:r>
      <w:r>
        <w:t>Wibowo</w:t>
      </w:r>
      <w:r>
        <w:t>, 2022).</w:t>
      </w:r>
    </w:p>
    <w:p>
      <w:pPr>
        <w:pStyle w:val="style2"/>
        <w:rPr/>
      </w:pPr>
      <w:r>
        <w:t xml:space="preserve">1.3 Evaluation </w:t>
      </w:r>
    </w:p>
    <w:p>
      <w:pPr>
        <w:pStyle w:val="style0"/>
        <w:rPr/>
      </w:pPr>
      <w:r>
        <w:t>One of the strengths of this assignment was the possibility to combine several analytical frameworks to create an in-depth perception of the KFC strategy. PESTEL and Hofstede helped to gain a good understanding of external and cultural factors, whereas STP and the marketing mix allowed making a more in-depth assessment of strategic execution (</w:t>
      </w:r>
      <w:r>
        <w:t>Permana</w:t>
      </w:r>
      <w:r>
        <w:t xml:space="preserve"> et al., 2023). Nonetheless, the first weakness was the propensity to focus on each of the frameworks individually, as opposed to integrating them into a cohesive argument. Effective reflection as pointed out by Gibbs (1988) should not be done through description alone but evaluation as was learnt in the process. Also, the use of secondary data also curtailed the dynamicity of consumer behaviour. Nevertheless, the assignment was also able to boost critical thinking and show the significance of considering both advantages and disadvantages in the strategic decision-making process (</w:t>
      </w:r>
      <w:r>
        <w:t>Sharmila</w:t>
      </w:r>
      <w:r>
        <w:t xml:space="preserve"> et al., 2023).</w:t>
      </w:r>
    </w:p>
    <w:p>
      <w:pPr>
        <w:pStyle w:val="style2"/>
        <w:rPr/>
      </w:pPr>
      <w:r>
        <w:t xml:space="preserve">1.4 Analysis </w:t>
      </w:r>
    </w:p>
    <w:p>
      <w:pPr>
        <w:pStyle w:val="style0"/>
        <w:rPr/>
      </w:pPr>
      <w:r>
        <w:t>The greatest learning experience of this assignment is that the international marketing strategy is a context-based one. The use of the Hofstede cultural framework proved that consumer behaviour is highly diverse in different markets and the firms must also change their strategies (Lu et al., 2021). Nonetheless, the analysis also disclosed that these models are also limited as they over-generalize about intricate cultural processes and might not be completely able to represent changing consumer patterns (Hofstede, 2011). This emphasizes the importance of applying theoretical models critically as opposed to applying them uncritically.</w:t>
      </w:r>
    </w:p>
    <w:p>
      <w:pPr>
        <w:pStyle w:val="style0"/>
        <w:rPr/>
      </w:pPr>
      <w:r>
        <w:t>Besides, the PESTEL analysis integration also depicted the influence of macro-environment factors on strategic decisions. As an example, the UK market is saturated and, therefore, requires efficiency and differentiation, and India is a high-growth setting that demands expansion and localisation (</w:t>
      </w:r>
      <w:r>
        <w:t>Tokas</w:t>
      </w:r>
      <w:r>
        <w:t xml:space="preserve"> and Deb, 2020). This is in line with the idea of semi-globalisation where companies have to strike a balance between globalisation and local sensitivity (Ghemawat, 2007). One of the learning outcomes is that strategic frameworks are interrelated. Segmentation has an impact on targeting which influences positioning and finally on the marketing mix. Such interdependence supports the need to adopt a holistic approach to strategy. Altogether, the assignment helped to shift the focus towards operational thinking to strategic analysis to better comprehend how theoretical concepts are implemented in the real-life business environments (Steger and James, 2020).</w:t>
      </w:r>
    </w:p>
    <w:p>
      <w:pPr>
        <w:pStyle w:val="style2"/>
        <w:rPr/>
      </w:pPr>
      <w:r>
        <w:t xml:space="preserve">1.5 Conclusion </w:t>
      </w:r>
    </w:p>
    <w:p>
      <w:pPr>
        <w:pStyle w:val="style0"/>
        <w:rPr/>
      </w:pPr>
      <w:r>
        <w:t>Such reflective process shows the obvious development of descriptive learning to critical analysis. The task demonstrated the significance of the combination of theoretical models and practical observations in order to appraise the international marketing strategies. It also highlighted the importance of challenging assumptions and being aware of the shortfalls of the existing models. Critical analysis of strategic decisions in various markets is a major advancement in the power of analysis. On the whole, the experience has not only reinforced academic knowledge but also practical application skills, and it has helped to become more strategic in addressing problems in the world of international business.</w:t>
      </w:r>
    </w:p>
    <w:p>
      <w:pPr>
        <w:pStyle w:val="style2"/>
        <w:rPr/>
      </w:pPr>
      <w:r>
        <w:t xml:space="preserve">1.6 Action Plan </w:t>
      </w:r>
    </w:p>
    <w:p>
      <w:pPr>
        <w:pStyle w:val="style0"/>
        <w:rPr/>
      </w:pPr>
      <w:r>
        <w:t>Further improvement of analytical skills will be achieved through the work in the future, which will be aimed at more comprehensive work with academic literature, especially peer-reviewed journals, to improve theoretical knowledge. It will also be focused on enhancing the skills of combining various frameworks into a unified argument. Furthermore, more attention will be devoted to the use of real-time information to make the analysis more relevant and in-depth. One of the areas of focus will be the development of critical writing skills, especially the use of evaluation instead of description. Lastly, the transfer of the skills in the real-life setting will aid in making the shift between academic and professional strategic decision-making.</w:t>
      </w:r>
    </w:p>
    <w:p>
      <w:pPr>
        <w:pStyle w:val="style0"/>
        <w:spacing w:lineRule="auto" w:line="278"/>
        <w:jc w:val="left"/>
        <w:rPr/>
      </w:pPr>
      <w:r>
        <w:br w:type="page"/>
      </w:r>
    </w:p>
    <w:p>
      <w:pPr>
        <w:pStyle w:val="style1"/>
        <w:rPr/>
      </w:pPr>
      <w:r>
        <w:t>REFERENCES</w:t>
      </w:r>
    </w:p>
    <w:bookmarkStart w:id="0" w:name="_GoBack"/>
    <w:p>
      <w:pPr>
        <w:pStyle w:val="style0"/>
        <w:ind w:left="720" w:hanging="720"/>
        <w:rPr>
          <w:lang w:val="en-US"/>
        </w:rPr>
      </w:pPr>
      <w:r>
        <w:rPr>
          <w:lang w:val="en-US"/>
        </w:rPr>
        <w:t xml:space="preserve">‘KFC and McDonald’s in China localization marketing strategy comparison – Take the Qinzhou market for example’ (2023) </w:t>
      </w:r>
      <w:r>
        <w:rPr>
          <w:i/>
          <w:iCs/>
          <w:lang w:val="en-US"/>
        </w:rPr>
        <w:t>International Journal of Social Sciences and Economic Management</w:t>
      </w:r>
      <w:r>
        <w:rPr>
          <w:lang w:val="en-US"/>
        </w:rPr>
        <w:t xml:space="preserve">, 4(3). </w:t>
      </w:r>
      <w:r>
        <w:rPr/>
        <w:fldChar w:fldCharType="begin"/>
      </w:r>
      <w:r>
        <w:instrText xml:space="preserve"> HYPERLINK "https://doi.org/10.38007/ijssem.2023.040304" \t "_new" </w:instrText>
      </w:r>
      <w:r>
        <w:rPr/>
        <w:fldChar w:fldCharType="separate"/>
      </w:r>
      <w:r>
        <w:rPr>
          <w:rStyle w:val="style85"/>
          <w:lang w:val="en-US"/>
        </w:rPr>
        <w:t>https://doi.org/10.38007/ijssem.2023.040304</w:t>
      </w:r>
      <w:r>
        <w:rPr/>
        <w:fldChar w:fldCharType="end"/>
      </w:r>
    </w:p>
    <w:p>
      <w:pPr>
        <w:pStyle w:val="style0"/>
        <w:ind w:left="720" w:hanging="720"/>
        <w:rPr/>
      </w:pPr>
      <w:r>
        <w:t xml:space="preserve">‘ONDC: Opportunities and challenges for cloud kitchen owners’ (2024) </w:t>
      </w:r>
      <w:r>
        <w:rPr>
          <w:rStyle w:val="style88"/>
        </w:rPr>
        <w:t>International Research Journal of Advanced Engineering and Management</w:t>
      </w:r>
      <w:r>
        <w:t xml:space="preserve">, 2(06), pp. 1946–1955. </w:t>
      </w:r>
      <w:r>
        <w:rPr/>
        <w:fldChar w:fldCharType="begin"/>
      </w:r>
      <w:r>
        <w:instrText xml:space="preserve"> HYPERLINK "https://doi.org/10.47392/irjaem.2024.0288" \t "_new" </w:instrText>
      </w:r>
      <w:r>
        <w:rPr/>
        <w:fldChar w:fldCharType="separate"/>
      </w:r>
      <w:r>
        <w:rPr>
          <w:rStyle w:val="style85"/>
        </w:rPr>
        <w:t>https://doi.org/10.47392/irjaem.2024.0288</w:t>
      </w:r>
      <w:r>
        <w:rPr/>
        <w:fldChar w:fldCharType="end"/>
      </w:r>
    </w:p>
    <w:p>
      <w:pPr>
        <w:pStyle w:val="style0"/>
        <w:ind w:left="720" w:hanging="720"/>
        <w:rPr/>
      </w:pPr>
      <w:r>
        <w:rPr>
          <w:lang w:val="en-US"/>
        </w:rPr>
        <w:t>Abdelmoety</w:t>
      </w:r>
      <w:r>
        <w:rPr>
          <w:lang w:val="en-US"/>
        </w:rPr>
        <w:t xml:space="preserve">, Z., </w:t>
      </w:r>
      <w:r>
        <w:rPr>
          <w:lang w:val="en-US"/>
        </w:rPr>
        <w:t>Aboul</w:t>
      </w:r>
      <w:r>
        <w:rPr>
          <w:lang w:val="en-US"/>
        </w:rPr>
        <w:t xml:space="preserve">-Dahab, S. and </w:t>
      </w:r>
      <w:r>
        <w:rPr>
          <w:lang w:val="en-US"/>
        </w:rPr>
        <w:t>Agag</w:t>
      </w:r>
      <w:r>
        <w:rPr>
          <w:lang w:val="en-US"/>
        </w:rPr>
        <w:t xml:space="preserve">, G. (2022) ‘A cross cultural investigation of </w:t>
      </w:r>
      <w:r>
        <w:rPr>
          <w:lang w:val="en-US"/>
        </w:rPr>
        <w:t>retailers</w:t>
      </w:r>
      <w:r>
        <w:rPr>
          <w:lang w:val="en-US"/>
        </w:rPr>
        <w:t xml:space="preserve"> commitment to CSR and customer citizenship behaviour: The role of ethical standard and value relevance’, </w:t>
      </w:r>
      <w:r>
        <w:rPr>
          <w:i/>
          <w:iCs/>
          <w:lang w:val="en-US"/>
        </w:rPr>
        <w:t>Journal of Retailing and Consumer Services</w:t>
      </w:r>
      <w:r>
        <w:rPr>
          <w:lang w:val="en-US"/>
        </w:rPr>
        <w:t xml:space="preserve">, 64, p. 102796. </w:t>
      </w:r>
      <w:r>
        <w:rPr/>
        <w:fldChar w:fldCharType="begin"/>
      </w:r>
      <w:r>
        <w:instrText xml:space="preserve"> HYPERLINK "https://doi.org/10.1016/j.jretconser.2021.102796" \t "_new" </w:instrText>
      </w:r>
      <w:r>
        <w:rPr/>
        <w:fldChar w:fldCharType="separate"/>
      </w:r>
      <w:r>
        <w:rPr>
          <w:rStyle w:val="style85"/>
          <w:lang w:val="en-US"/>
        </w:rPr>
        <w:t>https://doi.org/10.1016/j.jretconser.2021.102796</w:t>
      </w:r>
      <w:r>
        <w:rPr/>
        <w:fldChar w:fldCharType="end"/>
      </w:r>
    </w:p>
    <w:p>
      <w:pPr>
        <w:pStyle w:val="style0"/>
        <w:ind w:left="720" w:hanging="720"/>
        <w:rPr>
          <w:lang w:val="en-US"/>
        </w:rPr>
      </w:pPr>
      <w:r>
        <w:rPr>
          <w:lang w:val="en-US"/>
        </w:rPr>
        <w:t xml:space="preserve">Ahuja, S. and Krupa, A. (2025) ‘Healthy eating—A structured literature review using theory–context–characteristics–methods (TCCM) approach and future research agendas’, </w:t>
      </w:r>
      <w:r>
        <w:rPr>
          <w:i/>
          <w:iCs/>
          <w:lang w:val="en-US"/>
        </w:rPr>
        <w:t>Journal of Consumer Behaviour</w:t>
      </w:r>
      <w:r>
        <w:rPr>
          <w:lang w:val="en-US"/>
        </w:rPr>
        <w:t xml:space="preserve">, 24(4), pp. 2097–2120. </w:t>
      </w:r>
      <w:r>
        <w:rPr/>
        <w:fldChar w:fldCharType="begin"/>
      </w:r>
      <w:r>
        <w:instrText xml:space="preserve"> HYPERLINK "https://doi.org/10.1002/cb.2507" \t "_new" </w:instrText>
      </w:r>
      <w:r>
        <w:rPr/>
        <w:fldChar w:fldCharType="separate"/>
      </w:r>
      <w:r>
        <w:rPr>
          <w:rStyle w:val="style85"/>
          <w:lang w:val="en-US"/>
        </w:rPr>
        <w:t>https://doi.org/10.1002/cb.2507</w:t>
      </w:r>
      <w:r>
        <w:rPr/>
        <w:fldChar w:fldCharType="end"/>
      </w:r>
    </w:p>
    <w:p>
      <w:pPr>
        <w:pStyle w:val="style0"/>
        <w:ind w:left="720" w:hanging="720"/>
        <w:rPr>
          <w:lang w:val="en-US"/>
        </w:rPr>
      </w:pPr>
      <w:r>
        <w:rPr>
          <w:lang w:val="en-US"/>
        </w:rPr>
        <w:t>Alamuri</w:t>
      </w:r>
      <w:r>
        <w:rPr>
          <w:lang w:val="en-US"/>
        </w:rPr>
        <w:t xml:space="preserve">, S. and </w:t>
      </w:r>
      <w:r>
        <w:rPr>
          <w:lang w:val="en-US"/>
        </w:rPr>
        <w:t>Aluvala</w:t>
      </w:r>
      <w:r>
        <w:rPr>
          <w:lang w:val="en-US"/>
        </w:rPr>
        <w:t>, R. (2024) ‘</w:t>
      </w:r>
      <w:r>
        <w:rPr>
          <w:lang w:val="en-US"/>
        </w:rPr>
        <w:t>Glocalization</w:t>
      </w:r>
      <w:r>
        <w:rPr>
          <w:lang w:val="en-US"/>
        </w:rPr>
        <w:t xml:space="preserve">: An analysis into its conceptual and strategic underpinnings’, </w:t>
      </w:r>
      <w:r>
        <w:rPr>
          <w:i/>
          <w:iCs/>
          <w:lang w:val="en-US"/>
        </w:rPr>
        <w:t>Brazilian Journal of Development</w:t>
      </w:r>
      <w:r>
        <w:rPr>
          <w:lang w:val="en-US"/>
        </w:rPr>
        <w:t xml:space="preserve">, 10(5), p. e69567. </w:t>
      </w:r>
      <w:r>
        <w:rPr/>
        <w:fldChar w:fldCharType="begin"/>
      </w:r>
      <w:r>
        <w:instrText xml:space="preserve"> HYPERLINK "https://doi.org/10.34117/bjdv10n5-031" \t "_new" </w:instrText>
      </w:r>
      <w:r>
        <w:rPr/>
        <w:fldChar w:fldCharType="separate"/>
      </w:r>
      <w:r>
        <w:rPr>
          <w:rStyle w:val="style85"/>
          <w:lang w:val="en-US"/>
        </w:rPr>
        <w:t>https://doi.org/10.34117/bjdv10n5-031</w:t>
      </w:r>
      <w:r>
        <w:rPr/>
        <w:fldChar w:fldCharType="end"/>
      </w:r>
    </w:p>
    <w:p>
      <w:pPr>
        <w:pStyle w:val="style0"/>
        <w:ind w:left="720" w:hanging="720"/>
        <w:rPr/>
      </w:pPr>
      <w:r>
        <w:t>AlQurashi</w:t>
      </w:r>
      <w:r>
        <w:t xml:space="preserve">, A., </w:t>
      </w:r>
      <w:r>
        <w:t>Kusuma</w:t>
      </w:r>
      <w:r>
        <w:t xml:space="preserve">, D., </w:t>
      </w:r>
      <w:r>
        <w:t>Aljishi</w:t>
      </w:r>
      <w:r>
        <w:t xml:space="preserve">, H., </w:t>
      </w:r>
      <w:r>
        <w:t>AlFaiz</w:t>
      </w:r>
      <w:r>
        <w:t xml:space="preserve">, A. and </w:t>
      </w:r>
      <w:r>
        <w:t>Alsaad</w:t>
      </w:r>
      <w:r>
        <w:t xml:space="preserve">, A. (2021) ‘Density of fast food outlets around educational facilities in Riyadh, Saudi Arabia: Geospatial analysis’, </w:t>
      </w:r>
      <w:r>
        <w:rPr>
          <w:rStyle w:val="style88"/>
        </w:rPr>
        <w:t>International Journal of Environmental Research and Public Health</w:t>
      </w:r>
      <w:r>
        <w:t xml:space="preserve">, 18(12), p. 6502. </w:t>
      </w:r>
      <w:r>
        <w:rPr/>
        <w:fldChar w:fldCharType="begin"/>
      </w:r>
      <w:r>
        <w:instrText xml:space="preserve"> HYPERLINK "https://doi.org/10.3390/ijerph18126502" \t "_new" </w:instrText>
      </w:r>
      <w:r>
        <w:rPr/>
        <w:fldChar w:fldCharType="separate"/>
      </w:r>
      <w:r>
        <w:rPr>
          <w:rStyle w:val="style85"/>
        </w:rPr>
        <w:t>https://doi.org/10.3390/ijerph18126502</w:t>
      </w:r>
      <w:r>
        <w:rPr/>
        <w:fldChar w:fldCharType="end"/>
      </w:r>
    </w:p>
    <w:p>
      <w:pPr>
        <w:pStyle w:val="style0"/>
        <w:ind w:left="720" w:hanging="720"/>
        <w:rPr>
          <w:lang w:val="en-US"/>
        </w:rPr>
      </w:pPr>
      <w:r>
        <w:rPr>
          <w:lang w:val="en-US"/>
        </w:rPr>
        <w:t>Babu</w:t>
      </w:r>
      <w:r>
        <w:rPr>
          <w:lang w:val="en-US"/>
        </w:rPr>
        <w:t xml:space="preserve">, A. and Sarkar, B. (2024) ‘Should India adopt the developed countries model of electric vehicles diffusion?’, </w:t>
      </w:r>
      <w:r>
        <w:rPr>
          <w:i/>
          <w:iCs/>
          <w:lang w:val="en-US"/>
        </w:rPr>
        <w:t>Ecological Engineering &amp; Environmental Technology</w:t>
      </w:r>
      <w:r>
        <w:rPr>
          <w:lang w:val="en-US"/>
        </w:rPr>
        <w:t xml:space="preserve">, 25(6), pp. 273–290. </w:t>
      </w:r>
      <w:r>
        <w:rPr/>
        <w:fldChar w:fldCharType="begin"/>
      </w:r>
      <w:r>
        <w:instrText xml:space="preserve"> HYPERLINK "https://doi.org/10.12912/27197050/187164" \t "_new" </w:instrText>
      </w:r>
      <w:r>
        <w:rPr/>
        <w:fldChar w:fldCharType="separate"/>
      </w:r>
      <w:r>
        <w:rPr>
          <w:rStyle w:val="style85"/>
          <w:lang w:val="en-US"/>
        </w:rPr>
        <w:t>https://doi.org/10.12912/27197050/187164</w:t>
      </w:r>
      <w:r>
        <w:rPr/>
        <w:fldChar w:fldCharType="end"/>
      </w:r>
    </w:p>
    <w:p>
      <w:pPr>
        <w:pStyle w:val="style0"/>
        <w:ind w:left="720" w:hanging="720"/>
        <w:rPr/>
      </w:pPr>
      <w:r>
        <w:rPr>
          <w:lang w:val="en-US"/>
        </w:rPr>
        <w:t>Bagnato</w:t>
      </w:r>
      <w:r>
        <w:rPr>
          <w:lang w:val="en-US"/>
        </w:rPr>
        <w:t xml:space="preserve">, M., Roy-Gagnon, M., </w:t>
      </w:r>
      <w:r>
        <w:rPr>
          <w:lang w:val="en-US"/>
        </w:rPr>
        <w:t>Vanderlee</w:t>
      </w:r>
      <w:r>
        <w:rPr>
          <w:lang w:val="en-US"/>
        </w:rPr>
        <w:t xml:space="preserve">, L., White, C., Hammond, D. and Kent, M. (2023) ‘The impact of fast food marketing on brand preferences and fast food intake of youth aged 10–17 across six countries’, </w:t>
      </w:r>
      <w:r>
        <w:rPr>
          <w:i/>
          <w:iCs/>
          <w:lang w:val="en-US"/>
        </w:rPr>
        <w:t>BMC Public Health</w:t>
      </w:r>
      <w:r>
        <w:rPr>
          <w:lang w:val="en-US"/>
        </w:rPr>
        <w:t xml:space="preserve">, 23(1). </w:t>
      </w:r>
      <w:r>
        <w:rPr/>
        <w:fldChar w:fldCharType="begin"/>
      </w:r>
      <w:r>
        <w:instrText xml:space="preserve"> HYPERLINK "https://doi.org/10.1186/s12889-023-16158-w" \t "_new" </w:instrText>
      </w:r>
      <w:r>
        <w:rPr/>
        <w:fldChar w:fldCharType="separate"/>
      </w:r>
      <w:r>
        <w:rPr>
          <w:rStyle w:val="style85"/>
          <w:lang w:val="en-US"/>
        </w:rPr>
        <w:t>https://doi.org/10.1186/s12889-023-16158-w</w:t>
      </w:r>
      <w:r>
        <w:rPr/>
        <w:fldChar w:fldCharType="end"/>
      </w:r>
    </w:p>
    <w:p>
      <w:pPr>
        <w:pStyle w:val="style0"/>
        <w:ind w:left="720" w:hanging="720"/>
        <w:rPr>
          <w:lang w:val="en-US"/>
        </w:rPr>
      </w:pPr>
      <w:r>
        <w:rPr>
          <w:lang w:val="en-US"/>
        </w:rPr>
        <w:t>Bankole</w:t>
      </w:r>
      <w:r>
        <w:rPr>
          <w:lang w:val="en-US"/>
        </w:rPr>
        <w:t xml:space="preserve">, E., Harris, N., Rutherford, S. and Wiseman, N. (2023) ‘A systematic review of the adolescent-directed marketing strategies of transnational fast food companies in low- and middle-income countries’, </w:t>
      </w:r>
      <w:r>
        <w:rPr>
          <w:i/>
          <w:iCs/>
          <w:lang w:val="en-US"/>
        </w:rPr>
        <w:t>Obesity Science &amp; Practice</w:t>
      </w:r>
      <w:r>
        <w:rPr>
          <w:lang w:val="en-US"/>
        </w:rPr>
        <w:t xml:space="preserve">, 9(6), pp. 670–680. </w:t>
      </w:r>
      <w:r>
        <w:rPr/>
        <w:fldChar w:fldCharType="begin"/>
      </w:r>
      <w:r>
        <w:instrText xml:space="preserve"> HYPERLINK "https://doi.org/10.1002/osp4.676" \t "_new" </w:instrText>
      </w:r>
      <w:r>
        <w:rPr/>
        <w:fldChar w:fldCharType="separate"/>
      </w:r>
      <w:r>
        <w:rPr>
          <w:rStyle w:val="style85"/>
          <w:lang w:val="en-US"/>
        </w:rPr>
        <w:t>https://doi.org/10.1002/osp4.676</w:t>
      </w:r>
      <w:r>
        <w:rPr/>
        <w:fldChar w:fldCharType="end"/>
      </w:r>
    </w:p>
    <w:p>
      <w:pPr>
        <w:pStyle w:val="style0"/>
        <w:ind w:left="720" w:hanging="720"/>
        <w:rPr>
          <w:lang w:val="en-US"/>
        </w:rPr>
      </w:pPr>
      <w:r>
        <w:rPr>
          <w:lang w:val="en-US"/>
        </w:rPr>
        <w:t>Bankole</w:t>
      </w:r>
      <w:r>
        <w:rPr>
          <w:lang w:val="en-US"/>
        </w:rPr>
        <w:t xml:space="preserve">, E., Harris, N., Rutherford, S. and Wiseman, N. (2024) ‘Nigerian adolescents’ exposure to fast food marketing via Instagram’, </w:t>
      </w:r>
      <w:r>
        <w:rPr>
          <w:i/>
          <w:iCs/>
          <w:lang w:val="en-US"/>
        </w:rPr>
        <w:t>BMC Public Health</w:t>
      </w:r>
      <w:r>
        <w:rPr>
          <w:lang w:val="en-US"/>
        </w:rPr>
        <w:t xml:space="preserve">, 24(1). </w:t>
      </w:r>
      <w:r>
        <w:rPr/>
        <w:fldChar w:fldCharType="begin"/>
      </w:r>
      <w:r>
        <w:instrText xml:space="preserve"> HYPERLINK "https://doi.org/10.1186/s12889-024-18604-9" \t "_new" </w:instrText>
      </w:r>
      <w:r>
        <w:rPr/>
        <w:fldChar w:fldCharType="separate"/>
      </w:r>
      <w:r>
        <w:rPr>
          <w:rStyle w:val="style85"/>
          <w:lang w:val="en-US"/>
        </w:rPr>
        <w:t>https://doi.org/10.1186/s12889-024-18604-9</w:t>
      </w:r>
      <w:r>
        <w:rPr/>
        <w:fldChar w:fldCharType="end"/>
      </w:r>
    </w:p>
    <w:p>
      <w:pPr>
        <w:pStyle w:val="style0"/>
        <w:ind w:left="720" w:hanging="720"/>
        <w:rPr/>
      </w:pPr>
      <w:r>
        <w:t xml:space="preserve">Bhattacharya, S. and Bhattacharya, C. (2021) ‘Sustainable human resource planning for hospitals in tier 2/3 cities: Evidence from India’, </w:t>
      </w:r>
      <w:r>
        <w:rPr>
          <w:rStyle w:val="style88"/>
        </w:rPr>
        <w:t>International Journal of Organizational Analysis</w:t>
      </w:r>
      <w:r>
        <w:t xml:space="preserve">, 31(2), pp. 476–507. </w:t>
      </w:r>
      <w:r>
        <w:rPr/>
        <w:fldChar w:fldCharType="begin"/>
      </w:r>
      <w:r>
        <w:instrText xml:space="preserve"> HYPERLINK "https://doi.org/10.1108/ijoa-07-2020-2289" \t "_new" </w:instrText>
      </w:r>
      <w:r>
        <w:rPr/>
        <w:fldChar w:fldCharType="separate"/>
      </w:r>
      <w:r>
        <w:rPr>
          <w:rStyle w:val="style85"/>
        </w:rPr>
        <w:t>https://doi.org/10.1108/ijoa-07-2020-2289</w:t>
      </w:r>
      <w:r>
        <w:rPr/>
        <w:fldChar w:fldCharType="end"/>
      </w:r>
    </w:p>
    <w:p>
      <w:pPr>
        <w:pStyle w:val="style0"/>
        <w:ind w:left="720" w:hanging="720"/>
        <w:rPr>
          <w:lang w:val="en-US"/>
        </w:rPr>
      </w:pPr>
      <w:r>
        <w:rPr>
          <w:lang w:val="en-US"/>
        </w:rPr>
        <w:t>Byaro</w:t>
      </w:r>
      <w:r>
        <w:rPr>
          <w:lang w:val="en-US"/>
        </w:rPr>
        <w:t xml:space="preserve">, M. and </w:t>
      </w:r>
      <w:r>
        <w:rPr>
          <w:lang w:val="en-US"/>
        </w:rPr>
        <w:t>Rwezaula</w:t>
      </w:r>
      <w:r>
        <w:rPr>
          <w:lang w:val="en-US"/>
        </w:rPr>
        <w:t xml:space="preserve">, A. (2025) ‘The effects of climate change and technological advancement on economic recovery in Sub-Saharan Africa’, </w:t>
      </w:r>
      <w:r>
        <w:rPr>
          <w:i/>
          <w:iCs/>
          <w:lang w:val="en-US"/>
        </w:rPr>
        <w:t>World Affairs</w:t>
      </w:r>
      <w:r>
        <w:rPr>
          <w:lang w:val="en-US"/>
        </w:rPr>
        <w:t xml:space="preserve">, 188(2). </w:t>
      </w:r>
      <w:r>
        <w:rPr/>
        <w:fldChar w:fldCharType="begin"/>
      </w:r>
      <w:r>
        <w:instrText xml:space="preserve"> HYPERLINK "https://doi.org/10.1002/waf2.12075" \t "_new" </w:instrText>
      </w:r>
      <w:r>
        <w:rPr/>
        <w:fldChar w:fldCharType="separate"/>
      </w:r>
      <w:r>
        <w:rPr>
          <w:rStyle w:val="style85"/>
          <w:lang w:val="en-US"/>
        </w:rPr>
        <w:t>https://doi.org/10.1002/waf2.12075</w:t>
      </w:r>
      <w:r>
        <w:rPr/>
        <w:fldChar w:fldCharType="end"/>
      </w:r>
    </w:p>
    <w:p>
      <w:pPr>
        <w:pStyle w:val="style0"/>
        <w:ind w:left="720" w:hanging="720"/>
        <w:rPr/>
      </w:pPr>
      <w:r>
        <w:t xml:space="preserve">Chan, C., </w:t>
      </w:r>
      <w:r>
        <w:t>Kee</w:t>
      </w:r>
      <w:r>
        <w:t xml:space="preserve">, D., Chong, E., </w:t>
      </w:r>
      <w:r>
        <w:t>Hak</w:t>
      </w:r>
      <w:r>
        <w:t xml:space="preserve">, K., </w:t>
      </w:r>
      <w:r>
        <w:t>Yeong</w:t>
      </w:r>
      <w:r>
        <w:t xml:space="preserve">, P., </w:t>
      </w:r>
      <w:r>
        <w:t>Stephani</w:t>
      </w:r>
      <w:r>
        <w:t xml:space="preserve">, S. </w:t>
      </w:r>
      <w:r>
        <w:rPr>
          <w:rStyle w:val="style88"/>
        </w:rPr>
        <w:t>et al.</w:t>
      </w:r>
      <w:r>
        <w:t xml:space="preserve"> (2020) ‘The challenges of healthy lifestyle: A study case of Kentucky Fried Chicken’, </w:t>
      </w:r>
      <w:r>
        <w:rPr>
          <w:rStyle w:val="style88"/>
        </w:rPr>
        <w:t>International Journal of Tourism and Hospitality in Asia Pacific</w:t>
      </w:r>
      <w:r>
        <w:t xml:space="preserve">, 3(2), pp. 57–69. </w:t>
      </w:r>
      <w:r>
        <w:rPr/>
        <w:fldChar w:fldCharType="begin"/>
      </w:r>
      <w:r>
        <w:instrText xml:space="preserve"> HYPERLINK "https://doi.org/10.32535/ijthap.v3i2.823" \t "_new" </w:instrText>
      </w:r>
      <w:r>
        <w:rPr/>
        <w:fldChar w:fldCharType="separate"/>
      </w:r>
      <w:r>
        <w:rPr>
          <w:rStyle w:val="style85"/>
        </w:rPr>
        <w:t>https://doi.org/10.32535/ijthap.v3i2.823</w:t>
      </w:r>
      <w:r>
        <w:rPr/>
        <w:fldChar w:fldCharType="end"/>
      </w:r>
    </w:p>
    <w:p>
      <w:pPr>
        <w:pStyle w:val="style0"/>
        <w:ind w:left="720" w:hanging="720"/>
        <w:rPr>
          <w:lang w:val="en-US"/>
        </w:rPr>
      </w:pPr>
      <w:r>
        <w:rPr>
          <w:lang w:val="en-US"/>
        </w:rPr>
        <w:t>Channa</w:t>
      </w:r>
      <w:r>
        <w:rPr>
          <w:lang w:val="en-US"/>
        </w:rPr>
        <w:t xml:space="preserve">, M., </w:t>
      </w:r>
      <w:r>
        <w:rPr>
          <w:lang w:val="en-US"/>
        </w:rPr>
        <w:t>Pitafi</w:t>
      </w:r>
      <w:r>
        <w:rPr>
          <w:lang w:val="en-US"/>
        </w:rPr>
        <w:t xml:space="preserve">, A. and </w:t>
      </w:r>
      <w:r>
        <w:rPr>
          <w:lang w:val="en-US"/>
        </w:rPr>
        <w:t>Tunio</w:t>
      </w:r>
      <w:r>
        <w:rPr>
          <w:lang w:val="en-US"/>
        </w:rPr>
        <w:t xml:space="preserve">, G. (2021) ‘Consumer perception towards localization of MNC fast food chain in Pakistan’, </w:t>
      </w:r>
      <w:r>
        <w:rPr>
          <w:i/>
          <w:iCs/>
          <w:lang w:val="en-US"/>
        </w:rPr>
        <w:t>Jurnal</w:t>
      </w:r>
      <w:r>
        <w:rPr>
          <w:i/>
          <w:iCs/>
          <w:lang w:val="en-US"/>
        </w:rPr>
        <w:t xml:space="preserve"> </w:t>
      </w:r>
      <w:r>
        <w:rPr>
          <w:i/>
          <w:iCs/>
          <w:lang w:val="en-US"/>
        </w:rPr>
        <w:t>Ekonomi</w:t>
      </w:r>
      <w:r>
        <w:rPr>
          <w:lang w:val="en-US"/>
        </w:rPr>
        <w:t xml:space="preserve">, 21(2), pp. 101–112. </w:t>
      </w:r>
      <w:r>
        <w:rPr/>
        <w:fldChar w:fldCharType="begin"/>
      </w:r>
      <w:r>
        <w:instrText xml:space="preserve"> HYPERLINK "https://doi.org/10.29138/je.v21i2.154" \t "_new" </w:instrText>
      </w:r>
      <w:r>
        <w:rPr/>
        <w:fldChar w:fldCharType="separate"/>
      </w:r>
      <w:r>
        <w:rPr>
          <w:rStyle w:val="style85"/>
          <w:lang w:val="en-US"/>
        </w:rPr>
        <w:t>https://doi.org/10.29138/je.v21i2.154</w:t>
      </w:r>
      <w:r>
        <w:rPr/>
        <w:fldChar w:fldCharType="end"/>
      </w:r>
    </w:p>
    <w:p>
      <w:pPr>
        <w:pStyle w:val="style0"/>
        <w:ind w:left="720" w:hanging="720"/>
        <w:rPr/>
      </w:pPr>
      <w:r>
        <w:t>Czinkota</w:t>
      </w:r>
      <w:r>
        <w:t xml:space="preserve">, M.R. and </w:t>
      </w:r>
      <w:r>
        <w:t>Ronkainen</w:t>
      </w:r>
      <w:r>
        <w:t>, I.A. (2013) International Marketing. 10th ed. Cengage Learning.</w:t>
      </w:r>
    </w:p>
    <w:p>
      <w:pPr>
        <w:pStyle w:val="style0"/>
        <w:ind w:left="720" w:hanging="720"/>
        <w:rPr/>
      </w:pPr>
      <w:r>
        <w:t xml:space="preserve">Department for Environment, Food &amp; Rural Affairs (DEFRA) (2023) </w:t>
      </w:r>
      <w:r>
        <w:rPr>
          <w:i/>
          <w:iCs/>
        </w:rPr>
        <w:t>UK sustainability and waste strategy</w:t>
      </w:r>
      <w:r>
        <w:t xml:space="preserve">. Available at: </w:t>
      </w:r>
      <w:r>
        <w:rPr/>
        <w:fldChar w:fldCharType="begin"/>
      </w:r>
      <w:r>
        <w:instrText xml:space="preserve"> HYPERLINK "https://www.gov.uk/defra" \t "_new" </w:instrText>
      </w:r>
      <w:r>
        <w:rPr/>
        <w:fldChar w:fldCharType="separate"/>
      </w:r>
      <w:r>
        <w:rPr>
          <w:rStyle w:val="style85"/>
        </w:rPr>
        <w:t>https://www.gov.uk/defra</w:t>
      </w:r>
      <w:r>
        <w:rPr/>
        <w:fldChar w:fldCharType="end"/>
      </w:r>
      <w:r>
        <w:t xml:space="preserve"> </w:t>
      </w:r>
    </w:p>
    <w:p>
      <w:pPr>
        <w:pStyle w:val="style0"/>
        <w:ind w:left="720" w:hanging="720"/>
        <w:rPr/>
      </w:pPr>
      <w:r>
        <w:t xml:space="preserve">Department for Promotion of Industry and Internal Trade (DPIIT) (2023) </w:t>
      </w:r>
      <w:r>
        <w:rPr>
          <w:i/>
          <w:iCs/>
        </w:rPr>
        <w:t>FDI policy for retail sector in India</w:t>
      </w:r>
      <w:r>
        <w:t xml:space="preserve">. Available at: </w:t>
      </w:r>
      <w:r>
        <w:rPr/>
        <w:fldChar w:fldCharType="begin"/>
      </w:r>
      <w:r>
        <w:instrText xml:space="preserve"> HYPERLINK "https://dpiit.gov.in" \t "_new" </w:instrText>
      </w:r>
      <w:r>
        <w:rPr/>
        <w:fldChar w:fldCharType="separate"/>
      </w:r>
      <w:r>
        <w:rPr>
          <w:rStyle w:val="style85"/>
        </w:rPr>
        <w:t>https://dpiit.gov.in</w:t>
      </w:r>
      <w:r>
        <w:rPr/>
        <w:fldChar w:fldCharType="end"/>
      </w:r>
    </w:p>
    <w:p>
      <w:pPr>
        <w:pStyle w:val="style0"/>
        <w:ind w:left="720" w:hanging="720"/>
        <w:rPr/>
      </w:pPr>
      <w:r>
        <w:t xml:space="preserve">Department of Health and Social Care (2022) </w:t>
      </w:r>
      <w:r>
        <w:rPr>
          <w:i/>
          <w:iCs/>
        </w:rPr>
        <w:t>Restricting promotions of products high in fat, sugar and salt</w:t>
      </w:r>
      <w:r>
        <w:t>. Available at:</w:t>
      </w:r>
      <w:r>
        <w:br/>
      </w:r>
      <w:r>
        <w:rPr/>
        <w:fldChar w:fldCharType="begin"/>
      </w:r>
      <w:r>
        <w:instrText xml:space="preserve"> HYPERLINK "https://www.gov.uk/government/publications" \t "_new" </w:instrText>
      </w:r>
      <w:r>
        <w:rPr/>
        <w:fldChar w:fldCharType="separate"/>
      </w:r>
      <w:r>
        <w:rPr>
          <w:rStyle w:val="style85"/>
        </w:rPr>
        <w:t>https://www.gov.uk/government/publications</w:t>
      </w:r>
      <w:r>
        <w:rPr/>
        <w:fldChar w:fldCharType="end"/>
      </w:r>
      <w:r>
        <w:t xml:space="preserve"> </w:t>
      </w:r>
    </w:p>
    <w:p>
      <w:pPr>
        <w:pStyle w:val="style0"/>
        <w:ind w:left="720" w:hanging="720"/>
        <w:rPr/>
      </w:pPr>
      <w:r>
        <w:t xml:space="preserve">Dibb, S. and </w:t>
      </w:r>
      <w:r>
        <w:t>Simkin</w:t>
      </w:r>
      <w:r>
        <w:t xml:space="preserve">, L. (2016) ‘Market segmentation success: Making it happen!’, </w:t>
      </w:r>
      <w:r>
        <w:rPr>
          <w:i/>
          <w:iCs/>
        </w:rPr>
        <w:t>Journal of Marketing Management</w:t>
      </w:r>
      <w:r>
        <w:t xml:space="preserve">, 32(3–4), pp. 267–283. </w:t>
      </w:r>
      <w:r>
        <w:rPr/>
        <w:fldChar w:fldCharType="begin"/>
      </w:r>
      <w:r>
        <w:instrText xml:space="preserve"> HYPERLINK "https://doi.org/10.1080/0267257X.2015.1119210" </w:instrText>
      </w:r>
      <w:r>
        <w:rPr/>
        <w:fldChar w:fldCharType="separate"/>
      </w:r>
      <w:r>
        <w:rPr>
          <w:rStyle w:val="style85"/>
        </w:rPr>
        <w:t>https://doi.org/10.1080/0267257X.2015.1119210</w:t>
      </w:r>
      <w:r>
        <w:rPr/>
        <w:fldChar w:fldCharType="end"/>
      </w:r>
    </w:p>
    <w:p>
      <w:pPr>
        <w:pStyle w:val="style0"/>
        <w:ind w:left="720" w:hanging="720"/>
        <w:rPr>
          <w:lang w:val="en-US"/>
        </w:rPr>
      </w:pPr>
      <w:r>
        <w:rPr>
          <w:lang w:val="en-US"/>
        </w:rPr>
        <w:t>Dilip</w:t>
      </w:r>
      <w:r>
        <w:rPr>
          <w:lang w:val="en-US"/>
        </w:rPr>
        <w:t xml:space="preserve">, D., Sinha, R., Wei, O., </w:t>
      </w:r>
      <w:r>
        <w:rPr>
          <w:lang w:val="en-US"/>
        </w:rPr>
        <w:t>Kee</w:t>
      </w:r>
      <w:r>
        <w:rPr>
          <w:lang w:val="en-US"/>
        </w:rPr>
        <w:t xml:space="preserve">, D., </w:t>
      </w:r>
      <w:r>
        <w:rPr>
          <w:lang w:val="en-US"/>
        </w:rPr>
        <w:t>Leei</w:t>
      </w:r>
      <w:r>
        <w:rPr>
          <w:lang w:val="en-US"/>
        </w:rPr>
        <w:t xml:space="preserve">, O., </w:t>
      </w:r>
      <w:r>
        <w:rPr>
          <w:lang w:val="en-US"/>
        </w:rPr>
        <w:t>Shuang</w:t>
      </w:r>
      <w:r>
        <w:rPr>
          <w:lang w:val="en-US"/>
        </w:rPr>
        <w:t xml:space="preserve">, P. </w:t>
      </w:r>
      <w:r>
        <w:rPr>
          <w:i/>
          <w:iCs/>
          <w:lang w:val="en-US"/>
        </w:rPr>
        <w:t>et al.</w:t>
      </w:r>
      <w:r>
        <w:rPr>
          <w:lang w:val="en-US"/>
        </w:rPr>
        <w:t xml:space="preserve"> (2021) ‘Effective/differentiating marketing strategies of McDonald’s in Malaysia and Indonesia’, </w:t>
      </w:r>
      <w:r>
        <w:rPr>
          <w:i/>
          <w:iCs/>
          <w:lang w:val="en-US"/>
        </w:rPr>
        <w:t>Journal of the Community Development in Asia</w:t>
      </w:r>
      <w:r>
        <w:rPr>
          <w:lang w:val="en-US"/>
        </w:rPr>
        <w:t xml:space="preserve">, 4(1), pp. 16–33. </w:t>
      </w:r>
      <w:r>
        <w:rPr/>
        <w:fldChar w:fldCharType="begin"/>
      </w:r>
      <w:r>
        <w:instrText xml:space="preserve"> HYPERLINK "https://doi.org/10.32535/jcda.v4i1.995" \t "_new" </w:instrText>
      </w:r>
      <w:r>
        <w:rPr/>
        <w:fldChar w:fldCharType="separate"/>
      </w:r>
      <w:r>
        <w:rPr>
          <w:rStyle w:val="style85"/>
          <w:lang w:val="en-US"/>
        </w:rPr>
        <w:t>https://doi.org/10.32535/jcda.v4i1.995</w:t>
      </w:r>
      <w:r>
        <w:rPr/>
        <w:fldChar w:fldCharType="end"/>
      </w:r>
    </w:p>
    <w:p>
      <w:pPr>
        <w:pStyle w:val="style0"/>
        <w:ind w:left="720" w:hanging="720"/>
        <w:rPr/>
      </w:pPr>
      <w:r>
        <w:t xml:space="preserve">Douglas, S.P. and Craig, C.S. (2011) ‘Convergence and divergence: Developing a </w:t>
      </w:r>
      <w:r>
        <w:t>semiglobal</w:t>
      </w:r>
      <w:r>
        <w:t xml:space="preserve"> marketing strategy’, Journal of International Marketing, 19(1), pp. 82–101.</w:t>
      </w:r>
    </w:p>
    <w:p>
      <w:pPr>
        <w:pStyle w:val="style0"/>
        <w:ind w:left="720" w:hanging="720"/>
        <w:rPr/>
      </w:pPr>
      <w:r>
        <w:t>Euromonitor</w:t>
      </w:r>
      <w:r>
        <w:t xml:space="preserve"> International (2024) </w:t>
      </w:r>
      <w:r>
        <w:rPr>
          <w:i/>
          <w:iCs/>
        </w:rPr>
        <w:t>Consumer foodservice and digital delivery trends</w:t>
      </w:r>
      <w:r>
        <w:t xml:space="preserve">. Available at: </w:t>
      </w:r>
      <w:r>
        <w:rPr/>
        <w:fldChar w:fldCharType="begin"/>
      </w:r>
      <w:r>
        <w:instrText xml:space="preserve"> HYPERLINK "https://www.euromonitor.com" \t "_new" </w:instrText>
      </w:r>
      <w:r>
        <w:rPr/>
        <w:fldChar w:fldCharType="separate"/>
      </w:r>
      <w:r>
        <w:rPr>
          <w:rStyle w:val="style85"/>
        </w:rPr>
        <w:t>https://www.euromonitor.com</w:t>
      </w:r>
      <w:r>
        <w:rPr/>
        <w:fldChar w:fldCharType="end"/>
      </w:r>
      <w:r>
        <w:t xml:space="preserve"> </w:t>
      </w:r>
    </w:p>
    <w:p>
      <w:pPr>
        <w:pStyle w:val="style0"/>
        <w:ind w:left="720" w:hanging="720"/>
        <w:rPr>
          <w:lang w:val="en-US"/>
        </w:rPr>
      </w:pPr>
      <w:r>
        <w:rPr>
          <w:lang w:val="en-US"/>
        </w:rPr>
        <w:t>Fonseka</w:t>
      </w:r>
      <w:r>
        <w:rPr>
          <w:lang w:val="en-US"/>
        </w:rPr>
        <w:t xml:space="preserve">, T. (2024) ‘Determination of drivers in embedding environmental sustainability practices in the apparel sector of Sri Lanka’, </w:t>
      </w:r>
      <w:r>
        <w:rPr>
          <w:i/>
          <w:iCs/>
          <w:lang w:val="en-US"/>
        </w:rPr>
        <w:t>International Journal of Science and Research Archive</w:t>
      </w:r>
      <w:r>
        <w:rPr>
          <w:lang w:val="en-US"/>
        </w:rPr>
        <w:t xml:space="preserve">, 12(1), pp. 2103–2114. </w:t>
      </w:r>
      <w:r>
        <w:rPr/>
        <w:fldChar w:fldCharType="begin"/>
      </w:r>
      <w:r>
        <w:instrText xml:space="preserve"> HYPERLINK "https://doi.org/10.30574/ijsra.2024.12.1.0988" \t "_new" </w:instrText>
      </w:r>
      <w:r>
        <w:rPr/>
        <w:fldChar w:fldCharType="separate"/>
      </w:r>
      <w:r>
        <w:rPr>
          <w:rStyle w:val="style85"/>
          <w:lang w:val="en-US"/>
        </w:rPr>
        <w:t>https://doi.org/10.30574/ijsra.2024.12.1.0988</w:t>
      </w:r>
      <w:r>
        <w:rPr/>
        <w:fldChar w:fldCharType="end"/>
      </w:r>
    </w:p>
    <w:p>
      <w:pPr>
        <w:pStyle w:val="style0"/>
        <w:ind w:left="720" w:hanging="720"/>
        <w:rPr/>
      </w:pPr>
      <w:r>
        <w:t xml:space="preserve">Food Standards Agency (2023) </w:t>
      </w:r>
      <w:r>
        <w:rPr>
          <w:i/>
          <w:iCs/>
        </w:rPr>
        <w:t>Food safety and hygiene regulations in the UK</w:t>
      </w:r>
      <w:r>
        <w:t xml:space="preserve">. Available </w:t>
      </w:r>
      <w:r>
        <w:t>at:</w:t>
      </w:r>
      <w:r>
        <w:rPr/>
        <w:fldChar w:fldCharType="begin"/>
      </w:r>
      <w:r>
        <w:instrText xml:space="preserve"> HYPERLINK "https://www.food.gov.uk" \t "_new" </w:instrText>
      </w:r>
      <w:r>
        <w:rPr/>
        <w:fldChar w:fldCharType="separate"/>
      </w:r>
      <w:r>
        <w:rPr>
          <w:rStyle w:val="style85"/>
        </w:rPr>
        <w:t>https</w:t>
      </w:r>
      <w:r>
        <w:rPr>
          <w:rStyle w:val="style85"/>
        </w:rPr>
        <w:t>://www.food.gov.uk</w:t>
      </w:r>
      <w:r>
        <w:rPr/>
        <w:fldChar w:fldCharType="end"/>
      </w:r>
      <w:r>
        <w:t xml:space="preserve"> </w:t>
      </w:r>
    </w:p>
    <w:p>
      <w:pPr>
        <w:pStyle w:val="style0"/>
        <w:ind w:left="720" w:hanging="720"/>
        <w:rPr/>
      </w:pPr>
      <w:r>
        <w:t xml:space="preserve">Ghemawat, P. (2007) </w:t>
      </w:r>
      <w:r>
        <w:rPr>
          <w:i/>
          <w:iCs/>
        </w:rPr>
        <w:t>Redefining Global Strategy</w:t>
      </w:r>
      <w:r>
        <w:t>. Boston: Harvard Business School Press.</w:t>
      </w:r>
    </w:p>
    <w:p>
      <w:pPr>
        <w:pStyle w:val="style0"/>
        <w:ind w:left="720" w:hanging="720"/>
        <w:rPr/>
      </w:pPr>
      <w:r>
        <w:t xml:space="preserve">Gibbs, G. (1988) </w:t>
      </w:r>
      <w:r>
        <w:rPr>
          <w:i/>
          <w:iCs/>
        </w:rPr>
        <w:t>Learning by Doing: A Guide to Teaching and Learning Methods</w:t>
      </w:r>
      <w:r>
        <w:t>. Oxford: Oxford Polytechnic.</w:t>
      </w:r>
    </w:p>
    <w:p>
      <w:pPr>
        <w:pStyle w:val="style0"/>
        <w:ind w:left="720" w:hanging="720"/>
        <w:rPr>
          <w:lang w:val="en-US"/>
        </w:rPr>
      </w:pPr>
      <w:r>
        <w:rPr>
          <w:lang w:val="en-US"/>
        </w:rPr>
        <w:t>Guo</w:t>
      </w:r>
      <w:r>
        <w:rPr>
          <w:lang w:val="en-US"/>
        </w:rPr>
        <w:t xml:space="preserve">, H., </w:t>
      </w:r>
      <w:r>
        <w:rPr>
          <w:lang w:val="en-US"/>
        </w:rPr>
        <w:t>Aris</w:t>
      </w:r>
      <w:r>
        <w:rPr>
          <w:lang w:val="en-US"/>
        </w:rPr>
        <w:t xml:space="preserve">, A. and </w:t>
      </w:r>
      <w:r>
        <w:rPr>
          <w:lang w:val="en-US"/>
        </w:rPr>
        <w:t>Rusli</w:t>
      </w:r>
      <w:r>
        <w:rPr>
          <w:lang w:val="en-US"/>
        </w:rPr>
        <w:t xml:space="preserve">, R. (2024) ‘Heritage and innovation: Redefining Kuala Lumpur’s fashion identity through cross-cultural collaboration’, </w:t>
      </w:r>
      <w:r>
        <w:rPr>
          <w:i/>
          <w:iCs/>
          <w:lang w:val="en-US"/>
        </w:rPr>
        <w:t>MySE</w:t>
      </w:r>
      <w:r>
        <w:rPr>
          <w:lang w:val="en-US"/>
        </w:rPr>
        <w:t xml:space="preserve">, 11(2), pp. 135–158. </w:t>
      </w:r>
      <w:r>
        <w:rPr/>
        <w:fldChar w:fldCharType="begin"/>
      </w:r>
      <w:r>
        <w:instrText xml:space="preserve"> HYPERLINK "https://doi.org/10.24191/myse.v12i1.1604" \t "_new" </w:instrText>
      </w:r>
      <w:r>
        <w:rPr/>
        <w:fldChar w:fldCharType="separate"/>
      </w:r>
      <w:r>
        <w:rPr>
          <w:rStyle w:val="style85"/>
          <w:lang w:val="en-US"/>
        </w:rPr>
        <w:t>https://doi.org/10.24191/myse.v12i1.1604</w:t>
      </w:r>
      <w:r>
        <w:rPr/>
        <w:fldChar w:fldCharType="end"/>
      </w:r>
    </w:p>
    <w:p>
      <w:pPr>
        <w:pStyle w:val="style0"/>
        <w:ind w:left="720" w:hanging="720"/>
        <w:rPr>
          <w:lang w:val="en-US"/>
        </w:rPr>
      </w:pPr>
      <w:r>
        <w:rPr>
          <w:lang w:val="en-US"/>
        </w:rPr>
        <w:t xml:space="preserve">Gupta, A. and Gupta, N. (2021) ‘Environmental practices mediating environmental compliance and firm performance: An institutional theory perspective from emerging economies’, </w:t>
      </w:r>
      <w:r>
        <w:rPr>
          <w:i/>
          <w:iCs/>
          <w:lang w:val="en-US"/>
        </w:rPr>
        <w:t>Global Journal of Flexible Systems Management</w:t>
      </w:r>
      <w:r>
        <w:rPr>
          <w:lang w:val="en-US"/>
        </w:rPr>
        <w:t xml:space="preserve">, 22(3), pp. 157–178. </w:t>
      </w:r>
      <w:r>
        <w:rPr/>
        <w:fldChar w:fldCharType="begin"/>
      </w:r>
      <w:r>
        <w:instrText xml:space="preserve"> HYPERLINK "https://doi.org/10.1007/s40171-021-00266-w" \t "_new" </w:instrText>
      </w:r>
      <w:r>
        <w:rPr/>
        <w:fldChar w:fldCharType="separate"/>
      </w:r>
      <w:r>
        <w:rPr>
          <w:rStyle w:val="style85"/>
          <w:lang w:val="en-US"/>
        </w:rPr>
        <w:t>https://doi.org/10.1007/s40171-021-00266-w</w:t>
      </w:r>
      <w:r>
        <w:rPr/>
        <w:fldChar w:fldCharType="end"/>
      </w:r>
    </w:p>
    <w:p>
      <w:pPr>
        <w:pStyle w:val="style0"/>
        <w:ind w:left="720" w:hanging="720"/>
        <w:rPr/>
      </w:pPr>
      <w:r>
        <w:rPr>
          <w:lang w:val="en-US"/>
        </w:rPr>
        <w:t xml:space="preserve">Gupta, S., </w:t>
      </w:r>
      <w:r>
        <w:rPr>
          <w:lang w:val="en-US"/>
        </w:rPr>
        <w:t>Jha</w:t>
      </w:r>
      <w:r>
        <w:rPr>
          <w:lang w:val="en-US"/>
        </w:rPr>
        <w:t xml:space="preserve">, B. and Singh, R. (2021) ‘Decision making framework for foreign direct investment: Analytic hierarchy process and weighted aggregated sum product assessment integrated approach’, </w:t>
      </w:r>
      <w:r>
        <w:rPr>
          <w:i/>
          <w:iCs/>
          <w:lang w:val="en-US"/>
        </w:rPr>
        <w:t>Journal of Public Affairs</w:t>
      </w:r>
      <w:r>
        <w:rPr>
          <w:lang w:val="en-US"/>
        </w:rPr>
        <w:t xml:space="preserve">, 22(S1). </w:t>
      </w:r>
      <w:r>
        <w:rPr/>
        <w:fldChar w:fldCharType="begin"/>
      </w:r>
      <w:r>
        <w:instrText xml:space="preserve"> HYPERLINK "https://doi.org/10.1002/pa.2771" \t "_new" </w:instrText>
      </w:r>
      <w:r>
        <w:rPr/>
        <w:fldChar w:fldCharType="separate"/>
      </w:r>
      <w:r>
        <w:rPr>
          <w:rStyle w:val="style85"/>
          <w:lang w:val="en-US"/>
        </w:rPr>
        <w:t>https://doi.org/10.1002/pa.2771</w:t>
      </w:r>
      <w:r>
        <w:rPr/>
        <w:fldChar w:fldCharType="end"/>
      </w:r>
    </w:p>
    <w:p>
      <w:pPr>
        <w:pStyle w:val="style0"/>
        <w:ind w:left="720" w:hanging="720"/>
        <w:rPr/>
      </w:pPr>
      <w:r>
        <w:t>Hanaysha</w:t>
      </w:r>
      <w:r>
        <w:t xml:space="preserve">, J. and </w:t>
      </w:r>
      <w:r>
        <w:t>Hasouneh</w:t>
      </w:r>
      <w:r>
        <w:t xml:space="preserve">, L. (2023) ‘ALBAIK restaurant: International expansion to United Arab Emirates’, </w:t>
      </w:r>
      <w:r>
        <w:rPr>
          <w:i/>
          <w:iCs/>
        </w:rPr>
        <w:t>Emerging Economies Cases Journal</w:t>
      </w:r>
      <w:r>
        <w:t xml:space="preserve">, 6(1), pp. 7–15. </w:t>
      </w:r>
      <w:r>
        <w:rPr/>
        <w:fldChar w:fldCharType="begin"/>
      </w:r>
      <w:r>
        <w:instrText xml:space="preserve"> HYPERLINK "https://doi.org/10.1177/25166042231185729" \t "_new" </w:instrText>
      </w:r>
      <w:r>
        <w:rPr/>
        <w:fldChar w:fldCharType="separate"/>
      </w:r>
      <w:r>
        <w:rPr>
          <w:rStyle w:val="style85"/>
        </w:rPr>
        <w:t>https://doi.org/10.1177/25166042231185729</w:t>
      </w:r>
      <w:r>
        <w:rPr/>
        <w:fldChar w:fldCharType="end"/>
      </w:r>
    </w:p>
    <w:p>
      <w:pPr>
        <w:pStyle w:val="style0"/>
        <w:ind w:left="720" w:hanging="720"/>
        <w:rPr>
          <w:lang w:val="en-US"/>
        </w:rPr>
      </w:pPr>
      <w:r>
        <w:rPr>
          <w:lang w:val="en-US"/>
        </w:rPr>
        <w:t xml:space="preserve">Harrington, R., </w:t>
      </w:r>
      <w:r>
        <w:rPr>
          <w:lang w:val="en-US"/>
        </w:rPr>
        <w:t>Ottenbacher</w:t>
      </w:r>
      <w:r>
        <w:rPr>
          <w:lang w:val="en-US"/>
        </w:rPr>
        <w:t xml:space="preserve">, M. and </w:t>
      </w:r>
      <w:r>
        <w:rPr>
          <w:lang w:val="en-US"/>
        </w:rPr>
        <w:t>Fauser</w:t>
      </w:r>
      <w:r>
        <w:rPr>
          <w:lang w:val="en-US"/>
        </w:rPr>
        <w:t xml:space="preserve">, S. (2017) ‘QSR brand value’, </w:t>
      </w:r>
      <w:r>
        <w:rPr>
          <w:i/>
          <w:iCs/>
          <w:lang w:val="en-US"/>
        </w:rPr>
        <w:t>International Journal of Contemporary Hospitality Management</w:t>
      </w:r>
      <w:r>
        <w:rPr>
          <w:lang w:val="en-US"/>
        </w:rPr>
        <w:t xml:space="preserve">, 29(1), pp. 551–570. </w:t>
      </w:r>
      <w:r>
        <w:rPr/>
        <w:fldChar w:fldCharType="begin"/>
      </w:r>
      <w:r>
        <w:instrText xml:space="preserve"> HYPERLINK "https://doi.org/10.1108/ijchm-06-2015-0300" \t "_new" </w:instrText>
      </w:r>
      <w:r>
        <w:rPr/>
        <w:fldChar w:fldCharType="separate"/>
      </w:r>
      <w:r>
        <w:rPr>
          <w:rStyle w:val="style85"/>
          <w:lang w:val="en-US"/>
        </w:rPr>
        <w:t>https://doi.org/10.1108/ijchm-06-2015-0300</w:t>
      </w:r>
      <w:r>
        <w:rPr/>
        <w:fldChar w:fldCharType="end"/>
      </w:r>
    </w:p>
    <w:p>
      <w:pPr>
        <w:pStyle w:val="style0"/>
        <w:ind w:left="720" w:hanging="720"/>
        <w:rPr/>
      </w:pPr>
      <w:r>
        <w:t>Hilger</w:t>
      </w:r>
      <w:r>
        <w:t xml:space="preserve">, K., </w:t>
      </w:r>
      <w:r>
        <w:t>Häge</w:t>
      </w:r>
      <w:r>
        <w:t xml:space="preserve">, A., </w:t>
      </w:r>
      <w:r>
        <w:t>Zedler</w:t>
      </w:r>
      <w:r>
        <w:t xml:space="preserve">, C., </w:t>
      </w:r>
      <w:r>
        <w:t>Jost</w:t>
      </w:r>
      <w:r>
        <w:t xml:space="preserve">, M. and Pauli, P. (2023) ‘Virtual reality to understand pain-associated approach behaviour: A proof-of-concept study’, </w:t>
      </w:r>
      <w:r>
        <w:rPr>
          <w:i/>
          <w:iCs/>
        </w:rPr>
        <w:t>Scientific Reports</w:t>
      </w:r>
      <w:r>
        <w:t xml:space="preserve">, 13(1). Available at: </w:t>
      </w:r>
      <w:r>
        <w:rPr/>
        <w:fldChar w:fldCharType="begin"/>
      </w:r>
      <w:r>
        <w:instrText xml:space="preserve"> HYPERLINK "https://doi.org/10.1038/s41598-023-40789-z" \t "_new" </w:instrText>
      </w:r>
      <w:r>
        <w:rPr/>
        <w:fldChar w:fldCharType="separate"/>
      </w:r>
      <w:r>
        <w:rPr>
          <w:rStyle w:val="style85"/>
        </w:rPr>
        <w:t>https://doi.org/10.1038/s41598-023-40789-z</w:t>
      </w:r>
      <w:r>
        <w:rPr/>
        <w:fldChar w:fldCharType="end"/>
      </w:r>
    </w:p>
    <w:p>
      <w:pPr>
        <w:pStyle w:val="style0"/>
        <w:ind w:left="720" w:hanging="720"/>
        <w:rPr/>
      </w:pPr>
      <w:r>
        <w:t>Hofstede, G. (2011) ‘</w:t>
      </w:r>
      <w:r>
        <w:t>Dimensionalizing</w:t>
      </w:r>
      <w:r>
        <w:t xml:space="preserve"> cultures: The Hofstede model in context’, Online Readings in Psychology and Culture, 2(1).</w:t>
      </w:r>
    </w:p>
    <w:p>
      <w:pPr>
        <w:pStyle w:val="style0"/>
        <w:ind w:left="720" w:hanging="720"/>
        <w:rPr/>
      </w:pPr>
      <w:r>
        <w:t>Hofstede, G. (2011) ‘</w:t>
      </w:r>
      <w:r>
        <w:t>Dimensionalizing</w:t>
      </w:r>
      <w:r>
        <w:t xml:space="preserve"> cultures: The Hofstede model in context’, </w:t>
      </w:r>
      <w:r>
        <w:rPr>
          <w:i/>
          <w:iCs/>
        </w:rPr>
        <w:t>Online Readings in Psychology and Culture</w:t>
      </w:r>
      <w:r>
        <w:t>, 2(1), pp. 1–26.</w:t>
      </w:r>
      <w:r>
        <w:br/>
      </w:r>
      <w:r>
        <w:rPr/>
        <w:fldChar w:fldCharType="begin"/>
      </w:r>
      <w:r>
        <w:instrText xml:space="preserve"> HYPERLINK "https://doi.org/10.9707/2307-0919.1014" \t "_new" </w:instrText>
      </w:r>
      <w:r>
        <w:rPr/>
        <w:fldChar w:fldCharType="separate"/>
      </w:r>
      <w:r>
        <w:rPr>
          <w:rStyle w:val="style85"/>
        </w:rPr>
        <w:t>https://doi.org/10.9707/2307-0919.1014</w:t>
      </w:r>
      <w:r>
        <w:rPr/>
        <w:fldChar w:fldCharType="end"/>
      </w:r>
    </w:p>
    <w:p>
      <w:pPr>
        <w:pStyle w:val="style0"/>
        <w:ind w:left="720" w:hanging="720"/>
        <w:rPr/>
      </w:pPr>
      <w:r>
        <w:t>Hofstede, G. (2011) ‘</w:t>
      </w:r>
      <w:r>
        <w:t>Dimensionalizing</w:t>
      </w:r>
      <w:r>
        <w:t xml:space="preserve"> cultures: The Hofstede model in context’, </w:t>
      </w:r>
      <w:r>
        <w:rPr>
          <w:i/>
          <w:iCs/>
        </w:rPr>
        <w:t>Online Readings in Psychology and Culture</w:t>
      </w:r>
      <w:r>
        <w:t xml:space="preserve">, 2(1). </w:t>
      </w:r>
      <w:r>
        <w:rPr/>
        <w:fldChar w:fldCharType="begin"/>
      </w:r>
      <w:r>
        <w:instrText xml:space="preserve"> HYPERLINK "https://doi.org/10.9707/2307-0919.1014" \t "_new" </w:instrText>
      </w:r>
      <w:r>
        <w:rPr/>
        <w:fldChar w:fldCharType="separate"/>
      </w:r>
      <w:r>
        <w:rPr>
          <w:rStyle w:val="style85"/>
        </w:rPr>
        <w:t>https://doi.org/10.9707/2307-0919.1014</w:t>
      </w:r>
      <w:r>
        <w:rPr/>
        <w:fldChar w:fldCharType="end"/>
      </w:r>
    </w:p>
    <w:p>
      <w:pPr>
        <w:pStyle w:val="style0"/>
        <w:ind w:left="720" w:hanging="720"/>
        <w:rPr/>
      </w:pPr>
      <w:r>
        <w:rPr>
          <w:lang w:val="en-US"/>
        </w:rPr>
        <w:t>Hongdiyanto</w:t>
      </w:r>
      <w:r>
        <w:rPr>
          <w:lang w:val="en-US"/>
        </w:rPr>
        <w:t xml:space="preserve">, C., </w:t>
      </w:r>
      <w:r>
        <w:rPr>
          <w:lang w:val="en-US"/>
        </w:rPr>
        <w:t>Koesmono</w:t>
      </w:r>
      <w:r>
        <w:rPr>
          <w:lang w:val="en-US"/>
        </w:rPr>
        <w:t xml:space="preserve">, T. and </w:t>
      </w:r>
      <w:r>
        <w:rPr>
          <w:lang w:val="en-US"/>
        </w:rPr>
        <w:t>Rachmawati</w:t>
      </w:r>
      <w:r>
        <w:rPr>
          <w:lang w:val="en-US"/>
        </w:rPr>
        <w:t xml:space="preserve">, D. (2023) ‘The influence of perceived price, product quality and service quality towards KFC consumer satisfaction in Indonesia’, </w:t>
      </w:r>
      <w:r>
        <w:rPr>
          <w:i/>
          <w:iCs/>
          <w:lang w:val="en-US"/>
        </w:rPr>
        <w:t>International Journal of Science and Management Studies</w:t>
      </w:r>
      <w:r>
        <w:rPr>
          <w:lang w:val="en-US"/>
        </w:rPr>
        <w:t xml:space="preserve">, pp. 21–32. </w:t>
      </w:r>
      <w:r>
        <w:rPr/>
        <w:fldChar w:fldCharType="begin"/>
      </w:r>
      <w:r>
        <w:instrText xml:space="preserve"> HYPERLINK "https://doi.org/10.51386/25815946/ijsms-v6i6p103" \t "_new" </w:instrText>
      </w:r>
      <w:r>
        <w:rPr/>
        <w:fldChar w:fldCharType="separate"/>
      </w:r>
      <w:r>
        <w:rPr>
          <w:rStyle w:val="style85"/>
          <w:lang w:val="en-US"/>
        </w:rPr>
        <w:t>https://doi.org/10.51386/25815946/ijsms-v6i6p103</w:t>
      </w:r>
      <w:r>
        <w:rPr/>
        <w:fldChar w:fldCharType="end"/>
      </w:r>
    </w:p>
    <w:p>
      <w:pPr>
        <w:pStyle w:val="style0"/>
        <w:ind w:left="720" w:hanging="720"/>
        <w:rPr>
          <w:lang w:val="en-US"/>
        </w:rPr>
      </w:pPr>
      <w:r>
        <w:rPr>
          <w:lang w:val="en-US"/>
        </w:rPr>
        <w:t xml:space="preserve">Hu, X., Jiang, H., Liu, Z., Gao, M., Liu, G., Tian, S. </w:t>
      </w:r>
      <w:r>
        <w:rPr>
          <w:i/>
          <w:iCs/>
          <w:lang w:val="en-US"/>
        </w:rPr>
        <w:t>et al.</w:t>
      </w:r>
      <w:r>
        <w:rPr>
          <w:lang w:val="en-US"/>
        </w:rPr>
        <w:t xml:space="preserve"> (2025) ‘The global potato-processing industry: A review of production, products, quality and sustainability’, </w:t>
      </w:r>
      <w:r>
        <w:rPr>
          <w:i/>
          <w:iCs/>
          <w:lang w:val="en-US"/>
        </w:rPr>
        <w:t>Foods</w:t>
      </w:r>
      <w:r>
        <w:rPr>
          <w:lang w:val="en-US"/>
        </w:rPr>
        <w:t xml:space="preserve">, 14(10), p. 1758. </w:t>
      </w:r>
      <w:r>
        <w:rPr/>
        <w:fldChar w:fldCharType="begin"/>
      </w:r>
      <w:r>
        <w:instrText xml:space="preserve"> HYPERLINK "https://doi.org/10.3390/foods14101758" \t "_new" </w:instrText>
      </w:r>
      <w:r>
        <w:rPr/>
        <w:fldChar w:fldCharType="separate"/>
      </w:r>
      <w:r>
        <w:rPr>
          <w:rStyle w:val="style85"/>
          <w:lang w:val="en-US"/>
        </w:rPr>
        <w:t>https://doi.org/10.3390/foods14101758</w:t>
      </w:r>
      <w:r>
        <w:rPr/>
        <w:fldChar w:fldCharType="end"/>
      </w:r>
    </w:p>
    <w:p>
      <w:pPr>
        <w:pStyle w:val="style0"/>
        <w:ind w:left="720" w:hanging="720"/>
        <w:rPr/>
      </w:pPr>
      <w:r>
        <w:t>Hungund</w:t>
      </w:r>
      <w:r>
        <w:t xml:space="preserve">, S. (2025) ‘The role of food delivery apps in transforming urban eating patterns: A comprehensive behavioral and mathematical analysis of </w:t>
      </w:r>
      <w:r>
        <w:t>Swiggy</w:t>
      </w:r>
      <w:r>
        <w:t xml:space="preserve"> and </w:t>
      </w:r>
      <w:r>
        <w:t>Zomato</w:t>
      </w:r>
      <w:r>
        <w:t xml:space="preserve"> ecosystems’, </w:t>
      </w:r>
      <w:r>
        <w:rPr>
          <w:rStyle w:val="style88"/>
        </w:rPr>
        <w:t>medRxiv</w:t>
      </w:r>
      <w:r>
        <w:t xml:space="preserve">. </w:t>
      </w:r>
      <w:r>
        <w:rPr/>
        <w:fldChar w:fldCharType="begin"/>
      </w:r>
      <w:r>
        <w:instrText xml:space="preserve"> HYPERLINK "https://doi.org/10.1101/2025.11.11.25340043" \t "_new" </w:instrText>
      </w:r>
      <w:r>
        <w:rPr/>
        <w:fldChar w:fldCharType="separate"/>
      </w:r>
      <w:r>
        <w:rPr>
          <w:rStyle w:val="style85"/>
        </w:rPr>
        <w:t>https://doi.org/10.1101/2025.11.11.25340043</w:t>
      </w:r>
      <w:r>
        <w:rPr/>
        <w:fldChar w:fldCharType="end"/>
      </w:r>
    </w:p>
    <w:p>
      <w:pPr>
        <w:pStyle w:val="style0"/>
        <w:ind w:left="720" w:hanging="720"/>
        <w:rPr/>
      </w:pPr>
      <w:r>
        <w:t>Jain, A. and Jain, P. (2022) ‘Effective marketing and corporate governance contribute to entrepreneurial success: Case study of India’s most trusted diagnostics—</w:t>
      </w:r>
      <w:r>
        <w:t>Healthians</w:t>
      </w:r>
      <w:r>
        <w:t xml:space="preserve">’, </w:t>
      </w:r>
      <w:r>
        <w:rPr>
          <w:rStyle w:val="style88"/>
        </w:rPr>
        <w:t>Indian Journal of Corporate Governance</w:t>
      </w:r>
      <w:r>
        <w:t xml:space="preserve">, 15(2), pp. 321–344. </w:t>
      </w:r>
      <w:r>
        <w:rPr/>
        <w:fldChar w:fldCharType="begin"/>
      </w:r>
      <w:r>
        <w:instrText xml:space="preserve"> HYPERLINK "https://doi.org/10.1177/09746862221142332" \t "_new" </w:instrText>
      </w:r>
      <w:r>
        <w:rPr/>
        <w:fldChar w:fldCharType="separate"/>
      </w:r>
      <w:r>
        <w:rPr>
          <w:rStyle w:val="style85"/>
        </w:rPr>
        <w:t>https://doi.org/10.1177/09746862221142332</w:t>
      </w:r>
      <w:r>
        <w:rPr/>
        <w:fldChar w:fldCharType="end"/>
      </w:r>
    </w:p>
    <w:p>
      <w:pPr>
        <w:pStyle w:val="style0"/>
        <w:ind w:left="720" w:hanging="720"/>
        <w:rPr>
          <w:lang w:val="en-US"/>
        </w:rPr>
      </w:pPr>
      <w:r>
        <w:rPr>
          <w:lang w:val="en-US"/>
        </w:rPr>
        <w:t xml:space="preserve">Kaplan, E., Martin, M., Robins, M., </w:t>
      </w:r>
      <w:r>
        <w:rPr>
          <w:lang w:val="en-US"/>
        </w:rPr>
        <w:t>Kubicki</w:t>
      </w:r>
      <w:r>
        <w:rPr>
          <w:lang w:val="en-US"/>
        </w:rPr>
        <w:t xml:space="preserve">, M., </w:t>
      </w:r>
      <w:r>
        <w:rPr>
          <w:lang w:val="en-US"/>
        </w:rPr>
        <w:t>Hamesse</w:t>
      </w:r>
      <w:r>
        <w:rPr>
          <w:lang w:val="en-US"/>
        </w:rPr>
        <w:t xml:space="preserve">, M., </w:t>
      </w:r>
      <w:r>
        <w:rPr>
          <w:lang w:val="en-US"/>
        </w:rPr>
        <w:t>Jungbauer</w:t>
      </w:r>
      <w:r>
        <w:rPr>
          <w:lang w:val="en-US"/>
        </w:rPr>
        <w:t xml:space="preserve">, M. </w:t>
      </w:r>
      <w:r>
        <w:rPr>
          <w:i/>
          <w:iCs/>
          <w:lang w:val="en-US"/>
        </w:rPr>
        <w:t>et al.</w:t>
      </w:r>
      <w:r>
        <w:rPr>
          <w:lang w:val="en-US"/>
        </w:rPr>
        <w:t xml:space="preserve"> (2022) ‘From take-make-waste to circular economy: Tackling greenwashing and artificial demand creation in fast fashion’, </w:t>
      </w:r>
      <w:r>
        <w:rPr>
          <w:i/>
          <w:iCs/>
          <w:lang w:val="en-US"/>
        </w:rPr>
        <w:t>International Journal of Interdisciplinary Research Methods</w:t>
      </w:r>
      <w:r>
        <w:rPr>
          <w:lang w:val="en-US"/>
        </w:rPr>
        <w:t xml:space="preserve">, 9(3), pp. 1–21. </w:t>
      </w:r>
      <w:r>
        <w:rPr/>
        <w:fldChar w:fldCharType="begin"/>
      </w:r>
      <w:r>
        <w:instrText xml:space="preserve"> HYPERLINK "https://doi.org/10.37745/ijirm.14/vol9n3121" \t "_new" </w:instrText>
      </w:r>
      <w:r>
        <w:rPr/>
        <w:fldChar w:fldCharType="separate"/>
      </w:r>
      <w:r>
        <w:rPr>
          <w:rStyle w:val="style85"/>
          <w:lang w:val="en-US"/>
        </w:rPr>
        <w:t>https://doi.org/10.37745/ijirm.14/vol9n3121</w:t>
      </w:r>
      <w:r>
        <w:rPr/>
        <w:fldChar w:fldCharType="end"/>
      </w:r>
    </w:p>
    <w:p>
      <w:pPr>
        <w:pStyle w:val="style0"/>
        <w:ind w:left="720" w:hanging="720"/>
        <w:rPr/>
      </w:pPr>
      <w:r>
        <w:rPr>
          <w:lang w:val="en-US"/>
        </w:rPr>
        <w:t xml:space="preserve">Kaplan, E., Martin, M., Robins, M., </w:t>
      </w:r>
      <w:r>
        <w:rPr>
          <w:lang w:val="en-US"/>
        </w:rPr>
        <w:t>Kubicki</w:t>
      </w:r>
      <w:r>
        <w:rPr>
          <w:lang w:val="en-US"/>
        </w:rPr>
        <w:t xml:space="preserve">, M., </w:t>
      </w:r>
      <w:r>
        <w:rPr>
          <w:lang w:val="en-US"/>
        </w:rPr>
        <w:t>Hamesse</w:t>
      </w:r>
      <w:r>
        <w:rPr>
          <w:lang w:val="en-US"/>
        </w:rPr>
        <w:t xml:space="preserve">, M., </w:t>
      </w:r>
      <w:r>
        <w:rPr>
          <w:lang w:val="en-US"/>
        </w:rPr>
        <w:t>Jungbauer</w:t>
      </w:r>
      <w:r>
        <w:rPr>
          <w:lang w:val="en-US"/>
        </w:rPr>
        <w:t xml:space="preserve">, M. </w:t>
      </w:r>
      <w:r>
        <w:rPr>
          <w:i/>
          <w:iCs/>
          <w:lang w:val="en-US"/>
        </w:rPr>
        <w:t>et al.</w:t>
      </w:r>
      <w:r>
        <w:rPr>
          <w:lang w:val="en-US"/>
        </w:rPr>
        <w:t xml:space="preserve"> (2022) ‘Untitled’, </w:t>
      </w:r>
      <w:r>
        <w:rPr>
          <w:i/>
          <w:iCs/>
          <w:lang w:val="en-US"/>
        </w:rPr>
        <w:t>International Journal of Interdisciplinary Research Methods</w:t>
      </w:r>
      <w:r>
        <w:rPr>
          <w:lang w:val="en-US"/>
        </w:rPr>
        <w:t xml:space="preserve">, 9(3). </w:t>
      </w:r>
      <w:r>
        <w:rPr/>
        <w:fldChar w:fldCharType="begin"/>
      </w:r>
      <w:r>
        <w:instrText xml:space="preserve"> HYPERLINK "https://doi.org/10.37745/ijirm.14/vol9n3" \t "_new" </w:instrText>
      </w:r>
      <w:r>
        <w:rPr/>
        <w:fldChar w:fldCharType="separate"/>
      </w:r>
      <w:r>
        <w:rPr>
          <w:rStyle w:val="style85"/>
          <w:lang w:val="en-US"/>
        </w:rPr>
        <w:t>https://doi.org/10.37745/ijirm.14/vol9n3</w:t>
      </w:r>
      <w:r>
        <w:rPr/>
        <w:fldChar w:fldCharType="end"/>
      </w:r>
    </w:p>
    <w:p>
      <w:pPr>
        <w:pStyle w:val="style0"/>
        <w:ind w:left="720" w:hanging="720"/>
        <w:rPr/>
      </w:pPr>
      <w:r>
        <w:t>Kotler, P. and Keller, K.L. (2016) Marketing Management. 15th ed. Pearson.</w:t>
      </w:r>
    </w:p>
    <w:p>
      <w:pPr>
        <w:pStyle w:val="style0"/>
        <w:ind w:left="720" w:hanging="720"/>
        <w:rPr/>
      </w:pPr>
      <w:r>
        <w:t xml:space="preserve">Kotler, P. and Keller, K.L. (2016) </w:t>
      </w:r>
      <w:r>
        <w:rPr>
          <w:i/>
          <w:iCs/>
        </w:rPr>
        <w:t>Marketing Management</w:t>
      </w:r>
      <w:r>
        <w:t xml:space="preserve">. 15th </w:t>
      </w:r>
      <w:r>
        <w:t>edn</w:t>
      </w:r>
      <w:r>
        <w:t>. Harlow: Pearson Education Limited.</w:t>
      </w:r>
    </w:p>
    <w:p>
      <w:pPr>
        <w:pStyle w:val="style0"/>
        <w:ind w:left="720" w:hanging="720"/>
        <w:rPr/>
      </w:pPr>
      <w:r>
        <w:t xml:space="preserve">Kumar, G., Kulkarni, M. and </w:t>
      </w:r>
      <w:r>
        <w:t>Rathi</w:t>
      </w:r>
      <w:r>
        <w:t xml:space="preserve">, N. (2022) ‘Evolving food choices among the urban Indian middle-class: A qualitative study’, </w:t>
      </w:r>
      <w:r>
        <w:rPr>
          <w:i/>
          <w:iCs/>
        </w:rPr>
        <w:t>Frontiers in Nutrition</w:t>
      </w:r>
      <w:r>
        <w:t xml:space="preserve">, 9. </w:t>
      </w:r>
      <w:r>
        <w:rPr/>
        <w:fldChar w:fldCharType="begin"/>
      </w:r>
      <w:r>
        <w:instrText xml:space="preserve"> HYPERLINK "https://doi.org/10.3389/fnut.2022.844413" \t "_new" </w:instrText>
      </w:r>
      <w:r>
        <w:rPr/>
        <w:fldChar w:fldCharType="separate"/>
      </w:r>
      <w:r>
        <w:rPr>
          <w:rStyle w:val="style85"/>
        </w:rPr>
        <w:t>https://doi.org/10.3389/fnut.2022.844413</w:t>
      </w:r>
      <w:r>
        <w:rPr/>
        <w:fldChar w:fldCharType="end"/>
      </w:r>
    </w:p>
    <w:p>
      <w:pPr>
        <w:pStyle w:val="style0"/>
        <w:ind w:left="720" w:hanging="720"/>
        <w:rPr>
          <w:lang w:val="en-US"/>
        </w:rPr>
      </w:pPr>
      <w:r>
        <w:rPr>
          <w:lang w:val="en-US"/>
        </w:rPr>
        <w:t>Lauber</w:t>
      </w:r>
      <w:r>
        <w:rPr>
          <w:lang w:val="en-US"/>
        </w:rPr>
        <w:t xml:space="preserve">, K., Hunt, D., Gilmore, A. and Rutter, H. (2021) ‘Corporate political activity in the context of unhealthy food advertising restrictions across Transport for London: A qualitative case study’, </w:t>
      </w:r>
      <w:r>
        <w:rPr>
          <w:i/>
          <w:iCs/>
          <w:lang w:val="en-US"/>
        </w:rPr>
        <w:t>PLOS Medicine</w:t>
      </w:r>
      <w:r>
        <w:rPr>
          <w:lang w:val="en-US"/>
        </w:rPr>
        <w:t xml:space="preserve">, 18(9), p. e1003695. </w:t>
      </w:r>
      <w:r>
        <w:rPr/>
        <w:fldChar w:fldCharType="begin"/>
      </w:r>
      <w:r>
        <w:instrText xml:space="preserve"> HYPERLINK "https://doi.org/10.1371/journal.pmed.1003695" \t "_new" </w:instrText>
      </w:r>
      <w:r>
        <w:rPr/>
        <w:fldChar w:fldCharType="separate"/>
      </w:r>
      <w:r>
        <w:rPr>
          <w:rStyle w:val="style85"/>
          <w:lang w:val="en-US"/>
        </w:rPr>
        <w:t>https://doi.org/10.1371/journal.pmed.1003695</w:t>
      </w:r>
      <w:r>
        <w:rPr/>
        <w:fldChar w:fldCharType="end"/>
      </w:r>
    </w:p>
    <w:p>
      <w:pPr>
        <w:pStyle w:val="style0"/>
        <w:ind w:left="720" w:hanging="720"/>
        <w:rPr/>
      </w:pPr>
      <w:r>
        <w:t>Levitt, T. (1983) ‘The globalization of markets’, Harvard Business Review, 61(3), pp. 92–102.</w:t>
      </w:r>
    </w:p>
    <w:p>
      <w:pPr>
        <w:pStyle w:val="style0"/>
        <w:ind w:left="720" w:hanging="720"/>
        <w:rPr/>
      </w:pPr>
      <w:r>
        <w:rPr>
          <w:lang w:val="en-US"/>
        </w:rPr>
        <w:t xml:space="preserve">Li, C., </w:t>
      </w:r>
      <w:r>
        <w:rPr>
          <w:lang w:val="en-US"/>
        </w:rPr>
        <w:t>Mirosa</w:t>
      </w:r>
      <w:r>
        <w:rPr>
          <w:lang w:val="en-US"/>
        </w:rPr>
        <w:t xml:space="preserve">, M. and Bremer, P. (2020) ‘Review of online food delivery platforms and their impacts on sustainability’, </w:t>
      </w:r>
      <w:r>
        <w:rPr>
          <w:i/>
          <w:iCs/>
          <w:lang w:val="en-US"/>
        </w:rPr>
        <w:t>Sustainability</w:t>
      </w:r>
      <w:r>
        <w:rPr>
          <w:lang w:val="en-US"/>
        </w:rPr>
        <w:t xml:space="preserve">, 12(14), p. 5528. </w:t>
      </w:r>
      <w:r>
        <w:rPr/>
        <w:fldChar w:fldCharType="begin"/>
      </w:r>
      <w:r>
        <w:instrText xml:space="preserve"> HYPERLINK "https://doi.org/10.3390/su12145528" \t "_new" </w:instrText>
      </w:r>
      <w:r>
        <w:rPr/>
        <w:fldChar w:fldCharType="separate"/>
      </w:r>
      <w:r>
        <w:rPr>
          <w:rStyle w:val="style85"/>
          <w:lang w:val="en-US"/>
        </w:rPr>
        <w:t>https://doi.org/10.3390/su12145528</w:t>
      </w:r>
      <w:r>
        <w:rPr/>
        <w:fldChar w:fldCharType="end"/>
      </w:r>
    </w:p>
    <w:p>
      <w:pPr>
        <w:pStyle w:val="style0"/>
        <w:ind w:left="720" w:hanging="720"/>
        <w:rPr>
          <w:lang w:val="en-US"/>
        </w:rPr>
      </w:pPr>
      <w:r>
        <w:rPr>
          <w:lang w:val="en-US"/>
        </w:rPr>
        <w:t>Liem</w:t>
      </w:r>
      <w:r>
        <w:rPr>
          <w:lang w:val="en-US"/>
        </w:rPr>
        <w:t xml:space="preserve">, G., </w:t>
      </w:r>
      <w:r>
        <w:rPr>
          <w:lang w:val="en-US"/>
        </w:rPr>
        <w:t>Koay</w:t>
      </w:r>
      <w:r>
        <w:rPr>
          <w:lang w:val="en-US"/>
        </w:rPr>
        <w:t xml:space="preserve">, L., </w:t>
      </w:r>
      <w:r>
        <w:rPr>
          <w:lang w:val="en-US"/>
        </w:rPr>
        <w:t>Sanderan</w:t>
      </w:r>
      <w:r>
        <w:rPr>
          <w:lang w:val="en-US"/>
        </w:rPr>
        <w:t xml:space="preserve">, P., Pong, H., Poon, Z., </w:t>
      </w:r>
      <w:r>
        <w:rPr>
          <w:lang w:val="en-US"/>
        </w:rPr>
        <w:t>Marimuthu</w:t>
      </w:r>
      <w:r>
        <w:rPr>
          <w:lang w:val="en-US"/>
        </w:rPr>
        <w:t xml:space="preserve">, S. </w:t>
      </w:r>
      <w:r>
        <w:rPr>
          <w:i/>
          <w:iCs/>
          <w:lang w:val="en-US"/>
        </w:rPr>
        <w:t>et al.</w:t>
      </w:r>
      <w:r>
        <w:rPr>
          <w:lang w:val="en-US"/>
        </w:rPr>
        <w:t xml:space="preserve"> (2023) ‘AI-assisted food ordering and delivery management system for KFC: Insights from Malaysia, Indonesia and India’, </w:t>
      </w:r>
      <w:r>
        <w:rPr>
          <w:i/>
          <w:iCs/>
          <w:lang w:val="en-US"/>
        </w:rPr>
        <w:t>Journal of the Community Development in Asia</w:t>
      </w:r>
      <w:r>
        <w:rPr>
          <w:lang w:val="en-US"/>
        </w:rPr>
        <w:t xml:space="preserve">. </w:t>
      </w:r>
      <w:r>
        <w:rPr/>
        <w:fldChar w:fldCharType="begin"/>
      </w:r>
      <w:r>
        <w:instrText xml:space="preserve"> HYPERLINK "https://doi.org/10.32535/jcda.v6i3.2540" \t "_new" </w:instrText>
      </w:r>
      <w:r>
        <w:rPr/>
        <w:fldChar w:fldCharType="separate"/>
      </w:r>
      <w:r>
        <w:rPr>
          <w:rStyle w:val="style85"/>
          <w:lang w:val="en-US"/>
        </w:rPr>
        <w:t>https://doi.org/10.32535/jcda.v6i3.2540</w:t>
      </w:r>
      <w:r>
        <w:rPr/>
        <w:fldChar w:fldCharType="end"/>
      </w:r>
    </w:p>
    <w:p>
      <w:pPr>
        <w:pStyle w:val="style0"/>
        <w:ind w:left="720" w:hanging="720"/>
        <w:rPr>
          <w:lang w:val="en-US"/>
        </w:rPr>
      </w:pPr>
      <w:r>
        <w:rPr>
          <w:lang w:val="en-US"/>
        </w:rPr>
        <w:t>Liew</w:t>
      </w:r>
      <w:r>
        <w:rPr>
          <w:lang w:val="en-US"/>
        </w:rPr>
        <w:t xml:space="preserve">, M. and Cao, J. (2025) ‘Accounting for carbon emissions through green supply chain management: A systematic literature review’, </w:t>
      </w:r>
      <w:r>
        <w:rPr>
          <w:i/>
          <w:iCs/>
          <w:lang w:val="en-US"/>
        </w:rPr>
        <w:t>Business Strategy and the Environment</w:t>
      </w:r>
      <w:r>
        <w:rPr>
          <w:lang w:val="en-US"/>
        </w:rPr>
        <w:t xml:space="preserve">, 34(7), pp. 8281–8304. </w:t>
      </w:r>
      <w:r>
        <w:rPr/>
        <w:fldChar w:fldCharType="begin"/>
      </w:r>
      <w:r>
        <w:instrText xml:space="preserve"> HYPERLINK "https://doi.org/10.1002/bse.70021" \t "_new" </w:instrText>
      </w:r>
      <w:r>
        <w:rPr/>
        <w:fldChar w:fldCharType="separate"/>
      </w:r>
      <w:r>
        <w:rPr>
          <w:rStyle w:val="style85"/>
          <w:lang w:val="en-US"/>
        </w:rPr>
        <w:t>https://doi.org/10.1002/bse.70021</w:t>
      </w:r>
      <w:r>
        <w:rPr/>
        <w:fldChar w:fldCharType="end"/>
      </w:r>
    </w:p>
    <w:p>
      <w:pPr>
        <w:pStyle w:val="style0"/>
        <w:ind w:left="720" w:hanging="720"/>
        <w:rPr>
          <w:lang w:val="en-US"/>
        </w:rPr>
      </w:pPr>
      <w:r>
        <w:rPr>
          <w:lang w:val="en-US"/>
        </w:rPr>
        <w:t xml:space="preserve">Lin, J., Ling, H., </w:t>
      </w:r>
      <w:r>
        <w:rPr>
          <w:lang w:val="en-US"/>
        </w:rPr>
        <w:t>Liem</w:t>
      </w:r>
      <w:r>
        <w:rPr>
          <w:lang w:val="en-US"/>
        </w:rPr>
        <w:t xml:space="preserve">, G., </w:t>
      </w:r>
      <w:r>
        <w:rPr>
          <w:lang w:val="en-US"/>
        </w:rPr>
        <w:t>Batul</w:t>
      </w:r>
      <w:r>
        <w:rPr>
          <w:lang w:val="en-US"/>
        </w:rPr>
        <w:t xml:space="preserve">, M., </w:t>
      </w:r>
      <w:r>
        <w:rPr>
          <w:lang w:val="en-US"/>
        </w:rPr>
        <w:t>Shamsudin</w:t>
      </w:r>
      <w:r>
        <w:rPr>
          <w:lang w:val="en-US"/>
        </w:rPr>
        <w:t xml:space="preserve">, N., </w:t>
      </w:r>
      <w:r>
        <w:rPr>
          <w:lang w:val="en-US"/>
        </w:rPr>
        <w:t>Abidin</w:t>
      </w:r>
      <w:r>
        <w:rPr>
          <w:lang w:val="en-US"/>
        </w:rPr>
        <w:t xml:space="preserve">, N. </w:t>
      </w:r>
      <w:r>
        <w:rPr>
          <w:i/>
          <w:iCs/>
          <w:lang w:val="en-US"/>
        </w:rPr>
        <w:t>et al.</w:t>
      </w:r>
      <w:r>
        <w:rPr>
          <w:lang w:val="en-US"/>
        </w:rPr>
        <w:t xml:space="preserve"> (2023) ‘Service quality on customer satisfaction and its impact on customer loyalty at KFC in South and Southeast Asia’, </w:t>
      </w:r>
      <w:r>
        <w:rPr>
          <w:i/>
          <w:iCs/>
          <w:lang w:val="en-US"/>
        </w:rPr>
        <w:t>International Journal of Tourism and Hospitality in Asia Pacific</w:t>
      </w:r>
      <w:r>
        <w:rPr>
          <w:lang w:val="en-US"/>
        </w:rPr>
        <w:t xml:space="preserve">, 6(3), pp. 42–56. </w:t>
      </w:r>
      <w:r>
        <w:rPr/>
        <w:fldChar w:fldCharType="begin"/>
      </w:r>
      <w:r>
        <w:instrText xml:space="preserve"> HYPERLINK "https://doi.org/10.32535/ijthap.v6i3.2593" \t "_new" </w:instrText>
      </w:r>
      <w:r>
        <w:rPr/>
        <w:fldChar w:fldCharType="separate"/>
      </w:r>
      <w:r>
        <w:rPr>
          <w:rStyle w:val="style85"/>
          <w:lang w:val="en-US"/>
        </w:rPr>
        <w:t>https://doi.org/10.32535/ijthap.v6i3.2593</w:t>
      </w:r>
      <w:r>
        <w:rPr/>
        <w:fldChar w:fldCharType="end"/>
      </w:r>
    </w:p>
    <w:p>
      <w:pPr>
        <w:pStyle w:val="style0"/>
        <w:ind w:left="720" w:hanging="720"/>
        <w:rPr/>
      </w:pPr>
      <w:r>
        <w:t xml:space="preserve">Lu, J., Ma, H. and </w:t>
      </w:r>
      <w:r>
        <w:t>Xie</w:t>
      </w:r>
      <w:r>
        <w:t xml:space="preserve">, X. (2021) ‘Foreignness research in international business: Major streams and future directions’, </w:t>
      </w:r>
      <w:r>
        <w:rPr>
          <w:rStyle w:val="style88"/>
        </w:rPr>
        <w:t>Journal of International Business Studies</w:t>
      </w:r>
      <w:r>
        <w:t xml:space="preserve">, 53(3), pp. 449–480. </w:t>
      </w:r>
      <w:r>
        <w:rPr/>
        <w:fldChar w:fldCharType="begin"/>
      </w:r>
      <w:r>
        <w:instrText xml:space="preserve"> HYPERLINK "https://doi.org/10.1057/s41267-021-00465-8" \t "_new" </w:instrText>
      </w:r>
      <w:r>
        <w:rPr/>
        <w:fldChar w:fldCharType="separate"/>
      </w:r>
      <w:r>
        <w:rPr>
          <w:rStyle w:val="style85"/>
        </w:rPr>
        <w:t>https://doi.org/10.1057/s41267-021-00465-8</w:t>
      </w:r>
      <w:r>
        <w:rPr/>
        <w:fldChar w:fldCharType="end"/>
      </w:r>
    </w:p>
    <w:p>
      <w:pPr>
        <w:pStyle w:val="style0"/>
        <w:ind w:left="720" w:hanging="720"/>
        <w:rPr>
          <w:lang w:val="en-US"/>
        </w:rPr>
      </w:pPr>
      <w:r>
        <w:rPr>
          <w:lang w:val="en-US"/>
        </w:rPr>
        <w:t>Maha</w:t>
      </w:r>
      <w:r>
        <w:rPr>
          <w:lang w:val="en-US"/>
        </w:rPr>
        <w:t xml:space="preserve">, A., </w:t>
      </w:r>
      <w:r>
        <w:rPr>
          <w:lang w:val="en-US"/>
        </w:rPr>
        <w:t>Csedő</w:t>
      </w:r>
      <w:r>
        <w:rPr>
          <w:lang w:val="en-US"/>
        </w:rPr>
        <w:t xml:space="preserve">, Z., </w:t>
      </w:r>
      <w:r>
        <w:rPr>
          <w:lang w:val="en-US"/>
        </w:rPr>
        <w:t>Koczkás</w:t>
      </w:r>
      <w:r>
        <w:rPr>
          <w:lang w:val="en-US"/>
        </w:rPr>
        <w:t xml:space="preserve">, S., </w:t>
      </w:r>
      <w:r>
        <w:rPr>
          <w:lang w:val="en-US"/>
        </w:rPr>
        <w:t>Primecz</w:t>
      </w:r>
      <w:r>
        <w:rPr>
          <w:lang w:val="en-US"/>
        </w:rPr>
        <w:t xml:space="preserve">, H., </w:t>
      </w:r>
      <w:r>
        <w:rPr>
          <w:lang w:val="en-US"/>
        </w:rPr>
        <w:t>Salamon</w:t>
      </w:r>
      <w:r>
        <w:rPr>
          <w:lang w:val="en-US"/>
        </w:rPr>
        <w:t xml:space="preserve">, K., Stocker, M. </w:t>
      </w:r>
      <w:r>
        <w:rPr>
          <w:i/>
          <w:iCs/>
          <w:lang w:val="en-US"/>
        </w:rPr>
        <w:t>et al.</w:t>
      </w:r>
      <w:r>
        <w:rPr>
          <w:lang w:val="en-US"/>
        </w:rPr>
        <w:t xml:space="preserve"> (2024) </w:t>
      </w:r>
      <w:r>
        <w:rPr>
          <w:i/>
          <w:iCs/>
          <w:lang w:val="en-US"/>
        </w:rPr>
        <w:t xml:space="preserve">International management and organisation: Insights from the Institute of Strategy and Management at </w:t>
      </w:r>
      <w:r>
        <w:rPr>
          <w:i/>
          <w:iCs/>
          <w:lang w:val="en-US"/>
        </w:rPr>
        <w:t>Corvinus</w:t>
      </w:r>
      <w:r>
        <w:rPr>
          <w:i/>
          <w:iCs/>
          <w:lang w:val="en-US"/>
        </w:rPr>
        <w:t xml:space="preserve"> University of Budapest</w:t>
      </w:r>
      <w:r>
        <w:rPr>
          <w:lang w:val="en-US"/>
        </w:rPr>
        <w:t xml:space="preserve">. </w:t>
      </w:r>
      <w:r>
        <w:rPr/>
        <w:fldChar w:fldCharType="begin"/>
      </w:r>
      <w:r>
        <w:instrText xml:space="preserve"> HYPERLINK "https://doi.org/10.14267/978-963-503-955-5" \t "_new" </w:instrText>
      </w:r>
      <w:r>
        <w:rPr/>
        <w:fldChar w:fldCharType="separate"/>
      </w:r>
      <w:r>
        <w:rPr>
          <w:rStyle w:val="style85"/>
          <w:lang w:val="en-US"/>
        </w:rPr>
        <w:t>https://doi.org/10.14267/978-963-503-955-5</w:t>
      </w:r>
      <w:r>
        <w:rPr/>
        <w:fldChar w:fldCharType="end"/>
      </w:r>
    </w:p>
    <w:p>
      <w:pPr>
        <w:pStyle w:val="style0"/>
        <w:ind w:left="720" w:hanging="720"/>
        <w:rPr/>
      </w:pPr>
      <w:r>
        <w:t xml:space="preserve">McKinsey &amp; Company (2023) </w:t>
      </w:r>
      <w:r>
        <w:rPr>
          <w:i/>
          <w:iCs/>
        </w:rPr>
        <w:t>Digital India: Technology transformation and opportunities</w:t>
      </w:r>
      <w:r>
        <w:t>. Availa</w:t>
      </w:r>
      <w:r>
        <w:t xml:space="preserve">ble at: </w:t>
      </w:r>
      <w:r>
        <w:rPr/>
        <w:fldChar w:fldCharType="begin"/>
      </w:r>
      <w:r>
        <w:instrText xml:space="preserve"> HYPERLINK "https://www.mckinsey.com" \t "_new" </w:instrText>
      </w:r>
      <w:r>
        <w:rPr/>
        <w:fldChar w:fldCharType="separate"/>
      </w:r>
      <w:r>
        <w:rPr>
          <w:rStyle w:val="style85"/>
        </w:rPr>
        <w:t>https://www.mckinsey.com</w:t>
      </w:r>
      <w:r>
        <w:rPr/>
        <w:fldChar w:fldCharType="end"/>
      </w:r>
      <w:r>
        <w:t xml:space="preserve"> </w:t>
      </w:r>
    </w:p>
    <w:p>
      <w:pPr>
        <w:pStyle w:val="style0"/>
        <w:ind w:left="720" w:hanging="720"/>
        <w:rPr>
          <w:lang w:val="en-US"/>
        </w:rPr>
      </w:pPr>
      <w:r>
        <w:rPr>
          <w:lang w:val="en-US"/>
        </w:rPr>
        <w:t>Mietra</w:t>
      </w:r>
      <w:r>
        <w:rPr>
          <w:lang w:val="en-US"/>
        </w:rPr>
        <w:t xml:space="preserve">, A. and </w:t>
      </w:r>
      <w:r>
        <w:rPr>
          <w:lang w:val="en-US"/>
        </w:rPr>
        <w:t>Wibowo</w:t>
      </w:r>
      <w:r>
        <w:rPr>
          <w:lang w:val="en-US"/>
        </w:rPr>
        <w:t xml:space="preserve">, S. (2022) ‘Proposed integrated marketing communication strategy to promote brand awareness of online learning portals: Study of MOJADIAPP.COM’, </w:t>
      </w:r>
      <w:r>
        <w:rPr>
          <w:i/>
          <w:iCs/>
          <w:lang w:val="en-US"/>
        </w:rPr>
        <w:t>Asia Pacific Journal of Management and Education</w:t>
      </w:r>
      <w:r>
        <w:rPr>
          <w:lang w:val="en-US"/>
        </w:rPr>
        <w:t xml:space="preserve">, 5(1). </w:t>
      </w:r>
      <w:r>
        <w:rPr/>
        <w:fldChar w:fldCharType="begin"/>
      </w:r>
      <w:r>
        <w:instrText xml:space="preserve"> HYPERLINK "https://doi.org/10.32535/apjme.v5i1.1431" \t "_new" </w:instrText>
      </w:r>
      <w:r>
        <w:rPr/>
        <w:fldChar w:fldCharType="separate"/>
      </w:r>
      <w:r>
        <w:rPr>
          <w:rStyle w:val="style85"/>
          <w:lang w:val="en-US"/>
        </w:rPr>
        <w:t>https://doi.org/10.32535/apjme.v5i1.1431</w:t>
      </w:r>
      <w:r>
        <w:rPr/>
        <w:fldChar w:fldCharType="end"/>
      </w:r>
    </w:p>
    <w:p>
      <w:pPr>
        <w:pStyle w:val="style0"/>
        <w:ind w:left="720" w:hanging="720"/>
        <w:rPr>
          <w:lang w:val="en-US"/>
        </w:rPr>
      </w:pPr>
      <w:r>
        <w:rPr>
          <w:lang w:val="en-US"/>
        </w:rPr>
        <w:t>Muslichah</w:t>
      </w:r>
      <w:r>
        <w:rPr>
          <w:lang w:val="en-US"/>
        </w:rPr>
        <w:t xml:space="preserve">, I. and Ibrahim, K. (2021) ‘Antecedents of intention to buy non-Muslim halal fast foods: Evidence from the biggest Muslim population country’, </w:t>
      </w:r>
      <w:r>
        <w:rPr>
          <w:i/>
          <w:iCs/>
          <w:lang w:val="en-US"/>
        </w:rPr>
        <w:t xml:space="preserve">JBTI: </w:t>
      </w:r>
      <w:r>
        <w:rPr>
          <w:i/>
          <w:iCs/>
          <w:lang w:val="en-US"/>
        </w:rPr>
        <w:t>Jurnal</w:t>
      </w:r>
      <w:r>
        <w:rPr>
          <w:i/>
          <w:iCs/>
          <w:lang w:val="en-US"/>
        </w:rPr>
        <w:t xml:space="preserve"> </w:t>
      </w:r>
      <w:r>
        <w:rPr>
          <w:i/>
          <w:iCs/>
          <w:lang w:val="en-US"/>
        </w:rPr>
        <w:t>Bisnis</w:t>
      </w:r>
      <w:r>
        <w:rPr>
          <w:i/>
          <w:iCs/>
          <w:lang w:val="en-US"/>
        </w:rPr>
        <w:t xml:space="preserve"> </w:t>
      </w:r>
      <w:r>
        <w:rPr>
          <w:i/>
          <w:iCs/>
          <w:lang w:val="en-US"/>
        </w:rPr>
        <w:t>Teori</w:t>
      </w:r>
      <w:r>
        <w:rPr>
          <w:i/>
          <w:iCs/>
          <w:lang w:val="en-US"/>
        </w:rPr>
        <w:t xml:space="preserve"> </w:t>
      </w:r>
      <w:r>
        <w:rPr>
          <w:i/>
          <w:iCs/>
          <w:lang w:val="en-US"/>
        </w:rPr>
        <w:t>dan</w:t>
      </w:r>
      <w:r>
        <w:rPr>
          <w:i/>
          <w:iCs/>
          <w:lang w:val="en-US"/>
        </w:rPr>
        <w:t xml:space="preserve"> </w:t>
      </w:r>
      <w:r>
        <w:rPr>
          <w:i/>
          <w:iCs/>
          <w:lang w:val="en-US"/>
        </w:rPr>
        <w:t>Implementasi</w:t>
      </w:r>
      <w:r>
        <w:rPr>
          <w:lang w:val="en-US"/>
        </w:rPr>
        <w:t xml:space="preserve">, 12(2), pp. 115–128. </w:t>
      </w:r>
      <w:r>
        <w:rPr/>
        <w:fldChar w:fldCharType="begin"/>
      </w:r>
      <w:r>
        <w:instrText xml:space="preserve"> HYPERLINK "https://doi.org/10.18196/jbti.v12i2.12759" \t "_new" </w:instrText>
      </w:r>
      <w:r>
        <w:rPr/>
        <w:fldChar w:fldCharType="separate"/>
      </w:r>
      <w:r>
        <w:rPr>
          <w:rStyle w:val="style85"/>
          <w:lang w:val="en-US"/>
        </w:rPr>
        <w:t>https://doi.org/10.18196/jbti.v12i2.12759</w:t>
      </w:r>
      <w:r>
        <w:rPr/>
        <w:fldChar w:fldCharType="end"/>
      </w:r>
    </w:p>
    <w:p>
      <w:pPr>
        <w:pStyle w:val="style0"/>
        <w:ind w:left="720" w:hanging="720"/>
        <w:rPr/>
      </w:pPr>
      <w:r>
        <w:t xml:space="preserve">Nguyen, A., Ha, V., Ngo, H., Le, N., </w:t>
      </w:r>
      <w:r>
        <w:t>Khong</w:t>
      </w:r>
      <w:r>
        <w:t xml:space="preserve">, P., </w:t>
      </w:r>
      <w:r>
        <w:t>Thi</w:t>
      </w:r>
      <w:r>
        <w:t xml:space="preserve">, N. </w:t>
      </w:r>
      <w:r>
        <w:rPr>
          <w:rStyle w:val="style88"/>
        </w:rPr>
        <w:t>et al.</w:t>
      </w:r>
      <w:r>
        <w:t xml:space="preserve"> (2023) ‘Understanding the importance of eco-</w:t>
      </w:r>
      <w:r>
        <w:t>labeling</w:t>
      </w:r>
      <w:r>
        <w:t xml:space="preserve"> for organic foods at UNESCO biosphere reserves: A case study of the cocoa powder at Dong </w:t>
      </w:r>
      <w:r>
        <w:t>Nai</w:t>
      </w:r>
      <w:r>
        <w:t xml:space="preserve">, Vietnam’, </w:t>
      </w:r>
      <w:r>
        <w:rPr>
          <w:rStyle w:val="style88"/>
        </w:rPr>
        <w:t>Sustainability</w:t>
      </w:r>
      <w:r>
        <w:t xml:space="preserve">, 15(12), p. 9603. </w:t>
      </w:r>
      <w:r>
        <w:rPr/>
        <w:fldChar w:fldCharType="begin"/>
      </w:r>
      <w:r>
        <w:instrText xml:space="preserve"> HYPERLINK "https://doi.org/10.3390/su15129603" \t "_new" </w:instrText>
      </w:r>
      <w:r>
        <w:rPr/>
        <w:fldChar w:fldCharType="separate"/>
      </w:r>
      <w:r>
        <w:rPr>
          <w:rStyle w:val="style85"/>
        </w:rPr>
        <w:t>https://doi.org/10.3390/su15129603</w:t>
      </w:r>
      <w:r>
        <w:rPr/>
        <w:fldChar w:fldCharType="end"/>
      </w:r>
    </w:p>
    <w:p>
      <w:pPr>
        <w:pStyle w:val="style0"/>
        <w:ind w:left="720" w:hanging="720"/>
        <w:rPr>
          <w:lang w:val="en-US"/>
        </w:rPr>
      </w:pPr>
      <w:r>
        <w:rPr>
          <w:lang w:val="en-US"/>
        </w:rPr>
        <w:t>Niwayansari</w:t>
      </w:r>
      <w:r>
        <w:rPr>
          <w:lang w:val="en-US"/>
        </w:rPr>
        <w:t xml:space="preserve">, F., </w:t>
      </w:r>
      <w:r>
        <w:rPr>
          <w:lang w:val="en-US"/>
        </w:rPr>
        <w:t>Santoso</w:t>
      </w:r>
      <w:r>
        <w:rPr>
          <w:lang w:val="en-US"/>
        </w:rPr>
        <w:t xml:space="preserve">, A. and </w:t>
      </w:r>
      <w:r>
        <w:rPr>
          <w:lang w:val="en-US"/>
        </w:rPr>
        <w:t>Wijianto</w:t>
      </w:r>
      <w:r>
        <w:rPr>
          <w:lang w:val="en-US"/>
        </w:rPr>
        <w:t xml:space="preserve">, W. (2024) ‘Product variation, green marketing, and discount on consumer satisfaction’, </w:t>
      </w:r>
      <w:r>
        <w:rPr>
          <w:i/>
          <w:iCs/>
          <w:lang w:val="en-US"/>
        </w:rPr>
        <w:t>Iqtishaduna</w:t>
      </w:r>
      <w:r>
        <w:rPr>
          <w:i/>
          <w:iCs/>
          <w:lang w:val="en-US"/>
        </w:rPr>
        <w:t xml:space="preserve">: </w:t>
      </w:r>
      <w:r>
        <w:rPr>
          <w:i/>
          <w:iCs/>
          <w:lang w:val="en-US"/>
        </w:rPr>
        <w:t>Jurnal</w:t>
      </w:r>
      <w:r>
        <w:rPr>
          <w:i/>
          <w:iCs/>
          <w:lang w:val="en-US"/>
        </w:rPr>
        <w:t xml:space="preserve"> </w:t>
      </w:r>
      <w:r>
        <w:rPr>
          <w:i/>
          <w:iCs/>
          <w:lang w:val="en-US"/>
        </w:rPr>
        <w:t>Ilmiah</w:t>
      </w:r>
      <w:r>
        <w:rPr>
          <w:i/>
          <w:iCs/>
          <w:lang w:val="en-US"/>
        </w:rPr>
        <w:t xml:space="preserve"> </w:t>
      </w:r>
      <w:r>
        <w:rPr>
          <w:i/>
          <w:iCs/>
          <w:lang w:val="en-US"/>
        </w:rPr>
        <w:t>Ekonomi</w:t>
      </w:r>
      <w:r>
        <w:rPr>
          <w:i/>
          <w:iCs/>
          <w:lang w:val="en-US"/>
        </w:rPr>
        <w:t xml:space="preserve"> Kita</w:t>
      </w:r>
      <w:r>
        <w:rPr>
          <w:lang w:val="en-US"/>
        </w:rPr>
        <w:t xml:space="preserve">, 13(1), pp. 85–99. </w:t>
      </w:r>
      <w:r>
        <w:rPr/>
        <w:fldChar w:fldCharType="begin"/>
      </w:r>
      <w:r>
        <w:instrText xml:space="preserve"> HYPERLINK "https://doi.org/10.46367/iqtishaduna.v13i1.1849" \t "_new" </w:instrText>
      </w:r>
      <w:r>
        <w:rPr/>
        <w:fldChar w:fldCharType="separate"/>
      </w:r>
      <w:r>
        <w:rPr>
          <w:rStyle w:val="style85"/>
          <w:lang w:val="en-US"/>
        </w:rPr>
        <w:t>https://doi.org/10.46367/iqtishaduna.v13i1.1849</w:t>
      </w:r>
      <w:r>
        <w:rPr/>
        <w:fldChar w:fldCharType="end"/>
      </w:r>
    </w:p>
    <w:p>
      <w:pPr>
        <w:pStyle w:val="style0"/>
        <w:ind w:left="720" w:hanging="720"/>
        <w:rPr>
          <w:lang w:val="en-US"/>
        </w:rPr>
      </w:pPr>
      <w:r>
        <w:rPr>
          <w:lang w:val="en-US"/>
        </w:rPr>
        <w:t>Northcott</w:t>
      </w:r>
      <w:r>
        <w:rPr>
          <w:lang w:val="en-US"/>
        </w:rPr>
        <w:t xml:space="preserve">, T., Sievert, K., Russell, C., Obeid, A., Angus, D. and Parker, C. (2025) ‘Unhealthy food advertising on social media: Policy lessons from the Australian Ad Observatory’, </w:t>
      </w:r>
      <w:r>
        <w:rPr>
          <w:i/>
          <w:iCs/>
          <w:lang w:val="en-US"/>
        </w:rPr>
        <w:t>Health Promotion International</w:t>
      </w:r>
      <w:r>
        <w:rPr>
          <w:lang w:val="en-US"/>
        </w:rPr>
        <w:t xml:space="preserve">, 40(2). </w:t>
      </w:r>
      <w:r>
        <w:rPr/>
        <w:fldChar w:fldCharType="begin"/>
      </w:r>
      <w:r>
        <w:instrText xml:space="preserve"> HYPERLINK "https://doi.org/10.1093/heapro/daae192" \t "_new" </w:instrText>
      </w:r>
      <w:r>
        <w:rPr/>
        <w:fldChar w:fldCharType="separate"/>
      </w:r>
      <w:r>
        <w:rPr>
          <w:rStyle w:val="style85"/>
          <w:lang w:val="en-US"/>
        </w:rPr>
        <w:t>https://doi.org/10.1093/heapro/daae192</w:t>
      </w:r>
      <w:r>
        <w:rPr/>
        <w:fldChar w:fldCharType="end"/>
      </w:r>
    </w:p>
    <w:p>
      <w:pPr>
        <w:pStyle w:val="style0"/>
        <w:ind w:left="720" w:hanging="720"/>
        <w:rPr>
          <w:lang w:val="en-US"/>
        </w:rPr>
      </w:pPr>
      <w:r>
        <w:rPr>
          <w:lang w:val="en-US"/>
        </w:rPr>
        <w:t xml:space="preserve">O’Neill, S., Gilbert, L., Wei, C. and </w:t>
      </w:r>
      <w:r>
        <w:rPr>
          <w:lang w:val="en-US"/>
        </w:rPr>
        <w:t>Ayoun</w:t>
      </w:r>
      <w:r>
        <w:rPr>
          <w:lang w:val="en-US"/>
        </w:rPr>
        <w:t xml:space="preserve">, B. (2023) ‘The cultural dilemmas for a senior expatriate CEO in China’, </w:t>
      </w:r>
      <w:r>
        <w:rPr>
          <w:i/>
          <w:iCs/>
          <w:lang w:val="en-US"/>
        </w:rPr>
        <w:t>Journal of Hospitality &amp; Tourism Cases</w:t>
      </w:r>
      <w:r>
        <w:rPr>
          <w:lang w:val="en-US"/>
        </w:rPr>
        <w:t xml:space="preserve">, 11(3), pp. 83–89. </w:t>
      </w:r>
      <w:r>
        <w:rPr/>
        <w:fldChar w:fldCharType="begin"/>
      </w:r>
      <w:r>
        <w:instrText xml:space="preserve"> HYPERLINK "https://doi.org/10.1177/21649987231216150" \t "_new" </w:instrText>
      </w:r>
      <w:r>
        <w:rPr/>
        <w:fldChar w:fldCharType="separate"/>
      </w:r>
      <w:r>
        <w:rPr>
          <w:rStyle w:val="style85"/>
          <w:lang w:val="en-US"/>
        </w:rPr>
        <w:t>https://doi.org/10.1177/21649987231216150</w:t>
      </w:r>
      <w:r>
        <w:rPr/>
        <w:fldChar w:fldCharType="end"/>
      </w:r>
    </w:p>
    <w:p>
      <w:pPr>
        <w:pStyle w:val="style0"/>
        <w:ind w:left="720" w:hanging="720"/>
        <w:rPr>
          <w:lang w:val="en-US"/>
        </w:rPr>
      </w:pPr>
      <w:r>
        <w:rPr>
          <w:lang w:val="en-US"/>
        </w:rPr>
        <w:t>Olarewaju</w:t>
      </w:r>
      <w:r>
        <w:rPr>
          <w:lang w:val="en-US"/>
        </w:rPr>
        <w:t xml:space="preserve">, T., Dani, S., </w:t>
      </w:r>
      <w:r>
        <w:rPr>
          <w:lang w:val="en-US"/>
        </w:rPr>
        <w:t>Obeng-Fosu</w:t>
      </w:r>
      <w:r>
        <w:rPr>
          <w:lang w:val="en-US"/>
        </w:rPr>
        <w:t xml:space="preserve">, C. and </w:t>
      </w:r>
      <w:r>
        <w:rPr>
          <w:lang w:val="en-US"/>
        </w:rPr>
        <w:t>Jabbar</w:t>
      </w:r>
      <w:r>
        <w:rPr>
          <w:lang w:val="en-US"/>
        </w:rPr>
        <w:t xml:space="preserve">, A. (2024) ‘The impact of climate action on the financial performance of food, grocery, and supermarket retailers in the UK’, </w:t>
      </w:r>
      <w:r>
        <w:rPr>
          <w:i/>
          <w:iCs/>
          <w:lang w:val="en-US"/>
        </w:rPr>
        <w:t>Sustainability</w:t>
      </w:r>
      <w:r>
        <w:rPr>
          <w:lang w:val="en-US"/>
        </w:rPr>
        <w:t xml:space="preserve">, 16(5), p. 1785. </w:t>
      </w:r>
      <w:r>
        <w:rPr/>
        <w:fldChar w:fldCharType="begin"/>
      </w:r>
      <w:r>
        <w:instrText xml:space="preserve"> HYPERLINK "https://doi.org/10.3390/su16051785" \t "_new" </w:instrText>
      </w:r>
      <w:r>
        <w:rPr/>
        <w:fldChar w:fldCharType="separate"/>
      </w:r>
      <w:r>
        <w:rPr>
          <w:rStyle w:val="style85"/>
          <w:lang w:val="en-US"/>
        </w:rPr>
        <w:t>https://doi.org/10.3390/su16051785</w:t>
      </w:r>
      <w:r>
        <w:rPr/>
        <w:fldChar w:fldCharType="end"/>
      </w:r>
    </w:p>
    <w:p>
      <w:pPr>
        <w:pStyle w:val="style0"/>
        <w:ind w:left="720" w:hanging="720"/>
        <w:rPr>
          <w:lang w:val="en-US"/>
        </w:rPr>
      </w:pPr>
      <w:r>
        <w:rPr>
          <w:lang w:val="en-US"/>
        </w:rPr>
        <w:t>Onyusheva</w:t>
      </w:r>
      <w:r>
        <w:rPr>
          <w:lang w:val="en-US"/>
        </w:rPr>
        <w:t xml:space="preserve">, I., </w:t>
      </w:r>
      <w:r>
        <w:rPr>
          <w:lang w:val="en-US"/>
        </w:rPr>
        <w:t>Machula</w:t>
      </w:r>
      <w:r>
        <w:rPr>
          <w:lang w:val="en-US"/>
        </w:rPr>
        <w:t xml:space="preserve">, M. and </w:t>
      </w:r>
      <w:r>
        <w:rPr>
          <w:lang w:val="en-US"/>
        </w:rPr>
        <w:t>Manuthammathorn</w:t>
      </w:r>
      <w:r>
        <w:rPr>
          <w:lang w:val="en-US"/>
        </w:rPr>
        <w:t xml:space="preserve">, T. (2020) ‘Strategic analysis for business success: The case of VGI company’, </w:t>
      </w:r>
      <w:r>
        <w:rPr>
          <w:i/>
          <w:iCs/>
          <w:lang w:val="en-US"/>
        </w:rPr>
        <w:t xml:space="preserve">The </w:t>
      </w:r>
      <w:r>
        <w:rPr>
          <w:i/>
          <w:iCs/>
          <w:lang w:val="en-US"/>
        </w:rPr>
        <w:t>Euraseans</w:t>
      </w:r>
      <w:r>
        <w:rPr>
          <w:i/>
          <w:iCs/>
          <w:lang w:val="en-US"/>
        </w:rPr>
        <w:t xml:space="preserve"> Journal on Global Socio-Economic Dynamics</w:t>
      </w:r>
      <w:r>
        <w:rPr>
          <w:lang w:val="en-US"/>
        </w:rPr>
        <w:t xml:space="preserve">, 3(22), pp. 7–22. </w:t>
      </w:r>
      <w:r>
        <w:rPr/>
        <w:fldChar w:fldCharType="begin"/>
      </w:r>
      <w:r>
        <w:instrText xml:space="preserve"> HYPERLINK "https://doi.org/10.35678/2539-5645.3(22).2020.7-22" \t "_new" </w:instrText>
      </w:r>
      <w:r>
        <w:rPr/>
        <w:fldChar w:fldCharType="separate"/>
      </w:r>
      <w:r>
        <w:rPr>
          <w:rStyle w:val="style85"/>
          <w:lang w:val="en-US"/>
        </w:rPr>
        <w:t>https://doi.org/10.35678/2539-5645.3(22).2020.7-22</w:t>
      </w:r>
      <w:r>
        <w:rPr/>
        <w:fldChar w:fldCharType="end"/>
      </w:r>
    </w:p>
    <w:p>
      <w:pPr>
        <w:pStyle w:val="style0"/>
        <w:ind w:left="720" w:hanging="720"/>
        <w:rPr>
          <w:lang w:val="en-US"/>
        </w:rPr>
      </w:pPr>
      <w:r>
        <w:rPr>
          <w:lang w:val="en-US"/>
        </w:rPr>
        <w:t xml:space="preserve">Pandey, R., Rao, K., </w:t>
      </w:r>
      <w:r>
        <w:rPr>
          <w:lang w:val="en-US"/>
        </w:rPr>
        <w:t>Er</w:t>
      </w:r>
      <w:r>
        <w:rPr>
          <w:lang w:val="en-US"/>
        </w:rPr>
        <w:t xml:space="preserve">, C., </w:t>
      </w:r>
      <w:r>
        <w:rPr>
          <w:lang w:val="en-US"/>
        </w:rPr>
        <w:t>Kee</w:t>
      </w:r>
      <w:r>
        <w:rPr>
          <w:lang w:val="en-US"/>
        </w:rPr>
        <w:t xml:space="preserve">, D., Chua, W., Hon, H. </w:t>
      </w:r>
      <w:r>
        <w:rPr>
          <w:i/>
          <w:iCs/>
          <w:lang w:val="en-US"/>
        </w:rPr>
        <w:t>et al.</w:t>
      </w:r>
      <w:r>
        <w:rPr>
          <w:lang w:val="en-US"/>
        </w:rPr>
        <w:t xml:space="preserve"> (2021) ‘A case study of consumer satisfaction of Kentucky Fried Chicken’, </w:t>
      </w:r>
      <w:r>
        <w:rPr>
          <w:i/>
          <w:iCs/>
          <w:lang w:val="en-US"/>
        </w:rPr>
        <w:t>International Journal of Tourism and Hospitality in Asia Pacific</w:t>
      </w:r>
      <w:r>
        <w:rPr>
          <w:lang w:val="en-US"/>
        </w:rPr>
        <w:t xml:space="preserve">, 4(2), pp. 98–111. </w:t>
      </w:r>
      <w:r>
        <w:rPr/>
        <w:fldChar w:fldCharType="begin"/>
      </w:r>
      <w:r>
        <w:instrText xml:space="preserve"> HYPERLINK "https://doi.org/10.32535/ijthap.v4i2.1060" \t "_new" </w:instrText>
      </w:r>
      <w:r>
        <w:rPr/>
        <w:fldChar w:fldCharType="separate"/>
      </w:r>
      <w:r>
        <w:rPr>
          <w:rStyle w:val="style85"/>
          <w:lang w:val="en-US"/>
        </w:rPr>
        <w:t>https://doi.org/10.32535/ijthap.v4i2.1060</w:t>
      </w:r>
      <w:r>
        <w:rPr/>
        <w:fldChar w:fldCharType="end"/>
      </w:r>
    </w:p>
    <w:p>
      <w:pPr>
        <w:pStyle w:val="style0"/>
        <w:ind w:left="720" w:hanging="720"/>
        <w:rPr>
          <w:rStyle w:val="style85"/>
        </w:rPr>
      </w:pPr>
      <w:r>
        <w:t>Pantha</w:t>
      </w:r>
      <w:r>
        <w:t xml:space="preserve">, S., Jones, M. and </w:t>
      </w:r>
      <w:r>
        <w:t>Gray</w:t>
      </w:r>
      <w:r>
        <w:t xml:space="preserve">, R. (2023) ‘Stakeholders’ perceptions of how nurse–doctor communication impacts patient care: A concept mapping study’, </w:t>
      </w:r>
      <w:r>
        <w:rPr>
          <w:i/>
          <w:iCs/>
        </w:rPr>
        <w:t xml:space="preserve">Nursing </w:t>
      </w:r>
      <w:r>
        <w:rPr>
          <w:i/>
          <w:iCs/>
        </w:rPr>
        <w:t>Reports</w:t>
      </w:r>
      <w:r>
        <w:t xml:space="preserve">, 13(4), pp. 1607–1623. Available at: </w:t>
      </w:r>
      <w:r>
        <w:rPr/>
        <w:fldChar w:fldCharType="begin"/>
      </w:r>
      <w:r>
        <w:instrText xml:space="preserve"> HYPERLINK "https://doi.org/10.3390/nursrep13040133" \t "_new" </w:instrText>
      </w:r>
      <w:r>
        <w:rPr/>
        <w:fldChar w:fldCharType="separate"/>
      </w:r>
      <w:r>
        <w:rPr>
          <w:rStyle w:val="style85"/>
        </w:rPr>
        <w:t>https://doi.org/10.3390/nursrep13040133</w:t>
      </w:r>
      <w:r>
        <w:rPr/>
        <w:fldChar w:fldCharType="end"/>
      </w:r>
    </w:p>
    <w:p>
      <w:pPr>
        <w:pStyle w:val="style0"/>
        <w:ind w:left="720" w:hanging="720"/>
        <w:rPr>
          <w:lang w:val="en-US"/>
        </w:rPr>
      </w:pPr>
      <w:r>
        <w:rPr>
          <w:lang w:val="en-US"/>
        </w:rPr>
        <w:t>Permana</w:t>
      </w:r>
      <w:r>
        <w:rPr>
          <w:lang w:val="en-US"/>
        </w:rPr>
        <w:t xml:space="preserve">, J., </w:t>
      </w:r>
      <w:r>
        <w:rPr>
          <w:lang w:val="en-US"/>
        </w:rPr>
        <w:t>Mirzanti</w:t>
      </w:r>
      <w:r>
        <w:rPr>
          <w:lang w:val="en-US"/>
        </w:rPr>
        <w:t xml:space="preserve">, I. and </w:t>
      </w:r>
      <w:r>
        <w:rPr>
          <w:lang w:val="en-US"/>
        </w:rPr>
        <w:t>Wibowo</w:t>
      </w:r>
      <w:r>
        <w:rPr>
          <w:lang w:val="en-US"/>
        </w:rPr>
        <w:t xml:space="preserve">, S. (2023) ‘Proposed marketing strategy for sales increase for PT Aino Indonesia’, </w:t>
      </w:r>
      <w:r>
        <w:rPr>
          <w:i/>
          <w:iCs/>
          <w:lang w:val="en-US"/>
        </w:rPr>
        <w:t>International Journal of Current Science Research and Review</w:t>
      </w:r>
      <w:r>
        <w:rPr>
          <w:lang w:val="en-US"/>
        </w:rPr>
        <w:t xml:space="preserve">, 6(7). </w:t>
      </w:r>
      <w:r>
        <w:rPr/>
        <w:fldChar w:fldCharType="begin"/>
      </w:r>
      <w:r>
        <w:instrText xml:space="preserve"> HYPERLINK "https://doi.org/10.47191/ijcsrr/v6-i7-20" \t "_new" </w:instrText>
      </w:r>
      <w:r>
        <w:rPr/>
        <w:fldChar w:fldCharType="separate"/>
      </w:r>
      <w:r>
        <w:rPr>
          <w:rStyle w:val="style85"/>
          <w:lang w:val="en-US"/>
        </w:rPr>
        <w:t>https://doi.org/10.47191/ijcsrr/v6-i7-20</w:t>
      </w:r>
      <w:r>
        <w:rPr/>
        <w:fldChar w:fldCharType="end"/>
      </w:r>
    </w:p>
    <w:p>
      <w:pPr>
        <w:pStyle w:val="style0"/>
        <w:ind w:left="720" w:hanging="720"/>
        <w:rPr>
          <w:lang w:val="en-US"/>
        </w:rPr>
      </w:pPr>
      <w:r>
        <w:rPr>
          <w:lang w:val="en-US"/>
        </w:rPr>
        <w:t>Prashar</w:t>
      </w:r>
      <w:r>
        <w:rPr>
          <w:lang w:val="en-US"/>
        </w:rPr>
        <w:t xml:space="preserve">, A. (2022) ‘Supply chain sustainability drivers for fast-moving consumer goods (FMCG) sector: An Indian perspective’, </w:t>
      </w:r>
      <w:r>
        <w:rPr>
          <w:i/>
          <w:iCs/>
          <w:lang w:val="en-US"/>
        </w:rPr>
        <w:t>International Journal of Productivity and Performance Management</w:t>
      </w:r>
      <w:r>
        <w:rPr>
          <w:lang w:val="en-US"/>
        </w:rPr>
        <w:t xml:space="preserve">, 72(8), pp. 2397–2419. </w:t>
      </w:r>
      <w:r>
        <w:rPr/>
        <w:fldChar w:fldCharType="begin"/>
      </w:r>
      <w:r>
        <w:instrText xml:space="preserve"> HYPERLINK "https://doi.org/10.1108/ijppm-10-2021-0582" \t "_new" </w:instrText>
      </w:r>
      <w:r>
        <w:rPr/>
        <w:fldChar w:fldCharType="separate"/>
      </w:r>
      <w:r>
        <w:rPr>
          <w:rStyle w:val="style85"/>
          <w:lang w:val="en-US"/>
        </w:rPr>
        <w:t>https://doi.org/10.1108/ijppm-10-2021-0582</w:t>
      </w:r>
      <w:r>
        <w:rPr/>
        <w:fldChar w:fldCharType="end"/>
      </w:r>
    </w:p>
    <w:p>
      <w:pPr>
        <w:pStyle w:val="style0"/>
        <w:ind w:left="720" w:hanging="720"/>
        <w:rPr>
          <w:lang w:val="en-US"/>
        </w:rPr>
      </w:pPr>
      <w:r>
        <w:rPr>
          <w:lang w:val="en-US"/>
        </w:rPr>
        <w:t xml:space="preserve">Rashid, N., Ahmad, A., </w:t>
      </w:r>
      <w:r>
        <w:rPr>
          <w:lang w:val="en-US"/>
        </w:rPr>
        <w:t>Dahlal</w:t>
      </w:r>
      <w:r>
        <w:rPr>
          <w:lang w:val="en-US"/>
        </w:rPr>
        <w:t xml:space="preserve">, N. and Abdullah, M. (2023) ‘Applying ethical climate theory in whistleblowing intentions study among employees in halal food companies: A protocol’, </w:t>
      </w:r>
      <w:r>
        <w:rPr>
          <w:i/>
          <w:iCs/>
          <w:lang w:val="en-US"/>
        </w:rPr>
        <w:t>Halalsphere</w:t>
      </w:r>
      <w:r>
        <w:rPr>
          <w:lang w:val="en-US"/>
        </w:rPr>
        <w:t xml:space="preserve">, 3(1), pp. 47–54. </w:t>
      </w:r>
      <w:r>
        <w:rPr/>
        <w:fldChar w:fldCharType="begin"/>
      </w:r>
      <w:r>
        <w:instrText xml:space="preserve"> HYPERLINK "https://doi.org/10.31436/hs.v3i1.55" \t "_new" </w:instrText>
      </w:r>
      <w:r>
        <w:rPr/>
        <w:fldChar w:fldCharType="separate"/>
      </w:r>
      <w:r>
        <w:rPr>
          <w:rStyle w:val="style85"/>
          <w:lang w:val="en-US"/>
        </w:rPr>
        <w:t>https://doi.org/10.31436/hs.v3i1.55</w:t>
      </w:r>
      <w:r>
        <w:rPr/>
        <w:fldChar w:fldCharType="end"/>
      </w:r>
    </w:p>
    <w:p>
      <w:pPr>
        <w:pStyle w:val="style0"/>
        <w:ind w:left="720" w:hanging="720"/>
        <w:rPr>
          <w:lang w:val="en-US"/>
        </w:rPr>
      </w:pPr>
      <w:r>
        <w:rPr>
          <w:lang w:val="en-US"/>
        </w:rPr>
        <w:t>Ratanjee-Vanmali</w:t>
      </w:r>
      <w:r>
        <w:rPr>
          <w:lang w:val="en-US"/>
        </w:rPr>
        <w:t xml:space="preserve">, H., </w:t>
      </w:r>
      <w:r>
        <w:rPr>
          <w:lang w:val="en-US"/>
        </w:rPr>
        <w:t>Swanepoel</w:t>
      </w:r>
      <w:r>
        <w:rPr>
          <w:lang w:val="en-US"/>
        </w:rPr>
        <w:t xml:space="preserve">, D. and </w:t>
      </w:r>
      <w:r>
        <w:rPr>
          <w:lang w:val="en-US"/>
        </w:rPr>
        <w:t>Laplante</w:t>
      </w:r>
      <w:r>
        <w:rPr>
          <w:lang w:val="en-US"/>
        </w:rPr>
        <w:t xml:space="preserve">-Lévesque, A. (2020) ‘Digital proficiency and </w:t>
      </w:r>
      <w:r>
        <w:rPr>
          <w:lang w:val="en-US"/>
        </w:rPr>
        <w:t>teleaudiology</w:t>
      </w:r>
      <w:r>
        <w:rPr>
          <w:lang w:val="en-US"/>
        </w:rPr>
        <w:t xml:space="preserve">: Key implications in hearing care’, </w:t>
      </w:r>
      <w:r>
        <w:rPr>
          <w:i/>
          <w:iCs/>
          <w:lang w:val="en-US"/>
        </w:rPr>
        <w:t>The Hearing Journal</w:t>
      </w:r>
      <w:r>
        <w:rPr>
          <w:lang w:val="en-US"/>
        </w:rPr>
        <w:t xml:space="preserve">, 73(9), pp. 18–20. </w:t>
      </w:r>
      <w:r>
        <w:rPr/>
        <w:fldChar w:fldCharType="begin"/>
      </w:r>
      <w:r>
        <w:instrText xml:space="preserve"> HYPERLINK "https://doi.org/10.1097/01.hj.0000717160.38022.5c" \t "_new" </w:instrText>
      </w:r>
      <w:r>
        <w:rPr/>
        <w:fldChar w:fldCharType="separate"/>
      </w:r>
      <w:r>
        <w:rPr>
          <w:rStyle w:val="style85"/>
          <w:lang w:val="en-US"/>
        </w:rPr>
        <w:t>https://doi.org/10.1097/01.hj.0000717160.38022.5c</w:t>
      </w:r>
      <w:r>
        <w:rPr/>
        <w:fldChar w:fldCharType="end"/>
      </w:r>
    </w:p>
    <w:p>
      <w:pPr>
        <w:pStyle w:val="style0"/>
        <w:ind w:left="720" w:hanging="720"/>
        <w:rPr>
          <w:lang w:val="en-US"/>
        </w:rPr>
      </w:pPr>
      <w:r>
        <w:rPr>
          <w:lang w:val="en-US"/>
        </w:rPr>
        <w:t>Ravindran</w:t>
      </w:r>
      <w:r>
        <w:rPr>
          <w:lang w:val="en-US"/>
        </w:rPr>
        <w:t xml:space="preserve">, D., Ramachandran, M. and Sivaji, C. (2022) ‘Consumer attitude towards online food ordering: An empirical study’, </w:t>
      </w:r>
      <w:r>
        <w:rPr>
          <w:i/>
          <w:iCs/>
          <w:lang w:val="en-US"/>
        </w:rPr>
        <w:t>Journal of Digital Applications and Artificial Intelligence</w:t>
      </w:r>
      <w:r>
        <w:rPr>
          <w:lang w:val="en-US"/>
        </w:rPr>
        <w:t xml:space="preserve">, 1(3), pp. 19–26. </w:t>
      </w:r>
      <w:r>
        <w:rPr/>
        <w:fldChar w:fldCharType="begin"/>
      </w:r>
      <w:r>
        <w:instrText xml:space="preserve"> HYPERLINK "https://doi.org/10.46632/jdaai/1/3/3" \t "_new" </w:instrText>
      </w:r>
      <w:r>
        <w:rPr/>
        <w:fldChar w:fldCharType="separate"/>
      </w:r>
      <w:r>
        <w:rPr>
          <w:rStyle w:val="style85"/>
          <w:lang w:val="en-US"/>
        </w:rPr>
        <w:t>https://doi.org/10.46632/jdaai/1/3/3</w:t>
      </w:r>
      <w:r>
        <w:rPr/>
        <w:fldChar w:fldCharType="end"/>
      </w:r>
    </w:p>
    <w:p>
      <w:pPr>
        <w:pStyle w:val="style0"/>
        <w:ind w:left="720" w:hanging="720"/>
        <w:rPr/>
      </w:pPr>
      <w:r>
        <w:t>Ries</w:t>
      </w:r>
      <w:r>
        <w:t xml:space="preserve">, A. and Trout, J. (2001) </w:t>
      </w:r>
      <w:r>
        <w:rPr>
          <w:i/>
          <w:iCs/>
        </w:rPr>
        <w:t>Positioning: The Battle for Your Mind</w:t>
      </w:r>
      <w:r>
        <w:t>. New York: McGraw-Hill.</w:t>
      </w:r>
    </w:p>
    <w:p>
      <w:pPr>
        <w:pStyle w:val="style0"/>
        <w:ind w:left="720" w:hanging="720"/>
        <w:rPr>
          <w:lang w:val="en-US"/>
        </w:rPr>
      </w:pPr>
      <w:r>
        <w:rPr>
          <w:lang w:val="en-US"/>
        </w:rPr>
        <w:t xml:space="preserve">Roy, D., Bhattacharya, S. and Mukherjee, S. (2022) ‘Medical tourism brand equity in emerging markets: Scale development and empirical validation’, </w:t>
      </w:r>
      <w:r>
        <w:rPr>
          <w:i/>
          <w:iCs/>
          <w:lang w:val="en-US"/>
        </w:rPr>
        <w:t>International Journal of Emerging Markets</w:t>
      </w:r>
      <w:r>
        <w:rPr>
          <w:lang w:val="en-US"/>
        </w:rPr>
        <w:t xml:space="preserve">, 18(11), pp. 5172–5194. </w:t>
      </w:r>
      <w:r>
        <w:rPr/>
        <w:fldChar w:fldCharType="begin"/>
      </w:r>
      <w:r>
        <w:instrText xml:space="preserve"> HYPERLINK "https://doi.org/10.1108/ijoem-05-2021-0805" \t "_new" </w:instrText>
      </w:r>
      <w:r>
        <w:rPr/>
        <w:fldChar w:fldCharType="separate"/>
      </w:r>
      <w:r>
        <w:rPr>
          <w:rStyle w:val="style85"/>
          <w:lang w:val="en-US"/>
        </w:rPr>
        <w:t>https://doi.org/10.1108/ijoem-05-2021-0805</w:t>
      </w:r>
      <w:r>
        <w:rPr/>
        <w:fldChar w:fldCharType="end"/>
      </w:r>
    </w:p>
    <w:p>
      <w:pPr>
        <w:pStyle w:val="style0"/>
        <w:ind w:left="720" w:hanging="720"/>
        <w:rPr>
          <w:lang w:val="en-US"/>
        </w:rPr>
      </w:pPr>
      <w:r>
        <w:rPr>
          <w:lang w:val="en-US"/>
        </w:rPr>
        <w:t xml:space="preserve">Sacks, G., Robinson, E., Cameron, A., </w:t>
      </w:r>
      <w:r>
        <w:rPr>
          <w:lang w:val="en-US"/>
        </w:rPr>
        <w:t>Vanderlee</w:t>
      </w:r>
      <w:r>
        <w:rPr>
          <w:lang w:val="en-US"/>
        </w:rPr>
        <w:t xml:space="preserve">, L., </w:t>
      </w:r>
      <w:r>
        <w:rPr>
          <w:lang w:val="en-US"/>
        </w:rPr>
        <w:t>Vandevijvere</w:t>
      </w:r>
      <w:r>
        <w:rPr>
          <w:lang w:val="en-US"/>
        </w:rPr>
        <w:t xml:space="preserve">, S. and Swinburn, B. (2020) ‘Benchmarking the nutrition-related policies and commitments of major food companies in Australia, 2018’, </w:t>
      </w:r>
      <w:r>
        <w:rPr>
          <w:i/>
          <w:iCs/>
          <w:lang w:val="en-US"/>
        </w:rPr>
        <w:t>International Journal of Environmental Research and Public Health</w:t>
      </w:r>
      <w:r>
        <w:rPr>
          <w:lang w:val="en-US"/>
        </w:rPr>
        <w:t xml:space="preserve">, 17(17), p. 6118. </w:t>
      </w:r>
      <w:r>
        <w:rPr/>
        <w:fldChar w:fldCharType="begin"/>
      </w:r>
      <w:r>
        <w:instrText xml:space="preserve"> HYPERLINK "https://doi.org/10.3390/ijerph17176118" \t "_new" </w:instrText>
      </w:r>
      <w:r>
        <w:rPr/>
        <w:fldChar w:fldCharType="separate"/>
      </w:r>
      <w:r>
        <w:rPr>
          <w:rStyle w:val="style85"/>
          <w:lang w:val="en-US"/>
        </w:rPr>
        <w:t>https://doi.org/10.3390/ijerph17176118</w:t>
      </w:r>
      <w:r>
        <w:rPr/>
        <w:fldChar w:fldCharType="end"/>
      </w:r>
    </w:p>
    <w:p>
      <w:pPr>
        <w:pStyle w:val="style0"/>
        <w:ind w:left="720" w:hanging="720"/>
        <w:rPr>
          <w:lang w:val="en-US"/>
        </w:rPr>
      </w:pPr>
      <w:r>
        <w:rPr>
          <w:lang w:val="en-US"/>
        </w:rPr>
        <w:t>Shanmugam</w:t>
      </w:r>
      <w:r>
        <w:rPr>
          <w:lang w:val="en-US"/>
        </w:rPr>
        <w:t xml:space="preserve">, R., </w:t>
      </w:r>
      <w:r>
        <w:rPr>
          <w:lang w:val="en-US"/>
        </w:rPr>
        <w:t>Nadkarni</w:t>
      </w:r>
      <w:r>
        <w:rPr>
          <w:lang w:val="en-US"/>
        </w:rPr>
        <w:t xml:space="preserve">, P. and </w:t>
      </w:r>
      <w:r>
        <w:rPr>
          <w:lang w:val="en-US"/>
        </w:rPr>
        <w:t>Pipariya</w:t>
      </w:r>
      <w:r>
        <w:rPr>
          <w:lang w:val="en-US"/>
        </w:rPr>
        <w:t xml:space="preserve">, M. (2024) ‘Green marketing strategies and the influence of customer behaviour on green products’, in </w:t>
      </w:r>
      <w:r>
        <w:rPr>
          <w:i/>
          <w:iCs/>
          <w:lang w:val="en-US"/>
        </w:rPr>
        <w:t>Proceedings</w:t>
      </w:r>
      <w:r>
        <w:rPr>
          <w:lang w:val="en-US"/>
        </w:rPr>
        <w:t xml:space="preserve">, pp. 509–517. </w:t>
      </w:r>
      <w:r>
        <w:rPr/>
        <w:fldChar w:fldCharType="begin"/>
      </w:r>
      <w:r>
        <w:instrText xml:space="preserve"> HYPERLINK "https://doi.org/10.2991/978-94-6463-433-4_38" \t "_new" </w:instrText>
      </w:r>
      <w:r>
        <w:rPr/>
        <w:fldChar w:fldCharType="separate"/>
      </w:r>
      <w:r>
        <w:rPr>
          <w:rStyle w:val="style85"/>
          <w:lang w:val="en-US"/>
        </w:rPr>
        <w:t>https://doi.org/10.2991/978-94-6463-433-4_38</w:t>
      </w:r>
      <w:r>
        <w:rPr/>
        <w:fldChar w:fldCharType="end"/>
      </w:r>
    </w:p>
    <w:p>
      <w:pPr>
        <w:pStyle w:val="style0"/>
        <w:ind w:left="720" w:hanging="720"/>
        <w:rPr>
          <w:lang w:val="en-US"/>
        </w:rPr>
      </w:pPr>
      <w:r>
        <w:rPr>
          <w:lang w:val="en-US"/>
        </w:rPr>
        <w:t>Sharmila</w:t>
      </w:r>
      <w:r>
        <w:rPr>
          <w:lang w:val="en-US"/>
        </w:rPr>
        <w:t xml:space="preserve">, J., </w:t>
      </w:r>
      <w:r>
        <w:rPr>
          <w:lang w:val="en-US"/>
        </w:rPr>
        <w:t>Anggoro</w:t>
      </w:r>
      <w:r>
        <w:rPr>
          <w:lang w:val="en-US"/>
        </w:rPr>
        <w:t xml:space="preserve">, Y. and </w:t>
      </w:r>
      <w:r>
        <w:rPr>
          <w:lang w:val="en-US"/>
        </w:rPr>
        <w:t>Wibowo</w:t>
      </w:r>
      <w:r>
        <w:rPr>
          <w:lang w:val="en-US"/>
        </w:rPr>
        <w:t xml:space="preserve">, I. (2023) ‘Proposed marketing strategy for dairy-free coffee shop in Jakarta (case study: Mad for Coffee)’, </w:t>
      </w:r>
      <w:r>
        <w:rPr>
          <w:i/>
          <w:iCs/>
          <w:lang w:val="en-US"/>
        </w:rPr>
        <w:t>International Journal of Current Science Research and Review</w:t>
      </w:r>
      <w:r>
        <w:rPr>
          <w:lang w:val="en-US"/>
        </w:rPr>
        <w:t xml:space="preserve">, 6(7). </w:t>
      </w:r>
      <w:r>
        <w:rPr/>
        <w:fldChar w:fldCharType="begin"/>
      </w:r>
      <w:r>
        <w:instrText xml:space="preserve"> HYPERLINK "https://doi.org/10.47191/ijcsrr/v6-i7-19" \t "_new" </w:instrText>
      </w:r>
      <w:r>
        <w:rPr/>
        <w:fldChar w:fldCharType="separate"/>
      </w:r>
      <w:r>
        <w:rPr>
          <w:rStyle w:val="style85"/>
          <w:lang w:val="en-US"/>
        </w:rPr>
        <w:t>https://doi.org/10.47191/ijcsrr/v6-i7-19</w:t>
      </w:r>
      <w:r>
        <w:rPr/>
        <w:fldChar w:fldCharType="end"/>
      </w:r>
    </w:p>
    <w:p>
      <w:pPr>
        <w:pStyle w:val="style0"/>
        <w:ind w:left="720" w:hanging="720"/>
        <w:rPr/>
      </w:pPr>
      <w:r>
        <w:t xml:space="preserve">Solomon, M.R. et al. (2019) </w:t>
      </w:r>
      <w:r>
        <w:rPr>
          <w:i/>
          <w:iCs/>
        </w:rPr>
        <w:t>Consumer Behaviour: A European Perspective</w:t>
      </w:r>
      <w:r>
        <w:t xml:space="preserve">. 7th </w:t>
      </w:r>
      <w:r>
        <w:t>edn</w:t>
      </w:r>
      <w:r>
        <w:t>. Pearson.</w:t>
      </w:r>
    </w:p>
    <w:p>
      <w:pPr>
        <w:pStyle w:val="style0"/>
        <w:ind w:left="720" w:hanging="720"/>
        <w:rPr>
          <w:lang w:val="en-US"/>
        </w:rPr>
      </w:pPr>
      <w:r>
        <w:rPr>
          <w:lang w:val="en-US"/>
        </w:rPr>
        <w:t xml:space="preserve">Song, N., </w:t>
      </w:r>
      <w:r>
        <w:rPr>
          <w:lang w:val="en-US"/>
        </w:rPr>
        <w:t>Wuryaningrat</w:t>
      </w:r>
      <w:r>
        <w:rPr>
          <w:lang w:val="en-US"/>
        </w:rPr>
        <w:t xml:space="preserve">, N., Ibrahim, A., </w:t>
      </w:r>
      <w:r>
        <w:rPr>
          <w:lang w:val="en-US"/>
        </w:rPr>
        <w:t>Kee</w:t>
      </w:r>
      <w:r>
        <w:rPr>
          <w:lang w:val="en-US"/>
        </w:rPr>
        <w:t xml:space="preserve">, D., Nasir, A., San, A. </w:t>
      </w:r>
      <w:r>
        <w:rPr>
          <w:i/>
          <w:iCs/>
          <w:lang w:val="en-US"/>
        </w:rPr>
        <w:t>et al.</w:t>
      </w:r>
      <w:r>
        <w:rPr>
          <w:lang w:val="en-US"/>
        </w:rPr>
        <w:t xml:space="preserve"> (2022) ‘Manpower and service quality of fast-food restaurant: KFC restaurant’, </w:t>
      </w:r>
      <w:r>
        <w:rPr>
          <w:i/>
          <w:iCs/>
          <w:lang w:val="en-US"/>
        </w:rPr>
        <w:t>Journal of the Community Development in Asia</w:t>
      </w:r>
      <w:r>
        <w:rPr>
          <w:lang w:val="en-US"/>
        </w:rPr>
        <w:t xml:space="preserve">, 5(1), pp. 54–66. </w:t>
      </w:r>
      <w:r>
        <w:rPr/>
        <w:fldChar w:fldCharType="begin"/>
      </w:r>
      <w:r>
        <w:instrText xml:space="preserve"> HYPERLINK "https://doi.org/10.32535/jcda.v5i1.1385" \t "_new" </w:instrText>
      </w:r>
      <w:r>
        <w:rPr/>
        <w:fldChar w:fldCharType="separate"/>
      </w:r>
      <w:r>
        <w:rPr>
          <w:rStyle w:val="style85"/>
          <w:lang w:val="en-US"/>
        </w:rPr>
        <w:t>https://doi.org/10.32535/jcda.v5i1.1385</w:t>
      </w:r>
      <w:r>
        <w:rPr/>
        <w:fldChar w:fldCharType="end"/>
      </w:r>
    </w:p>
    <w:p>
      <w:pPr>
        <w:pStyle w:val="style0"/>
        <w:ind w:left="720" w:hanging="720"/>
        <w:rPr>
          <w:lang w:val="en-US"/>
        </w:rPr>
      </w:pPr>
      <w:r>
        <w:rPr>
          <w:lang w:val="en-US"/>
        </w:rPr>
        <w:t xml:space="preserve">Spiro, A., Hill, Z. and </w:t>
      </w:r>
      <w:r>
        <w:rPr>
          <w:lang w:val="en-US"/>
        </w:rPr>
        <w:t>Stanner</w:t>
      </w:r>
      <w:r>
        <w:rPr>
          <w:lang w:val="en-US"/>
        </w:rPr>
        <w:t xml:space="preserve">, S. (2024) ‘Meat and the future of sustainable diets—Challenges and opportunities’, </w:t>
      </w:r>
      <w:r>
        <w:rPr>
          <w:i/>
          <w:iCs/>
          <w:lang w:val="en-US"/>
        </w:rPr>
        <w:t>Nutrition Bulletin</w:t>
      </w:r>
      <w:r>
        <w:rPr>
          <w:lang w:val="en-US"/>
        </w:rPr>
        <w:t xml:space="preserve">, 49(4), pp. 572–598. </w:t>
      </w:r>
      <w:r>
        <w:rPr/>
        <w:fldChar w:fldCharType="begin"/>
      </w:r>
      <w:r>
        <w:instrText xml:space="preserve"> HYPERLINK "https://doi.org/10.1111/nbu.12713" \t "_new" </w:instrText>
      </w:r>
      <w:r>
        <w:rPr/>
        <w:fldChar w:fldCharType="separate"/>
      </w:r>
      <w:r>
        <w:rPr>
          <w:rStyle w:val="style85"/>
          <w:lang w:val="en-US"/>
        </w:rPr>
        <w:t>https://doi.org/10.1111/nbu.12713</w:t>
      </w:r>
      <w:r>
        <w:rPr/>
        <w:fldChar w:fldCharType="end"/>
      </w:r>
    </w:p>
    <w:p>
      <w:pPr>
        <w:pStyle w:val="style0"/>
        <w:ind w:left="720" w:hanging="720"/>
        <w:rPr/>
      </w:pPr>
      <w:r>
        <w:t xml:space="preserve">Statista (2024) </w:t>
      </w:r>
      <w:r>
        <w:rPr>
          <w:i/>
          <w:iCs/>
        </w:rPr>
        <w:t>Health-conscious consumer behaviour in the UK</w:t>
      </w:r>
      <w:r>
        <w:t>. Available at:</w:t>
      </w:r>
      <w:r>
        <w:br/>
      </w:r>
      <w:r>
        <w:rPr/>
        <w:fldChar w:fldCharType="begin"/>
      </w:r>
      <w:r>
        <w:instrText xml:space="preserve"> HYPERLINK "https://www.statista.com" \t "_new" </w:instrText>
      </w:r>
      <w:r>
        <w:rPr/>
        <w:fldChar w:fldCharType="separate"/>
      </w:r>
      <w:r>
        <w:rPr>
          <w:rStyle w:val="style85"/>
        </w:rPr>
        <w:t>https://www.statista.com</w:t>
      </w:r>
      <w:r>
        <w:rPr/>
        <w:fldChar w:fldCharType="end"/>
      </w:r>
      <w:r>
        <w:t xml:space="preserve"> </w:t>
      </w:r>
    </w:p>
    <w:p>
      <w:pPr>
        <w:pStyle w:val="style0"/>
        <w:ind w:left="720" w:hanging="720"/>
        <w:rPr>
          <w:lang w:val="en-US"/>
        </w:rPr>
      </w:pPr>
      <w:r>
        <w:rPr>
          <w:lang w:val="en-US"/>
        </w:rPr>
        <w:t xml:space="preserve">Steger, M. and James, P. (2020) ‘Unsettling subjectivity across local, national and global imaginaries producing an unhappy consciousness’, </w:t>
      </w:r>
      <w:r>
        <w:rPr>
          <w:i/>
          <w:iCs/>
          <w:lang w:val="en-US"/>
        </w:rPr>
        <w:t>Glocalism</w:t>
      </w:r>
      <w:r>
        <w:rPr>
          <w:lang w:val="en-US"/>
        </w:rPr>
        <w:t xml:space="preserve">, (3). </w:t>
      </w:r>
      <w:r>
        <w:rPr/>
        <w:fldChar w:fldCharType="begin"/>
      </w:r>
      <w:r>
        <w:instrText xml:space="preserve"> HYPERLINK "https://doi.org/10.12893/gjcpi.2020.3.1" \t "_new" </w:instrText>
      </w:r>
      <w:r>
        <w:rPr/>
        <w:fldChar w:fldCharType="separate"/>
      </w:r>
      <w:r>
        <w:rPr>
          <w:rStyle w:val="style85"/>
          <w:lang w:val="en-US"/>
        </w:rPr>
        <w:t>https://doi.org/10.12893/gjcpi.2020.3.1</w:t>
      </w:r>
      <w:r>
        <w:rPr/>
        <w:fldChar w:fldCharType="end"/>
      </w:r>
    </w:p>
    <w:p>
      <w:pPr>
        <w:pStyle w:val="style0"/>
        <w:ind w:left="720" w:hanging="720"/>
        <w:rPr/>
      </w:pPr>
      <w:r>
        <w:t>Susilowati</w:t>
      </w:r>
      <w:r>
        <w:t xml:space="preserve">, E., </w:t>
      </w:r>
      <w:r>
        <w:t>Yuwono</w:t>
      </w:r>
      <w:r>
        <w:t xml:space="preserve">, A. and </w:t>
      </w:r>
      <w:r>
        <w:t>Leonnard</w:t>
      </w:r>
      <w:r>
        <w:t xml:space="preserve">, L. (2021) ‘Cloud kitchen development analysis in food and beverage industry: A case study in Jakarta’, </w:t>
      </w:r>
      <w:r>
        <w:rPr>
          <w:rStyle w:val="style88"/>
        </w:rPr>
        <w:t>RSF Conference Series: Business, Management and Social Sciences</w:t>
      </w:r>
      <w:r>
        <w:t xml:space="preserve">, 1(6), pp. 29–39. </w:t>
      </w:r>
      <w:r>
        <w:rPr/>
        <w:fldChar w:fldCharType="begin"/>
      </w:r>
      <w:r>
        <w:instrText xml:space="preserve"> HYPERLINK "https://doi.org/10.31098/bmss.v1i6.465" \t "_new" </w:instrText>
      </w:r>
      <w:r>
        <w:rPr/>
        <w:fldChar w:fldCharType="separate"/>
      </w:r>
      <w:r>
        <w:rPr>
          <w:rStyle w:val="style85"/>
        </w:rPr>
        <w:t>https://doi.org/10.31098/bmss.v1i6.465</w:t>
      </w:r>
      <w:r>
        <w:rPr/>
        <w:fldChar w:fldCharType="end"/>
      </w:r>
    </w:p>
    <w:p>
      <w:pPr>
        <w:pStyle w:val="style0"/>
        <w:ind w:left="720" w:hanging="720"/>
        <w:rPr>
          <w:lang w:val="en-US"/>
        </w:rPr>
      </w:pPr>
      <w:r>
        <w:rPr>
          <w:lang w:val="en-US"/>
        </w:rPr>
        <w:t>Syah</w:t>
      </w:r>
      <w:r>
        <w:rPr>
          <w:lang w:val="en-US"/>
        </w:rPr>
        <w:t xml:space="preserve">, T., </w:t>
      </w:r>
      <w:r>
        <w:rPr>
          <w:lang w:val="en-US"/>
        </w:rPr>
        <w:t>Alimwidodo</w:t>
      </w:r>
      <w:r>
        <w:rPr>
          <w:lang w:val="en-US"/>
        </w:rPr>
        <w:t xml:space="preserve">, P., </w:t>
      </w:r>
      <w:r>
        <w:rPr>
          <w:lang w:val="en-US"/>
        </w:rPr>
        <w:t>Lianti</w:t>
      </w:r>
      <w:r>
        <w:rPr>
          <w:lang w:val="en-US"/>
        </w:rPr>
        <w:t xml:space="preserve">, L. and </w:t>
      </w:r>
      <w:r>
        <w:rPr>
          <w:lang w:val="en-US"/>
        </w:rPr>
        <w:t>Hatta</w:t>
      </w:r>
      <w:r>
        <w:rPr>
          <w:lang w:val="en-US"/>
        </w:rPr>
        <w:t xml:space="preserve">, H. (2022) ‘Perceived price as antecedent of satisfaction and loyalty: Learn from fast food multinational restaurants in Indonesia’, </w:t>
      </w:r>
      <w:r>
        <w:rPr>
          <w:i/>
          <w:iCs/>
          <w:lang w:val="en-US"/>
        </w:rPr>
        <w:t>Central European Business Review</w:t>
      </w:r>
      <w:r>
        <w:rPr>
          <w:lang w:val="en-US"/>
        </w:rPr>
        <w:t xml:space="preserve">, 11(4), pp. 63–84. </w:t>
      </w:r>
      <w:r>
        <w:rPr/>
        <w:fldChar w:fldCharType="begin"/>
      </w:r>
      <w:r>
        <w:instrText xml:space="preserve"> HYPERLINK "https://doi.org/10.18267/j.cebr.304" \t "_new" </w:instrText>
      </w:r>
      <w:r>
        <w:rPr/>
        <w:fldChar w:fldCharType="separate"/>
      </w:r>
      <w:r>
        <w:rPr>
          <w:rStyle w:val="style85"/>
          <w:lang w:val="en-US"/>
        </w:rPr>
        <w:t>https://doi.org/10.18267/j.cebr.304</w:t>
      </w:r>
      <w:r>
        <w:rPr/>
        <w:fldChar w:fldCharType="end"/>
      </w:r>
    </w:p>
    <w:p>
      <w:pPr>
        <w:pStyle w:val="style0"/>
        <w:ind w:left="720" w:hanging="720"/>
        <w:rPr>
          <w:lang w:val="en-US"/>
        </w:rPr>
      </w:pPr>
      <w:r>
        <w:rPr>
          <w:lang w:val="en-US"/>
        </w:rPr>
        <w:t>Tokas</w:t>
      </w:r>
      <w:r>
        <w:rPr>
          <w:lang w:val="en-US"/>
        </w:rPr>
        <w:t xml:space="preserve">, K. and Deb, A. (2020) ‘CAGE distance framework and bilateral trade flows: Case of India’, </w:t>
      </w:r>
      <w:r>
        <w:rPr>
          <w:i/>
          <w:iCs/>
          <w:lang w:val="en-US"/>
        </w:rPr>
        <w:t>Management Research Review</w:t>
      </w:r>
      <w:r>
        <w:rPr>
          <w:lang w:val="en-US"/>
        </w:rPr>
        <w:t xml:space="preserve">, 43(10), pp. 1157–1181. </w:t>
      </w:r>
      <w:r>
        <w:rPr/>
        <w:fldChar w:fldCharType="begin"/>
      </w:r>
      <w:r>
        <w:instrText xml:space="preserve"> HYPERLINK "https://doi.org/10.1108/mrr-09-2019-0386" \t "_new" </w:instrText>
      </w:r>
      <w:r>
        <w:rPr/>
        <w:fldChar w:fldCharType="separate"/>
      </w:r>
      <w:r>
        <w:rPr>
          <w:rStyle w:val="style85"/>
          <w:lang w:val="en-US"/>
        </w:rPr>
        <w:t>https://doi.org/10.1108/mrr-09-2019-0386</w:t>
      </w:r>
      <w:r>
        <w:rPr/>
        <w:fldChar w:fldCharType="end"/>
      </w:r>
    </w:p>
    <w:p>
      <w:pPr>
        <w:pStyle w:val="style0"/>
        <w:ind w:left="720" w:hanging="720"/>
        <w:rPr/>
      </w:pPr>
      <w:r>
        <w:t xml:space="preserve">United Nations Environment Programme (UNEP) (2023) </w:t>
      </w:r>
      <w:r>
        <w:rPr>
          <w:i/>
          <w:iCs/>
        </w:rPr>
        <w:t>Global environmental outlook</w:t>
      </w:r>
      <w:r>
        <w:t xml:space="preserve">. Available at: </w:t>
      </w:r>
      <w:r>
        <w:rPr/>
        <w:fldChar w:fldCharType="begin"/>
      </w:r>
      <w:r>
        <w:instrText xml:space="preserve"> HYPERLINK "https://www.unep.org" \t "_new" </w:instrText>
      </w:r>
      <w:r>
        <w:rPr/>
        <w:fldChar w:fldCharType="separate"/>
      </w:r>
      <w:r>
        <w:rPr>
          <w:rStyle w:val="style85"/>
        </w:rPr>
        <w:t>https://www.unep.org</w:t>
      </w:r>
      <w:r>
        <w:rPr/>
        <w:fldChar w:fldCharType="end"/>
      </w:r>
      <w:r>
        <w:t xml:space="preserve"> </w:t>
      </w:r>
    </w:p>
    <w:p>
      <w:pPr>
        <w:pStyle w:val="style0"/>
        <w:ind w:left="720" w:hanging="720"/>
        <w:rPr/>
      </w:pPr>
      <w:r>
        <w:t xml:space="preserve">Vrontis, D. and </w:t>
      </w:r>
      <w:r>
        <w:t>Thrassou</w:t>
      </w:r>
      <w:r>
        <w:t>, A. (2007) ‘Adaptation vs. standardisation in international marketing’, Journal of International Marketing, 15(2), pp. 1–28.</w:t>
      </w:r>
    </w:p>
    <w:p>
      <w:pPr>
        <w:pStyle w:val="style0"/>
        <w:ind w:left="720" w:hanging="720"/>
        <w:rPr/>
      </w:pPr>
      <w:r>
        <w:t xml:space="preserve">Vrontis, D. and </w:t>
      </w:r>
      <w:r>
        <w:t>Thrassou</w:t>
      </w:r>
      <w:r>
        <w:t xml:space="preserve">, A. (2007) ‘Adaptation vs. standardisation in international marketing: The country-of-origin effect’, </w:t>
      </w:r>
      <w:r>
        <w:rPr>
          <w:i/>
          <w:iCs/>
        </w:rPr>
        <w:t>Journal of International Marketing</w:t>
      </w:r>
      <w:r>
        <w:t>, 15(2), pp. 1–22.</w:t>
      </w:r>
      <w:r>
        <w:br/>
      </w:r>
      <w:r>
        <w:rPr/>
        <w:fldChar w:fldCharType="begin"/>
      </w:r>
      <w:r>
        <w:instrText xml:space="preserve"> HYPERLINK "https://doi.org/10.1509/jimk.15.2.1" \t "_new" </w:instrText>
      </w:r>
      <w:r>
        <w:rPr/>
        <w:fldChar w:fldCharType="separate"/>
      </w:r>
      <w:r>
        <w:rPr>
          <w:rStyle w:val="style85"/>
        </w:rPr>
        <w:t>https://doi.org/10.1509/jimk.15.2.1</w:t>
      </w:r>
      <w:r>
        <w:rPr/>
        <w:fldChar w:fldCharType="end"/>
      </w:r>
    </w:p>
    <w:p>
      <w:pPr>
        <w:pStyle w:val="style0"/>
        <w:ind w:left="720" w:hanging="720"/>
        <w:rPr/>
      </w:pPr>
      <w:r>
        <w:t xml:space="preserve">Wedel, M. and Kamakura, W.A. (2012) </w:t>
      </w:r>
      <w:r>
        <w:rPr>
          <w:i/>
          <w:iCs/>
        </w:rPr>
        <w:t>Market Segmentation: Conceptual and Methodological Foundations</w:t>
      </w:r>
      <w:r>
        <w:t xml:space="preserve">. 2nd </w:t>
      </w:r>
      <w:r>
        <w:t>edn</w:t>
      </w:r>
      <w:r>
        <w:t>. Boston: Springer. https://doi.org/10.1007/978-1-4614-3935-0</w:t>
      </w:r>
    </w:p>
    <w:p>
      <w:pPr>
        <w:pStyle w:val="style0"/>
        <w:ind w:left="720" w:hanging="720"/>
        <w:rPr>
          <w:lang w:val="en-US"/>
        </w:rPr>
      </w:pPr>
      <w:r>
        <w:rPr>
          <w:lang w:val="en-US"/>
        </w:rPr>
        <w:t xml:space="preserve">Yew, L. (2023) ‘Improving performance services for customer satisfaction: A case study of Kentucky Fried Chicken’, </w:t>
      </w:r>
      <w:r>
        <w:rPr>
          <w:i/>
          <w:iCs/>
          <w:lang w:val="en-US"/>
        </w:rPr>
        <w:t>International Journal of Tourism and Hospitality in Asia Pacific</w:t>
      </w:r>
      <w:r>
        <w:rPr>
          <w:lang w:val="en-US"/>
        </w:rPr>
        <w:t xml:space="preserve">, 6(1). </w:t>
      </w:r>
      <w:r>
        <w:rPr/>
        <w:fldChar w:fldCharType="begin"/>
      </w:r>
      <w:r>
        <w:instrText xml:space="preserve"> HYPERLINK "https://doi.org/10.32535/ijthap.v6i1.2197" \t "_new" </w:instrText>
      </w:r>
      <w:r>
        <w:rPr/>
        <w:fldChar w:fldCharType="separate"/>
      </w:r>
      <w:r>
        <w:rPr>
          <w:rStyle w:val="style85"/>
          <w:lang w:val="en-US"/>
        </w:rPr>
        <w:t>https://doi.org/10.32535/ijthap.v6i1.2197</w:t>
      </w:r>
      <w:r>
        <w:rPr/>
        <w:fldChar w:fldCharType="end"/>
      </w:r>
    </w:p>
    <w:p>
      <w:pPr>
        <w:pStyle w:val="style0"/>
        <w:ind w:left="720" w:hanging="720"/>
        <w:rPr>
          <w:lang w:val="en-US"/>
        </w:rPr>
      </w:pPr>
      <w:r>
        <w:rPr>
          <w:lang w:val="en-US"/>
        </w:rPr>
        <w:t>Zakaria</w:t>
      </w:r>
      <w:r>
        <w:rPr>
          <w:lang w:val="en-US"/>
        </w:rPr>
        <w:t xml:space="preserve">, S., </w:t>
      </w:r>
      <w:r>
        <w:rPr>
          <w:lang w:val="en-US"/>
        </w:rPr>
        <w:t>Razak</w:t>
      </w:r>
      <w:r>
        <w:rPr>
          <w:lang w:val="en-US"/>
        </w:rPr>
        <w:t xml:space="preserve">, N., Ismail, L., </w:t>
      </w:r>
      <w:r>
        <w:rPr>
          <w:lang w:val="en-US"/>
        </w:rPr>
        <w:t>Tukiran</w:t>
      </w:r>
      <w:r>
        <w:rPr>
          <w:lang w:val="en-US"/>
        </w:rPr>
        <w:t xml:space="preserve">, N. and Ahmad, N. (2023) ‘Awareness level on fast food selection factors among catering students’, </w:t>
      </w:r>
      <w:r>
        <w:rPr>
          <w:i/>
          <w:iCs/>
          <w:lang w:val="en-US"/>
        </w:rPr>
        <w:t>Online Journal for TVET Practitioners</w:t>
      </w:r>
      <w:r>
        <w:rPr>
          <w:lang w:val="en-US"/>
        </w:rPr>
        <w:t xml:space="preserve">, 8(1). </w:t>
      </w:r>
      <w:r>
        <w:rPr/>
        <w:fldChar w:fldCharType="begin"/>
      </w:r>
      <w:r>
        <w:instrText xml:space="preserve"> HYPERLINK "https://doi.org/10.30880/ojtp.2023.08.01.010" \t "_new" </w:instrText>
      </w:r>
      <w:r>
        <w:rPr/>
        <w:fldChar w:fldCharType="separate"/>
      </w:r>
      <w:r>
        <w:rPr>
          <w:rStyle w:val="style85"/>
          <w:lang w:val="en-US"/>
        </w:rPr>
        <w:t>https://doi.org/10.30880/ojtp.2023.08.01.010</w:t>
      </w:r>
      <w:r>
        <w:rPr/>
        <w:fldChar w:fldCharType="end"/>
      </w:r>
      <w:bookmarkEnd w:id="0"/>
    </w:p>
    <w:sectPr>
      <w:footerReference w:type="default" r:id="rId1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ptos">
    <w:altName w:val="Arial"/>
    <w:panose1 w:val="00000000000000000000"/>
    <w:charset w:val="00"/>
    <w:family w:val="swiss"/>
    <w:pitch w:val="variable"/>
    <w:sig w:usb0="20000287" w:usb1="00000003" w:usb2="00000000" w:usb3="00000000" w:csb0="0000019F" w:csb1="00000000"/>
  </w:font>
  <w:font w:name="Aptos Display">
    <w:altName w:val="Arial"/>
    <w:panose1 w:val="00000000000000000000"/>
    <w:charset w:val="00"/>
    <w:family w:val="swiss"/>
    <w:pitch w:val="variable"/>
    <w:sig w:usb0="20000287" w:usb1="00000003" w:usb2="00000000" w:usb3="00000000" w:csb0="0000019F"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33</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401CDE96"/>
    <w:lvl w:ilvl="0">
      <w:start w:val="1"/>
      <w:numFmt w:val="decimal"/>
      <w:lvlText w:val="%1."/>
      <w:lvlJc w:val="left"/>
      <w:pPr>
        <w:ind w:left="567" w:hanging="567"/>
      </w:pPr>
      <w:rPr>
        <w:rFonts w:ascii="Arial" w:hAnsi="Arial"/>
        <w:b/>
        <w:i w:val="false"/>
        <w:color w:val="302683"/>
        <w:sz w:val="44"/>
        <w:u w:val="none" w:color="00b3e1"/>
      </w:rPr>
    </w:lvl>
    <w:lvl w:ilvl="1">
      <w:start w:val="1"/>
      <w:numFmt w:val="none"/>
      <w:lvlText w:val="%2"/>
      <w:lvlJc w:val="left"/>
      <w:pPr/>
    </w:lvl>
    <w:lvl w:ilvl="2">
      <w:start w:val="1"/>
      <w:numFmt w:val="none"/>
      <w:lvlText w:val="%3"/>
      <w:lvlJc w:val="left"/>
      <w:pPr/>
    </w:lvl>
    <w:lvl w:ilvl="3">
      <w:start w:val="1"/>
      <w:numFmt w:val="none"/>
      <w:lvlText w:val="%4"/>
      <w:lvlJc w:val="left"/>
      <w:pPr/>
    </w:lvl>
    <w:lvl w:ilvl="4">
      <w:start w:val="1"/>
      <w:numFmt w:val="none"/>
      <w:lvlText w:val="%5"/>
      <w:lvlJc w:val="left"/>
      <w:pPr/>
    </w:lvl>
    <w:lvl w:ilvl="5">
      <w:start w:val="1"/>
      <w:numFmt w:val="none"/>
      <w:lvlText w:val="%6"/>
      <w:lvlJc w:val="left"/>
      <w:pPr/>
    </w:lvl>
    <w:lvl w:ilvl="6">
      <w:start w:val="1"/>
      <w:numFmt w:val="none"/>
      <w:lvlText w:val=""/>
      <w:lvlJc w:val="left"/>
      <w:pPr/>
    </w:lvl>
    <w:lvl w:ilvl="7">
      <w:start w:val="1"/>
      <w:numFmt w:val="none"/>
      <w:lvlText w:val=""/>
      <w:lvlJc w:val="left"/>
      <w:pPr/>
    </w:lvl>
    <w:lvl w:ilvl="8">
      <w:start w:val="1"/>
      <w:numFmt w:val="none"/>
      <w:lvlText w:val=""/>
      <w:lvlJc w:val="left"/>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GB"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360"/>
      <w:jc w:val="both"/>
    </w:pPr>
    <w:rPr>
      <w:rFonts w:ascii="Arial" w:hAnsi="Arial"/>
    </w:rPr>
  </w:style>
  <w:style w:type="paragraph" w:styleId="style1">
    <w:name w:val="heading 1"/>
    <w:basedOn w:val="style0"/>
    <w:next w:val="style0"/>
    <w:link w:val="style4097"/>
    <w:qFormat/>
    <w:uiPriority w:val="9"/>
    <w:pPr>
      <w:keepNext/>
      <w:keepLines/>
      <w:spacing w:before="360" w:after="80"/>
      <w:outlineLvl w:val="0"/>
    </w:pPr>
    <w:rPr>
      <w:rFonts w:cs="Times New Roman" w:eastAsia="宋体"/>
      <w:b/>
      <w:color w:val="1f4e79"/>
      <w:sz w:val="36"/>
      <w:szCs w:val="40"/>
      <w:u w:val="single"/>
    </w:rPr>
  </w:style>
  <w:style w:type="paragraph" w:styleId="style2">
    <w:name w:val="heading 2"/>
    <w:basedOn w:val="style0"/>
    <w:next w:val="style0"/>
    <w:link w:val="style4098"/>
    <w:qFormat/>
    <w:uiPriority w:val="9"/>
    <w:pPr>
      <w:keepNext/>
      <w:keepLines/>
      <w:spacing w:before="160" w:after="80"/>
      <w:outlineLvl w:val="1"/>
    </w:pPr>
    <w:rPr>
      <w:rFonts w:cs="Times New Roman" w:eastAsia="宋体"/>
      <w:b/>
      <w:color w:val="2e74b5"/>
      <w:sz w:val="28"/>
      <w:szCs w:val="32"/>
    </w:rPr>
  </w:style>
  <w:style w:type="paragraph" w:styleId="style3">
    <w:name w:val="heading 3"/>
    <w:basedOn w:val="style0"/>
    <w:next w:val="style0"/>
    <w:link w:val="style4099"/>
    <w:qFormat/>
    <w:uiPriority w:val="9"/>
    <w:pPr>
      <w:keepNext/>
      <w:keepLines/>
      <w:spacing w:before="160" w:after="80"/>
      <w:outlineLvl w:val="2"/>
    </w:pPr>
    <w:rPr>
      <w:rFonts w:ascii="Aptos" w:cs="Times New Roman" w:eastAsia="宋体" w:hAnsi="Aptos"/>
      <w:color w:val="2e74b5"/>
      <w:sz w:val="28"/>
      <w:szCs w:val="28"/>
    </w:rPr>
  </w:style>
  <w:style w:type="paragraph" w:styleId="style4">
    <w:name w:val="heading 4"/>
    <w:basedOn w:val="style0"/>
    <w:next w:val="style0"/>
    <w:link w:val="style4100"/>
    <w:qFormat/>
    <w:uiPriority w:val="9"/>
    <w:pPr>
      <w:keepNext/>
      <w:keepLines/>
      <w:spacing w:before="80" w:after="40"/>
      <w:outlineLvl w:val="3"/>
    </w:pPr>
    <w:rPr>
      <w:rFonts w:ascii="Aptos" w:cs="Times New Roman" w:eastAsia="宋体" w:hAnsi="Aptos"/>
      <w:i/>
      <w:iCs/>
      <w:color w:val="2e74b5"/>
    </w:rPr>
  </w:style>
  <w:style w:type="paragraph" w:styleId="style5">
    <w:name w:val="heading 5"/>
    <w:basedOn w:val="style0"/>
    <w:next w:val="style0"/>
    <w:link w:val="style4101"/>
    <w:qFormat/>
    <w:uiPriority w:val="9"/>
    <w:pPr>
      <w:keepNext/>
      <w:keepLines/>
      <w:spacing w:before="80" w:after="40"/>
      <w:outlineLvl w:val="4"/>
    </w:pPr>
    <w:rPr>
      <w:rFonts w:ascii="Aptos" w:cs="Times New Roman" w:eastAsia="宋体" w:hAnsi="Aptos"/>
      <w:color w:val="2e74b5"/>
    </w:rPr>
  </w:style>
  <w:style w:type="paragraph" w:styleId="style6">
    <w:name w:val="heading 6"/>
    <w:basedOn w:val="style0"/>
    <w:next w:val="style0"/>
    <w:link w:val="style4102"/>
    <w:qFormat/>
    <w:uiPriority w:val="9"/>
    <w:pPr>
      <w:keepNext/>
      <w:keepLines/>
      <w:spacing w:before="40" w:after="0"/>
      <w:outlineLvl w:val="5"/>
    </w:pPr>
    <w:rPr>
      <w:rFonts w:ascii="Aptos" w:cs="Times New Roman"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Times New Roman"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Times New Roman"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Times New Roman"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186c330-fce0-4b8e-a658-6a482cb810bd"/>
    <w:basedOn w:val="style65"/>
    <w:next w:val="style4097"/>
    <w:link w:val="style1"/>
    <w:uiPriority w:val="9"/>
    <w:rPr>
      <w:rFonts w:ascii="Arial" w:cs="Times New Roman" w:eastAsia="宋体" w:hAnsi="Arial"/>
      <w:b/>
      <w:color w:val="1f4e79"/>
      <w:sz w:val="36"/>
      <w:szCs w:val="40"/>
      <w:u w:val="single"/>
    </w:rPr>
  </w:style>
  <w:style w:type="character" w:customStyle="1" w:styleId="style4098">
    <w:name w:val="Heading 2 Char_6a654956-cba4-45fa-8014-f8a6ada81c5e"/>
    <w:basedOn w:val="style65"/>
    <w:next w:val="style4098"/>
    <w:link w:val="style2"/>
    <w:uiPriority w:val="9"/>
    <w:rPr>
      <w:rFonts w:ascii="Times New Roman" w:cs="Times New Roman" w:eastAsia="宋体" w:hAnsi="Times New Roman"/>
      <w:b/>
      <w:color w:val="2e74b5"/>
      <w:sz w:val="28"/>
      <w:szCs w:val="32"/>
    </w:rPr>
  </w:style>
  <w:style w:type="character" w:customStyle="1" w:styleId="style4099">
    <w:name w:val="Heading 3 Char_d80eb22f-8c16-4864-b989-c1c813b3ddff"/>
    <w:basedOn w:val="style65"/>
    <w:next w:val="style4099"/>
    <w:link w:val="style3"/>
    <w:uiPriority w:val="9"/>
    <w:rPr>
      <w:rFonts w:cs="Times New Roman" w:eastAsia="宋体"/>
      <w:color w:val="2e74b5"/>
      <w:sz w:val="28"/>
      <w:szCs w:val="28"/>
    </w:rPr>
  </w:style>
  <w:style w:type="character" w:customStyle="1" w:styleId="style4100">
    <w:name w:val="Heading 4 Char_42d47a2a-3afb-4d15-a27e-efd9d8dccef6"/>
    <w:basedOn w:val="style65"/>
    <w:next w:val="style4100"/>
    <w:link w:val="style4"/>
    <w:uiPriority w:val="9"/>
    <w:rPr>
      <w:rFonts w:cs="Times New Roman" w:eastAsia="宋体"/>
      <w:i/>
      <w:iCs/>
      <w:color w:val="2e74b5"/>
    </w:rPr>
  </w:style>
  <w:style w:type="character" w:customStyle="1" w:styleId="style4101">
    <w:name w:val="Heading 5 Char_4af1d789-a25a-4457-86cc-984ab61b1886"/>
    <w:basedOn w:val="style65"/>
    <w:next w:val="style4101"/>
    <w:link w:val="style5"/>
    <w:uiPriority w:val="9"/>
    <w:rPr>
      <w:rFonts w:cs="Times New Roman" w:eastAsia="宋体"/>
      <w:color w:val="2e74b5"/>
    </w:rPr>
  </w:style>
  <w:style w:type="character" w:customStyle="1" w:styleId="style4102">
    <w:name w:val="Heading 6 Char_fa69d285-abcf-4267-9b80-cec4840fb432"/>
    <w:basedOn w:val="style65"/>
    <w:next w:val="style4102"/>
    <w:link w:val="style6"/>
    <w:uiPriority w:val="9"/>
    <w:rPr>
      <w:rFonts w:cs="Times New Roman" w:eastAsia="宋体"/>
      <w:i/>
      <w:iCs/>
      <w:color w:val="595959"/>
    </w:rPr>
  </w:style>
  <w:style w:type="character" w:customStyle="1" w:styleId="style4103">
    <w:name w:val="Heading 7 Char_a0585bc7-d871-4348-97c9-65f9278fd124"/>
    <w:basedOn w:val="style65"/>
    <w:next w:val="style4103"/>
    <w:link w:val="style7"/>
    <w:uiPriority w:val="9"/>
    <w:rPr>
      <w:rFonts w:cs="Times New Roman" w:eastAsia="宋体"/>
      <w:color w:val="595959"/>
    </w:rPr>
  </w:style>
  <w:style w:type="character" w:customStyle="1" w:styleId="style4104">
    <w:name w:val="Heading 8 Char_836dcdd1-0bd2-4886-8c8b-3fbce1429b68"/>
    <w:basedOn w:val="style65"/>
    <w:next w:val="style4104"/>
    <w:link w:val="style8"/>
    <w:uiPriority w:val="9"/>
    <w:rPr>
      <w:rFonts w:cs="Times New Roman" w:eastAsia="宋体"/>
      <w:i/>
      <w:iCs/>
      <w:color w:val="272727"/>
    </w:rPr>
  </w:style>
  <w:style w:type="character" w:customStyle="1" w:styleId="style4105">
    <w:name w:val="Heading 9 Char_bc69360b-6631-496f-8586-535ea664db7a"/>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61f515bb-5582-443e-a1fc-42c499dfec67"/>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Times New Roman" w:eastAsia="宋体" w:hAnsi="Aptos"/>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character" w:styleId="style87">
    <w:name w:val="Strong"/>
    <w:basedOn w:val="style65"/>
    <w:next w:val="style87"/>
    <w:qFormat/>
    <w:uiPriority w:val="22"/>
    <w:rPr>
      <w:b/>
      <w:bCs/>
    </w:rPr>
  </w:style>
  <w:style w:type="paragraph" w:styleId="style179">
    <w:name w:val="List Paragraph"/>
    <w:basedOn w:val="style0"/>
    <w:next w:val="style179"/>
    <w:qFormat/>
    <w:uiPriority w:val="34"/>
    <w:pPr>
      <w:ind w:left="720"/>
      <w:contextualSpacing/>
    </w:pPr>
    <w:rPr/>
  </w:style>
  <w:style w:type="paragraph" w:styleId="style180">
    <w:name w:val="Quote"/>
    <w:basedOn w:val="style0"/>
    <w:next w:val="style0"/>
    <w:link w:val="style4108"/>
    <w:qFormat/>
    <w:uiPriority w:val="29"/>
    <w:pPr>
      <w:spacing w:before="160"/>
      <w:jc w:val="center"/>
    </w:pPr>
    <w:rPr>
      <w:rFonts w:ascii="Aptos" w:hAnsi="Aptos"/>
      <w:i/>
      <w:iCs/>
      <w:color w:val="404040"/>
    </w:rPr>
  </w:style>
  <w:style w:type="character" w:customStyle="1" w:styleId="style4108">
    <w:name w:val="Quote Char_d1a61249-1906-4466-be23-21e4a6241c3f"/>
    <w:basedOn w:val="style65"/>
    <w:next w:val="style4108"/>
    <w:link w:val="style180"/>
    <w:uiPriority w:val="29"/>
    <w:rPr>
      <w:i/>
      <w:iCs/>
      <w:color w:val="404040"/>
    </w:rPr>
  </w:style>
  <w:style w:type="paragraph" w:styleId="style181">
    <w:name w:val="Intense Quote"/>
    <w:basedOn w:val="style0"/>
    <w:next w:val="style0"/>
    <w:link w:val="style4109"/>
    <w:qFormat/>
    <w:uiPriority w:val="30"/>
    <w:pPr>
      <w:pBdr>
        <w:top w:val="single" w:sz="4" w:space="10" w:color="2e74b5"/>
        <w:bottom w:val="single" w:sz="4" w:space="10" w:color="2e74b5"/>
      </w:pBdr>
      <w:spacing w:before="360" w:after="360"/>
      <w:ind w:left="864" w:right="864"/>
      <w:jc w:val="center"/>
    </w:pPr>
    <w:rPr>
      <w:rFonts w:ascii="Aptos" w:hAnsi="Aptos"/>
      <w:i/>
      <w:iCs/>
      <w:color w:val="2e74b5"/>
    </w:rPr>
  </w:style>
  <w:style w:type="character" w:customStyle="1" w:styleId="style4109">
    <w:name w:val="Intense Quote Char_4d813551-0169-459d-905a-290d6f61dde2"/>
    <w:basedOn w:val="style65"/>
    <w:next w:val="style4109"/>
    <w:link w:val="style181"/>
    <w:uiPriority w:val="30"/>
    <w:rPr>
      <w:i/>
      <w:iCs/>
      <w:color w:val="2e74b5"/>
    </w:rPr>
  </w:style>
  <w:style w:type="character" w:styleId="style261">
    <w:name w:val="Intense Emphasis"/>
    <w:basedOn w:val="style65"/>
    <w:next w:val="style261"/>
    <w:qFormat/>
    <w:uiPriority w:val="21"/>
    <w:rPr>
      <w:i/>
      <w:iCs/>
      <w:color w:val="2e74b5"/>
    </w:rPr>
  </w:style>
  <w:style w:type="character" w:styleId="style263">
    <w:name w:val="Intense Reference"/>
    <w:basedOn w:val="style65"/>
    <w:next w:val="style263"/>
    <w:qFormat/>
    <w:uiPriority w:val="32"/>
    <w:rPr>
      <w:b/>
      <w:bCs/>
      <w:smallCaps/>
      <w:color w:val="2e74b5"/>
      <w:spacing w:val="5"/>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ae41449d-719b-43bd-9765-010a5a26c093"/>
    <w:basedOn w:val="style65"/>
    <w:next w:val="style4110"/>
    <w:link w:val="style31"/>
    <w:uiPriority w:val="99"/>
    <w:rPr>
      <w:rFonts w:ascii="Times New Roman" w:hAnsi="Times New Roman"/>
    </w:rPr>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c4a68cac-5029-4bd3-8e9d-258e8dc3d5cc"/>
    <w:basedOn w:val="style65"/>
    <w:next w:val="style4111"/>
    <w:link w:val="style32"/>
    <w:uiPriority w:val="99"/>
    <w:rPr>
      <w:rFonts w:ascii="Times New Roman" w:hAnsi="Times New Roman"/>
    </w:rPr>
  </w:style>
  <w:style w:type="character" w:styleId="style85">
    <w:name w:val="Hyperlink"/>
    <w:basedOn w:val="style65"/>
    <w:next w:val="style85"/>
    <w:uiPriority w:val="99"/>
    <w:rPr>
      <w:color w:val="0563c1"/>
      <w:u w:val="single"/>
    </w:rPr>
  </w:style>
  <w:style w:type="table" w:customStyle="1" w:styleId="style4112">
    <w:name w:val="Grid Table 4 Accent 5"/>
    <w:basedOn w:val="style105"/>
    <w:next w:val="style4112"/>
    <w:uiPriority w:val="49"/>
    <w:pPr>
      <w:spacing w:after="0" w:lineRule="auto" w:line="240"/>
    </w:pP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pPr/>
      <w:rPr>
        <w:b/>
        <w:bCs/>
      </w:rPr>
      <w:tblPr/>
      <w:tcPr>
        <w:tcBorders>
          <w:top w:val="double" w:sz="4" w:space="0" w:color="4472c4"/>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character" w:customStyle="1" w:styleId="style4113">
    <w:name w:val="whitespace-normal"/>
    <w:basedOn w:val="style65"/>
    <w:next w:val="style4113"/>
  </w:style>
  <w:style w:type="character" w:styleId="style88">
    <w:name w:val="Emphasis"/>
    <w:basedOn w:val="style65"/>
    <w:next w:val="style88"/>
    <w:qFormat/>
    <w:uiPriority w:val="20"/>
    <w:rPr>
      <w:i/>
      <w:iCs/>
    </w:rPr>
  </w:style>
  <w:style w:type="character" w:customStyle="1" w:styleId="style4114">
    <w:name w:val="cursor-pointer"/>
    <w:basedOn w:val="style65"/>
    <w:next w:val="style4114"/>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footer" Target="footer1.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5.png"/><Relationship Id="rId14" Type="http://schemas.openxmlformats.org/officeDocument/2006/relationships/theme" Target="theme/theme1.xml"/><Relationship Id="rId5" Type="http://schemas.openxmlformats.org/officeDocument/2006/relationships/image" Target="media/image2.jpeg"/><Relationship Id="rId6" Type="http://schemas.openxmlformats.org/officeDocument/2006/relationships/image" Target="media/image4.pn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Words>8116</Words>
  <Pages>33</Pages>
  <Characters>49581</Characters>
  <Application>WPS Office</Application>
  <DocSecurity>0</DocSecurity>
  <Paragraphs>343</Paragraphs>
  <ScaleCrop>false</ScaleCrop>
  <LinksUpToDate>false</LinksUpToDate>
  <CharactersWithSpaces>57410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2026-04-20T21:01:00Z</dcterms:created>
  <dc:creator>pc</dc:creator>
  <lastModifiedBy>RMX3930</lastModifiedBy>
  <dcterms:modified xsi:type="dcterms:W3CDTF">2026-04-24T05:13:06Z</dcterms:modified>
  <revision>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409e00a82cb447edb119eb64bf3623f7</vt:lpwstr>
  </property>
</Properties>
</file>