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389833" w14:textId="1CD554CB" w:rsidR="000130D2" w:rsidRPr="00B24684" w:rsidRDefault="0006083D" w:rsidP="0006083D">
      <w:pPr>
        <w:jc w:val="center"/>
        <w:rPr>
          <w:sz w:val="24"/>
          <w:szCs w:val="24"/>
          <w:u w:val="single"/>
        </w:rPr>
      </w:pPr>
      <w:r w:rsidRPr="00B24684">
        <w:rPr>
          <w:sz w:val="24"/>
          <w:szCs w:val="24"/>
          <w:u w:val="single"/>
        </w:rPr>
        <w:t>A critical evaluation and the Word count (or Equivalent to 5000 identification of next teaching equivalent): words. and learning steps focusing on a case study of an individual learner or a group of learners, based on an observed critical incident.</w:t>
      </w:r>
    </w:p>
    <w:p w14:paraId="275F91B4" w14:textId="18656EED" w:rsidR="0006083D" w:rsidRDefault="0006083D" w:rsidP="0006083D">
      <w:pPr>
        <w:jc w:val="center"/>
        <w:rPr>
          <w:sz w:val="24"/>
          <w:szCs w:val="24"/>
        </w:rPr>
      </w:pPr>
    </w:p>
    <w:p w14:paraId="03C6188A" w14:textId="5894E38A" w:rsidR="001E7BCF" w:rsidRPr="00B24684" w:rsidRDefault="001E7BCF" w:rsidP="0006083D">
      <w:pPr>
        <w:ind w:firstLine="720"/>
        <w:rPr>
          <w:b/>
          <w:bCs/>
          <w:sz w:val="24"/>
          <w:szCs w:val="24"/>
        </w:rPr>
      </w:pPr>
      <w:r w:rsidRPr="00B24684">
        <w:rPr>
          <w:b/>
          <w:bCs/>
          <w:sz w:val="24"/>
          <w:szCs w:val="24"/>
        </w:rPr>
        <w:t>(Introduction)</w:t>
      </w:r>
    </w:p>
    <w:p w14:paraId="546D4385" w14:textId="38788D00" w:rsidR="0006083D" w:rsidRDefault="0006083D" w:rsidP="0006083D">
      <w:pPr>
        <w:ind w:firstLine="720"/>
        <w:rPr>
          <w:sz w:val="24"/>
          <w:szCs w:val="24"/>
        </w:rPr>
      </w:pPr>
      <w:r>
        <w:rPr>
          <w:sz w:val="24"/>
          <w:szCs w:val="24"/>
        </w:rPr>
        <w:t>This essay will take the form of a case study and be based around the methods of teacher at a secondary level across key stages three and four. It will demonstrate an understanding of theory and research and reach a conclusion based on it. It will cover a critical incident in a lesson that I have observed, and I shall analyse and apply theory to that incident. Knowledge of practitioners and theorists in this area will be crucial.</w:t>
      </w:r>
    </w:p>
    <w:p w14:paraId="08B169E9" w14:textId="173C00B8" w:rsidR="0006083D" w:rsidRDefault="0006083D" w:rsidP="0006083D">
      <w:pPr>
        <w:ind w:firstLine="720"/>
        <w:rPr>
          <w:sz w:val="24"/>
          <w:szCs w:val="24"/>
        </w:rPr>
      </w:pPr>
      <w:r>
        <w:rPr>
          <w:sz w:val="24"/>
          <w:szCs w:val="24"/>
        </w:rPr>
        <w:t xml:space="preserve">It will also be covering a literature review of multiple theories based around my critical incident and how they apply to any given situation in a classroom. This will all go towards furthering my understanding and knowledge of teaching and it will allow for exploration into ways to improve teaching practises in the future both parties, </w:t>
      </w:r>
      <w:r w:rsidR="001E7BCF">
        <w:rPr>
          <w:sz w:val="24"/>
          <w:szCs w:val="24"/>
        </w:rPr>
        <w:t>teacher,</w:t>
      </w:r>
      <w:r>
        <w:rPr>
          <w:sz w:val="24"/>
          <w:szCs w:val="24"/>
        </w:rPr>
        <w:t xml:space="preserve"> and student. </w:t>
      </w:r>
      <w:r w:rsidR="001E7BCF">
        <w:rPr>
          <w:sz w:val="24"/>
          <w:szCs w:val="24"/>
        </w:rPr>
        <w:t>We learn from our professionals and hopefully, this will allow us to take great strides forward and meet the brand-new curriculum for Wales head on.</w:t>
      </w:r>
    </w:p>
    <w:p w14:paraId="065D26FC" w14:textId="4D14F7F0" w:rsidR="0006083D" w:rsidRDefault="0006083D" w:rsidP="0006083D">
      <w:pPr>
        <w:ind w:firstLine="720"/>
        <w:rPr>
          <w:sz w:val="24"/>
          <w:szCs w:val="24"/>
        </w:rPr>
      </w:pPr>
      <w:r>
        <w:rPr>
          <w:sz w:val="24"/>
          <w:szCs w:val="24"/>
        </w:rPr>
        <w:t xml:space="preserve">If </w:t>
      </w:r>
      <w:r w:rsidR="001E7BCF">
        <w:rPr>
          <w:sz w:val="24"/>
          <w:szCs w:val="24"/>
        </w:rPr>
        <w:t>I am</w:t>
      </w:r>
      <w:r>
        <w:rPr>
          <w:sz w:val="24"/>
          <w:szCs w:val="24"/>
        </w:rPr>
        <w:t xml:space="preserve"> successful, </w:t>
      </w:r>
      <w:r w:rsidR="001E7BCF">
        <w:rPr>
          <w:sz w:val="24"/>
          <w:szCs w:val="24"/>
        </w:rPr>
        <w:t xml:space="preserve">after the conclusion of this essay, both myself and a reader should have at least some solid knowledge of the theory and practise based around the incident I have chosen. I have chosen to take on group work as a topic and I will be exploring this in depth. I will explore how effecting collaboration is in a classroom. Its pros and its negatives and apply theory from a range of practitioners and researchers who have also studied this topic. </w:t>
      </w:r>
    </w:p>
    <w:p w14:paraId="73796CDE" w14:textId="43B2E465" w:rsidR="001E7BCF" w:rsidRPr="00B24684" w:rsidRDefault="001E7BCF" w:rsidP="0006083D">
      <w:pPr>
        <w:ind w:firstLine="720"/>
        <w:rPr>
          <w:b/>
          <w:bCs/>
          <w:sz w:val="24"/>
          <w:szCs w:val="24"/>
        </w:rPr>
      </w:pPr>
      <w:r w:rsidRPr="00B24684">
        <w:rPr>
          <w:b/>
          <w:bCs/>
          <w:sz w:val="24"/>
          <w:szCs w:val="24"/>
        </w:rPr>
        <w:t>(Observation)</w:t>
      </w:r>
    </w:p>
    <w:p w14:paraId="6AA9DB28" w14:textId="77777777" w:rsidR="001E7BCF" w:rsidRDefault="001E7BCF" w:rsidP="0006083D">
      <w:pPr>
        <w:ind w:firstLine="720"/>
        <w:rPr>
          <w:sz w:val="24"/>
          <w:szCs w:val="24"/>
        </w:rPr>
      </w:pPr>
      <w:r>
        <w:rPr>
          <w:sz w:val="24"/>
          <w:szCs w:val="24"/>
        </w:rPr>
        <w:t xml:space="preserve">During the observation, the practises viewed were mainly fun, interesting and engaging. While I was only viewing lessons through the medium of video, there were telling signs of the area and type of student that appeared at this school and in this class. </w:t>
      </w:r>
    </w:p>
    <w:p w14:paraId="20BD48CB" w14:textId="0CD780F5" w:rsidR="001E7BCF" w:rsidRDefault="001E7BCF" w:rsidP="0006083D">
      <w:pPr>
        <w:ind w:firstLine="720"/>
        <w:rPr>
          <w:sz w:val="24"/>
          <w:szCs w:val="24"/>
        </w:rPr>
      </w:pPr>
      <w:r>
        <w:rPr>
          <w:sz w:val="24"/>
          <w:szCs w:val="24"/>
        </w:rPr>
        <w:t xml:space="preserve">Uniform was perfect in almost every shot of the room. The tables were spread evenly, and the number of students appeared to be the same on every table from the shots in the video. There were also two classes in this lesson and that could be up to sixty learners. Despite this, the silence while the educator was talking was absolute and there were no interruptions as far as the camera could see. </w:t>
      </w:r>
    </w:p>
    <w:p w14:paraId="427AEF20" w14:textId="04BCA9C6" w:rsidR="00AD3BD2" w:rsidRDefault="00AD3BD2" w:rsidP="0006083D">
      <w:pPr>
        <w:ind w:firstLine="720"/>
        <w:rPr>
          <w:sz w:val="24"/>
          <w:szCs w:val="24"/>
        </w:rPr>
      </w:pPr>
      <w:r>
        <w:rPr>
          <w:sz w:val="24"/>
          <w:szCs w:val="24"/>
        </w:rPr>
        <w:t>With this being a year ten English class, one might expect some interruptions or chatting amongst the children. One might speculate, especially in English where writing is a key part and can often lend itself to boredom among young learners. However, this was simply not the case.</w:t>
      </w:r>
    </w:p>
    <w:p w14:paraId="40F0DE3E" w14:textId="3F3A8208" w:rsidR="001E7BCF" w:rsidRDefault="001E7BCF" w:rsidP="0006083D">
      <w:pPr>
        <w:ind w:firstLine="720"/>
        <w:rPr>
          <w:sz w:val="24"/>
          <w:szCs w:val="24"/>
        </w:rPr>
      </w:pPr>
      <w:r>
        <w:rPr>
          <w:sz w:val="24"/>
          <w:szCs w:val="24"/>
        </w:rPr>
        <w:t>This</w:t>
      </w:r>
      <w:r w:rsidR="00AD3BD2">
        <w:rPr>
          <w:sz w:val="24"/>
          <w:szCs w:val="24"/>
        </w:rPr>
        <w:t xml:space="preserve"> impeccable</w:t>
      </w:r>
      <w:r>
        <w:rPr>
          <w:sz w:val="24"/>
          <w:szCs w:val="24"/>
        </w:rPr>
        <w:t xml:space="preserve"> behaviour immediately demonstrated an eagerness to learn and the eyes and ears were all trained on the white boards and then to the papers in front of them which contained a four-minute task.</w:t>
      </w:r>
      <w:r w:rsidR="00AD3BD2">
        <w:rPr>
          <w:sz w:val="24"/>
          <w:szCs w:val="24"/>
        </w:rPr>
        <w:t xml:space="preserve"> </w:t>
      </w:r>
    </w:p>
    <w:p w14:paraId="7ED1773D" w14:textId="77777777" w:rsidR="00AD3BD2" w:rsidRDefault="00AD3BD2" w:rsidP="0006083D">
      <w:pPr>
        <w:ind w:firstLine="720"/>
        <w:rPr>
          <w:sz w:val="24"/>
          <w:szCs w:val="24"/>
        </w:rPr>
      </w:pPr>
      <w:r>
        <w:rPr>
          <w:sz w:val="24"/>
          <w:szCs w:val="24"/>
        </w:rPr>
        <w:lastRenderedPageBreak/>
        <w:t>The educator was incredibly engaging and used a heavy amount of body movements and hand gestures in order to keep the attention on her. She also used a voice that was not shouting yet, seemed to glide through the air and meet everyone’s ears. Without being there, in the room, you could never tell but from the video, this teacher seemed able to grasp and hold every child in that room’s attention.</w:t>
      </w:r>
    </w:p>
    <w:p w14:paraId="429B4A0B" w14:textId="74291C90" w:rsidR="00AD3BD2" w:rsidRPr="00B24684" w:rsidRDefault="00AD3BD2" w:rsidP="0006083D">
      <w:pPr>
        <w:ind w:firstLine="720"/>
        <w:rPr>
          <w:b/>
          <w:bCs/>
          <w:sz w:val="24"/>
          <w:szCs w:val="24"/>
        </w:rPr>
      </w:pPr>
      <w:r w:rsidRPr="00B24684">
        <w:rPr>
          <w:b/>
          <w:bCs/>
          <w:sz w:val="24"/>
          <w:szCs w:val="24"/>
        </w:rPr>
        <w:t xml:space="preserve">(Methodology) </w:t>
      </w:r>
    </w:p>
    <w:p w14:paraId="6839BA72" w14:textId="12251B03" w:rsidR="00576820" w:rsidRDefault="00576820" w:rsidP="0006083D">
      <w:pPr>
        <w:ind w:firstLine="720"/>
        <w:rPr>
          <w:sz w:val="24"/>
          <w:szCs w:val="24"/>
        </w:rPr>
      </w:pPr>
      <w:r>
        <w:rPr>
          <w:sz w:val="24"/>
          <w:szCs w:val="24"/>
        </w:rPr>
        <w:t xml:space="preserve">Lesson observations are a fast and easy approach to study a method of teaching. You go into a room and watch how a teacher and learners perform and the </w:t>
      </w:r>
      <w:r w:rsidR="00840BE6">
        <w:rPr>
          <w:sz w:val="24"/>
          <w:szCs w:val="24"/>
        </w:rPr>
        <w:t xml:space="preserve">write about it. It is not always this simple, however. There are a great many hurdles to jump when observing lessons and these are explored in </w:t>
      </w:r>
      <w:r w:rsidR="00840BE6">
        <w:rPr>
          <w:i/>
          <w:iCs/>
          <w:sz w:val="24"/>
          <w:szCs w:val="24"/>
        </w:rPr>
        <w:t>Research Methods in Education</w:t>
      </w:r>
      <w:sdt>
        <w:sdtPr>
          <w:rPr>
            <w:i/>
            <w:iCs/>
            <w:sz w:val="24"/>
            <w:szCs w:val="24"/>
          </w:rPr>
          <w:id w:val="-101196187"/>
          <w:citation/>
        </w:sdtPr>
        <w:sdtEndPr/>
        <w:sdtContent>
          <w:r w:rsidR="00840BE6">
            <w:rPr>
              <w:i/>
              <w:iCs/>
              <w:sz w:val="24"/>
              <w:szCs w:val="24"/>
            </w:rPr>
            <w:fldChar w:fldCharType="begin"/>
          </w:r>
          <w:r w:rsidR="00840BE6">
            <w:rPr>
              <w:i/>
              <w:iCs/>
              <w:sz w:val="24"/>
              <w:szCs w:val="24"/>
            </w:rPr>
            <w:instrText xml:space="preserve"> CITATION Coh11 \l 2057 </w:instrText>
          </w:r>
          <w:r w:rsidR="00840BE6">
            <w:rPr>
              <w:i/>
              <w:iCs/>
              <w:sz w:val="24"/>
              <w:szCs w:val="24"/>
            </w:rPr>
            <w:fldChar w:fldCharType="separate"/>
          </w:r>
          <w:r w:rsidR="00840BE6">
            <w:rPr>
              <w:i/>
              <w:iCs/>
              <w:noProof/>
              <w:sz w:val="24"/>
              <w:szCs w:val="24"/>
            </w:rPr>
            <w:t xml:space="preserve"> </w:t>
          </w:r>
          <w:r w:rsidR="00840BE6" w:rsidRPr="00840BE6">
            <w:rPr>
              <w:noProof/>
              <w:sz w:val="24"/>
              <w:szCs w:val="24"/>
            </w:rPr>
            <w:t>(Cohen, et al., 2011)</w:t>
          </w:r>
          <w:r w:rsidR="00840BE6">
            <w:rPr>
              <w:i/>
              <w:iCs/>
              <w:sz w:val="24"/>
              <w:szCs w:val="24"/>
            </w:rPr>
            <w:fldChar w:fldCharType="end"/>
          </w:r>
        </w:sdtContent>
      </w:sdt>
      <w:r w:rsidR="00840BE6">
        <w:rPr>
          <w:i/>
          <w:iCs/>
          <w:sz w:val="24"/>
          <w:szCs w:val="24"/>
        </w:rPr>
        <w:t>.</w:t>
      </w:r>
      <w:r w:rsidR="00840BE6">
        <w:rPr>
          <w:sz w:val="24"/>
          <w:szCs w:val="24"/>
        </w:rPr>
        <w:t xml:space="preserve"> </w:t>
      </w:r>
    </w:p>
    <w:p w14:paraId="106B093C" w14:textId="77777777" w:rsidR="005363BE" w:rsidRDefault="00840BE6" w:rsidP="0006083D">
      <w:pPr>
        <w:ind w:firstLine="720"/>
        <w:rPr>
          <w:sz w:val="24"/>
          <w:szCs w:val="24"/>
        </w:rPr>
      </w:pPr>
      <w:r>
        <w:rPr>
          <w:i/>
          <w:iCs/>
          <w:sz w:val="24"/>
          <w:szCs w:val="24"/>
        </w:rPr>
        <w:t xml:space="preserve">Research Methods in Education </w:t>
      </w:r>
      <w:r>
        <w:rPr>
          <w:sz w:val="24"/>
          <w:szCs w:val="24"/>
        </w:rPr>
        <w:t>immediately questions the validity of observing lessons and describes that the sample group may be too small. “How do we know that this one piece of research represents the real thing, the genuine product?” (</w:t>
      </w:r>
      <w:sdt>
        <w:sdtPr>
          <w:rPr>
            <w:sz w:val="24"/>
            <w:szCs w:val="24"/>
          </w:rPr>
          <w:id w:val="461244321"/>
          <w:citation/>
        </w:sdtPr>
        <w:sdtEndPr/>
        <w:sdtContent>
          <w:r>
            <w:rPr>
              <w:sz w:val="24"/>
              <w:szCs w:val="24"/>
            </w:rPr>
            <w:fldChar w:fldCharType="begin"/>
          </w:r>
          <w:r>
            <w:rPr>
              <w:sz w:val="24"/>
              <w:szCs w:val="24"/>
            </w:rPr>
            <w:instrText xml:space="preserve"> CITATION Coh11 \l 2057 </w:instrText>
          </w:r>
          <w:r>
            <w:rPr>
              <w:sz w:val="24"/>
              <w:szCs w:val="24"/>
            </w:rPr>
            <w:fldChar w:fldCharType="separate"/>
          </w:r>
          <w:r>
            <w:rPr>
              <w:noProof/>
              <w:sz w:val="24"/>
              <w:szCs w:val="24"/>
            </w:rPr>
            <w:t xml:space="preserve"> </w:t>
          </w:r>
          <w:r w:rsidRPr="00840BE6">
            <w:rPr>
              <w:noProof/>
              <w:sz w:val="24"/>
              <w:szCs w:val="24"/>
            </w:rPr>
            <w:t>(Cohen, et al., 2011)</w:t>
          </w:r>
          <w:r>
            <w:rPr>
              <w:sz w:val="24"/>
              <w:szCs w:val="24"/>
            </w:rPr>
            <w:fldChar w:fldCharType="end"/>
          </w:r>
        </w:sdtContent>
      </w:sdt>
      <w:r>
        <w:rPr>
          <w:sz w:val="24"/>
          <w:szCs w:val="24"/>
        </w:rPr>
        <w:t xml:space="preserve"> This calls for some sort of cross-reference to make sure that a teacher that gets an </w:t>
      </w:r>
      <w:r w:rsidR="005363BE">
        <w:rPr>
          <w:sz w:val="24"/>
          <w:szCs w:val="24"/>
        </w:rPr>
        <w:t>‘o</w:t>
      </w:r>
      <w:r>
        <w:rPr>
          <w:sz w:val="24"/>
          <w:szCs w:val="24"/>
        </w:rPr>
        <w:t>utstanding</w:t>
      </w:r>
      <w:r w:rsidR="005363BE">
        <w:rPr>
          <w:sz w:val="24"/>
          <w:szCs w:val="24"/>
        </w:rPr>
        <w:t xml:space="preserve">’ in an Ofsted inspection, truly is outstanding. This eliminates the possibility that the teacher simply put on their best smile for an inspection and said teacher is always performing at that outstanding standard. </w:t>
      </w:r>
    </w:p>
    <w:p w14:paraId="09C5A3FF" w14:textId="1ED768C8" w:rsidR="00840BE6" w:rsidRDefault="005363BE" w:rsidP="0006083D">
      <w:pPr>
        <w:ind w:firstLine="720"/>
        <w:rPr>
          <w:sz w:val="24"/>
          <w:szCs w:val="24"/>
        </w:rPr>
      </w:pPr>
      <w:r>
        <w:rPr>
          <w:sz w:val="24"/>
          <w:szCs w:val="24"/>
        </w:rPr>
        <w:t>As I was only able to observe one lesson per teacher due to COVID 19, I could not comment as to the validity of my observation and whether a student teacher being present in the class affected the way the class behaved or how the educator performed as I watched the video, post lesson. This would give an observer, only one hour to make a judgement on a teacher and Cohen</w:t>
      </w:r>
      <w:r w:rsidR="00A931DB">
        <w:rPr>
          <w:sz w:val="24"/>
          <w:szCs w:val="24"/>
        </w:rPr>
        <w:t>, Manion and Morrison</w:t>
      </w:r>
      <w:r>
        <w:rPr>
          <w:sz w:val="24"/>
          <w:szCs w:val="24"/>
        </w:rPr>
        <w:t xml:space="preserve"> (2011</w:t>
      </w:r>
      <w:r w:rsidR="00A931DB">
        <w:rPr>
          <w:sz w:val="24"/>
          <w:szCs w:val="24"/>
        </w:rPr>
        <w:t xml:space="preserve"> pp. 209-210</w:t>
      </w:r>
      <w:r>
        <w:rPr>
          <w:sz w:val="24"/>
          <w:szCs w:val="24"/>
        </w:rPr>
        <w:t>) calls this practise out.</w:t>
      </w:r>
    </w:p>
    <w:p w14:paraId="4A32D582" w14:textId="54DA1590" w:rsidR="005363BE" w:rsidRDefault="005363BE" w:rsidP="0006083D">
      <w:pPr>
        <w:ind w:firstLine="720"/>
        <w:rPr>
          <w:sz w:val="24"/>
          <w:szCs w:val="24"/>
        </w:rPr>
      </w:pPr>
      <w:r>
        <w:rPr>
          <w:sz w:val="24"/>
          <w:szCs w:val="24"/>
        </w:rPr>
        <w:t>This question of ‘</w:t>
      </w:r>
      <w:r>
        <w:rPr>
          <w:i/>
          <w:iCs/>
          <w:sz w:val="24"/>
          <w:szCs w:val="24"/>
        </w:rPr>
        <w:t>external validity</w:t>
      </w:r>
      <w:r>
        <w:rPr>
          <w:sz w:val="24"/>
          <w:szCs w:val="24"/>
        </w:rPr>
        <w:t xml:space="preserve">’ stems through this section of </w:t>
      </w:r>
      <w:r w:rsidR="0047399D">
        <w:rPr>
          <w:i/>
          <w:iCs/>
          <w:sz w:val="24"/>
          <w:szCs w:val="24"/>
        </w:rPr>
        <w:t xml:space="preserve">Research Methods in Education </w:t>
      </w:r>
      <w:r w:rsidR="0047399D">
        <w:rPr>
          <w:sz w:val="24"/>
          <w:szCs w:val="24"/>
        </w:rPr>
        <w:t xml:space="preserve">(2011) </w:t>
      </w:r>
      <w:r>
        <w:rPr>
          <w:sz w:val="24"/>
          <w:szCs w:val="24"/>
        </w:rPr>
        <w:t>and for good reason. How can we</w:t>
      </w:r>
      <w:r w:rsidR="0047399D">
        <w:rPr>
          <w:sz w:val="24"/>
          <w:szCs w:val="24"/>
        </w:rPr>
        <w:t>,</w:t>
      </w:r>
      <w:r>
        <w:rPr>
          <w:sz w:val="24"/>
          <w:szCs w:val="24"/>
        </w:rPr>
        <w:t xml:space="preserve"> as researchers</w:t>
      </w:r>
      <w:r w:rsidR="00D853D6">
        <w:rPr>
          <w:sz w:val="24"/>
          <w:szCs w:val="24"/>
        </w:rPr>
        <w:t xml:space="preserve">, </w:t>
      </w:r>
      <w:r>
        <w:rPr>
          <w:sz w:val="24"/>
          <w:szCs w:val="24"/>
        </w:rPr>
        <w:t xml:space="preserve">tell </w:t>
      </w:r>
      <w:r w:rsidR="00D853D6">
        <w:rPr>
          <w:sz w:val="24"/>
          <w:szCs w:val="24"/>
        </w:rPr>
        <w:t>whether the results of any given observation are appliable to methods across the curriculum. As mentioned by Cohen</w:t>
      </w:r>
      <w:r w:rsidR="00A931DB">
        <w:rPr>
          <w:sz w:val="24"/>
          <w:szCs w:val="24"/>
        </w:rPr>
        <w:t>, Manion and Morrison (2011) there are ways to ex</w:t>
      </w:r>
      <w:r w:rsidR="0047399D">
        <w:rPr>
          <w:sz w:val="24"/>
          <w:szCs w:val="24"/>
        </w:rPr>
        <w:t>pand the sample pool and create a far more accurate system for measuring the validity of these classroom observations including quota sampling an snowball sampling (pp 209).</w:t>
      </w:r>
    </w:p>
    <w:p w14:paraId="506296CC" w14:textId="7197D94E" w:rsidR="0047399D" w:rsidRDefault="0047399D" w:rsidP="0047399D">
      <w:pPr>
        <w:ind w:firstLine="720"/>
        <w:rPr>
          <w:sz w:val="24"/>
          <w:szCs w:val="24"/>
        </w:rPr>
      </w:pPr>
      <w:r>
        <w:rPr>
          <w:i/>
          <w:iCs/>
          <w:sz w:val="24"/>
          <w:szCs w:val="24"/>
        </w:rPr>
        <w:t xml:space="preserve">Research Methods in Education </w:t>
      </w:r>
      <w:r>
        <w:rPr>
          <w:sz w:val="24"/>
          <w:szCs w:val="24"/>
        </w:rPr>
        <w:t xml:space="preserve">also mention </w:t>
      </w:r>
      <w:r>
        <w:rPr>
          <w:i/>
          <w:iCs/>
          <w:sz w:val="24"/>
          <w:szCs w:val="24"/>
        </w:rPr>
        <w:t>internal</w:t>
      </w:r>
      <w:r>
        <w:rPr>
          <w:sz w:val="24"/>
          <w:szCs w:val="24"/>
        </w:rPr>
        <w:t xml:space="preserve"> validity and brings up ways that that can also be scrutinised and effected by observations. A few notable mentions </w:t>
      </w:r>
      <w:proofErr w:type="gramStart"/>
      <w:r>
        <w:rPr>
          <w:sz w:val="24"/>
          <w:szCs w:val="24"/>
        </w:rPr>
        <w:t>are;</w:t>
      </w:r>
      <w:proofErr w:type="gramEnd"/>
      <w:r>
        <w:rPr>
          <w:sz w:val="24"/>
          <w:szCs w:val="24"/>
        </w:rPr>
        <w:t xml:space="preserve"> a researcher becoming too attached the sample group and there for losing the impartial lens needed for studies of this sort.</w:t>
      </w:r>
    </w:p>
    <w:p w14:paraId="69788802" w14:textId="4F5ED657" w:rsidR="0047399D" w:rsidRDefault="0047399D" w:rsidP="0047399D">
      <w:pPr>
        <w:ind w:firstLine="720"/>
        <w:rPr>
          <w:sz w:val="24"/>
          <w:szCs w:val="24"/>
        </w:rPr>
      </w:pPr>
      <w:r>
        <w:rPr>
          <w:sz w:val="24"/>
          <w:szCs w:val="24"/>
        </w:rPr>
        <w:t xml:space="preserve">The presence of an observer may well bring about changes in the regular classroom situation. This can be via a teacher or group of learners. This means that children may act better or worse than they normally would if they were not being observed, whether that be by Ofsted inspectors, student teachers and any other observer. A teacher may also respond to an observer and it may affect their </w:t>
      </w:r>
      <w:r w:rsidR="002C7461">
        <w:rPr>
          <w:sz w:val="24"/>
          <w:szCs w:val="24"/>
        </w:rPr>
        <w:t xml:space="preserve">teacher standard for the better or worse. Added pressure can cause mistakes or perform better. According to Alfie Kohn (author of </w:t>
      </w:r>
      <w:r w:rsidR="002C7461">
        <w:rPr>
          <w:i/>
          <w:iCs/>
          <w:sz w:val="24"/>
          <w:szCs w:val="24"/>
        </w:rPr>
        <w:t xml:space="preserve">Feel-bad Education (2011) </w:t>
      </w:r>
      <w:r w:rsidR="002C7461">
        <w:rPr>
          <w:sz w:val="24"/>
          <w:szCs w:val="24"/>
        </w:rPr>
        <w:t xml:space="preserve">and </w:t>
      </w:r>
      <w:r w:rsidR="002C7461">
        <w:rPr>
          <w:i/>
          <w:iCs/>
          <w:sz w:val="24"/>
          <w:szCs w:val="24"/>
        </w:rPr>
        <w:t>What Does it Mean to be Well-Educated? (2004)</w:t>
      </w:r>
      <w:r w:rsidR="002C7461">
        <w:rPr>
          <w:sz w:val="24"/>
          <w:szCs w:val="24"/>
        </w:rPr>
        <w:t xml:space="preserve">) given the right context, stress can make us perform better than we normally would, provided that the </w:t>
      </w:r>
      <w:r w:rsidR="002C7461">
        <w:rPr>
          <w:sz w:val="24"/>
          <w:szCs w:val="24"/>
        </w:rPr>
        <w:lastRenderedPageBreak/>
        <w:t xml:space="preserve">stress experienced does not outweigh the desire to achieve. </w:t>
      </w:r>
      <w:r w:rsidR="00E927DC">
        <w:rPr>
          <w:sz w:val="24"/>
          <w:szCs w:val="24"/>
        </w:rPr>
        <w:t>Denzin (1989) suggests that in order to avoid this type of contamination, a modicum of trust should be allocated to an observer. While there might be any science to this, it may provide more accurate results for validity and will lend extra credibility who have demonstrated this skill of being non-biased and people who have had a great deal of experience in observation over the years and through the education reforms.</w:t>
      </w:r>
    </w:p>
    <w:p w14:paraId="045197EF" w14:textId="493E5483" w:rsidR="00B24684" w:rsidRDefault="00B24684" w:rsidP="0047399D">
      <w:pPr>
        <w:ind w:firstLine="720"/>
        <w:rPr>
          <w:sz w:val="24"/>
          <w:szCs w:val="24"/>
        </w:rPr>
      </w:pPr>
    </w:p>
    <w:p w14:paraId="773CF144" w14:textId="004CB7D8" w:rsidR="00B24684" w:rsidRDefault="00B24684" w:rsidP="0047399D">
      <w:pPr>
        <w:ind w:firstLine="720"/>
        <w:rPr>
          <w:b/>
          <w:bCs/>
          <w:sz w:val="24"/>
          <w:szCs w:val="24"/>
        </w:rPr>
      </w:pPr>
      <w:r>
        <w:rPr>
          <w:b/>
          <w:bCs/>
          <w:sz w:val="24"/>
          <w:szCs w:val="24"/>
        </w:rPr>
        <w:t>(</w:t>
      </w:r>
      <w:r w:rsidRPr="00B24684">
        <w:rPr>
          <w:b/>
          <w:bCs/>
          <w:sz w:val="24"/>
          <w:szCs w:val="24"/>
        </w:rPr>
        <w:t>Critical incident linked to Donaldson’s Four Purposes</w:t>
      </w:r>
      <w:r>
        <w:rPr>
          <w:b/>
          <w:bCs/>
          <w:sz w:val="24"/>
          <w:szCs w:val="24"/>
        </w:rPr>
        <w:t>)</w:t>
      </w:r>
    </w:p>
    <w:p w14:paraId="2DFDC0B1" w14:textId="5273E3C9" w:rsidR="00B24684" w:rsidRDefault="00B24684" w:rsidP="0047399D">
      <w:pPr>
        <w:ind w:firstLine="720"/>
        <w:rPr>
          <w:sz w:val="24"/>
          <w:szCs w:val="24"/>
        </w:rPr>
      </w:pPr>
      <w:r w:rsidRPr="00B24684">
        <w:rPr>
          <w:sz w:val="24"/>
          <w:szCs w:val="24"/>
        </w:rPr>
        <w:t>During</w:t>
      </w:r>
      <w:r>
        <w:rPr>
          <w:sz w:val="28"/>
          <w:szCs w:val="28"/>
        </w:rPr>
        <w:t xml:space="preserve"> </w:t>
      </w:r>
      <w:r>
        <w:rPr>
          <w:sz w:val="24"/>
          <w:szCs w:val="24"/>
        </w:rPr>
        <w:t xml:space="preserve">my observation, I witnessed a great many incidents that one could consider critical and worth investigating at a higher level. One example was, the number of children putting their hand up grew substantially larger throughout the lesson when questions asked by the educator got more complex. Separately, I also noticed that groups of students took one of them to put their hand up and the rest of the table often followed suit. I observed this across </w:t>
      </w:r>
      <w:proofErr w:type="gramStart"/>
      <w:r>
        <w:rPr>
          <w:sz w:val="24"/>
          <w:szCs w:val="24"/>
        </w:rPr>
        <w:t>all of</w:t>
      </w:r>
      <w:proofErr w:type="gramEnd"/>
      <w:r>
        <w:rPr>
          <w:sz w:val="24"/>
          <w:szCs w:val="24"/>
        </w:rPr>
        <w:t xml:space="preserve"> my lessons and once I made a point to look for it, it was not very difficult to pick out. What I mean by this is that when a question is asked, and the educator is looking for an answer, one student per friendship and/or working group often opens the floodgates for the rest and the hands start flying up.</w:t>
      </w:r>
    </w:p>
    <w:p w14:paraId="32BDE8F4" w14:textId="77777777" w:rsidR="00C75D76" w:rsidRDefault="00B24684" w:rsidP="0047399D">
      <w:pPr>
        <w:ind w:firstLine="720"/>
        <w:rPr>
          <w:sz w:val="24"/>
          <w:szCs w:val="24"/>
        </w:rPr>
      </w:pPr>
      <w:r>
        <w:rPr>
          <w:sz w:val="24"/>
          <w:szCs w:val="24"/>
        </w:rPr>
        <w:t xml:space="preserve">My critical incident and literature review however, will be focussing on group work. In almost all the lessons I observed, some form of group work was used to advance learner knowledge. Even in the one primary lesson I observed, the same tactic applied. </w:t>
      </w:r>
    </w:p>
    <w:p w14:paraId="42F681D7" w14:textId="7C292C96" w:rsidR="00B24684" w:rsidRDefault="00C75D76" w:rsidP="0047399D">
      <w:pPr>
        <w:ind w:firstLine="720"/>
        <w:rPr>
          <w:sz w:val="24"/>
          <w:szCs w:val="24"/>
        </w:rPr>
      </w:pPr>
      <w:r>
        <w:rPr>
          <w:sz w:val="24"/>
          <w:szCs w:val="24"/>
        </w:rPr>
        <w:t xml:space="preserve">Making learners work in groups is a staple across </w:t>
      </w:r>
      <w:proofErr w:type="gramStart"/>
      <w:r>
        <w:rPr>
          <w:sz w:val="24"/>
          <w:szCs w:val="24"/>
        </w:rPr>
        <w:t>all of</w:t>
      </w:r>
      <w:proofErr w:type="gramEnd"/>
      <w:r>
        <w:rPr>
          <w:sz w:val="24"/>
          <w:szCs w:val="24"/>
        </w:rPr>
        <w:t xml:space="preserve"> the curriculum and, for more than a decade now, it has become exponentially more prominent and relevant to classroom teaching. There </w:t>
      </w:r>
      <w:r w:rsidR="009C5B05">
        <w:rPr>
          <w:sz w:val="24"/>
          <w:szCs w:val="24"/>
        </w:rPr>
        <w:t>have</w:t>
      </w:r>
      <w:r>
        <w:rPr>
          <w:sz w:val="24"/>
          <w:szCs w:val="24"/>
        </w:rPr>
        <w:t xml:space="preserve"> been countless documents on this </w:t>
      </w:r>
      <w:r w:rsidR="009C5B05">
        <w:rPr>
          <w:sz w:val="24"/>
          <w:szCs w:val="24"/>
        </w:rPr>
        <w:t>practise,</w:t>
      </w:r>
      <w:r>
        <w:rPr>
          <w:sz w:val="24"/>
          <w:szCs w:val="24"/>
        </w:rPr>
        <w:t xml:space="preserve"> and I will be exploring them in the literature review. </w:t>
      </w:r>
    </w:p>
    <w:p w14:paraId="28776B3E" w14:textId="7BA3CDAB" w:rsidR="009C5B05" w:rsidRDefault="009C5B05" w:rsidP="0047399D">
      <w:pPr>
        <w:ind w:firstLine="720"/>
        <w:rPr>
          <w:sz w:val="24"/>
          <w:szCs w:val="24"/>
        </w:rPr>
      </w:pPr>
      <w:r>
        <w:rPr>
          <w:sz w:val="24"/>
          <w:szCs w:val="24"/>
        </w:rPr>
        <w:t xml:space="preserve">The group work that I observed throughout my day of video watching varied from small tasks, to large tasks and from full lessons to one of moments of working in pairs/threes. The tasks also changed drastically lessons to lesson however that was to be expected. While observing a drama lesson, one might expect groups to work through a scripts or short extract from play. This did indeed happen, and they went on to study the scene in </w:t>
      </w:r>
      <w:proofErr w:type="gramStart"/>
      <w:r>
        <w:rPr>
          <w:sz w:val="24"/>
          <w:szCs w:val="24"/>
        </w:rPr>
        <w:t>great detail</w:t>
      </w:r>
      <w:proofErr w:type="gramEnd"/>
      <w:r>
        <w:rPr>
          <w:sz w:val="24"/>
          <w:szCs w:val="24"/>
        </w:rPr>
        <w:t xml:space="preserve"> and discuss the meaning of the word subtext and what prior knowledge they already had. Meanwhile, observing a lesson of history, participants had to act out historical events and stand in for some of the larger players in history such as King Henry VIII and William the Conqueror. </w:t>
      </w:r>
    </w:p>
    <w:p w14:paraId="557E5E56" w14:textId="62B9D4A9" w:rsidR="009C5B05" w:rsidRDefault="009C5B05" w:rsidP="0047399D">
      <w:pPr>
        <w:ind w:firstLine="720"/>
        <w:rPr>
          <w:sz w:val="24"/>
          <w:szCs w:val="24"/>
        </w:rPr>
      </w:pPr>
      <w:r>
        <w:rPr>
          <w:sz w:val="24"/>
          <w:szCs w:val="24"/>
        </w:rPr>
        <w:t>Group work can come in all shapes and sizes and a fair-sized chuck of it allows itself to Donaldson’s four purposes. The drama group work I observed is striving towards giving every student the confidence to perform in front of others, be it friends</w:t>
      </w:r>
      <w:r w:rsidR="000F4DBB">
        <w:rPr>
          <w:sz w:val="24"/>
          <w:szCs w:val="24"/>
        </w:rPr>
        <w:t xml:space="preserve"> or family, or other areas of the working world</w:t>
      </w:r>
      <w:r>
        <w:rPr>
          <w:sz w:val="24"/>
          <w:szCs w:val="24"/>
        </w:rPr>
        <w:t>. You can really appreciate the value in this subject when you look at applying it to other areas like public speaking, presenting to colleagues and even talking to management</w:t>
      </w:r>
      <w:r w:rsidR="000F4DBB">
        <w:rPr>
          <w:sz w:val="24"/>
          <w:szCs w:val="24"/>
        </w:rPr>
        <w:t xml:space="preserve"> and/or employers. </w:t>
      </w:r>
    </w:p>
    <w:p w14:paraId="0E203788" w14:textId="3B3ADB67" w:rsidR="000F4DBB" w:rsidRDefault="000F4DBB" w:rsidP="0047399D">
      <w:pPr>
        <w:ind w:firstLine="720"/>
        <w:rPr>
          <w:sz w:val="24"/>
          <w:szCs w:val="24"/>
        </w:rPr>
      </w:pPr>
      <w:r>
        <w:rPr>
          <w:sz w:val="24"/>
          <w:szCs w:val="24"/>
        </w:rPr>
        <w:lastRenderedPageBreak/>
        <w:t>Observing the history lesson gave me an insight into a previously unknown link to Donaldson. The way that students acted out these famous historical figures was allowing them to view the world through their eyes and giving them the option to empathise with whichever figure they were in the shoes of. This, given time will create ethically informed students who hopefully will know the correct choices to make concerning ethics and morals.</w:t>
      </w:r>
    </w:p>
    <w:p w14:paraId="5BFFD1F7" w14:textId="0026CF85" w:rsidR="000F4DBB" w:rsidRDefault="000F4DBB" w:rsidP="0047399D">
      <w:pPr>
        <w:ind w:firstLine="720"/>
        <w:rPr>
          <w:sz w:val="24"/>
          <w:szCs w:val="24"/>
        </w:rPr>
      </w:pPr>
    </w:p>
    <w:p w14:paraId="6BF3CC2C" w14:textId="294262DA" w:rsidR="000F4DBB" w:rsidRDefault="000F4DBB" w:rsidP="0047399D">
      <w:pPr>
        <w:ind w:firstLine="720"/>
        <w:rPr>
          <w:b/>
          <w:bCs/>
          <w:sz w:val="24"/>
          <w:szCs w:val="24"/>
        </w:rPr>
      </w:pPr>
      <w:r>
        <w:rPr>
          <w:b/>
          <w:bCs/>
          <w:sz w:val="24"/>
          <w:szCs w:val="24"/>
        </w:rPr>
        <w:t>(</w:t>
      </w:r>
      <w:r w:rsidRPr="000F4DBB">
        <w:rPr>
          <w:b/>
          <w:bCs/>
          <w:sz w:val="24"/>
          <w:szCs w:val="24"/>
        </w:rPr>
        <w:t>Literature Review</w:t>
      </w:r>
      <w:r>
        <w:rPr>
          <w:b/>
          <w:bCs/>
          <w:sz w:val="24"/>
          <w:szCs w:val="24"/>
        </w:rPr>
        <w:t>)</w:t>
      </w:r>
    </w:p>
    <w:p w14:paraId="72D71870" w14:textId="299704E0" w:rsidR="000F4DBB" w:rsidRDefault="000F4DBB" w:rsidP="0047399D">
      <w:pPr>
        <w:ind w:firstLine="720"/>
        <w:rPr>
          <w:sz w:val="24"/>
          <w:szCs w:val="24"/>
        </w:rPr>
      </w:pPr>
      <w:r>
        <w:rPr>
          <w:sz w:val="24"/>
          <w:szCs w:val="24"/>
        </w:rPr>
        <w:t xml:space="preserve">Why do we, as teachers, utilize groupwork as a teaching and learning strategy? </w:t>
      </w:r>
      <w:r w:rsidR="0004481A">
        <w:rPr>
          <w:sz w:val="24"/>
          <w:szCs w:val="24"/>
        </w:rPr>
        <w:t>Is it because it is easier for us? Is it because we can sit back while the students talk amongst each other? Is it because we are lazy, and the students can teach themselves? No.</w:t>
      </w:r>
    </w:p>
    <w:p w14:paraId="0EEA6942" w14:textId="35EB9662" w:rsidR="0004481A" w:rsidRDefault="0004481A" w:rsidP="0047399D">
      <w:pPr>
        <w:ind w:firstLine="720"/>
        <w:rPr>
          <w:sz w:val="24"/>
          <w:szCs w:val="24"/>
        </w:rPr>
      </w:pPr>
      <w:r>
        <w:rPr>
          <w:sz w:val="24"/>
          <w:szCs w:val="24"/>
        </w:rPr>
        <w:t xml:space="preserve">Some might say that this is true and particularly before the newest wave of reform to Wales’ and Britain’s education system, this might have been the case? After doing some first-hand research of my own, the members of my family said that working in groups was almost non-existent during the seventies and eighties when they grew up. They are also from each side of the border, so both the Welsh and English were guilty of not utilizing this key resource as a way to further knowledge in topics. </w:t>
      </w:r>
    </w:p>
    <w:p w14:paraId="102FA454" w14:textId="3A77140C" w:rsidR="00313A60" w:rsidRDefault="00313A60" w:rsidP="0004481A">
      <w:pPr>
        <w:ind w:firstLine="720"/>
        <w:rPr>
          <w:sz w:val="24"/>
          <w:szCs w:val="24"/>
        </w:rPr>
      </w:pPr>
      <w:r>
        <w:rPr>
          <w:sz w:val="24"/>
          <w:szCs w:val="24"/>
        </w:rPr>
        <w:t>(Student-led versus teacher-led groupings)</w:t>
      </w:r>
    </w:p>
    <w:p w14:paraId="29F4FDDA" w14:textId="7805C3A6" w:rsidR="0004481A" w:rsidRDefault="0004481A" w:rsidP="0004481A">
      <w:pPr>
        <w:ind w:firstLine="720"/>
        <w:rPr>
          <w:sz w:val="24"/>
          <w:szCs w:val="24"/>
        </w:rPr>
      </w:pPr>
      <w:r>
        <w:rPr>
          <w:sz w:val="24"/>
          <w:szCs w:val="24"/>
        </w:rPr>
        <w:t xml:space="preserve">According to </w:t>
      </w:r>
      <w:sdt>
        <w:sdtPr>
          <w:rPr>
            <w:sz w:val="24"/>
            <w:szCs w:val="24"/>
          </w:rPr>
          <w:id w:val="1966229405"/>
          <w:citation/>
        </w:sdtPr>
        <w:sdtEndPr/>
        <w:sdtContent>
          <w:r>
            <w:rPr>
              <w:sz w:val="24"/>
              <w:szCs w:val="24"/>
            </w:rPr>
            <w:fldChar w:fldCharType="begin"/>
          </w:r>
          <w:r>
            <w:rPr>
              <w:sz w:val="24"/>
              <w:szCs w:val="24"/>
            </w:rPr>
            <w:instrText xml:space="preserve"> CITATION Lai11 \l 2057 </w:instrText>
          </w:r>
          <w:r>
            <w:rPr>
              <w:sz w:val="24"/>
              <w:szCs w:val="24"/>
            </w:rPr>
            <w:fldChar w:fldCharType="separate"/>
          </w:r>
          <w:r w:rsidRPr="0004481A">
            <w:rPr>
              <w:noProof/>
              <w:sz w:val="24"/>
              <w:szCs w:val="24"/>
            </w:rPr>
            <w:t>(Lai, 2011)</w:t>
          </w:r>
          <w:r>
            <w:rPr>
              <w:sz w:val="24"/>
              <w:szCs w:val="24"/>
            </w:rPr>
            <w:fldChar w:fldCharType="end"/>
          </w:r>
        </w:sdtContent>
      </w:sdt>
      <w:r>
        <w:rPr>
          <w:sz w:val="24"/>
          <w:szCs w:val="24"/>
        </w:rPr>
        <w:t xml:space="preserve"> “</w:t>
      </w:r>
      <w:r w:rsidRPr="0004481A">
        <w:rPr>
          <w:sz w:val="24"/>
          <w:szCs w:val="24"/>
        </w:rPr>
        <w:t>Collaborative learning is broadly defined as “a situation in which two or more people</w:t>
      </w:r>
      <w:r>
        <w:rPr>
          <w:sz w:val="24"/>
          <w:szCs w:val="24"/>
        </w:rPr>
        <w:t xml:space="preserve"> </w:t>
      </w:r>
      <w:r w:rsidRPr="0004481A">
        <w:rPr>
          <w:sz w:val="24"/>
          <w:szCs w:val="24"/>
        </w:rPr>
        <w:t>learn or attempt to learn something together</w:t>
      </w:r>
      <w:r>
        <w:rPr>
          <w:sz w:val="24"/>
          <w:szCs w:val="24"/>
        </w:rPr>
        <w:t>.</w:t>
      </w:r>
      <w:r w:rsidRPr="0004481A">
        <w:rPr>
          <w:sz w:val="24"/>
          <w:szCs w:val="24"/>
        </w:rPr>
        <w:t>”</w:t>
      </w:r>
      <w:r>
        <w:rPr>
          <w:sz w:val="24"/>
          <w:szCs w:val="24"/>
        </w:rPr>
        <w:t xml:space="preserve"> This is perhaps the most basic and fundamental breakdown of what collaboration is. </w:t>
      </w:r>
      <w:r w:rsidR="00E30B00">
        <w:rPr>
          <w:sz w:val="24"/>
          <w:szCs w:val="24"/>
        </w:rPr>
        <w:t xml:space="preserve">On the other hand, in a 2007 article by Hanham, J and McCormik, J group work in schools is described as a “complex phenomenon.” </w:t>
      </w:r>
      <w:r w:rsidR="00B437D5">
        <w:rPr>
          <w:sz w:val="24"/>
          <w:szCs w:val="24"/>
        </w:rPr>
        <w:t xml:space="preserve">Working together </w:t>
      </w:r>
      <w:r w:rsidR="00E30B00">
        <w:rPr>
          <w:sz w:val="24"/>
          <w:szCs w:val="24"/>
        </w:rPr>
        <w:t xml:space="preserve">to achieve a common goal set by an educator is growing more common in today’s education system and for good reason. </w:t>
      </w:r>
    </w:p>
    <w:p w14:paraId="57FA5740" w14:textId="60E03496" w:rsidR="00986D11" w:rsidRDefault="00986D11" w:rsidP="0004481A">
      <w:pPr>
        <w:ind w:firstLine="720"/>
        <w:rPr>
          <w:sz w:val="24"/>
          <w:szCs w:val="24"/>
        </w:rPr>
      </w:pPr>
      <w:r>
        <w:rPr>
          <w:sz w:val="24"/>
          <w:szCs w:val="24"/>
        </w:rPr>
        <w:t>This article aims to explore the connection and potential consequences of students attitudes to words working with people they are friends with versus people who they merely know from class and the different outcomes it can produce with relevance to group work. They reference that according to Newcombe and Bagwell (1995), children are far more likely to respond to, cooperate, communicate and work appropriately with friends than non-friends. This will naturally lead to better outcomes in terms of work produced. Hanham and McCormik, (2007) also make reference to the select few researchers who have delved into circumstances in which children have been made to work with friends versus non-friends and how educators respond to that. The article states that teachers often make decisions based on their own personal experiences about how different students will perform in groups with friends or merely acquaintances.</w:t>
      </w:r>
      <w:sdt>
        <w:sdtPr>
          <w:rPr>
            <w:sz w:val="24"/>
            <w:szCs w:val="24"/>
          </w:rPr>
          <w:id w:val="362249987"/>
          <w:citation/>
        </w:sdtPr>
        <w:sdtEndPr/>
        <w:sdtContent>
          <w:r>
            <w:rPr>
              <w:sz w:val="24"/>
              <w:szCs w:val="24"/>
            </w:rPr>
            <w:fldChar w:fldCharType="begin"/>
          </w:r>
          <w:r>
            <w:rPr>
              <w:sz w:val="24"/>
              <w:szCs w:val="24"/>
            </w:rPr>
            <w:instrText xml:space="preserve"> CITATION Mit04 \l 2057 </w:instrText>
          </w:r>
          <w:r>
            <w:rPr>
              <w:sz w:val="24"/>
              <w:szCs w:val="24"/>
            </w:rPr>
            <w:fldChar w:fldCharType="separate"/>
          </w:r>
          <w:r>
            <w:rPr>
              <w:noProof/>
              <w:sz w:val="24"/>
              <w:szCs w:val="24"/>
            </w:rPr>
            <w:t xml:space="preserve"> </w:t>
          </w:r>
          <w:r w:rsidRPr="00986D11">
            <w:rPr>
              <w:noProof/>
              <w:sz w:val="24"/>
              <w:szCs w:val="24"/>
            </w:rPr>
            <w:t>(Mitchell, 2004)</w:t>
          </w:r>
          <w:r>
            <w:rPr>
              <w:sz w:val="24"/>
              <w:szCs w:val="24"/>
            </w:rPr>
            <w:fldChar w:fldCharType="end"/>
          </w:r>
        </w:sdtContent>
      </w:sdt>
    </w:p>
    <w:p w14:paraId="144E5362" w14:textId="57AA2804" w:rsidR="00313A60" w:rsidRDefault="00313A60" w:rsidP="0004481A">
      <w:pPr>
        <w:ind w:firstLine="720"/>
        <w:rPr>
          <w:sz w:val="24"/>
          <w:szCs w:val="24"/>
        </w:rPr>
      </w:pPr>
      <w:r>
        <w:rPr>
          <w:sz w:val="24"/>
          <w:szCs w:val="24"/>
        </w:rPr>
        <w:t>How students work in groups can be directly linked, according to Markus and Kitayama (1991) to whether they are an independent self-construal or an interdependent self-construal.</w:t>
      </w:r>
      <w:r w:rsidR="00F5727A">
        <w:rPr>
          <w:sz w:val="24"/>
          <w:szCs w:val="24"/>
        </w:rPr>
        <w:t xml:space="preserve"> Independent self-construal means, in layman’s terms, you care very little what other people think of you when it comes to improving yourself and use your own experiences only in order to build upon your own character. Interdependent self-construal is described as </w:t>
      </w:r>
      <w:r w:rsidR="00A32A16">
        <w:rPr>
          <w:sz w:val="24"/>
          <w:szCs w:val="24"/>
        </w:rPr>
        <w:t>“</w:t>
      </w:r>
      <w:r w:rsidR="00A32A16" w:rsidRPr="00A32A16">
        <w:rPr>
          <w:sz w:val="24"/>
          <w:szCs w:val="24"/>
        </w:rPr>
        <w:t>different cognitive representations of the self that people may hold</w:t>
      </w:r>
      <w:r w:rsidR="00A32A16">
        <w:rPr>
          <w:sz w:val="24"/>
          <w:szCs w:val="24"/>
        </w:rPr>
        <w:t xml:space="preserve">” based </w:t>
      </w:r>
      <w:r w:rsidR="00A32A16">
        <w:rPr>
          <w:sz w:val="24"/>
          <w:szCs w:val="24"/>
        </w:rPr>
        <w:lastRenderedPageBreak/>
        <w:t xml:space="preserve">largely on what their social roles, close relationships and group memberships are. These are examples of things that would attribute themselves with one’s sense of self if they were interdependent. </w:t>
      </w:r>
      <w:sdt>
        <w:sdtPr>
          <w:rPr>
            <w:sz w:val="24"/>
            <w:szCs w:val="24"/>
          </w:rPr>
          <w:id w:val="1241904637"/>
          <w:citation/>
        </w:sdtPr>
        <w:sdtEndPr/>
        <w:sdtContent>
          <w:r w:rsidR="00A32A16">
            <w:rPr>
              <w:sz w:val="24"/>
              <w:szCs w:val="24"/>
            </w:rPr>
            <w:fldChar w:fldCharType="begin"/>
          </w:r>
          <w:r w:rsidR="00A32A16">
            <w:rPr>
              <w:sz w:val="24"/>
              <w:szCs w:val="24"/>
            </w:rPr>
            <w:instrText xml:space="preserve"> CITATION Gia17 \l 2057 </w:instrText>
          </w:r>
          <w:r w:rsidR="00A32A16">
            <w:rPr>
              <w:sz w:val="24"/>
              <w:szCs w:val="24"/>
            </w:rPr>
            <w:fldChar w:fldCharType="separate"/>
          </w:r>
          <w:r w:rsidR="00A32A16" w:rsidRPr="00A32A16">
            <w:rPr>
              <w:noProof/>
              <w:sz w:val="24"/>
              <w:szCs w:val="24"/>
            </w:rPr>
            <w:t>(Giacomin &amp; Jordan, 2017)</w:t>
          </w:r>
          <w:r w:rsidR="00A32A16">
            <w:rPr>
              <w:sz w:val="24"/>
              <w:szCs w:val="24"/>
            </w:rPr>
            <w:fldChar w:fldCharType="end"/>
          </w:r>
        </w:sdtContent>
      </w:sdt>
    </w:p>
    <w:p w14:paraId="7F8C5B30" w14:textId="12EEFE4D" w:rsidR="00A32A16" w:rsidRDefault="00A32A16" w:rsidP="00A32A16">
      <w:pPr>
        <w:ind w:firstLine="720"/>
        <w:rPr>
          <w:sz w:val="24"/>
          <w:szCs w:val="24"/>
        </w:rPr>
      </w:pPr>
      <w:r>
        <w:rPr>
          <w:sz w:val="24"/>
          <w:szCs w:val="24"/>
        </w:rPr>
        <w:t xml:space="preserve">That being said, according to a 1999 research paper by Gardner et all., regardless of culture people are generally capable of displaying both mindsets depending on their current situation. There have also been numerous neuropsychological studies on this area, and it has been concluded that people can often swap between the too depending on their needs at any given moment. </w:t>
      </w:r>
      <w:sdt>
        <w:sdtPr>
          <w:rPr>
            <w:sz w:val="24"/>
            <w:szCs w:val="24"/>
          </w:rPr>
          <w:id w:val="-1699235215"/>
          <w:citation/>
        </w:sdtPr>
        <w:sdtEndPr/>
        <w:sdtContent>
          <w:r>
            <w:rPr>
              <w:sz w:val="24"/>
              <w:szCs w:val="24"/>
            </w:rPr>
            <w:fldChar w:fldCharType="begin"/>
          </w:r>
          <w:r>
            <w:rPr>
              <w:sz w:val="24"/>
              <w:szCs w:val="24"/>
            </w:rPr>
            <w:instrText xml:space="preserve"> CITATION Gar99 \l 2057 </w:instrText>
          </w:r>
          <w:r>
            <w:rPr>
              <w:sz w:val="24"/>
              <w:szCs w:val="24"/>
            </w:rPr>
            <w:fldChar w:fldCharType="separate"/>
          </w:r>
          <w:r w:rsidRPr="00A32A16">
            <w:rPr>
              <w:noProof/>
              <w:sz w:val="24"/>
              <w:szCs w:val="24"/>
            </w:rPr>
            <w:t>(Gardner, et al., 1999)</w:t>
          </w:r>
          <w:r>
            <w:rPr>
              <w:sz w:val="24"/>
              <w:szCs w:val="24"/>
            </w:rPr>
            <w:fldChar w:fldCharType="end"/>
          </w:r>
        </w:sdtContent>
      </w:sdt>
      <w:r w:rsidR="0072199A">
        <w:rPr>
          <w:sz w:val="24"/>
          <w:szCs w:val="24"/>
        </w:rPr>
        <w:t xml:space="preserve"> </w:t>
      </w:r>
      <w:sdt>
        <w:sdtPr>
          <w:rPr>
            <w:sz w:val="24"/>
            <w:szCs w:val="24"/>
          </w:rPr>
          <w:id w:val="2103989611"/>
          <w:citation/>
        </w:sdtPr>
        <w:sdtEndPr/>
        <w:sdtContent>
          <w:r w:rsidR="0072199A">
            <w:rPr>
              <w:sz w:val="24"/>
              <w:szCs w:val="24"/>
            </w:rPr>
            <w:fldChar w:fldCharType="begin"/>
          </w:r>
          <w:r w:rsidR="0072199A">
            <w:rPr>
              <w:sz w:val="24"/>
              <w:szCs w:val="24"/>
            </w:rPr>
            <w:instrText xml:space="preserve"> CITATION Bau95 \l 2057 </w:instrText>
          </w:r>
          <w:r w:rsidR="0072199A">
            <w:rPr>
              <w:sz w:val="24"/>
              <w:szCs w:val="24"/>
            </w:rPr>
            <w:fldChar w:fldCharType="separate"/>
          </w:r>
          <w:r w:rsidR="0072199A" w:rsidRPr="0072199A">
            <w:rPr>
              <w:noProof/>
              <w:sz w:val="24"/>
              <w:szCs w:val="24"/>
            </w:rPr>
            <w:t>(Baumeister &amp; Leary, 1995)</w:t>
          </w:r>
          <w:r w:rsidR="0072199A">
            <w:rPr>
              <w:sz w:val="24"/>
              <w:szCs w:val="24"/>
            </w:rPr>
            <w:fldChar w:fldCharType="end"/>
          </w:r>
        </w:sdtContent>
      </w:sdt>
      <w:r w:rsidR="0072199A">
        <w:rPr>
          <w:sz w:val="24"/>
          <w:szCs w:val="24"/>
        </w:rPr>
        <w:t xml:space="preserve"> The conclusion that can be drawn from this is that student-chosen groupings are more likely to work well as they are aware at that moment what the need relevant to their cognitive mood at the time. </w:t>
      </w:r>
    </w:p>
    <w:p w14:paraId="573749DB" w14:textId="77777777" w:rsidR="00313A60" w:rsidRDefault="00313A60" w:rsidP="0004481A">
      <w:pPr>
        <w:ind w:firstLine="720"/>
        <w:rPr>
          <w:sz w:val="24"/>
          <w:szCs w:val="24"/>
        </w:rPr>
      </w:pPr>
    </w:p>
    <w:p w14:paraId="1625BB07" w14:textId="07456BCE" w:rsidR="00313A60" w:rsidRDefault="00313A60" w:rsidP="00657EC4">
      <w:pPr>
        <w:ind w:firstLine="720"/>
        <w:rPr>
          <w:sz w:val="24"/>
          <w:szCs w:val="24"/>
        </w:rPr>
      </w:pPr>
      <w:r>
        <w:rPr>
          <w:sz w:val="24"/>
          <w:szCs w:val="24"/>
        </w:rPr>
        <w:t>(Positive reinforcement)</w:t>
      </w:r>
    </w:p>
    <w:p w14:paraId="0D457AFB" w14:textId="0DDF183D" w:rsidR="00313A60" w:rsidRDefault="00313A60" w:rsidP="0004481A">
      <w:pPr>
        <w:ind w:firstLine="720"/>
        <w:rPr>
          <w:sz w:val="24"/>
          <w:szCs w:val="24"/>
        </w:rPr>
      </w:pPr>
      <w:r w:rsidRPr="00313A60">
        <w:rPr>
          <w:sz w:val="24"/>
          <w:szCs w:val="24"/>
        </w:rPr>
        <w:t xml:space="preserve">To date, motivation-based research on group work in schools has largely focused on the role of group goals (Johnson, </w:t>
      </w:r>
      <w:r w:rsidR="005C7BFA" w:rsidRPr="00313A60">
        <w:rPr>
          <w:sz w:val="24"/>
          <w:szCs w:val="24"/>
        </w:rPr>
        <w:t>Johnson, &amp;</w:t>
      </w:r>
      <w:r w:rsidRPr="00313A60">
        <w:rPr>
          <w:sz w:val="24"/>
          <w:szCs w:val="24"/>
        </w:rPr>
        <w:t xml:space="preserve"> Stanne, 2000) and group rewards (Slavin, 1996). A common ﬁnding is that using incentive structures in concert with some form</w:t>
      </w:r>
      <w:r w:rsidR="00270D74">
        <w:rPr>
          <w:sz w:val="24"/>
          <w:szCs w:val="24"/>
        </w:rPr>
        <w:t xml:space="preserve"> </w:t>
      </w:r>
      <w:r w:rsidRPr="00313A60">
        <w:rPr>
          <w:sz w:val="24"/>
          <w:szCs w:val="24"/>
        </w:rPr>
        <w:t>of individual accountability will generally motivate students to participate in group activities (Johnson et al., 2000; Slavin, 1996).</w:t>
      </w:r>
      <w:r w:rsidR="00270D74">
        <w:rPr>
          <w:sz w:val="24"/>
          <w:szCs w:val="24"/>
        </w:rPr>
        <w:t xml:space="preserve"> In an article by Maag, J </w:t>
      </w:r>
      <w:sdt>
        <w:sdtPr>
          <w:rPr>
            <w:sz w:val="24"/>
            <w:szCs w:val="24"/>
          </w:rPr>
          <w:id w:val="-1442920835"/>
          <w:citation/>
        </w:sdtPr>
        <w:sdtEndPr/>
        <w:sdtContent>
          <w:r w:rsidR="00270D74">
            <w:rPr>
              <w:sz w:val="24"/>
              <w:szCs w:val="24"/>
            </w:rPr>
            <w:fldChar w:fldCharType="begin"/>
          </w:r>
          <w:r w:rsidR="00270D74">
            <w:rPr>
              <w:sz w:val="24"/>
              <w:szCs w:val="24"/>
            </w:rPr>
            <w:instrText xml:space="preserve">CITATION Maa01 \n  \l 2057 </w:instrText>
          </w:r>
          <w:r w:rsidR="00270D74">
            <w:rPr>
              <w:sz w:val="24"/>
              <w:szCs w:val="24"/>
            </w:rPr>
            <w:fldChar w:fldCharType="separate"/>
          </w:r>
          <w:r w:rsidR="00270D74" w:rsidRPr="00270D74">
            <w:rPr>
              <w:noProof/>
              <w:sz w:val="24"/>
              <w:szCs w:val="24"/>
            </w:rPr>
            <w:t>(2001)</w:t>
          </w:r>
          <w:r w:rsidR="00270D74">
            <w:rPr>
              <w:sz w:val="24"/>
              <w:szCs w:val="24"/>
            </w:rPr>
            <w:fldChar w:fldCharType="end"/>
          </w:r>
        </w:sdtContent>
      </w:sdt>
      <w:r w:rsidR="00270D74">
        <w:rPr>
          <w:sz w:val="24"/>
          <w:szCs w:val="24"/>
        </w:rPr>
        <w:t xml:space="preserve"> he describes how negative reinforcement is often overused and do very little to actually curb or halt the inappropriate behaviour in the class. Removing students from a class or sending them home for an out-of-school suspension does not discourage them from being disruptive in class. It simply gives them the attention that they want and the leave from listening in class time that they desire.</w:t>
      </w:r>
    </w:p>
    <w:p w14:paraId="1DB419DC" w14:textId="36881A4C" w:rsidR="00270D74" w:rsidRDefault="00270D74" w:rsidP="0004481A">
      <w:pPr>
        <w:ind w:firstLine="720"/>
        <w:rPr>
          <w:sz w:val="24"/>
          <w:szCs w:val="24"/>
        </w:rPr>
      </w:pPr>
      <w:r>
        <w:rPr>
          <w:sz w:val="24"/>
          <w:szCs w:val="24"/>
        </w:rPr>
        <w:t>Maag (2001) describes that both positive and negative reinforcement can come together in harmony to iron out issues in classes. In his article he delineates the reasons that both should be used according to the situation. He explains that even though it won’t stop the disruptions in class, he Maag recognises that on very infrequent occasions, it becomes necessary to remove a child from a class if they are disrupting so much that students simply aren’t learning, or if they become a danger to themselves and/or other students and staff.</w:t>
      </w:r>
    </w:p>
    <w:p w14:paraId="331F1F11" w14:textId="76FD284C" w:rsidR="00084FC1" w:rsidRDefault="003555A8" w:rsidP="0004481A">
      <w:pPr>
        <w:ind w:firstLine="720"/>
        <w:rPr>
          <w:sz w:val="24"/>
          <w:szCs w:val="24"/>
        </w:rPr>
      </w:pPr>
      <w:r>
        <w:rPr>
          <w:sz w:val="24"/>
          <w:szCs w:val="24"/>
        </w:rPr>
        <w:t xml:space="preserve">A paper that outlines this theory in practise by Nikolas Blodgett (N/A) describes a study and review of current research conducted by Tripp and </w:t>
      </w:r>
      <w:proofErr w:type="spellStart"/>
      <w:r>
        <w:rPr>
          <w:sz w:val="24"/>
          <w:szCs w:val="24"/>
        </w:rPr>
        <w:t>Wickens</w:t>
      </w:r>
      <w:proofErr w:type="spellEnd"/>
      <w:r>
        <w:rPr>
          <w:sz w:val="24"/>
          <w:szCs w:val="24"/>
        </w:rPr>
        <w:t xml:space="preserve"> (2007). A study was conducted on a student named Shawn. Shawn suffered with ADD, anxiety and language disorders. Shawn was very disruptive and often shouted out in class in order to gain attention from both his peers and teachers.</w:t>
      </w:r>
      <w:sdt>
        <w:sdtPr>
          <w:rPr>
            <w:sz w:val="24"/>
            <w:szCs w:val="24"/>
          </w:rPr>
          <w:id w:val="-1625220846"/>
          <w:citation/>
        </w:sdtPr>
        <w:sdtEndPr/>
        <w:sdtContent>
          <w:r w:rsidR="00084FC1">
            <w:rPr>
              <w:sz w:val="24"/>
              <w:szCs w:val="24"/>
            </w:rPr>
            <w:fldChar w:fldCharType="begin"/>
          </w:r>
          <w:r w:rsidR="00084FC1">
            <w:rPr>
              <w:sz w:val="24"/>
              <w:szCs w:val="24"/>
            </w:rPr>
            <w:instrText xml:space="preserve"> CITATION Sta08 \l 2057 </w:instrText>
          </w:r>
          <w:r w:rsidR="00084FC1">
            <w:rPr>
              <w:sz w:val="24"/>
              <w:szCs w:val="24"/>
            </w:rPr>
            <w:fldChar w:fldCharType="separate"/>
          </w:r>
          <w:r w:rsidR="00084FC1">
            <w:rPr>
              <w:noProof/>
              <w:sz w:val="24"/>
              <w:szCs w:val="24"/>
            </w:rPr>
            <w:t xml:space="preserve"> </w:t>
          </w:r>
          <w:r w:rsidR="00084FC1" w:rsidRPr="00084FC1">
            <w:rPr>
              <w:noProof/>
              <w:sz w:val="24"/>
              <w:szCs w:val="24"/>
            </w:rPr>
            <w:t>(Stahr, 2008)</w:t>
          </w:r>
          <w:r w:rsidR="00084FC1">
            <w:rPr>
              <w:sz w:val="24"/>
              <w:szCs w:val="24"/>
            </w:rPr>
            <w:fldChar w:fldCharType="end"/>
          </w:r>
        </w:sdtContent>
      </w:sdt>
      <w:r>
        <w:rPr>
          <w:sz w:val="24"/>
          <w:szCs w:val="24"/>
        </w:rPr>
        <w:t xml:space="preserve"> The research paper and study tells us how, in people who suffer with ADD, the Dopamine Transfer Deficit (DTD) does not occur. </w:t>
      </w:r>
      <w:r w:rsidR="00084FC1">
        <w:rPr>
          <w:sz w:val="24"/>
          <w:szCs w:val="24"/>
        </w:rPr>
        <w:t>(</w:t>
      </w:r>
      <w:r>
        <w:rPr>
          <w:sz w:val="24"/>
          <w:szCs w:val="24"/>
        </w:rPr>
        <w:t>Dopamine is a chemical produced in our brain that, in short, makes us feel good.</w:t>
      </w:r>
      <w:r w:rsidR="00084FC1">
        <w:rPr>
          <w:sz w:val="24"/>
          <w:szCs w:val="24"/>
        </w:rPr>
        <w:t>)</w:t>
      </w:r>
    </w:p>
    <w:p w14:paraId="1E65B7B1" w14:textId="68FFF33A" w:rsidR="003555A8" w:rsidRDefault="00084FC1" w:rsidP="0004481A">
      <w:pPr>
        <w:ind w:firstLine="720"/>
        <w:rPr>
          <w:sz w:val="24"/>
          <w:szCs w:val="24"/>
        </w:rPr>
      </w:pPr>
      <w:r>
        <w:rPr>
          <w:sz w:val="24"/>
          <w:szCs w:val="24"/>
        </w:rPr>
        <w:t xml:space="preserve">For non-sufferers of ADD, when we achieve something or do something that we perceive as good for us or others, dopamine is released, and it regulates our need for attention and praise from others. Because of this lack of dopamine in ADD sufferers, that hit of dopamine does not arrive and thus, they crave the praise from someone else in order to justify why the did any given thing. Positive reinforcement takes the place of dopamine and </w:t>
      </w:r>
      <w:r>
        <w:rPr>
          <w:sz w:val="24"/>
          <w:szCs w:val="24"/>
        </w:rPr>
        <w:lastRenderedPageBreak/>
        <w:t xml:space="preserve">as demonstrated by Shawn in the study, helps them with restraining their need to shout out and disrupt the lesson for everyone else. </w:t>
      </w:r>
      <w:sdt>
        <w:sdtPr>
          <w:rPr>
            <w:sz w:val="24"/>
            <w:szCs w:val="24"/>
          </w:rPr>
          <w:id w:val="-1568334444"/>
          <w:citation/>
        </w:sdtPr>
        <w:sdtEndPr/>
        <w:sdtContent>
          <w:r>
            <w:rPr>
              <w:sz w:val="24"/>
              <w:szCs w:val="24"/>
            </w:rPr>
            <w:fldChar w:fldCharType="begin"/>
          </w:r>
          <w:r>
            <w:rPr>
              <w:sz w:val="24"/>
              <w:szCs w:val="24"/>
            </w:rPr>
            <w:instrText xml:space="preserve"> CITATION BloNA \l 2057 </w:instrText>
          </w:r>
          <w:r>
            <w:rPr>
              <w:sz w:val="24"/>
              <w:szCs w:val="24"/>
            </w:rPr>
            <w:fldChar w:fldCharType="separate"/>
          </w:r>
          <w:r w:rsidRPr="00084FC1">
            <w:rPr>
              <w:noProof/>
              <w:sz w:val="24"/>
              <w:szCs w:val="24"/>
            </w:rPr>
            <w:t>(Blodgett, N/A)</w:t>
          </w:r>
          <w:r>
            <w:rPr>
              <w:sz w:val="24"/>
              <w:szCs w:val="24"/>
            </w:rPr>
            <w:fldChar w:fldCharType="end"/>
          </w:r>
        </w:sdtContent>
      </w:sdt>
      <w:r>
        <w:rPr>
          <w:sz w:val="24"/>
          <w:szCs w:val="24"/>
        </w:rPr>
        <w:t xml:space="preserve"> </w:t>
      </w:r>
      <w:sdt>
        <w:sdtPr>
          <w:rPr>
            <w:sz w:val="24"/>
            <w:szCs w:val="24"/>
          </w:rPr>
          <w:id w:val="-2123603878"/>
          <w:citation/>
        </w:sdtPr>
        <w:sdtEndPr/>
        <w:sdtContent>
          <w:r>
            <w:rPr>
              <w:sz w:val="24"/>
              <w:szCs w:val="24"/>
            </w:rPr>
            <w:fldChar w:fldCharType="begin"/>
          </w:r>
          <w:r>
            <w:rPr>
              <w:sz w:val="24"/>
              <w:szCs w:val="24"/>
            </w:rPr>
            <w:instrText xml:space="preserve"> CITATION Tra08 \l 2057 </w:instrText>
          </w:r>
          <w:r>
            <w:rPr>
              <w:sz w:val="24"/>
              <w:szCs w:val="24"/>
            </w:rPr>
            <w:fldChar w:fldCharType="separate"/>
          </w:r>
          <w:r w:rsidRPr="00084FC1">
            <w:rPr>
              <w:noProof/>
              <w:sz w:val="24"/>
              <w:szCs w:val="24"/>
            </w:rPr>
            <w:t>(Trapp &amp; Wickens, 2008)</w:t>
          </w:r>
          <w:r>
            <w:rPr>
              <w:sz w:val="24"/>
              <w:szCs w:val="24"/>
            </w:rPr>
            <w:fldChar w:fldCharType="end"/>
          </w:r>
        </w:sdtContent>
      </w:sdt>
      <w:r>
        <w:rPr>
          <w:sz w:val="24"/>
          <w:szCs w:val="24"/>
        </w:rPr>
        <w:t xml:space="preserve"> </w:t>
      </w:r>
      <w:sdt>
        <w:sdtPr>
          <w:rPr>
            <w:sz w:val="24"/>
            <w:szCs w:val="24"/>
          </w:rPr>
          <w:id w:val="-1156837590"/>
          <w:citation/>
        </w:sdtPr>
        <w:sdtEndPr/>
        <w:sdtContent>
          <w:r>
            <w:rPr>
              <w:sz w:val="24"/>
              <w:szCs w:val="24"/>
            </w:rPr>
            <w:fldChar w:fldCharType="begin"/>
          </w:r>
          <w:r>
            <w:rPr>
              <w:sz w:val="24"/>
              <w:szCs w:val="24"/>
            </w:rPr>
            <w:instrText xml:space="preserve"> CITATION Sta08 \l 2057 </w:instrText>
          </w:r>
          <w:r>
            <w:rPr>
              <w:sz w:val="24"/>
              <w:szCs w:val="24"/>
            </w:rPr>
            <w:fldChar w:fldCharType="separate"/>
          </w:r>
          <w:r w:rsidRPr="00084FC1">
            <w:rPr>
              <w:noProof/>
              <w:sz w:val="24"/>
              <w:szCs w:val="24"/>
            </w:rPr>
            <w:t>(Stahr, 2008)</w:t>
          </w:r>
          <w:r>
            <w:rPr>
              <w:sz w:val="24"/>
              <w:szCs w:val="24"/>
            </w:rPr>
            <w:fldChar w:fldCharType="end"/>
          </w:r>
        </w:sdtContent>
      </w:sdt>
    </w:p>
    <w:p w14:paraId="3E22EF95" w14:textId="768B4AED" w:rsidR="00084FC1" w:rsidRDefault="00084FC1" w:rsidP="0004481A">
      <w:pPr>
        <w:ind w:firstLine="720"/>
        <w:rPr>
          <w:sz w:val="24"/>
          <w:szCs w:val="24"/>
        </w:rPr>
      </w:pPr>
      <w:r>
        <w:rPr>
          <w:sz w:val="24"/>
          <w:szCs w:val="24"/>
        </w:rPr>
        <w:t xml:space="preserve">People who </w:t>
      </w:r>
      <w:r w:rsidR="00657EC4">
        <w:rPr>
          <w:sz w:val="24"/>
          <w:szCs w:val="24"/>
        </w:rPr>
        <w:t xml:space="preserve">do not suffer with any sort of dopamine deficiency can hold off on rewards. They can see far enough into the future and establish where a reward can be gained and set a chosen path for themselves to achieve it. This is what the ‘dorsal striatal’ region of the brain is for. ADD sufferers are only gifted with the ‘ventricular striatal.’ According to </w:t>
      </w:r>
      <w:proofErr w:type="spellStart"/>
      <w:r w:rsidR="00657EC4">
        <w:rPr>
          <w:sz w:val="24"/>
          <w:szCs w:val="24"/>
        </w:rPr>
        <w:t>Kahnt</w:t>
      </w:r>
      <w:proofErr w:type="spellEnd"/>
      <w:r w:rsidR="00657EC4">
        <w:rPr>
          <w:sz w:val="24"/>
          <w:szCs w:val="24"/>
        </w:rPr>
        <w:t xml:space="preserve"> et. al (2008) the VS acts as a first responder and acts accordingly. </w:t>
      </w:r>
      <w:sdt>
        <w:sdtPr>
          <w:rPr>
            <w:sz w:val="24"/>
            <w:szCs w:val="24"/>
          </w:rPr>
          <w:id w:val="771129614"/>
          <w:citation/>
        </w:sdtPr>
        <w:sdtEndPr/>
        <w:sdtContent>
          <w:r w:rsidR="00657EC4">
            <w:rPr>
              <w:sz w:val="24"/>
              <w:szCs w:val="24"/>
            </w:rPr>
            <w:fldChar w:fldCharType="begin"/>
          </w:r>
          <w:r w:rsidR="00657EC4">
            <w:rPr>
              <w:sz w:val="24"/>
              <w:szCs w:val="24"/>
            </w:rPr>
            <w:instrText xml:space="preserve"> CITATION Kah08 \l 2057 </w:instrText>
          </w:r>
          <w:r w:rsidR="00657EC4">
            <w:rPr>
              <w:sz w:val="24"/>
              <w:szCs w:val="24"/>
            </w:rPr>
            <w:fldChar w:fldCharType="separate"/>
          </w:r>
          <w:r w:rsidR="00657EC4" w:rsidRPr="00657EC4">
            <w:rPr>
              <w:noProof/>
              <w:sz w:val="24"/>
              <w:szCs w:val="24"/>
            </w:rPr>
            <w:t>(Kahnt, et al., 2008)</w:t>
          </w:r>
          <w:r w:rsidR="00657EC4">
            <w:rPr>
              <w:sz w:val="24"/>
              <w:szCs w:val="24"/>
            </w:rPr>
            <w:fldChar w:fldCharType="end"/>
          </w:r>
        </w:sdtContent>
      </w:sdt>
      <w:r w:rsidR="00657EC4">
        <w:rPr>
          <w:sz w:val="24"/>
          <w:szCs w:val="24"/>
        </w:rPr>
        <w:t xml:space="preserve"> </w:t>
      </w:r>
    </w:p>
    <w:p w14:paraId="5E4FCD69" w14:textId="527C9E23" w:rsidR="003555A8" w:rsidRDefault="003555A8" w:rsidP="0004481A">
      <w:pPr>
        <w:ind w:firstLine="720"/>
        <w:rPr>
          <w:sz w:val="24"/>
          <w:szCs w:val="24"/>
        </w:rPr>
      </w:pPr>
    </w:p>
    <w:p w14:paraId="22F04C19" w14:textId="734BCEA8" w:rsidR="00396C10" w:rsidRDefault="00396C10" w:rsidP="0004481A">
      <w:pPr>
        <w:ind w:firstLine="720"/>
        <w:rPr>
          <w:sz w:val="24"/>
          <w:szCs w:val="24"/>
        </w:rPr>
      </w:pPr>
      <w:r>
        <w:rPr>
          <w:sz w:val="24"/>
          <w:szCs w:val="24"/>
        </w:rPr>
        <w:t>(Using group work to improve student well-being.)</w:t>
      </w:r>
    </w:p>
    <w:p w14:paraId="18F48A47" w14:textId="1EBB0B93" w:rsidR="00986D11" w:rsidRDefault="009B719B" w:rsidP="0004481A">
      <w:pPr>
        <w:ind w:firstLine="720"/>
        <w:rPr>
          <w:sz w:val="24"/>
          <w:szCs w:val="24"/>
        </w:rPr>
      </w:pPr>
      <w:r>
        <w:rPr>
          <w:sz w:val="24"/>
          <w:szCs w:val="24"/>
        </w:rPr>
        <w:t>Research into s</w:t>
      </w:r>
      <w:r w:rsidR="00396C10">
        <w:rPr>
          <w:sz w:val="24"/>
          <w:szCs w:val="24"/>
        </w:rPr>
        <w:t xml:space="preserve">ocial-emotional growth </w:t>
      </w:r>
      <w:r>
        <w:rPr>
          <w:sz w:val="24"/>
          <w:szCs w:val="24"/>
        </w:rPr>
        <w:t xml:space="preserve">is gaining exponentially more practitioners and practises. The ways that group work can be utilised to improve students well being is a fairly recent discovery. An article from 1987 describes a task centred around group work in which students are encouraged to work together to revise for an upcoming test. If they achieve 80 points or higher, they will make it onto the ‘high achievers’ poster. This is yet another example of positive reinforcement. This example, however, relies on a working dorsal striatal due to the prolonged nature of the reward. (Studies into the brain were not far enough along to know this in 1987). </w:t>
      </w:r>
    </w:p>
    <w:p w14:paraId="62CE46C0" w14:textId="02684398" w:rsidR="009B719B" w:rsidRDefault="009B719B" w:rsidP="009B719B">
      <w:pPr>
        <w:ind w:firstLine="720"/>
        <w:rPr>
          <w:sz w:val="24"/>
          <w:szCs w:val="24"/>
        </w:rPr>
      </w:pPr>
      <w:r>
        <w:rPr>
          <w:sz w:val="24"/>
          <w:szCs w:val="24"/>
        </w:rPr>
        <w:t xml:space="preserve">Working in small groups, between 3 and 5 members, encouraged all the students to take part more than they would in a regular question and answer session in class. </w:t>
      </w:r>
      <w:sdt>
        <w:sdtPr>
          <w:rPr>
            <w:sz w:val="24"/>
            <w:szCs w:val="24"/>
          </w:rPr>
          <w:id w:val="-946230763"/>
          <w:citation/>
        </w:sdtPr>
        <w:sdtEndPr/>
        <w:sdtContent>
          <w:r w:rsidR="006A4192">
            <w:rPr>
              <w:sz w:val="24"/>
              <w:szCs w:val="24"/>
            </w:rPr>
            <w:fldChar w:fldCharType="begin"/>
          </w:r>
          <w:r w:rsidR="006A4192">
            <w:rPr>
              <w:sz w:val="24"/>
              <w:szCs w:val="24"/>
            </w:rPr>
            <w:instrText xml:space="preserve"> CITATION Edw87 \l 2057 </w:instrText>
          </w:r>
          <w:r w:rsidR="006A4192">
            <w:rPr>
              <w:sz w:val="24"/>
              <w:szCs w:val="24"/>
            </w:rPr>
            <w:fldChar w:fldCharType="separate"/>
          </w:r>
          <w:r w:rsidR="006A4192" w:rsidRPr="006A4192">
            <w:rPr>
              <w:noProof/>
              <w:sz w:val="24"/>
              <w:szCs w:val="24"/>
            </w:rPr>
            <w:t>(Edward, et al., 1987)</w:t>
          </w:r>
          <w:r w:rsidR="006A4192">
            <w:rPr>
              <w:sz w:val="24"/>
              <w:szCs w:val="24"/>
            </w:rPr>
            <w:fldChar w:fldCharType="end"/>
          </w:r>
        </w:sdtContent>
      </w:sdt>
      <w:r w:rsidR="006A4192">
        <w:rPr>
          <w:sz w:val="24"/>
          <w:szCs w:val="24"/>
        </w:rPr>
        <w:t xml:space="preserve"> </w:t>
      </w:r>
      <w:r>
        <w:rPr>
          <w:sz w:val="24"/>
          <w:szCs w:val="24"/>
        </w:rPr>
        <w:t>More group members were talking to each other and taking an active role in the task. Being in a smaller group allowed less eyes on them and more confidence in their own ability to answer questions put to them. The students also know that as a group, they win together or lose together. Knowing this, why wouldn’t they try their best for the group as well as themselves? This is known as group accountability.</w:t>
      </w:r>
    </w:p>
    <w:p w14:paraId="0C5C0EF8" w14:textId="4663FF0C" w:rsidR="00733702" w:rsidRDefault="009B719B" w:rsidP="00733702">
      <w:pPr>
        <w:ind w:firstLine="720"/>
        <w:rPr>
          <w:sz w:val="24"/>
          <w:szCs w:val="24"/>
        </w:rPr>
      </w:pPr>
      <w:r>
        <w:rPr>
          <w:sz w:val="24"/>
          <w:szCs w:val="24"/>
        </w:rPr>
        <w:t xml:space="preserve">Group tasks also allow learners to develop key skills during the process. Constructive criticism, sharing, taking turns, and checking each other’s work all links back to </w:t>
      </w:r>
      <w:r w:rsidR="00733702">
        <w:rPr>
          <w:sz w:val="24"/>
          <w:szCs w:val="24"/>
        </w:rPr>
        <w:t>Donaldson’s four purposes before</w:t>
      </w:r>
      <w:r>
        <w:rPr>
          <w:sz w:val="24"/>
          <w:szCs w:val="24"/>
        </w:rPr>
        <w:t xml:space="preserve"> Donaldson was around! </w:t>
      </w:r>
      <w:r w:rsidR="00733702">
        <w:rPr>
          <w:sz w:val="24"/>
          <w:szCs w:val="24"/>
        </w:rPr>
        <w:t xml:space="preserve">This demonstrates that these techniques were being used before the theory papers that concreted them were released and they were being used to great effect. This utilising of group work and forming ethically informed, fair, and creative citizens was a stepping-stone in the right direction and we know now based on education theory such as that by Donaldson, that they were correct. </w:t>
      </w:r>
    </w:p>
    <w:p w14:paraId="053C3858" w14:textId="69C2A06B" w:rsidR="00733702" w:rsidRDefault="00733702" w:rsidP="00733702">
      <w:pPr>
        <w:ind w:firstLine="720"/>
        <w:rPr>
          <w:sz w:val="24"/>
          <w:szCs w:val="24"/>
        </w:rPr>
      </w:pPr>
      <w:r>
        <w:rPr>
          <w:sz w:val="24"/>
          <w:szCs w:val="24"/>
        </w:rPr>
        <w:t xml:space="preserve">This study by </w:t>
      </w:r>
      <w:sdt>
        <w:sdtPr>
          <w:rPr>
            <w:sz w:val="24"/>
            <w:szCs w:val="24"/>
          </w:rPr>
          <w:id w:val="-584446419"/>
          <w:citation/>
        </w:sdtPr>
        <w:sdtEndPr/>
        <w:sdtContent>
          <w:r>
            <w:rPr>
              <w:sz w:val="24"/>
              <w:szCs w:val="24"/>
            </w:rPr>
            <w:fldChar w:fldCharType="begin"/>
          </w:r>
          <w:r>
            <w:rPr>
              <w:sz w:val="24"/>
              <w:szCs w:val="24"/>
            </w:rPr>
            <w:instrText xml:space="preserve"> CITATION Edw87 \l 2057 </w:instrText>
          </w:r>
          <w:r>
            <w:rPr>
              <w:sz w:val="24"/>
              <w:szCs w:val="24"/>
            </w:rPr>
            <w:fldChar w:fldCharType="separate"/>
          </w:r>
          <w:r w:rsidRPr="00733702">
            <w:rPr>
              <w:noProof/>
              <w:sz w:val="24"/>
              <w:szCs w:val="24"/>
            </w:rPr>
            <w:t>(Edward, et al., 1987)</w:t>
          </w:r>
          <w:r>
            <w:rPr>
              <w:sz w:val="24"/>
              <w:szCs w:val="24"/>
            </w:rPr>
            <w:fldChar w:fldCharType="end"/>
          </w:r>
        </w:sdtContent>
      </w:sdt>
      <w:r>
        <w:rPr>
          <w:sz w:val="24"/>
          <w:szCs w:val="24"/>
        </w:rPr>
        <w:t xml:space="preserve"> goes on to explain that self esteem and positive interaction among students was also greatly improved by this practise. These interactions branched across the whole class, irrelevant of gender, race, ethnic and social backgrounds. The paper says that when “one observes cooperative learning groups in action,” it is very easy to view them sharing materials that they have gathered, providing feedback and encouragement to each other and general talking among each other. This goes towards </w:t>
      </w:r>
      <w:r>
        <w:rPr>
          <w:sz w:val="24"/>
          <w:szCs w:val="24"/>
        </w:rPr>
        <w:lastRenderedPageBreak/>
        <w:t xml:space="preserve">showing how group work lends itself to the teaching world as it helps to create, cooperative, helpful people who can work together easily. Many hands make light work. </w:t>
      </w:r>
    </w:p>
    <w:p w14:paraId="6A9114C4" w14:textId="352C367B" w:rsidR="0019125B" w:rsidRDefault="00F977F8" w:rsidP="00733702">
      <w:pPr>
        <w:ind w:firstLine="720"/>
        <w:rPr>
          <w:sz w:val="24"/>
          <w:szCs w:val="24"/>
        </w:rPr>
      </w:pPr>
      <w:r>
        <w:rPr>
          <w:sz w:val="24"/>
          <w:szCs w:val="24"/>
        </w:rPr>
        <w:t>(Reflection)</w:t>
      </w:r>
    </w:p>
    <w:p w14:paraId="7C32E2C6" w14:textId="3D748A5A" w:rsidR="00F977F8" w:rsidRDefault="00F977F8" w:rsidP="00733702">
      <w:pPr>
        <w:ind w:firstLine="720"/>
        <w:rPr>
          <w:sz w:val="24"/>
          <w:szCs w:val="24"/>
        </w:rPr>
      </w:pPr>
      <w:r>
        <w:rPr>
          <w:sz w:val="24"/>
          <w:szCs w:val="24"/>
        </w:rPr>
        <w:t xml:space="preserve">Through this essay, among many things, I have taken a very keen interest in the development and utilisation of group work in the curriculum. It’s origins dated back earlier than I originally thought, into the 80s, </w:t>
      </w:r>
      <w:sdt>
        <w:sdtPr>
          <w:rPr>
            <w:sz w:val="24"/>
            <w:szCs w:val="24"/>
          </w:rPr>
          <w:id w:val="1962373979"/>
          <w:citation/>
        </w:sdtPr>
        <w:sdtEndPr/>
        <w:sdtContent>
          <w:r>
            <w:rPr>
              <w:sz w:val="24"/>
              <w:szCs w:val="24"/>
            </w:rPr>
            <w:fldChar w:fldCharType="begin"/>
          </w:r>
          <w:r>
            <w:rPr>
              <w:sz w:val="24"/>
              <w:szCs w:val="24"/>
            </w:rPr>
            <w:instrText xml:space="preserve"> CITATION Den89 \l 2057 </w:instrText>
          </w:r>
          <w:r>
            <w:rPr>
              <w:sz w:val="24"/>
              <w:szCs w:val="24"/>
            </w:rPr>
            <w:fldChar w:fldCharType="separate"/>
          </w:r>
          <w:r w:rsidRPr="00F977F8">
            <w:rPr>
              <w:noProof/>
              <w:sz w:val="24"/>
              <w:szCs w:val="24"/>
            </w:rPr>
            <w:t>(Denzin, 1989)</w:t>
          </w:r>
          <w:r>
            <w:rPr>
              <w:sz w:val="24"/>
              <w:szCs w:val="24"/>
            </w:rPr>
            <w:fldChar w:fldCharType="end"/>
          </w:r>
        </w:sdtContent>
      </w:sdt>
      <w:r>
        <w:rPr>
          <w:sz w:val="24"/>
          <w:szCs w:val="24"/>
        </w:rPr>
        <w:t xml:space="preserve"> and have been built upon across the three decades since. More research means more knowledge and more knowledge leads to a better understanding of the psychology involved and critical mindset needed for students (and people in general) to take part and gain the most they can from group work.</w:t>
      </w:r>
    </w:p>
    <w:p w14:paraId="3A6627A4" w14:textId="379A6F9F" w:rsidR="00237788" w:rsidRDefault="00237788" w:rsidP="00237788">
      <w:pPr>
        <w:ind w:firstLine="720"/>
        <w:rPr>
          <w:sz w:val="24"/>
          <w:szCs w:val="24"/>
        </w:rPr>
      </w:pPr>
      <w:r>
        <w:rPr>
          <w:sz w:val="24"/>
          <w:szCs w:val="24"/>
        </w:rPr>
        <w:t xml:space="preserve">An article on the </w:t>
      </w:r>
      <w:r>
        <w:rPr>
          <w:i/>
          <w:iCs/>
          <w:sz w:val="24"/>
          <w:szCs w:val="24"/>
        </w:rPr>
        <w:t>Care for Kids</w:t>
      </w:r>
      <w:r>
        <w:rPr>
          <w:sz w:val="24"/>
          <w:szCs w:val="24"/>
        </w:rPr>
        <w:t xml:space="preserve"> websites describes a critical reflection as such. “[A]</w:t>
      </w:r>
      <w:r w:rsidRPr="00237788">
        <w:rPr>
          <w:sz w:val="24"/>
          <w:szCs w:val="24"/>
        </w:rPr>
        <w:t>n ongoing tool to build on your current practice and ask important questions</w:t>
      </w:r>
      <w:r>
        <w:rPr>
          <w:sz w:val="24"/>
          <w:szCs w:val="24"/>
        </w:rPr>
        <w:t xml:space="preserve">.” (2020) The author of this quote, Jodie Clarke goes on to explain how </w:t>
      </w:r>
      <w:r w:rsidR="00AC2F1B">
        <w:rPr>
          <w:sz w:val="24"/>
          <w:szCs w:val="24"/>
        </w:rPr>
        <w:t>reflecting like this can help you when it comes to making choices in the future. Your environment and characters around you effect every decision you make, and reflection can help make sure that these are the right decisions. It also will allow an individual to observe</w:t>
      </w:r>
      <w:r w:rsidR="00E53E94">
        <w:rPr>
          <w:sz w:val="24"/>
          <w:szCs w:val="24"/>
        </w:rPr>
        <w:t>,</w:t>
      </w:r>
      <w:r w:rsidR="00AC2F1B">
        <w:rPr>
          <w:sz w:val="24"/>
          <w:szCs w:val="24"/>
        </w:rPr>
        <w:t xml:space="preserve"> with an outside eye</w:t>
      </w:r>
      <w:r w:rsidR="00E53E94">
        <w:rPr>
          <w:sz w:val="24"/>
          <w:szCs w:val="24"/>
        </w:rPr>
        <w:t>,</w:t>
      </w:r>
      <w:r w:rsidR="00AC2F1B">
        <w:rPr>
          <w:sz w:val="24"/>
          <w:szCs w:val="24"/>
        </w:rPr>
        <w:t xml:space="preserve"> things like peer pressure, which is often hard to spot when you are in the situation.</w:t>
      </w:r>
    </w:p>
    <w:p w14:paraId="3AB8F536" w14:textId="70BAE554" w:rsidR="00BC7F5F" w:rsidRDefault="00BC7F5F" w:rsidP="00237788">
      <w:pPr>
        <w:ind w:firstLine="720"/>
        <w:rPr>
          <w:sz w:val="24"/>
          <w:szCs w:val="24"/>
        </w:rPr>
      </w:pPr>
      <w:r>
        <w:rPr>
          <w:sz w:val="24"/>
          <w:szCs w:val="24"/>
        </w:rPr>
        <w:t xml:space="preserve">In an issue of </w:t>
      </w:r>
      <w:r>
        <w:rPr>
          <w:i/>
          <w:iCs/>
          <w:sz w:val="24"/>
          <w:szCs w:val="24"/>
        </w:rPr>
        <w:t>International Journal of Academic Development</w:t>
      </w:r>
      <w:r w:rsidR="001C7A3E">
        <w:rPr>
          <w:i/>
          <w:iCs/>
          <w:sz w:val="24"/>
          <w:szCs w:val="24"/>
        </w:rPr>
        <w:t xml:space="preserve"> </w:t>
      </w:r>
      <w:sdt>
        <w:sdtPr>
          <w:rPr>
            <w:i/>
            <w:iCs/>
            <w:sz w:val="24"/>
            <w:szCs w:val="24"/>
          </w:rPr>
          <w:id w:val="-689914466"/>
          <w:citation/>
        </w:sdtPr>
        <w:sdtEndPr/>
        <w:sdtContent>
          <w:r w:rsidR="001C7A3E">
            <w:rPr>
              <w:i/>
              <w:iCs/>
              <w:sz w:val="24"/>
              <w:szCs w:val="24"/>
            </w:rPr>
            <w:fldChar w:fldCharType="begin"/>
          </w:r>
          <w:r w:rsidR="001C7A3E">
            <w:rPr>
              <w:i/>
              <w:iCs/>
              <w:sz w:val="24"/>
              <w:szCs w:val="24"/>
            </w:rPr>
            <w:instrText xml:space="preserve">CITATION Kan09 \n  \l 2057 </w:instrText>
          </w:r>
          <w:r w:rsidR="001C7A3E">
            <w:rPr>
              <w:i/>
              <w:iCs/>
              <w:sz w:val="24"/>
              <w:szCs w:val="24"/>
            </w:rPr>
            <w:fldChar w:fldCharType="separate"/>
          </w:r>
          <w:r w:rsidR="001C7A3E" w:rsidRPr="001C7A3E">
            <w:rPr>
              <w:noProof/>
              <w:sz w:val="24"/>
              <w:szCs w:val="24"/>
            </w:rPr>
            <w:t>(2009)</w:t>
          </w:r>
          <w:r w:rsidR="001C7A3E">
            <w:rPr>
              <w:i/>
              <w:iCs/>
              <w:sz w:val="24"/>
              <w:szCs w:val="24"/>
            </w:rPr>
            <w:fldChar w:fldCharType="end"/>
          </w:r>
        </w:sdtContent>
      </w:sdt>
      <w:r>
        <w:rPr>
          <w:i/>
          <w:iCs/>
          <w:sz w:val="24"/>
          <w:szCs w:val="24"/>
        </w:rPr>
        <w:t xml:space="preserve"> </w:t>
      </w:r>
      <w:proofErr w:type="spellStart"/>
      <w:r>
        <w:rPr>
          <w:sz w:val="24"/>
          <w:szCs w:val="24"/>
        </w:rPr>
        <w:t>Kandlbinder</w:t>
      </w:r>
      <w:proofErr w:type="spellEnd"/>
      <w:r>
        <w:rPr>
          <w:sz w:val="24"/>
          <w:szCs w:val="24"/>
        </w:rPr>
        <w:t>, P and Peseta, T identified reflective practise as the most wid</w:t>
      </w:r>
      <w:r w:rsidR="003C71EC">
        <w:rPr>
          <w:sz w:val="24"/>
          <w:szCs w:val="24"/>
        </w:rPr>
        <w:t>e</w:t>
      </w:r>
      <w:r>
        <w:rPr>
          <w:sz w:val="24"/>
          <w:szCs w:val="24"/>
        </w:rPr>
        <w:t>ly accepted and used co</w:t>
      </w:r>
      <w:r w:rsidR="003C71EC">
        <w:rPr>
          <w:sz w:val="24"/>
          <w:szCs w:val="24"/>
        </w:rPr>
        <w:t>ncep</w:t>
      </w:r>
      <w:r>
        <w:rPr>
          <w:sz w:val="24"/>
          <w:szCs w:val="24"/>
        </w:rPr>
        <w:t>t in higher education teaching and learning in a multitude of nations where education is at a very high standard. This list included, Australia, the United Kingdom and New Zealand.</w:t>
      </w:r>
      <w:r w:rsidR="003C71EC">
        <w:rPr>
          <w:sz w:val="24"/>
          <w:szCs w:val="24"/>
        </w:rPr>
        <w:t xml:space="preserve"> In 2013, in the same journal, 21 authors all requested that as teachers we reflect on our own current practise and how we are helping everyone around us. That included students, other teachers, trainee teachers and everyone in between. Now, these 21 authors had set their question in different contexts, methodologies and countries but they all asked us to do the same thing, reflect. </w:t>
      </w:r>
      <w:sdt>
        <w:sdtPr>
          <w:rPr>
            <w:i/>
            <w:iCs/>
            <w:sz w:val="24"/>
            <w:szCs w:val="24"/>
          </w:rPr>
          <w:id w:val="1252241429"/>
          <w:citation/>
        </w:sdtPr>
        <w:sdtEndPr/>
        <w:sdtContent>
          <w:r w:rsidR="001C7A3E">
            <w:rPr>
              <w:i/>
              <w:iCs/>
              <w:sz w:val="24"/>
              <w:szCs w:val="24"/>
            </w:rPr>
            <w:fldChar w:fldCharType="begin"/>
          </w:r>
          <w:r w:rsidR="001C7A3E">
            <w:rPr>
              <w:sz w:val="24"/>
              <w:szCs w:val="24"/>
            </w:rPr>
            <w:instrText xml:space="preserve"> CITATION Sut13 \l 2057 </w:instrText>
          </w:r>
          <w:r w:rsidR="001C7A3E">
            <w:rPr>
              <w:i/>
              <w:iCs/>
              <w:sz w:val="24"/>
              <w:szCs w:val="24"/>
            </w:rPr>
            <w:fldChar w:fldCharType="separate"/>
          </w:r>
          <w:r w:rsidR="001C7A3E" w:rsidRPr="001C7A3E">
            <w:rPr>
              <w:noProof/>
              <w:sz w:val="24"/>
              <w:szCs w:val="24"/>
            </w:rPr>
            <w:t>(Sutherland, 2013)</w:t>
          </w:r>
          <w:r w:rsidR="001C7A3E">
            <w:rPr>
              <w:i/>
              <w:iCs/>
              <w:sz w:val="24"/>
              <w:szCs w:val="24"/>
            </w:rPr>
            <w:fldChar w:fldCharType="end"/>
          </w:r>
        </w:sdtContent>
      </w:sdt>
      <w:r w:rsidR="001C7A3E">
        <w:rPr>
          <w:sz w:val="24"/>
          <w:szCs w:val="24"/>
        </w:rPr>
        <w:t>,</w:t>
      </w:r>
    </w:p>
    <w:p w14:paraId="3D3E503F" w14:textId="1C195218" w:rsidR="003C71EC" w:rsidRDefault="003C71EC" w:rsidP="00237788">
      <w:pPr>
        <w:ind w:firstLine="720"/>
        <w:rPr>
          <w:sz w:val="24"/>
          <w:szCs w:val="24"/>
        </w:rPr>
      </w:pPr>
      <w:r>
        <w:rPr>
          <w:sz w:val="24"/>
          <w:szCs w:val="24"/>
        </w:rPr>
        <w:t xml:space="preserve">My experience across these observation periods has been almost wholly positive and with every video and lesson I watched, this essay seemed more complicated. I now understand more so than before, what a complex web the world of teaching is. </w:t>
      </w:r>
    </w:p>
    <w:p w14:paraId="1A76FEF9" w14:textId="62204908" w:rsidR="005A245F" w:rsidRDefault="003C71EC" w:rsidP="005A245F">
      <w:pPr>
        <w:ind w:firstLine="720"/>
        <w:rPr>
          <w:sz w:val="24"/>
          <w:szCs w:val="24"/>
        </w:rPr>
      </w:pPr>
      <w:r>
        <w:rPr>
          <w:sz w:val="24"/>
          <w:szCs w:val="24"/>
        </w:rPr>
        <w:t xml:space="preserve">Of the teachers I watched, all of them were good in their own way. An R.E teacher that I had the pleasure of observing, controlled and focussed the class better than I have ever seen elsewhere. The way that she delivered questions and dug deeper and deeper to get the most detailed answer possible was astounding and this type of question and answer format will </w:t>
      </w:r>
      <w:proofErr w:type="gramStart"/>
      <w:r>
        <w:rPr>
          <w:sz w:val="24"/>
          <w:szCs w:val="24"/>
        </w:rPr>
        <w:t>definitely be</w:t>
      </w:r>
      <w:proofErr w:type="gramEnd"/>
      <w:r>
        <w:rPr>
          <w:sz w:val="24"/>
          <w:szCs w:val="24"/>
        </w:rPr>
        <w:t xml:space="preserve"> something I take forward into my teaching.  I also found tha</w:t>
      </w:r>
      <w:r w:rsidR="005A245F">
        <w:rPr>
          <w:sz w:val="24"/>
          <w:szCs w:val="24"/>
        </w:rPr>
        <w:t>t shouting really is not an effective way of manging a classroom, much as I expected. Particularly in the case of ALN students, it gives them an opportunity to shout back themselves and that will not solve anything. The way that most teachers handled it while I observed was by calmly asking them to step outside the classroom and then had a quiet talk with them and asked them a series of questions about why they were behaving as they were.</w:t>
      </w:r>
      <w:r w:rsidR="005A245F" w:rsidRPr="005A245F">
        <w:rPr>
          <w:sz w:val="24"/>
          <w:szCs w:val="24"/>
        </w:rPr>
        <w:t xml:space="preserve"> </w:t>
      </w:r>
    </w:p>
    <w:p w14:paraId="0B9EA90D" w14:textId="004E4FBD" w:rsidR="005A245F" w:rsidRDefault="005A245F" w:rsidP="005A245F">
      <w:pPr>
        <w:ind w:firstLine="720"/>
        <w:rPr>
          <w:sz w:val="24"/>
          <w:szCs w:val="24"/>
        </w:rPr>
      </w:pPr>
      <w:r>
        <w:rPr>
          <w:sz w:val="24"/>
          <w:szCs w:val="24"/>
        </w:rPr>
        <w:lastRenderedPageBreak/>
        <w:t xml:space="preserve">Finally, the most impressionable teachers I observed were those who have a sense of humour. This is </w:t>
      </w:r>
      <w:r w:rsidR="001C7A3E">
        <w:rPr>
          <w:sz w:val="24"/>
          <w:szCs w:val="24"/>
        </w:rPr>
        <w:t>not</w:t>
      </w:r>
      <w:r>
        <w:rPr>
          <w:sz w:val="24"/>
          <w:szCs w:val="24"/>
        </w:rPr>
        <w:t xml:space="preserve"> to say that laughing and joking is always appropriate for the classroom, however, it appeared to me that less academic children can often grasp humour more than text. This said, it is important that you find a way to balance out some humour with an ample amount of work that is both useful and constructive. It is also very important that the students understand why they are learning something and what it can help them achieve and not just learning something for the sake of learning.</w:t>
      </w:r>
    </w:p>
    <w:p w14:paraId="6AACA3AD" w14:textId="12473884" w:rsidR="005A245F" w:rsidRDefault="005A245F" w:rsidP="005A245F">
      <w:pPr>
        <w:ind w:firstLine="720"/>
        <w:rPr>
          <w:sz w:val="24"/>
          <w:szCs w:val="24"/>
        </w:rPr>
      </w:pPr>
      <w:r>
        <w:rPr>
          <w:sz w:val="24"/>
          <w:szCs w:val="24"/>
        </w:rPr>
        <w:t xml:space="preserve">Critical reflections like this one are crucial for me on a personal level as well as an academic one. Even outside of school, we reflect every day and I decide whether on that day, I have made the right choices. Sometimes I cannot help that I am doing it. We utilise these reflections and hopefully, make ourselves better people because of it. It inspires learning, researching, exploring into your own complex psyche and helps us grow from the moment we start to think rationally. </w:t>
      </w:r>
    </w:p>
    <w:p w14:paraId="126F28DB" w14:textId="24F6677E" w:rsidR="003C71EC" w:rsidRDefault="001C7A3E" w:rsidP="00237788">
      <w:pPr>
        <w:ind w:firstLine="720"/>
        <w:rPr>
          <w:sz w:val="24"/>
          <w:szCs w:val="24"/>
        </w:rPr>
      </w:pPr>
      <w:r>
        <w:rPr>
          <w:sz w:val="24"/>
          <w:szCs w:val="24"/>
        </w:rPr>
        <w:t>(Conclusion)</w:t>
      </w:r>
    </w:p>
    <w:p w14:paraId="7532746E" w14:textId="2BA997B3" w:rsidR="00D30D9F" w:rsidRDefault="001C7A3E" w:rsidP="00D30D9F">
      <w:pPr>
        <w:ind w:firstLine="720"/>
        <w:rPr>
          <w:sz w:val="24"/>
          <w:szCs w:val="24"/>
        </w:rPr>
      </w:pPr>
      <w:r>
        <w:rPr>
          <w:sz w:val="24"/>
          <w:szCs w:val="24"/>
        </w:rPr>
        <w:t xml:space="preserve">I have enjoyed this experience and I will take a great deal forward into my teaching placement in the year to come. I have surmised through research and observation that group work, be it in pairs or more, has a major positive impact on the minds of young people. It helps with communication, increases confidence, breaks down language barriers and helps students with their ability to peer-assess and self-assess. I have also broadened my knowledge of the wider curriculum in Wales and the UK and will be implementing Donaldson’s four purposes and Curriculum Cymreig and all other cross curricular activities into my teaching. We live in times where the standards for education are changing rapidly and I want to be ahead of the curve for as long as possible. An array of physical and mental challenges will haunt students for the rest of time and as teachers, we are there to be their constant rock when </w:t>
      </w:r>
      <w:r w:rsidR="00BB6603">
        <w:rPr>
          <w:sz w:val="24"/>
          <w:szCs w:val="24"/>
        </w:rPr>
        <w:t>the workload</w:t>
      </w:r>
      <w:r>
        <w:rPr>
          <w:sz w:val="24"/>
          <w:szCs w:val="24"/>
        </w:rPr>
        <w:t xml:space="preserve"> seem</w:t>
      </w:r>
      <w:r w:rsidR="00BB6603">
        <w:rPr>
          <w:sz w:val="24"/>
          <w:szCs w:val="24"/>
        </w:rPr>
        <w:t>s</w:t>
      </w:r>
      <w:r>
        <w:rPr>
          <w:sz w:val="24"/>
          <w:szCs w:val="24"/>
        </w:rPr>
        <w:t xml:space="preserve"> like </w:t>
      </w:r>
      <w:r w:rsidR="00BB6603">
        <w:rPr>
          <w:sz w:val="24"/>
          <w:szCs w:val="24"/>
        </w:rPr>
        <w:t>it</w:t>
      </w:r>
      <w:r>
        <w:rPr>
          <w:sz w:val="24"/>
          <w:szCs w:val="24"/>
        </w:rPr>
        <w:t xml:space="preserve"> will</w:t>
      </w:r>
      <w:r w:rsidR="00BB6603">
        <w:rPr>
          <w:sz w:val="24"/>
          <w:szCs w:val="24"/>
        </w:rPr>
        <w:t xml:space="preserve"> never end. Or when they are having issues at home or their learning difficulties are holding them back from achieving greatness, we need to be there to help and guide them to success.</w:t>
      </w:r>
      <w:r>
        <w:rPr>
          <w:sz w:val="24"/>
          <w:szCs w:val="24"/>
        </w:rPr>
        <w:t xml:space="preserve">  </w:t>
      </w:r>
    </w:p>
    <w:p w14:paraId="5610A9EA" w14:textId="3A572AB5" w:rsidR="00FC55B1" w:rsidRDefault="00D30D9F" w:rsidP="00237788">
      <w:pPr>
        <w:ind w:firstLine="720"/>
        <w:rPr>
          <w:sz w:val="24"/>
          <w:szCs w:val="24"/>
          <w:u w:val="single"/>
        </w:rPr>
      </w:pPr>
      <w:r>
        <w:rPr>
          <w:noProof/>
        </w:rPr>
        <w:drawing>
          <wp:anchor distT="0" distB="0" distL="114300" distR="114300" simplePos="0" relativeHeight="251658240" behindDoc="1" locked="0" layoutInCell="1" allowOverlap="1" wp14:anchorId="5F017170" wp14:editId="3D0E4688">
            <wp:simplePos x="0" y="0"/>
            <wp:positionH relativeFrom="margin">
              <wp:align>left</wp:align>
            </wp:positionH>
            <wp:positionV relativeFrom="paragraph">
              <wp:posOffset>245745</wp:posOffset>
            </wp:positionV>
            <wp:extent cx="3208020" cy="2787650"/>
            <wp:effectExtent l="0" t="0" r="0" b="0"/>
            <wp:wrapTight wrapText="bothSides">
              <wp:wrapPolygon edited="0">
                <wp:start x="0" y="0"/>
                <wp:lineTo x="0" y="21403"/>
                <wp:lineTo x="21420" y="21403"/>
                <wp:lineTo x="21420" y="0"/>
                <wp:lineTo x="0" y="0"/>
              </wp:wrapPolygon>
            </wp:wrapTight>
            <wp:docPr id="1" name="Picture 1" descr="Inclusion: Making group work effective for all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clusion: Making group work effective for all student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208020" cy="2787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55B1" w:rsidRPr="00FC55B1">
        <w:rPr>
          <w:sz w:val="24"/>
          <w:szCs w:val="24"/>
          <w:u w:val="single"/>
        </w:rPr>
        <w:t>Appendix</w:t>
      </w:r>
    </w:p>
    <w:p w14:paraId="7D8951F2" w14:textId="6BDCD606" w:rsidR="00D30D9F" w:rsidRDefault="00D30D9F" w:rsidP="00237788">
      <w:pPr>
        <w:ind w:firstLine="720"/>
        <w:rPr>
          <w:sz w:val="24"/>
          <w:szCs w:val="24"/>
          <w:u w:val="single"/>
        </w:rPr>
      </w:pPr>
    </w:p>
    <w:p w14:paraId="120B88F6" w14:textId="7EAC7E51" w:rsidR="00D30D9F" w:rsidRPr="00D30D9F" w:rsidRDefault="00D30D9F" w:rsidP="00237788">
      <w:pPr>
        <w:ind w:firstLine="720"/>
        <w:rPr>
          <w:sz w:val="24"/>
          <w:szCs w:val="24"/>
        </w:rPr>
      </w:pPr>
      <w:r>
        <w:rPr>
          <w:sz w:val="24"/>
          <w:szCs w:val="24"/>
        </w:rPr>
        <w:t>Appendix 1</w:t>
      </w:r>
    </w:p>
    <w:p w14:paraId="3FE72B37" w14:textId="2DD40882" w:rsidR="00D30D9F" w:rsidRDefault="00D30D9F" w:rsidP="00237788">
      <w:pPr>
        <w:ind w:firstLine="720"/>
        <w:rPr>
          <w:sz w:val="24"/>
          <w:szCs w:val="24"/>
          <w:u w:val="single"/>
        </w:rPr>
      </w:pPr>
    </w:p>
    <w:p w14:paraId="7D96C968" w14:textId="1CB99C8F" w:rsidR="00D30D9F" w:rsidRDefault="00D30D9F" w:rsidP="00237788">
      <w:pPr>
        <w:ind w:firstLine="720"/>
        <w:rPr>
          <w:sz w:val="24"/>
          <w:szCs w:val="24"/>
          <w:u w:val="single"/>
        </w:rPr>
      </w:pPr>
    </w:p>
    <w:p w14:paraId="17B7E481" w14:textId="23E92CB8" w:rsidR="00D30D9F" w:rsidRDefault="00D30D9F" w:rsidP="00237788">
      <w:pPr>
        <w:ind w:firstLine="720"/>
        <w:rPr>
          <w:sz w:val="24"/>
          <w:szCs w:val="24"/>
          <w:u w:val="single"/>
        </w:rPr>
      </w:pPr>
    </w:p>
    <w:p w14:paraId="39D8B6C8" w14:textId="2CB021F3" w:rsidR="00D30D9F" w:rsidRDefault="00D30D9F" w:rsidP="00237788">
      <w:pPr>
        <w:ind w:firstLine="720"/>
        <w:rPr>
          <w:sz w:val="24"/>
          <w:szCs w:val="24"/>
          <w:u w:val="single"/>
        </w:rPr>
      </w:pPr>
    </w:p>
    <w:p w14:paraId="06ACFD57" w14:textId="357FAE19" w:rsidR="00D30D9F" w:rsidRDefault="00D30D9F" w:rsidP="00237788">
      <w:pPr>
        <w:ind w:firstLine="720"/>
        <w:rPr>
          <w:sz w:val="24"/>
          <w:szCs w:val="24"/>
          <w:u w:val="single"/>
        </w:rPr>
      </w:pPr>
    </w:p>
    <w:p w14:paraId="7E46D776" w14:textId="675D5043" w:rsidR="00D30D9F" w:rsidRDefault="00D30D9F" w:rsidP="00237788">
      <w:pPr>
        <w:ind w:firstLine="720"/>
        <w:rPr>
          <w:sz w:val="24"/>
          <w:szCs w:val="24"/>
          <w:u w:val="single"/>
        </w:rPr>
      </w:pPr>
    </w:p>
    <w:p w14:paraId="5BA067B4" w14:textId="33B75D67" w:rsidR="00D30D9F" w:rsidRDefault="00D30D9F" w:rsidP="00237788">
      <w:pPr>
        <w:ind w:firstLine="720"/>
        <w:rPr>
          <w:sz w:val="24"/>
          <w:szCs w:val="24"/>
          <w:u w:val="single"/>
        </w:rPr>
      </w:pPr>
    </w:p>
    <w:p w14:paraId="1C86F94F" w14:textId="4C3C74B8" w:rsidR="00D30D9F" w:rsidRDefault="00441778" w:rsidP="00237788">
      <w:pPr>
        <w:ind w:firstLine="720"/>
        <w:rPr>
          <w:sz w:val="24"/>
          <w:szCs w:val="24"/>
          <w:u w:val="single"/>
        </w:rPr>
      </w:pPr>
      <w:r>
        <w:rPr>
          <w:sz w:val="24"/>
          <w:szCs w:val="24"/>
          <w:u w:val="single"/>
        </w:rPr>
        <w:lastRenderedPageBreak/>
        <w:t>Appendix 2-6</w:t>
      </w:r>
    </w:p>
    <w:p w14:paraId="638EB0EF" w14:textId="2DEA40D3" w:rsidR="00FA1489" w:rsidRDefault="00FA1489" w:rsidP="00237788">
      <w:pPr>
        <w:ind w:firstLine="720"/>
        <w:rPr>
          <w:sz w:val="24"/>
          <w:szCs w:val="24"/>
          <w:u w:val="single"/>
        </w:rPr>
      </w:pPr>
      <w:r>
        <w:rPr>
          <w:noProof/>
          <w:sz w:val="24"/>
          <w:szCs w:val="24"/>
        </w:rPr>
        <w:drawing>
          <wp:anchor distT="0" distB="0" distL="114300" distR="114300" simplePos="0" relativeHeight="251659264" behindDoc="1" locked="0" layoutInCell="1" allowOverlap="1" wp14:anchorId="177B05A3" wp14:editId="772FFDCB">
            <wp:simplePos x="0" y="0"/>
            <wp:positionH relativeFrom="margin">
              <wp:posOffset>589915</wp:posOffset>
            </wp:positionH>
            <wp:positionV relativeFrom="paragraph">
              <wp:posOffset>21590</wp:posOffset>
            </wp:positionV>
            <wp:extent cx="5078095" cy="7924800"/>
            <wp:effectExtent l="0" t="0" r="8255" b="0"/>
            <wp:wrapTight wrapText="bothSides">
              <wp:wrapPolygon edited="0">
                <wp:start x="0" y="0"/>
                <wp:lineTo x="0" y="21548"/>
                <wp:lineTo x="21554" y="21548"/>
                <wp:lineTo x="21554" y="0"/>
                <wp:lineTo x="0" y="0"/>
              </wp:wrapPolygon>
            </wp:wrapTight>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rotWithShape="1">
                    <a:blip r:embed="rId6" cstate="print">
                      <a:extLst>
                        <a:ext uri="{28A0092B-C50C-407E-A947-70E740481C1C}">
                          <a14:useLocalDpi xmlns:a14="http://schemas.microsoft.com/office/drawing/2010/main" val="0"/>
                        </a:ext>
                      </a:extLst>
                    </a:blip>
                    <a:srcRect l="6514" t="7426" r="14248" b="5162"/>
                    <a:stretch/>
                  </pic:blipFill>
                  <pic:spPr bwMode="auto">
                    <a:xfrm>
                      <a:off x="0" y="0"/>
                      <a:ext cx="5078095" cy="792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5E90EF" w14:textId="78EAFB7C" w:rsidR="00FA1489" w:rsidRDefault="00FA1489" w:rsidP="00237788">
      <w:pPr>
        <w:ind w:firstLine="720"/>
        <w:rPr>
          <w:sz w:val="24"/>
          <w:szCs w:val="24"/>
          <w:u w:val="single"/>
        </w:rPr>
      </w:pPr>
    </w:p>
    <w:p w14:paraId="69BEBC01" w14:textId="553F6B39" w:rsidR="00FA1489" w:rsidRDefault="00FA1489" w:rsidP="00237788">
      <w:pPr>
        <w:ind w:firstLine="720"/>
        <w:rPr>
          <w:sz w:val="24"/>
          <w:szCs w:val="24"/>
          <w:u w:val="single"/>
        </w:rPr>
      </w:pPr>
    </w:p>
    <w:p w14:paraId="7D014305" w14:textId="34750470" w:rsidR="00FA1489" w:rsidRDefault="00FA1489" w:rsidP="00237788">
      <w:pPr>
        <w:ind w:firstLine="720"/>
        <w:rPr>
          <w:sz w:val="24"/>
          <w:szCs w:val="24"/>
          <w:u w:val="single"/>
        </w:rPr>
      </w:pPr>
    </w:p>
    <w:p w14:paraId="08380CA4" w14:textId="69499BC9" w:rsidR="00FA1489" w:rsidRDefault="00FA1489" w:rsidP="00237788">
      <w:pPr>
        <w:ind w:firstLine="720"/>
        <w:rPr>
          <w:sz w:val="24"/>
          <w:szCs w:val="24"/>
          <w:u w:val="single"/>
        </w:rPr>
      </w:pPr>
    </w:p>
    <w:p w14:paraId="47EA4E4D" w14:textId="02CAC97A" w:rsidR="00FA1489" w:rsidRDefault="00FA1489" w:rsidP="00237788">
      <w:pPr>
        <w:ind w:firstLine="720"/>
        <w:rPr>
          <w:sz w:val="24"/>
          <w:szCs w:val="24"/>
          <w:u w:val="single"/>
        </w:rPr>
      </w:pPr>
    </w:p>
    <w:p w14:paraId="389FF735" w14:textId="6BDB7456" w:rsidR="00FA1489" w:rsidRDefault="00FA1489" w:rsidP="00237788">
      <w:pPr>
        <w:ind w:firstLine="720"/>
        <w:rPr>
          <w:sz w:val="24"/>
          <w:szCs w:val="24"/>
          <w:u w:val="single"/>
        </w:rPr>
      </w:pPr>
    </w:p>
    <w:p w14:paraId="5D0AEE0B" w14:textId="075AFDEE" w:rsidR="00FA1489" w:rsidRDefault="00FA1489" w:rsidP="00237788">
      <w:pPr>
        <w:ind w:firstLine="720"/>
        <w:rPr>
          <w:sz w:val="24"/>
          <w:szCs w:val="24"/>
          <w:u w:val="single"/>
        </w:rPr>
      </w:pPr>
    </w:p>
    <w:p w14:paraId="48CC5672" w14:textId="621D3C16" w:rsidR="00FA1489" w:rsidRDefault="00FA1489" w:rsidP="00237788">
      <w:pPr>
        <w:ind w:firstLine="720"/>
        <w:rPr>
          <w:sz w:val="24"/>
          <w:szCs w:val="24"/>
          <w:u w:val="single"/>
        </w:rPr>
      </w:pPr>
    </w:p>
    <w:p w14:paraId="16970EAE" w14:textId="3C1AF843" w:rsidR="00FA1489" w:rsidRDefault="00FA1489" w:rsidP="00237788">
      <w:pPr>
        <w:ind w:firstLine="720"/>
        <w:rPr>
          <w:sz w:val="24"/>
          <w:szCs w:val="24"/>
          <w:u w:val="single"/>
        </w:rPr>
      </w:pPr>
    </w:p>
    <w:p w14:paraId="71B2EE04" w14:textId="7861FAD2" w:rsidR="00FA1489" w:rsidRDefault="00FA1489" w:rsidP="00237788">
      <w:pPr>
        <w:ind w:firstLine="720"/>
        <w:rPr>
          <w:sz w:val="24"/>
          <w:szCs w:val="24"/>
          <w:u w:val="single"/>
        </w:rPr>
      </w:pPr>
    </w:p>
    <w:p w14:paraId="61E055BB" w14:textId="7645C21E" w:rsidR="00FA1489" w:rsidRDefault="00FA1489" w:rsidP="00237788">
      <w:pPr>
        <w:ind w:firstLine="720"/>
        <w:rPr>
          <w:sz w:val="24"/>
          <w:szCs w:val="24"/>
          <w:u w:val="single"/>
        </w:rPr>
      </w:pPr>
    </w:p>
    <w:p w14:paraId="6D34FB45" w14:textId="2498885E" w:rsidR="00FA1489" w:rsidRDefault="00FA1489" w:rsidP="00237788">
      <w:pPr>
        <w:ind w:firstLine="720"/>
        <w:rPr>
          <w:sz w:val="24"/>
          <w:szCs w:val="24"/>
          <w:u w:val="single"/>
        </w:rPr>
      </w:pPr>
    </w:p>
    <w:p w14:paraId="0AB45332" w14:textId="42E85EDC" w:rsidR="00FA1489" w:rsidRDefault="00FA1489" w:rsidP="00237788">
      <w:pPr>
        <w:ind w:firstLine="720"/>
        <w:rPr>
          <w:sz w:val="24"/>
          <w:szCs w:val="24"/>
          <w:u w:val="single"/>
        </w:rPr>
      </w:pPr>
    </w:p>
    <w:p w14:paraId="678BF284" w14:textId="7EE38E90" w:rsidR="00FA1489" w:rsidRDefault="00FA1489" w:rsidP="00237788">
      <w:pPr>
        <w:ind w:firstLine="720"/>
        <w:rPr>
          <w:sz w:val="24"/>
          <w:szCs w:val="24"/>
          <w:u w:val="single"/>
        </w:rPr>
      </w:pPr>
    </w:p>
    <w:p w14:paraId="7AE117A1" w14:textId="28547C4B" w:rsidR="00FA1489" w:rsidRDefault="00FA1489" w:rsidP="00237788">
      <w:pPr>
        <w:ind w:firstLine="720"/>
        <w:rPr>
          <w:sz w:val="24"/>
          <w:szCs w:val="24"/>
          <w:u w:val="single"/>
        </w:rPr>
      </w:pPr>
    </w:p>
    <w:p w14:paraId="4C310603" w14:textId="0FC086D9" w:rsidR="00FA1489" w:rsidRDefault="00FA1489" w:rsidP="00237788">
      <w:pPr>
        <w:ind w:firstLine="720"/>
        <w:rPr>
          <w:sz w:val="24"/>
          <w:szCs w:val="24"/>
          <w:u w:val="single"/>
        </w:rPr>
      </w:pPr>
    </w:p>
    <w:p w14:paraId="6801D991" w14:textId="2A048C5C" w:rsidR="00FA1489" w:rsidRDefault="00FA1489" w:rsidP="00237788">
      <w:pPr>
        <w:ind w:firstLine="720"/>
        <w:rPr>
          <w:sz w:val="24"/>
          <w:szCs w:val="24"/>
          <w:u w:val="single"/>
        </w:rPr>
      </w:pPr>
    </w:p>
    <w:p w14:paraId="0B89627E" w14:textId="309430AD" w:rsidR="00FA1489" w:rsidRDefault="00FA1489" w:rsidP="00237788">
      <w:pPr>
        <w:ind w:firstLine="720"/>
        <w:rPr>
          <w:sz w:val="24"/>
          <w:szCs w:val="24"/>
          <w:u w:val="single"/>
        </w:rPr>
      </w:pPr>
    </w:p>
    <w:p w14:paraId="401C1977" w14:textId="1109C20D" w:rsidR="00FA1489" w:rsidRDefault="00FA1489" w:rsidP="00237788">
      <w:pPr>
        <w:ind w:firstLine="720"/>
        <w:rPr>
          <w:sz w:val="24"/>
          <w:szCs w:val="24"/>
          <w:u w:val="single"/>
        </w:rPr>
      </w:pPr>
    </w:p>
    <w:p w14:paraId="3E661BB4" w14:textId="77777777" w:rsidR="00FA1489" w:rsidRDefault="00FA1489" w:rsidP="00237788">
      <w:pPr>
        <w:ind w:firstLine="720"/>
        <w:rPr>
          <w:sz w:val="24"/>
          <w:szCs w:val="24"/>
          <w:u w:val="single"/>
        </w:rPr>
      </w:pPr>
    </w:p>
    <w:p w14:paraId="61FC8E1C" w14:textId="60801D20" w:rsidR="00D30D9F" w:rsidRPr="00FA1489" w:rsidRDefault="00D30D9F" w:rsidP="00FA1489">
      <w:pPr>
        <w:rPr>
          <w:sz w:val="24"/>
          <w:szCs w:val="24"/>
        </w:rPr>
      </w:pPr>
    </w:p>
    <w:p w14:paraId="4E3C3DDB" w14:textId="77777777" w:rsidR="00D30D9F" w:rsidRDefault="00D30D9F" w:rsidP="00237788">
      <w:pPr>
        <w:ind w:firstLine="720"/>
        <w:rPr>
          <w:sz w:val="24"/>
          <w:szCs w:val="24"/>
          <w:u w:val="single"/>
        </w:rPr>
      </w:pPr>
    </w:p>
    <w:p w14:paraId="4EBD269A" w14:textId="77777777" w:rsidR="00FA1489" w:rsidRDefault="00FA1489" w:rsidP="00237788">
      <w:pPr>
        <w:ind w:firstLine="720"/>
        <w:rPr>
          <w:sz w:val="24"/>
          <w:szCs w:val="24"/>
          <w:u w:val="single"/>
        </w:rPr>
      </w:pPr>
    </w:p>
    <w:p w14:paraId="1F838DD9" w14:textId="77777777" w:rsidR="00FA1489" w:rsidRDefault="00FA1489" w:rsidP="00237788">
      <w:pPr>
        <w:ind w:firstLine="720"/>
        <w:rPr>
          <w:sz w:val="24"/>
          <w:szCs w:val="24"/>
          <w:u w:val="single"/>
        </w:rPr>
      </w:pPr>
    </w:p>
    <w:p w14:paraId="422A2A82" w14:textId="77777777" w:rsidR="00FA1489" w:rsidRDefault="00FA1489" w:rsidP="00237788">
      <w:pPr>
        <w:ind w:firstLine="720"/>
        <w:rPr>
          <w:sz w:val="24"/>
          <w:szCs w:val="24"/>
          <w:u w:val="single"/>
        </w:rPr>
      </w:pPr>
    </w:p>
    <w:p w14:paraId="2C557B2D" w14:textId="77777777" w:rsidR="00FA1489" w:rsidRDefault="00FA1489" w:rsidP="00237788">
      <w:pPr>
        <w:ind w:firstLine="720"/>
        <w:rPr>
          <w:sz w:val="24"/>
          <w:szCs w:val="24"/>
          <w:u w:val="single"/>
        </w:rPr>
      </w:pPr>
    </w:p>
    <w:p w14:paraId="093BD349" w14:textId="77777777" w:rsidR="00FA1489" w:rsidRDefault="00FA1489" w:rsidP="00237788">
      <w:pPr>
        <w:ind w:firstLine="720"/>
        <w:rPr>
          <w:sz w:val="24"/>
          <w:szCs w:val="24"/>
          <w:u w:val="single"/>
        </w:rPr>
      </w:pPr>
    </w:p>
    <w:p w14:paraId="4E5E976D" w14:textId="21762F13" w:rsidR="00FA1489" w:rsidRDefault="00FA1489" w:rsidP="00237788">
      <w:pPr>
        <w:ind w:firstLine="720"/>
        <w:rPr>
          <w:sz w:val="24"/>
          <w:szCs w:val="24"/>
          <w:u w:val="single"/>
        </w:rPr>
      </w:pPr>
    </w:p>
    <w:p w14:paraId="5231A82F" w14:textId="4DF8AB37" w:rsidR="00FA1489" w:rsidRDefault="00FA1489" w:rsidP="00237788">
      <w:pPr>
        <w:ind w:firstLine="720"/>
        <w:rPr>
          <w:sz w:val="24"/>
          <w:szCs w:val="24"/>
          <w:u w:val="single"/>
        </w:rPr>
      </w:pPr>
      <w:r>
        <w:rPr>
          <w:noProof/>
          <w:sz w:val="24"/>
          <w:szCs w:val="24"/>
        </w:rPr>
        <w:drawing>
          <wp:anchor distT="0" distB="0" distL="114300" distR="114300" simplePos="0" relativeHeight="251660288" behindDoc="1" locked="0" layoutInCell="1" allowOverlap="1" wp14:anchorId="62B3A9FB" wp14:editId="30031FA7">
            <wp:simplePos x="0" y="0"/>
            <wp:positionH relativeFrom="margin">
              <wp:align>left</wp:align>
            </wp:positionH>
            <wp:positionV relativeFrom="paragraph">
              <wp:posOffset>250190</wp:posOffset>
            </wp:positionV>
            <wp:extent cx="5935980" cy="7162800"/>
            <wp:effectExtent l="0" t="0" r="7620" b="0"/>
            <wp:wrapSquare wrapText="bothSides"/>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rotWithShape="1">
                    <a:blip r:embed="rId7" cstate="print">
                      <a:extLst>
                        <a:ext uri="{28A0092B-C50C-407E-A947-70E740481C1C}">
                          <a14:useLocalDpi xmlns:a14="http://schemas.microsoft.com/office/drawing/2010/main" val="0"/>
                        </a:ext>
                      </a:extLst>
                    </a:blip>
                    <a:srcRect l="3365" t="6516" r="4767" b="2267"/>
                    <a:stretch/>
                  </pic:blipFill>
                  <pic:spPr bwMode="auto">
                    <a:xfrm>
                      <a:off x="0" y="0"/>
                      <a:ext cx="5935980" cy="7162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99CF6B" w14:textId="77777777" w:rsidR="00FA1489" w:rsidRDefault="00FA1489" w:rsidP="00237788">
      <w:pPr>
        <w:ind w:firstLine="720"/>
        <w:rPr>
          <w:sz w:val="24"/>
          <w:szCs w:val="24"/>
          <w:u w:val="single"/>
        </w:rPr>
      </w:pPr>
    </w:p>
    <w:p w14:paraId="228BEA49" w14:textId="77777777" w:rsidR="00FA1489" w:rsidRDefault="00FA1489" w:rsidP="00237788">
      <w:pPr>
        <w:ind w:firstLine="720"/>
        <w:rPr>
          <w:sz w:val="24"/>
          <w:szCs w:val="24"/>
          <w:u w:val="single"/>
        </w:rPr>
      </w:pPr>
    </w:p>
    <w:p w14:paraId="6E8B2BC7" w14:textId="6FD5F53C" w:rsidR="00FA1489" w:rsidRPr="00FA1489" w:rsidRDefault="00FA1489" w:rsidP="00FA1489">
      <w:pPr>
        <w:tabs>
          <w:tab w:val="left" w:pos="3108"/>
        </w:tabs>
        <w:rPr>
          <w:sz w:val="24"/>
          <w:szCs w:val="24"/>
        </w:rPr>
      </w:pPr>
    </w:p>
    <w:p w14:paraId="430D123C" w14:textId="77777777" w:rsidR="00FA1489" w:rsidRDefault="00FA1489" w:rsidP="00237788">
      <w:pPr>
        <w:ind w:firstLine="720"/>
        <w:rPr>
          <w:sz w:val="24"/>
          <w:szCs w:val="24"/>
          <w:u w:val="single"/>
        </w:rPr>
      </w:pPr>
    </w:p>
    <w:p w14:paraId="679D1221" w14:textId="77777777" w:rsidR="00FA1489" w:rsidRDefault="00FA1489" w:rsidP="00237788">
      <w:pPr>
        <w:ind w:firstLine="720"/>
        <w:rPr>
          <w:sz w:val="24"/>
          <w:szCs w:val="24"/>
          <w:u w:val="single"/>
        </w:rPr>
      </w:pPr>
    </w:p>
    <w:p w14:paraId="560E98E8" w14:textId="1A77DD26" w:rsidR="00FA1489" w:rsidRDefault="00FA1489" w:rsidP="00237788">
      <w:pPr>
        <w:ind w:firstLine="720"/>
        <w:rPr>
          <w:sz w:val="24"/>
          <w:szCs w:val="24"/>
          <w:u w:val="single"/>
        </w:rPr>
      </w:pPr>
      <w:r>
        <w:rPr>
          <w:noProof/>
          <w:sz w:val="24"/>
          <w:szCs w:val="24"/>
        </w:rPr>
        <w:drawing>
          <wp:anchor distT="0" distB="0" distL="114300" distR="114300" simplePos="0" relativeHeight="251661312" behindDoc="0" locked="0" layoutInCell="1" allowOverlap="1" wp14:anchorId="4AC5DEC8" wp14:editId="3D2E36F0">
            <wp:simplePos x="0" y="0"/>
            <wp:positionH relativeFrom="margin">
              <wp:posOffset>-383540</wp:posOffset>
            </wp:positionH>
            <wp:positionV relativeFrom="paragraph">
              <wp:posOffset>0</wp:posOffset>
            </wp:positionV>
            <wp:extent cx="5731510" cy="8107045"/>
            <wp:effectExtent l="0" t="0" r="2540" b="8255"/>
            <wp:wrapSquare wrapText="bothSides"/>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14:sizeRelH relativeFrom="page">
              <wp14:pctWidth>0</wp14:pctWidth>
            </wp14:sizeRelH>
            <wp14:sizeRelV relativeFrom="page">
              <wp14:pctHeight>0</wp14:pctHeight>
            </wp14:sizeRelV>
          </wp:anchor>
        </w:drawing>
      </w:r>
    </w:p>
    <w:p w14:paraId="4EEC1900" w14:textId="5B180F81" w:rsidR="00FA1489" w:rsidRDefault="00FA1489" w:rsidP="00237788">
      <w:pPr>
        <w:ind w:firstLine="720"/>
        <w:rPr>
          <w:sz w:val="24"/>
          <w:szCs w:val="24"/>
          <w:u w:val="single"/>
        </w:rPr>
      </w:pPr>
    </w:p>
    <w:p w14:paraId="7320B04E" w14:textId="036BBF12" w:rsidR="00FA1489" w:rsidRDefault="00FA1489" w:rsidP="00237788">
      <w:pPr>
        <w:ind w:firstLine="720"/>
        <w:rPr>
          <w:sz w:val="24"/>
          <w:szCs w:val="24"/>
          <w:u w:val="single"/>
        </w:rPr>
      </w:pPr>
      <w:r>
        <w:rPr>
          <w:noProof/>
          <w:sz w:val="24"/>
          <w:szCs w:val="24"/>
        </w:rPr>
        <w:drawing>
          <wp:anchor distT="0" distB="0" distL="114300" distR="114300" simplePos="0" relativeHeight="251662336" behindDoc="0" locked="0" layoutInCell="1" allowOverlap="1" wp14:anchorId="732A84EE" wp14:editId="578DB4DC">
            <wp:simplePos x="0" y="0"/>
            <wp:positionH relativeFrom="margin">
              <wp:align>center</wp:align>
            </wp:positionH>
            <wp:positionV relativeFrom="paragraph">
              <wp:posOffset>381000</wp:posOffset>
            </wp:positionV>
            <wp:extent cx="5731510" cy="8107045"/>
            <wp:effectExtent l="0" t="0" r="2540" b="8255"/>
            <wp:wrapSquare wrapText="bothSides"/>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14:sizeRelH relativeFrom="page">
              <wp14:pctWidth>0</wp14:pctWidth>
            </wp14:sizeRelH>
            <wp14:sizeRelV relativeFrom="page">
              <wp14:pctHeight>0</wp14:pctHeight>
            </wp14:sizeRelV>
          </wp:anchor>
        </w:drawing>
      </w:r>
    </w:p>
    <w:p w14:paraId="70B483D4" w14:textId="77777777" w:rsidR="00FA1489" w:rsidRDefault="00FA1489" w:rsidP="00237788">
      <w:pPr>
        <w:ind w:firstLine="720"/>
        <w:rPr>
          <w:sz w:val="24"/>
          <w:szCs w:val="24"/>
          <w:u w:val="single"/>
        </w:rPr>
      </w:pPr>
    </w:p>
    <w:p w14:paraId="1F397FD2" w14:textId="347C91CF" w:rsidR="00FA1489" w:rsidRDefault="00FA1489" w:rsidP="00237788">
      <w:pPr>
        <w:ind w:firstLine="720"/>
        <w:rPr>
          <w:sz w:val="24"/>
          <w:szCs w:val="24"/>
          <w:u w:val="single"/>
        </w:rPr>
      </w:pPr>
      <w:r>
        <w:rPr>
          <w:noProof/>
          <w:sz w:val="24"/>
          <w:szCs w:val="24"/>
          <w:u w:val="single"/>
        </w:rPr>
        <w:drawing>
          <wp:inline distT="0" distB="0" distL="0" distR="0" wp14:anchorId="29F290C3" wp14:editId="2C3A5B3C">
            <wp:extent cx="5731510" cy="8107045"/>
            <wp:effectExtent l="0" t="0" r="2540" b="8255"/>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416E1C24" w14:textId="419EFE5C" w:rsidR="00FA1489" w:rsidRDefault="00FA1489" w:rsidP="00237788">
      <w:pPr>
        <w:ind w:firstLine="720"/>
        <w:rPr>
          <w:sz w:val="24"/>
          <w:szCs w:val="24"/>
          <w:u w:val="single"/>
        </w:rPr>
      </w:pPr>
    </w:p>
    <w:p w14:paraId="3491C621" w14:textId="77777777" w:rsidR="00FA1489" w:rsidRDefault="00FA1489" w:rsidP="00237788">
      <w:pPr>
        <w:ind w:firstLine="720"/>
        <w:rPr>
          <w:sz w:val="24"/>
          <w:szCs w:val="24"/>
          <w:u w:val="single"/>
        </w:rPr>
      </w:pPr>
    </w:p>
    <w:p w14:paraId="33DDD1E5" w14:textId="6152ABAA" w:rsidR="00FA1489" w:rsidRDefault="00FA1489" w:rsidP="00237788">
      <w:pPr>
        <w:ind w:firstLine="720"/>
        <w:rPr>
          <w:sz w:val="24"/>
          <w:szCs w:val="24"/>
          <w:u w:val="single"/>
        </w:rPr>
      </w:pPr>
      <w:r>
        <w:rPr>
          <w:noProof/>
          <w:sz w:val="24"/>
          <w:szCs w:val="24"/>
          <w:u w:val="single"/>
        </w:rPr>
        <w:drawing>
          <wp:inline distT="0" distB="0" distL="0" distR="0" wp14:anchorId="3B9087E1" wp14:editId="5A8CB50D">
            <wp:extent cx="5731510" cy="8107045"/>
            <wp:effectExtent l="0" t="0" r="2540" b="8255"/>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67DD7302" w14:textId="77777777" w:rsidR="00FA1489" w:rsidRDefault="00FA1489" w:rsidP="00237788">
      <w:pPr>
        <w:ind w:firstLine="720"/>
        <w:rPr>
          <w:sz w:val="24"/>
          <w:szCs w:val="24"/>
          <w:u w:val="single"/>
        </w:rPr>
      </w:pPr>
    </w:p>
    <w:p w14:paraId="40196B7D" w14:textId="341563E1" w:rsidR="00FA1489" w:rsidRDefault="00FA1489" w:rsidP="00237788">
      <w:pPr>
        <w:ind w:firstLine="720"/>
        <w:rPr>
          <w:sz w:val="24"/>
          <w:szCs w:val="24"/>
          <w:u w:val="single"/>
        </w:rPr>
      </w:pPr>
      <w:r>
        <w:rPr>
          <w:noProof/>
          <w:sz w:val="24"/>
          <w:szCs w:val="24"/>
          <w:u w:val="single"/>
        </w:rPr>
        <w:lastRenderedPageBreak/>
        <mc:AlternateContent>
          <mc:Choice Requires="wps">
            <w:drawing>
              <wp:anchor distT="0" distB="0" distL="114300" distR="114300" simplePos="0" relativeHeight="251663360" behindDoc="0" locked="0" layoutInCell="1" allowOverlap="1" wp14:anchorId="33A572B3" wp14:editId="39BC1500">
                <wp:simplePos x="0" y="0"/>
                <wp:positionH relativeFrom="margin">
                  <wp:align>center</wp:align>
                </wp:positionH>
                <wp:positionV relativeFrom="paragraph">
                  <wp:posOffset>1638301</wp:posOffset>
                </wp:positionV>
                <wp:extent cx="4933950" cy="381000"/>
                <wp:effectExtent l="0" t="1219200" r="0" b="1219200"/>
                <wp:wrapNone/>
                <wp:docPr id="9" name="Rectangle 9"/>
                <wp:cNvGraphicFramePr/>
                <a:graphic xmlns:a="http://schemas.openxmlformats.org/drawingml/2006/main">
                  <a:graphicData uri="http://schemas.microsoft.com/office/word/2010/wordprocessingShape">
                    <wps:wsp>
                      <wps:cNvSpPr/>
                      <wps:spPr>
                        <a:xfrm rot="19803832">
                          <a:off x="0" y="0"/>
                          <a:ext cx="4933950" cy="3810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99DE5C" id="Rectangle 9" o:spid="_x0000_s1026" style="position:absolute;margin-left:0;margin-top:129pt;width:388.5pt;height:30pt;rotation:-1961894fd;z-index:2516633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" fillcolor="black [3213]" strokecolor="#1f3763 [1604]" strokeweight="1pt">
                <w10:wrap anchorx="margin"/>
              </v:rect>
            </w:pict>
          </mc:Fallback>
        </mc:AlternateContent>
      </w:r>
      <w:r>
        <w:rPr>
          <w:noProof/>
          <w:sz w:val="24"/>
          <w:szCs w:val="24"/>
          <w:u w:val="single"/>
        </w:rPr>
        <w:drawing>
          <wp:inline distT="0" distB="0" distL="0" distR="0" wp14:anchorId="3FDAF866" wp14:editId="31E6BC46">
            <wp:extent cx="5731510" cy="8107045"/>
            <wp:effectExtent l="0" t="0" r="2540" b="8255"/>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6BFF8B7D" w14:textId="6E035BC5" w:rsidR="00FA1489" w:rsidRDefault="00FA1489" w:rsidP="00237788">
      <w:pPr>
        <w:ind w:firstLine="720"/>
        <w:rPr>
          <w:sz w:val="24"/>
          <w:szCs w:val="24"/>
          <w:u w:val="single"/>
        </w:rPr>
      </w:pPr>
    </w:p>
    <w:p w14:paraId="11E49226" w14:textId="08C77FC5" w:rsidR="00FA1489" w:rsidRDefault="00FA1489" w:rsidP="00237788">
      <w:pPr>
        <w:ind w:firstLine="720"/>
        <w:rPr>
          <w:sz w:val="24"/>
          <w:szCs w:val="24"/>
          <w:u w:val="single"/>
        </w:rPr>
      </w:pPr>
    </w:p>
    <w:p w14:paraId="687D5260" w14:textId="2ACE145A" w:rsidR="00FA1489" w:rsidRDefault="00FA1489" w:rsidP="00237788">
      <w:pPr>
        <w:ind w:firstLine="720"/>
        <w:rPr>
          <w:sz w:val="24"/>
          <w:szCs w:val="24"/>
          <w:u w:val="single"/>
        </w:rPr>
      </w:pPr>
    </w:p>
    <w:p w14:paraId="61AB335A" w14:textId="744672C8" w:rsidR="00FA1489" w:rsidRDefault="007D2FBF" w:rsidP="007D2FBF">
      <w:pPr>
        <w:ind w:firstLine="720"/>
        <w:rPr>
          <w:sz w:val="24"/>
          <w:szCs w:val="24"/>
          <w:u w:val="single"/>
        </w:rPr>
      </w:pPr>
      <w:r>
        <w:rPr>
          <w:noProof/>
          <w:sz w:val="24"/>
          <w:szCs w:val="24"/>
          <w:u w:val="single"/>
        </w:rPr>
        <w:drawing>
          <wp:inline distT="0" distB="0" distL="0" distR="0" wp14:anchorId="3DCF9691" wp14:editId="17CED177">
            <wp:extent cx="5731510" cy="8107045"/>
            <wp:effectExtent l="0" t="0" r="2540" b="8255"/>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42A64E01" w14:textId="2839B554" w:rsidR="00FA1489" w:rsidRDefault="00FA1489" w:rsidP="00237788">
      <w:pPr>
        <w:ind w:firstLine="720"/>
        <w:rPr>
          <w:sz w:val="24"/>
          <w:szCs w:val="24"/>
          <w:u w:val="single"/>
        </w:rPr>
      </w:pPr>
    </w:p>
    <w:p w14:paraId="29D7677F" w14:textId="2C94CD90" w:rsidR="00FA1489" w:rsidRDefault="00FA1489" w:rsidP="00237788">
      <w:pPr>
        <w:ind w:firstLine="720"/>
        <w:rPr>
          <w:sz w:val="24"/>
          <w:szCs w:val="24"/>
          <w:u w:val="single"/>
        </w:rPr>
      </w:pPr>
    </w:p>
    <w:p w14:paraId="2685A842" w14:textId="2131EB2A" w:rsidR="00D30D9F" w:rsidRDefault="00D30D9F" w:rsidP="00237788">
      <w:pPr>
        <w:ind w:firstLine="720"/>
        <w:rPr>
          <w:sz w:val="24"/>
          <w:szCs w:val="24"/>
          <w:u w:val="single"/>
        </w:rPr>
      </w:pPr>
    </w:p>
    <w:sdt>
      <w:sdtPr>
        <w:rPr>
          <w:rFonts w:asciiTheme="minorHAnsi" w:eastAsiaTheme="minorHAnsi" w:hAnsiTheme="minorHAnsi" w:cstheme="minorBidi"/>
          <w:color w:val="auto"/>
          <w:sz w:val="22"/>
          <w:szCs w:val="22"/>
          <w:lang w:val="en-GB"/>
        </w:rPr>
        <w:id w:val="-971825775"/>
        <w:docPartObj>
          <w:docPartGallery w:val="Bibliographies"/>
          <w:docPartUnique/>
        </w:docPartObj>
      </w:sdtPr>
      <w:sdtEndPr/>
      <w:sdtContent>
        <w:p w14:paraId="69783FBF" w14:textId="34181BA8" w:rsidR="00716105" w:rsidRPr="00FA1489" w:rsidRDefault="00716105">
          <w:pPr>
            <w:pStyle w:val="Heading1"/>
            <w:rPr>
              <w:rFonts w:asciiTheme="minorHAnsi" w:eastAsiaTheme="minorHAnsi" w:hAnsiTheme="minorHAnsi" w:cstheme="minorBidi"/>
              <w:color w:val="auto"/>
              <w:sz w:val="22"/>
              <w:szCs w:val="22"/>
              <w:lang w:val="en-GB"/>
            </w:rPr>
          </w:pPr>
          <w:r>
            <w:t>References</w:t>
          </w:r>
        </w:p>
        <w:sdt>
          <w:sdtPr>
            <w:id w:val="-573587230"/>
            <w:bibliography/>
          </w:sdtPr>
          <w:sdtEndPr/>
          <w:sdtContent>
            <w:p w14:paraId="517F6020" w14:textId="26AD6B4C" w:rsidR="00716105" w:rsidRDefault="00716105" w:rsidP="00716105">
              <w:pPr>
                <w:pStyle w:val="Bibliography"/>
                <w:rPr>
                  <w:noProof/>
                  <w:sz w:val="24"/>
                  <w:szCs w:val="24"/>
                  <w:lang w:val="en-US"/>
                </w:rPr>
              </w:pPr>
              <w:r>
                <w:fldChar w:fldCharType="begin"/>
              </w:r>
              <w:r>
                <w:instrText xml:space="preserve"> BIBLIOGRAPHY </w:instrText>
              </w:r>
              <w:r>
                <w:fldChar w:fldCharType="separate"/>
              </w:r>
              <w:r>
                <w:rPr>
                  <w:noProof/>
                  <w:lang w:val="en-US"/>
                </w:rPr>
                <w:t xml:space="preserve">Baumeister, R. F. &amp; Leary, M. R., 1995. The Need to Belong: Desire for Interpersonal Attachments as a Fundemental Human Motivation. </w:t>
              </w:r>
              <w:r>
                <w:rPr>
                  <w:i/>
                  <w:iCs/>
                  <w:noProof/>
                  <w:lang w:val="en-US"/>
                </w:rPr>
                <w:t xml:space="preserve">Psychological Bulletin, </w:t>
              </w:r>
              <w:r>
                <w:rPr>
                  <w:noProof/>
                  <w:lang w:val="en-US"/>
                </w:rPr>
                <w:t>Volume 117, pp. 497-529.</w:t>
              </w:r>
            </w:p>
            <w:p w14:paraId="1E97882A" w14:textId="1C88C5F9" w:rsidR="00716105" w:rsidRDefault="00716105" w:rsidP="00716105">
              <w:pPr>
                <w:pStyle w:val="Bibliography"/>
                <w:rPr>
                  <w:noProof/>
                  <w:lang w:val="en-US"/>
                </w:rPr>
              </w:pPr>
              <w:r>
                <w:rPr>
                  <w:noProof/>
                  <w:lang w:val="en-US"/>
                </w:rPr>
                <w:t xml:space="preserve">Blodgett, N., N/A. </w:t>
              </w:r>
              <w:r>
                <w:rPr>
                  <w:i/>
                  <w:iCs/>
                  <w:noProof/>
                  <w:lang w:val="en-US"/>
                </w:rPr>
                <w:t xml:space="preserve">Positive Reinforcement. </w:t>
              </w:r>
              <w:r>
                <w:rPr>
                  <w:noProof/>
                  <w:lang w:val="en-US"/>
                </w:rPr>
                <w:t xml:space="preserve">[Online] </w:t>
              </w:r>
              <w:r>
                <w:rPr>
                  <w:noProof/>
                  <w:lang w:val="en-US"/>
                </w:rPr>
                <w:br/>
                <w:t xml:space="preserve">Available at: </w:t>
              </w:r>
              <w:r>
                <w:rPr>
                  <w:noProof/>
                  <w:u w:val="single"/>
                  <w:lang w:val="en-US"/>
                </w:rPr>
                <w:t>https://www.academia.edu/9338639/Positive_Reinforcement</w:t>
              </w:r>
              <w:r>
                <w:rPr>
                  <w:noProof/>
                  <w:lang w:val="en-US"/>
                </w:rPr>
                <w:br/>
                <w:t>[Accessed 20 October 2020].</w:t>
              </w:r>
            </w:p>
            <w:p w14:paraId="364F733F" w14:textId="29E33667" w:rsidR="00716105" w:rsidRDefault="00716105" w:rsidP="00716105">
              <w:pPr>
                <w:pStyle w:val="Bibliography"/>
                <w:rPr>
                  <w:noProof/>
                  <w:lang w:val="en-US"/>
                </w:rPr>
              </w:pPr>
              <w:r>
                <w:rPr>
                  <w:noProof/>
                  <w:lang w:val="en-US"/>
                </w:rPr>
                <w:t xml:space="preserve">Cohen, L., Manion, L. &amp; Morrison, K., 2011. Validity and reliabilty in observations. In: </w:t>
              </w:r>
              <w:r>
                <w:rPr>
                  <w:i/>
                  <w:iCs/>
                  <w:noProof/>
                  <w:lang w:val="en-US"/>
                </w:rPr>
                <w:t xml:space="preserve">Research Methods in Education. </w:t>
              </w:r>
              <w:r>
                <w:rPr>
                  <w:noProof/>
                  <w:lang w:val="en-US"/>
                </w:rPr>
                <w:t>Abingdon: Routledge, pp. 209-210.</w:t>
              </w:r>
            </w:p>
            <w:p w14:paraId="21051660" w14:textId="77777777" w:rsidR="00716105" w:rsidRDefault="00716105" w:rsidP="00716105">
              <w:pPr>
                <w:pStyle w:val="Bibliography"/>
                <w:rPr>
                  <w:noProof/>
                  <w:lang w:val="en-US"/>
                </w:rPr>
              </w:pPr>
              <w:r>
                <w:rPr>
                  <w:noProof/>
                  <w:lang w:val="en-US"/>
                </w:rPr>
                <w:t xml:space="preserve">Denzin, N. K., 1989. </w:t>
              </w:r>
              <w:r>
                <w:rPr>
                  <w:i/>
                  <w:iCs/>
                  <w:noProof/>
                  <w:lang w:val="en-US"/>
                </w:rPr>
                <w:t xml:space="preserve">The Research Act: A Theoretical Introduction to Sociological Methods. </w:t>
              </w:r>
              <w:r>
                <w:rPr>
                  <w:noProof/>
                  <w:lang w:val="en-US"/>
                </w:rPr>
                <w:t>3rd ed. Englewood Cliffs: s.n.</w:t>
              </w:r>
            </w:p>
            <w:p w14:paraId="5B381639" w14:textId="77777777" w:rsidR="00716105" w:rsidRDefault="00716105" w:rsidP="00716105">
              <w:pPr>
                <w:pStyle w:val="Bibliography"/>
                <w:rPr>
                  <w:noProof/>
                  <w:lang w:val="en-US"/>
                </w:rPr>
              </w:pPr>
              <w:r>
                <w:rPr>
                  <w:noProof/>
                  <w:lang w:val="en-US"/>
                </w:rPr>
                <w:t xml:space="preserve">Edward, W., Schultz, R. M., Glass, J. &amp; Kamholtz, D., 1987. School Climate: Psychological Health and Well-Being in School. </w:t>
              </w:r>
              <w:r>
                <w:rPr>
                  <w:i/>
                  <w:iCs/>
                  <w:noProof/>
                  <w:lang w:val="en-US"/>
                </w:rPr>
                <w:t xml:space="preserve">Journal of School Health, </w:t>
              </w:r>
              <w:r>
                <w:rPr>
                  <w:noProof/>
                  <w:lang w:val="en-US"/>
                </w:rPr>
                <w:t>57(10), pp. 432-436.</w:t>
              </w:r>
            </w:p>
            <w:p w14:paraId="11B96F23" w14:textId="77777777" w:rsidR="00716105" w:rsidRDefault="00716105" w:rsidP="00716105">
              <w:pPr>
                <w:pStyle w:val="Bibliography"/>
                <w:rPr>
                  <w:noProof/>
                  <w:lang w:val="en-US"/>
                </w:rPr>
              </w:pPr>
              <w:r>
                <w:rPr>
                  <w:noProof/>
                  <w:lang w:val="en-US"/>
                </w:rPr>
                <w:t xml:space="preserve">Gardner, W., Gabriel, S. &amp; Lee, A., 1999. </w:t>
              </w:r>
              <w:r>
                <w:rPr>
                  <w:i/>
                  <w:iCs/>
                  <w:noProof/>
                  <w:lang w:val="en-US"/>
                </w:rPr>
                <w:t xml:space="preserve">“I” Value Freedom, but “We” Value Relationships: Self-Construal Priming Mirrors Cultural Differences in Judgment. </w:t>
              </w:r>
              <w:r>
                <w:rPr>
                  <w:noProof/>
                  <w:lang w:val="en-US"/>
                </w:rPr>
                <w:t xml:space="preserve">[Online] </w:t>
              </w:r>
              <w:r>
                <w:rPr>
                  <w:noProof/>
                  <w:lang w:val="en-US"/>
                </w:rPr>
                <w:br/>
                <w:t xml:space="preserve">Available at: </w:t>
              </w:r>
              <w:r>
                <w:rPr>
                  <w:noProof/>
                  <w:u w:val="single"/>
                  <w:lang w:val="en-US"/>
                </w:rPr>
                <w:t>https://journals.sagepub.com/doi/abs/10.1111/1467-9280.00162</w:t>
              </w:r>
              <w:r>
                <w:rPr>
                  <w:noProof/>
                  <w:lang w:val="en-US"/>
                </w:rPr>
                <w:br/>
                <w:t>[Accessed 12 October 2020].</w:t>
              </w:r>
            </w:p>
            <w:p w14:paraId="11E950CF" w14:textId="77777777" w:rsidR="00716105" w:rsidRDefault="00716105" w:rsidP="00716105">
              <w:pPr>
                <w:pStyle w:val="Bibliography"/>
                <w:rPr>
                  <w:noProof/>
                  <w:lang w:val="en-US"/>
                </w:rPr>
              </w:pPr>
              <w:r>
                <w:rPr>
                  <w:noProof/>
                  <w:lang w:val="en-US"/>
                </w:rPr>
                <w:t xml:space="preserve">Giacomin, M. &amp; Jordan, C., 2017. </w:t>
              </w:r>
              <w:r>
                <w:rPr>
                  <w:i/>
                  <w:iCs/>
                  <w:noProof/>
                  <w:lang w:val="en-US"/>
                </w:rPr>
                <w:t xml:space="preserve">Interdependent and Independent Self-Construal. </w:t>
              </w:r>
              <w:r>
                <w:rPr>
                  <w:noProof/>
                  <w:lang w:val="en-US"/>
                </w:rPr>
                <w:t xml:space="preserve">[Online] </w:t>
              </w:r>
              <w:r>
                <w:rPr>
                  <w:noProof/>
                  <w:lang w:val="en-US"/>
                </w:rPr>
                <w:br/>
                <w:t xml:space="preserve">Available at: </w:t>
              </w:r>
              <w:r>
                <w:rPr>
                  <w:noProof/>
                  <w:u w:val="single"/>
                  <w:lang w:val="en-US"/>
                </w:rPr>
                <w:t>https://link.springer.com/referenceworkentry/10.1007%2F978-3-319-28099-8_1136-1#:~:text=Interdependent%20self%2Dconstrual%20is%20the,can%20benefit%20their%20social%20group.</w:t>
              </w:r>
              <w:r>
                <w:rPr>
                  <w:noProof/>
                  <w:lang w:val="en-US"/>
                </w:rPr>
                <w:br/>
                <w:t>[Accessed 13 October 2020].</w:t>
              </w:r>
            </w:p>
            <w:p w14:paraId="3ECDC66D" w14:textId="77777777" w:rsidR="00716105" w:rsidRDefault="00716105" w:rsidP="00716105">
              <w:pPr>
                <w:pStyle w:val="Bibliography"/>
                <w:rPr>
                  <w:noProof/>
                  <w:lang w:val="en-US"/>
                </w:rPr>
              </w:pPr>
              <w:r>
                <w:rPr>
                  <w:noProof/>
                  <w:lang w:val="en-US"/>
                </w:rPr>
                <w:t xml:space="preserve">Hamhan, J. &amp; McCormik, J., 2007. Group work in schools with close friends and acquaintances: Linkingself-processes with group processes. </w:t>
              </w:r>
              <w:r>
                <w:rPr>
                  <w:i/>
                  <w:iCs/>
                  <w:noProof/>
                  <w:lang w:val="en-US"/>
                </w:rPr>
                <w:t xml:space="preserve">Learning and Instruction, </w:t>
              </w:r>
              <w:r>
                <w:rPr>
                  <w:noProof/>
                  <w:lang w:val="en-US"/>
                </w:rPr>
                <w:t>Volume 19, pp. 214-247.</w:t>
              </w:r>
            </w:p>
            <w:p w14:paraId="77422A65" w14:textId="77777777" w:rsidR="00716105" w:rsidRDefault="00716105" w:rsidP="00716105">
              <w:pPr>
                <w:pStyle w:val="Bibliography"/>
                <w:rPr>
                  <w:noProof/>
                  <w:lang w:val="en-US"/>
                </w:rPr>
              </w:pPr>
              <w:r>
                <w:rPr>
                  <w:noProof/>
                  <w:lang w:val="en-US"/>
                </w:rPr>
                <w:t xml:space="preserve">Kahnt, T. et al., 2008. Dorsal Striatal-MidbrainConnectivity in Humans Predicts How Reinforcements Are Used to Guide Decisions. </w:t>
              </w:r>
              <w:r>
                <w:rPr>
                  <w:i/>
                  <w:iCs/>
                  <w:noProof/>
                  <w:lang w:val="en-US"/>
                </w:rPr>
                <w:t xml:space="preserve">Journal ofCognitive Neuroscience, </w:t>
              </w:r>
              <w:r>
                <w:rPr>
                  <w:noProof/>
                  <w:lang w:val="en-US"/>
                </w:rPr>
                <w:t>21(7), pp. 1332-1345.</w:t>
              </w:r>
            </w:p>
            <w:p w14:paraId="40616CFC" w14:textId="77777777" w:rsidR="00716105" w:rsidRDefault="00716105" w:rsidP="00716105">
              <w:pPr>
                <w:pStyle w:val="Bibliography"/>
                <w:rPr>
                  <w:noProof/>
                  <w:lang w:val="en-US"/>
                </w:rPr>
              </w:pPr>
              <w:r>
                <w:rPr>
                  <w:noProof/>
                  <w:lang w:val="en-US"/>
                </w:rPr>
                <w:t xml:space="preserve">Kandlbinder, P. &amp; Peseta, T., 2009. Key concepts in postgraduate certificates in higher education teaching and learning in Australasia and the United Kingdom. </w:t>
              </w:r>
              <w:r>
                <w:rPr>
                  <w:i/>
                  <w:iCs/>
                  <w:noProof/>
                  <w:lang w:val="en-US"/>
                </w:rPr>
                <w:t xml:space="preserve">International Journal for Academic Development, </w:t>
              </w:r>
              <w:r>
                <w:rPr>
                  <w:noProof/>
                  <w:lang w:val="en-US"/>
                </w:rPr>
                <w:t>14(1), pp. 19-31.</w:t>
              </w:r>
            </w:p>
            <w:p w14:paraId="749EE8F8" w14:textId="77777777" w:rsidR="00716105" w:rsidRDefault="00716105" w:rsidP="00716105">
              <w:pPr>
                <w:pStyle w:val="Bibliography"/>
                <w:rPr>
                  <w:noProof/>
                  <w:lang w:val="en-US"/>
                </w:rPr>
              </w:pPr>
              <w:r>
                <w:rPr>
                  <w:noProof/>
                  <w:lang w:val="en-US"/>
                </w:rPr>
                <w:t xml:space="preserve">Kohn, A., 2004. </w:t>
              </w:r>
              <w:r>
                <w:rPr>
                  <w:i/>
                  <w:iCs/>
                  <w:noProof/>
                  <w:lang w:val="en-US"/>
                </w:rPr>
                <w:t xml:space="preserve">What does it mean to be Well-Educated?. </w:t>
              </w:r>
              <w:r>
                <w:rPr>
                  <w:noProof/>
                  <w:lang w:val="en-US"/>
                </w:rPr>
                <w:t>Boston: Beacon Press.</w:t>
              </w:r>
            </w:p>
            <w:p w14:paraId="0F5C61BD" w14:textId="77777777" w:rsidR="00716105" w:rsidRDefault="00716105" w:rsidP="00716105">
              <w:pPr>
                <w:pStyle w:val="Bibliography"/>
                <w:rPr>
                  <w:noProof/>
                  <w:lang w:val="en-US"/>
                </w:rPr>
              </w:pPr>
              <w:r>
                <w:rPr>
                  <w:noProof/>
                  <w:lang w:val="en-US"/>
                </w:rPr>
                <w:t xml:space="preserve">Kohn, A., 2011. </w:t>
              </w:r>
              <w:r>
                <w:rPr>
                  <w:i/>
                  <w:iCs/>
                  <w:noProof/>
                  <w:lang w:val="en-US"/>
                </w:rPr>
                <w:t xml:space="preserve">Feel-bad Education. </w:t>
              </w:r>
              <w:r>
                <w:rPr>
                  <w:noProof/>
                  <w:lang w:val="en-US"/>
                </w:rPr>
                <w:t>Boston: Beacon Press.</w:t>
              </w:r>
            </w:p>
            <w:p w14:paraId="661E5C03" w14:textId="77777777" w:rsidR="00716105" w:rsidRDefault="00716105" w:rsidP="00716105">
              <w:pPr>
                <w:pStyle w:val="Bibliography"/>
                <w:rPr>
                  <w:noProof/>
                  <w:lang w:val="en-US"/>
                </w:rPr>
              </w:pPr>
              <w:r>
                <w:rPr>
                  <w:noProof/>
                  <w:lang w:val="en-US"/>
                </w:rPr>
                <w:t xml:space="preserve">Lai, E. R., 2011. </w:t>
              </w:r>
              <w:r>
                <w:rPr>
                  <w:i/>
                  <w:iCs/>
                  <w:noProof/>
                  <w:lang w:val="en-US"/>
                </w:rPr>
                <w:t xml:space="preserve">Collaboration: A Literature Review, </w:t>
              </w:r>
              <w:r>
                <w:rPr>
                  <w:noProof/>
                  <w:lang w:val="en-US"/>
                </w:rPr>
                <w:t>s.l.: s.n.</w:t>
              </w:r>
            </w:p>
            <w:p w14:paraId="35BCBC74" w14:textId="77777777" w:rsidR="00716105" w:rsidRDefault="00716105" w:rsidP="00716105">
              <w:pPr>
                <w:pStyle w:val="Bibliography"/>
                <w:rPr>
                  <w:noProof/>
                  <w:lang w:val="en-US"/>
                </w:rPr>
              </w:pPr>
              <w:r>
                <w:rPr>
                  <w:noProof/>
                  <w:lang w:val="en-US"/>
                </w:rPr>
                <w:t xml:space="preserve">Maag, J., 2001. </w:t>
              </w:r>
              <w:r>
                <w:rPr>
                  <w:i/>
                  <w:iCs/>
                  <w:noProof/>
                  <w:lang w:val="en-US"/>
                </w:rPr>
                <w:t xml:space="preserve">Rewarded by Punishment: Reflections on the Disuse of Positive Reinforcement in Schools. </w:t>
              </w:r>
              <w:r>
                <w:rPr>
                  <w:noProof/>
                  <w:lang w:val="en-US"/>
                </w:rPr>
                <w:t xml:space="preserve">[Online] </w:t>
              </w:r>
              <w:r>
                <w:rPr>
                  <w:noProof/>
                  <w:lang w:val="en-US"/>
                </w:rPr>
                <w:br/>
                <w:t xml:space="preserve">Available at: </w:t>
              </w:r>
              <w:r>
                <w:rPr>
                  <w:noProof/>
                  <w:u w:val="single"/>
                  <w:lang w:val="en-US"/>
                </w:rPr>
                <w:t>https://doi.org/10.1177/001440290106700203</w:t>
              </w:r>
              <w:r>
                <w:rPr>
                  <w:noProof/>
                  <w:lang w:val="en-US"/>
                </w:rPr>
                <w:br/>
                <w:t>[Accessed 20 October 2020].</w:t>
              </w:r>
            </w:p>
            <w:p w14:paraId="24966E0E" w14:textId="77777777" w:rsidR="00716105" w:rsidRDefault="00716105" w:rsidP="00716105">
              <w:pPr>
                <w:pStyle w:val="Bibliography"/>
                <w:rPr>
                  <w:noProof/>
                  <w:lang w:val="en-US"/>
                </w:rPr>
              </w:pPr>
              <w:r>
                <w:rPr>
                  <w:noProof/>
                  <w:lang w:val="en-US"/>
                </w:rPr>
                <w:lastRenderedPageBreak/>
                <w:t xml:space="preserve">Mitchell, S. &amp;. R. R. &amp;. B. G. &amp;. S. A. &amp;. L. F., 2004. Friendship and Choosing groupmates: Preferences for teacher-selected versus student-selected groupings in high school science classes.. </w:t>
              </w:r>
              <w:r>
                <w:rPr>
                  <w:i/>
                  <w:iCs/>
                  <w:noProof/>
                  <w:lang w:val="en-US"/>
                </w:rPr>
                <w:t xml:space="preserve">Journal of Instructional Psychology, </w:t>
              </w:r>
              <w:r>
                <w:rPr>
                  <w:noProof/>
                  <w:lang w:val="en-US"/>
                </w:rPr>
                <w:t>Volume 31, pp. 20-32.</w:t>
              </w:r>
            </w:p>
            <w:p w14:paraId="3A08E69A" w14:textId="77777777" w:rsidR="00716105" w:rsidRDefault="00716105" w:rsidP="00716105">
              <w:pPr>
                <w:pStyle w:val="Bibliography"/>
                <w:rPr>
                  <w:noProof/>
                  <w:lang w:val="en-US"/>
                </w:rPr>
              </w:pPr>
              <w:r>
                <w:rPr>
                  <w:noProof/>
                  <w:lang w:val="en-US"/>
                </w:rPr>
                <w:t xml:space="preserve">Stahr, B. C. D. L. K., 2008. Efficacy of a Function-Based Intervention in Decreasing Off- Task Behavior Exhibited by a Student With ADHD. </w:t>
              </w:r>
              <w:r>
                <w:rPr>
                  <w:i/>
                  <w:iCs/>
                  <w:noProof/>
                  <w:lang w:val="en-US"/>
                </w:rPr>
                <w:t xml:space="preserve">Journal of Positive Behavior Interventions, </w:t>
              </w:r>
              <w:r>
                <w:rPr>
                  <w:noProof/>
                  <w:lang w:val="en-US"/>
                </w:rPr>
                <w:t>8(4), pp. 201-211.</w:t>
              </w:r>
            </w:p>
            <w:p w14:paraId="028381C8" w14:textId="77777777" w:rsidR="00716105" w:rsidRDefault="00716105" w:rsidP="00716105">
              <w:pPr>
                <w:pStyle w:val="Bibliography"/>
                <w:rPr>
                  <w:noProof/>
                  <w:lang w:val="en-US"/>
                </w:rPr>
              </w:pPr>
              <w:r>
                <w:rPr>
                  <w:noProof/>
                  <w:lang w:val="en-US"/>
                </w:rPr>
                <w:t xml:space="preserve">Sutherland, K., 2013. The importance of critical reflection in and on academic development. </w:t>
              </w:r>
              <w:r>
                <w:rPr>
                  <w:i/>
                  <w:iCs/>
                  <w:noProof/>
                  <w:lang w:val="en-US"/>
                </w:rPr>
                <w:t xml:space="preserve">International Journal for Academic Development, </w:t>
              </w:r>
              <w:r>
                <w:rPr>
                  <w:noProof/>
                  <w:lang w:val="en-US"/>
                </w:rPr>
                <w:t>18(2), pp. 111-113.</w:t>
              </w:r>
            </w:p>
            <w:p w14:paraId="0A169559" w14:textId="77777777" w:rsidR="00716105" w:rsidRDefault="00716105" w:rsidP="00716105">
              <w:pPr>
                <w:pStyle w:val="Bibliography"/>
                <w:rPr>
                  <w:noProof/>
                  <w:lang w:val="en-US"/>
                </w:rPr>
              </w:pPr>
              <w:r>
                <w:rPr>
                  <w:noProof/>
                  <w:lang w:val="en-US"/>
                </w:rPr>
                <w:t xml:space="preserve">Trapp, G. &amp; Wickens, J. R., 2008. Dopamine transfer deficit: a neurobiological theory of alteredreinforcement mechanisms in ADHD. </w:t>
              </w:r>
              <w:r>
                <w:rPr>
                  <w:i/>
                  <w:iCs/>
                  <w:noProof/>
                  <w:lang w:val="en-US"/>
                </w:rPr>
                <w:t xml:space="preserve">Journal of Child Psychology and Psychiatry, </w:t>
              </w:r>
              <w:r>
                <w:rPr>
                  <w:noProof/>
                  <w:lang w:val="en-US"/>
                </w:rPr>
                <w:t>49(7), pp. 691-704.</w:t>
              </w:r>
            </w:p>
            <w:p w14:paraId="45327C85" w14:textId="5FCFA6A3" w:rsidR="00716105" w:rsidRDefault="00716105" w:rsidP="00716105">
              <w:r>
                <w:rPr>
                  <w:b/>
                  <w:bCs/>
                  <w:noProof/>
                </w:rPr>
                <w:fldChar w:fldCharType="end"/>
              </w:r>
            </w:p>
          </w:sdtContent>
        </w:sdt>
      </w:sdtContent>
    </w:sdt>
    <w:p w14:paraId="310F790F" w14:textId="77777777" w:rsidR="00FC55B1" w:rsidRPr="00FC55B1" w:rsidRDefault="00FC55B1" w:rsidP="00237788">
      <w:pPr>
        <w:ind w:firstLine="720"/>
        <w:rPr>
          <w:sz w:val="24"/>
          <w:szCs w:val="24"/>
          <w:u w:val="single"/>
        </w:rPr>
      </w:pPr>
    </w:p>
    <w:sectPr w:rsidR="00FC55B1" w:rsidRPr="00FC5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83D"/>
    <w:rsid w:val="000130D2"/>
    <w:rsid w:val="0004481A"/>
    <w:rsid w:val="0006083D"/>
    <w:rsid w:val="00084FC1"/>
    <w:rsid w:val="000F4DBB"/>
    <w:rsid w:val="0019125B"/>
    <w:rsid w:val="001C7A3E"/>
    <w:rsid w:val="001E7BCF"/>
    <w:rsid w:val="00237788"/>
    <w:rsid w:val="00270D74"/>
    <w:rsid w:val="002C7461"/>
    <w:rsid w:val="00313A60"/>
    <w:rsid w:val="003555A8"/>
    <w:rsid w:val="00396C10"/>
    <w:rsid w:val="003C71EC"/>
    <w:rsid w:val="00441778"/>
    <w:rsid w:val="0047399D"/>
    <w:rsid w:val="005363BE"/>
    <w:rsid w:val="00576820"/>
    <w:rsid w:val="005A245F"/>
    <w:rsid w:val="005C7BFA"/>
    <w:rsid w:val="00657EC4"/>
    <w:rsid w:val="006A4192"/>
    <w:rsid w:val="00716105"/>
    <w:rsid w:val="0072199A"/>
    <w:rsid w:val="00733702"/>
    <w:rsid w:val="007D2FBF"/>
    <w:rsid w:val="00840BE6"/>
    <w:rsid w:val="008C7AEA"/>
    <w:rsid w:val="00986D11"/>
    <w:rsid w:val="009B719B"/>
    <w:rsid w:val="009C5B05"/>
    <w:rsid w:val="00A32A16"/>
    <w:rsid w:val="00A931DB"/>
    <w:rsid w:val="00AC2F1B"/>
    <w:rsid w:val="00AD3BD2"/>
    <w:rsid w:val="00B24684"/>
    <w:rsid w:val="00B437D5"/>
    <w:rsid w:val="00BB6603"/>
    <w:rsid w:val="00BC7F5F"/>
    <w:rsid w:val="00C75D76"/>
    <w:rsid w:val="00D30D9F"/>
    <w:rsid w:val="00D853D6"/>
    <w:rsid w:val="00E30B00"/>
    <w:rsid w:val="00E53E94"/>
    <w:rsid w:val="00E927DC"/>
    <w:rsid w:val="00EF2CFE"/>
    <w:rsid w:val="00F5727A"/>
    <w:rsid w:val="00F977F8"/>
    <w:rsid w:val="00FA1489"/>
    <w:rsid w:val="00FC5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94F73"/>
  <w15:chartTrackingRefBased/>
  <w15:docId w15:val="{20AD3768-C1F5-47BF-A138-1511A164A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10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10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161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746745">
      <w:bodyDiv w:val="1"/>
      <w:marLeft w:val="0"/>
      <w:marRight w:val="0"/>
      <w:marTop w:val="0"/>
      <w:marBottom w:val="0"/>
      <w:divBdr>
        <w:top w:val="none" w:sz="0" w:space="0" w:color="auto"/>
        <w:left w:val="none" w:sz="0" w:space="0" w:color="auto"/>
        <w:bottom w:val="none" w:sz="0" w:space="0" w:color="auto"/>
        <w:right w:val="none" w:sz="0" w:space="0" w:color="auto"/>
      </w:divBdr>
    </w:div>
    <w:div w:id="253368624">
      <w:bodyDiv w:val="1"/>
      <w:marLeft w:val="0"/>
      <w:marRight w:val="0"/>
      <w:marTop w:val="0"/>
      <w:marBottom w:val="0"/>
      <w:divBdr>
        <w:top w:val="none" w:sz="0" w:space="0" w:color="auto"/>
        <w:left w:val="none" w:sz="0" w:space="0" w:color="auto"/>
        <w:bottom w:val="none" w:sz="0" w:space="0" w:color="auto"/>
        <w:right w:val="none" w:sz="0" w:space="0" w:color="auto"/>
      </w:divBdr>
    </w:div>
    <w:div w:id="266619043">
      <w:bodyDiv w:val="1"/>
      <w:marLeft w:val="0"/>
      <w:marRight w:val="0"/>
      <w:marTop w:val="0"/>
      <w:marBottom w:val="0"/>
      <w:divBdr>
        <w:top w:val="none" w:sz="0" w:space="0" w:color="auto"/>
        <w:left w:val="none" w:sz="0" w:space="0" w:color="auto"/>
        <w:bottom w:val="none" w:sz="0" w:space="0" w:color="auto"/>
        <w:right w:val="none" w:sz="0" w:space="0" w:color="auto"/>
      </w:divBdr>
    </w:div>
    <w:div w:id="344751813">
      <w:bodyDiv w:val="1"/>
      <w:marLeft w:val="0"/>
      <w:marRight w:val="0"/>
      <w:marTop w:val="0"/>
      <w:marBottom w:val="0"/>
      <w:divBdr>
        <w:top w:val="none" w:sz="0" w:space="0" w:color="auto"/>
        <w:left w:val="none" w:sz="0" w:space="0" w:color="auto"/>
        <w:bottom w:val="none" w:sz="0" w:space="0" w:color="auto"/>
        <w:right w:val="none" w:sz="0" w:space="0" w:color="auto"/>
      </w:divBdr>
    </w:div>
    <w:div w:id="408692613">
      <w:bodyDiv w:val="1"/>
      <w:marLeft w:val="0"/>
      <w:marRight w:val="0"/>
      <w:marTop w:val="0"/>
      <w:marBottom w:val="0"/>
      <w:divBdr>
        <w:top w:val="none" w:sz="0" w:space="0" w:color="auto"/>
        <w:left w:val="none" w:sz="0" w:space="0" w:color="auto"/>
        <w:bottom w:val="none" w:sz="0" w:space="0" w:color="auto"/>
        <w:right w:val="none" w:sz="0" w:space="0" w:color="auto"/>
      </w:divBdr>
    </w:div>
    <w:div w:id="449471226">
      <w:bodyDiv w:val="1"/>
      <w:marLeft w:val="0"/>
      <w:marRight w:val="0"/>
      <w:marTop w:val="0"/>
      <w:marBottom w:val="0"/>
      <w:divBdr>
        <w:top w:val="none" w:sz="0" w:space="0" w:color="auto"/>
        <w:left w:val="none" w:sz="0" w:space="0" w:color="auto"/>
        <w:bottom w:val="none" w:sz="0" w:space="0" w:color="auto"/>
        <w:right w:val="none" w:sz="0" w:space="0" w:color="auto"/>
      </w:divBdr>
    </w:div>
    <w:div w:id="481771210">
      <w:bodyDiv w:val="1"/>
      <w:marLeft w:val="0"/>
      <w:marRight w:val="0"/>
      <w:marTop w:val="0"/>
      <w:marBottom w:val="0"/>
      <w:divBdr>
        <w:top w:val="none" w:sz="0" w:space="0" w:color="auto"/>
        <w:left w:val="none" w:sz="0" w:space="0" w:color="auto"/>
        <w:bottom w:val="none" w:sz="0" w:space="0" w:color="auto"/>
        <w:right w:val="none" w:sz="0" w:space="0" w:color="auto"/>
      </w:divBdr>
    </w:div>
    <w:div w:id="645356662">
      <w:bodyDiv w:val="1"/>
      <w:marLeft w:val="0"/>
      <w:marRight w:val="0"/>
      <w:marTop w:val="0"/>
      <w:marBottom w:val="0"/>
      <w:divBdr>
        <w:top w:val="none" w:sz="0" w:space="0" w:color="auto"/>
        <w:left w:val="none" w:sz="0" w:space="0" w:color="auto"/>
        <w:bottom w:val="none" w:sz="0" w:space="0" w:color="auto"/>
        <w:right w:val="none" w:sz="0" w:space="0" w:color="auto"/>
      </w:divBdr>
    </w:div>
    <w:div w:id="650794392">
      <w:bodyDiv w:val="1"/>
      <w:marLeft w:val="0"/>
      <w:marRight w:val="0"/>
      <w:marTop w:val="0"/>
      <w:marBottom w:val="0"/>
      <w:divBdr>
        <w:top w:val="none" w:sz="0" w:space="0" w:color="auto"/>
        <w:left w:val="none" w:sz="0" w:space="0" w:color="auto"/>
        <w:bottom w:val="none" w:sz="0" w:space="0" w:color="auto"/>
        <w:right w:val="none" w:sz="0" w:space="0" w:color="auto"/>
      </w:divBdr>
    </w:div>
    <w:div w:id="732041617">
      <w:bodyDiv w:val="1"/>
      <w:marLeft w:val="0"/>
      <w:marRight w:val="0"/>
      <w:marTop w:val="0"/>
      <w:marBottom w:val="0"/>
      <w:divBdr>
        <w:top w:val="none" w:sz="0" w:space="0" w:color="auto"/>
        <w:left w:val="none" w:sz="0" w:space="0" w:color="auto"/>
        <w:bottom w:val="none" w:sz="0" w:space="0" w:color="auto"/>
        <w:right w:val="none" w:sz="0" w:space="0" w:color="auto"/>
      </w:divBdr>
    </w:div>
    <w:div w:id="826751196">
      <w:bodyDiv w:val="1"/>
      <w:marLeft w:val="0"/>
      <w:marRight w:val="0"/>
      <w:marTop w:val="0"/>
      <w:marBottom w:val="0"/>
      <w:divBdr>
        <w:top w:val="none" w:sz="0" w:space="0" w:color="auto"/>
        <w:left w:val="none" w:sz="0" w:space="0" w:color="auto"/>
        <w:bottom w:val="none" w:sz="0" w:space="0" w:color="auto"/>
        <w:right w:val="none" w:sz="0" w:space="0" w:color="auto"/>
      </w:divBdr>
    </w:div>
    <w:div w:id="964698958">
      <w:bodyDiv w:val="1"/>
      <w:marLeft w:val="0"/>
      <w:marRight w:val="0"/>
      <w:marTop w:val="0"/>
      <w:marBottom w:val="0"/>
      <w:divBdr>
        <w:top w:val="none" w:sz="0" w:space="0" w:color="auto"/>
        <w:left w:val="none" w:sz="0" w:space="0" w:color="auto"/>
        <w:bottom w:val="none" w:sz="0" w:space="0" w:color="auto"/>
        <w:right w:val="none" w:sz="0" w:space="0" w:color="auto"/>
      </w:divBdr>
    </w:div>
    <w:div w:id="1021276744">
      <w:bodyDiv w:val="1"/>
      <w:marLeft w:val="0"/>
      <w:marRight w:val="0"/>
      <w:marTop w:val="0"/>
      <w:marBottom w:val="0"/>
      <w:divBdr>
        <w:top w:val="none" w:sz="0" w:space="0" w:color="auto"/>
        <w:left w:val="none" w:sz="0" w:space="0" w:color="auto"/>
        <w:bottom w:val="none" w:sz="0" w:space="0" w:color="auto"/>
        <w:right w:val="none" w:sz="0" w:space="0" w:color="auto"/>
      </w:divBdr>
    </w:div>
    <w:div w:id="1070351033">
      <w:bodyDiv w:val="1"/>
      <w:marLeft w:val="0"/>
      <w:marRight w:val="0"/>
      <w:marTop w:val="0"/>
      <w:marBottom w:val="0"/>
      <w:divBdr>
        <w:top w:val="none" w:sz="0" w:space="0" w:color="auto"/>
        <w:left w:val="none" w:sz="0" w:space="0" w:color="auto"/>
        <w:bottom w:val="none" w:sz="0" w:space="0" w:color="auto"/>
        <w:right w:val="none" w:sz="0" w:space="0" w:color="auto"/>
      </w:divBdr>
    </w:div>
    <w:div w:id="1070734599">
      <w:bodyDiv w:val="1"/>
      <w:marLeft w:val="0"/>
      <w:marRight w:val="0"/>
      <w:marTop w:val="0"/>
      <w:marBottom w:val="0"/>
      <w:divBdr>
        <w:top w:val="none" w:sz="0" w:space="0" w:color="auto"/>
        <w:left w:val="none" w:sz="0" w:space="0" w:color="auto"/>
        <w:bottom w:val="none" w:sz="0" w:space="0" w:color="auto"/>
        <w:right w:val="none" w:sz="0" w:space="0" w:color="auto"/>
      </w:divBdr>
    </w:div>
    <w:div w:id="1154686004">
      <w:bodyDiv w:val="1"/>
      <w:marLeft w:val="0"/>
      <w:marRight w:val="0"/>
      <w:marTop w:val="0"/>
      <w:marBottom w:val="0"/>
      <w:divBdr>
        <w:top w:val="none" w:sz="0" w:space="0" w:color="auto"/>
        <w:left w:val="none" w:sz="0" w:space="0" w:color="auto"/>
        <w:bottom w:val="none" w:sz="0" w:space="0" w:color="auto"/>
        <w:right w:val="none" w:sz="0" w:space="0" w:color="auto"/>
      </w:divBdr>
    </w:div>
    <w:div w:id="1357662027">
      <w:bodyDiv w:val="1"/>
      <w:marLeft w:val="0"/>
      <w:marRight w:val="0"/>
      <w:marTop w:val="0"/>
      <w:marBottom w:val="0"/>
      <w:divBdr>
        <w:top w:val="none" w:sz="0" w:space="0" w:color="auto"/>
        <w:left w:val="none" w:sz="0" w:space="0" w:color="auto"/>
        <w:bottom w:val="none" w:sz="0" w:space="0" w:color="auto"/>
        <w:right w:val="none" w:sz="0" w:space="0" w:color="auto"/>
      </w:divBdr>
    </w:div>
    <w:div w:id="1381055105">
      <w:bodyDiv w:val="1"/>
      <w:marLeft w:val="0"/>
      <w:marRight w:val="0"/>
      <w:marTop w:val="0"/>
      <w:marBottom w:val="0"/>
      <w:divBdr>
        <w:top w:val="none" w:sz="0" w:space="0" w:color="auto"/>
        <w:left w:val="none" w:sz="0" w:space="0" w:color="auto"/>
        <w:bottom w:val="none" w:sz="0" w:space="0" w:color="auto"/>
        <w:right w:val="none" w:sz="0" w:space="0" w:color="auto"/>
      </w:divBdr>
    </w:div>
    <w:div w:id="1398093961">
      <w:bodyDiv w:val="1"/>
      <w:marLeft w:val="0"/>
      <w:marRight w:val="0"/>
      <w:marTop w:val="0"/>
      <w:marBottom w:val="0"/>
      <w:divBdr>
        <w:top w:val="none" w:sz="0" w:space="0" w:color="auto"/>
        <w:left w:val="none" w:sz="0" w:space="0" w:color="auto"/>
        <w:bottom w:val="none" w:sz="0" w:space="0" w:color="auto"/>
        <w:right w:val="none" w:sz="0" w:space="0" w:color="auto"/>
      </w:divBdr>
    </w:div>
    <w:div w:id="1440225259">
      <w:bodyDiv w:val="1"/>
      <w:marLeft w:val="0"/>
      <w:marRight w:val="0"/>
      <w:marTop w:val="0"/>
      <w:marBottom w:val="0"/>
      <w:divBdr>
        <w:top w:val="none" w:sz="0" w:space="0" w:color="auto"/>
        <w:left w:val="none" w:sz="0" w:space="0" w:color="auto"/>
        <w:bottom w:val="none" w:sz="0" w:space="0" w:color="auto"/>
        <w:right w:val="none" w:sz="0" w:space="0" w:color="auto"/>
      </w:divBdr>
    </w:div>
    <w:div w:id="1584529721">
      <w:bodyDiv w:val="1"/>
      <w:marLeft w:val="0"/>
      <w:marRight w:val="0"/>
      <w:marTop w:val="0"/>
      <w:marBottom w:val="0"/>
      <w:divBdr>
        <w:top w:val="none" w:sz="0" w:space="0" w:color="auto"/>
        <w:left w:val="none" w:sz="0" w:space="0" w:color="auto"/>
        <w:bottom w:val="none" w:sz="0" w:space="0" w:color="auto"/>
        <w:right w:val="none" w:sz="0" w:space="0" w:color="auto"/>
      </w:divBdr>
    </w:div>
    <w:div w:id="1630041819">
      <w:bodyDiv w:val="1"/>
      <w:marLeft w:val="0"/>
      <w:marRight w:val="0"/>
      <w:marTop w:val="0"/>
      <w:marBottom w:val="0"/>
      <w:divBdr>
        <w:top w:val="none" w:sz="0" w:space="0" w:color="auto"/>
        <w:left w:val="none" w:sz="0" w:space="0" w:color="auto"/>
        <w:bottom w:val="none" w:sz="0" w:space="0" w:color="auto"/>
        <w:right w:val="none" w:sz="0" w:space="0" w:color="auto"/>
      </w:divBdr>
    </w:div>
    <w:div w:id="1663266528">
      <w:bodyDiv w:val="1"/>
      <w:marLeft w:val="0"/>
      <w:marRight w:val="0"/>
      <w:marTop w:val="0"/>
      <w:marBottom w:val="0"/>
      <w:divBdr>
        <w:top w:val="none" w:sz="0" w:space="0" w:color="auto"/>
        <w:left w:val="none" w:sz="0" w:space="0" w:color="auto"/>
        <w:bottom w:val="none" w:sz="0" w:space="0" w:color="auto"/>
        <w:right w:val="none" w:sz="0" w:space="0" w:color="auto"/>
      </w:divBdr>
    </w:div>
    <w:div w:id="1822961001">
      <w:bodyDiv w:val="1"/>
      <w:marLeft w:val="0"/>
      <w:marRight w:val="0"/>
      <w:marTop w:val="0"/>
      <w:marBottom w:val="0"/>
      <w:divBdr>
        <w:top w:val="none" w:sz="0" w:space="0" w:color="auto"/>
        <w:left w:val="none" w:sz="0" w:space="0" w:color="auto"/>
        <w:bottom w:val="none" w:sz="0" w:space="0" w:color="auto"/>
        <w:right w:val="none" w:sz="0" w:space="0" w:color="auto"/>
      </w:divBdr>
    </w:div>
    <w:div w:id="1826117581">
      <w:bodyDiv w:val="1"/>
      <w:marLeft w:val="0"/>
      <w:marRight w:val="0"/>
      <w:marTop w:val="0"/>
      <w:marBottom w:val="0"/>
      <w:divBdr>
        <w:top w:val="none" w:sz="0" w:space="0" w:color="auto"/>
        <w:left w:val="none" w:sz="0" w:space="0" w:color="auto"/>
        <w:bottom w:val="none" w:sz="0" w:space="0" w:color="auto"/>
        <w:right w:val="none" w:sz="0" w:space="0" w:color="auto"/>
      </w:divBdr>
    </w:div>
    <w:div w:id="2030596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Coh11</b:Tag>
    <b:SourceType>BookSection</b:SourceType>
    <b:Guid>{11B3CCB6-1B58-4ED1-B5EE-F3510AC5DBB5}</b:Guid>
    <b:Author>
      <b:Author>
        <b:NameList>
          <b:Person>
            <b:Last>Cohen</b:Last>
            <b:First>L</b:First>
          </b:Person>
          <b:Person>
            <b:Last>Manion</b:Last>
            <b:First>L</b:First>
          </b:Person>
          <b:Person>
            <b:Last>Morrison</b:Last>
            <b:First>K</b:First>
          </b:Person>
        </b:NameList>
      </b:Author>
    </b:Author>
    <b:Title>Validity and reliabilty in observations</b:Title>
    <b:BookTitle>Research Methods in Education</b:BookTitle>
    <b:Year>2011</b:Year>
    <b:Pages>209-210</b:Pages>
    <b:City>Abingdon</b:City>
    <b:Publisher>Routledge</b:Publisher>
    <b:RefOrder>1</b:RefOrder>
  </b:Source>
  <b:Source>
    <b:Tag>Koh04</b:Tag>
    <b:SourceType>Book</b:SourceType>
    <b:Guid>{F22E8A1E-4EDD-4C0F-AD30-D501D50DC083}</b:Guid>
    <b:Title>What does it mean to be Well-Educated?</b:Title>
    <b:Year>2004</b:Year>
    <b:City>Boston</b:City>
    <b:Publisher>Beacon Press</b:Publisher>
    <b:Author>
      <b:Author>
        <b:NameList>
          <b:Person>
            <b:Last>Kohn</b:Last>
            <b:First>A</b:First>
          </b:Person>
        </b:NameList>
      </b:Author>
    </b:Author>
    <b:RefOrder>16</b:RefOrder>
  </b:Source>
  <b:Source>
    <b:Tag>Koh11</b:Tag>
    <b:SourceType>Book</b:SourceType>
    <b:Guid>{5DB295BF-5443-42FA-AA05-54C6D56E2354}</b:Guid>
    <b:Author>
      <b:Author>
        <b:NameList>
          <b:Person>
            <b:Last>Kohn</b:Last>
            <b:First>A</b:First>
          </b:Person>
        </b:NameList>
      </b:Author>
    </b:Author>
    <b:Title>Feel-bad Education</b:Title>
    <b:Year>2011</b:Year>
    <b:City>Boston</b:City>
    <b:Publisher>Beacon Press</b:Publisher>
    <b:RefOrder>17</b:RefOrder>
  </b:Source>
  <b:Source>
    <b:Tag>Den89</b:Tag>
    <b:SourceType>Book</b:SourceType>
    <b:Guid>{2961095F-5802-4498-AADE-96A932F765C8}</b:Guid>
    <b:Author>
      <b:Author>
        <b:NameList>
          <b:Person>
            <b:Last>Denzin</b:Last>
            <b:First>N.</b:First>
            <b:Middle>K.</b:Middle>
          </b:Person>
        </b:NameList>
      </b:Author>
    </b:Author>
    <b:Title>The Research Act: A Theoretical Introduction to Sociological Methods</b:Title>
    <b:Year>1989</b:Year>
    <b:City>Englewood Cliffs</b:City>
    <b:Edition>3rd</b:Edition>
    <b:RefOrder>13</b:RefOrder>
  </b:Source>
  <b:Source>
    <b:Tag>Lai11</b:Tag>
    <b:SourceType>Report</b:SourceType>
    <b:Guid>{788A1BA4-EC0B-404E-98B2-BEA1105990B1}</b:Guid>
    <b:Title>Collaboration: A Literature Review</b:Title>
    <b:Year>2011</b:Year>
    <b:Author>
      <b:Author>
        <b:NameList>
          <b:Person>
            <b:Last>Lai</b:Last>
            <b:First>Emily</b:First>
            <b:Middle>R.</b:Middle>
          </b:Person>
        </b:NameList>
      </b:Author>
    </b:Author>
    <b:RefOrder>2</b:RefOrder>
  </b:Source>
  <b:Source>
    <b:Tag>Ham07</b:Tag>
    <b:SourceType>JournalArticle</b:SourceType>
    <b:Guid>{235AC456-9F37-4A67-945E-DFB9567E460A}</b:Guid>
    <b:Title>Group work in schools with close friends and acquaintances: Linkingself-processes with group processes</b:Title>
    <b:Year>2007</b:Year>
    <b:Author>
      <b:Author>
        <b:NameList>
          <b:Person>
            <b:Last>Hamhan</b:Last>
            <b:First>J</b:First>
          </b:Person>
          <b:Person>
            <b:Last>McCormik</b:Last>
            <b:First>J</b:First>
          </b:Person>
        </b:NameList>
      </b:Author>
    </b:Author>
    <b:JournalName>Learning and Instruction</b:JournalName>
    <b:Pages>214-247</b:Pages>
    <b:Volume>19</b:Volume>
    <b:RefOrder>18</b:RefOrder>
  </b:Source>
  <b:Source>
    <b:Tag>Mit04</b:Tag>
    <b:SourceType>JournalArticle</b:SourceType>
    <b:Guid>{9CD776BB-E55A-478E-B6E8-2EB5421335EE}</b:Guid>
    <b:Author>
      <b:Author>
        <b:NameList>
          <b:Person>
            <b:Last>Mitchell</b:Last>
            <b:First>S.N.</b:First>
            <b:Middle>&amp; Reilly, Rosemary &amp; Bramwell, Gillian &amp; Solnosky, A. &amp; Lilly, F.</b:Middle>
          </b:Person>
        </b:NameList>
      </b:Author>
    </b:Author>
    <b:Title>Friendship and Choosing groupmates: Preferences for teacher-selected versus student-selected groupings in high school science classes.</b:Title>
    <b:JournalName>Journal of Instructional Psychology</b:JournalName>
    <b:Year>2004</b:Year>
    <b:Pages>20-32</b:Pages>
    <b:Volume>31</b:Volume>
    <b:RefOrder>3</b:RefOrder>
  </b:Source>
  <b:Source>
    <b:Tag>Gia17</b:Tag>
    <b:SourceType>DocumentFromInternetSite</b:SourceType>
    <b:Guid>{1B06743B-92B5-48D0-B79E-389D1A26399A}</b:Guid>
    <b:Title>Interdependent and Independent Self-Construal</b:Title>
    <b:Year>2017</b:Year>
    <b:Author>
      <b:Author>
        <b:NameList>
          <b:Person>
            <b:Last>Giacomin</b:Last>
            <b:First>M</b:First>
          </b:Person>
          <b:Person>
            <b:Last>Jordan</b:Last>
            <b:First>C</b:First>
          </b:Person>
        </b:NameList>
      </b:Author>
    </b:Author>
    <b:Month>July</b:Month>
    <b:Day>13</b:Day>
    <b:YearAccessed>2020</b:YearAccessed>
    <b:MonthAccessed>October</b:MonthAccessed>
    <b:DayAccessed>13</b:DayAccessed>
    <b:URL>https://link.springer.com/referenceworkentry/10.1007%2F978-3-319-28099-8_1136-1#:~:text=Interdependent%20self%2Dconstrual%20is%20the,can%20benefit%20their%20social%20group.</b:URL>
    <b:RefOrder>4</b:RefOrder>
  </b:Source>
  <b:Source>
    <b:Tag>Gar99</b:Tag>
    <b:SourceType>DocumentFromInternetSite</b:SourceType>
    <b:Guid>{B1B30726-9C1B-4BF7-82EF-BB3DFABC2C08}</b:Guid>
    <b:Title>“I” Value Freedom, but “We” Value Relationships: Self-Construal Priming Mirrors Cultural Differences in Judgment</b:Title>
    <b:Year>1999</b:Year>
    <b:Month>July</b:Month>
    <b:Day>1</b:Day>
    <b:YearAccessed>2020</b:YearAccessed>
    <b:MonthAccessed>October</b:MonthAccessed>
    <b:DayAccessed>12</b:DayAccessed>
    <b:URL>https://journals.sagepub.com/doi/abs/10.1111/1467-9280.00162</b:URL>
    <b:Author>
      <b:Author>
        <b:NameList>
          <b:Person>
            <b:Last>Gardner</b:Last>
            <b:First>W.L</b:First>
          </b:Person>
          <b:Person>
            <b:Last>Gabriel</b:Last>
            <b:First>S</b:First>
          </b:Person>
          <b:Person>
            <b:Last>Lee</b:Last>
            <b:First>A.Y</b:First>
          </b:Person>
        </b:NameList>
      </b:Author>
    </b:Author>
    <b:RefOrder>5</b:RefOrder>
  </b:Source>
  <b:Source>
    <b:Tag>Bau95</b:Tag>
    <b:SourceType>JournalArticle</b:SourceType>
    <b:Guid>{8B53F192-FF53-4010-A3EC-FCD74170FE5A}</b:Guid>
    <b:Title>The Need to Belong: Desire for Interpersonal Attachments as a Fundemental Human Motivation</b:Title>
    <b:Year>1995</b:Year>
    <b:Author>
      <b:Author>
        <b:NameList>
          <b:Person>
            <b:Last>Baumeister</b:Last>
            <b:First>R</b:First>
            <b:Middle>F</b:Middle>
          </b:Person>
          <b:Person>
            <b:Last>Leary</b:Last>
            <b:First>M.</b:First>
            <b:Middle>R</b:Middle>
          </b:Person>
        </b:NameList>
      </b:Author>
    </b:Author>
    <b:JournalName>Psychological Bulletin</b:JournalName>
    <b:Pages>497-529</b:Pages>
    <b:Volume>117</b:Volume>
    <b:RefOrder>6</b:RefOrder>
  </b:Source>
  <b:Source>
    <b:Tag>Maa01</b:Tag>
    <b:SourceType>DocumentFromInternetSite</b:SourceType>
    <b:Guid>{27AC37DD-FCE4-4610-9413-4356F048BE4E}</b:Guid>
    <b:Title>Rewarded by Punishment: Reflections on the Disuse of Positive Reinforcement in Schools</b:Title>
    <b:Year>2001</b:Year>
    <b:Author>
      <b:Author>
        <b:NameList>
          <b:Person>
            <b:Last>Maag</b:Last>
            <b:First>J</b:First>
          </b:Person>
        </b:NameList>
      </b:Author>
    </b:Author>
    <b:Month>January</b:Month>
    <b:Day>1</b:Day>
    <b:YearAccessed>2020</b:YearAccessed>
    <b:MonthAccessed>October</b:MonthAccessed>
    <b:DayAccessed>20</b:DayAccessed>
    <b:URL>https://doi.org/10.1177/001440290106700203</b:URL>
    <b:RefOrder>7</b:RefOrder>
  </b:Source>
  <b:Source>
    <b:Tag>BloNA</b:Tag>
    <b:SourceType>DocumentFromInternetSite</b:SourceType>
    <b:Guid>{ED3E0DDE-FF02-45FA-92F8-A3AC2AC94C06}</b:Guid>
    <b:Author>
      <b:Author>
        <b:NameList>
          <b:Person>
            <b:Last>Blodgett</b:Last>
            <b:First>N</b:First>
          </b:Person>
        </b:NameList>
      </b:Author>
    </b:Author>
    <b:Title>Positive Reinforcement</b:Title>
    <b:Year>N/A</b:Year>
    <b:YearAccessed>2020</b:YearAccessed>
    <b:MonthAccessed>October</b:MonthAccessed>
    <b:DayAccessed>20</b:DayAccessed>
    <b:URL>https://www.academia.edu/9338639/Positive_Reinforcement</b:URL>
    <b:RefOrder>9</b:RefOrder>
  </b:Source>
  <b:Source>
    <b:Tag>Tra08</b:Tag>
    <b:SourceType>JournalArticle</b:SourceType>
    <b:Guid>{4E462387-1DA2-495B-81B9-A6DE5CAAABDC}</b:Guid>
    <b:Title>Dopamine transfer deficit: a neurobiological theory of alteredreinforcement mechanisms in ADHD</b:Title>
    <b:Year>2008</b:Year>
    <b:Author>
      <b:Author>
        <b:NameList>
          <b:Person>
            <b:Last>Trapp</b:Last>
            <b:First>G</b:First>
          </b:Person>
          <b:Person>
            <b:Last>Wickens</b:Last>
            <b:First>J.</b:First>
            <b:Middle>R</b:Middle>
          </b:Person>
        </b:NameList>
      </b:Author>
    </b:Author>
    <b:JournalName>Journal of Child Psychology and Psychiatry</b:JournalName>
    <b:Pages>691-704</b:Pages>
    <b:Volume>49</b:Volume>
    <b:Issue>7</b:Issue>
    <b:RefOrder>10</b:RefOrder>
  </b:Source>
  <b:Source>
    <b:Tag>Sta08</b:Tag>
    <b:SourceType>JournalArticle</b:SourceType>
    <b:Guid>{58570F15-CD99-4DFC-9978-B2B6CE7E8466}</b:Guid>
    <b:Author>
      <b:Author>
        <b:NameList>
          <b:Person>
            <b:Last>Stahr</b:Last>
            <b:First>B.,</b:First>
            <b:Middle>Cushing, D., Lane, K</b:Middle>
          </b:Person>
        </b:NameList>
      </b:Author>
    </b:Author>
    <b:Title>Efficacy of a Function-Based Intervention in Decreasing Off- Task Behavior Exhibited by a Student With ADHD</b:Title>
    <b:JournalName>Journal of Positive Behavior Interventions</b:JournalName>
    <b:Year>2008</b:Year>
    <b:Pages>201-211</b:Pages>
    <b:Volume>8</b:Volume>
    <b:Issue>4</b:Issue>
    <b:RefOrder>8</b:RefOrder>
  </b:Source>
  <b:Source>
    <b:Tag>Kah08</b:Tag>
    <b:SourceType>JournalArticle</b:SourceType>
    <b:Guid>{D1930169-62B9-49F2-86BD-ECCC57DAF82A}</b:Guid>
    <b:Author>
      <b:Author>
        <b:NameList>
          <b:Person>
            <b:Last>Kahnt</b:Last>
            <b:First>T</b:First>
          </b:Person>
          <b:Person>
            <b:Last>Park</b:Last>
            <b:First>S.</b:First>
            <b:Middle>Q</b:Middle>
          </b:Person>
          <b:Person>
            <b:Last>Cohen</b:Last>
            <b:First>M.</b:First>
            <b:Middle>X</b:Middle>
          </b:Person>
          <b:Person>
            <b:Last>Beck</b:Last>
            <b:First>A</b:First>
          </b:Person>
          <b:Person>
            <b:Last>Wraze</b:Last>
            <b:First>J.</b:First>
          </b:Person>
        </b:NameList>
      </b:Author>
    </b:Author>
    <b:Title>Dorsal Striatal-MidbrainConnectivity in Humans Predicts How Reinforcements Are Used to Guide Decisions</b:Title>
    <b:JournalName>Journal ofCognitive Neuroscience</b:JournalName>
    <b:Year>2008</b:Year>
    <b:Pages>1332-1345</b:Pages>
    <b:Volume>21</b:Volume>
    <b:Issue>7</b:Issue>
    <b:RefOrder>11</b:RefOrder>
  </b:Source>
  <b:Source>
    <b:Tag>Edw87</b:Tag>
    <b:SourceType>JournalArticle</b:SourceType>
    <b:Guid>{5DA82CC1-88F1-45C0-AC7B-B05A1AA310C2}</b:Guid>
    <b:Author>
      <b:Author>
        <b:NameList>
          <b:Person>
            <b:Last>Edward</b:Last>
            <b:First>W</b:First>
          </b:Person>
          <b:Person>
            <b:Last>Schultz</b:Last>
            <b:First>R.</b:First>
            <b:Middle>M</b:Middle>
          </b:Person>
          <b:Person>
            <b:Last>Glass</b:Last>
            <b:First>J</b:First>
          </b:Person>
          <b:Person>
            <b:Last>Kamholtz</b:Last>
            <b:First>D.</b:First>
          </b:Person>
        </b:NameList>
      </b:Author>
    </b:Author>
    <b:Title>School Climate: Psychological Health and Well-Being in School</b:Title>
    <b:JournalName>Journal of School Health</b:JournalName>
    <b:Year>1987</b:Year>
    <b:Pages>432-436</b:Pages>
    <b:Volume>57</b:Volume>
    <b:Issue>10</b:Issue>
    <b:RefOrder>12</b:RefOrder>
  </b:Source>
  <b:Source>
    <b:Tag>Sut13</b:Tag>
    <b:SourceType>JournalArticle</b:SourceType>
    <b:Guid>{5234C2CB-63FA-4770-A382-A365701DCE1F}</b:Guid>
    <b:Title>The importance of critical reflection in and on academic development</b:Title>
    <b:JournalName>International Journal for Academic Development</b:JournalName>
    <b:Year>2013</b:Year>
    <b:Pages>111-113</b:Pages>
    <b:Volume>18</b:Volume>
    <b:Issue>2</b:Issue>
    <b:Author>
      <b:Author>
        <b:NameList>
          <b:Person>
            <b:Last>Sutherland</b:Last>
            <b:First>K.A</b:First>
          </b:Person>
        </b:NameList>
      </b:Author>
    </b:Author>
    <b:RefOrder>15</b:RefOrder>
  </b:Source>
  <b:Source>
    <b:Tag>Kan09</b:Tag>
    <b:SourceType>JournalArticle</b:SourceType>
    <b:Guid>{63D859BC-01EA-4959-A5D9-136B8177F2FC}</b:Guid>
    <b:Author>
      <b:Author>
        <b:NameList>
          <b:Person>
            <b:Last>Kandlbinder</b:Last>
            <b:First>P</b:First>
          </b:Person>
          <b:Person>
            <b:Last>Peseta</b:Last>
            <b:First>T</b:First>
          </b:Person>
        </b:NameList>
      </b:Author>
    </b:Author>
    <b:Title>Key concepts in postgraduate certificates in higher education teaching and learning in Australasia and the United Kingdom</b:Title>
    <b:JournalName>International Journal for Academic Development</b:JournalName>
    <b:Year>2009</b:Year>
    <b:Pages>19-31</b:Pages>
    <b:Volume>14</b:Volume>
    <b:Issue>1</b:Issue>
    <b:RefOrder>14</b:RefOrder>
  </b:Source>
</b:Sources>
</file>

<file path=customXml/itemProps1.xml><?xml version="1.0" encoding="utf-8"?>
<ds:datastoreItem xmlns:ds="http://schemas.openxmlformats.org/officeDocument/2006/customXml" ds:itemID="{193CF499-9452-4318-B26E-FB3AFABF3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TotalTime>
  <Pages>18</Pages>
  <Words>4177</Words>
  <Characters>23812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Williams</dc:creator>
  <cp:keywords/>
  <dc:description/>
  <cp:lastModifiedBy>Harry Williams</cp:lastModifiedBy>
  <cp:revision>14</cp:revision>
  <dcterms:created xsi:type="dcterms:W3CDTF">2020-10-08T13:55:00Z</dcterms:created>
  <dcterms:modified xsi:type="dcterms:W3CDTF">2020-10-26T16:00:00Z</dcterms:modified>
</cp:coreProperties>
</file>