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62D4C9B" w14:textId="04269D1E" w:rsidR="005D768C" w:rsidRPr="00D86091" w:rsidRDefault="005D768C" w:rsidP="00400058">
      <w:pPr>
        <w:pStyle w:val="Title"/>
        <w:rPr>
          <w:lang w:val="en-GB"/>
        </w:rPr>
      </w:pPr>
      <w:bookmarkStart w:id="0" w:name="_5n0v9v7umx2b" w:colFirst="0" w:colLast="0"/>
      <w:bookmarkStart w:id="1" w:name="_wrbp9qludxa0" w:colFirst="0" w:colLast="0"/>
      <w:bookmarkStart w:id="2" w:name="_Hlk216147737"/>
      <w:bookmarkEnd w:id="0"/>
      <w:bookmarkEnd w:id="1"/>
      <w:bookmarkEnd w:id="2"/>
      <w:r w:rsidRPr="00D86091">
        <w:rPr>
          <w:noProof/>
          <w:lang w:val="en-GB"/>
        </w:rPr>
        <w:drawing>
          <wp:inline distT="0" distB="0" distL="0" distR="0" wp14:anchorId="176A755F" wp14:editId="6A257AF3">
            <wp:extent cx="2787487" cy="1033200"/>
            <wp:effectExtent l="0" t="0" r="0" b="0"/>
            <wp:docPr id="1776022836" name="Picture 177602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87487" cy="1033200"/>
                    </a:xfrm>
                    <a:prstGeom prst="rect">
                      <a:avLst/>
                    </a:prstGeom>
                  </pic:spPr>
                </pic:pic>
              </a:graphicData>
            </a:graphic>
          </wp:inline>
        </w:drawing>
      </w:r>
    </w:p>
    <w:p w14:paraId="02E09E05" w14:textId="77777777" w:rsidR="005D768C" w:rsidRPr="00D86091" w:rsidRDefault="005D768C" w:rsidP="00D86091">
      <w:pPr>
        <w:pStyle w:val="Title"/>
        <w:rPr>
          <w:sz w:val="28"/>
          <w:szCs w:val="28"/>
          <w:lang w:val="en-GB"/>
        </w:rPr>
      </w:pPr>
      <w:r w:rsidRPr="00D86091">
        <w:rPr>
          <w:sz w:val="28"/>
          <w:szCs w:val="28"/>
          <w:lang w:val="en-GB"/>
        </w:rPr>
        <w:t>MASTER OF BUSINESS ADMINISTRATION</w:t>
      </w:r>
    </w:p>
    <w:p w14:paraId="7E1AD2C5" w14:textId="77777777" w:rsidR="005D768C" w:rsidRPr="00D86091" w:rsidRDefault="005D768C" w:rsidP="00D86091">
      <w:pPr>
        <w:pStyle w:val="Title"/>
        <w:rPr>
          <w:sz w:val="28"/>
          <w:szCs w:val="28"/>
          <w:lang w:val="en-GB"/>
        </w:rPr>
      </w:pPr>
    </w:p>
    <w:p w14:paraId="6614CF2B" w14:textId="77777777" w:rsidR="005D768C" w:rsidRPr="00D86091" w:rsidRDefault="005D768C" w:rsidP="00D86091">
      <w:pPr>
        <w:pStyle w:val="Title"/>
        <w:rPr>
          <w:sz w:val="28"/>
          <w:szCs w:val="28"/>
          <w:lang w:val="en-GB"/>
        </w:rPr>
      </w:pPr>
      <w:r w:rsidRPr="00D86091">
        <w:rPr>
          <w:sz w:val="28"/>
          <w:szCs w:val="28"/>
          <w:lang w:val="en-GB"/>
        </w:rPr>
        <w:t>FINANCIAL MANAGEMENT</w:t>
      </w:r>
    </w:p>
    <w:p w14:paraId="475CA247" w14:textId="77777777" w:rsidR="005D768C" w:rsidRPr="00D86091" w:rsidRDefault="005D768C" w:rsidP="00D86091">
      <w:pPr>
        <w:pStyle w:val="Title"/>
        <w:rPr>
          <w:sz w:val="28"/>
          <w:szCs w:val="28"/>
          <w:lang w:val="en-GB"/>
        </w:rPr>
      </w:pPr>
    </w:p>
    <w:p w14:paraId="47CA48B9" w14:textId="77777777" w:rsidR="005D768C" w:rsidRPr="00D86091" w:rsidRDefault="005D768C" w:rsidP="00D86091">
      <w:pPr>
        <w:pStyle w:val="Title"/>
        <w:rPr>
          <w:sz w:val="28"/>
          <w:szCs w:val="28"/>
          <w:lang w:val="en-GB"/>
        </w:rPr>
      </w:pPr>
      <w:r w:rsidRPr="00D86091">
        <w:rPr>
          <w:sz w:val="28"/>
          <w:szCs w:val="28"/>
          <w:lang w:val="en-GB"/>
        </w:rPr>
        <w:t>LCMB7002</w:t>
      </w:r>
    </w:p>
    <w:p w14:paraId="13CB296B" w14:textId="77777777" w:rsidR="005D768C" w:rsidRPr="00D86091" w:rsidRDefault="005D768C" w:rsidP="00D86091">
      <w:pPr>
        <w:pStyle w:val="Title"/>
        <w:jc w:val="both"/>
        <w:rPr>
          <w:lang w:val="en-GB"/>
        </w:rPr>
      </w:pPr>
    </w:p>
    <w:p w14:paraId="74009D86" w14:textId="77777777" w:rsidR="005D768C" w:rsidRPr="00D86091" w:rsidRDefault="005D768C" w:rsidP="00D86091">
      <w:pPr>
        <w:pStyle w:val="Title"/>
        <w:rPr>
          <w:lang w:val="en-GB"/>
        </w:rPr>
      </w:pPr>
    </w:p>
    <w:p w14:paraId="6EB536F3" w14:textId="626E6129" w:rsidR="009D7B47" w:rsidRPr="00D86091" w:rsidRDefault="009D7B47" w:rsidP="00D86091">
      <w:pPr>
        <w:pStyle w:val="Title"/>
        <w:rPr>
          <w:lang w:val="en-GB"/>
        </w:rPr>
      </w:pPr>
      <w:r w:rsidRPr="00D86091">
        <w:rPr>
          <w:lang w:val="en-GB"/>
        </w:rPr>
        <w:t>FINANCIAL PERFORMANCE AND MANAGEMENT</w:t>
      </w:r>
    </w:p>
    <w:p w14:paraId="51C03F53" w14:textId="77777777" w:rsidR="009D7B47" w:rsidRPr="00D86091" w:rsidRDefault="009D7B47" w:rsidP="00D86091">
      <w:pPr>
        <w:rPr>
          <w:lang w:val="en-GB"/>
        </w:rPr>
      </w:pPr>
    </w:p>
    <w:p w14:paraId="56A80B99" w14:textId="5F7D8DC9" w:rsidR="005D768C" w:rsidRPr="00D86091" w:rsidRDefault="009D7B47" w:rsidP="00D86091">
      <w:pPr>
        <w:pStyle w:val="Title"/>
        <w:rPr>
          <w:lang w:val="en-GB"/>
        </w:rPr>
      </w:pPr>
      <w:r w:rsidRPr="00D86091">
        <w:rPr>
          <w:lang w:val="en-GB"/>
        </w:rPr>
        <w:t>STRATEGIC CFO CHALLENGE: SAVING A FAILING GLOBAL FIRM</w:t>
      </w:r>
    </w:p>
    <w:p w14:paraId="5217902E" w14:textId="77777777" w:rsidR="009D7B47" w:rsidRPr="00D86091" w:rsidRDefault="009D7B47" w:rsidP="00D86091">
      <w:pPr>
        <w:pStyle w:val="Title"/>
        <w:rPr>
          <w:sz w:val="24"/>
          <w:szCs w:val="24"/>
          <w:lang w:val="en-GB"/>
        </w:rPr>
      </w:pPr>
    </w:p>
    <w:p w14:paraId="2A185FF9" w14:textId="77777777" w:rsidR="009D7B47" w:rsidRPr="00D86091" w:rsidRDefault="009D7B47" w:rsidP="00D86091">
      <w:pPr>
        <w:pStyle w:val="Title"/>
        <w:rPr>
          <w:sz w:val="24"/>
          <w:szCs w:val="24"/>
          <w:lang w:val="en-GB"/>
        </w:rPr>
      </w:pPr>
    </w:p>
    <w:p w14:paraId="6B6BA60A" w14:textId="77777777" w:rsidR="009D7B47" w:rsidRPr="00D86091" w:rsidRDefault="009D7B47" w:rsidP="00D86091">
      <w:pPr>
        <w:rPr>
          <w:lang w:val="en-GB"/>
        </w:rPr>
      </w:pPr>
    </w:p>
    <w:p w14:paraId="07D1D868" w14:textId="236DEDF9" w:rsidR="005D768C" w:rsidRPr="00D86091" w:rsidRDefault="005D768C" w:rsidP="00D86091">
      <w:pPr>
        <w:pStyle w:val="Title"/>
        <w:rPr>
          <w:sz w:val="24"/>
          <w:szCs w:val="24"/>
          <w:lang w:val="en-GB"/>
        </w:rPr>
      </w:pPr>
      <w:r w:rsidRPr="00D86091">
        <w:rPr>
          <w:sz w:val="24"/>
          <w:szCs w:val="24"/>
          <w:lang w:val="en-GB"/>
        </w:rPr>
        <w:t xml:space="preserve">Lecturer name: </w:t>
      </w:r>
      <w:r w:rsidR="00C01009" w:rsidRPr="00C01009">
        <w:rPr>
          <w:sz w:val="24"/>
          <w:szCs w:val="24"/>
          <w:lang w:val="en-GB"/>
        </w:rPr>
        <w:t xml:space="preserve">Dr </w:t>
      </w:r>
      <w:proofErr w:type="spellStart"/>
      <w:r w:rsidR="00C01009" w:rsidRPr="00C01009">
        <w:rPr>
          <w:sz w:val="24"/>
          <w:szCs w:val="24"/>
          <w:lang w:val="en-GB"/>
        </w:rPr>
        <w:t>Shengfeng</w:t>
      </w:r>
      <w:proofErr w:type="spellEnd"/>
      <w:r w:rsidR="00C01009" w:rsidRPr="00C01009">
        <w:rPr>
          <w:sz w:val="24"/>
          <w:szCs w:val="24"/>
          <w:lang w:val="en-GB"/>
        </w:rPr>
        <w:t xml:space="preserve"> Mei</w:t>
      </w:r>
    </w:p>
    <w:p w14:paraId="1867CFDF" w14:textId="77777777" w:rsidR="005D768C" w:rsidRPr="00D86091" w:rsidRDefault="005D768C" w:rsidP="00D86091">
      <w:pPr>
        <w:pStyle w:val="Title"/>
        <w:rPr>
          <w:sz w:val="24"/>
          <w:szCs w:val="24"/>
          <w:lang w:val="en-GB"/>
        </w:rPr>
      </w:pPr>
    </w:p>
    <w:p w14:paraId="619E596E" w14:textId="1A7F9631" w:rsidR="005D768C" w:rsidRPr="00D86091" w:rsidRDefault="005D768C" w:rsidP="00D86091">
      <w:pPr>
        <w:pStyle w:val="Title"/>
        <w:rPr>
          <w:sz w:val="24"/>
          <w:szCs w:val="24"/>
          <w:lang w:val="en-GB"/>
        </w:rPr>
      </w:pPr>
      <w:r w:rsidRPr="00D86091">
        <w:rPr>
          <w:sz w:val="24"/>
          <w:szCs w:val="24"/>
          <w:lang w:val="en-GB"/>
        </w:rPr>
        <w:t>Student name:</w:t>
      </w:r>
      <w:r w:rsidR="00C01009">
        <w:rPr>
          <w:sz w:val="24"/>
          <w:szCs w:val="24"/>
          <w:lang w:val="en-GB"/>
        </w:rPr>
        <w:t xml:space="preserve"> </w:t>
      </w:r>
      <w:r w:rsidR="00C01009" w:rsidRPr="00C01009">
        <w:rPr>
          <w:sz w:val="24"/>
          <w:szCs w:val="24"/>
          <w:lang w:val="en-GB"/>
        </w:rPr>
        <w:t xml:space="preserve">Parth </w:t>
      </w:r>
      <w:proofErr w:type="spellStart"/>
      <w:r w:rsidR="00C01009" w:rsidRPr="00C01009">
        <w:rPr>
          <w:sz w:val="24"/>
          <w:szCs w:val="24"/>
          <w:lang w:val="en-GB"/>
        </w:rPr>
        <w:t>jagdishbhai</w:t>
      </w:r>
      <w:proofErr w:type="spellEnd"/>
      <w:r w:rsidR="00C01009" w:rsidRPr="00C01009">
        <w:rPr>
          <w:sz w:val="24"/>
          <w:szCs w:val="24"/>
          <w:lang w:val="en-GB"/>
        </w:rPr>
        <w:t xml:space="preserve"> </w:t>
      </w:r>
      <w:proofErr w:type="spellStart"/>
      <w:r w:rsidR="00C01009" w:rsidRPr="00C01009">
        <w:rPr>
          <w:sz w:val="24"/>
          <w:szCs w:val="24"/>
          <w:lang w:val="en-GB"/>
        </w:rPr>
        <w:t>bhingradiya</w:t>
      </w:r>
      <w:proofErr w:type="spellEnd"/>
    </w:p>
    <w:p w14:paraId="12D9AC60" w14:textId="60070A29" w:rsidR="005D768C" w:rsidRPr="00D86091" w:rsidRDefault="005D768C" w:rsidP="00D86091">
      <w:pPr>
        <w:pStyle w:val="Title"/>
        <w:rPr>
          <w:sz w:val="24"/>
          <w:szCs w:val="24"/>
          <w:lang w:val="en-GB"/>
        </w:rPr>
      </w:pPr>
      <w:r w:rsidRPr="00D86091">
        <w:rPr>
          <w:sz w:val="24"/>
          <w:szCs w:val="24"/>
          <w:lang w:val="en-GB"/>
        </w:rPr>
        <w:t>Student ID:</w:t>
      </w:r>
      <w:r w:rsidR="00BE1118">
        <w:rPr>
          <w:sz w:val="24"/>
          <w:szCs w:val="24"/>
          <w:lang w:val="en-GB"/>
        </w:rPr>
        <w:t xml:space="preserve"> </w:t>
      </w:r>
      <w:r w:rsidR="00BE1118" w:rsidRPr="00BE1118">
        <w:rPr>
          <w:sz w:val="24"/>
          <w:szCs w:val="24"/>
          <w:lang w:val="en-GB"/>
        </w:rPr>
        <w:t>2505862</w:t>
      </w:r>
    </w:p>
    <w:p w14:paraId="43B6A96E" w14:textId="77777777" w:rsidR="005D768C" w:rsidRPr="00D86091" w:rsidRDefault="005D768C" w:rsidP="00D86091">
      <w:pPr>
        <w:pStyle w:val="Title"/>
        <w:rPr>
          <w:sz w:val="24"/>
          <w:szCs w:val="24"/>
          <w:lang w:val="en-GB"/>
        </w:rPr>
      </w:pPr>
    </w:p>
    <w:p w14:paraId="518EB089" w14:textId="15786AFC" w:rsidR="005D768C" w:rsidRPr="00D86091" w:rsidRDefault="005D768C" w:rsidP="00D86091">
      <w:pPr>
        <w:pStyle w:val="Title"/>
        <w:rPr>
          <w:b w:val="0"/>
          <w:bCs w:val="0"/>
          <w:sz w:val="24"/>
          <w:szCs w:val="24"/>
          <w:lang w:val="en-GB"/>
        </w:rPr>
      </w:pPr>
      <w:r w:rsidRPr="00D86091">
        <w:rPr>
          <w:sz w:val="24"/>
          <w:szCs w:val="24"/>
          <w:lang w:val="en-GB"/>
        </w:rPr>
        <w:t xml:space="preserve">Word count: </w:t>
      </w:r>
      <w:r w:rsidRPr="00D86091">
        <w:rPr>
          <w:b w:val="0"/>
          <w:bCs w:val="0"/>
          <w:sz w:val="24"/>
          <w:szCs w:val="24"/>
          <w:lang w:val="en-GB"/>
        </w:rPr>
        <w:t>5</w:t>
      </w:r>
      <w:r w:rsidR="00535CBA" w:rsidRPr="00D86091">
        <w:rPr>
          <w:b w:val="0"/>
          <w:bCs w:val="0"/>
          <w:sz w:val="24"/>
          <w:szCs w:val="24"/>
          <w:lang w:val="en-GB"/>
        </w:rPr>
        <w:t>0</w:t>
      </w:r>
      <w:r w:rsidR="008F0589">
        <w:rPr>
          <w:b w:val="0"/>
          <w:bCs w:val="0"/>
          <w:sz w:val="24"/>
          <w:szCs w:val="24"/>
          <w:lang w:val="en-GB"/>
        </w:rPr>
        <w:t>44</w:t>
      </w:r>
    </w:p>
    <w:p w14:paraId="6A174DDC" w14:textId="77777777" w:rsidR="005D768C" w:rsidRPr="00D86091" w:rsidRDefault="005D768C" w:rsidP="00D86091">
      <w:pPr>
        <w:pStyle w:val="Title"/>
        <w:rPr>
          <w:sz w:val="24"/>
          <w:szCs w:val="24"/>
          <w:lang w:val="en-GB"/>
        </w:rPr>
      </w:pPr>
    </w:p>
    <w:p w14:paraId="1B12E5D0" w14:textId="77777777" w:rsidR="005D768C" w:rsidRPr="00D86091" w:rsidRDefault="005D768C" w:rsidP="00D86091">
      <w:pPr>
        <w:rPr>
          <w:lang w:val="en-GB"/>
        </w:rPr>
      </w:pPr>
    </w:p>
    <w:p w14:paraId="3F071DD3" w14:textId="6A44C4D1" w:rsidR="005D768C" w:rsidRPr="00D86091" w:rsidRDefault="005D768C" w:rsidP="00656927">
      <w:pPr>
        <w:pStyle w:val="Title"/>
        <w:rPr>
          <w:sz w:val="24"/>
          <w:szCs w:val="24"/>
          <w:lang w:val="en-GB"/>
        </w:rPr>
      </w:pPr>
      <w:r w:rsidRPr="00D86091">
        <w:rPr>
          <w:sz w:val="24"/>
          <w:szCs w:val="24"/>
          <w:lang w:val="en-GB"/>
        </w:rPr>
        <w:t xml:space="preserve">Submission date: </w:t>
      </w:r>
      <w:r w:rsidR="00656927" w:rsidRPr="00656927">
        <w:rPr>
          <w:b w:val="0"/>
          <w:bCs w:val="0"/>
          <w:sz w:val="24"/>
          <w:szCs w:val="24"/>
          <w:lang w:val="en-GB"/>
        </w:rPr>
        <w:t>22</w:t>
      </w:r>
      <w:r w:rsidR="00656927" w:rsidRPr="00656927">
        <w:rPr>
          <w:b w:val="0"/>
          <w:bCs w:val="0"/>
          <w:sz w:val="24"/>
          <w:szCs w:val="24"/>
          <w:vertAlign w:val="superscript"/>
          <w:lang w:val="en-GB"/>
        </w:rPr>
        <w:t>nd</w:t>
      </w:r>
      <w:r w:rsidR="00656927" w:rsidRPr="00656927">
        <w:rPr>
          <w:b w:val="0"/>
          <w:bCs w:val="0"/>
          <w:sz w:val="24"/>
          <w:szCs w:val="24"/>
          <w:lang w:val="en-GB"/>
        </w:rPr>
        <w:t xml:space="preserve"> December 2025</w:t>
      </w:r>
    </w:p>
    <w:p w14:paraId="0F100983" w14:textId="77777777" w:rsidR="005D768C" w:rsidRPr="00D86091" w:rsidRDefault="005D768C" w:rsidP="00D86091">
      <w:pPr>
        <w:rPr>
          <w:lang w:val="en-GB"/>
        </w:rPr>
      </w:pPr>
      <w:r w:rsidRPr="00D86091">
        <w:rPr>
          <w:lang w:val="en-GB"/>
        </w:rPr>
        <w:br w:type="page"/>
      </w:r>
    </w:p>
    <w:sdt>
      <w:sdtPr>
        <w:rPr>
          <w:rFonts w:ascii="Arial" w:eastAsia="Arial" w:hAnsi="Arial" w:cs="Arial"/>
          <w:b w:val="0"/>
          <w:bCs w:val="0"/>
          <w:color w:val="auto"/>
          <w:sz w:val="24"/>
          <w:szCs w:val="24"/>
          <w:lang w:val="en-GB" w:eastAsia="en-GB"/>
        </w:rPr>
        <w:id w:val="-1112820731"/>
        <w:docPartObj>
          <w:docPartGallery w:val="Table of Contents"/>
          <w:docPartUnique/>
        </w:docPartObj>
      </w:sdtPr>
      <w:sdtEndPr>
        <w:rPr>
          <w:noProof/>
        </w:rPr>
      </w:sdtEndPr>
      <w:sdtContent>
        <w:p w14:paraId="7549A29B" w14:textId="77777777" w:rsidR="005D768C" w:rsidRPr="00D86091" w:rsidRDefault="005D768C" w:rsidP="00D86091">
          <w:pPr>
            <w:pStyle w:val="TOCHeading"/>
            <w:spacing w:line="360" w:lineRule="auto"/>
            <w:jc w:val="center"/>
            <w:rPr>
              <w:rFonts w:ascii="Arial" w:hAnsi="Arial" w:cs="Arial"/>
              <w:color w:val="000000" w:themeColor="text1"/>
              <w:sz w:val="24"/>
              <w:szCs w:val="24"/>
              <w:lang w:val="en-GB"/>
            </w:rPr>
          </w:pPr>
          <w:r w:rsidRPr="00D86091">
            <w:rPr>
              <w:rFonts w:ascii="Arial" w:hAnsi="Arial" w:cs="Arial"/>
              <w:color w:val="000000" w:themeColor="text1"/>
              <w:sz w:val="24"/>
              <w:szCs w:val="24"/>
              <w:lang w:val="en-GB"/>
            </w:rPr>
            <w:t>Table of Contents</w:t>
          </w:r>
        </w:p>
        <w:p w14:paraId="6338DCE9" w14:textId="314F6210" w:rsidR="008F0589" w:rsidRPr="008F0589" w:rsidRDefault="005D768C" w:rsidP="008F0589">
          <w:pPr>
            <w:pStyle w:val="TOC1"/>
            <w:tabs>
              <w:tab w:val="right" w:leader="dot" w:pos="9016"/>
            </w:tabs>
            <w:jc w:val="both"/>
            <w:rPr>
              <w:rFonts w:ascii="Arial" w:eastAsiaTheme="minorEastAsia" w:hAnsi="Arial"/>
              <w:b w:val="0"/>
              <w:bCs w:val="0"/>
              <w:i w:val="0"/>
              <w:iCs w:val="0"/>
              <w:noProof/>
              <w:kern w:val="2"/>
              <w:lang w:val="en-IN" w:eastAsia="en-IN"/>
              <w14:ligatures w14:val="standardContextual"/>
            </w:rPr>
          </w:pPr>
          <w:r w:rsidRPr="008F0589">
            <w:rPr>
              <w:rFonts w:ascii="Arial" w:hAnsi="Arial"/>
              <w:b w:val="0"/>
              <w:bCs w:val="0"/>
              <w:i w:val="0"/>
              <w:iCs w:val="0"/>
              <w:color w:val="000000" w:themeColor="text1"/>
              <w:lang w:val="en-GB"/>
            </w:rPr>
            <w:fldChar w:fldCharType="begin"/>
          </w:r>
          <w:r w:rsidRPr="008F0589">
            <w:rPr>
              <w:rFonts w:ascii="Arial" w:hAnsi="Arial"/>
              <w:b w:val="0"/>
              <w:bCs w:val="0"/>
              <w:i w:val="0"/>
              <w:iCs w:val="0"/>
              <w:color w:val="000000" w:themeColor="text1"/>
              <w:lang w:val="en-GB"/>
            </w:rPr>
            <w:instrText xml:space="preserve"> TOC \o "1-3" \h \z \u </w:instrText>
          </w:r>
          <w:r w:rsidRPr="008F0589">
            <w:rPr>
              <w:rFonts w:ascii="Arial" w:hAnsi="Arial"/>
              <w:b w:val="0"/>
              <w:bCs w:val="0"/>
              <w:i w:val="0"/>
              <w:iCs w:val="0"/>
              <w:color w:val="000000" w:themeColor="text1"/>
              <w:lang w:val="en-GB"/>
            </w:rPr>
            <w:fldChar w:fldCharType="separate"/>
          </w:r>
          <w:hyperlink w:anchor="_Toc217308895" w:history="1">
            <w:r w:rsidR="008F0589" w:rsidRPr="008F0589">
              <w:rPr>
                <w:rStyle w:val="Hyperlink"/>
                <w:rFonts w:ascii="Arial" w:hAnsi="Arial"/>
                <w:b w:val="0"/>
                <w:bCs w:val="0"/>
                <w:i w:val="0"/>
                <w:iCs w:val="0"/>
                <w:noProof/>
                <w:lang w:val="en-GB"/>
              </w:rPr>
              <w:t>1. Introduction</w:t>
            </w:r>
            <w:r w:rsidR="008F0589" w:rsidRPr="008F0589">
              <w:rPr>
                <w:rFonts w:ascii="Arial" w:hAnsi="Arial"/>
                <w:b w:val="0"/>
                <w:bCs w:val="0"/>
                <w:i w:val="0"/>
                <w:iCs w:val="0"/>
                <w:noProof/>
                <w:webHidden/>
              </w:rPr>
              <w:tab/>
            </w:r>
            <w:r w:rsidR="008F0589" w:rsidRPr="008F0589">
              <w:rPr>
                <w:rFonts w:ascii="Arial" w:hAnsi="Arial"/>
                <w:b w:val="0"/>
                <w:bCs w:val="0"/>
                <w:i w:val="0"/>
                <w:iCs w:val="0"/>
                <w:noProof/>
                <w:webHidden/>
              </w:rPr>
              <w:fldChar w:fldCharType="begin"/>
            </w:r>
            <w:r w:rsidR="008F0589" w:rsidRPr="008F0589">
              <w:rPr>
                <w:rFonts w:ascii="Arial" w:hAnsi="Arial"/>
                <w:b w:val="0"/>
                <w:bCs w:val="0"/>
                <w:i w:val="0"/>
                <w:iCs w:val="0"/>
                <w:noProof/>
                <w:webHidden/>
              </w:rPr>
              <w:instrText xml:space="preserve"> PAGEREF _Toc217308895 \h </w:instrText>
            </w:r>
            <w:r w:rsidR="008F0589" w:rsidRPr="008F0589">
              <w:rPr>
                <w:rFonts w:ascii="Arial" w:hAnsi="Arial"/>
                <w:b w:val="0"/>
                <w:bCs w:val="0"/>
                <w:i w:val="0"/>
                <w:iCs w:val="0"/>
                <w:noProof/>
                <w:webHidden/>
              </w:rPr>
            </w:r>
            <w:r w:rsidR="008F0589" w:rsidRPr="008F0589">
              <w:rPr>
                <w:rFonts w:ascii="Arial" w:hAnsi="Arial"/>
                <w:b w:val="0"/>
                <w:bCs w:val="0"/>
                <w:i w:val="0"/>
                <w:iCs w:val="0"/>
                <w:noProof/>
                <w:webHidden/>
              </w:rPr>
              <w:fldChar w:fldCharType="separate"/>
            </w:r>
            <w:r w:rsidR="008F0589" w:rsidRPr="008F0589">
              <w:rPr>
                <w:rFonts w:ascii="Arial" w:hAnsi="Arial"/>
                <w:b w:val="0"/>
                <w:bCs w:val="0"/>
                <w:i w:val="0"/>
                <w:iCs w:val="0"/>
                <w:noProof/>
                <w:webHidden/>
              </w:rPr>
              <w:t>4</w:t>
            </w:r>
            <w:r w:rsidR="008F0589" w:rsidRPr="008F0589">
              <w:rPr>
                <w:rFonts w:ascii="Arial" w:hAnsi="Arial"/>
                <w:b w:val="0"/>
                <w:bCs w:val="0"/>
                <w:i w:val="0"/>
                <w:iCs w:val="0"/>
                <w:noProof/>
                <w:webHidden/>
              </w:rPr>
              <w:fldChar w:fldCharType="end"/>
            </w:r>
          </w:hyperlink>
        </w:p>
        <w:p w14:paraId="177FB150" w14:textId="20CC4EF7" w:rsidR="008F0589" w:rsidRPr="008F0589" w:rsidRDefault="008F0589" w:rsidP="008F0589">
          <w:pPr>
            <w:pStyle w:val="TOC1"/>
            <w:tabs>
              <w:tab w:val="right" w:leader="dot" w:pos="9016"/>
            </w:tabs>
            <w:jc w:val="both"/>
            <w:rPr>
              <w:rFonts w:ascii="Arial" w:eastAsiaTheme="minorEastAsia" w:hAnsi="Arial"/>
              <w:b w:val="0"/>
              <w:bCs w:val="0"/>
              <w:i w:val="0"/>
              <w:iCs w:val="0"/>
              <w:noProof/>
              <w:kern w:val="2"/>
              <w:lang w:val="en-IN" w:eastAsia="en-IN"/>
              <w14:ligatures w14:val="standardContextual"/>
            </w:rPr>
          </w:pPr>
          <w:hyperlink w:anchor="_Toc217308896" w:history="1">
            <w:r w:rsidRPr="008F0589">
              <w:rPr>
                <w:rStyle w:val="Hyperlink"/>
                <w:rFonts w:ascii="Arial" w:hAnsi="Arial"/>
                <w:b w:val="0"/>
                <w:bCs w:val="0"/>
                <w:i w:val="0"/>
                <w:iCs w:val="0"/>
                <w:noProof/>
                <w:lang w:val="en-GB"/>
              </w:rPr>
              <w:t>2. Financial Health Check</w:t>
            </w:r>
            <w:r w:rsidRPr="008F0589">
              <w:rPr>
                <w:rFonts w:ascii="Arial" w:hAnsi="Arial"/>
                <w:b w:val="0"/>
                <w:bCs w:val="0"/>
                <w:i w:val="0"/>
                <w:iCs w:val="0"/>
                <w:noProof/>
                <w:webHidden/>
              </w:rPr>
              <w:tab/>
            </w:r>
            <w:r w:rsidRPr="008F0589">
              <w:rPr>
                <w:rFonts w:ascii="Arial" w:hAnsi="Arial"/>
                <w:b w:val="0"/>
                <w:bCs w:val="0"/>
                <w:i w:val="0"/>
                <w:iCs w:val="0"/>
                <w:noProof/>
                <w:webHidden/>
              </w:rPr>
              <w:fldChar w:fldCharType="begin"/>
            </w:r>
            <w:r w:rsidRPr="008F0589">
              <w:rPr>
                <w:rFonts w:ascii="Arial" w:hAnsi="Arial"/>
                <w:b w:val="0"/>
                <w:bCs w:val="0"/>
                <w:i w:val="0"/>
                <w:iCs w:val="0"/>
                <w:noProof/>
                <w:webHidden/>
              </w:rPr>
              <w:instrText xml:space="preserve"> PAGEREF _Toc217308896 \h </w:instrText>
            </w:r>
            <w:r w:rsidRPr="008F0589">
              <w:rPr>
                <w:rFonts w:ascii="Arial" w:hAnsi="Arial"/>
                <w:b w:val="0"/>
                <w:bCs w:val="0"/>
                <w:i w:val="0"/>
                <w:iCs w:val="0"/>
                <w:noProof/>
                <w:webHidden/>
              </w:rPr>
            </w:r>
            <w:r w:rsidRPr="008F0589">
              <w:rPr>
                <w:rFonts w:ascii="Arial" w:hAnsi="Arial"/>
                <w:b w:val="0"/>
                <w:bCs w:val="0"/>
                <w:i w:val="0"/>
                <w:iCs w:val="0"/>
                <w:noProof/>
                <w:webHidden/>
              </w:rPr>
              <w:fldChar w:fldCharType="separate"/>
            </w:r>
            <w:r w:rsidRPr="008F0589">
              <w:rPr>
                <w:rFonts w:ascii="Arial" w:hAnsi="Arial"/>
                <w:b w:val="0"/>
                <w:bCs w:val="0"/>
                <w:i w:val="0"/>
                <w:iCs w:val="0"/>
                <w:noProof/>
                <w:webHidden/>
              </w:rPr>
              <w:t>4</w:t>
            </w:r>
            <w:r w:rsidRPr="008F0589">
              <w:rPr>
                <w:rFonts w:ascii="Arial" w:hAnsi="Arial"/>
                <w:b w:val="0"/>
                <w:bCs w:val="0"/>
                <w:i w:val="0"/>
                <w:iCs w:val="0"/>
                <w:noProof/>
                <w:webHidden/>
              </w:rPr>
              <w:fldChar w:fldCharType="end"/>
            </w:r>
          </w:hyperlink>
        </w:p>
        <w:p w14:paraId="18C1F54D" w14:textId="2A947F25" w:rsidR="008F0589" w:rsidRPr="008F0589" w:rsidRDefault="008F0589" w:rsidP="008F0589">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17308897" w:history="1">
            <w:r w:rsidRPr="008F0589">
              <w:rPr>
                <w:rStyle w:val="Hyperlink"/>
                <w:rFonts w:ascii="Arial" w:hAnsi="Arial"/>
                <w:b w:val="0"/>
                <w:bCs w:val="0"/>
                <w:noProof/>
                <w:sz w:val="24"/>
                <w:szCs w:val="24"/>
                <w:lang w:val="en-GB"/>
              </w:rPr>
              <w:t>2.1 Overview of Financial Performance</w:t>
            </w:r>
            <w:r w:rsidRPr="008F0589">
              <w:rPr>
                <w:rFonts w:ascii="Arial" w:hAnsi="Arial"/>
                <w:b w:val="0"/>
                <w:bCs w:val="0"/>
                <w:noProof/>
                <w:webHidden/>
                <w:sz w:val="24"/>
                <w:szCs w:val="24"/>
              </w:rPr>
              <w:tab/>
            </w:r>
            <w:r w:rsidRPr="008F0589">
              <w:rPr>
                <w:rFonts w:ascii="Arial" w:hAnsi="Arial"/>
                <w:b w:val="0"/>
                <w:bCs w:val="0"/>
                <w:noProof/>
                <w:webHidden/>
                <w:sz w:val="24"/>
                <w:szCs w:val="24"/>
              </w:rPr>
              <w:fldChar w:fldCharType="begin"/>
            </w:r>
            <w:r w:rsidRPr="008F0589">
              <w:rPr>
                <w:rFonts w:ascii="Arial" w:hAnsi="Arial"/>
                <w:b w:val="0"/>
                <w:bCs w:val="0"/>
                <w:noProof/>
                <w:webHidden/>
                <w:sz w:val="24"/>
                <w:szCs w:val="24"/>
              </w:rPr>
              <w:instrText xml:space="preserve"> PAGEREF _Toc217308897 \h </w:instrText>
            </w:r>
            <w:r w:rsidRPr="008F0589">
              <w:rPr>
                <w:rFonts w:ascii="Arial" w:hAnsi="Arial"/>
                <w:b w:val="0"/>
                <w:bCs w:val="0"/>
                <w:noProof/>
                <w:webHidden/>
                <w:sz w:val="24"/>
                <w:szCs w:val="24"/>
              </w:rPr>
            </w:r>
            <w:r w:rsidRPr="008F0589">
              <w:rPr>
                <w:rFonts w:ascii="Arial" w:hAnsi="Arial"/>
                <w:b w:val="0"/>
                <w:bCs w:val="0"/>
                <w:noProof/>
                <w:webHidden/>
                <w:sz w:val="24"/>
                <w:szCs w:val="24"/>
              </w:rPr>
              <w:fldChar w:fldCharType="separate"/>
            </w:r>
            <w:r w:rsidRPr="008F0589">
              <w:rPr>
                <w:rFonts w:ascii="Arial" w:hAnsi="Arial"/>
                <w:b w:val="0"/>
                <w:bCs w:val="0"/>
                <w:noProof/>
                <w:webHidden/>
                <w:sz w:val="24"/>
                <w:szCs w:val="24"/>
              </w:rPr>
              <w:t>4</w:t>
            </w:r>
            <w:r w:rsidRPr="008F0589">
              <w:rPr>
                <w:rFonts w:ascii="Arial" w:hAnsi="Arial"/>
                <w:b w:val="0"/>
                <w:bCs w:val="0"/>
                <w:noProof/>
                <w:webHidden/>
                <w:sz w:val="24"/>
                <w:szCs w:val="24"/>
              </w:rPr>
              <w:fldChar w:fldCharType="end"/>
            </w:r>
          </w:hyperlink>
        </w:p>
        <w:p w14:paraId="63EC3707" w14:textId="7A3F24EF" w:rsidR="008F0589" w:rsidRPr="008F0589" w:rsidRDefault="008F0589" w:rsidP="008F0589">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17308898" w:history="1">
            <w:r w:rsidRPr="008F0589">
              <w:rPr>
                <w:rStyle w:val="Hyperlink"/>
                <w:rFonts w:ascii="Arial" w:hAnsi="Arial"/>
                <w:b w:val="0"/>
                <w:bCs w:val="0"/>
                <w:noProof/>
                <w:sz w:val="24"/>
                <w:szCs w:val="24"/>
                <w:lang w:val="en-GB"/>
              </w:rPr>
              <w:t>2.2 Profitability Ratio Analysis</w:t>
            </w:r>
            <w:r w:rsidRPr="008F0589">
              <w:rPr>
                <w:rFonts w:ascii="Arial" w:hAnsi="Arial"/>
                <w:b w:val="0"/>
                <w:bCs w:val="0"/>
                <w:noProof/>
                <w:webHidden/>
                <w:sz w:val="24"/>
                <w:szCs w:val="24"/>
              </w:rPr>
              <w:tab/>
            </w:r>
            <w:r w:rsidRPr="008F0589">
              <w:rPr>
                <w:rFonts w:ascii="Arial" w:hAnsi="Arial"/>
                <w:b w:val="0"/>
                <w:bCs w:val="0"/>
                <w:noProof/>
                <w:webHidden/>
                <w:sz w:val="24"/>
                <w:szCs w:val="24"/>
              </w:rPr>
              <w:fldChar w:fldCharType="begin"/>
            </w:r>
            <w:r w:rsidRPr="008F0589">
              <w:rPr>
                <w:rFonts w:ascii="Arial" w:hAnsi="Arial"/>
                <w:b w:val="0"/>
                <w:bCs w:val="0"/>
                <w:noProof/>
                <w:webHidden/>
                <w:sz w:val="24"/>
                <w:szCs w:val="24"/>
              </w:rPr>
              <w:instrText xml:space="preserve"> PAGEREF _Toc217308898 \h </w:instrText>
            </w:r>
            <w:r w:rsidRPr="008F0589">
              <w:rPr>
                <w:rFonts w:ascii="Arial" w:hAnsi="Arial"/>
                <w:b w:val="0"/>
                <w:bCs w:val="0"/>
                <w:noProof/>
                <w:webHidden/>
                <w:sz w:val="24"/>
                <w:szCs w:val="24"/>
              </w:rPr>
            </w:r>
            <w:r w:rsidRPr="008F0589">
              <w:rPr>
                <w:rFonts w:ascii="Arial" w:hAnsi="Arial"/>
                <w:b w:val="0"/>
                <w:bCs w:val="0"/>
                <w:noProof/>
                <w:webHidden/>
                <w:sz w:val="24"/>
                <w:szCs w:val="24"/>
              </w:rPr>
              <w:fldChar w:fldCharType="separate"/>
            </w:r>
            <w:r w:rsidRPr="008F0589">
              <w:rPr>
                <w:rFonts w:ascii="Arial" w:hAnsi="Arial"/>
                <w:b w:val="0"/>
                <w:bCs w:val="0"/>
                <w:noProof/>
                <w:webHidden/>
                <w:sz w:val="24"/>
                <w:szCs w:val="24"/>
              </w:rPr>
              <w:t>4</w:t>
            </w:r>
            <w:r w:rsidRPr="008F0589">
              <w:rPr>
                <w:rFonts w:ascii="Arial" w:hAnsi="Arial"/>
                <w:b w:val="0"/>
                <w:bCs w:val="0"/>
                <w:noProof/>
                <w:webHidden/>
                <w:sz w:val="24"/>
                <w:szCs w:val="24"/>
              </w:rPr>
              <w:fldChar w:fldCharType="end"/>
            </w:r>
          </w:hyperlink>
        </w:p>
        <w:p w14:paraId="78080040" w14:textId="2D05F12D" w:rsidR="008F0589" w:rsidRPr="008F0589" w:rsidRDefault="008F0589" w:rsidP="008F0589">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17308899" w:history="1">
            <w:r w:rsidRPr="008F0589">
              <w:rPr>
                <w:rStyle w:val="Hyperlink"/>
                <w:rFonts w:ascii="Arial" w:hAnsi="Arial"/>
                <w:b w:val="0"/>
                <w:bCs w:val="0"/>
                <w:noProof/>
                <w:sz w:val="24"/>
                <w:szCs w:val="24"/>
                <w:lang w:val="en-GB"/>
              </w:rPr>
              <w:t>2.3 Liquidity Ratio Analysis</w:t>
            </w:r>
            <w:r w:rsidRPr="008F0589">
              <w:rPr>
                <w:rFonts w:ascii="Arial" w:hAnsi="Arial"/>
                <w:b w:val="0"/>
                <w:bCs w:val="0"/>
                <w:noProof/>
                <w:webHidden/>
                <w:sz w:val="24"/>
                <w:szCs w:val="24"/>
              </w:rPr>
              <w:tab/>
            </w:r>
            <w:r w:rsidRPr="008F0589">
              <w:rPr>
                <w:rFonts w:ascii="Arial" w:hAnsi="Arial"/>
                <w:b w:val="0"/>
                <w:bCs w:val="0"/>
                <w:noProof/>
                <w:webHidden/>
                <w:sz w:val="24"/>
                <w:szCs w:val="24"/>
              </w:rPr>
              <w:fldChar w:fldCharType="begin"/>
            </w:r>
            <w:r w:rsidRPr="008F0589">
              <w:rPr>
                <w:rFonts w:ascii="Arial" w:hAnsi="Arial"/>
                <w:b w:val="0"/>
                <w:bCs w:val="0"/>
                <w:noProof/>
                <w:webHidden/>
                <w:sz w:val="24"/>
                <w:szCs w:val="24"/>
              </w:rPr>
              <w:instrText xml:space="preserve"> PAGEREF _Toc217308899 \h </w:instrText>
            </w:r>
            <w:r w:rsidRPr="008F0589">
              <w:rPr>
                <w:rFonts w:ascii="Arial" w:hAnsi="Arial"/>
                <w:b w:val="0"/>
                <w:bCs w:val="0"/>
                <w:noProof/>
                <w:webHidden/>
                <w:sz w:val="24"/>
                <w:szCs w:val="24"/>
              </w:rPr>
            </w:r>
            <w:r w:rsidRPr="008F0589">
              <w:rPr>
                <w:rFonts w:ascii="Arial" w:hAnsi="Arial"/>
                <w:b w:val="0"/>
                <w:bCs w:val="0"/>
                <w:noProof/>
                <w:webHidden/>
                <w:sz w:val="24"/>
                <w:szCs w:val="24"/>
              </w:rPr>
              <w:fldChar w:fldCharType="separate"/>
            </w:r>
            <w:r w:rsidRPr="008F0589">
              <w:rPr>
                <w:rFonts w:ascii="Arial" w:hAnsi="Arial"/>
                <w:b w:val="0"/>
                <w:bCs w:val="0"/>
                <w:noProof/>
                <w:webHidden/>
                <w:sz w:val="24"/>
                <w:szCs w:val="24"/>
              </w:rPr>
              <w:t>8</w:t>
            </w:r>
            <w:r w:rsidRPr="008F0589">
              <w:rPr>
                <w:rFonts w:ascii="Arial" w:hAnsi="Arial"/>
                <w:b w:val="0"/>
                <w:bCs w:val="0"/>
                <w:noProof/>
                <w:webHidden/>
                <w:sz w:val="24"/>
                <w:szCs w:val="24"/>
              </w:rPr>
              <w:fldChar w:fldCharType="end"/>
            </w:r>
          </w:hyperlink>
        </w:p>
        <w:p w14:paraId="65FE88FD" w14:textId="61688180" w:rsidR="008F0589" w:rsidRPr="008F0589" w:rsidRDefault="008F0589" w:rsidP="008F0589">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17308900" w:history="1">
            <w:r w:rsidRPr="008F0589">
              <w:rPr>
                <w:rStyle w:val="Hyperlink"/>
                <w:rFonts w:ascii="Arial" w:hAnsi="Arial"/>
                <w:b w:val="0"/>
                <w:bCs w:val="0"/>
                <w:noProof/>
                <w:sz w:val="24"/>
                <w:szCs w:val="24"/>
                <w:lang w:val="en-GB"/>
              </w:rPr>
              <w:t>2.4 Efficiency (Activity) Ratio Analysis</w:t>
            </w:r>
            <w:r w:rsidRPr="008F0589">
              <w:rPr>
                <w:rFonts w:ascii="Arial" w:hAnsi="Arial"/>
                <w:b w:val="0"/>
                <w:bCs w:val="0"/>
                <w:noProof/>
                <w:webHidden/>
                <w:sz w:val="24"/>
                <w:szCs w:val="24"/>
              </w:rPr>
              <w:tab/>
            </w:r>
            <w:r w:rsidRPr="008F0589">
              <w:rPr>
                <w:rFonts w:ascii="Arial" w:hAnsi="Arial"/>
                <w:b w:val="0"/>
                <w:bCs w:val="0"/>
                <w:noProof/>
                <w:webHidden/>
                <w:sz w:val="24"/>
                <w:szCs w:val="24"/>
              </w:rPr>
              <w:fldChar w:fldCharType="begin"/>
            </w:r>
            <w:r w:rsidRPr="008F0589">
              <w:rPr>
                <w:rFonts w:ascii="Arial" w:hAnsi="Arial"/>
                <w:b w:val="0"/>
                <w:bCs w:val="0"/>
                <w:noProof/>
                <w:webHidden/>
                <w:sz w:val="24"/>
                <w:szCs w:val="24"/>
              </w:rPr>
              <w:instrText xml:space="preserve"> PAGEREF _Toc217308900 \h </w:instrText>
            </w:r>
            <w:r w:rsidRPr="008F0589">
              <w:rPr>
                <w:rFonts w:ascii="Arial" w:hAnsi="Arial"/>
                <w:b w:val="0"/>
                <w:bCs w:val="0"/>
                <w:noProof/>
                <w:webHidden/>
                <w:sz w:val="24"/>
                <w:szCs w:val="24"/>
              </w:rPr>
            </w:r>
            <w:r w:rsidRPr="008F0589">
              <w:rPr>
                <w:rFonts w:ascii="Arial" w:hAnsi="Arial"/>
                <w:b w:val="0"/>
                <w:bCs w:val="0"/>
                <w:noProof/>
                <w:webHidden/>
                <w:sz w:val="24"/>
                <w:szCs w:val="24"/>
              </w:rPr>
              <w:fldChar w:fldCharType="separate"/>
            </w:r>
            <w:r w:rsidRPr="008F0589">
              <w:rPr>
                <w:rFonts w:ascii="Arial" w:hAnsi="Arial"/>
                <w:b w:val="0"/>
                <w:bCs w:val="0"/>
                <w:noProof/>
                <w:webHidden/>
                <w:sz w:val="24"/>
                <w:szCs w:val="24"/>
              </w:rPr>
              <w:t>10</w:t>
            </w:r>
            <w:r w:rsidRPr="008F0589">
              <w:rPr>
                <w:rFonts w:ascii="Arial" w:hAnsi="Arial"/>
                <w:b w:val="0"/>
                <w:bCs w:val="0"/>
                <w:noProof/>
                <w:webHidden/>
                <w:sz w:val="24"/>
                <w:szCs w:val="24"/>
              </w:rPr>
              <w:fldChar w:fldCharType="end"/>
            </w:r>
          </w:hyperlink>
        </w:p>
        <w:p w14:paraId="70DA47EB" w14:textId="1C337E5E" w:rsidR="008F0589" w:rsidRPr="008F0589" w:rsidRDefault="008F0589" w:rsidP="008F0589">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17308901" w:history="1">
            <w:r w:rsidRPr="008F0589">
              <w:rPr>
                <w:rStyle w:val="Hyperlink"/>
                <w:rFonts w:ascii="Arial" w:hAnsi="Arial"/>
                <w:b w:val="0"/>
                <w:bCs w:val="0"/>
                <w:noProof/>
                <w:sz w:val="24"/>
                <w:szCs w:val="24"/>
                <w:lang w:val="en-GB"/>
              </w:rPr>
              <w:t>2.5 Gearing &amp; Capital Structure Analysis</w:t>
            </w:r>
            <w:r w:rsidRPr="008F0589">
              <w:rPr>
                <w:rFonts w:ascii="Arial" w:hAnsi="Arial"/>
                <w:b w:val="0"/>
                <w:bCs w:val="0"/>
                <w:noProof/>
                <w:webHidden/>
                <w:sz w:val="24"/>
                <w:szCs w:val="24"/>
              </w:rPr>
              <w:tab/>
            </w:r>
            <w:r w:rsidRPr="008F0589">
              <w:rPr>
                <w:rFonts w:ascii="Arial" w:hAnsi="Arial"/>
                <w:b w:val="0"/>
                <w:bCs w:val="0"/>
                <w:noProof/>
                <w:webHidden/>
                <w:sz w:val="24"/>
                <w:szCs w:val="24"/>
              </w:rPr>
              <w:fldChar w:fldCharType="begin"/>
            </w:r>
            <w:r w:rsidRPr="008F0589">
              <w:rPr>
                <w:rFonts w:ascii="Arial" w:hAnsi="Arial"/>
                <w:b w:val="0"/>
                <w:bCs w:val="0"/>
                <w:noProof/>
                <w:webHidden/>
                <w:sz w:val="24"/>
                <w:szCs w:val="24"/>
              </w:rPr>
              <w:instrText xml:space="preserve"> PAGEREF _Toc217308901 \h </w:instrText>
            </w:r>
            <w:r w:rsidRPr="008F0589">
              <w:rPr>
                <w:rFonts w:ascii="Arial" w:hAnsi="Arial"/>
                <w:b w:val="0"/>
                <w:bCs w:val="0"/>
                <w:noProof/>
                <w:webHidden/>
                <w:sz w:val="24"/>
                <w:szCs w:val="24"/>
              </w:rPr>
            </w:r>
            <w:r w:rsidRPr="008F0589">
              <w:rPr>
                <w:rFonts w:ascii="Arial" w:hAnsi="Arial"/>
                <w:b w:val="0"/>
                <w:bCs w:val="0"/>
                <w:noProof/>
                <w:webHidden/>
                <w:sz w:val="24"/>
                <w:szCs w:val="24"/>
              </w:rPr>
              <w:fldChar w:fldCharType="separate"/>
            </w:r>
            <w:r w:rsidRPr="008F0589">
              <w:rPr>
                <w:rFonts w:ascii="Arial" w:hAnsi="Arial"/>
                <w:b w:val="0"/>
                <w:bCs w:val="0"/>
                <w:noProof/>
                <w:webHidden/>
                <w:sz w:val="24"/>
                <w:szCs w:val="24"/>
              </w:rPr>
              <w:t>12</w:t>
            </w:r>
            <w:r w:rsidRPr="008F0589">
              <w:rPr>
                <w:rFonts w:ascii="Arial" w:hAnsi="Arial"/>
                <w:b w:val="0"/>
                <w:bCs w:val="0"/>
                <w:noProof/>
                <w:webHidden/>
                <w:sz w:val="24"/>
                <w:szCs w:val="24"/>
              </w:rPr>
              <w:fldChar w:fldCharType="end"/>
            </w:r>
          </w:hyperlink>
        </w:p>
        <w:p w14:paraId="010605CD" w14:textId="1D11F1C9" w:rsidR="008F0589" w:rsidRPr="008F0589" w:rsidRDefault="008F0589" w:rsidP="008F0589">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17308902" w:history="1">
            <w:r w:rsidRPr="008F0589">
              <w:rPr>
                <w:rStyle w:val="Hyperlink"/>
                <w:rFonts w:ascii="Arial" w:hAnsi="Arial"/>
                <w:b w:val="0"/>
                <w:bCs w:val="0"/>
                <w:noProof/>
                <w:sz w:val="24"/>
                <w:szCs w:val="24"/>
                <w:lang w:val="en-GB"/>
              </w:rPr>
              <w:t>2.6 Investment &amp; Market-Based Ratios</w:t>
            </w:r>
            <w:r w:rsidRPr="008F0589">
              <w:rPr>
                <w:rFonts w:ascii="Arial" w:hAnsi="Arial"/>
                <w:b w:val="0"/>
                <w:bCs w:val="0"/>
                <w:noProof/>
                <w:webHidden/>
                <w:sz w:val="24"/>
                <w:szCs w:val="24"/>
              </w:rPr>
              <w:tab/>
            </w:r>
            <w:r w:rsidRPr="008F0589">
              <w:rPr>
                <w:rFonts w:ascii="Arial" w:hAnsi="Arial"/>
                <w:b w:val="0"/>
                <w:bCs w:val="0"/>
                <w:noProof/>
                <w:webHidden/>
                <w:sz w:val="24"/>
                <w:szCs w:val="24"/>
              </w:rPr>
              <w:fldChar w:fldCharType="begin"/>
            </w:r>
            <w:r w:rsidRPr="008F0589">
              <w:rPr>
                <w:rFonts w:ascii="Arial" w:hAnsi="Arial"/>
                <w:b w:val="0"/>
                <w:bCs w:val="0"/>
                <w:noProof/>
                <w:webHidden/>
                <w:sz w:val="24"/>
                <w:szCs w:val="24"/>
              </w:rPr>
              <w:instrText xml:space="preserve"> PAGEREF _Toc217308902 \h </w:instrText>
            </w:r>
            <w:r w:rsidRPr="008F0589">
              <w:rPr>
                <w:rFonts w:ascii="Arial" w:hAnsi="Arial"/>
                <w:b w:val="0"/>
                <w:bCs w:val="0"/>
                <w:noProof/>
                <w:webHidden/>
                <w:sz w:val="24"/>
                <w:szCs w:val="24"/>
              </w:rPr>
            </w:r>
            <w:r w:rsidRPr="008F0589">
              <w:rPr>
                <w:rFonts w:ascii="Arial" w:hAnsi="Arial"/>
                <w:b w:val="0"/>
                <w:bCs w:val="0"/>
                <w:noProof/>
                <w:webHidden/>
                <w:sz w:val="24"/>
                <w:szCs w:val="24"/>
              </w:rPr>
              <w:fldChar w:fldCharType="separate"/>
            </w:r>
            <w:r w:rsidRPr="008F0589">
              <w:rPr>
                <w:rFonts w:ascii="Arial" w:hAnsi="Arial"/>
                <w:b w:val="0"/>
                <w:bCs w:val="0"/>
                <w:noProof/>
                <w:webHidden/>
                <w:sz w:val="24"/>
                <w:szCs w:val="24"/>
              </w:rPr>
              <w:t>13</w:t>
            </w:r>
            <w:r w:rsidRPr="008F0589">
              <w:rPr>
                <w:rFonts w:ascii="Arial" w:hAnsi="Arial"/>
                <w:b w:val="0"/>
                <w:bCs w:val="0"/>
                <w:noProof/>
                <w:webHidden/>
                <w:sz w:val="24"/>
                <w:szCs w:val="24"/>
              </w:rPr>
              <w:fldChar w:fldCharType="end"/>
            </w:r>
          </w:hyperlink>
        </w:p>
        <w:p w14:paraId="5F192DA9" w14:textId="3855C05C" w:rsidR="008F0589" w:rsidRPr="008F0589" w:rsidRDefault="008F0589" w:rsidP="008F0589">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17308903" w:history="1">
            <w:r w:rsidRPr="008F0589">
              <w:rPr>
                <w:rStyle w:val="Hyperlink"/>
                <w:rFonts w:ascii="Arial" w:hAnsi="Arial"/>
                <w:b w:val="0"/>
                <w:bCs w:val="0"/>
                <w:noProof/>
                <w:sz w:val="24"/>
                <w:szCs w:val="24"/>
                <w:lang w:val="en-GB"/>
              </w:rPr>
              <w:t>2.7 Cash Flow Analysis</w:t>
            </w:r>
            <w:r w:rsidRPr="008F0589">
              <w:rPr>
                <w:rFonts w:ascii="Arial" w:hAnsi="Arial"/>
                <w:b w:val="0"/>
                <w:bCs w:val="0"/>
                <w:noProof/>
                <w:webHidden/>
                <w:sz w:val="24"/>
                <w:szCs w:val="24"/>
              </w:rPr>
              <w:tab/>
            </w:r>
            <w:r w:rsidRPr="008F0589">
              <w:rPr>
                <w:rFonts w:ascii="Arial" w:hAnsi="Arial"/>
                <w:b w:val="0"/>
                <w:bCs w:val="0"/>
                <w:noProof/>
                <w:webHidden/>
                <w:sz w:val="24"/>
                <w:szCs w:val="24"/>
              </w:rPr>
              <w:fldChar w:fldCharType="begin"/>
            </w:r>
            <w:r w:rsidRPr="008F0589">
              <w:rPr>
                <w:rFonts w:ascii="Arial" w:hAnsi="Arial"/>
                <w:b w:val="0"/>
                <w:bCs w:val="0"/>
                <w:noProof/>
                <w:webHidden/>
                <w:sz w:val="24"/>
                <w:szCs w:val="24"/>
              </w:rPr>
              <w:instrText xml:space="preserve"> PAGEREF _Toc217308903 \h </w:instrText>
            </w:r>
            <w:r w:rsidRPr="008F0589">
              <w:rPr>
                <w:rFonts w:ascii="Arial" w:hAnsi="Arial"/>
                <w:b w:val="0"/>
                <w:bCs w:val="0"/>
                <w:noProof/>
                <w:webHidden/>
                <w:sz w:val="24"/>
                <w:szCs w:val="24"/>
              </w:rPr>
            </w:r>
            <w:r w:rsidRPr="008F0589">
              <w:rPr>
                <w:rFonts w:ascii="Arial" w:hAnsi="Arial"/>
                <w:b w:val="0"/>
                <w:bCs w:val="0"/>
                <w:noProof/>
                <w:webHidden/>
                <w:sz w:val="24"/>
                <w:szCs w:val="24"/>
              </w:rPr>
              <w:fldChar w:fldCharType="separate"/>
            </w:r>
            <w:r w:rsidRPr="008F0589">
              <w:rPr>
                <w:rFonts w:ascii="Arial" w:hAnsi="Arial"/>
                <w:b w:val="0"/>
                <w:bCs w:val="0"/>
                <w:noProof/>
                <w:webHidden/>
                <w:sz w:val="24"/>
                <w:szCs w:val="24"/>
              </w:rPr>
              <w:t>13</w:t>
            </w:r>
            <w:r w:rsidRPr="008F0589">
              <w:rPr>
                <w:rFonts w:ascii="Arial" w:hAnsi="Arial"/>
                <w:b w:val="0"/>
                <w:bCs w:val="0"/>
                <w:noProof/>
                <w:webHidden/>
                <w:sz w:val="24"/>
                <w:szCs w:val="24"/>
              </w:rPr>
              <w:fldChar w:fldCharType="end"/>
            </w:r>
          </w:hyperlink>
        </w:p>
        <w:p w14:paraId="63F9A255" w14:textId="2E553DB1" w:rsidR="008F0589" w:rsidRPr="008F0589" w:rsidRDefault="008F0589" w:rsidP="008F0589">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17308904" w:history="1">
            <w:r w:rsidRPr="008F0589">
              <w:rPr>
                <w:rStyle w:val="Hyperlink"/>
                <w:rFonts w:ascii="Arial" w:hAnsi="Arial"/>
                <w:b w:val="0"/>
                <w:bCs w:val="0"/>
                <w:noProof/>
                <w:sz w:val="24"/>
                <w:szCs w:val="24"/>
                <w:lang w:val="en-GB"/>
              </w:rPr>
              <w:t>2.8 Corporate Failure Risk Assessment</w:t>
            </w:r>
            <w:r w:rsidRPr="008F0589">
              <w:rPr>
                <w:rFonts w:ascii="Arial" w:hAnsi="Arial"/>
                <w:b w:val="0"/>
                <w:bCs w:val="0"/>
                <w:noProof/>
                <w:webHidden/>
                <w:sz w:val="24"/>
                <w:szCs w:val="24"/>
              </w:rPr>
              <w:tab/>
            </w:r>
            <w:r w:rsidRPr="008F0589">
              <w:rPr>
                <w:rFonts w:ascii="Arial" w:hAnsi="Arial"/>
                <w:b w:val="0"/>
                <w:bCs w:val="0"/>
                <w:noProof/>
                <w:webHidden/>
                <w:sz w:val="24"/>
                <w:szCs w:val="24"/>
              </w:rPr>
              <w:fldChar w:fldCharType="begin"/>
            </w:r>
            <w:r w:rsidRPr="008F0589">
              <w:rPr>
                <w:rFonts w:ascii="Arial" w:hAnsi="Arial"/>
                <w:b w:val="0"/>
                <w:bCs w:val="0"/>
                <w:noProof/>
                <w:webHidden/>
                <w:sz w:val="24"/>
                <w:szCs w:val="24"/>
              </w:rPr>
              <w:instrText xml:space="preserve"> PAGEREF _Toc217308904 \h </w:instrText>
            </w:r>
            <w:r w:rsidRPr="008F0589">
              <w:rPr>
                <w:rFonts w:ascii="Arial" w:hAnsi="Arial"/>
                <w:b w:val="0"/>
                <w:bCs w:val="0"/>
                <w:noProof/>
                <w:webHidden/>
                <w:sz w:val="24"/>
                <w:szCs w:val="24"/>
              </w:rPr>
            </w:r>
            <w:r w:rsidRPr="008F0589">
              <w:rPr>
                <w:rFonts w:ascii="Arial" w:hAnsi="Arial"/>
                <w:b w:val="0"/>
                <w:bCs w:val="0"/>
                <w:noProof/>
                <w:webHidden/>
                <w:sz w:val="24"/>
                <w:szCs w:val="24"/>
              </w:rPr>
              <w:fldChar w:fldCharType="separate"/>
            </w:r>
            <w:r w:rsidRPr="008F0589">
              <w:rPr>
                <w:rFonts w:ascii="Arial" w:hAnsi="Arial"/>
                <w:b w:val="0"/>
                <w:bCs w:val="0"/>
                <w:noProof/>
                <w:webHidden/>
                <w:sz w:val="24"/>
                <w:szCs w:val="24"/>
              </w:rPr>
              <w:t>14</w:t>
            </w:r>
            <w:r w:rsidRPr="008F0589">
              <w:rPr>
                <w:rFonts w:ascii="Arial" w:hAnsi="Arial"/>
                <w:b w:val="0"/>
                <w:bCs w:val="0"/>
                <w:noProof/>
                <w:webHidden/>
                <w:sz w:val="24"/>
                <w:szCs w:val="24"/>
              </w:rPr>
              <w:fldChar w:fldCharType="end"/>
            </w:r>
          </w:hyperlink>
        </w:p>
        <w:p w14:paraId="7AD5786F" w14:textId="1F5A2100" w:rsidR="008F0589" w:rsidRPr="008F0589" w:rsidRDefault="008F0589" w:rsidP="008F0589">
          <w:pPr>
            <w:pStyle w:val="TOC1"/>
            <w:tabs>
              <w:tab w:val="right" w:leader="dot" w:pos="9016"/>
            </w:tabs>
            <w:jc w:val="both"/>
            <w:rPr>
              <w:rFonts w:ascii="Arial" w:eastAsiaTheme="minorEastAsia" w:hAnsi="Arial"/>
              <w:b w:val="0"/>
              <w:bCs w:val="0"/>
              <w:i w:val="0"/>
              <w:iCs w:val="0"/>
              <w:noProof/>
              <w:kern w:val="2"/>
              <w:lang w:val="en-IN" w:eastAsia="en-IN"/>
              <w14:ligatures w14:val="standardContextual"/>
            </w:rPr>
          </w:pPr>
          <w:hyperlink w:anchor="_Toc217308905" w:history="1">
            <w:r w:rsidRPr="008F0589">
              <w:rPr>
                <w:rStyle w:val="Hyperlink"/>
                <w:rFonts w:ascii="Arial" w:hAnsi="Arial"/>
                <w:b w:val="0"/>
                <w:bCs w:val="0"/>
                <w:i w:val="0"/>
                <w:iCs w:val="0"/>
                <w:noProof/>
                <w:lang w:val="en-GB"/>
              </w:rPr>
              <w:t>3. Working Capital Management Analysis</w:t>
            </w:r>
            <w:r w:rsidRPr="008F0589">
              <w:rPr>
                <w:rFonts w:ascii="Arial" w:hAnsi="Arial"/>
                <w:b w:val="0"/>
                <w:bCs w:val="0"/>
                <w:i w:val="0"/>
                <w:iCs w:val="0"/>
                <w:noProof/>
                <w:webHidden/>
              </w:rPr>
              <w:tab/>
            </w:r>
            <w:r w:rsidRPr="008F0589">
              <w:rPr>
                <w:rFonts w:ascii="Arial" w:hAnsi="Arial"/>
                <w:b w:val="0"/>
                <w:bCs w:val="0"/>
                <w:i w:val="0"/>
                <w:iCs w:val="0"/>
                <w:noProof/>
                <w:webHidden/>
              </w:rPr>
              <w:fldChar w:fldCharType="begin"/>
            </w:r>
            <w:r w:rsidRPr="008F0589">
              <w:rPr>
                <w:rFonts w:ascii="Arial" w:hAnsi="Arial"/>
                <w:b w:val="0"/>
                <w:bCs w:val="0"/>
                <w:i w:val="0"/>
                <w:iCs w:val="0"/>
                <w:noProof/>
                <w:webHidden/>
              </w:rPr>
              <w:instrText xml:space="preserve"> PAGEREF _Toc217308905 \h </w:instrText>
            </w:r>
            <w:r w:rsidRPr="008F0589">
              <w:rPr>
                <w:rFonts w:ascii="Arial" w:hAnsi="Arial"/>
                <w:b w:val="0"/>
                <w:bCs w:val="0"/>
                <w:i w:val="0"/>
                <w:iCs w:val="0"/>
                <w:noProof/>
                <w:webHidden/>
              </w:rPr>
            </w:r>
            <w:r w:rsidRPr="008F0589">
              <w:rPr>
                <w:rFonts w:ascii="Arial" w:hAnsi="Arial"/>
                <w:b w:val="0"/>
                <w:bCs w:val="0"/>
                <w:i w:val="0"/>
                <w:iCs w:val="0"/>
                <w:noProof/>
                <w:webHidden/>
              </w:rPr>
              <w:fldChar w:fldCharType="separate"/>
            </w:r>
            <w:r w:rsidRPr="008F0589">
              <w:rPr>
                <w:rFonts w:ascii="Arial" w:hAnsi="Arial"/>
                <w:b w:val="0"/>
                <w:bCs w:val="0"/>
                <w:i w:val="0"/>
                <w:iCs w:val="0"/>
                <w:noProof/>
                <w:webHidden/>
              </w:rPr>
              <w:t>14</w:t>
            </w:r>
            <w:r w:rsidRPr="008F0589">
              <w:rPr>
                <w:rFonts w:ascii="Arial" w:hAnsi="Arial"/>
                <w:b w:val="0"/>
                <w:bCs w:val="0"/>
                <w:i w:val="0"/>
                <w:iCs w:val="0"/>
                <w:noProof/>
                <w:webHidden/>
              </w:rPr>
              <w:fldChar w:fldCharType="end"/>
            </w:r>
          </w:hyperlink>
        </w:p>
        <w:p w14:paraId="6A7A2731" w14:textId="1801CEE9" w:rsidR="008F0589" w:rsidRPr="008F0589" w:rsidRDefault="008F0589" w:rsidP="008F0589">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17308906" w:history="1">
            <w:r w:rsidRPr="008F0589">
              <w:rPr>
                <w:rStyle w:val="Hyperlink"/>
                <w:rFonts w:ascii="Arial" w:hAnsi="Arial"/>
                <w:b w:val="0"/>
                <w:bCs w:val="0"/>
                <w:noProof/>
                <w:sz w:val="24"/>
                <w:szCs w:val="24"/>
                <w:lang w:val="en-GB"/>
              </w:rPr>
              <w:t>3.1 Cash Operating Cycle Assessment</w:t>
            </w:r>
            <w:r w:rsidRPr="008F0589">
              <w:rPr>
                <w:rFonts w:ascii="Arial" w:hAnsi="Arial"/>
                <w:b w:val="0"/>
                <w:bCs w:val="0"/>
                <w:noProof/>
                <w:webHidden/>
                <w:sz w:val="24"/>
                <w:szCs w:val="24"/>
              </w:rPr>
              <w:tab/>
            </w:r>
            <w:r w:rsidRPr="008F0589">
              <w:rPr>
                <w:rFonts w:ascii="Arial" w:hAnsi="Arial"/>
                <w:b w:val="0"/>
                <w:bCs w:val="0"/>
                <w:noProof/>
                <w:webHidden/>
                <w:sz w:val="24"/>
                <w:szCs w:val="24"/>
              </w:rPr>
              <w:fldChar w:fldCharType="begin"/>
            </w:r>
            <w:r w:rsidRPr="008F0589">
              <w:rPr>
                <w:rFonts w:ascii="Arial" w:hAnsi="Arial"/>
                <w:b w:val="0"/>
                <w:bCs w:val="0"/>
                <w:noProof/>
                <w:webHidden/>
                <w:sz w:val="24"/>
                <w:szCs w:val="24"/>
              </w:rPr>
              <w:instrText xml:space="preserve"> PAGEREF _Toc217308906 \h </w:instrText>
            </w:r>
            <w:r w:rsidRPr="008F0589">
              <w:rPr>
                <w:rFonts w:ascii="Arial" w:hAnsi="Arial"/>
                <w:b w:val="0"/>
                <w:bCs w:val="0"/>
                <w:noProof/>
                <w:webHidden/>
                <w:sz w:val="24"/>
                <w:szCs w:val="24"/>
              </w:rPr>
            </w:r>
            <w:r w:rsidRPr="008F0589">
              <w:rPr>
                <w:rFonts w:ascii="Arial" w:hAnsi="Arial"/>
                <w:b w:val="0"/>
                <w:bCs w:val="0"/>
                <w:noProof/>
                <w:webHidden/>
                <w:sz w:val="24"/>
                <w:szCs w:val="24"/>
              </w:rPr>
              <w:fldChar w:fldCharType="separate"/>
            </w:r>
            <w:r w:rsidRPr="008F0589">
              <w:rPr>
                <w:rFonts w:ascii="Arial" w:hAnsi="Arial"/>
                <w:b w:val="0"/>
                <w:bCs w:val="0"/>
                <w:noProof/>
                <w:webHidden/>
                <w:sz w:val="24"/>
                <w:szCs w:val="24"/>
              </w:rPr>
              <w:t>14</w:t>
            </w:r>
            <w:r w:rsidRPr="008F0589">
              <w:rPr>
                <w:rFonts w:ascii="Arial" w:hAnsi="Arial"/>
                <w:b w:val="0"/>
                <w:bCs w:val="0"/>
                <w:noProof/>
                <w:webHidden/>
                <w:sz w:val="24"/>
                <w:szCs w:val="24"/>
              </w:rPr>
              <w:fldChar w:fldCharType="end"/>
            </w:r>
          </w:hyperlink>
        </w:p>
        <w:p w14:paraId="6B3E8027" w14:textId="6DBA1646" w:rsidR="008F0589" w:rsidRPr="008F0589" w:rsidRDefault="008F0589" w:rsidP="008F0589">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17308907" w:history="1">
            <w:r w:rsidRPr="008F0589">
              <w:rPr>
                <w:rStyle w:val="Hyperlink"/>
                <w:rFonts w:ascii="Arial" w:hAnsi="Arial"/>
                <w:b w:val="0"/>
                <w:bCs w:val="0"/>
                <w:noProof/>
                <w:sz w:val="24"/>
                <w:szCs w:val="24"/>
                <w:lang w:val="en-GB"/>
              </w:rPr>
              <w:t>3.2 Liquidity Stress Diagnosis</w:t>
            </w:r>
            <w:r w:rsidRPr="008F0589">
              <w:rPr>
                <w:rFonts w:ascii="Arial" w:hAnsi="Arial"/>
                <w:b w:val="0"/>
                <w:bCs w:val="0"/>
                <w:noProof/>
                <w:webHidden/>
                <w:sz w:val="24"/>
                <w:szCs w:val="24"/>
              </w:rPr>
              <w:tab/>
            </w:r>
            <w:r w:rsidRPr="008F0589">
              <w:rPr>
                <w:rFonts w:ascii="Arial" w:hAnsi="Arial"/>
                <w:b w:val="0"/>
                <w:bCs w:val="0"/>
                <w:noProof/>
                <w:webHidden/>
                <w:sz w:val="24"/>
                <w:szCs w:val="24"/>
              </w:rPr>
              <w:fldChar w:fldCharType="begin"/>
            </w:r>
            <w:r w:rsidRPr="008F0589">
              <w:rPr>
                <w:rFonts w:ascii="Arial" w:hAnsi="Arial"/>
                <w:b w:val="0"/>
                <w:bCs w:val="0"/>
                <w:noProof/>
                <w:webHidden/>
                <w:sz w:val="24"/>
                <w:szCs w:val="24"/>
              </w:rPr>
              <w:instrText xml:space="preserve"> PAGEREF _Toc217308907 \h </w:instrText>
            </w:r>
            <w:r w:rsidRPr="008F0589">
              <w:rPr>
                <w:rFonts w:ascii="Arial" w:hAnsi="Arial"/>
                <w:b w:val="0"/>
                <w:bCs w:val="0"/>
                <w:noProof/>
                <w:webHidden/>
                <w:sz w:val="24"/>
                <w:szCs w:val="24"/>
              </w:rPr>
            </w:r>
            <w:r w:rsidRPr="008F0589">
              <w:rPr>
                <w:rFonts w:ascii="Arial" w:hAnsi="Arial"/>
                <w:b w:val="0"/>
                <w:bCs w:val="0"/>
                <w:noProof/>
                <w:webHidden/>
                <w:sz w:val="24"/>
                <w:szCs w:val="24"/>
              </w:rPr>
              <w:fldChar w:fldCharType="separate"/>
            </w:r>
            <w:r w:rsidRPr="008F0589">
              <w:rPr>
                <w:rFonts w:ascii="Arial" w:hAnsi="Arial"/>
                <w:b w:val="0"/>
                <w:bCs w:val="0"/>
                <w:noProof/>
                <w:webHidden/>
                <w:sz w:val="24"/>
                <w:szCs w:val="24"/>
              </w:rPr>
              <w:t>15</w:t>
            </w:r>
            <w:r w:rsidRPr="008F0589">
              <w:rPr>
                <w:rFonts w:ascii="Arial" w:hAnsi="Arial"/>
                <w:b w:val="0"/>
                <w:bCs w:val="0"/>
                <w:noProof/>
                <w:webHidden/>
                <w:sz w:val="24"/>
                <w:szCs w:val="24"/>
              </w:rPr>
              <w:fldChar w:fldCharType="end"/>
            </w:r>
          </w:hyperlink>
        </w:p>
        <w:p w14:paraId="57C753F3" w14:textId="6346FF94" w:rsidR="008F0589" w:rsidRPr="008F0589" w:rsidRDefault="008F0589" w:rsidP="008F0589">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17308908" w:history="1">
            <w:r w:rsidRPr="008F0589">
              <w:rPr>
                <w:rStyle w:val="Hyperlink"/>
                <w:rFonts w:ascii="Arial" w:hAnsi="Arial"/>
                <w:b w:val="0"/>
                <w:bCs w:val="0"/>
                <w:noProof/>
                <w:sz w:val="24"/>
                <w:szCs w:val="24"/>
                <w:lang w:val="en-GB"/>
              </w:rPr>
              <w:t>3.3 Working Capital Improvement Strategies</w:t>
            </w:r>
            <w:r w:rsidRPr="008F0589">
              <w:rPr>
                <w:rFonts w:ascii="Arial" w:hAnsi="Arial"/>
                <w:b w:val="0"/>
                <w:bCs w:val="0"/>
                <w:noProof/>
                <w:webHidden/>
                <w:sz w:val="24"/>
                <w:szCs w:val="24"/>
              </w:rPr>
              <w:tab/>
            </w:r>
            <w:r w:rsidRPr="008F0589">
              <w:rPr>
                <w:rFonts w:ascii="Arial" w:hAnsi="Arial"/>
                <w:b w:val="0"/>
                <w:bCs w:val="0"/>
                <w:noProof/>
                <w:webHidden/>
                <w:sz w:val="24"/>
                <w:szCs w:val="24"/>
              </w:rPr>
              <w:fldChar w:fldCharType="begin"/>
            </w:r>
            <w:r w:rsidRPr="008F0589">
              <w:rPr>
                <w:rFonts w:ascii="Arial" w:hAnsi="Arial"/>
                <w:b w:val="0"/>
                <w:bCs w:val="0"/>
                <w:noProof/>
                <w:webHidden/>
                <w:sz w:val="24"/>
                <w:szCs w:val="24"/>
              </w:rPr>
              <w:instrText xml:space="preserve"> PAGEREF _Toc217308908 \h </w:instrText>
            </w:r>
            <w:r w:rsidRPr="008F0589">
              <w:rPr>
                <w:rFonts w:ascii="Arial" w:hAnsi="Arial"/>
                <w:b w:val="0"/>
                <w:bCs w:val="0"/>
                <w:noProof/>
                <w:webHidden/>
                <w:sz w:val="24"/>
                <w:szCs w:val="24"/>
              </w:rPr>
            </w:r>
            <w:r w:rsidRPr="008F0589">
              <w:rPr>
                <w:rFonts w:ascii="Arial" w:hAnsi="Arial"/>
                <w:b w:val="0"/>
                <w:bCs w:val="0"/>
                <w:noProof/>
                <w:webHidden/>
                <w:sz w:val="24"/>
                <w:szCs w:val="24"/>
              </w:rPr>
              <w:fldChar w:fldCharType="separate"/>
            </w:r>
            <w:r w:rsidRPr="008F0589">
              <w:rPr>
                <w:rFonts w:ascii="Arial" w:hAnsi="Arial"/>
                <w:b w:val="0"/>
                <w:bCs w:val="0"/>
                <w:noProof/>
                <w:webHidden/>
                <w:sz w:val="24"/>
                <w:szCs w:val="24"/>
              </w:rPr>
              <w:t>15</w:t>
            </w:r>
            <w:r w:rsidRPr="008F0589">
              <w:rPr>
                <w:rFonts w:ascii="Arial" w:hAnsi="Arial"/>
                <w:b w:val="0"/>
                <w:bCs w:val="0"/>
                <w:noProof/>
                <w:webHidden/>
                <w:sz w:val="24"/>
                <w:szCs w:val="24"/>
              </w:rPr>
              <w:fldChar w:fldCharType="end"/>
            </w:r>
          </w:hyperlink>
        </w:p>
        <w:p w14:paraId="14EC6DD1" w14:textId="4AD70C3A" w:rsidR="008F0589" w:rsidRPr="008F0589" w:rsidRDefault="008F0589" w:rsidP="008F0589">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17308909" w:history="1">
            <w:r w:rsidRPr="008F0589">
              <w:rPr>
                <w:rStyle w:val="Hyperlink"/>
                <w:rFonts w:ascii="Arial" w:hAnsi="Arial"/>
                <w:b w:val="0"/>
                <w:bCs w:val="0"/>
                <w:noProof/>
                <w:sz w:val="24"/>
                <w:szCs w:val="24"/>
                <w:lang w:val="en-GB"/>
              </w:rPr>
              <w:t>3.4 Short-Term vs Long-Term Financing</w:t>
            </w:r>
            <w:r w:rsidRPr="008F0589">
              <w:rPr>
                <w:rFonts w:ascii="Arial" w:hAnsi="Arial"/>
                <w:b w:val="0"/>
                <w:bCs w:val="0"/>
                <w:noProof/>
                <w:webHidden/>
                <w:sz w:val="24"/>
                <w:szCs w:val="24"/>
              </w:rPr>
              <w:tab/>
            </w:r>
            <w:r w:rsidRPr="008F0589">
              <w:rPr>
                <w:rFonts w:ascii="Arial" w:hAnsi="Arial"/>
                <w:b w:val="0"/>
                <w:bCs w:val="0"/>
                <w:noProof/>
                <w:webHidden/>
                <w:sz w:val="24"/>
                <w:szCs w:val="24"/>
              </w:rPr>
              <w:fldChar w:fldCharType="begin"/>
            </w:r>
            <w:r w:rsidRPr="008F0589">
              <w:rPr>
                <w:rFonts w:ascii="Arial" w:hAnsi="Arial"/>
                <w:b w:val="0"/>
                <w:bCs w:val="0"/>
                <w:noProof/>
                <w:webHidden/>
                <w:sz w:val="24"/>
                <w:szCs w:val="24"/>
              </w:rPr>
              <w:instrText xml:space="preserve"> PAGEREF _Toc217308909 \h </w:instrText>
            </w:r>
            <w:r w:rsidRPr="008F0589">
              <w:rPr>
                <w:rFonts w:ascii="Arial" w:hAnsi="Arial"/>
                <w:b w:val="0"/>
                <w:bCs w:val="0"/>
                <w:noProof/>
                <w:webHidden/>
                <w:sz w:val="24"/>
                <w:szCs w:val="24"/>
              </w:rPr>
            </w:r>
            <w:r w:rsidRPr="008F0589">
              <w:rPr>
                <w:rFonts w:ascii="Arial" w:hAnsi="Arial"/>
                <w:b w:val="0"/>
                <w:bCs w:val="0"/>
                <w:noProof/>
                <w:webHidden/>
                <w:sz w:val="24"/>
                <w:szCs w:val="24"/>
              </w:rPr>
              <w:fldChar w:fldCharType="separate"/>
            </w:r>
            <w:r w:rsidRPr="008F0589">
              <w:rPr>
                <w:rFonts w:ascii="Arial" w:hAnsi="Arial"/>
                <w:b w:val="0"/>
                <w:bCs w:val="0"/>
                <w:noProof/>
                <w:webHidden/>
                <w:sz w:val="24"/>
                <w:szCs w:val="24"/>
              </w:rPr>
              <w:t>16</w:t>
            </w:r>
            <w:r w:rsidRPr="008F0589">
              <w:rPr>
                <w:rFonts w:ascii="Arial" w:hAnsi="Arial"/>
                <w:b w:val="0"/>
                <w:bCs w:val="0"/>
                <w:noProof/>
                <w:webHidden/>
                <w:sz w:val="24"/>
                <w:szCs w:val="24"/>
              </w:rPr>
              <w:fldChar w:fldCharType="end"/>
            </w:r>
          </w:hyperlink>
        </w:p>
        <w:p w14:paraId="4D3DAAEA" w14:textId="1EEB6D8D" w:rsidR="008F0589" w:rsidRPr="008F0589" w:rsidRDefault="008F0589" w:rsidP="008F0589">
          <w:pPr>
            <w:pStyle w:val="TOC1"/>
            <w:tabs>
              <w:tab w:val="right" w:leader="dot" w:pos="9016"/>
            </w:tabs>
            <w:jc w:val="both"/>
            <w:rPr>
              <w:rFonts w:ascii="Arial" w:eastAsiaTheme="minorEastAsia" w:hAnsi="Arial"/>
              <w:b w:val="0"/>
              <w:bCs w:val="0"/>
              <w:i w:val="0"/>
              <w:iCs w:val="0"/>
              <w:noProof/>
              <w:kern w:val="2"/>
              <w:lang w:val="en-IN" w:eastAsia="en-IN"/>
              <w14:ligatures w14:val="standardContextual"/>
            </w:rPr>
          </w:pPr>
          <w:hyperlink w:anchor="_Toc217308910" w:history="1">
            <w:r w:rsidRPr="008F0589">
              <w:rPr>
                <w:rStyle w:val="Hyperlink"/>
                <w:rFonts w:ascii="Arial" w:hAnsi="Arial"/>
                <w:b w:val="0"/>
                <w:bCs w:val="0"/>
                <w:i w:val="0"/>
                <w:iCs w:val="0"/>
                <w:noProof/>
                <w:lang w:val="en-GB"/>
              </w:rPr>
              <w:t>4. Strategic Financial Restructuring Plan</w:t>
            </w:r>
            <w:r w:rsidRPr="008F0589">
              <w:rPr>
                <w:rFonts w:ascii="Arial" w:hAnsi="Arial"/>
                <w:b w:val="0"/>
                <w:bCs w:val="0"/>
                <w:i w:val="0"/>
                <w:iCs w:val="0"/>
                <w:noProof/>
                <w:webHidden/>
              </w:rPr>
              <w:tab/>
            </w:r>
            <w:r w:rsidRPr="008F0589">
              <w:rPr>
                <w:rFonts w:ascii="Arial" w:hAnsi="Arial"/>
                <w:b w:val="0"/>
                <w:bCs w:val="0"/>
                <w:i w:val="0"/>
                <w:iCs w:val="0"/>
                <w:noProof/>
                <w:webHidden/>
              </w:rPr>
              <w:fldChar w:fldCharType="begin"/>
            </w:r>
            <w:r w:rsidRPr="008F0589">
              <w:rPr>
                <w:rFonts w:ascii="Arial" w:hAnsi="Arial"/>
                <w:b w:val="0"/>
                <w:bCs w:val="0"/>
                <w:i w:val="0"/>
                <w:iCs w:val="0"/>
                <w:noProof/>
                <w:webHidden/>
              </w:rPr>
              <w:instrText xml:space="preserve"> PAGEREF _Toc217308910 \h </w:instrText>
            </w:r>
            <w:r w:rsidRPr="008F0589">
              <w:rPr>
                <w:rFonts w:ascii="Arial" w:hAnsi="Arial"/>
                <w:b w:val="0"/>
                <w:bCs w:val="0"/>
                <w:i w:val="0"/>
                <w:iCs w:val="0"/>
                <w:noProof/>
                <w:webHidden/>
              </w:rPr>
            </w:r>
            <w:r w:rsidRPr="008F0589">
              <w:rPr>
                <w:rFonts w:ascii="Arial" w:hAnsi="Arial"/>
                <w:b w:val="0"/>
                <w:bCs w:val="0"/>
                <w:i w:val="0"/>
                <w:iCs w:val="0"/>
                <w:noProof/>
                <w:webHidden/>
              </w:rPr>
              <w:fldChar w:fldCharType="separate"/>
            </w:r>
            <w:r w:rsidRPr="008F0589">
              <w:rPr>
                <w:rFonts w:ascii="Arial" w:hAnsi="Arial"/>
                <w:b w:val="0"/>
                <w:bCs w:val="0"/>
                <w:i w:val="0"/>
                <w:iCs w:val="0"/>
                <w:noProof/>
                <w:webHidden/>
              </w:rPr>
              <w:t>16</w:t>
            </w:r>
            <w:r w:rsidRPr="008F0589">
              <w:rPr>
                <w:rFonts w:ascii="Arial" w:hAnsi="Arial"/>
                <w:b w:val="0"/>
                <w:bCs w:val="0"/>
                <w:i w:val="0"/>
                <w:iCs w:val="0"/>
                <w:noProof/>
                <w:webHidden/>
              </w:rPr>
              <w:fldChar w:fldCharType="end"/>
            </w:r>
          </w:hyperlink>
        </w:p>
        <w:p w14:paraId="51D2B17E" w14:textId="691AF114" w:rsidR="008F0589" w:rsidRPr="008F0589" w:rsidRDefault="008F0589" w:rsidP="008F0589">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17308911" w:history="1">
            <w:r w:rsidRPr="008F0589">
              <w:rPr>
                <w:rStyle w:val="Hyperlink"/>
                <w:rFonts w:ascii="Arial" w:hAnsi="Arial"/>
                <w:b w:val="0"/>
                <w:bCs w:val="0"/>
                <w:noProof/>
                <w:sz w:val="24"/>
                <w:szCs w:val="24"/>
                <w:lang w:val="en-GB"/>
              </w:rPr>
              <w:t>4.1 Need for Restructuring</w:t>
            </w:r>
            <w:r w:rsidRPr="008F0589">
              <w:rPr>
                <w:rFonts w:ascii="Arial" w:hAnsi="Arial"/>
                <w:b w:val="0"/>
                <w:bCs w:val="0"/>
                <w:noProof/>
                <w:webHidden/>
                <w:sz w:val="24"/>
                <w:szCs w:val="24"/>
              </w:rPr>
              <w:tab/>
            </w:r>
            <w:r w:rsidRPr="008F0589">
              <w:rPr>
                <w:rFonts w:ascii="Arial" w:hAnsi="Arial"/>
                <w:b w:val="0"/>
                <w:bCs w:val="0"/>
                <w:noProof/>
                <w:webHidden/>
                <w:sz w:val="24"/>
                <w:szCs w:val="24"/>
              </w:rPr>
              <w:fldChar w:fldCharType="begin"/>
            </w:r>
            <w:r w:rsidRPr="008F0589">
              <w:rPr>
                <w:rFonts w:ascii="Arial" w:hAnsi="Arial"/>
                <w:b w:val="0"/>
                <w:bCs w:val="0"/>
                <w:noProof/>
                <w:webHidden/>
                <w:sz w:val="24"/>
                <w:szCs w:val="24"/>
              </w:rPr>
              <w:instrText xml:space="preserve"> PAGEREF _Toc217308911 \h </w:instrText>
            </w:r>
            <w:r w:rsidRPr="008F0589">
              <w:rPr>
                <w:rFonts w:ascii="Arial" w:hAnsi="Arial"/>
                <w:b w:val="0"/>
                <w:bCs w:val="0"/>
                <w:noProof/>
                <w:webHidden/>
                <w:sz w:val="24"/>
                <w:szCs w:val="24"/>
              </w:rPr>
            </w:r>
            <w:r w:rsidRPr="008F0589">
              <w:rPr>
                <w:rFonts w:ascii="Arial" w:hAnsi="Arial"/>
                <w:b w:val="0"/>
                <w:bCs w:val="0"/>
                <w:noProof/>
                <w:webHidden/>
                <w:sz w:val="24"/>
                <w:szCs w:val="24"/>
              </w:rPr>
              <w:fldChar w:fldCharType="separate"/>
            </w:r>
            <w:r w:rsidRPr="008F0589">
              <w:rPr>
                <w:rFonts w:ascii="Arial" w:hAnsi="Arial"/>
                <w:b w:val="0"/>
                <w:bCs w:val="0"/>
                <w:noProof/>
                <w:webHidden/>
                <w:sz w:val="24"/>
                <w:szCs w:val="24"/>
              </w:rPr>
              <w:t>16</w:t>
            </w:r>
            <w:r w:rsidRPr="008F0589">
              <w:rPr>
                <w:rFonts w:ascii="Arial" w:hAnsi="Arial"/>
                <w:b w:val="0"/>
                <w:bCs w:val="0"/>
                <w:noProof/>
                <w:webHidden/>
                <w:sz w:val="24"/>
                <w:szCs w:val="24"/>
              </w:rPr>
              <w:fldChar w:fldCharType="end"/>
            </w:r>
          </w:hyperlink>
        </w:p>
        <w:p w14:paraId="1AF00A7D" w14:textId="08724E0E" w:rsidR="008F0589" w:rsidRPr="008F0589" w:rsidRDefault="008F0589" w:rsidP="008F0589">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17308912" w:history="1">
            <w:r w:rsidRPr="008F0589">
              <w:rPr>
                <w:rStyle w:val="Hyperlink"/>
                <w:rFonts w:ascii="Arial" w:hAnsi="Arial"/>
                <w:b w:val="0"/>
                <w:bCs w:val="0"/>
                <w:noProof/>
                <w:sz w:val="24"/>
                <w:szCs w:val="24"/>
                <w:lang w:val="en-GB"/>
              </w:rPr>
              <w:t>4.2 Restructuring Options Evaluation</w:t>
            </w:r>
            <w:r w:rsidRPr="008F0589">
              <w:rPr>
                <w:rFonts w:ascii="Arial" w:hAnsi="Arial"/>
                <w:b w:val="0"/>
                <w:bCs w:val="0"/>
                <w:noProof/>
                <w:webHidden/>
                <w:sz w:val="24"/>
                <w:szCs w:val="24"/>
              </w:rPr>
              <w:tab/>
            </w:r>
            <w:r w:rsidRPr="008F0589">
              <w:rPr>
                <w:rFonts w:ascii="Arial" w:hAnsi="Arial"/>
                <w:b w:val="0"/>
                <w:bCs w:val="0"/>
                <w:noProof/>
                <w:webHidden/>
                <w:sz w:val="24"/>
                <w:szCs w:val="24"/>
              </w:rPr>
              <w:fldChar w:fldCharType="begin"/>
            </w:r>
            <w:r w:rsidRPr="008F0589">
              <w:rPr>
                <w:rFonts w:ascii="Arial" w:hAnsi="Arial"/>
                <w:b w:val="0"/>
                <w:bCs w:val="0"/>
                <w:noProof/>
                <w:webHidden/>
                <w:sz w:val="24"/>
                <w:szCs w:val="24"/>
              </w:rPr>
              <w:instrText xml:space="preserve"> PAGEREF _Toc217308912 \h </w:instrText>
            </w:r>
            <w:r w:rsidRPr="008F0589">
              <w:rPr>
                <w:rFonts w:ascii="Arial" w:hAnsi="Arial"/>
                <w:b w:val="0"/>
                <w:bCs w:val="0"/>
                <w:noProof/>
                <w:webHidden/>
                <w:sz w:val="24"/>
                <w:szCs w:val="24"/>
              </w:rPr>
            </w:r>
            <w:r w:rsidRPr="008F0589">
              <w:rPr>
                <w:rFonts w:ascii="Arial" w:hAnsi="Arial"/>
                <w:b w:val="0"/>
                <w:bCs w:val="0"/>
                <w:noProof/>
                <w:webHidden/>
                <w:sz w:val="24"/>
                <w:szCs w:val="24"/>
              </w:rPr>
              <w:fldChar w:fldCharType="separate"/>
            </w:r>
            <w:r w:rsidRPr="008F0589">
              <w:rPr>
                <w:rFonts w:ascii="Arial" w:hAnsi="Arial"/>
                <w:b w:val="0"/>
                <w:bCs w:val="0"/>
                <w:noProof/>
                <w:webHidden/>
                <w:sz w:val="24"/>
                <w:szCs w:val="24"/>
              </w:rPr>
              <w:t>16</w:t>
            </w:r>
            <w:r w:rsidRPr="008F0589">
              <w:rPr>
                <w:rFonts w:ascii="Arial" w:hAnsi="Arial"/>
                <w:b w:val="0"/>
                <w:bCs w:val="0"/>
                <w:noProof/>
                <w:webHidden/>
                <w:sz w:val="24"/>
                <w:szCs w:val="24"/>
              </w:rPr>
              <w:fldChar w:fldCharType="end"/>
            </w:r>
          </w:hyperlink>
        </w:p>
        <w:p w14:paraId="05CF1D7A" w14:textId="58E92271" w:rsidR="008F0589" w:rsidRPr="008F0589" w:rsidRDefault="008F0589" w:rsidP="008F0589">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17308913" w:history="1">
            <w:r w:rsidRPr="008F0589">
              <w:rPr>
                <w:rStyle w:val="Hyperlink"/>
                <w:rFonts w:ascii="Arial" w:hAnsi="Arial"/>
                <w:b w:val="0"/>
                <w:bCs w:val="0"/>
                <w:noProof/>
                <w:sz w:val="24"/>
                <w:szCs w:val="24"/>
                <w:lang w:val="en-GB"/>
              </w:rPr>
              <w:t>4.3 Impact on Stakeholders</w:t>
            </w:r>
            <w:r w:rsidRPr="008F0589">
              <w:rPr>
                <w:rFonts w:ascii="Arial" w:hAnsi="Arial"/>
                <w:b w:val="0"/>
                <w:bCs w:val="0"/>
                <w:noProof/>
                <w:webHidden/>
                <w:sz w:val="24"/>
                <w:szCs w:val="24"/>
              </w:rPr>
              <w:tab/>
            </w:r>
            <w:r w:rsidRPr="008F0589">
              <w:rPr>
                <w:rFonts w:ascii="Arial" w:hAnsi="Arial"/>
                <w:b w:val="0"/>
                <w:bCs w:val="0"/>
                <w:noProof/>
                <w:webHidden/>
                <w:sz w:val="24"/>
                <w:szCs w:val="24"/>
              </w:rPr>
              <w:fldChar w:fldCharType="begin"/>
            </w:r>
            <w:r w:rsidRPr="008F0589">
              <w:rPr>
                <w:rFonts w:ascii="Arial" w:hAnsi="Arial"/>
                <w:b w:val="0"/>
                <w:bCs w:val="0"/>
                <w:noProof/>
                <w:webHidden/>
                <w:sz w:val="24"/>
                <w:szCs w:val="24"/>
              </w:rPr>
              <w:instrText xml:space="preserve"> PAGEREF _Toc217308913 \h </w:instrText>
            </w:r>
            <w:r w:rsidRPr="008F0589">
              <w:rPr>
                <w:rFonts w:ascii="Arial" w:hAnsi="Arial"/>
                <w:b w:val="0"/>
                <w:bCs w:val="0"/>
                <w:noProof/>
                <w:webHidden/>
                <w:sz w:val="24"/>
                <w:szCs w:val="24"/>
              </w:rPr>
            </w:r>
            <w:r w:rsidRPr="008F0589">
              <w:rPr>
                <w:rFonts w:ascii="Arial" w:hAnsi="Arial"/>
                <w:b w:val="0"/>
                <w:bCs w:val="0"/>
                <w:noProof/>
                <w:webHidden/>
                <w:sz w:val="24"/>
                <w:szCs w:val="24"/>
              </w:rPr>
              <w:fldChar w:fldCharType="separate"/>
            </w:r>
            <w:r w:rsidRPr="008F0589">
              <w:rPr>
                <w:rFonts w:ascii="Arial" w:hAnsi="Arial"/>
                <w:b w:val="0"/>
                <w:bCs w:val="0"/>
                <w:noProof/>
                <w:webHidden/>
                <w:sz w:val="24"/>
                <w:szCs w:val="24"/>
              </w:rPr>
              <w:t>18</w:t>
            </w:r>
            <w:r w:rsidRPr="008F0589">
              <w:rPr>
                <w:rFonts w:ascii="Arial" w:hAnsi="Arial"/>
                <w:b w:val="0"/>
                <w:bCs w:val="0"/>
                <w:noProof/>
                <w:webHidden/>
                <w:sz w:val="24"/>
                <w:szCs w:val="24"/>
              </w:rPr>
              <w:fldChar w:fldCharType="end"/>
            </w:r>
          </w:hyperlink>
        </w:p>
        <w:p w14:paraId="75AA9068" w14:textId="2C017490" w:rsidR="008F0589" w:rsidRPr="008F0589" w:rsidRDefault="008F0589" w:rsidP="008F0589">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17308914" w:history="1">
            <w:r w:rsidRPr="008F0589">
              <w:rPr>
                <w:rStyle w:val="Hyperlink"/>
                <w:rFonts w:ascii="Arial" w:hAnsi="Arial"/>
                <w:b w:val="0"/>
                <w:bCs w:val="0"/>
                <w:noProof/>
                <w:sz w:val="24"/>
                <w:szCs w:val="24"/>
                <w:lang w:val="en-GB"/>
              </w:rPr>
              <w:t>4.4 International &amp; Ethical Considerations</w:t>
            </w:r>
            <w:r w:rsidRPr="008F0589">
              <w:rPr>
                <w:rFonts w:ascii="Arial" w:hAnsi="Arial"/>
                <w:b w:val="0"/>
                <w:bCs w:val="0"/>
                <w:noProof/>
                <w:webHidden/>
                <w:sz w:val="24"/>
                <w:szCs w:val="24"/>
              </w:rPr>
              <w:tab/>
            </w:r>
            <w:r w:rsidRPr="008F0589">
              <w:rPr>
                <w:rFonts w:ascii="Arial" w:hAnsi="Arial"/>
                <w:b w:val="0"/>
                <w:bCs w:val="0"/>
                <w:noProof/>
                <w:webHidden/>
                <w:sz w:val="24"/>
                <w:szCs w:val="24"/>
              </w:rPr>
              <w:fldChar w:fldCharType="begin"/>
            </w:r>
            <w:r w:rsidRPr="008F0589">
              <w:rPr>
                <w:rFonts w:ascii="Arial" w:hAnsi="Arial"/>
                <w:b w:val="0"/>
                <w:bCs w:val="0"/>
                <w:noProof/>
                <w:webHidden/>
                <w:sz w:val="24"/>
                <w:szCs w:val="24"/>
              </w:rPr>
              <w:instrText xml:space="preserve"> PAGEREF _Toc217308914 \h </w:instrText>
            </w:r>
            <w:r w:rsidRPr="008F0589">
              <w:rPr>
                <w:rFonts w:ascii="Arial" w:hAnsi="Arial"/>
                <w:b w:val="0"/>
                <w:bCs w:val="0"/>
                <w:noProof/>
                <w:webHidden/>
                <w:sz w:val="24"/>
                <w:szCs w:val="24"/>
              </w:rPr>
            </w:r>
            <w:r w:rsidRPr="008F0589">
              <w:rPr>
                <w:rFonts w:ascii="Arial" w:hAnsi="Arial"/>
                <w:b w:val="0"/>
                <w:bCs w:val="0"/>
                <w:noProof/>
                <w:webHidden/>
                <w:sz w:val="24"/>
                <w:szCs w:val="24"/>
              </w:rPr>
              <w:fldChar w:fldCharType="separate"/>
            </w:r>
            <w:r w:rsidRPr="008F0589">
              <w:rPr>
                <w:rFonts w:ascii="Arial" w:hAnsi="Arial"/>
                <w:b w:val="0"/>
                <w:bCs w:val="0"/>
                <w:noProof/>
                <w:webHidden/>
                <w:sz w:val="24"/>
                <w:szCs w:val="24"/>
              </w:rPr>
              <w:t>18</w:t>
            </w:r>
            <w:r w:rsidRPr="008F0589">
              <w:rPr>
                <w:rFonts w:ascii="Arial" w:hAnsi="Arial"/>
                <w:b w:val="0"/>
                <w:bCs w:val="0"/>
                <w:noProof/>
                <w:webHidden/>
                <w:sz w:val="24"/>
                <w:szCs w:val="24"/>
              </w:rPr>
              <w:fldChar w:fldCharType="end"/>
            </w:r>
          </w:hyperlink>
        </w:p>
        <w:p w14:paraId="2B72E3BD" w14:textId="3B1BD419" w:rsidR="008F0589" w:rsidRPr="008F0589" w:rsidRDefault="008F0589" w:rsidP="008F0589">
          <w:pPr>
            <w:pStyle w:val="TOC1"/>
            <w:tabs>
              <w:tab w:val="right" w:leader="dot" w:pos="9016"/>
            </w:tabs>
            <w:jc w:val="both"/>
            <w:rPr>
              <w:rFonts w:ascii="Arial" w:eastAsiaTheme="minorEastAsia" w:hAnsi="Arial"/>
              <w:b w:val="0"/>
              <w:bCs w:val="0"/>
              <w:i w:val="0"/>
              <w:iCs w:val="0"/>
              <w:noProof/>
              <w:kern w:val="2"/>
              <w:lang w:val="en-IN" w:eastAsia="en-IN"/>
              <w14:ligatures w14:val="standardContextual"/>
            </w:rPr>
          </w:pPr>
          <w:hyperlink w:anchor="_Toc217308915" w:history="1">
            <w:r w:rsidRPr="008F0589">
              <w:rPr>
                <w:rStyle w:val="Hyperlink"/>
                <w:rFonts w:ascii="Arial" w:hAnsi="Arial"/>
                <w:b w:val="0"/>
                <w:bCs w:val="0"/>
                <w:i w:val="0"/>
                <w:iCs w:val="0"/>
                <w:noProof/>
                <w:lang w:val="en-GB"/>
              </w:rPr>
              <w:t>5. Investment Appraisal &amp; Capital Budgeting</w:t>
            </w:r>
            <w:r w:rsidRPr="008F0589">
              <w:rPr>
                <w:rFonts w:ascii="Arial" w:hAnsi="Arial"/>
                <w:b w:val="0"/>
                <w:bCs w:val="0"/>
                <w:i w:val="0"/>
                <w:iCs w:val="0"/>
                <w:noProof/>
                <w:webHidden/>
              </w:rPr>
              <w:tab/>
            </w:r>
            <w:r w:rsidRPr="008F0589">
              <w:rPr>
                <w:rFonts w:ascii="Arial" w:hAnsi="Arial"/>
                <w:b w:val="0"/>
                <w:bCs w:val="0"/>
                <w:i w:val="0"/>
                <w:iCs w:val="0"/>
                <w:noProof/>
                <w:webHidden/>
              </w:rPr>
              <w:fldChar w:fldCharType="begin"/>
            </w:r>
            <w:r w:rsidRPr="008F0589">
              <w:rPr>
                <w:rFonts w:ascii="Arial" w:hAnsi="Arial"/>
                <w:b w:val="0"/>
                <w:bCs w:val="0"/>
                <w:i w:val="0"/>
                <w:iCs w:val="0"/>
                <w:noProof/>
                <w:webHidden/>
              </w:rPr>
              <w:instrText xml:space="preserve"> PAGEREF _Toc217308915 \h </w:instrText>
            </w:r>
            <w:r w:rsidRPr="008F0589">
              <w:rPr>
                <w:rFonts w:ascii="Arial" w:hAnsi="Arial"/>
                <w:b w:val="0"/>
                <w:bCs w:val="0"/>
                <w:i w:val="0"/>
                <w:iCs w:val="0"/>
                <w:noProof/>
                <w:webHidden/>
              </w:rPr>
            </w:r>
            <w:r w:rsidRPr="008F0589">
              <w:rPr>
                <w:rFonts w:ascii="Arial" w:hAnsi="Arial"/>
                <w:b w:val="0"/>
                <w:bCs w:val="0"/>
                <w:i w:val="0"/>
                <w:iCs w:val="0"/>
                <w:noProof/>
                <w:webHidden/>
              </w:rPr>
              <w:fldChar w:fldCharType="separate"/>
            </w:r>
            <w:r w:rsidRPr="008F0589">
              <w:rPr>
                <w:rFonts w:ascii="Arial" w:hAnsi="Arial"/>
                <w:b w:val="0"/>
                <w:bCs w:val="0"/>
                <w:i w:val="0"/>
                <w:iCs w:val="0"/>
                <w:noProof/>
                <w:webHidden/>
              </w:rPr>
              <w:t>19</w:t>
            </w:r>
            <w:r w:rsidRPr="008F0589">
              <w:rPr>
                <w:rFonts w:ascii="Arial" w:hAnsi="Arial"/>
                <w:b w:val="0"/>
                <w:bCs w:val="0"/>
                <w:i w:val="0"/>
                <w:iCs w:val="0"/>
                <w:noProof/>
                <w:webHidden/>
              </w:rPr>
              <w:fldChar w:fldCharType="end"/>
            </w:r>
          </w:hyperlink>
        </w:p>
        <w:p w14:paraId="71978A2C" w14:textId="07419A1E" w:rsidR="008F0589" w:rsidRPr="008F0589" w:rsidRDefault="008F0589" w:rsidP="008F0589">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17308916" w:history="1">
            <w:r w:rsidRPr="008F0589">
              <w:rPr>
                <w:rStyle w:val="Hyperlink"/>
                <w:rFonts w:ascii="Arial" w:hAnsi="Arial"/>
                <w:b w:val="0"/>
                <w:bCs w:val="0"/>
                <w:noProof/>
                <w:sz w:val="24"/>
                <w:szCs w:val="24"/>
                <w:lang w:val="en-GB"/>
              </w:rPr>
              <w:t>5.1 Strategic Context for Investment</w:t>
            </w:r>
            <w:r w:rsidRPr="008F0589">
              <w:rPr>
                <w:rFonts w:ascii="Arial" w:hAnsi="Arial"/>
                <w:b w:val="0"/>
                <w:bCs w:val="0"/>
                <w:noProof/>
                <w:webHidden/>
                <w:sz w:val="24"/>
                <w:szCs w:val="24"/>
              </w:rPr>
              <w:tab/>
            </w:r>
            <w:r w:rsidRPr="008F0589">
              <w:rPr>
                <w:rFonts w:ascii="Arial" w:hAnsi="Arial"/>
                <w:b w:val="0"/>
                <w:bCs w:val="0"/>
                <w:noProof/>
                <w:webHidden/>
                <w:sz w:val="24"/>
                <w:szCs w:val="24"/>
              </w:rPr>
              <w:fldChar w:fldCharType="begin"/>
            </w:r>
            <w:r w:rsidRPr="008F0589">
              <w:rPr>
                <w:rFonts w:ascii="Arial" w:hAnsi="Arial"/>
                <w:b w:val="0"/>
                <w:bCs w:val="0"/>
                <w:noProof/>
                <w:webHidden/>
                <w:sz w:val="24"/>
                <w:szCs w:val="24"/>
              </w:rPr>
              <w:instrText xml:space="preserve"> PAGEREF _Toc217308916 \h </w:instrText>
            </w:r>
            <w:r w:rsidRPr="008F0589">
              <w:rPr>
                <w:rFonts w:ascii="Arial" w:hAnsi="Arial"/>
                <w:b w:val="0"/>
                <w:bCs w:val="0"/>
                <w:noProof/>
                <w:webHidden/>
                <w:sz w:val="24"/>
                <w:szCs w:val="24"/>
              </w:rPr>
            </w:r>
            <w:r w:rsidRPr="008F0589">
              <w:rPr>
                <w:rFonts w:ascii="Arial" w:hAnsi="Arial"/>
                <w:b w:val="0"/>
                <w:bCs w:val="0"/>
                <w:noProof/>
                <w:webHidden/>
                <w:sz w:val="24"/>
                <w:szCs w:val="24"/>
              </w:rPr>
              <w:fldChar w:fldCharType="separate"/>
            </w:r>
            <w:r w:rsidRPr="008F0589">
              <w:rPr>
                <w:rFonts w:ascii="Arial" w:hAnsi="Arial"/>
                <w:b w:val="0"/>
                <w:bCs w:val="0"/>
                <w:noProof/>
                <w:webHidden/>
                <w:sz w:val="24"/>
                <w:szCs w:val="24"/>
              </w:rPr>
              <w:t>19</w:t>
            </w:r>
            <w:r w:rsidRPr="008F0589">
              <w:rPr>
                <w:rFonts w:ascii="Arial" w:hAnsi="Arial"/>
                <w:b w:val="0"/>
                <w:bCs w:val="0"/>
                <w:noProof/>
                <w:webHidden/>
                <w:sz w:val="24"/>
                <w:szCs w:val="24"/>
              </w:rPr>
              <w:fldChar w:fldCharType="end"/>
            </w:r>
          </w:hyperlink>
        </w:p>
        <w:p w14:paraId="5D9CA2E2" w14:textId="047BCE3E" w:rsidR="008F0589" w:rsidRPr="008F0589" w:rsidRDefault="008F0589" w:rsidP="008F0589">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17308917" w:history="1">
            <w:r w:rsidRPr="008F0589">
              <w:rPr>
                <w:rStyle w:val="Hyperlink"/>
                <w:rFonts w:ascii="Arial" w:hAnsi="Arial"/>
                <w:b w:val="0"/>
                <w:bCs w:val="0"/>
                <w:noProof/>
                <w:sz w:val="24"/>
                <w:szCs w:val="24"/>
                <w:lang w:val="en-GB"/>
              </w:rPr>
              <w:t>5.2 Project Appraisal Calculations</w:t>
            </w:r>
            <w:r w:rsidRPr="008F0589">
              <w:rPr>
                <w:rFonts w:ascii="Arial" w:hAnsi="Arial"/>
                <w:b w:val="0"/>
                <w:bCs w:val="0"/>
                <w:noProof/>
                <w:webHidden/>
                <w:sz w:val="24"/>
                <w:szCs w:val="24"/>
              </w:rPr>
              <w:tab/>
            </w:r>
            <w:r w:rsidRPr="008F0589">
              <w:rPr>
                <w:rFonts w:ascii="Arial" w:hAnsi="Arial"/>
                <w:b w:val="0"/>
                <w:bCs w:val="0"/>
                <w:noProof/>
                <w:webHidden/>
                <w:sz w:val="24"/>
                <w:szCs w:val="24"/>
              </w:rPr>
              <w:fldChar w:fldCharType="begin"/>
            </w:r>
            <w:r w:rsidRPr="008F0589">
              <w:rPr>
                <w:rFonts w:ascii="Arial" w:hAnsi="Arial"/>
                <w:b w:val="0"/>
                <w:bCs w:val="0"/>
                <w:noProof/>
                <w:webHidden/>
                <w:sz w:val="24"/>
                <w:szCs w:val="24"/>
              </w:rPr>
              <w:instrText xml:space="preserve"> PAGEREF _Toc217308917 \h </w:instrText>
            </w:r>
            <w:r w:rsidRPr="008F0589">
              <w:rPr>
                <w:rFonts w:ascii="Arial" w:hAnsi="Arial"/>
                <w:b w:val="0"/>
                <w:bCs w:val="0"/>
                <w:noProof/>
                <w:webHidden/>
                <w:sz w:val="24"/>
                <w:szCs w:val="24"/>
              </w:rPr>
            </w:r>
            <w:r w:rsidRPr="008F0589">
              <w:rPr>
                <w:rFonts w:ascii="Arial" w:hAnsi="Arial"/>
                <w:b w:val="0"/>
                <w:bCs w:val="0"/>
                <w:noProof/>
                <w:webHidden/>
                <w:sz w:val="24"/>
                <w:szCs w:val="24"/>
              </w:rPr>
              <w:fldChar w:fldCharType="separate"/>
            </w:r>
            <w:r w:rsidRPr="008F0589">
              <w:rPr>
                <w:rFonts w:ascii="Arial" w:hAnsi="Arial"/>
                <w:b w:val="0"/>
                <w:bCs w:val="0"/>
                <w:noProof/>
                <w:webHidden/>
                <w:sz w:val="24"/>
                <w:szCs w:val="24"/>
              </w:rPr>
              <w:t>19</w:t>
            </w:r>
            <w:r w:rsidRPr="008F0589">
              <w:rPr>
                <w:rFonts w:ascii="Arial" w:hAnsi="Arial"/>
                <w:b w:val="0"/>
                <w:bCs w:val="0"/>
                <w:noProof/>
                <w:webHidden/>
                <w:sz w:val="24"/>
                <w:szCs w:val="24"/>
              </w:rPr>
              <w:fldChar w:fldCharType="end"/>
            </w:r>
          </w:hyperlink>
        </w:p>
        <w:p w14:paraId="5D219D54" w14:textId="526AE84B" w:rsidR="008F0589" w:rsidRPr="008F0589" w:rsidRDefault="008F0589" w:rsidP="008F0589">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17308918" w:history="1">
            <w:r w:rsidRPr="008F0589">
              <w:rPr>
                <w:rStyle w:val="Hyperlink"/>
                <w:rFonts w:ascii="Arial" w:hAnsi="Arial"/>
                <w:b w:val="0"/>
                <w:bCs w:val="0"/>
                <w:noProof/>
                <w:sz w:val="24"/>
                <w:szCs w:val="24"/>
                <w:lang w:val="en-GB"/>
              </w:rPr>
              <w:t>5.3 Comparative Evaluation of Projects</w:t>
            </w:r>
            <w:r w:rsidRPr="008F0589">
              <w:rPr>
                <w:rFonts w:ascii="Arial" w:hAnsi="Arial"/>
                <w:b w:val="0"/>
                <w:bCs w:val="0"/>
                <w:noProof/>
                <w:webHidden/>
                <w:sz w:val="24"/>
                <w:szCs w:val="24"/>
              </w:rPr>
              <w:tab/>
            </w:r>
            <w:r w:rsidRPr="008F0589">
              <w:rPr>
                <w:rFonts w:ascii="Arial" w:hAnsi="Arial"/>
                <w:b w:val="0"/>
                <w:bCs w:val="0"/>
                <w:noProof/>
                <w:webHidden/>
                <w:sz w:val="24"/>
                <w:szCs w:val="24"/>
              </w:rPr>
              <w:fldChar w:fldCharType="begin"/>
            </w:r>
            <w:r w:rsidRPr="008F0589">
              <w:rPr>
                <w:rFonts w:ascii="Arial" w:hAnsi="Arial"/>
                <w:b w:val="0"/>
                <w:bCs w:val="0"/>
                <w:noProof/>
                <w:webHidden/>
                <w:sz w:val="24"/>
                <w:szCs w:val="24"/>
              </w:rPr>
              <w:instrText xml:space="preserve"> PAGEREF _Toc217308918 \h </w:instrText>
            </w:r>
            <w:r w:rsidRPr="008F0589">
              <w:rPr>
                <w:rFonts w:ascii="Arial" w:hAnsi="Arial"/>
                <w:b w:val="0"/>
                <w:bCs w:val="0"/>
                <w:noProof/>
                <w:webHidden/>
                <w:sz w:val="24"/>
                <w:szCs w:val="24"/>
              </w:rPr>
            </w:r>
            <w:r w:rsidRPr="008F0589">
              <w:rPr>
                <w:rFonts w:ascii="Arial" w:hAnsi="Arial"/>
                <w:b w:val="0"/>
                <w:bCs w:val="0"/>
                <w:noProof/>
                <w:webHidden/>
                <w:sz w:val="24"/>
                <w:szCs w:val="24"/>
              </w:rPr>
              <w:fldChar w:fldCharType="separate"/>
            </w:r>
            <w:r w:rsidRPr="008F0589">
              <w:rPr>
                <w:rFonts w:ascii="Arial" w:hAnsi="Arial"/>
                <w:b w:val="0"/>
                <w:bCs w:val="0"/>
                <w:noProof/>
                <w:webHidden/>
                <w:sz w:val="24"/>
                <w:szCs w:val="24"/>
              </w:rPr>
              <w:t>20</w:t>
            </w:r>
            <w:r w:rsidRPr="008F0589">
              <w:rPr>
                <w:rFonts w:ascii="Arial" w:hAnsi="Arial"/>
                <w:b w:val="0"/>
                <w:bCs w:val="0"/>
                <w:noProof/>
                <w:webHidden/>
                <w:sz w:val="24"/>
                <w:szCs w:val="24"/>
              </w:rPr>
              <w:fldChar w:fldCharType="end"/>
            </w:r>
          </w:hyperlink>
        </w:p>
        <w:p w14:paraId="6D9D8890" w14:textId="44134267" w:rsidR="008F0589" w:rsidRPr="008F0589" w:rsidRDefault="008F0589" w:rsidP="008F0589">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17308919" w:history="1">
            <w:r w:rsidRPr="008F0589">
              <w:rPr>
                <w:rStyle w:val="Hyperlink"/>
                <w:rFonts w:ascii="Arial" w:hAnsi="Arial"/>
                <w:b w:val="0"/>
                <w:bCs w:val="0"/>
                <w:noProof/>
                <w:sz w:val="24"/>
                <w:szCs w:val="24"/>
                <w:lang w:val="en-GB"/>
              </w:rPr>
              <w:t>5.4 Capital Rationing Decision</w:t>
            </w:r>
            <w:r w:rsidRPr="008F0589">
              <w:rPr>
                <w:rFonts w:ascii="Arial" w:hAnsi="Arial"/>
                <w:b w:val="0"/>
                <w:bCs w:val="0"/>
                <w:noProof/>
                <w:webHidden/>
                <w:sz w:val="24"/>
                <w:szCs w:val="24"/>
              </w:rPr>
              <w:tab/>
            </w:r>
            <w:r w:rsidRPr="008F0589">
              <w:rPr>
                <w:rFonts w:ascii="Arial" w:hAnsi="Arial"/>
                <w:b w:val="0"/>
                <w:bCs w:val="0"/>
                <w:noProof/>
                <w:webHidden/>
                <w:sz w:val="24"/>
                <w:szCs w:val="24"/>
              </w:rPr>
              <w:fldChar w:fldCharType="begin"/>
            </w:r>
            <w:r w:rsidRPr="008F0589">
              <w:rPr>
                <w:rFonts w:ascii="Arial" w:hAnsi="Arial"/>
                <w:b w:val="0"/>
                <w:bCs w:val="0"/>
                <w:noProof/>
                <w:webHidden/>
                <w:sz w:val="24"/>
                <w:szCs w:val="24"/>
              </w:rPr>
              <w:instrText xml:space="preserve"> PAGEREF _Toc217308919 \h </w:instrText>
            </w:r>
            <w:r w:rsidRPr="008F0589">
              <w:rPr>
                <w:rFonts w:ascii="Arial" w:hAnsi="Arial"/>
                <w:b w:val="0"/>
                <w:bCs w:val="0"/>
                <w:noProof/>
                <w:webHidden/>
                <w:sz w:val="24"/>
                <w:szCs w:val="24"/>
              </w:rPr>
            </w:r>
            <w:r w:rsidRPr="008F0589">
              <w:rPr>
                <w:rFonts w:ascii="Arial" w:hAnsi="Arial"/>
                <w:b w:val="0"/>
                <w:bCs w:val="0"/>
                <w:noProof/>
                <w:webHidden/>
                <w:sz w:val="24"/>
                <w:szCs w:val="24"/>
              </w:rPr>
              <w:fldChar w:fldCharType="separate"/>
            </w:r>
            <w:r w:rsidRPr="008F0589">
              <w:rPr>
                <w:rFonts w:ascii="Arial" w:hAnsi="Arial"/>
                <w:b w:val="0"/>
                <w:bCs w:val="0"/>
                <w:noProof/>
                <w:webHidden/>
                <w:sz w:val="24"/>
                <w:szCs w:val="24"/>
              </w:rPr>
              <w:t>21</w:t>
            </w:r>
            <w:r w:rsidRPr="008F0589">
              <w:rPr>
                <w:rFonts w:ascii="Arial" w:hAnsi="Arial"/>
                <w:b w:val="0"/>
                <w:bCs w:val="0"/>
                <w:noProof/>
                <w:webHidden/>
                <w:sz w:val="24"/>
                <w:szCs w:val="24"/>
              </w:rPr>
              <w:fldChar w:fldCharType="end"/>
            </w:r>
          </w:hyperlink>
        </w:p>
        <w:p w14:paraId="4F8CEF7A" w14:textId="0F31967B" w:rsidR="008F0589" w:rsidRPr="008F0589" w:rsidRDefault="008F0589" w:rsidP="008F0589">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17308920" w:history="1">
            <w:r w:rsidRPr="008F0589">
              <w:rPr>
                <w:rStyle w:val="Hyperlink"/>
                <w:rFonts w:ascii="Arial" w:hAnsi="Arial"/>
                <w:b w:val="0"/>
                <w:bCs w:val="0"/>
                <w:noProof/>
                <w:sz w:val="24"/>
                <w:szCs w:val="24"/>
                <w:lang w:val="en-GB"/>
              </w:rPr>
              <w:t>5.5 CFO Recommendations</w:t>
            </w:r>
            <w:r w:rsidRPr="008F0589">
              <w:rPr>
                <w:rFonts w:ascii="Arial" w:hAnsi="Arial"/>
                <w:b w:val="0"/>
                <w:bCs w:val="0"/>
                <w:noProof/>
                <w:webHidden/>
                <w:sz w:val="24"/>
                <w:szCs w:val="24"/>
              </w:rPr>
              <w:tab/>
            </w:r>
            <w:r w:rsidRPr="008F0589">
              <w:rPr>
                <w:rFonts w:ascii="Arial" w:hAnsi="Arial"/>
                <w:b w:val="0"/>
                <w:bCs w:val="0"/>
                <w:noProof/>
                <w:webHidden/>
                <w:sz w:val="24"/>
                <w:szCs w:val="24"/>
              </w:rPr>
              <w:fldChar w:fldCharType="begin"/>
            </w:r>
            <w:r w:rsidRPr="008F0589">
              <w:rPr>
                <w:rFonts w:ascii="Arial" w:hAnsi="Arial"/>
                <w:b w:val="0"/>
                <w:bCs w:val="0"/>
                <w:noProof/>
                <w:webHidden/>
                <w:sz w:val="24"/>
                <w:szCs w:val="24"/>
              </w:rPr>
              <w:instrText xml:space="preserve"> PAGEREF _Toc217308920 \h </w:instrText>
            </w:r>
            <w:r w:rsidRPr="008F0589">
              <w:rPr>
                <w:rFonts w:ascii="Arial" w:hAnsi="Arial"/>
                <w:b w:val="0"/>
                <w:bCs w:val="0"/>
                <w:noProof/>
                <w:webHidden/>
                <w:sz w:val="24"/>
                <w:szCs w:val="24"/>
              </w:rPr>
            </w:r>
            <w:r w:rsidRPr="008F0589">
              <w:rPr>
                <w:rFonts w:ascii="Arial" w:hAnsi="Arial"/>
                <w:b w:val="0"/>
                <w:bCs w:val="0"/>
                <w:noProof/>
                <w:webHidden/>
                <w:sz w:val="24"/>
                <w:szCs w:val="24"/>
              </w:rPr>
              <w:fldChar w:fldCharType="separate"/>
            </w:r>
            <w:r w:rsidRPr="008F0589">
              <w:rPr>
                <w:rFonts w:ascii="Arial" w:hAnsi="Arial"/>
                <w:b w:val="0"/>
                <w:bCs w:val="0"/>
                <w:noProof/>
                <w:webHidden/>
                <w:sz w:val="24"/>
                <w:szCs w:val="24"/>
              </w:rPr>
              <w:t>22</w:t>
            </w:r>
            <w:r w:rsidRPr="008F0589">
              <w:rPr>
                <w:rFonts w:ascii="Arial" w:hAnsi="Arial"/>
                <w:b w:val="0"/>
                <w:bCs w:val="0"/>
                <w:noProof/>
                <w:webHidden/>
                <w:sz w:val="24"/>
                <w:szCs w:val="24"/>
              </w:rPr>
              <w:fldChar w:fldCharType="end"/>
            </w:r>
          </w:hyperlink>
        </w:p>
        <w:p w14:paraId="6CCBFC33" w14:textId="08FB4C7C" w:rsidR="008F0589" w:rsidRPr="008F0589" w:rsidRDefault="008F0589" w:rsidP="008F0589">
          <w:pPr>
            <w:pStyle w:val="TOC1"/>
            <w:tabs>
              <w:tab w:val="right" w:leader="dot" w:pos="9016"/>
            </w:tabs>
            <w:jc w:val="both"/>
            <w:rPr>
              <w:rFonts w:ascii="Arial" w:eastAsiaTheme="minorEastAsia" w:hAnsi="Arial"/>
              <w:b w:val="0"/>
              <w:bCs w:val="0"/>
              <w:i w:val="0"/>
              <w:iCs w:val="0"/>
              <w:noProof/>
              <w:kern w:val="2"/>
              <w:lang w:val="en-IN" w:eastAsia="en-IN"/>
              <w14:ligatures w14:val="standardContextual"/>
            </w:rPr>
          </w:pPr>
          <w:hyperlink w:anchor="_Toc217308921" w:history="1">
            <w:r w:rsidRPr="008F0589">
              <w:rPr>
                <w:rStyle w:val="Hyperlink"/>
                <w:rFonts w:ascii="Arial" w:hAnsi="Arial"/>
                <w:b w:val="0"/>
                <w:bCs w:val="0"/>
                <w:i w:val="0"/>
                <w:iCs w:val="0"/>
                <w:noProof/>
                <w:lang w:val="en-GB"/>
              </w:rPr>
              <w:t>6. Conclusion</w:t>
            </w:r>
            <w:r w:rsidRPr="008F0589">
              <w:rPr>
                <w:rFonts w:ascii="Arial" w:hAnsi="Arial"/>
                <w:b w:val="0"/>
                <w:bCs w:val="0"/>
                <w:i w:val="0"/>
                <w:iCs w:val="0"/>
                <w:noProof/>
                <w:webHidden/>
              </w:rPr>
              <w:tab/>
            </w:r>
            <w:r w:rsidRPr="008F0589">
              <w:rPr>
                <w:rFonts w:ascii="Arial" w:hAnsi="Arial"/>
                <w:b w:val="0"/>
                <w:bCs w:val="0"/>
                <w:i w:val="0"/>
                <w:iCs w:val="0"/>
                <w:noProof/>
                <w:webHidden/>
              </w:rPr>
              <w:fldChar w:fldCharType="begin"/>
            </w:r>
            <w:r w:rsidRPr="008F0589">
              <w:rPr>
                <w:rFonts w:ascii="Arial" w:hAnsi="Arial"/>
                <w:b w:val="0"/>
                <w:bCs w:val="0"/>
                <w:i w:val="0"/>
                <w:iCs w:val="0"/>
                <w:noProof/>
                <w:webHidden/>
              </w:rPr>
              <w:instrText xml:space="preserve"> PAGEREF _Toc217308921 \h </w:instrText>
            </w:r>
            <w:r w:rsidRPr="008F0589">
              <w:rPr>
                <w:rFonts w:ascii="Arial" w:hAnsi="Arial"/>
                <w:b w:val="0"/>
                <w:bCs w:val="0"/>
                <w:i w:val="0"/>
                <w:iCs w:val="0"/>
                <w:noProof/>
                <w:webHidden/>
              </w:rPr>
            </w:r>
            <w:r w:rsidRPr="008F0589">
              <w:rPr>
                <w:rFonts w:ascii="Arial" w:hAnsi="Arial"/>
                <w:b w:val="0"/>
                <w:bCs w:val="0"/>
                <w:i w:val="0"/>
                <w:iCs w:val="0"/>
                <w:noProof/>
                <w:webHidden/>
              </w:rPr>
              <w:fldChar w:fldCharType="separate"/>
            </w:r>
            <w:r w:rsidRPr="008F0589">
              <w:rPr>
                <w:rFonts w:ascii="Arial" w:hAnsi="Arial"/>
                <w:b w:val="0"/>
                <w:bCs w:val="0"/>
                <w:i w:val="0"/>
                <w:iCs w:val="0"/>
                <w:noProof/>
                <w:webHidden/>
              </w:rPr>
              <w:t>22</w:t>
            </w:r>
            <w:r w:rsidRPr="008F0589">
              <w:rPr>
                <w:rFonts w:ascii="Arial" w:hAnsi="Arial"/>
                <w:b w:val="0"/>
                <w:bCs w:val="0"/>
                <w:i w:val="0"/>
                <w:iCs w:val="0"/>
                <w:noProof/>
                <w:webHidden/>
              </w:rPr>
              <w:fldChar w:fldCharType="end"/>
            </w:r>
          </w:hyperlink>
        </w:p>
        <w:p w14:paraId="68972B68" w14:textId="6059D437" w:rsidR="008F0589" w:rsidRPr="008F0589" w:rsidRDefault="008F0589" w:rsidP="008F0589">
          <w:pPr>
            <w:pStyle w:val="TOC1"/>
            <w:tabs>
              <w:tab w:val="right" w:leader="dot" w:pos="9016"/>
            </w:tabs>
            <w:jc w:val="both"/>
            <w:rPr>
              <w:rFonts w:ascii="Arial" w:eastAsiaTheme="minorEastAsia" w:hAnsi="Arial"/>
              <w:b w:val="0"/>
              <w:bCs w:val="0"/>
              <w:i w:val="0"/>
              <w:iCs w:val="0"/>
              <w:noProof/>
              <w:kern w:val="2"/>
              <w:lang w:val="en-IN" w:eastAsia="en-IN"/>
              <w14:ligatures w14:val="standardContextual"/>
            </w:rPr>
          </w:pPr>
          <w:hyperlink w:anchor="_Toc217308922" w:history="1">
            <w:r w:rsidRPr="008F0589">
              <w:rPr>
                <w:rStyle w:val="Hyperlink"/>
                <w:rFonts w:ascii="Arial" w:hAnsi="Arial"/>
                <w:b w:val="0"/>
                <w:bCs w:val="0"/>
                <w:i w:val="0"/>
                <w:iCs w:val="0"/>
                <w:noProof/>
                <w:lang w:val="en-GB"/>
              </w:rPr>
              <w:t>References</w:t>
            </w:r>
            <w:r w:rsidRPr="008F0589">
              <w:rPr>
                <w:rFonts w:ascii="Arial" w:hAnsi="Arial"/>
                <w:b w:val="0"/>
                <w:bCs w:val="0"/>
                <w:i w:val="0"/>
                <w:iCs w:val="0"/>
                <w:noProof/>
                <w:webHidden/>
              </w:rPr>
              <w:tab/>
            </w:r>
            <w:r w:rsidRPr="008F0589">
              <w:rPr>
                <w:rFonts w:ascii="Arial" w:hAnsi="Arial"/>
                <w:b w:val="0"/>
                <w:bCs w:val="0"/>
                <w:i w:val="0"/>
                <w:iCs w:val="0"/>
                <w:noProof/>
                <w:webHidden/>
              </w:rPr>
              <w:fldChar w:fldCharType="begin"/>
            </w:r>
            <w:r w:rsidRPr="008F0589">
              <w:rPr>
                <w:rFonts w:ascii="Arial" w:hAnsi="Arial"/>
                <w:b w:val="0"/>
                <w:bCs w:val="0"/>
                <w:i w:val="0"/>
                <w:iCs w:val="0"/>
                <w:noProof/>
                <w:webHidden/>
              </w:rPr>
              <w:instrText xml:space="preserve"> PAGEREF _Toc217308922 \h </w:instrText>
            </w:r>
            <w:r w:rsidRPr="008F0589">
              <w:rPr>
                <w:rFonts w:ascii="Arial" w:hAnsi="Arial"/>
                <w:b w:val="0"/>
                <w:bCs w:val="0"/>
                <w:i w:val="0"/>
                <w:iCs w:val="0"/>
                <w:noProof/>
                <w:webHidden/>
              </w:rPr>
            </w:r>
            <w:r w:rsidRPr="008F0589">
              <w:rPr>
                <w:rFonts w:ascii="Arial" w:hAnsi="Arial"/>
                <w:b w:val="0"/>
                <w:bCs w:val="0"/>
                <w:i w:val="0"/>
                <w:iCs w:val="0"/>
                <w:noProof/>
                <w:webHidden/>
              </w:rPr>
              <w:fldChar w:fldCharType="separate"/>
            </w:r>
            <w:r w:rsidRPr="008F0589">
              <w:rPr>
                <w:rFonts w:ascii="Arial" w:hAnsi="Arial"/>
                <w:b w:val="0"/>
                <w:bCs w:val="0"/>
                <w:i w:val="0"/>
                <w:iCs w:val="0"/>
                <w:noProof/>
                <w:webHidden/>
              </w:rPr>
              <w:t>23</w:t>
            </w:r>
            <w:r w:rsidRPr="008F0589">
              <w:rPr>
                <w:rFonts w:ascii="Arial" w:hAnsi="Arial"/>
                <w:b w:val="0"/>
                <w:bCs w:val="0"/>
                <w:i w:val="0"/>
                <w:iCs w:val="0"/>
                <w:noProof/>
                <w:webHidden/>
              </w:rPr>
              <w:fldChar w:fldCharType="end"/>
            </w:r>
          </w:hyperlink>
        </w:p>
        <w:p w14:paraId="0A6930CB" w14:textId="3A02B9AA" w:rsidR="008F0589" w:rsidRPr="008F0589" w:rsidRDefault="008F0589" w:rsidP="008F0589">
          <w:pPr>
            <w:pStyle w:val="TOC1"/>
            <w:tabs>
              <w:tab w:val="right" w:leader="dot" w:pos="9016"/>
            </w:tabs>
            <w:jc w:val="both"/>
            <w:rPr>
              <w:rFonts w:ascii="Arial" w:eastAsiaTheme="minorEastAsia" w:hAnsi="Arial"/>
              <w:b w:val="0"/>
              <w:bCs w:val="0"/>
              <w:i w:val="0"/>
              <w:iCs w:val="0"/>
              <w:noProof/>
              <w:kern w:val="2"/>
              <w:lang w:val="en-IN" w:eastAsia="en-IN"/>
              <w14:ligatures w14:val="standardContextual"/>
            </w:rPr>
          </w:pPr>
          <w:hyperlink w:anchor="_Toc217308923" w:history="1">
            <w:r w:rsidRPr="008F0589">
              <w:rPr>
                <w:rStyle w:val="Hyperlink"/>
                <w:rFonts w:ascii="Arial" w:hAnsi="Arial"/>
                <w:b w:val="0"/>
                <w:bCs w:val="0"/>
                <w:i w:val="0"/>
                <w:iCs w:val="0"/>
                <w:noProof/>
                <w:lang w:val="en-GB"/>
              </w:rPr>
              <w:t>Appendices</w:t>
            </w:r>
            <w:r w:rsidRPr="008F0589">
              <w:rPr>
                <w:rFonts w:ascii="Arial" w:hAnsi="Arial"/>
                <w:b w:val="0"/>
                <w:bCs w:val="0"/>
                <w:i w:val="0"/>
                <w:iCs w:val="0"/>
                <w:noProof/>
                <w:webHidden/>
              </w:rPr>
              <w:tab/>
            </w:r>
            <w:r w:rsidRPr="008F0589">
              <w:rPr>
                <w:rFonts w:ascii="Arial" w:hAnsi="Arial"/>
                <w:b w:val="0"/>
                <w:bCs w:val="0"/>
                <w:i w:val="0"/>
                <w:iCs w:val="0"/>
                <w:noProof/>
                <w:webHidden/>
              </w:rPr>
              <w:fldChar w:fldCharType="begin"/>
            </w:r>
            <w:r w:rsidRPr="008F0589">
              <w:rPr>
                <w:rFonts w:ascii="Arial" w:hAnsi="Arial"/>
                <w:b w:val="0"/>
                <w:bCs w:val="0"/>
                <w:i w:val="0"/>
                <w:iCs w:val="0"/>
                <w:noProof/>
                <w:webHidden/>
              </w:rPr>
              <w:instrText xml:space="preserve"> PAGEREF _Toc217308923 \h </w:instrText>
            </w:r>
            <w:r w:rsidRPr="008F0589">
              <w:rPr>
                <w:rFonts w:ascii="Arial" w:hAnsi="Arial"/>
                <w:b w:val="0"/>
                <w:bCs w:val="0"/>
                <w:i w:val="0"/>
                <w:iCs w:val="0"/>
                <w:noProof/>
                <w:webHidden/>
              </w:rPr>
            </w:r>
            <w:r w:rsidRPr="008F0589">
              <w:rPr>
                <w:rFonts w:ascii="Arial" w:hAnsi="Arial"/>
                <w:b w:val="0"/>
                <w:bCs w:val="0"/>
                <w:i w:val="0"/>
                <w:iCs w:val="0"/>
                <w:noProof/>
                <w:webHidden/>
              </w:rPr>
              <w:fldChar w:fldCharType="separate"/>
            </w:r>
            <w:r w:rsidRPr="008F0589">
              <w:rPr>
                <w:rFonts w:ascii="Arial" w:hAnsi="Arial"/>
                <w:b w:val="0"/>
                <w:bCs w:val="0"/>
                <w:i w:val="0"/>
                <w:iCs w:val="0"/>
                <w:noProof/>
                <w:webHidden/>
              </w:rPr>
              <w:t>28</w:t>
            </w:r>
            <w:r w:rsidRPr="008F0589">
              <w:rPr>
                <w:rFonts w:ascii="Arial" w:hAnsi="Arial"/>
                <w:b w:val="0"/>
                <w:bCs w:val="0"/>
                <w:i w:val="0"/>
                <w:iCs w:val="0"/>
                <w:noProof/>
                <w:webHidden/>
              </w:rPr>
              <w:fldChar w:fldCharType="end"/>
            </w:r>
          </w:hyperlink>
        </w:p>
        <w:p w14:paraId="00818077" w14:textId="3E0EA7C6" w:rsidR="008F0589" w:rsidRPr="008F0589" w:rsidRDefault="008F0589" w:rsidP="008F0589">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17308924" w:history="1">
            <w:r w:rsidRPr="008F0589">
              <w:rPr>
                <w:rStyle w:val="Hyperlink"/>
                <w:rFonts w:ascii="Arial" w:hAnsi="Arial"/>
                <w:b w:val="0"/>
                <w:bCs w:val="0"/>
                <w:noProof/>
                <w:sz w:val="24"/>
                <w:szCs w:val="24"/>
                <w:lang w:val="en-GB"/>
              </w:rPr>
              <w:t>Appendix A: Full ratio tables (5 years)</w:t>
            </w:r>
            <w:r w:rsidRPr="008F0589">
              <w:rPr>
                <w:rFonts w:ascii="Arial" w:hAnsi="Arial"/>
                <w:b w:val="0"/>
                <w:bCs w:val="0"/>
                <w:noProof/>
                <w:webHidden/>
                <w:sz w:val="24"/>
                <w:szCs w:val="24"/>
              </w:rPr>
              <w:tab/>
            </w:r>
            <w:r w:rsidRPr="008F0589">
              <w:rPr>
                <w:rFonts w:ascii="Arial" w:hAnsi="Arial"/>
                <w:b w:val="0"/>
                <w:bCs w:val="0"/>
                <w:noProof/>
                <w:webHidden/>
                <w:sz w:val="24"/>
                <w:szCs w:val="24"/>
              </w:rPr>
              <w:fldChar w:fldCharType="begin"/>
            </w:r>
            <w:r w:rsidRPr="008F0589">
              <w:rPr>
                <w:rFonts w:ascii="Arial" w:hAnsi="Arial"/>
                <w:b w:val="0"/>
                <w:bCs w:val="0"/>
                <w:noProof/>
                <w:webHidden/>
                <w:sz w:val="24"/>
                <w:szCs w:val="24"/>
              </w:rPr>
              <w:instrText xml:space="preserve"> PAGEREF _Toc217308924 \h </w:instrText>
            </w:r>
            <w:r w:rsidRPr="008F0589">
              <w:rPr>
                <w:rFonts w:ascii="Arial" w:hAnsi="Arial"/>
                <w:b w:val="0"/>
                <w:bCs w:val="0"/>
                <w:noProof/>
                <w:webHidden/>
                <w:sz w:val="24"/>
                <w:szCs w:val="24"/>
              </w:rPr>
            </w:r>
            <w:r w:rsidRPr="008F0589">
              <w:rPr>
                <w:rFonts w:ascii="Arial" w:hAnsi="Arial"/>
                <w:b w:val="0"/>
                <w:bCs w:val="0"/>
                <w:noProof/>
                <w:webHidden/>
                <w:sz w:val="24"/>
                <w:szCs w:val="24"/>
              </w:rPr>
              <w:fldChar w:fldCharType="separate"/>
            </w:r>
            <w:r w:rsidRPr="008F0589">
              <w:rPr>
                <w:rFonts w:ascii="Arial" w:hAnsi="Arial"/>
                <w:b w:val="0"/>
                <w:bCs w:val="0"/>
                <w:noProof/>
                <w:webHidden/>
                <w:sz w:val="24"/>
                <w:szCs w:val="24"/>
              </w:rPr>
              <w:t>28</w:t>
            </w:r>
            <w:r w:rsidRPr="008F0589">
              <w:rPr>
                <w:rFonts w:ascii="Arial" w:hAnsi="Arial"/>
                <w:b w:val="0"/>
                <w:bCs w:val="0"/>
                <w:noProof/>
                <w:webHidden/>
                <w:sz w:val="24"/>
                <w:szCs w:val="24"/>
              </w:rPr>
              <w:fldChar w:fldCharType="end"/>
            </w:r>
          </w:hyperlink>
        </w:p>
        <w:p w14:paraId="032A08DC" w14:textId="69CE2DC6" w:rsidR="008F0589" w:rsidRPr="008F0589" w:rsidRDefault="008F0589" w:rsidP="008F0589">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17308925" w:history="1">
            <w:r w:rsidRPr="008F0589">
              <w:rPr>
                <w:rStyle w:val="Hyperlink"/>
                <w:rFonts w:ascii="Arial" w:hAnsi="Arial"/>
                <w:b w:val="0"/>
                <w:bCs w:val="0"/>
                <w:noProof/>
                <w:sz w:val="24"/>
                <w:szCs w:val="24"/>
                <w:lang w:val="en-GB"/>
              </w:rPr>
              <w:t>Appendix B: Altman Z-Score calculations</w:t>
            </w:r>
            <w:r w:rsidRPr="008F0589">
              <w:rPr>
                <w:rFonts w:ascii="Arial" w:hAnsi="Arial"/>
                <w:b w:val="0"/>
                <w:bCs w:val="0"/>
                <w:noProof/>
                <w:webHidden/>
                <w:sz w:val="24"/>
                <w:szCs w:val="24"/>
              </w:rPr>
              <w:tab/>
            </w:r>
            <w:r w:rsidRPr="008F0589">
              <w:rPr>
                <w:rFonts w:ascii="Arial" w:hAnsi="Arial"/>
                <w:b w:val="0"/>
                <w:bCs w:val="0"/>
                <w:noProof/>
                <w:webHidden/>
                <w:sz w:val="24"/>
                <w:szCs w:val="24"/>
              </w:rPr>
              <w:fldChar w:fldCharType="begin"/>
            </w:r>
            <w:r w:rsidRPr="008F0589">
              <w:rPr>
                <w:rFonts w:ascii="Arial" w:hAnsi="Arial"/>
                <w:b w:val="0"/>
                <w:bCs w:val="0"/>
                <w:noProof/>
                <w:webHidden/>
                <w:sz w:val="24"/>
                <w:szCs w:val="24"/>
              </w:rPr>
              <w:instrText xml:space="preserve"> PAGEREF _Toc217308925 \h </w:instrText>
            </w:r>
            <w:r w:rsidRPr="008F0589">
              <w:rPr>
                <w:rFonts w:ascii="Arial" w:hAnsi="Arial"/>
                <w:b w:val="0"/>
                <w:bCs w:val="0"/>
                <w:noProof/>
                <w:webHidden/>
                <w:sz w:val="24"/>
                <w:szCs w:val="24"/>
              </w:rPr>
            </w:r>
            <w:r w:rsidRPr="008F0589">
              <w:rPr>
                <w:rFonts w:ascii="Arial" w:hAnsi="Arial"/>
                <w:b w:val="0"/>
                <w:bCs w:val="0"/>
                <w:noProof/>
                <w:webHidden/>
                <w:sz w:val="24"/>
                <w:szCs w:val="24"/>
              </w:rPr>
              <w:fldChar w:fldCharType="separate"/>
            </w:r>
            <w:r w:rsidRPr="008F0589">
              <w:rPr>
                <w:rFonts w:ascii="Arial" w:hAnsi="Arial"/>
                <w:b w:val="0"/>
                <w:bCs w:val="0"/>
                <w:noProof/>
                <w:webHidden/>
                <w:sz w:val="24"/>
                <w:szCs w:val="24"/>
              </w:rPr>
              <w:t>32</w:t>
            </w:r>
            <w:r w:rsidRPr="008F0589">
              <w:rPr>
                <w:rFonts w:ascii="Arial" w:hAnsi="Arial"/>
                <w:b w:val="0"/>
                <w:bCs w:val="0"/>
                <w:noProof/>
                <w:webHidden/>
                <w:sz w:val="24"/>
                <w:szCs w:val="24"/>
              </w:rPr>
              <w:fldChar w:fldCharType="end"/>
            </w:r>
          </w:hyperlink>
        </w:p>
        <w:p w14:paraId="7EA2992A" w14:textId="2C34BB06" w:rsidR="008F0589" w:rsidRPr="008F0589" w:rsidRDefault="008F0589" w:rsidP="008F0589">
          <w:pPr>
            <w:pStyle w:val="TOC2"/>
            <w:tabs>
              <w:tab w:val="right" w:leader="dot" w:pos="9016"/>
            </w:tabs>
            <w:jc w:val="both"/>
            <w:rPr>
              <w:rFonts w:ascii="Arial" w:eastAsiaTheme="minorEastAsia" w:hAnsi="Arial"/>
              <w:b w:val="0"/>
              <w:bCs w:val="0"/>
              <w:noProof/>
              <w:kern w:val="2"/>
              <w:sz w:val="24"/>
              <w:szCs w:val="24"/>
              <w:lang w:val="en-IN" w:eastAsia="en-IN"/>
              <w14:ligatures w14:val="standardContextual"/>
            </w:rPr>
          </w:pPr>
          <w:hyperlink w:anchor="_Toc217308926" w:history="1">
            <w:r w:rsidRPr="008F0589">
              <w:rPr>
                <w:rStyle w:val="Hyperlink"/>
                <w:rFonts w:ascii="Arial" w:hAnsi="Arial"/>
                <w:b w:val="0"/>
                <w:bCs w:val="0"/>
                <w:noProof/>
                <w:sz w:val="24"/>
                <w:szCs w:val="24"/>
                <w:lang w:val="en-GB"/>
              </w:rPr>
              <w:t>Appendix C: Investment appraisal tables</w:t>
            </w:r>
            <w:r w:rsidRPr="008F0589">
              <w:rPr>
                <w:rFonts w:ascii="Arial" w:hAnsi="Arial"/>
                <w:b w:val="0"/>
                <w:bCs w:val="0"/>
                <w:noProof/>
                <w:webHidden/>
                <w:sz w:val="24"/>
                <w:szCs w:val="24"/>
              </w:rPr>
              <w:tab/>
            </w:r>
            <w:r w:rsidRPr="008F0589">
              <w:rPr>
                <w:rFonts w:ascii="Arial" w:hAnsi="Arial"/>
                <w:b w:val="0"/>
                <w:bCs w:val="0"/>
                <w:noProof/>
                <w:webHidden/>
                <w:sz w:val="24"/>
                <w:szCs w:val="24"/>
              </w:rPr>
              <w:fldChar w:fldCharType="begin"/>
            </w:r>
            <w:r w:rsidRPr="008F0589">
              <w:rPr>
                <w:rFonts w:ascii="Arial" w:hAnsi="Arial"/>
                <w:b w:val="0"/>
                <w:bCs w:val="0"/>
                <w:noProof/>
                <w:webHidden/>
                <w:sz w:val="24"/>
                <w:szCs w:val="24"/>
              </w:rPr>
              <w:instrText xml:space="preserve"> PAGEREF _Toc217308926 \h </w:instrText>
            </w:r>
            <w:r w:rsidRPr="008F0589">
              <w:rPr>
                <w:rFonts w:ascii="Arial" w:hAnsi="Arial"/>
                <w:b w:val="0"/>
                <w:bCs w:val="0"/>
                <w:noProof/>
                <w:webHidden/>
                <w:sz w:val="24"/>
                <w:szCs w:val="24"/>
              </w:rPr>
            </w:r>
            <w:r w:rsidRPr="008F0589">
              <w:rPr>
                <w:rFonts w:ascii="Arial" w:hAnsi="Arial"/>
                <w:b w:val="0"/>
                <w:bCs w:val="0"/>
                <w:noProof/>
                <w:webHidden/>
                <w:sz w:val="24"/>
                <w:szCs w:val="24"/>
              </w:rPr>
              <w:fldChar w:fldCharType="separate"/>
            </w:r>
            <w:r w:rsidRPr="008F0589">
              <w:rPr>
                <w:rFonts w:ascii="Arial" w:hAnsi="Arial"/>
                <w:b w:val="0"/>
                <w:bCs w:val="0"/>
                <w:noProof/>
                <w:webHidden/>
                <w:sz w:val="24"/>
                <w:szCs w:val="24"/>
              </w:rPr>
              <w:t>36</w:t>
            </w:r>
            <w:r w:rsidRPr="008F0589">
              <w:rPr>
                <w:rFonts w:ascii="Arial" w:hAnsi="Arial"/>
                <w:b w:val="0"/>
                <w:bCs w:val="0"/>
                <w:noProof/>
                <w:webHidden/>
                <w:sz w:val="24"/>
                <w:szCs w:val="24"/>
              </w:rPr>
              <w:fldChar w:fldCharType="end"/>
            </w:r>
          </w:hyperlink>
        </w:p>
        <w:p w14:paraId="02F4CBC5" w14:textId="3EDAE345" w:rsidR="005D768C" w:rsidRPr="00D86091" w:rsidRDefault="005D768C" w:rsidP="008F0589">
          <w:pPr>
            <w:spacing w:before="120"/>
            <w:rPr>
              <w:lang w:val="en-GB"/>
            </w:rPr>
          </w:pPr>
          <w:r w:rsidRPr="008F0589">
            <w:rPr>
              <w:noProof/>
              <w:color w:val="000000" w:themeColor="text1"/>
              <w:lang w:val="en-GB"/>
            </w:rPr>
            <w:fldChar w:fldCharType="end"/>
          </w:r>
        </w:p>
      </w:sdtContent>
    </w:sdt>
    <w:p w14:paraId="043A02D6" w14:textId="77777777" w:rsidR="005D768C" w:rsidRPr="00D86091" w:rsidRDefault="005D768C" w:rsidP="00D86091">
      <w:pPr>
        <w:rPr>
          <w:b/>
          <w:bCs/>
          <w:sz w:val="32"/>
          <w:szCs w:val="32"/>
          <w:lang w:val="en-GB"/>
        </w:rPr>
      </w:pPr>
      <w:r w:rsidRPr="00D86091">
        <w:rPr>
          <w:lang w:val="en-GB"/>
        </w:rPr>
        <w:br w:type="page"/>
      </w:r>
    </w:p>
    <w:p w14:paraId="408B7D0C" w14:textId="77777777" w:rsidR="005D768C" w:rsidRPr="00D86091" w:rsidRDefault="005D768C" w:rsidP="00D86091">
      <w:pPr>
        <w:pStyle w:val="Title"/>
        <w:rPr>
          <w:lang w:val="en-GB"/>
        </w:rPr>
        <w:sectPr w:rsidR="005D768C" w:rsidRPr="00D86091" w:rsidSect="005D768C">
          <w:footerReference w:type="even" r:id="rId8"/>
          <w:footerReference w:type="default" r:id="rId9"/>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p>
    <w:p w14:paraId="424913C3" w14:textId="77777777" w:rsidR="000816CC" w:rsidRPr="00D86091" w:rsidRDefault="00BE1118" w:rsidP="00D86091">
      <w:pPr>
        <w:pStyle w:val="Heading1"/>
        <w:rPr>
          <w:lang w:val="en-GB"/>
        </w:rPr>
      </w:pPr>
      <w:bookmarkStart w:id="3" w:name="_s4uyrldyijmb" w:colFirst="0" w:colLast="0"/>
      <w:bookmarkStart w:id="4" w:name="_Toc217308895"/>
      <w:bookmarkEnd w:id="3"/>
      <w:r w:rsidRPr="00D86091">
        <w:rPr>
          <w:lang w:val="en-GB"/>
        </w:rPr>
        <w:lastRenderedPageBreak/>
        <w:t>1. Introduction</w:t>
      </w:r>
      <w:bookmarkEnd w:id="4"/>
    </w:p>
    <w:p w14:paraId="0887E54D" w14:textId="77777777" w:rsidR="000816CC" w:rsidRDefault="00BE1118" w:rsidP="00D86091">
      <w:pPr>
        <w:rPr>
          <w:lang w:val="en-GB"/>
        </w:rPr>
      </w:pPr>
      <w:r w:rsidRPr="00D86091">
        <w:rPr>
          <w:lang w:val="en-GB"/>
        </w:rPr>
        <w:t>This report assesses the financial health of General Electronics a multinational consumer electronics company that has been experiencing reduced revenues, losses over the last five years and constrained liquidity as well. The CFO has the mandate of ensuring the financial health is diagnosed, liquidity stabilised, capital and operations restructured, and capital invested in value-creating investments by conducting stringent financial analysis.</w:t>
      </w:r>
    </w:p>
    <w:p w14:paraId="16218C42" w14:textId="77777777" w:rsidR="007E0055" w:rsidRPr="00D86091" w:rsidRDefault="007E0055" w:rsidP="00D86091">
      <w:pPr>
        <w:rPr>
          <w:lang w:val="en-GB"/>
        </w:rPr>
      </w:pPr>
    </w:p>
    <w:p w14:paraId="60747D0F" w14:textId="77777777" w:rsidR="000816CC" w:rsidRPr="00D86091" w:rsidRDefault="00BE1118" w:rsidP="00D86091">
      <w:pPr>
        <w:pStyle w:val="Heading1"/>
        <w:rPr>
          <w:lang w:val="en-GB"/>
        </w:rPr>
      </w:pPr>
      <w:bookmarkStart w:id="5" w:name="_6r7phoh9k4ca" w:colFirst="0" w:colLast="0"/>
      <w:bookmarkStart w:id="6" w:name="_Toc217308896"/>
      <w:bookmarkEnd w:id="5"/>
      <w:r w:rsidRPr="00D86091">
        <w:rPr>
          <w:lang w:val="en-GB"/>
        </w:rPr>
        <w:t>2. Financial Health Check</w:t>
      </w:r>
      <w:bookmarkEnd w:id="6"/>
    </w:p>
    <w:p w14:paraId="6FEE8A3A" w14:textId="77777777" w:rsidR="000816CC" w:rsidRPr="00D86091" w:rsidRDefault="00BE1118" w:rsidP="00D86091">
      <w:pPr>
        <w:pStyle w:val="Heading2"/>
        <w:rPr>
          <w:lang w:val="en-GB"/>
        </w:rPr>
      </w:pPr>
      <w:bookmarkStart w:id="7" w:name="_bqqi33r3twvi" w:colFirst="0" w:colLast="0"/>
      <w:bookmarkStart w:id="8" w:name="_Toc217308897"/>
      <w:bookmarkEnd w:id="7"/>
      <w:r w:rsidRPr="00D86091">
        <w:rPr>
          <w:lang w:val="en-GB"/>
        </w:rPr>
        <w:t>2.1 Overview of Financial Performance</w:t>
      </w:r>
      <w:bookmarkEnd w:id="8"/>
    </w:p>
    <w:p w14:paraId="3F619374" w14:textId="1294DD8B" w:rsidR="009D7B47" w:rsidRPr="00D86091" w:rsidRDefault="00BE1118" w:rsidP="00D86091">
      <w:pPr>
        <w:rPr>
          <w:lang w:val="en-GB"/>
        </w:rPr>
      </w:pPr>
      <w:r w:rsidRPr="00D86091">
        <w:rPr>
          <w:lang w:val="en-GB"/>
        </w:rPr>
        <w:t>The period of 2020-24 has witnessed a sharp decline in financial performance in General Electronics, which indicat</w:t>
      </w:r>
      <w:r w:rsidR="009D7B47" w:rsidRPr="00D86091">
        <w:rPr>
          <w:lang w:val="en-GB"/>
        </w:rPr>
        <w:t>es that the</w:t>
      </w:r>
      <w:r w:rsidRPr="00D86091">
        <w:rPr>
          <w:lang w:val="en-GB"/>
        </w:rPr>
        <w:t xml:space="preserve"> company has passed through stability and entered chronic distress. The decline in revenues between 2020 and 2024 means that market demand is not growing, and the competitive pressure is increasing</w:t>
      </w:r>
      <w:r w:rsidR="00F552F7" w:rsidRPr="00D86091">
        <w:rPr>
          <w:lang w:val="en-GB"/>
        </w:rPr>
        <w:t>. Also</w:t>
      </w:r>
      <w:r w:rsidRPr="00D86091">
        <w:rPr>
          <w:lang w:val="en-GB"/>
        </w:rPr>
        <w:t xml:space="preserve">, there is a potential that the consumer electronics industry has strategic issues. This shrinkage of revenues has dissolved the operating leverage and reduced the capacity of the firm to internalise fixed costs in addition to increasing downside risk. The profitability profile indicates a change </w:t>
      </w:r>
      <w:r w:rsidRPr="00D86091">
        <w:rPr>
          <w:lang w:val="en-GB"/>
        </w:rPr>
        <w:t xml:space="preserve">in positive earnings of 2020 and 2021 to massive net losses of 2023 and 2024. This change is not just a cyclical level of weakness but a structurally inefficient system. </w:t>
      </w:r>
    </w:p>
    <w:p w14:paraId="2D39D4D9" w14:textId="1BCDC093" w:rsidR="000816CC" w:rsidRPr="00D86091" w:rsidRDefault="00BE1118" w:rsidP="00D86091">
      <w:pPr>
        <w:rPr>
          <w:lang w:val="en-GB"/>
        </w:rPr>
      </w:pPr>
      <w:r w:rsidRPr="00D86091">
        <w:rPr>
          <w:lang w:val="en-GB"/>
        </w:rPr>
        <w:t>At the same time, there has been a significant reduction in the base of assets, especially in property, plant and equipment, implying retrenchment and even underinvestment. The cumulative losses and impairment effects have hurt the balance sheet, as the equity of the shareholders has declined drastically. Examples of high-level distress signs are falling asset and equity returns, rising leverage, decreasing liquidity buffers, and unstable operating cash flows. These are common features in companies that are</w:t>
      </w:r>
      <w:r w:rsidRPr="00D86091">
        <w:rPr>
          <w:lang w:val="en-GB"/>
        </w:rPr>
        <w:t xml:space="preserve"> in the mature phase of financial crisis and which need a quick fix to help them curb the situation and regain normalcy. It is highlighted in the literature that companies operating under this situation have a small margin of time to perform corrective action before value poaching intensifies further, and prompt financial diagnosis is necessary to deploy an effective turnaround plan (Nguyen </w:t>
      </w:r>
      <w:proofErr w:type="spellStart"/>
      <w:r w:rsidRPr="00D86091">
        <w:rPr>
          <w:lang w:val="en-GB"/>
        </w:rPr>
        <w:t>Thi</w:t>
      </w:r>
      <w:proofErr w:type="spellEnd"/>
      <w:r w:rsidRPr="00D86091">
        <w:rPr>
          <w:lang w:val="en-GB"/>
        </w:rPr>
        <w:t xml:space="preserve"> et al., 2025).</w:t>
      </w:r>
    </w:p>
    <w:p w14:paraId="1EA75363" w14:textId="77777777" w:rsidR="000816CC" w:rsidRPr="00D86091" w:rsidRDefault="00BE1118" w:rsidP="00D86091">
      <w:pPr>
        <w:pStyle w:val="Heading2"/>
        <w:rPr>
          <w:lang w:val="en-GB"/>
        </w:rPr>
      </w:pPr>
      <w:bookmarkStart w:id="9" w:name="_h4lby6d1jv37" w:colFirst="0" w:colLast="0"/>
      <w:bookmarkStart w:id="10" w:name="_Toc217308898"/>
      <w:bookmarkEnd w:id="9"/>
      <w:r w:rsidRPr="00D86091">
        <w:rPr>
          <w:lang w:val="en-GB"/>
        </w:rPr>
        <w:t>2.2 Profitability Ratio Analysis</w:t>
      </w:r>
      <w:bookmarkEnd w:id="10"/>
    </w:p>
    <w:p w14:paraId="017BB4EA" w14:textId="577804D7" w:rsidR="006212CC" w:rsidRPr="00D86091" w:rsidRDefault="006212CC" w:rsidP="00D86091">
      <w:pPr>
        <w:rPr>
          <w:lang w:val="en-GB"/>
        </w:rPr>
      </w:pPr>
      <w:r w:rsidRPr="00D86091">
        <w:rPr>
          <w:lang w:val="en-GB"/>
        </w:rPr>
        <w:t>[</w:t>
      </w:r>
      <w:r w:rsidRPr="00D86091">
        <w:rPr>
          <w:b/>
          <w:bCs/>
          <w:lang w:val="en-GB"/>
        </w:rPr>
        <w:t>Refer to Appendix A</w:t>
      </w:r>
      <w:r w:rsidRPr="00D86091">
        <w:rPr>
          <w:lang w:val="en-GB"/>
        </w:rPr>
        <w:t>]</w:t>
      </w:r>
    </w:p>
    <w:p w14:paraId="71E8E831" w14:textId="77777777" w:rsidR="006212CC" w:rsidRPr="00D86091" w:rsidRDefault="006212CC" w:rsidP="00D86091">
      <w:pPr>
        <w:rPr>
          <w:lang w:val="en-GB"/>
        </w:rPr>
      </w:pPr>
    </w:p>
    <w:p w14:paraId="1436CC8B" w14:textId="39AF5E4A" w:rsidR="000816CC" w:rsidRPr="00960256" w:rsidRDefault="006212CC" w:rsidP="00960256">
      <w:pPr>
        <w:rPr>
          <w:b/>
          <w:bCs/>
          <w:i/>
          <w:iCs/>
          <w:lang w:val="en-GB"/>
        </w:rPr>
      </w:pPr>
      <w:r w:rsidRPr="00D86091">
        <w:rPr>
          <w:b/>
          <w:bCs/>
          <w:i/>
          <w:iCs/>
          <w:lang w:val="en-GB"/>
        </w:rPr>
        <w:t>Gross Profit Margin</w:t>
      </w:r>
    </w:p>
    <w:p w14:paraId="64CBECA3" w14:textId="4EC88957" w:rsidR="00960256" w:rsidRPr="00D86091" w:rsidRDefault="00960256" w:rsidP="00D86091">
      <w:pPr>
        <w:jc w:val="center"/>
        <w:rPr>
          <w:lang w:val="en-GB"/>
        </w:rPr>
      </w:pPr>
      <w:r>
        <w:rPr>
          <w:noProof/>
        </w:rPr>
        <w:drawing>
          <wp:inline distT="0" distB="0" distL="0" distR="0" wp14:anchorId="7E49ABCB" wp14:editId="7F7953FD">
            <wp:extent cx="4838700" cy="2747962"/>
            <wp:effectExtent l="0" t="0" r="0" b="0"/>
            <wp:docPr id="1562992619" name="Chart 1">
              <a:extLst xmlns:a="http://schemas.openxmlformats.org/drawingml/2006/main">
                <a:ext uri="{FF2B5EF4-FFF2-40B4-BE49-F238E27FC236}">
                  <a16:creationId xmlns:a16="http://schemas.microsoft.com/office/drawing/2014/main" id="{C1AEFAB7-233F-984B-B29E-391086E504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551A03A" w14:textId="31EDD7AE" w:rsidR="000816CC" w:rsidRPr="00D86091" w:rsidRDefault="00BE1118" w:rsidP="00D86091">
      <w:pPr>
        <w:jc w:val="center"/>
        <w:rPr>
          <w:b/>
          <w:bCs/>
          <w:lang w:val="en-GB"/>
        </w:rPr>
      </w:pPr>
      <w:r w:rsidRPr="00D86091">
        <w:rPr>
          <w:b/>
          <w:bCs/>
          <w:lang w:val="en-GB"/>
        </w:rPr>
        <w:t>Figure 1: Gross Profit Margin</w:t>
      </w:r>
    </w:p>
    <w:p w14:paraId="777C9F98" w14:textId="77777777" w:rsidR="000816CC" w:rsidRPr="00D86091" w:rsidRDefault="00BE1118" w:rsidP="00D86091">
      <w:pPr>
        <w:jc w:val="center"/>
        <w:rPr>
          <w:lang w:val="en-GB"/>
        </w:rPr>
      </w:pPr>
      <w:r w:rsidRPr="00D86091">
        <w:rPr>
          <w:lang w:val="en-GB"/>
        </w:rPr>
        <w:t>(Source: Self-Created)</w:t>
      </w:r>
    </w:p>
    <w:p w14:paraId="36334D67" w14:textId="3CDDD98E" w:rsidR="000816CC" w:rsidRPr="00D86091" w:rsidRDefault="00BE1118" w:rsidP="00D86091">
      <w:pPr>
        <w:rPr>
          <w:lang w:val="en-GB"/>
        </w:rPr>
      </w:pPr>
      <w:r w:rsidRPr="00D86091">
        <w:rPr>
          <w:lang w:val="en-GB"/>
        </w:rPr>
        <w:t xml:space="preserve">The gross margin has also not changed much within the </w:t>
      </w:r>
      <w:r w:rsidR="004811FB">
        <w:rPr>
          <w:lang w:val="en-GB"/>
        </w:rPr>
        <w:t>last 5</w:t>
      </w:r>
      <w:r w:rsidRPr="00D86091">
        <w:rPr>
          <w:lang w:val="en-GB"/>
        </w:rPr>
        <w:t xml:space="preserve"> years</w:t>
      </w:r>
      <w:r w:rsidR="004811FB">
        <w:rPr>
          <w:lang w:val="en-GB"/>
        </w:rPr>
        <w:t xml:space="preserve">, </w:t>
      </w:r>
      <w:r w:rsidRPr="00D86091">
        <w:rPr>
          <w:lang w:val="en-GB"/>
        </w:rPr>
        <w:t>rang</w:t>
      </w:r>
      <w:r w:rsidR="004811FB">
        <w:rPr>
          <w:lang w:val="en-GB"/>
        </w:rPr>
        <w:t>ing</w:t>
      </w:r>
      <w:r w:rsidRPr="00D86091">
        <w:rPr>
          <w:lang w:val="en-GB"/>
        </w:rPr>
        <w:t xml:space="preserve"> between 2</w:t>
      </w:r>
      <w:r w:rsidR="004811FB">
        <w:rPr>
          <w:lang w:val="en-GB"/>
        </w:rPr>
        <w:t>8</w:t>
      </w:r>
      <w:r w:rsidRPr="00D86091">
        <w:rPr>
          <w:lang w:val="en-GB"/>
        </w:rPr>
        <w:t>.</w:t>
      </w:r>
      <w:r w:rsidR="004811FB">
        <w:rPr>
          <w:lang w:val="en-GB"/>
        </w:rPr>
        <w:t>7% in 2020</w:t>
      </w:r>
      <w:r w:rsidRPr="00D86091">
        <w:rPr>
          <w:lang w:val="en-GB"/>
        </w:rPr>
        <w:t xml:space="preserve"> and 28.9%</w:t>
      </w:r>
      <w:r w:rsidR="004811FB">
        <w:rPr>
          <w:lang w:val="en-GB"/>
        </w:rPr>
        <w:t xml:space="preserve"> in 2024</w:t>
      </w:r>
      <w:r w:rsidRPr="00D86091">
        <w:rPr>
          <w:lang w:val="en-GB"/>
        </w:rPr>
        <w:t>. The margin has recovered to 28.9% in 2024, falling drastically in 2023. This stability implies that General Electronics still has certain power to affect the price, and direct costs of production are not the key factor causing distress. Nevertheless, the gross margin and net performance are maintaining a steady level with a declining trend, which means that the issues lie deeper in the income statement, specifically in the operating and non-operating cost structures.</w:t>
      </w:r>
    </w:p>
    <w:p w14:paraId="7A874AAC" w14:textId="02295FF8" w:rsidR="006212CC" w:rsidRPr="00D86091" w:rsidRDefault="006212CC" w:rsidP="00D86091">
      <w:pPr>
        <w:rPr>
          <w:b/>
          <w:bCs/>
          <w:i/>
          <w:iCs/>
          <w:lang w:val="en-GB"/>
        </w:rPr>
      </w:pPr>
      <w:r w:rsidRPr="00D86091">
        <w:rPr>
          <w:b/>
          <w:bCs/>
          <w:i/>
          <w:iCs/>
          <w:lang w:val="en-GB"/>
        </w:rPr>
        <w:t>Operating Margin</w:t>
      </w:r>
    </w:p>
    <w:p w14:paraId="692D2B67" w14:textId="67309489" w:rsidR="000816CC" w:rsidRPr="00D86091" w:rsidRDefault="00960256" w:rsidP="00D86091">
      <w:pPr>
        <w:jc w:val="center"/>
        <w:rPr>
          <w:lang w:val="en-GB"/>
        </w:rPr>
      </w:pPr>
      <w:r>
        <w:rPr>
          <w:noProof/>
        </w:rPr>
        <w:drawing>
          <wp:inline distT="0" distB="0" distL="0" distR="0" wp14:anchorId="4DBF2E00" wp14:editId="7E3E5D03">
            <wp:extent cx="4981575" cy="2747963"/>
            <wp:effectExtent l="0" t="0" r="0" b="0"/>
            <wp:docPr id="1924874468" name="Chart 1">
              <a:extLst xmlns:a="http://schemas.openxmlformats.org/drawingml/2006/main">
                <a:ext uri="{FF2B5EF4-FFF2-40B4-BE49-F238E27FC236}">
                  <a16:creationId xmlns:a16="http://schemas.microsoft.com/office/drawing/2014/main" id="{742B309F-5C61-5A4C-A90D-B21349713F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4E70E1A" w14:textId="6BA3C054" w:rsidR="000816CC" w:rsidRPr="00D86091" w:rsidRDefault="00BE1118" w:rsidP="00D86091">
      <w:pPr>
        <w:jc w:val="center"/>
        <w:rPr>
          <w:b/>
          <w:bCs/>
          <w:lang w:val="en-GB"/>
        </w:rPr>
      </w:pPr>
      <w:r w:rsidRPr="00D86091">
        <w:rPr>
          <w:b/>
          <w:bCs/>
          <w:lang w:val="en-GB"/>
        </w:rPr>
        <w:lastRenderedPageBreak/>
        <w:t>Figure 2: Operating</w:t>
      </w:r>
      <w:r w:rsidR="00960256">
        <w:rPr>
          <w:b/>
          <w:bCs/>
          <w:lang w:val="en-GB"/>
        </w:rPr>
        <w:t xml:space="preserve"> </w:t>
      </w:r>
      <w:r w:rsidRPr="00D86091">
        <w:rPr>
          <w:b/>
          <w:bCs/>
          <w:lang w:val="en-GB"/>
        </w:rPr>
        <w:t xml:space="preserve">Margin </w:t>
      </w:r>
    </w:p>
    <w:p w14:paraId="2F149C57" w14:textId="77777777" w:rsidR="000816CC" w:rsidRPr="00D86091" w:rsidRDefault="00BE1118" w:rsidP="00D86091">
      <w:pPr>
        <w:jc w:val="center"/>
        <w:rPr>
          <w:lang w:val="en-GB"/>
        </w:rPr>
      </w:pPr>
      <w:r w:rsidRPr="00D86091">
        <w:rPr>
          <w:lang w:val="en-GB"/>
        </w:rPr>
        <w:t>(Source: Self-Created)</w:t>
      </w:r>
    </w:p>
    <w:p w14:paraId="5C138B49" w14:textId="3B9B4EEF" w:rsidR="000816CC" w:rsidRPr="00D86091" w:rsidRDefault="00BE1118" w:rsidP="00D86091">
      <w:pPr>
        <w:rPr>
          <w:lang w:val="en-GB"/>
        </w:rPr>
      </w:pPr>
      <w:r w:rsidRPr="00D86091">
        <w:rPr>
          <w:lang w:val="en-GB"/>
        </w:rPr>
        <w:t>The picture of operating margin is much more alarming. The company recorded positive figures in 2020 and 2021 and was thrown into losses in 2023 and 2024, with a minimum of -20.3% in 2023. This downfall is indicative of growing operating costs, expenses of restructuring and impairment losses that overwhelmed gross profits. These are typical of companies that are reforming their costs in a reactive process instead of operational optimisation, which is common in late-stage turnarounds (</w:t>
      </w:r>
      <w:proofErr w:type="spellStart"/>
      <w:r w:rsidRPr="00D86091">
        <w:rPr>
          <w:lang w:val="en-GB"/>
        </w:rPr>
        <w:t>Dallocchio</w:t>
      </w:r>
      <w:proofErr w:type="spellEnd"/>
      <w:r w:rsidRPr="00D86091">
        <w:rPr>
          <w:lang w:val="en-GB"/>
        </w:rPr>
        <w:t xml:space="preserve"> et al., 2025).</w:t>
      </w:r>
    </w:p>
    <w:p w14:paraId="4449BAFB" w14:textId="4EAEE0EB" w:rsidR="006212CC" w:rsidRPr="00D86091" w:rsidRDefault="006212CC" w:rsidP="00D86091">
      <w:pPr>
        <w:rPr>
          <w:b/>
          <w:bCs/>
          <w:i/>
          <w:iCs/>
          <w:lang w:val="en-GB"/>
        </w:rPr>
      </w:pPr>
      <w:r w:rsidRPr="00D86091">
        <w:rPr>
          <w:b/>
          <w:bCs/>
          <w:i/>
          <w:iCs/>
          <w:lang w:val="en-GB"/>
        </w:rPr>
        <w:t>Net Profit Margin</w:t>
      </w:r>
    </w:p>
    <w:p w14:paraId="74D353EC" w14:textId="062B50BB" w:rsidR="000816CC" w:rsidRPr="00D86091" w:rsidRDefault="00960256" w:rsidP="00D86091">
      <w:pPr>
        <w:jc w:val="center"/>
        <w:rPr>
          <w:lang w:val="en-GB"/>
        </w:rPr>
      </w:pPr>
      <w:r>
        <w:rPr>
          <w:noProof/>
        </w:rPr>
        <w:drawing>
          <wp:inline distT="0" distB="0" distL="0" distR="0" wp14:anchorId="46C4D4CC" wp14:editId="08758B7F">
            <wp:extent cx="5429250" cy="3276600"/>
            <wp:effectExtent l="0" t="0" r="0" b="0"/>
            <wp:docPr id="1054943090" name="Chart 1">
              <a:extLst xmlns:a="http://schemas.openxmlformats.org/drawingml/2006/main">
                <a:ext uri="{FF2B5EF4-FFF2-40B4-BE49-F238E27FC236}">
                  <a16:creationId xmlns:a16="http://schemas.microsoft.com/office/drawing/2014/main" id="{D99D2362-9FB7-274B-B1CA-455A61D7FF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A476DDB" w14:textId="228BF58C" w:rsidR="000816CC" w:rsidRPr="00D86091" w:rsidRDefault="00BE1118" w:rsidP="00D86091">
      <w:pPr>
        <w:jc w:val="center"/>
        <w:rPr>
          <w:b/>
          <w:bCs/>
          <w:lang w:val="en-GB"/>
        </w:rPr>
      </w:pPr>
      <w:r w:rsidRPr="00D86091">
        <w:rPr>
          <w:b/>
          <w:bCs/>
          <w:lang w:val="en-GB"/>
        </w:rPr>
        <w:t xml:space="preserve">Figure 3: Net </w:t>
      </w:r>
      <w:r w:rsidR="00960256">
        <w:rPr>
          <w:b/>
          <w:bCs/>
          <w:lang w:val="en-GB"/>
        </w:rPr>
        <w:t>Profit</w:t>
      </w:r>
      <w:r w:rsidR="00960256" w:rsidRPr="00D86091">
        <w:rPr>
          <w:b/>
          <w:bCs/>
          <w:lang w:val="en-GB"/>
        </w:rPr>
        <w:t xml:space="preserve"> </w:t>
      </w:r>
      <w:r w:rsidRPr="00D86091">
        <w:rPr>
          <w:b/>
          <w:bCs/>
          <w:lang w:val="en-GB"/>
        </w:rPr>
        <w:t xml:space="preserve">Margin </w:t>
      </w:r>
    </w:p>
    <w:p w14:paraId="514E64C4" w14:textId="77777777" w:rsidR="000816CC" w:rsidRPr="00D86091" w:rsidRDefault="00BE1118" w:rsidP="00D86091">
      <w:pPr>
        <w:jc w:val="center"/>
        <w:rPr>
          <w:lang w:val="en-GB"/>
        </w:rPr>
      </w:pPr>
      <w:r w:rsidRPr="00D86091">
        <w:rPr>
          <w:lang w:val="en-GB"/>
        </w:rPr>
        <w:t>(Source: Self-Created)</w:t>
      </w:r>
    </w:p>
    <w:p w14:paraId="11B43FBB" w14:textId="4E34CB02" w:rsidR="000816CC" w:rsidRPr="00D86091" w:rsidRDefault="00BE1118" w:rsidP="00D86091">
      <w:pPr>
        <w:rPr>
          <w:lang w:val="en-GB"/>
        </w:rPr>
      </w:pPr>
      <w:r w:rsidRPr="00D86091">
        <w:rPr>
          <w:lang w:val="en-GB"/>
        </w:rPr>
        <w:t xml:space="preserve">The trend of net </w:t>
      </w:r>
      <w:r w:rsidR="00574512">
        <w:rPr>
          <w:lang w:val="en-GB"/>
        </w:rPr>
        <w:t xml:space="preserve">profit </w:t>
      </w:r>
      <w:r w:rsidRPr="00D86091">
        <w:rPr>
          <w:lang w:val="en-GB"/>
        </w:rPr>
        <w:t xml:space="preserve">margin is similar to the operating trend, declining to -23.4% in 2023 and </w:t>
      </w:r>
      <w:r w:rsidR="00574512">
        <w:rPr>
          <w:lang w:val="en-GB"/>
        </w:rPr>
        <w:t xml:space="preserve">increasing to </w:t>
      </w:r>
      <w:r w:rsidR="00A865F2">
        <w:rPr>
          <w:lang w:val="en-GB"/>
        </w:rPr>
        <w:t>-</w:t>
      </w:r>
      <w:r w:rsidR="00574512">
        <w:rPr>
          <w:lang w:val="en-GB"/>
        </w:rPr>
        <w:t>6.1</w:t>
      </w:r>
      <w:r w:rsidRPr="00D86091">
        <w:rPr>
          <w:lang w:val="en-GB"/>
        </w:rPr>
        <w:t>% in 2024. This is to show that there is a further impact of improving operations by additional financing and tax implications. The continual existence of negative net margins leads to reduced ability to finance internally, as the company has to depend on external financing and be more susceptible to the situation in the credit market.</w:t>
      </w:r>
    </w:p>
    <w:p w14:paraId="4AFD9930" w14:textId="5275509A" w:rsidR="000816CC" w:rsidRPr="00D86091" w:rsidRDefault="006212CC" w:rsidP="00D86091">
      <w:pPr>
        <w:rPr>
          <w:b/>
          <w:bCs/>
          <w:i/>
          <w:iCs/>
          <w:lang w:val="en-GB"/>
        </w:rPr>
      </w:pPr>
      <w:r w:rsidRPr="00D86091">
        <w:rPr>
          <w:b/>
          <w:bCs/>
          <w:i/>
          <w:iCs/>
          <w:lang w:val="en-GB"/>
        </w:rPr>
        <w:t>Return on Assets (ROA)</w:t>
      </w:r>
    </w:p>
    <w:p w14:paraId="7DEA9F60" w14:textId="049B718F" w:rsidR="000816CC" w:rsidRPr="00D86091" w:rsidRDefault="001A6BBA" w:rsidP="00D86091">
      <w:pPr>
        <w:jc w:val="center"/>
        <w:rPr>
          <w:lang w:val="en-GB"/>
        </w:rPr>
      </w:pPr>
      <w:r>
        <w:rPr>
          <w:noProof/>
        </w:rPr>
        <w:lastRenderedPageBreak/>
        <w:drawing>
          <wp:inline distT="0" distB="0" distL="0" distR="0" wp14:anchorId="5A601ED7" wp14:editId="2C0ECF1F">
            <wp:extent cx="5386388" cy="3295650"/>
            <wp:effectExtent l="0" t="0" r="5080" b="0"/>
            <wp:docPr id="2093293774" name="Chart 1">
              <a:extLst xmlns:a="http://schemas.openxmlformats.org/drawingml/2006/main">
                <a:ext uri="{FF2B5EF4-FFF2-40B4-BE49-F238E27FC236}">
                  <a16:creationId xmlns:a16="http://schemas.microsoft.com/office/drawing/2014/main" id="{1B2170C8-75BC-9447-87D5-84F3D875F0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CF11705" w14:textId="68B0F31E" w:rsidR="000816CC" w:rsidRPr="00D86091" w:rsidRDefault="00BE1118" w:rsidP="00D86091">
      <w:pPr>
        <w:jc w:val="center"/>
        <w:rPr>
          <w:b/>
          <w:bCs/>
          <w:lang w:val="en-GB"/>
        </w:rPr>
      </w:pPr>
      <w:r w:rsidRPr="00D86091">
        <w:rPr>
          <w:b/>
          <w:bCs/>
          <w:lang w:val="en-GB"/>
        </w:rPr>
        <w:t xml:space="preserve">Figure 4: ROA </w:t>
      </w:r>
    </w:p>
    <w:p w14:paraId="380CD915" w14:textId="77777777" w:rsidR="000816CC" w:rsidRPr="00D86091" w:rsidRDefault="00BE1118" w:rsidP="00D86091">
      <w:pPr>
        <w:jc w:val="center"/>
        <w:rPr>
          <w:lang w:val="en-GB"/>
        </w:rPr>
      </w:pPr>
      <w:r w:rsidRPr="00D86091">
        <w:rPr>
          <w:lang w:val="en-GB"/>
        </w:rPr>
        <w:t>(Source: Self-Created)</w:t>
      </w:r>
    </w:p>
    <w:p w14:paraId="34C07504" w14:textId="099B28FB" w:rsidR="000816CC" w:rsidRPr="00D86091" w:rsidRDefault="00BE1118" w:rsidP="00D86091">
      <w:pPr>
        <w:rPr>
          <w:lang w:val="en-GB"/>
        </w:rPr>
      </w:pPr>
      <w:r w:rsidRPr="00D86091">
        <w:rPr>
          <w:lang w:val="en-GB"/>
        </w:rPr>
        <w:t>In 2023, ROA dropped to a negative 27.6%</w:t>
      </w:r>
      <w:r w:rsidR="001A6BBA">
        <w:rPr>
          <w:lang w:val="en-GB"/>
        </w:rPr>
        <w:t>,</w:t>
      </w:r>
      <w:r w:rsidRPr="00D86091">
        <w:rPr>
          <w:lang w:val="en-GB"/>
        </w:rPr>
        <w:t xml:space="preserve"> as compared to a healthy 7.6% </w:t>
      </w:r>
      <w:r w:rsidR="001B08DE">
        <w:rPr>
          <w:lang w:val="en-GB"/>
        </w:rPr>
        <w:t xml:space="preserve">ROA </w:t>
      </w:r>
      <w:r w:rsidRPr="00D86091">
        <w:rPr>
          <w:lang w:val="en-GB"/>
        </w:rPr>
        <w:t>in 2020</w:t>
      </w:r>
      <w:r w:rsidR="00AE066E">
        <w:rPr>
          <w:lang w:val="en-GB"/>
        </w:rPr>
        <w:t xml:space="preserve">. It, however, </w:t>
      </w:r>
      <w:r w:rsidRPr="00D86091">
        <w:rPr>
          <w:lang w:val="en-GB"/>
        </w:rPr>
        <w:t>recovered partially in 2024 to a negative 7.4%. Such a sharp turnaround constitutes inefficient asset utilisation and a loss of the capacity of the asset base to generate earnings for the firm. The deteriorating ROA is a good sign of a strategic mismatch between assets and revenue-generating activities.</w:t>
      </w:r>
    </w:p>
    <w:p w14:paraId="5655F843" w14:textId="119CC6B2" w:rsidR="000816CC" w:rsidRPr="00D86091" w:rsidRDefault="006212CC" w:rsidP="00D86091">
      <w:pPr>
        <w:rPr>
          <w:b/>
          <w:bCs/>
          <w:i/>
          <w:iCs/>
          <w:lang w:val="en-GB"/>
        </w:rPr>
      </w:pPr>
      <w:r w:rsidRPr="00D86091">
        <w:rPr>
          <w:b/>
          <w:bCs/>
          <w:i/>
          <w:iCs/>
          <w:lang w:val="en-GB"/>
        </w:rPr>
        <w:t>Return on Equity (ROE)</w:t>
      </w:r>
    </w:p>
    <w:p w14:paraId="3B220C10" w14:textId="3698D486" w:rsidR="000816CC" w:rsidRPr="005107BF" w:rsidRDefault="005107BF" w:rsidP="00D86091">
      <w:pPr>
        <w:jc w:val="center"/>
        <w:rPr>
          <w:b/>
          <w:bCs/>
          <w:lang w:val="en-GB"/>
        </w:rPr>
      </w:pPr>
      <w:r>
        <w:rPr>
          <w:noProof/>
        </w:rPr>
        <w:lastRenderedPageBreak/>
        <w:drawing>
          <wp:inline distT="0" distB="0" distL="0" distR="0" wp14:anchorId="201DE782" wp14:editId="21C5E3B5">
            <wp:extent cx="5943600" cy="5010150"/>
            <wp:effectExtent l="0" t="0" r="0" b="0"/>
            <wp:docPr id="2023405034" name="Chart 1">
              <a:extLst xmlns:a="http://schemas.openxmlformats.org/drawingml/2006/main">
                <a:ext uri="{FF2B5EF4-FFF2-40B4-BE49-F238E27FC236}">
                  <a16:creationId xmlns:a16="http://schemas.microsoft.com/office/drawing/2014/main" id="{AB2589D6-891B-3240-B624-1F73DEC043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435A6F8" w14:textId="5F31BC90" w:rsidR="000816CC" w:rsidRPr="00D86091" w:rsidRDefault="00BE1118" w:rsidP="00D86091">
      <w:pPr>
        <w:jc w:val="center"/>
        <w:rPr>
          <w:b/>
          <w:bCs/>
          <w:lang w:val="en-GB"/>
        </w:rPr>
      </w:pPr>
      <w:r w:rsidRPr="00D86091">
        <w:rPr>
          <w:b/>
          <w:bCs/>
          <w:lang w:val="en-GB"/>
        </w:rPr>
        <w:t xml:space="preserve">Figure 5: ROE </w:t>
      </w:r>
    </w:p>
    <w:p w14:paraId="395333D0" w14:textId="77777777" w:rsidR="000816CC" w:rsidRPr="00D86091" w:rsidRDefault="00BE1118" w:rsidP="00D86091">
      <w:pPr>
        <w:jc w:val="center"/>
        <w:rPr>
          <w:lang w:val="en-GB"/>
        </w:rPr>
      </w:pPr>
      <w:r w:rsidRPr="00D86091">
        <w:rPr>
          <w:lang w:val="en-GB"/>
        </w:rPr>
        <w:t>(Source: Self-Created)</w:t>
      </w:r>
    </w:p>
    <w:p w14:paraId="7D7C0C7A" w14:textId="5CA4B3F9" w:rsidR="000816CC" w:rsidRPr="00D86091" w:rsidRDefault="00BE1118" w:rsidP="00D86091">
      <w:pPr>
        <w:rPr>
          <w:lang w:val="en-GB"/>
        </w:rPr>
      </w:pPr>
      <w:r w:rsidRPr="00D86091">
        <w:rPr>
          <w:lang w:val="en-GB"/>
        </w:rPr>
        <w:t xml:space="preserve">The value of ROE plummeted by a factor of </w:t>
      </w:r>
      <w:r w:rsidR="005107BF">
        <w:rPr>
          <w:lang w:val="en-GB"/>
        </w:rPr>
        <w:t>5 years,</w:t>
      </w:r>
      <w:r w:rsidRPr="00D86091">
        <w:rPr>
          <w:lang w:val="en-GB"/>
        </w:rPr>
        <w:t xml:space="preserve"> </w:t>
      </w:r>
      <w:r w:rsidR="005107BF">
        <w:rPr>
          <w:lang w:val="en-GB"/>
        </w:rPr>
        <w:t>starting from</w:t>
      </w:r>
      <w:r w:rsidRPr="00D86091">
        <w:rPr>
          <w:lang w:val="en-GB"/>
        </w:rPr>
        <w:t xml:space="preserve"> 2020 to a negative 54.9 in 2023, indicating serious shareholder value destruction. This decrease indicates a rise in downside risk among the stockholders due to the operation of losses and erosion of equity. Empirical turnaround studies have demonstrated that these negative ROE patterns are usually followed by a major ownership restructuring or leadership intervention (</w:t>
      </w:r>
      <w:proofErr w:type="spellStart"/>
      <w:r w:rsidRPr="00D86091">
        <w:rPr>
          <w:lang w:val="en-GB"/>
        </w:rPr>
        <w:t>Tangpong</w:t>
      </w:r>
      <w:proofErr w:type="spellEnd"/>
      <w:r w:rsidRPr="00D86091">
        <w:rPr>
          <w:lang w:val="en-GB"/>
        </w:rPr>
        <w:t xml:space="preserve"> et al., 2025).</w:t>
      </w:r>
    </w:p>
    <w:p w14:paraId="1AF79BC2" w14:textId="77777777" w:rsidR="000816CC" w:rsidRPr="00D86091" w:rsidRDefault="00BE1118" w:rsidP="00D86091">
      <w:pPr>
        <w:pStyle w:val="Heading2"/>
        <w:rPr>
          <w:lang w:val="en-GB"/>
        </w:rPr>
      </w:pPr>
      <w:bookmarkStart w:id="11" w:name="_88wcb03l11a1" w:colFirst="0" w:colLast="0"/>
      <w:bookmarkStart w:id="12" w:name="_Toc217308899"/>
      <w:bookmarkEnd w:id="11"/>
      <w:r w:rsidRPr="00D86091">
        <w:rPr>
          <w:lang w:val="en-GB"/>
        </w:rPr>
        <w:t>2.3 Liquidity Ratio Analysis</w:t>
      </w:r>
      <w:bookmarkEnd w:id="12"/>
    </w:p>
    <w:p w14:paraId="5958064F" w14:textId="38C17172" w:rsidR="006212CC" w:rsidRPr="00D86091" w:rsidRDefault="006212CC" w:rsidP="00D86091">
      <w:pPr>
        <w:rPr>
          <w:b/>
          <w:bCs/>
          <w:i/>
          <w:iCs/>
          <w:lang w:val="en-GB"/>
        </w:rPr>
      </w:pPr>
      <w:r w:rsidRPr="00D86091">
        <w:rPr>
          <w:b/>
          <w:bCs/>
          <w:i/>
          <w:iCs/>
          <w:lang w:val="en-GB"/>
        </w:rPr>
        <w:t>Current Ratio</w:t>
      </w:r>
    </w:p>
    <w:p w14:paraId="281F29A2" w14:textId="7C2F94FA" w:rsidR="000816CC" w:rsidRPr="00D86091" w:rsidRDefault="002E61DB" w:rsidP="00D86091">
      <w:pPr>
        <w:jc w:val="center"/>
        <w:rPr>
          <w:lang w:val="en-GB"/>
        </w:rPr>
      </w:pPr>
      <w:r>
        <w:rPr>
          <w:noProof/>
        </w:rPr>
        <w:lastRenderedPageBreak/>
        <w:drawing>
          <wp:inline distT="0" distB="0" distL="0" distR="0" wp14:anchorId="4873363A" wp14:editId="0E86DA13">
            <wp:extent cx="5672138" cy="3052763"/>
            <wp:effectExtent l="0" t="0" r="5080" b="14605"/>
            <wp:docPr id="793682764" name="Chart 1">
              <a:extLst xmlns:a="http://schemas.openxmlformats.org/drawingml/2006/main">
                <a:ext uri="{FF2B5EF4-FFF2-40B4-BE49-F238E27FC236}">
                  <a16:creationId xmlns:a16="http://schemas.microsoft.com/office/drawing/2014/main" id="{5BA487D0-0EC3-1D48-8F51-05912667F7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E8D029E" w14:textId="198296F4" w:rsidR="000816CC" w:rsidRPr="00D86091" w:rsidRDefault="00BE1118" w:rsidP="00D86091">
      <w:pPr>
        <w:jc w:val="center"/>
        <w:rPr>
          <w:b/>
          <w:bCs/>
          <w:lang w:val="en-GB"/>
        </w:rPr>
      </w:pPr>
      <w:r w:rsidRPr="00D86091">
        <w:rPr>
          <w:b/>
          <w:bCs/>
          <w:lang w:val="en-GB"/>
        </w:rPr>
        <w:t xml:space="preserve">Figure 6: Current Ratio </w:t>
      </w:r>
    </w:p>
    <w:p w14:paraId="12AA4E47" w14:textId="77777777" w:rsidR="000816CC" w:rsidRPr="00D86091" w:rsidRDefault="00BE1118" w:rsidP="00D86091">
      <w:pPr>
        <w:jc w:val="center"/>
        <w:rPr>
          <w:lang w:val="en-GB"/>
        </w:rPr>
      </w:pPr>
      <w:r w:rsidRPr="00D86091">
        <w:rPr>
          <w:lang w:val="en-GB"/>
        </w:rPr>
        <w:t>(Source: Self-Created)</w:t>
      </w:r>
    </w:p>
    <w:p w14:paraId="010AC7BF" w14:textId="215E5EE4" w:rsidR="000816CC" w:rsidRPr="00D86091" w:rsidRDefault="00BE1118" w:rsidP="00D86091">
      <w:pPr>
        <w:rPr>
          <w:lang w:val="en-GB"/>
        </w:rPr>
      </w:pPr>
      <w:r w:rsidRPr="00D86091">
        <w:rPr>
          <w:lang w:val="en-GB"/>
        </w:rPr>
        <w:t xml:space="preserve">The current ratio </w:t>
      </w:r>
      <w:r w:rsidR="00DD49D9">
        <w:rPr>
          <w:lang w:val="en-GB"/>
        </w:rPr>
        <w:t xml:space="preserve">started with 1.82 in 2020 and </w:t>
      </w:r>
      <w:r w:rsidRPr="00D86091">
        <w:rPr>
          <w:lang w:val="en-GB"/>
        </w:rPr>
        <w:t xml:space="preserve">gradually </w:t>
      </w:r>
      <w:r w:rsidR="00DD49D9" w:rsidRPr="00D86091">
        <w:rPr>
          <w:lang w:val="en-GB"/>
        </w:rPr>
        <w:t xml:space="preserve">decreased </w:t>
      </w:r>
      <w:r w:rsidR="00DD49D9">
        <w:rPr>
          <w:lang w:val="en-GB"/>
        </w:rPr>
        <w:t xml:space="preserve">to 1.56 </w:t>
      </w:r>
      <w:r w:rsidRPr="00D86091">
        <w:rPr>
          <w:lang w:val="en-GB"/>
        </w:rPr>
        <w:t>in 2022</w:t>
      </w:r>
      <w:r w:rsidR="00DD49D9">
        <w:rPr>
          <w:lang w:val="en-GB"/>
        </w:rPr>
        <w:t xml:space="preserve">. Similar trend is also analysed </w:t>
      </w:r>
      <w:r w:rsidRPr="00D86091">
        <w:rPr>
          <w:lang w:val="en-GB"/>
        </w:rPr>
        <w:t xml:space="preserve">in </w:t>
      </w:r>
      <w:r w:rsidR="00EE33BB">
        <w:rPr>
          <w:lang w:val="en-GB"/>
        </w:rPr>
        <w:t>2023-</w:t>
      </w:r>
      <w:r w:rsidRPr="00D86091">
        <w:rPr>
          <w:lang w:val="en-GB"/>
        </w:rPr>
        <w:t xml:space="preserve">2024, </w:t>
      </w:r>
      <w:r w:rsidR="00EE33BB">
        <w:rPr>
          <w:lang w:val="en-GB"/>
        </w:rPr>
        <w:t>where it</w:t>
      </w:r>
      <w:r w:rsidR="00DD49D9">
        <w:rPr>
          <w:lang w:val="en-GB"/>
        </w:rPr>
        <w:t xml:space="preserve"> </w:t>
      </w:r>
      <w:r w:rsidR="00EE33BB" w:rsidRPr="00D86091">
        <w:rPr>
          <w:lang w:val="en-GB"/>
        </w:rPr>
        <w:t xml:space="preserve">decreased </w:t>
      </w:r>
      <w:r w:rsidR="00EE33BB">
        <w:rPr>
          <w:lang w:val="en-GB"/>
        </w:rPr>
        <w:t>to</w:t>
      </w:r>
      <w:r w:rsidRPr="00D86091">
        <w:rPr>
          <w:lang w:val="en-GB"/>
        </w:rPr>
        <w:t xml:space="preserve"> 1.</w:t>
      </w:r>
      <w:r w:rsidR="00EE33BB">
        <w:rPr>
          <w:lang w:val="en-GB"/>
        </w:rPr>
        <w:t>53 in 2024 from 1.60</w:t>
      </w:r>
      <w:r w:rsidRPr="00D86091">
        <w:rPr>
          <w:lang w:val="en-GB"/>
        </w:rPr>
        <w:t>. Even though it remains above unity, this decreasing trend is a sign of decreasing short-term liquidity and diminished shock-absorbing headroom. The liquidity position of the firm is also becoming weaker, considering the magnitude of operating losses.</w:t>
      </w:r>
    </w:p>
    <w:p w14:paraId="65495947" w14:textId="080545CD" w:rsidR="006212CC" w:rsidRPr="00D86091" w:rsidRDefault="006212CC" w:rsidP="00D86091">
      <w:pPr>
        <w:rPr>
          <w:b/>
          <w:bCs/>
          <w:i/>
          <w:iCs/>
          <w:lang w:val="en-GB"/>
        </w:rPr>
      </w:pPr>
      <w:r w:rsidRPr="00D86091">
        <w:rPr>
          <w:b/>
          <w:bCs/>
          <w:i/>
          <w:iCs/>
          <w:lang w:val="en-GB"/>
        </w:rPr>
        <w:t>Quick Ratio</w:t>
      </w:r>
    </w:p>
    <w:p w14:paraId="159DAD13" w14:textId="3072C7D1" w:rsidR="000816CC" w:rsidRPr="00D86091" w:rsidRDefault="0025502A" w:rsidP="00D86091">
      <w:pPr>
        <w:jc w:val="center"/>
        <w:rPr>
          <w:lang w:val="en-GB"/>
        </w:rPr>
      </w:pPr>
      <w:r>
        <w:rPr>
          <w:noProof/>
        </w:rPr>
        <w:drawing>
          <wp:inline distT="0" distB="0" distL="0" distR="0" wp14:anchorId="3E686708" wp14:editId="7CF93D1D">
            <wp:extent cx="5319713" cy="3005138"/>
            <wp:effectExtent l="0" t="0" r="14605" b="5080"/>
            <wp:docPr id="1620874470" name="Chart 1">
              <a:extLst xmlns:a="http://schemas.openxmlformats.org/drawingml/2006/main">
                <a:ext uri="{FF2B5EF4-FFF2-40B4-BE49-F238E27FC236}">
                  <a16:creationId xmlns:a16="http://schemas.microsoft.com/office/drawing/2014/main" id="{B0FBEFF1-03A3-3140-985C-474609800E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D057EB4" w14:textId="6926E2D4" w:rsidR="000816CC" w:rsidRPr="00D86091" w:rsidRDefault="00BE1118" w:rsidP="00D86091">
      <w:pPr>
        <w:jc w:val="center"/>
        <w:rPr>
          <w:b/>
          <w:bCs/>
          <w:lang w:val="en-GB"/>
        </w:rPr>
      </w:pPr>
      <w:r w:rsidRPr="00D86091">
        <w:rPr>
          <w:b/>
          <w:bCs/>
          <w:lang w:val="en-GB"/>
        </w:rPr>
        <w:t xml:space="preserve">Figure 7: Quick Ratio </w:t>
      </w:r>
    </w:p>
    <w:p w14:paraId="36DAABB3" w14:textId="77777777" w:rsidR="000816CC" w:rsidRPr="00D86091" w:rsidRDefault="00BE1118" w:rsidP="00D86091">
      <w:pPr>
        <w:jc w:val="center"/>
        <w:rPr>
          <w:lang w:val="en-GB"/>
        </w:rPr>
      </w:pPr>
      <w:r w:rsidRPr="00D86091">
        <w:rPr>
          <w:lang w:val="en-GB"/>
        </w:rPr>
        <w:t>(Source: Self-Created)</w:t>
      </w:r>
    </w:p>
    <w:p w14:paraId="7367F14F" w14:textId="7B6F9A81" w:rsidR="000816CC" w:rsidRPr="00D86091" w:rsidRDefault="0025502A" w:rsidP="00D86091">
      <w:pPr>
        <w:rPr>
          <w:lang w:val="en-GB"/>
        </w:rPr>
      </w:pPr>
      <w:r>
        <w:rPr>
          <w:lang w:val="en-GB"/>
        </w:rPr>
        <w:lastRenderedPageBreak/>
        <w:t>A</w:t>
      </w:r>
      <w:r w:rsidRPr="00D86091">
        <w:rPr>
          <w:lang w:val="en-GB"/>
        </w:rPr>
        <w:t>s compared to 1.15 in 2020</w:t>
      </w:r>
      <w:r>
        <w:rPr>
          <w:lang w:val="en-GB"/>
        </w:rPr>
        <w:t>, the q</w:t>
      </w:r>
      <w:r w:rsidRPr="00D86091">
        <w:rPr>
          <w:lang w:val="en-GB"/>
        </w:rPr>
        <w:t>uick ratio dropped to 1.03 in 2024, which shows an increasing reliance on inventory in order to fulfil short-term liabilities. This erosion is an indication that the quality of liquidity is deteriorating since the inventories in the consumer electronics business are prone to fast obsolescence and price cutting.</w:t>
      </w:r>
    </w:p>
    <w:p w14:paraId="75A156DC" w14:textId="4D5374A2" w:rsidR="000816CC" w:rsidRPr="00D86091" w:rsidRDefault="00BE1118" w:rsidP="00D86091">
      <w:pPr>
        <w:rPr>
          <w:b/>
          <w:bCs/>
          <w:i/>
          <w:iCs/>
          <w:lang w:val="en-GB"/>
        </w:rPr>
      </w:pPr>
      <w:r w:rsidRPr="00D86091">
        <w:rPr>
          <w:b/>
          <w:bCs/>
          <w:i/>
          <w:iCs/>
          <w:lang w:val="en-GB"/>
        </w:rPr>
        <w:t>Cash Flow Perception of Running</w:t>
      </w:r>
    </w:p>
    <w:p w14:paraId="498E3D2B" w14:textId="4D6A03E9" w:rsidR="000816CC" w:rsidRPr="00D86091" w:rsidRDefault="00BE1118" w:rsidP="00D86091">
      <w:pPr>
        <w:rPr>
          <w:lang w:val="en-GB"/>
        </w:rPr>
      </w:pPr>
      <w:r w:rsidRPr="00D86091">
        <w:rPr>
          <w:lang w:val="en-GB"/>
        </w:rPr>
        <w:t xml:space="preserve">Although there were losses on account, operating cash flows were also positive in most years and indicate a disparity between cash generation and reported profits. This would give relief in the short term, but the use of working capital movements as opposed to sustainable profitability cannot be a long-term liquidity policy. </w:t>
      </w:r>
      <w:r w:rsidR="006212CC" w:rsidRPr="00D86091">
        <w:rPr>
          <w:lang w:val="en-GB"/>
        </w:rPr>
        <w:t>The r</w:t>
      </w:r>
      <w:r w:rsidRPr="00D86091">
        <w:rPr>
          <w:lang w:val="en-GB"/>
        </w:rPr>
        <w:t xml:space="preserve">esearch </w:t>
      </w:r>
      <w:r w:rsidR="006212CC" w:rsidRPr="00D86091">
        <w:rPr>
          <w:lang w:val="en-GB"/>
        </w:rPr>
        <w:t>of Kamal and Awan</w:t>
      </w:r>
      <w:r w:rsidR="005A4378" w:rsidRPr="00D86091">
        <w:rPr>
          <w:lang w:val="en-GB"/>
        </w:rPr>
        <w:t xml:space="preserve"> (</w:t>
      </w:r>
      <w:r w:rsidR="006212CC" w:rsidRPr="00D86091">
        <w:rPr>
          <w:lang w:val="en-GB"/>
        </w:rPr>
        <w:t>2025)</w:t>
      </w:r>
      <w:r w:rsidR="005A4378" w:rsidRPr="00D86091">
        <w:rPr>
          <w:lang w:val="en-GB"/>
        </w:rPr>
        <w:t xml:space="preserve"> </w:t>
      </w:r>
      <w:r w:rsidRPr="00D86091">
        <w:rPr>
          <w:lang w:val="en-GB"/>
        </w:rPr>
        <w:t xml:space="preserve">on financial resilience stresses that in most cases, this divergence has been covering up their weak positions until the liquidity assumption becomes overstretched in the blink of </w:t>
      </w:r>
      <w:r w:rsidR="006212CC" w:rsidRPr="00D86091">
        <w:rPr>
          <w:lang w:val="en-GB"/>
        </w:rPr>
        <w:t>a</w:t>
      </w:r>
      <w:r w:rsidRPr="00D86091">
        <w:rPr>
          <w:lang w:val="en-GB"/>
        </w:rPr>
        <w:t xml:space="preserve"> second.</w:t>
      </w:r>
    </w:p>
    <w:p w14:paraId="70CD6F36" w14:textId="77777777" w:rsidR="000816CC" w:rsidRPr="00D86091" w:rsidRDefault="00BE1118" w:rsidP="00D86091">
      <w:pPr>
        <w:pStyle w:val="Heading2"/>
        <w:rPr>
          <w:lang w:val="en-GB"/>
        </w:rPr>
      </w:pPr>
      <w:bookmarkStart w:id="13" w:name="_o7ek0uaequd6" w:colFirst="0" w:colLast="0"/>
      <w:bookmarkStart w:id="14" w:name="_Toc217308900"/>
      <w:bookmarkEnd w:id="13"/>
      <w:r w:rsidRPr="00D86091">
        <w:rPr>
          <w:lang w:val="en-GB"/>
        </w:rPr>
        <w:t>2.4 Efficiency (Activity) Ratio Analysis</w:t>
      </w:r>
      <w:bookmarkEnd w:id="14"/>
    </w:p>
    <w:p w14:paraId="6C0D892F" w14:textId="76374C01" w:rsidR="005A4378" w:rsidRPr="00D86091" w:rsidRDefault="005A4378" w:rsidP="00D86091">
      <w:pPr>
        <w:rPr>
          <w:b/>
          <w:bCs/>
          <w:i/>
          <w:iCs/>
          <w:lang w:val="en-GB"/>
        </w:rPr>
      </w:pPr>
      <w:r w:rsidRPr="00D86091">
        <w:rPr>
          <w:b/>
          <w:bCs/>
          <w:i/>
          <w:iCs/>
          <w:lang w:val="en-GB"/>
        </w:rPr>
        <w:t>Inventory Days</w:t>
      </w:r>
    </w:p>
    <w:p w14:paraId="14306D98" w14:textId="0FAB7C9E" w:rsidR="000816CC" w:rsidRPr="00D86091" w:rsidRDefault="00756C61" w:rsidP="00D86091">
      <w:pPr>
        <w:jc w:val="center"/>
        <w:rPr>
          <w:lang w:val="en-GB"/>
        </w:rPr>
      </w:pPr>
      <w:r>
        <w:rPr>
          <w:noProof/>
        </w:rPr>
        <w:drawing>
          <wp:inline distT="0" distB="0" distL="0" distR="0" wp14:anchorId="40D86D06" wp14:editId="302052CA">
            <wp:extent cx="5729288" cy="3095625"/>
            <wp:effectExtent l="0" t="0" r="5080" b="9525"/>
            <wp:docPr id="284586864" name="Chart 1">
              <a:extLst xmlns:a="http://schemas.openxmlformats.org/drawingml/2006/main">
                <a:ext uri="{FF2B5EF4-FFF2-40B4-BE49-F238E27FC236}">
                  <a16:creationId xmlns:a16="http://schemas.microsoft.com/office/drawing/2014/main" id="{8F4D88BD-08B6-0F4D-83BE-8A297B2063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0E9272E" w14:textId="0D2C07D7" w:rsidR="000816CC" w:rsidRPr="00D86091" w:rsidRDefault="00BE1118" w:rsidP="00D86091">
      <w:pPr>
        <w:jc w:val="center"/>
        <w:rPr>
          <w:b/>
          <w:bCs/>
          <w:lang w:val="en-GB"/>
        </w:rPr>
      </w:pPr>
      <w:r w:rsidRPr="00D86091">
        <w:rPr>
          <w:b/>
          <w:bCs/>
          <w:lang w:val="en-GB"/>
        </w:rPr>
        <w:t xml:space="preserve">Figure 8: Inventory Days </w:t>
      </w:r>
    </w:p>
    <w:p w14:paraId="2B90C3B6" w14:textId="77777777" w:rsidR="000816CC" w:rsidRPr="00D86091" w:rsidRDefault="00BE1118" w:rsidP="00D86091">
      <w:pPr>
        <w:jc w:val="center"/>
        <w:rPr>
          <w:lang w:val="en-GB"/>
        </w:rPr>
      </w:pPr>
      <w:r w:rsidRPr="00D86091">
        <w:rPr>
          <w:lang w:val="en-GB"/>
        </w:rPr>
        <w:t>(Source: Self-Created)</w:t>
      </w:r>
    </w:p>
    <w:p w14:paraId="7F5522CB" w14:textId="218003ED" w:rsidR="000816CC" w:rsidRPr="00D86091" w:rsidRDefault="00BE1118" w:rsidP="00D86091">
      <w:pPr>
        <w:rPr>
          <w:lang w:val="en-GB"/>
        </w:rPr>
      </w:pPr>
      <w:r w:rsidRPr="00D86091">
        <w:rPr>
          <w:lang w:val="en-GB"/>
        </w:rPr>
        <w:t xml:space="preserve">The inventory days rose to 94.3 days in 2022, which is the highest in the past </w:t>
      </w:r>
      <w:r w:rsidR="00756C61">
        <w:rPr>
          <w:lang w:val="en-GB"/>
        </w:rPr>
        <w:t>4</w:t>
      </w:r>
      <w:r w:rsidRPr="00D86091">
        <w:rPr>
          <w:lang w:val="en-GB"/>
        </w:rPr>
        <w:t xml:space="preserve"> years and then reduced to 73 days in 2024. Long inventory carrying times also show problems in demand forecasting and slow-moving stock, both of which tie up cash and put them at risk of markdown.</w:t>
      </w:r>
    </w:p>
    <w:p w14:paraId="3B76144F" w14:textId="77777777" w:rsidR="00756C61" w:rsidRDefault="00756C61">
      <w:pPr>
        <w:rPr>
          <w:b/>
          <w:bCs/>
          <w:i/>
          <w:iCs/>
          <w:lang w:val="en-GB"/>
        </w:rPr>
      </w:pPr>
      <w:r>
        <w:rPr>
          <w:b/>
          <w:bCs/>
          <w:i/>
          <w:iCs/>
          <w:lang w:val="en-GB"/>
        </w:rPr>
        <w:br w:type="page"/>
      </w:r>
    </w:p>
    <w:p w14:paraId="2B7B6630" w14:textId="3591F523" w:rsidR="005A4378" w:rsidRPr="00D86091" w:rsidRDefault="005A4378" w:rsidP="00D86091">
      <w:pPr>
        <w:rPr>
          <w:b/>
          <w:bCs/>
          <w:i/>
          <w:iCs/>
          <w:lang w:val="en-GB"/>
        </w:rPr>
      </w:pPr>
      <w:r w:rsidRPr="00D86091">
        <w:rPr>
          <w:b/>
          <w:bCs/>
          <w:i/>
          <w:iCs/>
          <w:lang w:val="en-GB"/>
        </w:rPr>
        <w:lastRenderedPageBreak/>
        <w:t>Receivables Days</w:t>
      </w:r>
    </w:p>
    <w:p w14:paraId="0024BCF6" w14:textId="7277494C" w:rsidR="000816CC" w:rsidRPr="00D86091" w:rsidRDefault="004C3F0D" w:rsidP="00D86091">
      <w:pPr>
        <w:jc w:val="center"/>
        <w:rPr>
          <w:lang w:val="en-GB"/>
        </w:rPr>
      </w:pPr>
      <w:r>
        <w:rPr>
          <w:noProof/>
        </w:rPr>
        <w:drawing>
          <wp:inline distT="0" distB="0" distL="0" distR="0" wp14:anchorId="6543EF8E" wp14:editId="6A83DA09">
            <wp:extent cx="5553075" cy="3090862"/>
            <wp:effectExtent l="0" t="0" r="9525" b="14605"/>
            <wp:docPr id="244561567" name="Chart 1">
              <a:extLst xmlns:a="http://schemas.openxmlformats.org/drawingml/2006/main">
                <a:ext uri="{FF2B5EF4-FFF2-40B4-BE49-F238E27FC236}">
                  <a16:creationId xmlns:a16="http://schemas.microsoft.com/office/drawing/2014/main" id="{C07444F7-6334-AE4E-AA5A-33ECF88C63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C71DC8C" w14:textId="05F7A81D" w:rsidR="000816CC" w:rsidRPr="00D86091" w:rsidRDefault="00BE1118" w:rsidP="00D86091">
      <w:pPr>
        <w:jc w:val="center"/>
        <w:rPr>
          <w:b/>
          <w:bCs/>
          <w:lang w:val="en-GB"/>
        </w:rPr>
      </w:pPr>
      <w:r w:rsidRPr="00D86091">
        <w:rPr>
          <w:b/>
          <w:bCs/>
          <w:lang w:val="en-GB"/>
        </w:rPr>
        <w:t>Figure 9: Receivable Days</w:t>
      </w:r>
    </w:p>
    <w:p w14:paraId="57269CA9" w14:textId="77777777" w:rsidR="000816CC" w:rsidRPr="00D86091" w:rsidRDefault="00BE1118" w:rsidP="00D86091">
      <w:pPr>
        <w:jc w:val="center"/>
        <w:rPr>
          <w:lang w:val="en-GB"/>
        </w:rPr>
      </w:pPr>
      <w:r w:rsidRPr="00D86091">
        <w:rPr>
          <w:lang w:val="en-GB"/>
        </w:rPr>
        <w:t>(Source: Self-Created)</w:t>
      </w:r>
    </w:p>
    <w:p w14:paraId="73EDF22D" w14:textId="47B32F34" w:rsidR="000816CC" w:rsidRPr="00D86091" w:rsidRDefault="00BE1118" w:rsidP="00D86091">
      <w:pPr>
        <w:rPr>
          <w:lang w:val="en-GB"/>
        </w:rPr>
      </w:pPr>
      <w:r w:rsidRPr="00D86091">
        <w:rPr>
          <w:lang w:val="en-GB"/>
        </w:rPr>
        <w:t xml:space="preserve">The increase in receivables days was </w:t>
      </w:r>
      <w:r w:rsidR="004C3F0D">
        <w:rPr>
          <w:lang w:val="en-GB"/>
        </w:rPr>
        <w:t>seen from</w:t>
      </w:r>
      <w:r w:rsidRPr="00D86091">
        <w:rPr>
          <w:lang w:val="en-GB"/>
        </w:rPr>
        <w:t xml:space="preserve"> 76.9 days in 2020 </w:t>
      </w:r>
      <w:r w:rsidR="004C3F0D">
        <w:rPr>
          <w:lang w:val="en-GB"/>
        </w:rPr>
        <w:t xml:space="preserve">to almost </w:t>
      </w:r>
      <w:r w:rsidRPr="00D86091">
        <w:rPr>
          <w:lang w:val="en-GB"/>
        </w:rPr>
        <w:t>105 days in</w:t>
      </w:r>
      <w:r w:rsidR="004C3F0D">
        <w:rPr>
          <w:lang w:val="en-GB"/>
        </w:rPr>
        <w:t xml:space="preserve"> the span of 5 years, that is on</w:t>
      </w:r>
      <w:r w:rsidRPr="00D86091">
        <w:rPr>
          <w:lang w:val="en-GB"/>
        </w:rPr>
        <w:t xml:space="preserve"> 2024. The trend indicates the lack of credit discipline and the potential stress to offer favourable terms in order to maintain sales volumes. Liquidity is adversely impacted by a slow pace of collection of receivables.</w:t>
      </w:r>
    </w:p>
    <w:p w14:paraId="0A709094" w14:textId="54FA6AFE" w:rsidR="000816CC" w:rsidRPr="00D86091" w:rsidRDefault="005A4378" w:rsidP="00D86091">
      <w:pPr>
        <w:rPr>
          <w:lang w:val="en-GB"/>
        </w:rPr>
      </w:pPr>
      <w:r w:rsidRPr="00D86091">
        <w:rPr>
          <w:b/>
          <w:bCs/>
          <w:i/>
          <w:iCs/>
          <w:lang w:val="en-GB"/>
        </w:rPr>
        <w:t>Payable</w:t>
      </w:r>
      <w:r w:rsidRPr="00D86091">
        <w:rPr>
          <w:lang w:val="en-GB"/>
        </w:rPr>
        <w:t xml:space="preserve"> </w:t>
      </w:r>
      <w:r w:rsidRPr="00D86091">
        <w:rPr>
          <w:b/>
          <w:bCs/>
          <w:i/>
          <w:iCs/>
          <w:lang w:val="en-GB"/>
        </w:rPr>
        <w:t>Days</w:t>
      </w:r>
    </w:p>
    <w:p w14:paraId="1B67245B" w14:textId="63C807AC" w:rsidR="000816CC" w:rsidRPr="00D86091" w:rsidRDefault="007B7C67" w:rsidP="00D86091">
      <w:pPr>
        <w:jc w:val="center"/>
        <w:rPr>
          <w:lang w:val="en-GB"/>
        </w:rPr>
      </w:pPr>
      <w:r>
        <w:rPr>
          <w:noProof/>
        </w:rPr>
        <w:drawing>
          <wp:inline distT="0" distB="0" distL="0" distR="0" wp14:anchorId="0BDB2ACD" wp14:editId="78C88B05">
            <wp:extent cx="5576888" cy="3281363"/>
            <wp:effectExtent l="0" t="0" r="5080" b="0"/>
            <wp:docPr id="180749282" name="Chart 1">
              <a:extLst xmlns:a="http://schemas.openxmlformats.org/drawingml/2006/main">
                <a:ext uri="{FF2B5EF4-FFF2-40B4-BE49-F238E27FC236}">
                  <a16:creationId xmlns:a16="http://schemas.microsoft.com/office/drawing/2014/main" id="{880FFAFD-B89D-F349-AA22-2B3E815C65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EEA7F70" w14:textId="25E783CB" w:rsidR="000816CC" w:rsidRPr="00D86091" w:rsidRDefault="00BE1118" w:rsidP="00D86091">
      <w:pPr>
        <w:jc w:val="center"/>
        <w:rPr>
          <w:b/>
          <w:bCs/>
          <w:lang w:val="en-GB"/>
        </w:rPr>
      </w:pPr>
      <w:r w:rsidRPr="00D86091">
        <w:rPr>
          <w:b/>
          <w:bCs/>
          <w:lang w:val="en-GB"/>
        </w:rPr>
        <w:t xml:space="preserve">Figure 10: Payable Days </w:t>
      </w:r>
    </w:p>
    <w:p w14:paraId="6527D75C" w14:textId="77777777" w:rsidR="000816CC" w:rsidRPr="00D86091" w:rsidRDefault="00BE1118" w:rsidP="00D86091">
      <w:pPr>
        <w:jc w:val="center"/>
        <w:rPr>
          <w:lang w:val="en-GB"/>
        </w:rPr>
      </w:pPr>
      <w:r w:rsidRPr="00D86091">
        <w:rPr>
          <w:lang w:val="en-GB"/>
        </w:rPr>
        <w:lastRenderedPageBreak/>
        <w:t>(Source: Self-Created)</w:t>
      </w:r>
    </w:p>
    <w:p w14:paraId="2712C0D9" w14:textId="24A3537D" w:rsidR="000816CC" w:rsidRPr="00D86091" w:rsidRDefault="00BE1118" w:rsidP="00D86091">
      <w:pPr>
        <w:rPr>
          <w:lang w:val="en-GB"/>
        </w:rPr>
      </w:pPr>
      <w:r w:rsidRPr="00D86091">
        <w:rPr>
          <w:lang w:val="en-GB"/>
        </w:rPr>
        <w:t>In 2020, the number of payables days was 49.4 days</w:t>
      </w:r>
      <w:r w:rsidR="007B7C67">
        <w:rPr>
          <w:lang w:val="en-GB"/>
        </w:rPr>
        <w:t>. However</w:t>
      </w:r>
      <w:r w:rsidRPr="00D86091">
        <w:rPr>
          <w:lang w:val="en-GB"/>
        </w:rPr>
        <w:t>, in 2024</w:t>
      </w:r>
      <w:r w:rsidR="007B7C67">
        <w:rPr>
          <w:lang w:val="en-GB"/>
        </w:rPr>
        <w:t>,</w:t>
      </w:r>
      <w:r w:rsidRPr="00D86091">
        <w:rPr>
          <w:lang w:val="en-GB"/>
        </w:rPr>
        <w:t xml:space="preserve"> it </w:t>
      </w:r>
      <w:r w:rsidR="007B7C67">
        <w:rPr>
          <w:lang w:val="en-GB"/>
        </w:rPr>
        <w:t>increased to</w:t>
      </w:r>
      <w:r w:rsidRPr="00D86091">
        <w:rPr>
          <w:lang w:val="en-GB"/>
        </w:rPr>
        <w:t xml:space="preserve"> 66.6 days. Although long payables will offer short-term reprieve to liquidity, they will exert pressure on relationships with suppliers in the long run and on the flexibility of the supply chain.</w:t>
      </w:r>
    </w:p>
    <w:p w14:paraId="157D1F80" w14:textId="77777777" w:rsidR="000816CC" w:rsidRPr="00D86091" w:rsidRDefault="00BE1118" w:rsidP="00D86091">
      <w:pPr>
        <w:rPr>
          <w:b/>
          <w:bCs/>
          <w:i/>
          <w:iCs/>
          <w:lang w:val="en-GB"/>
        </w:rPr>
      </w:pPr>
      <w:r w:rsidRPr="00D86091">
        <w:rPr>
          <w:b/>
          <w:bCs/>
          <w:i/>
          <w:iCs/>
          <w:lang w:val="en-GB"/>
        </w:rPr>
        <w:t>Asset Turnover</w:t>
      </w:r>
    </w:p>
    <w:p w14:paraId="7C2E1CBB" w14:textId="77777777" w:rsidR="000816CC" w:rsidRPr="00D86091" w:rsidRDefault="00BE1118" w:rsidP="00D86091">
      <w:pPr>
        <w:rPr>
          <w:lang w:val="en-GB"/>
        </w:rPr>
      </w:pPr>
      <w:r w:rsidRPr="00D86091">
        <w:rPr>
          <w:lang w:val="en-GB"/>
        </w:rPr>
        <w:t>Not measured directly on the ratio table, but due to a decreasing level of revenues and a decreasing asset base, the prospect of a fall in efficiency of asset turnover is becoming evident. The ineffective use of working capital is a common characteristic of troubled companies and will tend to predetermine the aggressive retrenchment measures in the turnaround stages (</w:t>
      </w:r>
      <w:proofErr w:type="spellStart"/>
      <w:r w:rsidRPr="00D86091">
        <w:rPr>
          <w:lang w:val="en-GB"/>
        </w:rPr>
        <w:t>Toromo</w:t>
      </w:r>
      <w:proofErr w:type="spellEnd"/>
      <w:r w:rsidRPr="00D86091">
        <w:rPr>
          <w:lang w:val="en-GB"/>
        </w:rPr>
        <w:t xml:space="preserve"> and Mutinda, 2025).</w:t>
      </w:r>
    </w:p>
    <w:p w14:paraId="6C4F6BE6" w14:textId="77777777" w:rsidR="005A4378" w:rsidRPr="00D86091" w:rsidRDefault="005A4378" w:rsidP="00D86091">
      <w:pPr>
        <w:rPr>
          <w:lang w:val="en-GB"/>
        </w:rPr>
      </w:pPr>
    </w:p>
    <w:p w14:paraId="10112AB9" w14:textId="77777777" w:rsidR="000816CC" w:rsidRPr="00D86091" w:rsidRDefault="00BE1118" w:rsidP="00D86091">
      <w:pPr>
        <w:pStyle w:val="Heading2"/>
        <w:rPr>
          <w:lang w:val="en-GB"/>
        </w:rPr>
      </w:pPr>
      <w:bookmarkStart w:id="15" w:name="_5q96ziat5m95" w:colFirst="0" w:colLast="0"/>
      <w:bookmarkStart w:id="16" w:name="_Toc217308901"/>
      <w:bookmarkEnd w:id="15"/>
      <w:r w:rsidRPr="00D86091">
        <w:rPr>
          <w:lang w:val="en-GB"/>
        </w:rPr>
        <w:t>2.5 Gearing &amp; Capital Structure Analysis</w:t>
      </w:r>
      <w:bookmarkEnd w:id="16"/>
    </w:p>
    <w:p w14:paraId="7DA0A730" w14:textId="77777777" w:rsidR="000816CC" w:rsidRPr="00D86091" w:rsidRDefault="00BE1118" w:rsidP="00D86091">
      <w:pPr>
        <w:rPr>
          <w:b/>
          <w:bCs/>
          <w:i/>
          <w:iCs/>
          <w:lang w:val="en-GB"/>
        </w:rPr>
      </w:pPr>
      <w:r w:rsidRPr="00D86091">
        <w:rPr>
          <w:b/>
          <w:bCs/>
          <w:i/>
          <w:iCs/>
          <w:lang w:val="en-GB"/>
        </w:rPr>
        <w:t>Debt-to-Equity Ratio</w:t>
      </w:r>
    </w:p>
    <w:p w14:paraId="4AEC9F6E" w14:textId="136EAE1C" w:rsidR="00ED2B11" w:rsidRDefault="00ED2B11" w:rsidP="00ED2B11">
      <w:pPr>
        <w:jc w:val="center"/>
        <w:rPr>
          <w:lang w:val="en-GB"/>
        </w:rPr>
      </w:pPr>
      <w:r>
        <w:rPr>
          <w:noProof/>
        </w:rPr>
        <w:drawing>
          <wp:inline distT="0" distB="0" distL="0" distR="0" wp14:anchorId="181A1B5A" wp14:editId="00845AC9">
            <wp:extent cx="5591175" cy="3328987"/>
            <wp:effectExtent l="0" t="0" r="0" b="5080"/>
            <wp:docPr id="232510132" name="Chart 1">
              <a:extLst xmlns:a="http://schemas.openxmlformats.org/drawingml/2006/main">
                <a:ext uri="{FF2B5EF4-FFF2-40B4-BE49-F238E27FC236}">
                  <a16:creationId xmlns:a16="http://schemas.microsoft.com/office/drawing/2014/main" id="{6BCEC4A3-BFB7-FF44-8F74-D665894FED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50A000D" w14:textId="663FAA80" w:rsidR="00ED2B11" w:rsidRPr="00D86091" w:rsidRDefault="00ED2B11" w:rsidP="00ED2B11">
      <w:pPr>
        <w:jc w:val="center"/>
        <w:rPr>
          <w:b/>
          <w:bCs/>
          <w:lang w:val="en-GB"/>
        </w:rPr>
      </w:pPr>
      <w:r w:rsidRPr="00D86091">
        <w:rPr>
          <w:b/>
          <w:bCs/>
          <w:lang w:val="en-GB"/>
        </w:rPr>
        <w:t>Figure 1</w:t>
      </w:r>
      <w:r>
        <w:rPr>
          <w:b/>
          <w:bCs/>
          <w:lang w:val="en-GB"/>
        </w:rPr>
        <w:t>1</w:t>
      </w:r>
      <w:r w:rsidRPr="00D86091">
        <w:rPr>
          <w:b/>
          <w:bCs/>
          <w:lang w:val="en-GB"/>
        </w:rPr>
        <w:t xml:space="preserve">: </w:t>
      </w:r>
      <w:r w:rsidRPr="00ED2B11">
        <w:rPr>
          <w:b/>
          <w:bCs/>
          <w:lang w:val="en-GB"/>
        </w:rPr>
        <w:t>Debt-to-Equity Ratio</w:t>
      </w:r>
    </w:p>
    <w:p w14:paraId="56F44BBA" w14:textId="6A734D29" w:rsidR="00ED2B11" w:rsidRDefault="00ED2B11" w:rsidP="00ED2B11">
      <w:pPr>
        <w:jc w:val="center"/>
        <w:rPr>
          <w:lang w:val="en-GB"/>
        </w:rPr>
      </w:pPr>
      <w:r w:rsidRPr="00D86091">
        <w:rPr>
          <w:lang w:val="en-GB"/>
        </w:rPr>
        <w:t>(Source: Self-Created)</w:t>
      </w:r>
    </w:p>
    <w:p w14:paraId="173ACE2E" w14:textId="0139CFD4" w:rsidR="000816CC" w:rsidRPr="00D86091" w:rsidRDefault="00ED2B11" w:rsidP="00D86091">
      <w:pPr>
        <w:rPr>
          <w:lang w:val="en-GB"/>
        </w:rPr>
      </w:pPr>
      <w:r>
        <w:rPr>
          <w:lang w:val="en-GB"/>
        </w:rPr>
        <w:t xml:space="preserve">As shown in figure 11, the </w:t>
      </w:r>
      <w:r w:rsidRPr="00D86091">
        <w:rPr>
          <w:lang w:val="en-GB"/>
        </w:rPr>
        <w:t>debt-to-equity ratio rose between 2020 and 2024</w:t>
      </w:r>
      <w:r>
        <w:rPr>
          <w:lang w:val="en-GB"/>
        </w:rPr>
        <w:t xml:space="preserve"> from 62.9% to 111.2%.</w:t>
      </w:r>
      <w:r w:rsidRPr="00D86091">
        <w:rPr>
          <w:lang w:val="en-GB"/>
        </w:rPr>
        <w:t xml:space="preserve"> </w:t>
      </w:r>
      <w:r>
        <w:rPr>
          <w:lang w:val="en-GB"/>
        </w:rPr>
        <w:t>I</w:t>
      </w:r>
      <w:r w:rsidRPr="00D86091">
        <w:rPr>
          <w:lang w:val="en-GB"/>
        </w:rPr>
        <w:t>t was not due to intensive accumulation of debt, but because the firm lost its equity. This change compromises the financial risk and limits the strategy.</w:t>
      </w:r>
    </w:p>
    <w:p w14:paraId="46048A5C" w14:textId="77777777" w:rsidR="000816CC" w:rsidRPr="00D86091" w:rsidRDefault="00BE1118" w:rsidP="00D86091">
      <w:pPr>
        <w:rPr>
          <w:b/>
          <w:bCs/>
          <w:i/>
          <w:iCs/>
          <w:lang w:val="en-GB"/>
        </w:rPr>
      </w:pPr>
      <w:r w:rsidRPr="00D86091">
        <w:rPr>
          <w:b/>
          <w:bCs/>
          <w:i/>
          <w:iCs/>
          <w:lang w:val="en-GB"/>
        </w:rPr>
        <w:t>Interest Coverage</w:t>
      </w:r>
    </w:p>
    <w:p w14:paraId="373CC87C" w14:textId="77777777" w:rsidR="000816CC" w:rsidRPr="00D86091" w:rsidRDefault="00BE1118" w:rsidP="00D86091">
      <w:pPr>
        <w:rPr>
          <w:lang w:val="en-GB"/>
        </w:rPr>
      </w:pPr>
      <w:r w:rsidRPr="00D86091">
        <w:rPr>
          <w:lang w:val="en-GB"/>
        </w:rPr>
        <w:lastRenderedPageBreak/>
        <w:t>Though not directly enumerated, declining operating margins mean decreased interest coverage capacity, especially in the years of losses. This compromises the confidence of the creditors and increases the refinancing risk.</w:t>
      </w:r>
    </w:p>
    <w:p w14:paraId="31E40774" w14:textId="77777777" w:rsidR="000816CC" w:rsidRPr="00D86091" w:rsidRDefault="00BE1118" w:rsidP="00D86091">
      <w:pPr>
        <w:rPr>
          <w:b/>
          <w:bCs/>
          <w:i/>
          <w:iCs/>
          <w:lang w:val="en-GB"/>
        </w:rPr>
      </w:pPr>
      <w:r w:rsidRPr="00D86091">
        <w:rPr>
          <w:b/>
          <w:bCs/>
          <w:i/>
          <w:iCs/>
          <w:lang w:val="en-GB"/>
        </w:rPr>
        <w:t>Debt-to-Assets Perspective</w:t>
      </w:r>
    </w:p>
    <w:p w14:paraId="13FEAEC8" w14:textId="77777777" w:rsidR="000816CC" w:rsidRDefault="00BE1118" w:rsidP="00D86091">
      <w:pPr>
        <w:rPr>
          <w:lang w:val="en-GB"/>
        </w:rPr>
      </w:pPr>
      <w:r w:rsidRPr="00D86091">
        <w:rPr>
          <w:lang w:val="en-GB"/>
        </w:rPr>
        <w:t>The increasing proportion of liabilities as compared to the assets is a measure of balance sheet stress. It has been shown that excessive leverage in bad periods makes the possibility of successful recovery low unless there is decisive restructuring of leverage (</w:t>
      </w:r>
      <w:proofErr w:type="spellStart"/>
      <w:r w:rsidRPr="00D86091">
        <w:rPr>
          <w:lang w:val="en-GB"/>
        </w:rPr>
        <w:t>Darmayanti</w:t>
      </w:r>
      <w:proofErr w:type="spellEnd"/>
      <w:r w:rsidRPr="00D86091">
        <w:rPr>
          <w:lang w:val="en-GB"/>
        </w:rPr>
        <w:t xml:space="preserve"> et al., 2025).</w:t>
      </w:r>
    </w:p>
    <w:p w14:paraId="5B4B59FA" w14:textId="77777777" w:rsidR="00FF6B25" w:rsidRPr="00D86091" w:rsidRDefault="00FF6B25" w:rsidP="00D86091">
      <w:pPr>
        <w:rPr>
          <w:lang w:val="en-GB"/>
        </w:rPr>
      </w:pPr>
    </w:p>
    <w:p w14:paraId="2C83E6A1" w14:textId="77777777" w:rsidR="000816CC" w:rsidRPr="00D86091" w:rsidRDefault="00BE1118" w:rsidP="00D86091">
      <w:pPr>
        <w:pStyle w:val="Heading2"/>
        <w:rPr>
          <w:lang w:val="en-GB"/>
        </w:rPr>
      </w:pPr>
      <w:bookmarkStart w:id="17" w:name="_svwtt25p8bjn" w:colFirst="0" w:colLast="0"/>
      <w:bookmarkStart w:id="18" w:name="_Toc217308902"/>
      <w:bookmarkEnd w:id="17"/>
      <w:r w:rsidRPr="00D86091">
        <w:rPr>
          <w:lang w:val="en-GB"/>
        </w:rPr>
        <w:t>2.6 Investment &amp; Market-Based Ratios</w:t>
      </w:r>
      <w:bookmarkEnd w:id="18"/>
    </w:p>
    <w:p w14:paraId="5B337C43" w14:textId="77777777" w:rsidR="000816CC" w:rsidRPr="00D86091" w:rsidRDefault="00BE1118" w:rsidP="00D86091">
      <w:pPr>
        <w:rPr>
          <w:b/>
          <w:bCs/>
          <w:i/>
          <w:iCs/>
          <w:lang w:val="en-GB"/>
        </w:rPr>
      </w:pPr>
      <w:r w:rsidRPr="00D86091">
        <w:rPr>
          <w:b/>
          <w:bCs/>
          <w:i/>
          <w:iCs/>
          <w:lang w:val="en-GB"/>
        </w:rPr>
        <w:t>Earnings per Share (EPS)</w:t>
      </w:r>
    </w:p>
    <w:p w14:paraId="61330502" w14:textId="77777777" w:rsidR="000816CC" w:rsidRPr="00D86091" w:rsidRDefault="00BE1118" w:rsidP="00D86091">
      <w:pPr>
        <w:rPr>
          <w:lang w:val="en-GB"/>
        </w:rPr>
      </w:pPr>
      <w:r w:rsidRPr="00D86091">
        <w:rPr>
          <w:lang w:val="en-GB"/>
        </w:rPr>
        <w:t>The situation became much worse with EPS becoming strongly negative in 2023 and 2024. It has been noted that this trend represents both underperformance in its operations and the dilution effects of restructuring and share-based compensation.</w:t>
      </w:r>
    </w:p>
    <w:p w14:paraId="7D54026D" w14:textId="77777777" w:rsidR="000816CC" w:rsidRPr="00D86091" w:rsidRDefault="00BE1118" w:rsidP="00D86091">
      <w:pPr>
        <w:rPr>
          <w:b/>
          <w:bCs/>
          <w:i/>
          <w:iCs/>
          <w:lang w:val="en-GB"/>
        </w:rPr>
      </w:pPr>
      <w:r w:rsidRPr="00D86091">
        <w:rPr>
          <w:b/>
          <w:bCs/>
          <w:i/>
          <w:iCs/>
          <w:lang w:val="en-GB"/>
        </w:rPr>
        <w:t>Retained Earnings</w:t>
      </w:r>
    </w:p>
    <w:p w14:paraId="1AEE1499" w14:textId="77777777" w:rsidR="000816CC" w:rsidRPr="00D86091" w:rsidRDefault="00BE1118" w:rsidP="00D86091">
      <w:pPr>
        <w:rPr>
          <w:lang w:val="en-GB"/>
        </w:rPr>
      </w:pPr>
      <w:r w:rsidRPr="00D86091">
        <w:rPr>
          <w:lang w:val="en-GB"/>
        </w:rPr>
        <w:t>Internal capabilities to fund itself were dwindled by reduced retained earnings and reduced reinvestment possibilities. The loss of retained earnings can be taken as an indication of a shift in the organic recovery to an externally based restructuring.</w:t>
      </w:r>
    </w:p>
    <w:p w14:paraId="18F9A6B5" w14:textId="70DC48AB" w:rsidR="000816CC" w:rsidRPr="00D86091" w:rsidRDefault="00BE1118" w:rsidP="00D86091">
      <w:pPr>
        <w:rPr>
          <w:b/>
          <w:bCs/>
          <w:i/>
          <w:iCs/>
          <w:lang w:val="en-GB"/>
        </w:rPr>
      </w:pPr>
      <w:r w:rsidRPr="00D86091">
        <w:rPr>
          <w:b/>
          <w:bCs/>
          <w:i/>
          <w:iCs/>
          <w:lang w:val="en-GB"/>
        </w:rPr>
        <w:t>Implications of Market Confidence</w:t>
      </w:r>
      <w:r w:rsidR="00C01BB4" w:rsidRPr="00D86091">
        <w:rPr>
          <w:b/>
          <w:bCs/>
          <w:i/>
          <w:iCs/>
          <w:lang w:val="en-GB"/>
        </w:rPr>
        <w:t xml:space="preserve">: </w:t>
      </w:r>
      <w:r w:rsidRPr="00D86091">
        <w:rPr>
          <w:lang w:val="en-GB"/>
        </w:rPr>
        <w:t xml:space="preserve">Sustained negative EPS and falling equity will normally destroy investor confidence even in the absence of direct market valuation information. </w:t>
      </w:r>
      <w:proofErr w:type="spellStart"/>
      <w:r w:rsidR="003D6AB2" w:rsidRPr="00D86091">
        <w:rPr>
          <w:lang w:val="en-GB"/>
        </w:rPr>
        <w:t>Potharla</w:t>
      </w:r>
      <w:proofErr w:type="spellEnd"/>
      <w:r w:rsidR="003D6AB2" w:rsidRPr="00D86091">
        <w:rPr>
          <w:lang w:val="en-GB"/>
        </w:rPr>
        <w:t xml:space="preserve"> (2025) </w:t>
      </w:r>
      <w:r w:rsidRPr="00D86091">
        <w:rPr>
          <w:lang w:val="en-GB"/>
        </w:rPr>
        <w:t>state</w:t>
      </w:r>
      <w:r w:rsidR="003D6AB2" w:rsidRPr="00D86091">
        <w:rPr>
          <w:lang w:val="en-GB"/>
        </w:rPr>
        <w:t>d</w:t>
      </w:r>
      <w:r w:rsidRPr="00D86091">
        <w:rPr>
          <w:lang w:val="en-GB"/>
        </w:rPr>
        <w:t xml:space="preserve"> that credibility restoration is achieved through visible changes in profitability and capital discipline.</w:t>
      </w:r>
    </w:p>
    <w:p w14:paraId="3C7D2979" w14:textId="77777777" w:rsidR="000816CC" w:rsidRPr="00D86091" w:rsidRDefault="00BE1118" w:rsidP="00D86091">
      <w:pPr>
        <w:pStyle w:val="Heading2"/>
        <w:rPr>
          <w:lang w:val="en-GB"/>
        </w:rPr>
      </w:pPr>
      <w:bookmarkStart w:id="19" w:name="_iahesopk9iol" w:colFirst="0" w:colLast="0"/>
      <w:bookmarkStart w:id="20" w:name="_Toc217308903"/>
      <w:bookmarkEnd w:id="19"/>
      <w:r w:rsidRPr="00D86091">
        <w:rPr>
          <w:lang w:val="en-GB"/>
        </w:rPr>
        <w:t>2.7 Cash Flow Analysis</w:t>
      </w:r>
      <w:bookmarkEnd w:id="20"/>
    </w:p>
    <w:p w14:paraId="28ACD7E2" w14:textId="77777777" w:rsidR="000816CC" w:rsidRPr="00D86091" w:rsidRDefault="00BE1118" w:rsidP="00D86091">
      <w:pPr>
        <w:rPr>
          <w:lang w:val="en-GB"/>
        </w:rPr>
      </w:pPr>
      <w:r w:rsidRPr="00D86091">
        <w:rPr>
          <w:lang w:val="en-GB"/>
        </w:rPr>
        <w:t>The operating cash flows were also positive even in some years when net losses were recorded, since it was mainly due to add-backs caused by depreciation and working capital adjustments. Although this is a short-term liquidity relief, it does not reflect the sustainable value creation. Cash flow investment was steadily negative, which showed constant capital expenditure and intangible investment even when the revenues were falling. Cash flow financing discloses a high dependence on short-term credit facilit</w:t>
      </w:r>
      <w:r w:rsidRPr="00D86091">
        <w:rPr>
          <w:lang w:val="en-GB"/>
        </w:rPr>
        <w:t xml:space="preserve">ies, which puts the firm at risk of rollover risks. There was a decreasing cash balance with fewer financial buffers. Also, the negative foreign exchange flows also strained the cash flows, and hence, currency risk management is vital in a globally diversified firm. Restructuring of the human resources and operations without proper coordination can </w:t>
      </w:r>
      <w:r w:rsidRPr="00D86091">
        <w:rPr>
          <w:lang w:val="en-GB"/>
        </w:rPr>
        <w:lastRenderedPageBreak/>
        <w:t>even cause extra instability in the generation of cash at the recovery stages (Rivera-Prieto et al., 2025).</w:t>
      </w:r>
    </w:p>
    <w:p w14:paraId="09E2B32D" w14:textId="77777777" w:rsidR="000816CC" w:rsidRPr="00D86091" w:rsidRDefault="00BE1118" w:rsidP="00D86091">
      <w:pPr>
        <w:pStyle w:val="Heading2"/>
        <w:rPr>
          <w:lang w:val="en-GB"/>
        </w:rPr>
      </w:pPr>
      <w:bookmarkStart w:id="21" w:name="_7b47ktfir7s" w:colFirst="0" w:colLast="0"/>
      <w:bookmarkStart w:id="22" w:name="_Toc217308904"/>
      <w:bookmarkEnd w:id="21"/>
      <w:r w:rsidRPr="00D86091">
        <w:rPr>
          <w:lang w:val="en-GB"/>
        </w:rPr>
        <w:t>2.8 Corporate Failure Risk Assessment</w:t>
      </w:r>
      <w:bookmarkEnd w:id="22"/>
    </w:p>
    <w:p w14:paraId="5900700E" w14:textId="1A8739C0" w:rsidR="000816CC" w:rsidRDefault="0021388B" w:rsidP="00D86091">
      <w:pPr>
        <w:rPr>
          <w:lang w:val="en-GB"/>
        </w:rPr>
      </w:pPr>
      <w:r w:rsidRPr="00D86091">
        <w:rPr>
          <w:lang w:val="en-GB"/>
        </w:rPr>
        <w:t>The adjusted Altman Z-Score model of non-manufacturing companies indicates that Gener</w:t>
      </w:r>
      <w:r w:rsidR="00535CBA" w:rsidRPr="00D86091">
        <w:rPr>
          <w:lang w:val="en-GB"/>
        </w:rPr>
        <w:t xml:space="preserve">al </w:t>
      </w:r>
      <w:r w:rsidRPr="00D86091">
        <w:rPr>
          <w:lang w:val="en-GB"/>
        </w:rPr>
        <w:t>Electronics has already begun to transition to the distress range of the model both in 2023 and 2024</w:t>
      </w:r>
      <w:r w:rsidR="00564C96" w:rsidRPr="00D86091">
        <w:rPr>
          <w:lang w:val="en-GB"/>
        </w:rPr>
        <w:t xml:space="preserve"> [</w:t>
      </w:r>
      <w:r w:rsidR="00564C96" w:rsidRPr="00D86091">
        <w:rPr>
          <w:b/>
          <w:bCs/>
          <w:lang w:val="en-GB"/>
        </w:rPr>
        <w:t>Refer to Appendix B</w:t>
      </w:r>
      <w:r w:rsidR="00564C96" w:rsidRPr="00D86091">
        <w:rPr>
          <w:lang w:val="en-GB"/>
        </w:rPr>
        <w:t>]</w:t>
      </w:r>
      <w:r w:rsidRPr="00D86091">
        <w:rPr>
          <w:lang w:val="en-GB"/>
        </w:rPr>
        <w:t xml:space="preserve">. This decrease in profitability and retained earnings, higher leverage, and worse liquidity make the risk of bankruptcy higher. Comparatively, the past years would have placed the firm in a grey zone where corrective action would have stabilised the performance. The offered risk profile presupposes the necessity to take quick action since an early intervention is one of the main signs of a high chance of recovery. Empirical evidence </w:t>
      </w:r>
      <w:r w:rsidR="003D6AB2" w:rsidRPr="00D86091">
        <w:rPr>
          <w:lang w:val="en-GB"/>
        </w:rPr>
        <w:t xml:space="preserve">by </w:t>
      </w:r>
      <w:proofErr w:type="spellStart"/>
      <w:r w:rsidR="003D6AB2" w:rsidRPr="00D86091">
        <w:rPr>
          <w:lang w:val="en-GB"/>
        </w:rPr>
        <w:t>Gribnitz</w:t>
      </w:r>
      <w:proofErr w:type="spellEnd"/>
      <w:r w:rsidR="003D6AB2" w:rsidRPr="00D86091">
        <w:rPr>
          <w:lang w:val="en-GB"/>
        </w:rPr>
        <w:t xml:space="preserve"> et al., (2025)</w:t>
      </w:r>
      <w:r w:rsidRPr="00D86091">
        <w:rPr>
          <w:lang w:val="en-GB"/>
        </w:rPr>
        <w:t xml:space="preserve"> shown that distress at advanced stages requires more radical restructuring and decisiveness of the leadership as a way of reviving viability. With the example of the CFO, it can be noted that there is a need to stabilise liquidity, balance sheet restructuring, and capital allocation stringency. Unless an action is taken, a high probability exists of value-destructive resolutions such as forced divestitures or creditor-led restructuring, particularly when in later stages of the lifecycle where such strategies are less flexible (Jabeen, 2025; Burch et al., 2025).</w:t>
      </w:r>
    </w:p>
    <w:p w14:paraId="2B02AC5E" w14:textId="77777777" w:rsidR="00FF6B25" w:rsidRPr="00D86091" w:rsidRDefault="00FF6B25" w:rsidP="00D86091">
      <w:pPr>
        <w:rPr>
          <w:lang w:val="en-GB"/>
        </w:rPr>
      </w:pPr>
    </w:p>
    <w:p w14:paraId="00D7B776" w14:textId="77777777" w:rsidR="000816CC" w:rsidRPr="00D86091" w:rsidRDefault="00BE1118" w:rsidP="00D86091">
      <w:pPr>
        <w:pStyle w:val="Heading1"/>
        <w:rPr>
          <w:lang w:val="en-GB"/>
        </w:rPr>
      </w:pPr>
      <w:bookmarkStart w:id="23" w:name="_gnrbl2gvqz72" w:colFirst="0" w:colLast="0"/>
      <w:bookmarkStart w:id="24" w:name="_Toc217308905"/>
      <w:bookmarkEnd w:id="23"/>
      <w:r w:rsidRPr="00D86091">
        <w:rPr>
          <w:lang w:val="en-GB"/>
        </w:rPr>
        <w:t>3. Working Capital Management Analysis</w:t>
      </w:r>
      <w:bookmarkEnd w:id="24"/>
    </w:p>
    <w:p w14:paraId="6EA5CC55" w14:textId="77777777" w:rsidR="000816CC" w:rsidRPr="00D86091" w:rsidRDefault="00BE1118" w:rsidP="00D86091">
      <w:pPr>
        <w:pStyle w:val="Heading2"/>
        <w:rPr>
          <w:lang w:val="en-GB"/>
        </w:rPr>
      </w:pPr>
      <w:bookmarkStart w:id="25" w:name="_929r8kutwdwb" w:colFirst="0" w:colLast="0"/>
      <w:bookmarkStart w:id="26" w:name="_Toc217308906"/>
      <w:bookmarkEnd w:id="25"/>
      <w:r w:rsidRPr="00D86091">
        <w:rPr>
          <w:lang w:val="en-GB"/>
        </w:rPr>
        <w:t>3.1 Cash Operating Cycle Assessment</w:t>
      </w:r>
      <w:bookmarkEnd w:id="26"/>
    </w:p>
    <w:p w14:paraId="699CC7FF" w14:textId="749C086E" w:rsidR="000816CC" w:rsidRPr="00D86091" w:rsidRDefault="00BE1118" w:rsidP="00D86091">
      <w:pPr>
        <w:rPr>
          <w:lang w:val="en-GB"/>
        </w:rPr>
      </w:pPr>
      <w:r w:rsidRPr="00D86091">
        <w:rPr>
          <w:lang w:val="en-GB"/>
        </w:rPr>
        <w:t>The cash operating cycle of General Electronics has declined significantly during the review period, which has put a long-term strain on the liquidity. The inventory days fluctuated between 71.5 days in 2020 to a high of 94.3 days in 2022, and the inventory days stabilised at 73.4 days in 2024. Despite the recent decrease, which poses some form of remedial measure, inventory turnover is still not efficient compared to the decreasing sales volumes. The consumer electronics industry has a high inventory holdi</w:t>
      </w:r>
      <w:r w:rsidRPr="00D86091">
        <w:rPr>
          <w:lang w:val="en-GB"/>
        </w:rPr>
        <w:t>ng that increases the risks of technological obsolescence and forced discounting. The deterioration in receivables days is also more significant, with the days increasing to 76.9 in 2020 and 105.5 in 2024. It is an indication of poor credit discipline and the overdependence on long-term customer terms to protect market share. The direct impact of such a trend is a delay in cash inflows and a compromised short-term solvency. The 49.4 days payables have increased to 66.6 days in 2020 and 2024, respectively, s</w:t>
      </w:r>
      <w:r w:rsidRPr="00D86091">
        <w:rPr>
          <w:lang w:val="en-GB"/>
        </w:rPr>
        <w:t>howing that the company has gained more and more access to short-</w:t>
      </w:r>
      <w:r w:rsidRPr="00D86091">
        <w:rPr>
          <w:lang w:val="en-GB"/>
        </w:rPr>
        <w:lastRenderedPageBreak/>
        <w:t xml:space="preserve">term finances based on the suppliers. Although this gives short-term liquidity, it can make relations with suppliers more strained and will undermine supply chain resilience. Net working capital has, as a result, become </w:t>
      </w:r>
      <w:r w:rsidR="003D6AB2" w:rsidRPr="00D86091">
        <w:rPr>
          <w:lang w:val="en-GB"/>
        </w:rPr>
        <w:t>frailer</w:t>
      </w:r>
      <w:r w:rsidRPr="00D86091">
        <w:rPr>
          <w:lang w:val="en-GB"/>
        </w:rPr>
        <w:t xml:space="preserve"> in nature, with cash tied up in inventories and receivables and obligations being deferred instead of systematically addressed. </w:t>
      </w:r>
      <w:r w:rsidR="003D6AB2" w:rsidRPr="00D86091">
        <w:rPr>
          <w:lang w:val="en-GB"/>
        </w:rPr>
        <w:t xml:space="preserve">Maryani and </w:t>
      </w:r>
      <w:proofErr w:type="spellStart"/>
      <w:r w:rsidR="003D6AB2" w:rsidRPr="00D86091">
        <w:rPr>
          <w:lang w:val="en-GB"/>
        </w:rPr>
        <w:t>Ladista</w:t>
      </w:r>
      <w:proofErr w:type="spellEnd"/>
      <w:r w:rsidR="003D6AB2" w:rsidRPr="00D86091">
        <w:rPr>
          <w:lang w:val="en-GB"/>
        </w:rPr>
        <w:t xml:space="preserve"> (2025) </w:t>
      </w:r>
      <w:r w:rsidRPr="00D86091">
        <w:rPr>
          <w:lang w:val="en-GB"/>
        </w:rPr>
        <w:t>emphasise</w:t>
      </w:r>
      <w:r w:rsidR="003D6AB2" w:rsidRPr="00D86091">
        <w:rPr>
          <w:lang w:val="en-GB"/>
        </w:rPr>
        <w:t>d</w:t>
      </w:r>
      <w:r w:rsidRPr="00D86091">
        <w:rPr>
          <w:lang w:val="en-GB"/>
        </w:rPr>
        <w:t xml:space="preserve"> that the extended period of cash conversion cycle can</w:t>
      </w:r>
      <w:r w:rsidRPr="00D86091">
        <w:rPr>
          <w:lang w:val="en-GB"/>
        </w:rPr>
        <w:t xml:space="preserve"> be an indicator of underlying inefficiencies of the operation instead of the volatile condition in the short-term.</w:t>
      </w:r>
    </w:p>
    <w:p w14:paraId="3EB17567" w14:textId="77777777" w:rsidR="000816CC" w:rsidRPr="00D86091" w:rsidRDefault="00BE1118" w:rsidP="00D86091">
      <w:pPr>
        <w:pStyle w:val="Heading2"/>
        <w:rPr>
          <w:lang w:val="en-GB"/>
        </w:rPr>
      </w:pPr>
      <w:bookmarkStart w:id="27" w:name="_kfm2jirphrgt" w:colFirst="0" w:colLast="0"/>
      <w:bookmarkStart w:id="28" w:name="_Toc217308907"/>
      <w:bookmarkEnd w:id="27"/>
      <w:r w:rsidRPr="00D86091">
        <w:rPr>
          <w:lang w:val="en-GB"/>
        </w:rPr>
        <w:t>3.2 Liquidity Stress Diagnosis</w:t>
      </w:r>
      <w:bookmarkEnd w:id="28"/>
    </w:p>
    <w:p w14:paraId="38F1BC3F" w14:textId="77777777" w:rsidR="000816CC" w:rsidRPr="00D86091" w:rsidRDefault="00BE1118" w:rsidP="00D86091">
      <w:pPr>
        <w:rPr>
          <w:lang w:val="en-GB"/>
        </w:rPr>
      </w:pPr>
      <w:r w:rsidRPr="00D86091">
        <w:rPr>
          <w:lang w:val="en-GB"/>
        </w:rPr>
        <w:t>Three factors contribute to the liquidity stress at General Electronics. To start with, there is high inventory concentration even though revenue shrinkage is present. Unsold inventory takes up cash, which would otherwise be used to maintain operations or pay off debt. This situation is especially dangerous in high-technology industries, where the inventory values may be washed away in a short time. Second, slow-moving receivables are also a weakness in structure. Long customer credit terms can help to main</w:t>
      </w:r>
      <w:r w:rsidRPr="00D86091">
        <w:rPr>
          <w:lang w:val="en-GB"/>
        </w:rPr>
        <w:t xml:space="preserve">tain top-line stability in the short run, but undermine cash inflows and make the business susceptible to credit risk. Over time weakens the capacity of this firm to fund its internal operations. Third, the company is highly dependent on short-term credit lines to meet the liquidity shortfalls. This reliance enhances refinancing and rollover risk, especially during times of decreasing profitability and rising leverage. Corporate stability empirical research indicates that companies with low working capital </w:t>
      </w:r>
      <w:r w:rsidRPr="00D86091">
        <w:rPr>
          <w:lang w:val="en-GB"/>
        </w:rPr>
        <w:t>efficiency, together with short-term reliance on debt, increase financial vulnerability in recessions (Rano and Rano, 2025).</w:t>
      </w:r>
    </w:p>
    <w:p w14:paraId="2CCF8FD5" w14:textId="77777777" w:rsidR="000816CC" w:rsidRPr="00D86091" w:rsidRDefault="00BE1118" w:rsidP="00D86091">
      <w:pPr>
        <w:pStyle w:val="Heading2"/>
        <w:rPr>
          <w:lang w:val="en-GB"/>
        </w:rPr>
      </w:pPr>
      <w:bookmarkStart w:id="29" w:name="_7damnny8ix8j" w:colFirst="0" w:colLast="0"/>
      <w:bookmarkStart w:id="30" w:name="_Toc217308908"/>
      <w:bookmarkEnd w:id="29"/>
      <w:r w:rsidRPr="00D86091">
        <w:rPr>
          <w:lang w:val="en-GB"/>
        </w:rPr>
        <w:t>3.3 Working Capital Improvement Strategies</w:t>
      </w:r>
      <w:bookmarkEnd w:id="30"/>
    </w:p>
    <w:p w14:paraId="31CDBB24" w14:textId="223D695D" w:rsidR="000816CC" w:rsidRPr="00D86091" w:rsidRDefault="00BE1118" w:rsidP="00D86091">
      <w:pPr>
        <w:rPr>
          <w:lang w:val="en-GB"/>
        </w:rPr>
      </w:pPr>
      <w:r w:rsidRPr="00D86091">
        <w:rPr>
          <w:lang w:val="en-GB"/>
        </w:rPr>
        <w:t>There is a need to stabilise liquidity through a detailed working capital reform programme. There should be a special focus on inventory rationalisation based on tightening demand forecasts, SKUs, as well as quick disposal of old inventory to free up trapped cash. The renegotiation with suppliers should be directed at the collaborative agreements in the form of which extended payment conditions will be connected with the volume commitment, without disrupting the stability of the supply chain. To tighten the</w:t>
      </w:r>
      <w:r w:rsidRPr="00D86091">
        <w:rPr>
          <w:lang w:val="en-GB"/>
        </w:rPr>
        <w:t xml:space="preserve"> receivables, stricter credit policies, shorter terms, increased monitoring of collection and selective factoring in high-risk markets are necessary. Cash inflows can further be accelerated with dynamic discounting. Lastly, </w:t>
      </w:r>
      <w:proofErr w:type="spellStart"/>
      <w:r w:rsidR="003D6AB2" w:rsidRPr="00D86091">
        <w:rPr>
          <w:lang w:val="en-GB"/>
        </w:rPr>
        <w:t>Georgakakis</w:t>
      </w:r>
      <w:proofErr w:type="spellEnd"/>
      <w:r w:rsidR="003D6AB2" w:rsidRPr="00D86091">
        <w:rPr>
          <w:lang w:val="en-GB"/>
        </w:rPr>
        <w:t xml:space="preserve"> et al., (2025) stated that </w:t>
      </w:r>
      <w:r w:rsidRPr="00D86091">
        <w:rPr>
          <w:lang w:val="en-GB"/>
        </w:rPr>
        <w:t>liquidity will be efficient and less external borrowing will occur through global cash pooling through centralised treasury management.</w:t>
      </w:r>
    </w:p>
    <w:p w14:paraId="3C9128F9" w14:textId="77777777" w:rsidR="000816CC" w:rsidRPr="00D86091" w:rsidRDefault="00BE1118" w:rsidP="00D86091">
      <w:pPr>
        <w:pStyle w:val="Heading2"/>
        <w:rPr>
          <w:lang w:val="en-GB"/>
        </w:rPr>
      </w:pPr>
      <w:bookmarkStart w:id="31" w:name="_4e4pe6wyi5s3" w:colFirst="0" w:colLast="0"/>
      <w:bookmarkStart w:id="32" w:name="_Toc217308909"/>
      <w:bookmarkEnd w:id="31"/>
      <w:r w:rsidRPr="00D86091">
        <w:rPr>
          <w:lang w:val="en-GB"/>
        </w:rPr>
        <w:lastRenderedPageBreak/>
        <w:t>3.4 Short-Term vs Long-Term Financing</w:t>
      </w:r>
      <w:bookmarkEnd w:id="32"/>
    </w:p>
    <w:p w14:paraId="27DDAA95" w14:textId="77777777" w:rsidR="000816CC" w:rsidRDefault="00BE1118" w:rsidP="00D86091">
      <w:pPr>
        <w:rPr>
          <w:lang w:val="en-GB"/>
        </w:rPr>
      </w:pPr>
      <w:r w:rsidRPr="00D86091">
        <w:rPr>
          <w:lang w:val="en-GB"/>
        </w:rPr>
        <w:t>Short-term financing is more flexible and less expensive in starting u, but it subjects the business to rollover and interest rate risk, especially in volatile markets. Long-term financing is more costly and offers stability, and in the case of long-term asset recovery, it is more suitable. Using the matching principle, the working capital requirements are to be financed through the non-biased combination of short-term facilities with the liquidity buffers that are long-term. The excessive dependence on sho</w:t>
      </w:r>
      <w:r w:rsidRPr="00D86091">
        <w:rPr>
          <w:lang w:val="en-GB"/>
        </w:rPr>
        <w:t>rt-term credit increases the distress in cases of cash flow, reducing the discretion of the managers. Research in the area of financial distress prediction underlines that a long-term recovery will entail decreasing reliance on short-term funds in favour of stronger capital frameworks (</w:t>
      </w:r>
      <w:proofErr w:type="spellStart"/>
      <w:r w:rsidRPr="00D86091">
        <w:rPr>
          <w:lang w:val="en-GB"/>
        </w:rPr>
        <w:t>Braunsberger</w:t>
      </w:r>
      <w:proofErr w:type="spellEnd"/>
      <w:r w:rsidRPr="00D86091">
        <w:rPr>
          <w:lang w:val="en-GB"/>
        </w:rPr>
        <w:t xml:space="preserve"> and Aschauer, 2025).</w:t>
      </w:r>
    </w:p>
    <w:p w14:paraId="638430E6" w14:textId="77777777" w:rsidR="007E0055" w:rsidRPr="00D86091" w:rsidRDefault="007E0055" w:rsidP="00D86091">
      <w:pPr>
        <w:rPr>
          <w:lang w:val="en-GB"/>
        </w:rPr>
      </w:pPr>
    </w:p>
    <w:p w14:paraId="7DE5CC99" w14:textId="77777777" w:rsidR="000816CC" w:rsidRPr="00D86091" w:rsidRDefault="00BE1118" w:rsidP="00D86091">
      <w:pPr>
        <w:pStyle w:val="Heading1"/>
        <w:rPr>
          <w:lang w:val="en-GB"/>
        </w:rPr>
      </w:pPr>
      <w:bookmarkStart w:id="33" w:name="_ybnbms7x14ro" w:colFirst="0" w:colLast="0"/>
      <w:bookmarkStart w:id="34" w:name="_Toc217308910"/>
      <w:bookmarkEnd w:id="33"/>
      <w:r w:rsidRPr="00D86091">
        <w:rPr>
          <w:lang w:val="en-GB"/>
        </w:rPr>
        <w:t>4. Strategic Financial Restructuring Plan</w:t>
      </w:r>
      <w:bookmarkEnd w:id="34"/>
    </w:p>
    <w:p w14:paraId="73E70BCE" w14:textId="77777777" w:rsidR="000816CC" w:rsidRPr="00D86091" w:rsidRDefault="00BE1118" w:rsidP="00D86091">
      <w:pPr>
        <w:pStyle w:val="Heading2"/>
        <w:rPr>
          <w:lang w:val="en-GB"/>
        </w:rPr>
      </w:pPr>
      <w:bookmarkStart w:id="35" w:name="_503dl0wgsjjf" w:colFirst="0" w:colLast="0"/>
      <w:bookmarkStart w:id="36" w:name="_Toc217308911"/>
      <w:bookmarkEnd w:id="35"/>
      <w:r w:rsidRPr="00D86091">
        <w:rPr>
          <w:lang w:val="en-GB"/>
        </w:rPr>
        <w:t>4.1 Need for Restructuring</w:t>
      </w:r>
      <w:bookmarkEnd w:id="36"/>
    </w:p>
    <w:p w14:paraId="01BCD25B" w14:textId="71986739" w:rsidR="000816CC" w:rsidRPr="00D86091" w:rsidRDefault="00BE1118" w:rsidP="00D86091">
      <w:pPr>
        <w:rPr>
          <w:lang w:val="en-GB"/>
        </w:rPr>
      </w:pPr>
      <w:r w:rsidRPr="00D86091">
        <w:rPr>
          <w:lang w:val="en-GB"/>
        </w:rPr>
        <w:t>General Electronics needs to be restructured financially because of operating and net losses that have been incurred over a period of time which has reduced retained earnings and reduced the internal financing capacity. This is a long-term underperformance that is based on structural flaws in cost management and positioning as opposed to cyclical factors. This decrease in equity base has heightened leverage, decreased balance sheet strength and weakened access to external finance. High fixed costs and the u</w:t>
      </w:r>
      <w:r w:rsidRPr="00D86091">
        <w:rPr>
          <w:lang w:val="en-GB"/>
        </w:rPr>
        <w:t xml:space="preserve">se of old-fashioned production equipment also contribute to operational inflexibility thus limiting responsiveness in a fast-paced consumer electronic market. </w:t>
      </w:r>
      <w:r w:rsidR="003D6AB2" w:rsidRPr="00D86091">
        <w:rPr>
          <w:lang w:val="en-GB"/>
        </w:rPr>
        <w:t xml:space="preserve">According to Lohrke and </w:t>
      </w:r>
      <w:proofErr w:type="spellStart"/>
      <w:r w:rsidR="003D6AB2" w:rsidRPr="00D86091">
        <w:rPr>
          <w:lang w:val="en-GB"/>
        </w:rPr>
        <w:t>Frownelter</w:t>
      </w:r>
      <w:proofErr w:type="spellEnd"/>
      <w:r w:rsidR="003D6AB2" w:rsidRPr="00D86091">
        <w:rPr>
          <w:lang w:val="en-GB"/>
        </w:rPr>
        <w:t>-Lohrke (2025), t</w:t>
      </w:r>
      <w:r w:rsidRPr="00D86091">
        <w:rPr>
          <w:lang w:val="en-GB"/>
        </w:rPr>
        <w:t>he growing global competition increases these pressures, and thus immediate and ruthless restructuring is needed to avoid the rapid loss of value.</w:t>
      </w:r>
    </w:p>
    <w:p w14:paraId="43DE8B8E" w14:textId="77777777" w:rsidR="000816CC" w:rsidRPr="00D86091" w:rsidRDefault="00BE1118" w:rsidP="00D86091">
      <w:pPr>
        <w:pStyle w:val="Heading2"/>
        <w:rPr>
          <w:lang w:val="en-GB"/>
        </w:rPr>
      </w:pPr>
      <w:bookmarkStart w:id="37" w:name="_fxtujy6623r0" w:colFirst="0" w:colLast="0"/>
      <w:bookmarkStart w:id="38" w:name="_Toc217308912"/>
      <w:bookmarkEnd w:id="37"/>
      <w:r w:rsidRPr="00D86091">
        <w:rPr>
          <w:lang w:val="en-GB"/>
        </w:rPr>
        <w:t>4.2 Restructuring Options Evaluation</w:t>
      </w:r>
      <w:bookmarkEnd w:id="38"/>
    </w:p>
    <w:p w14:paraId="4B9C9DA8" w14:textId="7EBCF681" w:rsidR="000816CC" w:rsidRPr="00D86091" w:rsidRDefault="00BE1118" w:rsidP="00D86091">
      <w:pPr>
        <w:rPr>
          <w:b/>
          <w:bCs/>
          <w:i/>
          <w:iCs/>
          <w:lang w:val="en-GB"/>
        </w:rPr>
      </w:pPr>
      <w:r w:rsidRPr="00D86091">
        <w:rPr>
          <w:b/>
          <w:bCs/>
          <w:i/>
          <w:iCs/>
          <w:lang w:val="en-GB"/>
        </w:rPr>
        <w:t>Asset Divestiture (Non-Core Unit)</w:t>
      </w:r>
    </w:p>
    <w:p w14:paraId="5259030F" w14:textId="77777777" w:rsidR="000816CC" w:rsidRPr="00D86091" w:rsidRDefault="00BE1118" w:rsidP="00D86091">
      <w:pPr>
        <w:rPr>
          <w:lang w:val="en-GB"/>
        </w:rPr>
      </w:pPr>
      <w:r w:rsidRPr="00D86091">
        <w:rPr>
          <w:lang w:val="en-GB"/>
        </w:rPr>
        <w:t>The sale of non-core or non-performing business units provides a quick way of tapping into capital and recovering management focus. In the case of General Electronics, strategic asset sales have the potential to enhance liquidity and complexity of the operations without compromising the core strategic abilities. Divestiture improves the resilience of the balance sheet through the reduction of asset intensity and funds. But, forced sales or untimed sales will face value destruction if the market conditions a</w:t>
      </w:r>
      <w:r w:rsidRPr="00D86091">
        <w:rPr>
          <w:lang w:val="en-GB"/>
        </w:rPr>
        <w:t xml:space="preserve">re unfavourable. Restructuring experiences imply that the most successful divestment </w:t>
      </w:r>
      <w:r w:rsidRPr="00D86091">
        <w:rPr>
          <w:lang w:val="en-GB"/>
        </w:rPr>
        <w:lastRenderedPageBreak/>
        <w:t>deals are those that are proactive as opposed to those that are reactive due to pressure by creditors to do so (Altman et al., 2025).</w:t>
      </w:r>
    </w:p>
    <w:p w14:paraId="3BD725CD" w14:textId="3CBEAC99" w:rsidR="000816CC" w:rsidRPr="00D86091" w:rsidRDefault="00BE1118" w:rsidP="00D86091">
      <w:pPr>
        <w:rPr>
          <w:b/>
          <w:bCs/>
          <w:i/>
          <w:iCs/>
          <w:lang w:val="en-GB"/>
        </w:rPr>
      </w:pPr>
      <w:r w:rsidRPr="00D86091">
        <w:rPr>
          <w:b/>
          <w:bCs/>
          <w:i/>
          <w:iCs/>
          <w:lang w:val="en-GB"/>
        </w:rPr>
        <w:t>Equity Injection or Rights Issue</w:t>
      </w:r>
    </w:p>
    <w:p w14:paraId="47D1EAA9" w14:textId="77777777" w:rsidR="000816CC" w:rsidRPr="00D86091" w:rsidRDefault="00BE1118" w:rsidP="00D86091">
      <w:pPr>
        <w:rPr>
          <w:lang w:val="en-GB"/>
        </w:rPr>
      </w:pPr>
      <w:r w:rsidRPr="00D86091">
        <w:rPr>
          <w:lang w:val="en-GB"/>
        </w:rPr>
        <w:t>An increase in capital base and leverage reduction by equity injection of a rights issue or strategic investor would enhance the balance sheet. This alternative will increase solvency ratios and raise creditor confidence, which facilitates refinancing. Dilution is of concern to shareholder value, especially when issued in times of low valuation. However, financial stability restoration can counterbalance short-term dilution expenditure in case equity capital can support sustainable recovery. Research on tro</w:t>
      </w:r>
      <w:r w:rsidRPr="00D86091">
        <w:rPr>
          <w:lang w:val="en-GB"/>
        </w:rPr>
        <w:t>ubled recoveries suggests that recapitalisation is often a condition to operational recovery instead of an independent intervention (McKenzie and Marx, 2025).</w:t>
      </w:r>
    </w:p>
    <w:p w14:paraId="5B243048" w14:textId="2572B60C" w:rsidR="000816CC" w:rsidRPr="00D86091" w:rsidRDefault="00BE1118" w:rsidP="00D86091">
      <w:pPr>
        <w:rPr>
          <w:b/>
          <w:bCs/>
          <w:i/>
          <w:iCs/>
          <w:lang w:val="en-GB"/>
        </w:rPr>
      </w:pPr>
      <w:r w:rsidRPr="00D86091">
        <w:rPr>
          <w:b/>
          <w:bCs/>
          <w:i/>
          <w:iCs/>
          <w:lang w:val="en-GB"/>
        </w:rPr>
        <w:t>Debt Refinancing or restructuring</w:t>
      </w:r>
    </w:p>
    <w:p w14:paraId="165D20A9" w14:textId="411844E4" w:rsidR="000816CC" w:rsidRPr="00D86091" w:rsidRDefault="00BE1118" w:rsidP="00D86091">
      <w:pPr>
        <w:rPr>
          <w:lang w:val="en-GB"/>
        </w:rPr>
      </w:pPr>
      <w:r w:rsidRPr="00D86091">
        <w:rPr>
          <w:lang w:val="en-GB"/>
        </w:rPr>
        <w:t xml:space="preserve">The short-term cash flow pressure could be alleviated by restructuring the debt by lengthening maturities, resetting interest rates or softening covenants. The rollover risk would also come down by refinancing costly short-term debts to long-term securities. Since this enhances flexibility of liquidity, it fails to resolve underlying profitability problems and instead delays rather than eliminating distress. </w:t>
      </w:r>
      <w:r w:rsidR="003D6AB2" w:rsidRPr="00D86091">
        <w:rPr>
          <w:lang w:val="en-GB"/>
        </w:rPr>
        <w:t>As per Fasano et al., (2025), o</w:t>
      </w:r>
      <w:r w:rsidRPr="00D86091">
        <w:rPr>
          <w:lang w:val="en-GB"/>
        </w:rPr>
        <w:t>verdependence on debt restructuring without operational reform has been revealed to extend the time and increase the risk of default of competitive industries.</w:t>
      </w:r>
    </w:p>
    <w:p w14:paraId="0DBAB975" w14:textId="77777777" w:rsidR="000816CC" w:rsidRPr="00D86091" w:rsidRDefault="00BE1118" w:rsidP="00D86091">
      <w:pPr>
        <w:rPr>
          <w:b/>
          <w:bCs/>
          <w:i/>
          <w:iCs/>
          <w:lang w:val="en-GB"/>
        </w:rPr>
      </w:pPr>
      <w:r w:rsidRPr="00D86091">
        <w:rPr>
          <w:b/>
          <w:bCs/>
          <w:i/>
          <w:iCs/>
          <w:lang w:val="en-GB"/>
        </w:rPr>
        <w:t>Strategic Alliance or Merger.</w:t>
      </w:r>
    </w:p>
    <w:p w14:paraId="4F696A9C" w14:textId="77777777" w:rsidR="000816CC" w:rsidRPr="00D86091" w:rsidRDefault="00BE1118" w:rsidP="00D86091">
      <w:pPr>
        <w:rPr>
          <w:lang w:val="en-GB"/>
        </w:rPr>
      </w:pPr>
      <w:r w:rsidRPr="00D86091">
        <w:rPr>
          <w:lang w:val="en-GB"/>
        </w:rPr>
        <w:t xml:space="preserve">Given a strategic partnering or amalgamation with </w:t>
      </w:r>
      <w:proofErr w:type="gramStart"/>
      <w:r w:rsidRPr="00D86091">
        <w:rPr>
          <w:lang w:val="en-GB"/>
        </w:rPr>
        <w:t>a</w:t>
      </w:r>
      <w:proofErr w:type="gramEnd"/>
      <w:r w:rsidRPr="00D86091">
        <w:rPr>
          <w:lang w:val="en-GB"/>
        </w:rPr>
        <w:t xml:space="preserve"> </w:t>
      </w:r>
      <w:r w:rsidR="00535CBA" w:rsidRPr="00D86091">
        <w:rPr>
          <w:lang w:val="en-GB"/>
        </w:rPr>
        <w:t>augmentative</w:t>
      </w:r>
      <w:r w:rsidRPr="00D86091">
        <w:rPr>
          <w:lang w:val="en-GB"/>
        </w:rPr>
        <w:t xml:space="preserve"> company, a chance to attain economies of scale, collaboration of technology, and access to the markets may arise. This alternative has the potential to hasten turnaround by integrating General Electronics into a more robust operation base. Integration risks, misalignment of cultures and strategic autonomy, however, have to be evaluated. Experience of turnaround cases shows that alliances can only triumph when the governance structures and strategic goals are correlated at the beginning stages</w:t>
      </w:r>
      <w:r w:rsidRPr="00D86091">
        <w:rPr>
          <w:lang w:val="en-GB"/>
        </w:rPr>
        <w:t xml:space="preserve"> (Senapati et al., 2025).</w:t>
      </w:r>
    </w:p>
    <w:p w14:paraId="1A2BC9DA" w14:textId="77777777" w:rsidR="000816CC" w:rsidRPr="00D86091" w:rsidRDefault="00BE1118" w:rsidP="00D86091">
      <w:pPr>
        <w:rPr>
          <w:b/>
          <w:bCs/>
          <w:i/>
          <w:iCs/>
          <w:lang w:val="en-GB"/>
        </w:rPr>
      </w:pPr>
      <w:r w:rsidRPr="00D86091">
        <w:rPr>
          <w:b/>
          <w:bCs/>
          <w:i/>
          <w:iCs/>
          <w:lang w:val="en-GB"/>
        </w:rPr>
        <w:t>Cost Base Reconfiguration</w:t>
      </w:r>
    </w:p>
    <w:p w14:paraId="1CEB683F" w14:textId="77777777" w:rsidR="000816CC" w:rsidRPr="00D86091" w:rsidRDefault="00BE1118" w:rsidP="00D86091">
      <w:pPr>
        <w:rPr>
          <w:lang w:val="en-GB"/>
        </w:rPr>
      </w:pPr>
      <w:r w:rsidRPr="00D86091">
        <w:rPr>
          <w:lang w:val="en-GB"/>
        </w:rPr>
        <w:t xml:space="preserve">A financial recovery involves cost restructuring, inevitable. This involves justification of overheads, streamlining of labour and new production methods. On the one hand, decreases in the cost directly enhance the margins and cash flow, whereas on the other, too many or inadequately focused reductions can damage the ability to compete in the long-term. Sustainable turnaround literature points to the necessity of </w:t>
      </w:r>
      <w:r w:rsidRPr="00D86091">
        <w:rPr>
          <w:lang w:val="en-GB"/>
        </w:rPr>
        <w:lastRenderedPageBreak/>
        <w:t>maintaining a balance between cost discipline and capability maintenance, which is important especially in the knowledge-intensive industries (</w:t>
      </w:r>
      <w:proofErr w:type="spellStart"/>
      <w:r w:rsidRPr="00D86091">
        <w:rPr>
          <w:lang w:val="en-GB"/>
        </w:rPr>
        <w:t>Syafaat</w:t>
      </w:r>
      <w:proofErr w:type="spellEnd"/>
      <w:r w:rsidRPr="00D86091">
        <w:rPr>
          <w:lang w:val="en-GB"/>
        </w:rPr>
        <w:t xml:space="preserve"> and </w:t>
      </w:r>
      <w:proofErr w:type="spellStart"/>
      <w:r w:rsidRPr="00D86091">
        <w:rPr>
          <w:lang w:val="en-GB"/>
        </w:rPr>
        <w:t>Timuriana</w:t>
      </w:r>
      <w:proofErr w:type="spellEnd"/>
      <w:r w:rsidRPr="00D86091">
        <w:rPr>
          <w:lang w:val="en-GB"/>
        </w:rPr>
        <w:t>, 2025).</w:t>
      </w:r>
    </w:p>
    <w:p w14:paraId="0E0AE745" w14:textId="77777777" w:rsidR="000816CC" w:rsidRPr="00D86091" w:rsidRDefault="00BE1118" w:rsidP="00D86091">
      <w:pPr>
        <w:pStyle w:val="Heading2"/>
        <w:rPr>
          <w:lang w:val="en-GB"/>
        </w:rPr>
      </w:pPr>
      <w:bookmarkStart w:id="39" w:name="_no15t2u8luon" w:colFirst="0" w:colLast="0"/>
      <w:bookmarkStart w:id="40" w:name="_Toc217308913"/>
      <w:bookmarkEnd w:id="39"/>
      <w:r w:rsidRPr="00D86091">
        <w:rPr>
          <w:lang w:val="en-GB"/>
        </w:rPr>
        <w:t>4.3 Impact on Stakeholders</w:t>
      </w:r>
      <w:bookmarkEnd w:id="40"/>
    </w:p>
    <w:p w14:paraId="53570640" w14:textId="2C919088" w:rsidR="000816CC" w:rsidRPr="00D86091" w:rsidRDefault="00BE1118" w:rsidP="00D86091">
      <w:pPr>
        <w:rPr>
          <w:lang w:val="en-GB"/>
        </w:rPr>
      </w:pPr>
      <w:r w:rsidRPr="00D86091">
        <w:rPr>
          <w:lang w:val="en-GB"/>
        </w:rPr>
        <w:t>There will have been various effects of restructuring among the stakeholder groups. The shareholders have been exposed to the dilution risk and valuation pressure in the short term, but they will enjoy the restored solvency and long-term value creation. Communication should be transparent to ensure that investors are not scared of change. It is also beneficial in that creditors enjoy stability in their capital structure and minimal default risk, especially where there is equity strengthening along with rene</w:t>
      </w:r>
      <w:r w:rsidRPr="00D86091">
        <w:rPr>
          <w:lang w:val="en-GB"/>
        </w:rPr>
        <w:t xml:space="preserve">gotiating debt. Nevertheless, a compromise might need to be made to facilitate recovery. Cost reconfiguration projects, such as possible downsizing or role repositioning, have direct impacts on employees. Human capital is a sensitive issue that should be handled in order to maintain morale and retain the necessary skills. </w:t>
      </w:r>
      <w:proofErr w:type="spellStart"/>
      <w:r w:rsidR="00A93F90" w:rsidRPr="00D86091">
        <w:rPr>
          <w:lang w:val="en-GB"/>
        </w:rPr>
        <w:t>Chikove</w:t>
      </w:r>
      <w:proofErr w:type="spellEnd"/>
      <w:r w:rsidR="00A93F90" w:rsidRPr="00D86091">
        <w:rPr>
          <w:lang w:val="en-GB"/>
        </w:rPr>
        <w:t xml:space="preserve"> and Hofisi (2025) </w:t>
      </w:r>
      <w:r w:rsidRPr="00D86091">
        <w:rPr>
          <w:lang w:val="en-GB"/>
        </w:rPr>
        <w:t>found that improperly handled workforce reductions may hamper turnaround execution. Suppliers are subject to variation in terms of payment or quantity of commitme</w:t>
      </w:r>
      <w:r w:rsidRPr="00D86091">
        <w:rPr>
          <w:lang w:val="en-GB"/>
        </w:rPr>
        <w:t>nt. Teamwork minimises supply chain risk. The compliance with financial, labour and competition standards is monitored by regulators. Anticipated involvement makes the restructuring activities legally valid and reputationally justifiable.</w:t>
      </w:r>
    </w:p>
    <w:p w14:paraId="4C97AA54" w14:textId="77777777" w:rsidR="000816CC" w:rsidRPr="00D86091" w:rsidRDefault="00BE1118" w:rsidP="00D86091">
      <w:pPr>
        <w:pStyle w:val="Heading2"/>
        <w:rPr>
          <w:lang w:val="en-GB"/>
        </w:rPr>
      </w:pPr>
      <w:bookmarkStart w:id="41" w:name="_p4sjh0dchzgk" w:colFirst="0" w:colLast="0"/>
      <w:bookmarkStart w:id="42" w:name="_Toc217308914"/>
      <w:bookmarkEnd w:id="41"/>
      <w:r w:rsidRPr="00D86091">
        <w:rPr>
          <w:lang w:val="en-GB"/>
        </w:rPr>
        <w:t>4.4 International &amp; Ethical Considerations</w:t>
      </w:r>
      <w:bookmarkEnd w:id="42"/>
    </w:p>
    <w:p w14:paraId="716E33A0" w14:textId="77777777" w:rsidR="000816CC" w:rsidRDefault="00BE1118" w:rsidP="00D86091">
      <w:pPr>
        <w:rPr>
          <w:lang w:val="en-GB"/>
        </w:rPr>
      </w:pPr>
      <w:r w:rsidRPr="00D86091">
        <w:rPr>
          <w:lang w:val="en-GB"/>
        </w:rPr>
        <w:t>General Electronics, being a global company, has to deal with currency risk brought about by multinational operations. Cash flows and margins can be hedged by using hedging strategies and currency matching costs and revenues. Cost planning is also complicated by the inflation exposure, which requires dynamic cost pricing and sourcing. Tax efficiency in the world must be sought within the scope of the law and ethics. The after-tax returns may be improved by optimising the transfer pricing and capital allocat</w:t>
      </w:r>
      <w:r w:rsidRPr="00D86091">
        <w:rPr>
          <w:lang w:val="en-GB"/>
        </w:rPr>
        <w:t>ion structure without putting the firm at risk of scrutiny by the authorities or publicity. Financial resilience is increasingly being based on ESG compliance. This creates long-term legitimacy through responsible restructuring that takes into account the environmental impact, labour practices, and governance standards. The process of ethical restructuring of costs involves balancing between financial need and social responsibility without resorting to overworking or exploiting suppliers. The studies concer</w:t>
      </w:r>
      <w:r w:rsidRPr="00D86091">
        <w:rPr>
          <w:lang w:val="en-GB"/>
        </w:rPr>
        <w:t xml:space="preserve">ning the recovery of corporations emphasise that ethical and transparent </w:t>
      </w:r>
      <w:r w:rsidRPr="00D86091">
        <w:rPr>
          <w:lang w:val="en-GB"/>
        </w:rPr>
        <w:lastRenderedPageBreak/>
        <w:t>restructuring enhances trust in stakeholders and the sustainability of the turnaround results, especially in the markets that are highly scrutinised on the international level (Altman et al., 2025).</w:t>
      </w:r>
    </w:p>
    <w:p w14:paraId="59CEB5B2" w14:textId="77777777" w:rsidR="007E0055" w:rsidRPr="00D86091" w:rsidRDefault="007E0055" w:rsidP="00D86091">
      <w:pPr>
        <w:rPr>
          <w:lang w:val="en-GB"/>
        </w:rPr>
      </w:pPr>
    </w:p>
    <w:p w14:paraId="2BBF7C89" w14:textId="77777777" w:rsidR="000816CC" w:rsidRPr="00D86091" w:rsidRDefault="00BE1118" w:rsidP="00D86091">
      <w:pPr>
        <w:pStyle w:val="Heading1"/>
        <w:rPr>
          <w:lang w:val="en-GB"/>
        </w:rPr>
      </w:pPr>
      <w:bookmarkStart w:id="43" w:name="_dg6130w9uyxu" w:colFirst="0" w:colLast="0"/>
      <w:bookmarkStart w:id="44" w:name="_Toc217308915"/>
      <w:bookmarkEnd w:id="43"/>
      <w:r w:rsidRPr="00D86091">
        <w:rPr>
          <w:lang w:val="en-GB"/>
        </w:rPr>
        <w:t>5. Investment Appraisal &amp; Capital Budgeting</w:t>
      </w:r>
      <w:bookmarkEnd w:id="44"/>
    </w:p>
    <w:p w14:paraId="6C194D89" w14:textId="77777777" w:rsidR="000816CC" w:rsidRPr="00D86091" w:rsidRDefault="00BE1118" w:rsidP="00D86091">
      <w:pPr>
        <w:pStyle w:val="Heading2"/>
        <w:rPr>
          <w:lang w:val="en-GB"/>
        </w:rPr>
      </w:pPr>
      <w:bookmarkStart w:id="45" w:name="_vi8zkn72xk17" w:colFirst="0" w:colLast="0"/>
      <w:bookmarkStart w:id="46" w:name="_Toc217308916"/>
      <w:bookmarkEnd w:id="45"/>
      <w:r w:rsidRPr="00D86091">
        <w:rPr>
          <w:lang w:val="en-GB"/>
        </w:rPr>
        <w:t>5.1 Strategic Context for Investment</w:t>
      </w:r>
      <w:bookmarkEnd w:id="46"/>
    </w:p>
    <w:p w14:paraId="21C082B3" w14:textId="77777777" w:rsidR="000816CC" w:rsidRPr="00D86091" w:rsidRDefault="00BE1118" w:rsidP="00D86091">
      <w:pPr>
        <w:rPr>
          <w:lang w:val="en-GB"/>
        </w:rPr>
      </w:pPr>
      <w:r w:rsidRPr="00D86091">
        <w:rPr>
          <w:lang w:val="en-GB"/>
        </w:rPr>
        <w:t>General Electronics is carrying out investment appraisal in a very stringent, capital-constrained and high-financial-risk risk. The poor profitability of the firm, dwindling cash reserves, and dependency on short-term funding make a very selective capital allocation strategy indispensable. Capital scarcity. The implication is that only those projects with positive net present value and early cash recovery should be taken into account, since such misappropriation would back up liquidity further and undermine</w:t>
      </w:r>
      <w:r w:rsidRPr="00D86091">
        <w:rPr>
          <w:lang w:val="en-GB"/>
        </w:rPr>
        <w:t xml:space="preserve"> the turnaround. The risk appetite should thus be on the low side. Varying g backwards-moving cash flows within projects expose them to execution risk and postpone the liquidity relief. With respect to the distressed condition, empirical research demonstrates that disciplined selection of investment is an important choice in terms of recovery likelihood, especially in circumstances whereby governance supervision is a stabilising force in averting value-destructive growth (Yahya, 2025).</w:t>
      </w:r>
    </w:p>
    <w:p w14:paraId="7162BF4D" w14:textId="77777777" w:rsidR="000816CC" w:rsidRPr="00D86091" w:rsidRDefault="00BE1118" w:rsidP="00D86091">
      <w:pPr>
        <w:rPr>
          <w:lang w:val="en-GB"/>
        </w:rPr>
      </w:pPr>
      <w:r w:rsidRPr="00D86091">
        <w:rPr>
          <w:lang w:val="en-GB"/>
        </w:rPr>
        <w:t>It is also important that its strategic fit is with the turnaround phase. At this point, investments must focus on operational efficiency, stabilisation of the cash flow and scalability and not speculative growth. Projects that are strengthening core competencies or creating a predictive cash flow are more in line with the short-term recovery goals of the firm. Distressed firm recovery studies indicate that those investments based on operational restructuring, as opposed to diversification, are likely to ha</w:t>
      </w:r>
      <w:r w:rsidRPr="00D86091">
        <w:rPr>
          <w:lang w:val="en-GB"/>
        </w:rPr>
        <w:t>ve better chances of surviving during periods of early turnaround (Makuvaza et al., 2025).</w:t>
      </w:r>
    </w:p>
    <w:p w14:paraId="7451E89A" w14:textId="77777777" w:rsidR="000816CC" w:rsidRPr="00D86091" w:rsidRDefault="00BE1118" w:rsidP="00D86091">
      <w:pPr>
        <w:pStyle w:val="Heading2"/>
        <w:rPr>
          <w:lang w:val="en-GB"/>
        </w:rPr>
      </w:pPr>
      <w:bookmarkStart w:id="47" w:name="_qxjzuoh7tr2d" w:colFirst="0" w:colLast="0"/>
      <w:bookmarkStart w:id="48" w:name="_Toc217308917"/>
      <w:bookmarkEnd w:id="47"/>
      <w:r w:rsidRPr="00D86091">
        <w:rPr>
          <w:lang w:val="en-GB"/>
        </w:rPr>
        <w:t>5.2 Project Appraisal Calculations</w:t>
      </w:r>
      <w:bookmarkEnd w:id="48"/>
    </w:p>
    <w:p w14:paraId="43D357E1" w14:textId="175FBCE9" w:rsidR="00FD333F" w:rsidRPr="00D86091" w:rsidRDefault="00FD333F" w:rsidP="00D86091">
      <w:pPr>
        <w:rPr>
          <w:lang w:val="en-GB"/>
        </w:rPr>
      </w:pPr>
      <w:r w:rsidRPr="00D86091">
        <w:rPr>
          <w:lang w:val="en-GB"/>
        </w:rPr>
        <w:t>[</w:t>
      </w:r>
      <w:r w:rsidRPr="00D86091">
        <w:rPr>
          <w:b/>
          <w:bCs/>
          <w:lang w:val="en-GB"/>
        </w:rPr>
        <w:t>Refer to Appendix C</w:t>
      </w:r>
      <w:r w:rsidRPr="00D86091">
        <w:rPr>
          <w:lang w:val="en-GB"/>
        </w:rPr>
        <w:t>]</w:t>
      </w:r>
    </w:p>
    <w:p w14:paraId="05555110" w14:textId="77777777" w:rsidR="000816CC" w:rsidRPr="00D86091" w:rsidRDefault="00BE1118" w:rsidP="00D86091">
      <w:pPr>
        <w:rPr>
          <w:b/>
          <w:bCs/>
          <w:i/>
          <w:iCs/>
          <w:lang w:val="en-GB"/>
        </w:rPr>
      </w:pPr>
      <w:r w:rsidRPr="00D86091">
        <w:rPr>
          <w:b/>
          <w:bCs/>
          <w:i/>
          <w:iCs/>
          <w:lang w:val="en-GB"/>
        </w:rPr>
        <w:t>Project A</w:t>
      </w:r>
    </w:p>
    <w:p w14:paraId="48899CC3" w14:textId="27E5801E" w:rsidR="000816CC" w:rsidRPr="00D86091" w:rsidRDefault="00BE1118" w:rsidP="00D86091">
      <w:pPr>
        <w:rPr>
          <w:lang w:val="en-GB"/>
        </w:rPr>
      </w:pPr>
      <w:r w:rsidRPr="00D86091">
        <w:rPr>
          <w:lang w:val="en-GB"/>
        </w:rPr>
        <w:t xml:space="preserve">Project A entails the initial capital outlay of £40 million and the cash flow that is not consistent throughout the five years. The net present value with a 10% discount rate shows that the net present value is slightly positive at about 1.32 million, and this gives little value creation. The internal rate of return is estimated to be 11, which is very close to the cost of capital, implying that there is a low margin of safety. The low value </w:t>
      </w:r>
      <w:r w:rsidRPr="00D86091">
        <w:rPr>
          <w:lang w:val="en-GB"/>
        </w:rPr>
        <w:lastRenderedPageBreak/>
        <w:t>generation it generates per pound invested has been verified by the profitability index of 1.03. The payback profile is poor, as the cumulative cash flows are negative during the last year, which suggests a delay in the liquidity recovery. The accounting rate of return is lower, indicating low average profitability throughout the project's life. Although Project A can be technically accepted by the rules of NPV and IRR, it has a narrow margin over forecast error that may put it in danger in a troubled finan</w:t>
      </w:r>
      <w:r w:rsidRPr="00D86091">
        <w:rPr>
          <w:lang w:val="en-GB"/>
        </w:rPr>
        <w:t>cial environment.</w:t>
      </w:r>
    </w:p>
    <w:p w14:paraId="624FC439" w14:textId="77777777" w:rsidR="000816CC" w:rsidRPr="00D86091" w:rsidRDefault="00BE1118" w:rsidP="00D86091">
      <w:pPr>
        <w:rPr>
          <w:b/>
          <w:bCs/>
          <w:i/>
          <w:iCs/>
          <w:lang w:val="en-GB"/>
        </w:rPr>
      </w:pPr>
      <w:r w:rsidRPr="00D86091">
        <w:rPr>
          <w:b/>
          <w:bCs/>
          <w:i/>
          <w:iCs/>
          <w:lang w:val="en-GB"/>
        </w:rPr>
        <w:t>Project B</w:t>
      </w:r>
    </w:p>
    <w:p w14:paraId="2927A150" w14:textId="324641E5" w:rsidR="000816CC" w:rsidRPr="00D86091" w:rsidRDefault="00BE1118" w:rsidP="00D86091">
      <w:pPr>
        <w:rPr>
          <w:lang w:val="en-GB"/>
        </w:rPr>
      </w:pPr>
      <w:r w:rsidRPr="00D86091">
        <w:rPr>
          <w:lang w:val="en-GB"/>
        </w:rPr>
        <w:t xml:space="preserve">Project B is a project with a fixed outlay of 30 million pounds and a constant flow of money of 6 million pounds per year for five years. The project produces a net present value of about 4.23 million, which is the highest of the three alternatives. The internal rate of return is relatively low, but the profitability index of 1.08 portrays effective use of capital. The payback period goes as far as the fifth year, although the predictability of cash flows decreases uncertainty. The operating performance is </w:t>
      </w:r>
      <w:r w:rsidRPr="00D86091">
        <w:rPr>
          <w:lang w:val="en-GB"/>
        </w:rPr>
        <w:t xml:space="preserve">stable with an average though consistent accounting rate of return. Such predictability is useful in the context of a turnaround, where it helps in cash flow planning and lowers the downside risk. </w:t>
      </w:r>
      <w:proofErr w:type="spellStart"/>
      <w:r w:rsidR="00FD333F" w:rsidRPr="00D86091">
        <w:rPr>
          <w:lang w:val="en-GB"/>
        </w:rPr>
        <w:t>Mammah</w:t>
      </w:r>
      <w:proofErr w:type="spellEnd"/>
      <w:r w:rsidR="00FD333F" w:rsidRPr="00D86091">
        <w:rPr>
          <w:lang w:val="en-GB"/>
        </w:rPr>
        <w:t xml:space="preserve"> and </w:t>
      </w:r>
      <w:proofErr w:type="spellStart"/>
      <w:r w:rsidR="00FD333F" w:rsidRPr="00D86091">
        <w:rPr>
          <w:lang w:val="en-GB"/>
        </w:rPr>
        <w:t>Ohazurike</w:t>
      </w:r>
      <w:proofErr w:type="spellEnd"/>
      <w:r w:rsidR="00FD333F" w:rsidRPr="00D86091">
        <w:rPr>
          <w:lang w:val="en-GB"/>
        </w:rPr>
        <w:t xml:space="preserve"> (2025) stated that </w:t>
      </w:r>
      <w:r w:rsidRPr="00D86091">
        <w:rPr>
          <w:lang w:val="en-GB"/>
        </w:rPr>
        <w:t>stable-return projects have the potential to base the recovery on supporting core cash generation.</w:t>
      </w:r>
    </w:p>
    <w:p w14:paraId="70645566" w14:textId="77777777" w:rsidR="000816CC" w:rsidRPr="00D86091" w:rsidRDefault="00BE1118" w:rsidP="00D86091">
      <w:pPr>
        <w:rPr>
          <w:b/>
          <w:bCs/>
          <w:i/>
          <w:iCs/>
          <w:lang w:val="en-GB"/>
        </w:rPr>
      </w:pPr>
      <w:r w:rsidRPr="00D86091">
        <w:rPr>
          <w:b/>
          <w:bCs/>
          <w:i/>
          <w:iCs/>
          <w:lang w:val="en-GB"/>
        </w:rPr>
        <w:t>Project C</w:t>
      </w:r>
    </w:p>
    <w:p w14:paraId="542D1401" w14:textId="77777777" w:rsidR="000816CC" w:rsidRPr="00D86091" w:rsidRDefault="00BE1118" w:rsidP="00D86091">
      <w:pPr>
        <w:rPr>
          <w:lang w:val="en-GB"/>
        </w:rPr>
      </w:pPr>
      <w:r w:rsidRPr="00D86091">
        <w:rPr>
          <w:lang w:val="en-GB"/>
        </w:rPr>
        <w:t>Project C involves the highest initial investment in terms of capital outlay at 50 million pounds, and the cash inflows are very uneven, with the returns skewed towards the back-end. The internal rate of return is quite appealing, with a rate of abou13%13, but the net present value at the discount rate of 10% is practically zero, showing that the project is just covering its cost of capital. The profitability index is numerically the same as Project B, and this conceals more risk in terms of cash flows. Pay</w:t>
      </w:r>
      <w:r w:rsidRPr="00D86091">
        <w:rPr>
          <w:lang w:val="en-GB"/>
        </w:rPr>
        <w:t>back period comes towards the later life of the project, and the firm will be subjected to liquidity strain. The accounting rate of return seems to be reasonable, but is determined by later-year performance, making it even more sensitive to execution and market risks. The restructuring cases have indicated that back-loaded projects are not appropriate within the firms in the early turnaround stages because of increased vulnerability to the cash flows (McGrath and O’Neill, 2025).</w:t>
      </w:r>
    </w:p>
    <w:p w14:paraId="60653E35" w14:textId="77777777" w:rsidR="000816CC" w:rsidRPr="00D86091" w:rsidRDefault="00BE1118" w:rsidP="00D86091">
      <w:pPr>
        <w:pStyle w:val="Heading2"/>
        <w:rPr>
          <w:lang w:val="en-GB"/>
        </w:rPr>
      </w:pPr>
      <w:bookmarkStart w:id="49" w:name="_yeqbys9hqvwo" w:colFirst="0" w:colLast="0"/>
      <w:bookmarkStart w:id="50" w:name="_Toc217308918"/>
      <w:bookmarkEnd w:id="49"/>
      <w:r w:rsidRPr="00D86091">
        <w:rPr>
          <w:lang w:val="en-GB"/>
        </w:rPr>
        <w:t>5.3 Comparative Evaluation of Projects</w:t>
      </w:r>
      <w:bookmarkEnd w:id="50"/>
    </w:p>
    <w:p w14:paraId="27105AE9" w14:textId="77777777" w:rsidR="000816CC" w:rsidRPr="00D86091" w:rsidRDefault="00BE1118" w:rsidP="00D86091">
      <w:pPr>
        <w:rPr>
          <w:lang w:val="en-GB"/>
        </w:rPr>
      </w:pPr>
      <w:r w:rsidRPr="00D86091">
        <w:rPr>
          <w:lang w:val="en-GB"/>
        </w:rPr>
        <w:t xml:space="preserve">In terms of stability in the cash flow, Project B is obviously better than Projects A and C. The fact that it has a consistent annual inflow minimises forecasting error and </w:t>
      </w:r>
      <w:r w:rsidRPr="00D86091">
        <w:rPr>
          <w:lang w:val="en-GB"/>
        </w:rPr>
        <w:lastRenderedPageBreak/>
        <w:t>establishes predictable liquidity planning. Project A is in the back-loaded range of volatility, whereas Project C is very back-loaded, which exposes it to macroeconomic and operational shocks. Project C has the greatest risk in terms of risk profile since it is a large-scale project and has a slow recovery of cash. Project A is a moderate risk with a low upside. Project B has a lower risk and reasonable returns, and it would be more suited to the limited financial resources of the firm. The study of financ</w:t>
      </w:r>
      <w:r w:rsidRPr="00D86091">
        <w:rPr>
          <w:lang w:val="en-GB"/>
        </w:rPr>
        <w:t>ial distress also points out that the possibility of recovery increases when companies focus on investments whose cash flows are less variable than those with a high nominal rate of return (</w:t>
      </w:r>
      <w:proofErr w:type="spellStart"/>
      <w:r w:rsidRPr="00D86091">
        <w:rPr>
          <w:lang w:val="en-GB"/>
        </w:rPr>
        <w:t>Michalkova</w:t>
      </w:r>
      <w:proofErr w:type="spellEnd"/>
      <w:r w:rsidRPr="00D86091">
        <w:rPr>
          <w:lang w:val="en-GB"/>
        </w:rPr>
        <w:t xml:space="preserve"> and </w:t>
      </w:r>
      <w:proofErr w:type="spellStart"/>
      <w:r w:rsidRPr="00D86091">
        <w:rPr>
          <w:lang w:val="en-GB"/>
        </w:rPr>
        <w:t>Ponisciakova</w:t>
      </w:r>
      <w:proofErr w:type="spellEnd"/>
      <w:r w:rsidRPr="00D86091">
        <w:rPr>
          <w:lang w:val="en-GB"/>
        </w:rPr>
        <w:t>, 2025).</w:t>
      </w:r>
    </w:p>
    <w:p w14:paraId="397C6673" w14:textId="1D183FB9" w:rsidR="000816CC" w:rsidRPr="00D86091" w:rsidRDefault="00BE1118" w:rsidP="00D86091">
      <w:pPr>
        <w:rPr>
          <w:lang w:val="en-GB"/>
        </w:rPr>
      </w:pPr>
      <w:r w:rsidRPr="00D86091">
        <w:rPr>
          <w:lang w:val="en-GB"/>
        </w:rPr>
        <w:t xml:space="preserve">Compatibility of liquidity is vital. The working capital is less strained in project B due to the smaller initial outlay and a predictable inflow of the project. The need for Project C of £50 million would consume a significant share of the existing capital, leaving no room to cushion liquidity. Project B is also preferred by strategic alignment in that it encourages stabilisation as opposed to transformation. </w:t>
      </w:r>
      <w:r w:rsidR="000E38C1" w:rsidRPr="00D86091">
        <w:rPr>
          <w:lang w:val="en-GB"/>
        </w:rPr>
        <w:t xml:space="preserve">As per the findings of </w:t>
      </w:r>
      <w:proofErr w:type="spellStart"/>
      <w:r w:rsidR="000E38C1" w:rsidRPr="00D86091">
        <w:rPr>
          <w:lang w:val="en-GB"/>
        </w:rPr>
        <w:t>Meilia</w:t>
      </w:r>
      <w:proofErr w:type="spellEnd"/>
      <w:r w:rsidR="000E38C1" w:rsidRPr="00D86091">
        <w:rPr>
          <w:lang w:val="en-GB"/>
        </w:rPr>
        <w:t xml:space="preserve"> (2025), t</w:t>
      </w:r>
      <w:r w:rsidRPr="00D86091">
        <w:rPr>
          <w:lang w:val="en-GB"/>
        </w:rPr>
        <w:t>he experience of troubled e-business companies indicates that during recovery, a conservative approach to capital investments enhances the possibility of survival in the long term.</w:t>
      </w:r>
    </w:p>
    <w:p w14:paraId="74732064" w14:textId="77777777" w:rsidR="000816CC" w:rsidRPr="00D86091" w:rsidRDefault="00BE1118" w:rsidP="00D86091">
      <w:pPr>
        <w:pStyle w:val="Heading2"/>
        <w:rPr>
          <w:lang w:val="en-GB"/>
        </w:rPr>
      </w:pPr>
      <w:bookmarkStart w:id="51" w:name="_7vv00ma87unx" w:colFirst="0" w:colLast="0"/>
      <w:bookmarkStart w:id="52" w:name="_Toc217308919"/>
      <w:bookmarkEnd w:id="51"/>
      <w:r w:rsidRPr="00D86091">
        <w:rPr>
          <w:lang w:val="en-GB"/>
        </w:rPr>
        <w:t>5.4 Capital Rationing Decision</w:t>
      </w:r>
      <w:bookmarkEnd w:id="52"/>
    </w:p>
    <w:p w14:paraId="7FAE9BA1" w14:textId="77777777" w:rsidR="000816CC" w:rsidRPr="00D86091" w:rsidRDefault="00BE1118" w:rsidP="00D86091">
      <w:pPr>
        <w:rPr>
          <w:lang w:val="en-GB"/>
        </w:rPr>
      </w:pPr>
      <w:r w:rsidRPr="00D86091">
        <w:rPr>
          <w:lang w:val="en-GB"/>
        </w:rPr>
        <w:t>The positive or marginal projects cannot be undertaken as all positive projects or marginal projects cannot be undertaken given a capital rationing constraint of 60 million pounds. The best choice will be one that maximises aggregate NPV, and which also maintains liquidity. The obvious choice is project B with an initial cost of £30 million and the largest NPV. The cost of combining Project B with Project A will be 70 million, which is more than the capital limit. Incorporating Project B together with Proje</w:t>
      </w:r>
      <w:r w:rsidRPr="00D86091">
        <w:rPr>
          <w:lang w:val="en-GB"/>
        </w:rPr>
        <w:t>ct C would cost a total of 80 million, which is also not feasible. Project A is not a good focus compared to Project B because it has low NPV and marginal IRR, whereas Project C is not worth prioritisation compared to Project A since it consumes the majority of the capital budget and provides no incremental NPV at the discount rate found. Capital rationing theory provides support for the choice of the project that has the greatest NPV as a unit of capital in the case of limited funds. Thus, the best capital</w:t>
      </w:r>
      <w:r w:rsidRPr="00D86091">
        <w:rPr>
          <w:lang w:val="en-GB"/>
        </w:rPr>
        <w:t xml:space="preserve"> budget with the constraint of £60 million is to proceed with only Project B and maintain a balance of capital as a liquidity reserve. This is a moderate measure that balances the value creation with financial strength, which is essential in a turnaround </w:t>
      </w:r>
      <w:r w:rsidRPr="00D86091">
        <w:rPr>
          <w:lang w:val="en-GB"/>
        </w:rPr>
        <w:lastRenderedPageBreak/>
        <w:t>environment with the lack of certainty and the capacity to fund the business (Taheri Hosseinkhani, 2025).</w:t>
      </w:r>
    </w:p>
    <w:p w14:paraId="689560B4" w14:textId="42A20E0A" w:rsidR="000816CC" w:rsidRPr="00D86091" w:rsidRDefault="00BE1118" w:rsidP="00D86091">
      <w:pPr>
        <w:pStyle w:val="Heading2"/>
        <w:rPr>
          <w:lang w:val="en-GB"/>
        </w:rPr>
      </w:pPr>
      <w:bookmarkStart w:id="53" w:name="_kft0hcddcnsj" w:colFirst="0" w:colLast="0"/>
      <w:bookmarkStart w:id="54" w:name="_Toc217308920"/>
      <w:bookmarkEnd w:id="53"/>
      <w:r w:rsidRPr="00D86091">
        <w:rPr>
          <w:lang w:val="en-GB"/>
        </w:rPr>
        <w:t>5.5 CFO Recommendation</w:t>
      </w:r>
      <w:r w:rsidR="007E0055">
        <w:rPr>
          <w:lang w:val="en-GB"/>
        </w:rPr>
        <w:t>s</w:t>
      </w:r>
      <w:bookmarkEnd w:id="54"/>
    </w:p>
    <w:p w14:paraId="45ABC4EA" w14:textId="77777777" w:rsidR="000816CC" w:rsidRDefault="00BE1118" w:rsidP="00D86091">
      <w:pPr>
        <w:rPr>
          <w:lang w:val="en-GB"/>
        </w:rPr>
      </w:pPr>
      <w:r w:rsidRPr="00D86091">
        <w:rPr>
          <w:lang w:val="en-GB"/>
        </w:rPr>
        <w:t>Under the capacity of CFO, the action that ought to be taken is to go ahead with Project B only. This project has the most positive net present value, effective capital utilisation and foreseeable cash flows. It has a size that fits the liquidity-constrained situation of the firm, and its risk profile fits in a conservative turnaround approach. The financial stability should be improved before project A and C are undertaken. The marginal value generation in Project A is not worth the capital commitment, whe</w:t>
      </w:r>
      <w:r w:rsidRPr="00D86091">
        <w:rPr>
          <w:lang w:val="en-GB"/>
        </w:rPr>
        <w:t>reas the back-loaded returns in Project C place undue liquidity and execution risk on the firm. Choosing Project B, General Electronics strengthens the stability of operations, retains financial flexibility, reduces the downside risk, and creates a credible and disciplined turnaround line.</w:t>
      </w:r>
    </w:p>
    <w:p w14:paraId="3C4388B3" w14:textId="77777777" w:rsidR="007E0055" w:rsidRPr="00D86091" w:rsidRDefault="007E0055" w:rsidP="00D86091">
      <w:pPr>
        <w:rPr>
          <w:lang w:val="en-GB"/>
        </w:rPr>
      </w:pPr>
    </w:p>
    <w:p w14:paraId="69AE1195" w14:textId="77777777" w:rsidR="000816CC" w:rsidRPr="00D86091" w:rsidRDefault="00BE1118" w:rsidP="00D86091">
      <w:pPr>
        <w:pStyle w:val="Heading1"/>
        <w:rPr>
          <w:lang w:val="en-GB"/>
        </w:rPr>
      </w:pPr>
      <w:bookmarkStart w:id="55" w:name="_eictde5fzr04" w:colFirst="0" w:colLast="0"/>
      <w:bookmarkStart w:id="56" w:name="_Toc217308921"/>
      <w:bookmarkEnd w:id="55"/>
      <w:r w:rsidRPr="00D86091">
        <w:rPr>
          <w:lang w:val="en-GB"/>
        </w:rPr>
        <w:t>6. Conclusion</w:t>
      </w:r>
      <w:bookmarkEnd w:id="56"/>
    </w:p>
    <w:p w14:paraId="55E57365" w14:textId="02DD43F5" w:rsidR="000816CC" w:rsidRPr="00D86091" w:rsidRDefault="00A92817" w:rsidP="00D86091">
      <w:pPr>
        <w:rPr>
          <w:lang w:val="en-GB"/>
        </w:rPr>
      </w:pPr>
      <w:r w:rsidRPr="00D86091">
        <w:rPr>
          <w:lang w:val="en-GB"/>
        </w:rPr>
        <w:t>It has been calculated that General Electronics is already in a deep financial distress, characterised by consistent losses, a decrease in revenues, low liquidity, increasing leverage, and loss of shareholder equity. The gross margins are not that fluctuating, but the value is destroyed at the operating and net levels because of the cost rigidity and ineffective working capital management. The turnaround plan focuses on immediate liquidity re-establishment by means of stock-cutting, stricter control of receivables and decreasing the dependence on short-term debt, and selective selling of assets and reconfiguring of the cost base. Strict capital investment is of primary importance, and Project B is chosen due to its predictability and lower risk. CFO roadmap aims at stabilising in the short term, reinforcing the balance sheet, and recovering in a sustainable and ESG-appropriate way.</w:t>
      </w:r>
      <w:r w:rsidRPr="00D86091">
        <w:rPr>
          <w:lang w:val="en-GB"/>
        </w:rPr>
        <w:br w:type="page"/>
      </w:r>
    </w:p>
    <w:p w14:paraId="5E88C39B" w14:textId="77777777" w:rsidR="000816CC" w:rsidRPr="00D86091" w:rsidRDefault="00BE1118" w:rsidP="00D86091">
      <w:pPr>
        <w:pStyle w:val="Heading1"/>
        <w:rPr>
          <w:lang w:val="en-GB"/>
        </w:rPr>
      </w:pPr>
      <w:bookmarkStart w:id="57" w:name="_iev6kcr850cc" w:colFirst="0" w:colLast="0"/>
      <w:bookmarkStart w:id="58" w:name="_Toc217308922"/>
      <w:bookmarkEnd w:id="57"/>
      <w:r w:rsidRPr="00D86091">
        <w:rPr>
          <w:lang w:val="en-GB"/>
        </w:rPr>
        <w:lastRenderedPageBreak/>
        <w:t>References</w:t>
      </w:r>
      <w:bookmarkEnd w:id="58"/>
    </w:p>
    <w:p w14:paraId="3FC4E9F3" w14:textId="77777777" w:rsidR="00535CBA" w:rsidRPr="00D86091" w:rsidRDefault="00535CBA" w:rsidP="00D86091">
      <w:pPr>
        <w:spacing w:after="240"/>
        <w:ind w:left="61"/>
      </w:pPr>
      <w:r w:rsidRPr="00D86091">
        <w:rPr>
          <w:color w:val="222222"/>
          <w:shd w:val="clear" w:color="auto" w:fill="FFFFFF"/>
        </w:rPr>
        <w:t xml:space="preserve">Altman, E.I., Balzano, M., Giannozzi, A., Liguori, E. and </w:t>
      </w:r>
      <w:proofErr w:type="spellStart"/>
      <w:r w:rsidRPr="00D86091">
        <w:rPr>
          <w:color w:val="222222"/>
          <w:shd w:val="clear" w:color="auto" w:fill="FFFFFF"/>
        </w:rPr>
        <w:t>Srhoj</w:t>
      </w:r>
      <w:proofErr w:type="spellEnd"/>
      <w:r w:rsidRPr="00D86091">
        <w:rPr>
          <w:color w:val="222222"/>
          <w:shd w:val="clear" w:color="auto" w:fill="FFFFFF"/>
        </w:rPr>
        <w:t>, S., 2025. Bouncing back to the surface: Factors determining SME recovery. </w:t>
      </w:r>
      <w:r w:rsidRPr="00D86091">
        <w:rPr>
          <w:i/>
          <w:iCs/>
          <w:color w:val="222222"/>
          <w:shd w:val="clear" w:color="auto" w:fill="FFFFFF"/>
        </w:rPr>
        <w:t>Journal of small business management</w:t>
      </w:r>
      <w:r w:rsidRPr="00D86091">
        <w:rPr>
          <w:color w:val="222222"/>
          <w:shd w:val="clear" w:color="auto" w:fill="FFFFFF"/>
        </w:rPr>
        <w:t>, </w:t>
      </w:r>
      <w:r w:rsidRPr="00D86091">
        <w:rPr>
          <w:i/>
          <w:iCs/>
          <w:color w:val="222222"/>
          <w:shd w:val="clear" w:color="auto" w:fill="FFFFFF"/>
        </w:rPr>
        <w:t>63</w:t>
      </w:r>
      <w:r w:rsidRPr="00D86091">
        <w:rPr>
          <w:color w:val="222222"/>
          <w:shd w:val="clear" w:color="auto" w:fill="FFFFFF"/>
        </w:rPr>
        <w:t xml:space="preserve">(4), pp.1856-1883. </w:t>
      </w:r>
      <w:hyperlink r:id="rId21" w:history="1">
        <w:r w:rsidRPr="00D86091">
          <w:rPr>
            <w:rStyle w:val="Hyperlink"/>
            <w:shd w:val="clear" w:color="auto" w:fill="FFFFFF"/>
          </w:rPr>
          <w:t>https://www.tandfonline.com/doi/abs/10.1080/00472778.2024.2415302</w:t>
        </w:r>
      </w:hyperlink>
    </w:p>
    <w:p w14:paraId="004FE48D" w14:textId="77777777" w:rsidR="00535CBA" w:rsidRPr="00D86091" w:rsidRDefault="00535CBA" w:rsidP="00D86091">
      <w:pPr>
        <w:spacing w:after="240"/>
        <w:ind w:left="61"/>
      </w:pPr>
      <w:proofErr w:type="spellStart"/>
      <w:r w:rsidRPr="00D86091">
        <w:rPr>
          <w:color w:val="222222"/>
          <w:shd w:val="clear" w:color="auto" w:fill="FFFFFF"/>
        </w:rPr>
        <w:t>Braunsberger</w:t>
      </w:r>
      <w:proofErr w:type="spellEnd"/>
      <w:r w:rsidRPr="00D86091">
        <w:rPr>
          <w:color w:val="222222"/>
          <w:shd w:val="clear" w:color="auto" w:fill="FFFFFF"/>
        </w:rPr>
        <w:t>, C. and Aschauer, E., 2025. Corporate failure prediction: A literature review of Altman Z-score and machine learning models within a technology adoption framework. </w:t>
      </w:r>
      <w:r w:rsidRPr="00D86091">
        <w:rPr>
          <w:i/>
          <w:iCs/>
          <w:color w:val="222222"/>
          <w:shd w:val="clear" w:color="auto" w:fill="FFFFFF"/>
        </w:rPr>
        <w:t>Journal of Risk and Financial Management</w:t>
      </w:r>
      <w:r w:rsidRPr="00D86091">
        <w:rPr>
          <w:color w:val="222222"/>
          <w:shd w:val="clear" w:color="auto" w:fill="FFFFFF"/>
        </w:rPr>
        <w:t>, </w:t>
      </w:r>
      <w:r w:rsidRPr="00D86091">
        <w:rPr>
          <w:i/>
          <w:iCs/>
          <w:color w:val="222222"/>
          <w:shd w:val="clear" w:color="auto" w:fill="FFFFFF"/>
        </w:rPr>
        <w:t>18</w:t>
      </w:r>
      <w:r w:rsidRPr="00D86091">
        <w:rPr>
          <w:color w:val="222222"/>
          <w:shd w:val="clear" w:color="auto" w:fill="FFFFFF"/>
        </w:rPr>
        <w:t xml:space="preserve">(8), p.465. </w:t>
      </w:r>
      <w:hyperlink r:id="rId22" w:history="1">
        <w:r w:rsidRPr="00D86091">
          <w:rPr>
            <w:rStyle w:val="Hyperlink"/>
            <w:shd w:val="clear" w:color="auto" w:fill="FFFFFF"/>
          </w:rPr>
          <w:t>https://www.mdpi.com/1911-8074/18/8/465</w:t>
        </w:r>
      </w:hyperlink>
    </w:p>
    <w:p w14:paraId="13FF9D76" w14:textId="77777777" w:rsidR="00535CBA" w:rsidRPr="00D86091" w:rsidRDefault="00535CBA" w:rsidP="00D86091">
      <w:pPr>
        <w:spacing w:after="240"/>
        <w:ind w:left="61"/>
      </w:pPr>
      <w:r w:rsidRPr="00D86091">
        <w:rPr>
          <w:color w:val="222222"/>
          <w:shd w:val="clear" w:color="auto" w:fill="FFFFFF"/>
        </w:rPr>
        <w:t xml:space="preserve">Burch, T., Daspit, J.J., Silva, J. and </w:t>
      </w:r>
      <w:proofErr w:type="spellStart"/>
      <w:r w:rsidRPr="00D86091">
        <w:rPr>
          <w:color w:val="222222"/>
          <w:shd w:val="clear" w:color="auto" w:fill="FFFFFF"/>
        </w:rPr>
        <w:t>Skorodziyevskiy</w:t>
      </w:r>
      <w:proofErr w:type="spellEnd"/>
      <w:r w:rsidRPr="00D86091">
        <w:rPr>
          <w:color w:val="222222"/>
          <w:shd w:val="clear" w:color="auto" w:fill="FFFFFF"/>
        </w:rPr>
        <w:t xml:space="preserve">, V., 2025. From setbacks to comebacks: a systematic review of family firm </w:t>
      </w:r>
      <w:proofErr w:type="gramStart"/>
      <w:r w:rsidRPr="00D86091">
        <w:rPr>
          <w:color w:val="222222"/>
          <w:shd w:val="clear" w:color="auto" w:fill="FFFFFF"/>
        </w:rPr>
        <w:t>decline</w:t>
      </w:r>
      <w:proofErr w:type="gramEnd"/>
      <w:r w:rsidRPr="00D86091">
        <w:rPr>
          <w:color w:val="222222"/>
          <w:shd w:val="clear" w:color="auto" w:fill="FFFFFF"/>
        </w:rPr>
        <w:t xml:space="preserve"> and turnaround. </w:t>
      </w:r>
      <w:r w:rsidRPr="00D86091">
        <w:rPr>
          <w:i/>
          <w:iCs/>
          <w:color w:val="222222"/>
          <w:shd w:val="clear" w:color="auto" w:fill="FFFFFF"/>
        </w:rPr>
        <w:t>Research Handbook on Turnaround Strategies</w:t>
      </w:r>
      <w:r w:rsidRPr="00D86091">
        <w:rPr>
          <w:color w:val="222222"/>
          <w:shd w:val="clear" w:color="auto" w:fill="FFFFFF"/>
        </w:rPr>
        <w:t xml:space="preserve">, pp.48-73. </w:t>
      </w:r>
      <w:hyperlink r:id="rId23" w:history="1">
        <w:r w:rsidRPr="00D86091">
          <w:rPr>
            <w:rStyle w:val="Hyperlink"/>
            <w:shd w:val="clear" w:color="auto" w:fill="FFFFFF"/>
          </w:rPr>
          <w:t>https://www.elgaronline.com/abstract/book/9781035315901/chapter3.xml</w:t>
        </w:r>
      </w:hyperlink>
    </w:p>
    <w:p w14:paraId="50488019" w14:textId="77777777" w:rsidR="00535CBA" w:rsidRPr="00D86091" w:rsidRDefault="00535CBA" w:rsidP="00D86091">
      <w:pPr>
        <w:spacing w:after="240"/>
        <w:ind w:left="61"/>
      </w:pPr>
      <w:proofErr w:type="spellStart"/>
      <w:r w:rsidRPr="00D86091">
        <w:rPr>
          <w:color w:val="222222"/>
          <w:shd w:val="clear" w:color="auto" w:fill="FFFFFF"/>
        </w:rPr>
        <w:t>Chikove</w:t>
      </w:r>
      <w:proofErr w:type="spellEnd"/>
      <w:r w:rsidRPr="00D86091">
        <w:rPr>
          <w:color w:val="222222"/>
          <w:shd w:val="clear" w:color="auto" w:fill="FFFFFF"/>
        </w:rPr>
        <w:t>, M. and Hofisi, C., 2025. Turnaround and Human Capital Strategies during and Post-COVID-19 Eras: Challenges and Implications for People Managers in the Zimbabwean Gold Mining Sector. </w:t>
      </w:r>
      <w:r w:rsidRPr="00D86091">
        <w:rPr>
          <w:i/>
          <w:iCs/>
          <w:color w:val="222222"/>
          <w:shd w:val="clear" w:color="auto" w:fill="FFFFFF"/>
        </w:rPr>
        <w:t>E-Journal of Humanities Arts and Social Sciences</w:t>
      </w:r>
      <w:r w:rsidRPr="00D86091">
        <w:rPr>
          <w:color w:val="222222"/>
          <w:shd w:val="clear" w:color="auto" w:fill="FFFFFF"/>
        </w:rPr>
        <w:t>, </w:t>
      </w:r>
      <w:r w:rsidRPr="00D86091">
        <w:rPr>
          <w:i/>
          <w:iCs/>
          <w:color w:val="222222"/>
          <w:shd w:val="clear" w:color="auto" w:fill="FFFFFF"/>
        </w:rPr>
        <w:t>6</w:t>
      </w:r>
      <w:r w:rsidRPr="00D86091">
        <w:rPr>
          <w:color w:val="222222"/>
          <w:shd w:val="clear" w:color="auto" w:fill="FFFFFF"/>
        </w:rPr>
        <w:t xml:space="preserve">(7), pp.1192-1209. </w:t>
      </w:r>
      <w:hyperlink r:id="rId24" w:history="1">
        <w:r w:rsidRPr="00D86091">
          <w:rPr>
            <w:rStyle w:val="Hyperlink"/>
            <w:shd w:val="clear" w:color="auto" w:fill="FFFFFF"/>
          </w:rPr>
          <w:t>https://noyam.org/wp-content/uploads/2025/06/EHASS20256719.pdf</w:t>
        </w:r>
      </w:hyperlink>
    </w:p>
    <w:p w14:paraId="08672B30" w14:textId="77777777" w:rsidR="00535CBA" w:rsidRPr="00D86091" w:rsidRDefault="00535CBA" w:rsidP="00D86091">
      <w:pPr>
        <w:spacing w:after="240"/>
        <w:ind w:left="61"/>
      </w:pPr>
      <w:proofErr w:type="spellStart"/>
      <w:r w:rsidRPr="00D86091">
        <w:rPr>
          <w:color w:val="222222"/>
          <w:shd w:val="clear" w:color="auto" w:fill="FFFFFF"/>
        </w:rPr>
        <w:t>Dallocchio</w:t>
      </w:r>
      <w:proofErr w:type="spellEnd"/>
      <w:r w:rsidRPr="00D86091">
        <w:rPr>
          <w:color w:val="222222"/>
          <w:shd w:val="clear" w:color="auto" w:fill="FFFFFF"/>
        </w:rPr>
        <w:t>, M., Caputo, A., Tron, A. and Colantoni, F., 2025. It's a matter of time! CEO turnover and corporate turnarounds in Italy. </w:t>
      </w:r>
      <w:r w:rsidRPr="00D86091">
        <w:rPr>
          <w:i/>
          <w:iCs/>
          <w:color w:val="222222"/>
          <w:shd w:val="clear" w:color="auto" w:fill="FFFFFF"/>
        </w:rPr>
        <w:t>Journal of Management &amp; Organization</w:t>
      </w:r>
      <w:r w:rsidRPr="00D86091">
        <w:rPr>
          <w:color w:val="222222"/>
          <w:shd w:val="clear" w:color="auto" w:fill="FFFFFF"/>
        </w:rPr>
        <w:t>, </w:t>
      </w:r>
      <w:r w:rsidRPr="00D86091">
        <w:rPr>
          <w:i/>
          <w:iCs/>
          <w:color w:val="222222"/>
          <w:shd w:val="clear" w:color="auto" w:fill="FFFFFF"/>
        </w:rPr>
        <w:t>31</w:t>
      </w:r>
      <w:r w:rsidRPr="00D86091">
        <w:rPr>
          <w:color w:val="222222"/>
          <w:shd w:val="clear" w:color="auto" w:fill="FFFFFF"/>
        </w:rPr>
        <w:t xml:space="preserve">(4), pp.2155-2175. </w:t>
      </w:r>
      <w:hyperlink r:id="rId25" w:history="1">
        <w:r w:rsidRPr="00D86091">
          <w:rPr>
            <w:rStyle w:val="Hyperlink"/>
            <w:shd w:val="clear" w:color="auto" w:fill="FFFFFF"/>
          </w:rPr>
          <w:t>https://www.elgaronline.com/edcollchap/book/9781035315901/chapter16.xml</w:t>
        </w:r>
      </w:hyperlink>
    </w:p>
    <w:p w14:paraId="78F08FE6" w14:textId="77777777" w:rsidR="00535CBA" w:rsidRPr="00D86091" w:rsidRDefault="00535CBA" w:rsidP="00D86091">
      <w:pPr>
        <w:spacing w:after="240"/>
        <w:ind w:left="61"/>
      </w:pPr>
      <w:proofErr w:type="spellStart"/>
      <w:r w:rsidRPr="00D86091">
        <w:rPr>
          <w:color w:val="222222"/>
          <w:shd w:val="clear" w:color="auto" w:fill="FFFFFF"/>
        </w:rPr>
        <w:t>Darmayanti</w:t>
      </w:r>
      <w:proofErr w:type="spellEnd"/>
      <w:r w:rsidRPr="00D86091">
        <w:rPr>
          <w:color w:val="222222"/>
          <w:shd w:val="clear" w:color="auto" w:fill="FFFFFF"/>
        </w:rPr>
        <w:t xml:space="preserve">, N., Jamil, A. and </w:t>
      </w:r>
      <w:proofErr w:type="spellStart"/>
      <w:r w:rsidRPr="00D86091">
        <w:rPr>
          <w:color w:val="222222"/>
          <w:shd w:val="clear" w:color="auto" w:fill="FFFFFF"/>
        </w:rPr>
        <w:t>Waedaramae</w:t>
      </w:r>
      <w:proofErr w:type="spellEnd"/>
      <w:r w:rsidRPr="00D86091">
        <w:rPr>
          <w:color w:val="222222"/>
          <w:shd w:val="clear" w:color="auto" w:fill="FFFFFF"/>
        </w:rPr>
        <w:t>, W., 2025, March. The Effect of Severity, Asset Retrenchment, Downsizing and Leverage on The Success of Corporate Turnaround with Profitability as a Moderating Variable. In </w:t>
      </w:r>
      <w:r w:rsidRPr="00D86091">
        <w:rPr>
          <w:i/>
          <w:iCs/>
          <w:color w:val="222222"/>
          <w:shd w:val="clear" w:color="auto" w:fill="FFFFFF"/>
        </w:rPr>
        <w:t>Proceeding of International Conference on Social Science and Humanity</w:t>
      </w:r>
      <w:r w:rsidRPr="00D86091">
        <w:rPr>
          <w:color w:val="222222"/>
          <w:shd w:val="clear" w:color="auto" w:fill="FFFFFF"/>
        </w:rPr>
        <w:t xml:space="preserve"> (Vol. 2, No. 1, pp. 12-25). </w:t>
      </w:r>
      <w:hyperlink r:id="rId26" w:history="1">
        <w:r w:rsidRPr="00D86091">
          <w:rPr>
            <w:rStyle w:val="Hyperlink"/>
            <w:shd w:val="clear" w:color="auto" w:fill="FFFFFF"/>
          </w:rPr>
          <w:t>https://proceedings.antispublisher.org/index.php/icossh/article/view/62</w:t>
        </w:r>
      </w:hyperlink>
    </w:p>
    <w:p w14:paraId="3FCD64FD" w14:textId="77777777" w:rsidR="00535CBA" w:rsidRPr="00D86091" w:rsidRDefault="00535CBA" w:rsidP="00D86091">
      <w:pPr>
        <w:spacing w:after="240"/>
        <w:ind w:left="61"/>
      </w:pPr>
      <w:r w:rsidRPr="00D86091">
        <w:rPr>
          <w:color w:val="222222"/>
          <w:shd w:val="clear" w:color="auto" w:fill="FFFFFF"/>
        </w:rPr>
        <w:t xml:space="preserve">Fasano, F., Adornetto, C., Zahid, I., La Rocca, M., </w:t>
      </w:r>
      <w:proofErr w:type="spellStart"/>
      <w:r w:rsidRPr="00D86091">
        <w:rPr>
          <w:color w:val="222222"/>
          <w:shd w:val="clear" w:color="auto" w:fill="FFFFFF"/>
        </w:rPr>
        <w:t>Montaleone</w:t>
      </w:r>
      <w:proofErr w:type="spellEnd"/>
      <w:r w:rsidRPr="00D86091">
        <w:rPr>
          <w:color w:val="222222"/>
          <w:shd w:val="clear" w:color="auto" w:fill="FFFFFF"/>
        </w:rPr>
        <w:t>, L., Greco, G. and Cariola, A., 2025. The dilemma of accuracy in bankruptcy prediction: a new approach using explainable AI techniques to predict corporate crises. </w:t>
      </w:r>
      <w:r w:rsidRPr="00D86091">
        <w:rPr>
          <w:i/>
          <w:iCs/>
          <w:color w:val="222222"/>
          <w:shd w:val="clear" w:color="auto" w:fill="FFFFFF"/>
        </w:rPr>
        <w:t xml:space="preserve">European Journal of </w:t>
      </w:r>
      <w:r w:rsidRPr="00D86091">
        <w:rPr>
          <w:i/>
          <w:iCs/>
          <w:color w:val="222222"/>
          <w:shd w:val="clear" w:color="auto" w:fill="FFFFFF"/>
        </w:rPr>
        <w:lastRenderedPageBreak/>
        <w:t>Innovation Management</w:t>
      </w:r>
      <w:r w:rsidRPr="00D86091">
        <w:rPr>
          <w:color w:val="222222"/>
          <w:shd w:val="clear" w:color="auto" w:fill="FFFFFF"/>
        </w:rPr>
        <w:t>, </w:t>
      </w:r>
      <w:r w:rsidRPr="00D86091">
        <w:rPr>
          <w:i/>
          <w:iCs/>
          <w:color w:val="222222"/>
          <w:shd w:val="clear" w:color="auto" w:fill="FFFFFF"/>
        </w:rPr>
        <w:t>28</w:t>
      </w:r>
      <w:r w:rsidRPr="00D86091">
        <w:rPr>
          <w:color w:val="222222"/>
          <w:shd w:val="clear" w:color="auto" w:fill="FFFFFF"/>
        </w:rPr>
        <w:t xml:space="preserve">(11), pp.1-22. </w:t>
      </w:r>
      <w:hyperlink r:id="rId27" w:history="1">
        <w:r w:rsidRPr="00D86091">
          <w:rPr>
            <w:rStyle w:val="Hyperlink"/>
            <w:shd w:val="clear" w:color="auto" w:fill="FFFFFF"/>
          </w:rPr>
          <w:t>https://www.emerald.com/ejim/article-abstract/28/11/1/1267119</w:t>
        </w:r>
      </w:hyperlink>
    </w:p>
    <w:p w14:paraId="45A81042" w14:textId="77777777" w:rsidR="00535CBA" w:rsidRPr="00D86091" w:rsidRDefault="00535CBA" w:rsidP="00D86091">
      <w:pPr>
        <w:spacing w:after="240"/>
        <w:ind w:left="61"/>
      </w:pPr>
      <w:r w:rsidRPr="00D86091">
        <w:rPr>
          <w:color w:val="222222"/>
          <w:shd w:val="clear" w:color="auto" w:fill="FFFFFF"/>
        </w:rPr>
        <w:t>Forstner, F.F., Vassolo, R. and Sevil, A., 2025. Different strokes for different folks: A review of SME decline and turnaround. </w:t>
      </w:r>
      <w:r w:rsidRPr="00D86091">
        <w:rPr>
          <w:i/>
          <w:iCs/>
          <w:color w:val="222222"/>
          <w:shd w:val="clear" w:color="auto" w:fill="FFFFFF"/>
        </w:rPr>
        <w:t>Journal of Small Business Management</w:t>
      </w:r>
      <w:r w:rsidRPr="00D86091">
        <w:rPr>
          <w:color w:val="222222"/>
          <w:shd w:val="clear" w:color="auto" w:fill="FFFFFF"/>
        </w:rPr>
        <w:t xml:space="preserve">, pp.1-34. </w:t>
      </w:r>
      <w:hyperlink r:id="rId28" w:history="1">
        <w:r w:rsidRPr="00D86091">
          <w:rPr>
            <w:rStyle w:val="Hyperlink"/>
            <w:shd w:val="clear" w:color="auto" w:fill="FFFFFF"/>
          </w:rPr>
          <w:t>https://www.tandfonline.com/doi/abs/10.1080/00472778.2025.2515072</w:t>
        </w:r>
      </w:hyperlink>
    </w:p>
    <w:p w14:paraId="5B847F5A" w14:textId="77777777" w:rsidR="00535CBA" w:rsidRPr="00D86091" w:rsidRDefault="00535CBA" w:rsidP="00D86091">
      <w:pPr>
        <w:spacing w:after="240"/>
        <w:ind w:left="61"/>
      </w:pPr>
      <w:proofErr w:type="spellStart"/>
      <w:r w:rsidRPr="00D86091">
        <w:rPr>
          <w:color w:val="222222"/>
          <w:shd w:val="clear" w:color="auto" w:fill="FFFFFF"/>
        </w:rPr>
        <w:t>Georgakakis</w:t>
      </w:r>
      <w:proofErr w:type="spellEnd"/>
      <w:r w:rsidRPr="00D86091">
        <w:rPr>
          <w:color w:val="222222"/>
          <w:shd w:val="clear" w:color="auto" w:fill="FFFFFF"/>
        </w:rPr>
        <w:t>, D., Ma, Y., Dwivedi, P. and Cannella Jr, A.A., 2025. Divided We Stand: Top Management Ideological Separation as an Impediment to Strategic Change in Turnaround Situations. </w:t>
      </w:r>
      <w:r w:rsidRPr="00D86091">
        <w:rPr>
          <w:i/>
          <w:iCs/>
          <w:color w:val="222222"/>
          <w:shd w:val="clear" w:color="auto" w:fill="FFFFFF"/>
        </w:rPr>
        <w:t>British Journal of Management</w:t>
      </w:r>
      <w:r w:rsidRPr="00D86091">
        <w:rPr>
          <w:color w:val="222222"/>
          <w:shd w:val="clear" w:color="auto" w:fill="FFFFFF"/>
        </w:rPr>
        <w:t xml:space="preserve">. </w:t>
      </w:r>
      <w:hyperlink r:id="rId29" w:history="1">
        <w:r w:rsidRPr="00D86091">
          <w:rPr>
            <w:rStyle w:val="Hyperlink"/>
            <w:shd w:val="clear" w:color="auto" w:fill="FFFFFF"/>
          </w:rPr>
          <w:t>https://onlinelibrary.wiley.com/doi/abs/10.1111/1467-8551.12882</w:t>
        </w:r>
      </w:hyperlink>
    </w:p>
    <w:p w14:paraId="05169590" w14:textId="77777777" w:rsidR="00535CBA" w:rsidRPr="00D86091" w:rsidRDefault="00535CBA" w:rsidP="00D86091">
      <w:pPr>
        <w:spacing w:after="240"/>
        <w:ind w:left="61"/>
      </w:pPr>
      <w:r w:rsidRPr="00D86091">
        <w:rPr>
          <w:color w:val="222222"/>
          <w:shd w:val="clear" w:color="auto" w:fill="FFFFFF"/>
        </w:rPr>
        <w:t>Gribnitz, K.J., Pretorius, M. and le Roux, S., 2025. Exploring the salience of fundamental moments in turnaround research. </w:t>
      </w:r>
      <w:r w:rsidRPr="00D86091">
        <w:rPr>
          <w:i/>
          <w:iCs/>
          <w:color w:val="222222"/>
          <w:shd w:val="clear" w:color="auto" w:fill="FFFFFF"/>
        </w:rPr>
        <w:t>Journal of Contemporary Management</w:t>
      </w:r>
      <w:r w:rsidRPr="00D86091">
        <w:rPr>
          <w:color w:val="222222"/>
          <w:shd w:val="clear" w:color="auto" w:fill="FFFFFF"/>
        </w:rPr>
        <w:t>, </w:t>
      </w:r>
      <w:r w:rsidRPr="00D86091">
        <w:rPr>
          <w:i/>
          <w:iCs/>
          <w:color w:val="222222"/>
          <w:shd w:val="clear" w:color="auto" w:fill="FFFFFF"/>
        </w:rPr>
        <w:t>22</w:t>
      </w:r>
      <w:r w:rsidRPr="00D86091">
        <w:rPr>
          <w:color w:val="222222"/>
          <w:shd w:val="clear" w:color="auto" w:fill="FFFFFF"/>
        </w:rPr>
        <w:t xml:space="preserve">(1), pp.73-99. </w:t>
      </w:r>
      <w:hyperlink r:id="rId30" w:history="1">
        <w:r w:rsidRPr="00D86091">
          <w:rPr>
            <w:rStyle w:val="Hyperlink"/>
            <w:shd w:val="clear" w:color="auto" w:fill="FFFFFF"/>
          </w:rPr>
          <w:t>https://journals.co.za/doi/abs/10.35683/jcm23.005.285</w:t>
        </w:r>
      </w:hyperlink>
    </w:p>
    <w:p w14:paraId="4E745E13" w14:textId="77777777" w:rsidR="00535CBA" w:rsidRPr="00D86091" w:rsidRDefault="00535CBA" w:rsidP="00D86091">
      <w:pPr>
        <w:spacing w:after="240"/>
        <w:ind w:left="61"/>
      </w:pPr>
      <w:r w:rsidRPr="00D86091">
        <w:rPr>
          <w:color w:val="222222"/>
          <w:shd w:val="clear" w:color="auto" w:fill="FFFFFF"/>
        </w:rPr>
        <w:t>Jabeen, M., 2025. Impact of Corporate Life Cycle Stages on Managerial Restructuring: The Moderating Effect of Financial Distress. </w:t>
      </w:r>
      <w:r w:rsidRPr="00D86091">
        <w:rPr>
          <w:i/>
          <w:iCs/>
          <w:color w:val="222222"/>
          <w:shd w:val="clear" w:color="auto" w:fill="FFFFFF"/>
        </w:rPr>
        <w:t>Social Science Review Archives</w:t>
      </w:r>
      <w:r w:rsidRPr="00D86091">
        <w:rPr>
          <w:color w:val="222222"/>
          <w:shd w:val="clear" w:color="auto" w:fill="FFFFFF"/>
        </w:rPr>
        <w:t>, </w:t>
      </w:r>
      <w:r w:rsidRPr="00D86091">
        <w:rPr>
          <w:i/>
          <w:iCs/>
          <w:color w:val="222222"/>
          <w:shd w:val="clear" w:color="auto" w:fill="FFFFFF"/>
        </w:rPr>
        <w:t>3</w:t>
      </w:r>
      <w:r w:rsidRPr="00D86091">
        <w:rPr>
          <w:color w:val="222222"/>
          <w:shd w:val="clear" w:color="auto" w:fill="FFFFFF"/>
        </w:rPr>
        <w:t xml:space="preserve">(3), pp.103-118. </w:t>
      </w:r>
      <w:hyperlink r:id="rId31" w:history="1">
        <w:r w:rsidRPr="00D86091">
          <w:rPr>
            <w:rStyle w:val="Hyperlink"/>
            <w:shd w:val="clear" w:color="auto" w:fill="FFFFFF"/>
          </w:rPr>
          <w:t>https://policyjournalofms.com/index.php/6/article/view/844</w:t>
        </w:r>
      </w:hyperlink>
    </w:p>
    <w:p w14:paraId="6149D18C" w14:textId="77777777" w:rsidR="00535CBA" w:rsidRPr="00D86091" w:rsidRDefault="00535CBA" w:rsidP="00D86091">
      <w:pPr>
        <w:spacing w:after="240"/>
        <w:ind w:left="61"/>
      </w:pPr>
      <w:r w:rsidRPr="00D86091">
        <w:rPr>
          <w:color w:val="222222"/>
          <w:shd w:val="clear" w:color="auto" w:fill="FFFFFF"/>
        </w:rPr>
        <w:t>Kamal, S.S. and Awan, S.H., 2025. Engineering Financial Resilience: Structuring Turnaround and Maintenance Financing Using Derivatives and Structured Instruments. </w:t>
      </w:r>
      <w:r w:rsidRPr="00D86091">
        <w:rPr>
          <w:i/>
          <w:iCs/>
          <w:color w:val="222222"/>
          <w:shd w:val="clear" w:color="auto" w:fill="FFFFFF"/>
        </w:rPr>
        <w:t>Advance Journal of Econometrics and Finance</w:t>
      </w:r>
      <w:r w:rsidRPr="00D86091">
        <w:rPr>
          <w:color w:val="222222"/>
          <w:shd w:val="clear" w:color="auto" w:fill="FFFFFF"/>
        </w:rPr>
        <w:t>, </w:t>
      </w:r>
      <w:r w:rsidRPr="00D86091">
        <w:rPr>
          <w:i/>
          <w:iCs/>
          <w:color w:val="222222"/>
          <w:shd w:val="clear" w:color="auto" w:fill="FFFFFF"/>
        </w:rPr>
        <w:t>3</w:t>
      </w:r>
      <w:r w:rsidRPr="00D86091">
        <w:rPr>
          <w:color w:val="222222"/>
          <w:shd w:val="clear" w:color="auto" w:fill="FFFFFF"/>
        </w:rPr>
        <w:t xml:space="preserve">(3), pp.143-153. </w:t>
      </w:r>
      <w:hyperlink r:id="rId32" w:history="1">
        <w:r w:rsidRPr="00D86091">
          <w:rPr>
            <w:rStyle w:val="Hyperlink"/>
            <w:shd w:val="clear" w:color="auto" w:fill="FFFFFF"/>
          </w:rPr>
          <w:t>http://ajeaf.com/index.php/Journal/article/view/106</w:t>
        </w:r>
      </w:hyperlink>
    </w:p>
    <w:p w14:paraId="67F8CF1C" w14:textId="77777777" w:rsidR="00535CBA" w:rsidRPr="00D86091" w:rsidRDefault="00535CBA" w:rsidP="00D86091">
      <w:pPr>
        <w:spacing w:after="240"/>
        <w:ind w:left="61"/>
      </w:pPr>
      <w:r w:rsidRPr="00D86091">
        <w:rPr>
          <w:color w:val="222222"/>
          <w:shd w:val="clear" w:color="auto" w:fill="FFFFFF"/>
        </w:rPr>
        <w:t>Lohrke, F.T. and Frownfelter-Lohrke, C., 2025. Once more unto the breach, dear friends: examining organizational decline and turnaround processes resulting from adverse cybersecurity events. In </w:t>
      </w:r>
      <w:r w:rsidRPr="00D86091">
        <w:rPr>
          <w:i/>
          <w:iCs/>
          <w:color w:val="222222"/>
          <w:shd w:val="clear" w:color="auto" w:fill="FFFFFF"/>
        </w:rPr>
        <w:t>Research Handbook on Turnaround Strategies</w:t>
      </w:r>
      <w:r w:rsidRPr="00D86091">
        <w:rPr>
          <w:color w:val="222222"/>
          <w:shd w:val="clear" w:color="auto" w:fill="FFFFFF"/>
        </w:rPr>
        <w:t xml:space="preserve"> (pp. 180-206). Edward Elgar Publishing. </w:t>
      </w:r>
      <w:hyperlink r:id="rId33" w:history="1">
        <w:r w:rsidRPr="00D86091">
          <w:rPr>
            <w:rStyle w:val="Hyperlink"/>
            <w:shd w:val="clear" w:color="auto" w:fill="FFFFFF"/>
          </w:rPr>
          <w:t>https://www.elgaronline.com/abstract/book/9781035315901/chapter8.xml</w:t>
        </w:r>
      </w:hyperlink>
    </w:p>
    <w:p w14:paraId="4F2E4A8D" w14:textId="77777777" w:rsidR="00535CBA" w:rsidRPr="00D86091" w:rsidRDefault="00535CBA" w:rsidP="00D86091">
      <w:pPr>
        <w:spacing w:after="240"/>
        <w:ind w:left="61"/>
      </w:pPr>
      <w:r w:rsidRPr="00D86091">
        <w:rPr>
          <w:color w:val="222222"/>
          <w:shd w:val="clear" w:color="auto" w:fill="FFFFFF"/>
        </w:rPr>
        <w:t xml:space="preserve">Makuvaza, L., </w:t>
      </w:r>
      <w:proofErr w:type="spellStart"/>
      <w:r w:rsidRPr="00D86091">
        <w:rPr>
          <w:color w:val="222222"/>
          <w:shd w:val="clear" w:color="auto" w:fill="FFFFFF"/>
        </w:rPr>
        <w:t>Guvuriro</w:t>
      </w:r>
      <w:proofErr w:type="spellEnd"/>
      <w:r w:rsidRPr="00D86091">
        <w:rPr>
          <w:color w:val="222222"/>
          <w:shd w:val="clear" w:color="auto" w:fill="FFFFFF"/>
        </w:rPr>
        <w:t xml:space="preserve">, S., Chamboko, R. and Coetzee, J., 2025. Modelling the recovery of distressed firms on the Johannesburg Stock Exchange: </w:t>
      </w:r>
      <w:proofErr w:type="gramStart"/>
      <w:r w:rsidRPr="00D86091">
        <w:rPr>
          <w:color w:val="222222"/>
          <w:shd w:val="clear" w:color="auto" w:fill="FFFFFF"/>
        </w:rPr>
        <w:t>a</w:t>
      </w:r>
      <w:proofErr w:type="gramEnd"/>
      <w:r w:rsidRPr="00D86091">
        <w:rPr>
          <w:color w:val="222222"/>
          <w:shd w:val="clear" w:color="auto" w:fill="FFFFFF"/>
        </w:rPr>
        <w:t xml:space="preserve"> Cox </w:t>
      </w:r>
      <w:r w:rsidRPr="00D86091">
        <w:rPr>
          <w:color w:val="222222"/>
          <w:shd w:val="clear" w:color="auto" w:fill="FFFFFF"/>
        </w:rPr>
        <w:lastRenderedPageBreak/>
        <w:t>proportional hazard model approach. </w:t>
      </w:r>
      <w:r w:rsidRPr="00D86091">
        <w:rPr>
          <w:i/>
          <w:iCs/>
          <w:color w:val="222222"/>
          <w:shd w:val="clear" w:color="auto" w:fill="FFFFFF"/>
        </w:rPr>
        <w:t>Cogent Economics &amp; Finance</w:t>
      </w:r>
      <w:r w:rsidRPr="00D86091">
        <w:rPr>
          <w:color w:val="222222"/>
          <w:shd w:val="clear" w:color="auto" w:fill="FFFFFF"/>
        </w:rPr>
        <w:t>, </w:t>
      </w:r>
      <w:r w:rsidRPr="00D86091">
        <w:rPr>
          <w:i/>
          <w:iCs/>
          <w:color w:val="222222"/>
          <w:shd w:val="clear" w:color="auto" w:fill="FFFFFF"/>
        </w:rPr>
        <w:t>13</w:t>
      </w:r>
      <w:r w:rsidRPr="00D86091">
        <w:rPr>
          <w:color w:val="222222"/>
          <w:shd w:val="clear" w:color="auto" w:fill="FFFFFF"/>
        </w:rPr>
        <w:t xml:space="preserve">(1), p.2521466. </w:t>
      </w:r>
      <w:hyperlink r:id="rId34" w:history="1">
        <w:r w:rsidRPr="00D86091">
          <w:rPr>
            <w:rStyle w:val="Hyperlink"/>
            <w:shd w:val="clear" w:color="auto" w:fill="FFFFFF"/>
          </w:rPr>
          <w:t>https://www.tandfonline.com/doi/abs/10.1080/23322039.2025.2521466</w:t>
        </w:r>
      </w:hyperlink>
    </w:p>
    <w:p w14:paraId="3DEED3D9" w14:textId="77777777" w:rsidR="00535CBA" w:rsidRPr="00D86091" w:rsidRDefault="00535CBA" w:rsidP="00D86091">
      <w:pPr>
        <w:spacing w:after="240"/>
        <w:ind w:left="61"/>
      </w:pPr>
      <w:proofErr w:type="spellStart"/>
      <w:r w:rsidRPr="00D86091">
        <w:rPr>
          <w:color w:val="222222"/>
          <w:shd w:val="clear" w:color="auto" w:fill="FFFFFF"/>
        </w:rPr>
        <w:t>Mammah</w:t>
      </w:r>
      <w:proofErr w:type="spellEnd"/>
      <w:r w:rsidRPr="00D86091">
        <w:rPr>
          <w:color w:val="222222"/>
          <w:shd w:val="clear" w:color="auto" w:fill="FFFFFF"/>
        </w:rPr>
        <w:t xml:space="preserve">, C.U. and </w:t>
      </w:r>
      <w:proofErr w:type="spellStart"/>
      <w:r w:rsidRPr="00D86091">
        <w:rPr>
          <w:color w:val="222222"/>
          <w:shd w:val="clear" w:color="auto" w:fill="FFFFFF"/>
        </w:rPr>
        <w:t>Ohazurike</w:t>
      </w:r>
      <w:proofErr w:type="spellEnd"/>
      <w:r w:rsidRPr="00D86091">
        <w:rPr>
          <w:color w:val="222222"/>
          <w:shd w:val="clear" w:color="auto" w:fill="FFFFFF"/>
        </w:rPr>
        <w:t>, P., 2025. Strategic branch management in commercial banks: Driving profitability through operational efficiency. </w:t>
      </w:r>
      <w:r w:rsidRPr="00D86091">
        <w:rPr>
          <w:i/>
          <w:iCs/>
          <w:color w:val="222222"/>
          <w:shd w:val="clear" w:color="auto" w:fill="FFFFFF"/>
        </w:rPr>
        <w:t>International Journal of Research in Marketing Management and Sales</w:t>
      </w:r>
      <w:r w:rsidRPr="00D86091">
        <w:rPr>
          <w:color w:val="222222"/>
          <w:shd w:val="clear" w:color="auto" w:fill="FFFFFF"/>
        </w:rPr>
        <w:t>, </w:t>
      </w:r>
      <w:r w:rsidRPr="00D86091">
        <w:rPr>
          <w:i/>
          <w:iCs/>
          <w:color w:val="222222"/>
          <w:shd w:val="clear" w:color="auto" w:fill="FFFFFF"/>
        </w:rPr>
        <w:t>7</w:t>
      </w:r>
      <w:r w:rsidRPr="00D86091">
        <w:rPr>
          <w:color w:val="222222"/>
          <w:shd w:val="clear" w:color="auto" w:fill="FFFFFF"/>
        </w:rPr>
        <w:t xml:space="preserve">(2), pp.233-242. </w:t>
      </w:r>
      <w:hyperlink r:id="rId35" w:history="1">
        <w:r w:rsidRPr="00D86091">
          <w:rPr>
            <w:rStyle w:val="Hyperlink"/>
            <w:shd w:val="clear" w:color="auto" w:fill="FFFFFF"/>
          </w:rPr>
          <w:t>https://www.researchgate.net/profile/Chetachi-Mammah/publication/396384490_Strategic_branch_management_in_commercial_banks_Driving_profitability_through_operational_efficiency/links/68e91399e7f5f867e6de93fe/Strategic-branch-management-in-commercial-banks-Driving-profitability-through-operational-efficiency.pdf</w:t>
        </w:r>
      </w:hyperlink>
    </w:p>
    <w:p w14:paraId="0E41F065" w14:textId="77777777" w:rsidR="00535CBA" w:rsidRPr="00D86091" w:rsidRDefault="00535CBA" w:rsidP="00D86091">
      <w:pPr>
        <w:spacing w:after="240"/>
        <w:ind w:left="61"/>
      </w:pPr>
      <w:r w:rsidRPr="00D86091">
        <w:rPr>
          <w:color w:val="222222"/>
          <w:shd w:val="clear" w:color="auto" w:fill="FFFFFF"/>
        </w:rPr>
        <w:t xml:space="preserve">Maryani, A. and </w:t>
      </w:r>
      <w:proofErr w:type="spellStart"/>
      <w:r w:rsidRPr="00D86091">
        <w:rPr>
          <w:color w:val="222222"/>
          <w:shd w:val="clear" w:color="auto" w:fill="FFFFFF"/>
        </w:rPr>
        <w:t>Ladista</w:t>
      </w:r>
      <w:proofErr w:type="spellEnd"/>
      <w:r w:rsidRPr="00D86091">
        <w:rPr>
          <w:color w:val="222222"/>
          <w:shd w:val="clear" w:color="auto" w:fill="FFFFFF"/>
        </w:rPr>
        <w:t xml:space="preserve">, R.D., 2025. </w:t>
      </w:r>
      <w:proofErr w:type="spellStart"/>
      <w:r w:rsidRPr="00D86091">
        <w:rPr>
          <w:color w:val="222222"/>
          <w:shd w:val="clear" w:color="auto" w:fill="FFFFFF"/>
        </w:rPr>
        <w:t>Literatur</w:t>
      </w:r>
      <w:proofErr w:type="spellEnd"/>
      <w:r w:rsidRPr="00D86091">
        <w:rPr>
          <w:color w:val="222222"/>
          <w:shd w:val="clear" w:color="auto" w:fill="FFFFFF"/>
        </w:rPr>
        <w:t xml:space="preserve"> Review: Financial Recovery Post Covid 19. </w:t>
      </w:r>
      <w:proofErr w:type="spellStart"/>
      <w:r w:rsidRPr="00D86091">
        <w:rPr>
          <w:i/>
          <w:iCs/>
          <w:color w:val="222222"/>
          <w:shd w:val="clear" w:color="auto" w:fill="FFFFFF"/>
        </w:rPr>
        <w:t>Jurnal</w:t>
      </w:r>
      <w:proofErr w:type="spellEnd"/>
      <w:r w:rsidRPr="00D86091">
        <w:rPr>
          <w:i/>
          <w:iCs/>
          <w:color w:val="222222"/>
          <w:shd w:val="clear" w:color="auto" w:fill="FFFFFF"/>
        </w:rPr>
        <w:t xml:space="preserve"> Ekonomi </w:t>
      </w:r>
      <w:proofErr w:type="spellStart"/>
      <w:r w:rsidRPr="00D86091">
        <w:rPr>
          <w:i/>
          <w:iCs/>
          <w:color w:val="222222"/>
          <w:shd w:val="clear" w:color="auto" w:fill="FFFFFF"/>
        </w:rPr>
        <w:t>Manajemen</w:t>
      </w:r>
      <w:proofErr w:type="spellEnd"/>
      <w:r w:rsidRPr="00D86091">
        <w:rPr>
          <w:i/>
          <w:iCs/>
          <w:color w:val="222222"/>
          <w:shd w:val="clear" w:color="auto" w:fill="FFFFFF"/>
        </w:rPr>
        <w:t xml:space="preserve"> </w:t>
      </w:r>
      <w:proofErr w:type="spellStart"/>
      <w:r w:rsidRPr="00D86091">
        <w:rPr>
          <w:i/>
          <w:iCs/>
          <w:color w:val="222222"/>
          <w:shd w:val="clear" w:color="auto" w:fill="FFFFFF"/>
        </w:rPr>
        <w:t>Bisnis</w:t>
      </w:r>
      <w:proofErr w:type="spellEnd"/>
      <w:r w:rsidRPr="00D86091">
        <w:rPr>
          <w:i/>
          <w:iCs/>
          <w:color w:val="222222"/>
          <w:shd w:val="clear" w:color="auto" w:fill="FFFFFF"/>
        </w:rPr>
        <w:t xml:space="preserve"> dan </w:t>
      </w:r>
      <w:proofErr w:type="spellStart"/>
      <w:r w:rsidRPr="00D86091">
        <w:rPr>
          <w:i/>
          <w:iCs/>
          <w:color w:val="222222"/>
          <w:shd w:val="clear" w:color="auto" w:fill="FFFFFF"/>
        </w:rPr>
        <w:t>Akuntansi</w:t>
      </w:r>
      <w:proofErr w:type="spellEnd"/>
      <w:r w:rsidRPr="00D86091">
        <w:rPr>
          <w:color w:val="222222"/>
          <w:shd w:val="clear" w:color="auto" w:fill="FFFFFF"/>
        </w:rPr>
        <w:t>, </w:t>
      </w:r>
      <w:r w:rsidRPr="00D86091">
        <w:rPr>
          <w:i/>
          <w:iCs/>
          <w:color w:val="222222"/>
          <w:shd w:val="clear" w:color="auto" w:fill="FFFFFF"/>
        </w:rPr>
        <w:t>1</w:t>
      </w:r>
      <w:r w:rsidRPr="00D86091">
        <w:rPr>
          <w:color w:val="222222"/>
          <w:shd w:val="clear" w:color="auto" w:fill="FFFFFF"/>
        </w:rPr>
        <w:t xml:space="preserve">(2), pp.114-121. </w:t>
      </w:r>
      <w:hyperlink r:id="rId36" w:history="1">
        <w:r w:rsidRPr="00D86091">
          <w:rPr>
            <w:rStyle w:val="Hyperlink"/>
            <w:shd w:val="clear" w:color="auto" w:fill="FFFFFF"/>
          </w:rPr>
          <w:t>https://e-journal.penerbit-altafcorp.com/index.php/jemba/article/view/10</w:t>
        </w:r>
      </w:hyperlink>
    </w:p>
    <w:p w14:paraId="12B00DE3" w14:textId="77777777" w:rsidR="00535CBA" w:rsidRPr="00D86091" w:rsidRDefault="00535CBA" w:rsidP="00D86091">
      <w:pPr>
        <w:spacing w:after="240"/>
        <w:ind w:left="61"/>
      </w:pPr>
      <w:r w:rsidRPr="00D86091">
        <w:rPr>
          <w:color w:val="222222"/>
          <w:shd w:val="clear" w:color="auto" w:fill="FFFFFF"/>
        </w:rPr>
        <w:t>McGrath, P.J. and O’Neill, H.M., 2025. Release, retain, and reimagine: Lessons in corporate restructuring from spin-off firms. </w:t>
      </w:r>
      <w:r w:rsidRPr="00D86091">
        <w:rPr>
          <w:i/>
          <w:iCs/>
          <w:color w:val="222222"/>
          <w:shd w:val="clear" w:color="auto" w:fill="FFFFFF"/>
        </w:rPr>
        <w:t>Business Horizons</w:t>
      </w:r>
      <w:r w:rsidRPr="00D86091">
        <w:rPr>
          <w:color w:val="222222"/>
          <w:shd w:val="clear" w:color="auto" w:fill="FFFFFF"/>
        </w:rPr>
        <w:t xml:space="preserve">. </w:t>
      </w:r>
      <w:hyperlink r:id="rId37" w:history="1">
        <w:r w:rsidRPr="00D86091">
          <w:rPr>
            <w:rStyle w:val="Hyperlink"/>
            <w:shd w:val="clear" w:color="auto" w:fill="FFFFFF"/>
          </w:rPr>
          <w:t>https://www.sciencedirect.com/science/article/pii/S0007681325001727</w:t>
        </w:r>
      </w:hyperlink>
    </w:p>
    <w:p w14:paraId="071183FA" w14:textId="77777777" w:rsidR="00535CBA" w:rsidRPr="00D86091" w:rsidRDefault="00535CBA" w:rsidP="00D86091">
      <w:pPr>
        <w:spacing w:after="240"/>
        <w:ind w:left="61"/>
      </w:pPr>
      <w:r w:rsidRPr="00D86091">
        <w:rPr>
          <w:color w:val="222222"/>
          <w:shd w:val="clear" w:color="auto" w:fill="FFFFFF"/>
        </w:rPr>
        <w:t>McKenzie, M. and Marx, B., 2025. A Post-Mortem of Municipal Audit Action Plans Used to Resolve Financial Distress in South Africa. </w:t>
      </w:r>
      <w:r w:rsidRPr="00D86091">
        <w:rPr>
          <w:i/>
          <w:iCs/>
          <w:color w:val="222222"/>
          <w:shd w:val="clear" w:color="auto" w:fill="FFFFFF"/>
        </w:rPr>
        <w:t>Sustainability</w:t>
      </w:r>
      <w:r w:rsidRPr="00D86091">
        <w:rPr>
          <w:color w:val="222222"/>
          <w:shd w:val="clear" w:color="auto" w:fill="FFFFFF"/>
        </w:rPr>
        <w:t>, </w:t>
      </w:r>
      <w:r w:rsidRPr="00D86091">
        <w:rPr>
          <w:i/>
          <w:iCs/>
          <w:color w:val="222222"/>
          <w:shd w:val="clear" w:color="auto" w:fill="FFFFFF"/>
        </w:rPr>
        <w:t>17</w:t>
      </w:r>
      <w:r w:rsidRPr="00D86091">
        <w:rPr>
          <w:color w:val="222222"/>
          <w:shd w:val="clear" w:color="auto" w:fill="FFFFFF"/>
        </w:rPr>
        <w:t xml:space="preserve">(4), p.1535. </w:t>
      </w:r>
      <w:hyperlink r:id="rId38" w:history="1">
        <w:r w:rsidRPr="00D86091">
          <w:rPr>
            <w:rStyle w:val="Hyperlink"/>
            <w:shd w:val="clear" w:color="auto" w:fill="FFFFFF"/>
          </w:rPr>
          <w:t>https://www.mdpi.com/2071-1050/17/4/1535</w:t>
        </w:r>
      </w:hyperlink>
    </w:p>
    <w:p w14:paraId="4600BE60" w14:textId="77777777" w:rsidR="00535CBA" w:rsidRPr="00D86091" w:rsidRDefault="00535CBA" w:rsidP="00D86091">
      <w:pPr>
        <w:spacing w:after="240"/>
        <w:ind w:left="61"/>
      </w:pPr>
      <w:proofErr w:type="spellStart"/>
      <w:r w:rsidRPr="00D86091">
        <w:rPr>
          <w:color w:val="222222"/>
          <w:shd w:val="clear" w:color="auto" w:fill="FFFFFF"/>
        </w:rPr>
        <w:t>Meilia</w:t>
      </w:r>
      <w:proofErr w:type="spellEnd"/>
      <w:r w:rsidRPr="00D86091">
        <w:rPr>
          <w:color w:val="222222"/>
          <w:shd w:val="clear" w:color="auto" w:fill="FFFFFF"/>
        </w:rPr>
        <w:t xml:space="preserve">, F.D., 2025. Integrated Financial Ratio Analysis and Bankruptcy Forecasting in Indonesia’s E-Commerce Sector: Evidence from PT </w:t>
      </w:r>
      <w:proofErr w:type="spellStart"/>
      <w:r w:rsidRPr="00D86091">
        <w:rPr>
          <w:color w:val="222222"/>
          <w:shd w:val="clear" w:color="auto" w:fill="FFFFFF"/>
        </w:rPr>
        <w:t>GoTo</w:t>
      </w:r>
      <w:proofErr w:type="spellEnd"/>
      <w:r w:rsidRPr="00D86091">
        <w:rPr>
          <w:color w:val="222222"/>
          <w:shd w:val="clear" w:color="auto" w:fill="FFFFFF"/>
        </w:rPr>
        <w:t xml:space="preserve"> </w:t>
      </w:r>
      <w:proofErr w:type="spellStart"/>
      <w:r w:rsidRPr="00D86091">
        <w:rPr>
          <w:color w:val="222222"/>
          <w:shd w:val="clear" w:color="auto" w:fill="FFFFFF"/>
        </w:rPr>
        <w:t>Tbk</w:t>
      </w:r>
      <w:proofErr w:type="spellEnd"/>
      <w:r w:rsidRPr="00D86091">
        <w:rPr>
          <w:color w:val="222222"/>
          <w:shd w:val="clear" w:color="auto" w:fill="FFFFFF"/>
        </w:rPr>
        <w:t>. </w:t>
      </w:r>
      <w:r w:rsidRPr="00D86091">
        <w:rPr>
          <w:i/>
          <w:iCs/>
          <w:color w:val="222222"/>
          <w:shd w:val="clear" w:color="auto" w:fill="FFFFFF"/>
        </w:rPr>
        <w:t>SAJMR: Southeast Asian Journal of Management and Research</w:t>
      </w:r>
      <w:r w:rsidRPr="00D86091">
        <w:rPr>
          <w:color w:val="222222"/>
          <w:shd w:val="clear" w:color="auto" w:fill="FFFFFF"/>
        </w:rPr>
        <w:t>, </w:t>
      </w:r>
      <w:r w:rsidRPr="00D86091">
        <w:rPr>
          <w:i/>
          <w:iCs/>
          <w:color w:val="222222"/>
          <w:shd w:val="clear" w:color="auto" w:fill="FFFFFF"/>
        </w:rPr>
        <w:t>3</w:t>
      </w:r>
      <w:r w:rsidRPr="00D86091">
        <w:rPr>
          <w:color w:val="222222"/>
          <w:shd w:val="clear" w:color="auto" w:fill="FFFFFF"/>
        </w:rPr>
        <w:t xml:space="preserve">(3), pp.236-257. </w:t>
      </w:r>
      <w:hyperlink r:id="rId39" w:history="1">
        <w:r w:rsidRPr="00D86091">
          <w:rPr>
            <w:rStyle w:val="Hyperlink"/>
            <w:shd w:val="clear" w:color="auto" w:fill="FFFFFF"/>
          </w:rPr>
          <w:t>https://journal.yayasanpad.org/index.php/sajmr/article/view/409</w:t>
        </w:r>
      </w:hyperlink>
    </w:p>
    <w:p w14:paraId="25943754" w14:textId="77777777" w:rsidR="00535CBA" w:rsidRPr="00D86091" w:rsidRDefault="00535CBA" w:rsidP="00D86091">
      <w:pPr>
        <w:spacing w:after="240"/>
        <w:ind w:left="61"/>
      </w:pPr>
      <w:proofErr w:type="spellStart"/>
      <w:r w:rsidRPr="00D86091">
        <w:rPr>
          <w:color w:val="222222"/>
          <w:shd w:val="clear" w:color="auto" w:fill="FFFFFF"/>
        </w:rPr>
        <w:t>Michalkova</w:t>
      </w:r>
      <w:proofErr w:type="spellEnd"/>
      <w:r w:rsidRPr="00D86091">
        <w:rPr>
          <w:color w:val="222222"/>
          <w:shd w:val="clear" w:color="auto" w:fill="FFFFFF"/>
        </w:rPr>
        <w:t xml:space="preserve">, L. and </w:t>
      </w:r>
      <w:proofErr w:type="spellStart"/>
      <w:r w:rsidRPr="00D86091">
        <w:rPr>
          <w:color w:val="222222"/>
          <w:shd w:val="clear" w:color="auto" w:fill="FFFFFF"/>
        </w:rPr>
        <w:t>Ponisciakova</w:t>
      </w:r>
      <w:proofErr w:type="spellEnd"/>
      <w:r w:rsidRPr="00D86091">
        <w:rPr>
          <w:color w:val="222222"/>
          <w:shd w:val="clear" w:color="auto" w:fill="FFFFFF"/>
        </w:rPr>
        <w:t>, O., 2025. Bankruptcy Prediction, Financial Distress and Corporate Life Cycle: Case Study of Central European Enterprises. </w:t>
      </w:r>
      <w:r w:rsidRPr="00D86091">
        <w:rPr>
          <w:i/>
          <w:iCs/>
          <w:color w:val="222222"/>
          <w:shd w:val="clear" w:color="auto" w:fill="FFFFFF"/>
        </w:rPr>
        <w:t>Administrative Sciences</w:t>
      </w:r>
      <w:r w:rsidRPr="00D86091">
        <w:rPr>
          <w:color w:val="222222"/>
          <w:shd w:val="clear" w:color="auto" w:fill="FFFFFF"/>
        </w:rPr>
        <w:t>, </w:t>
      </w:r>
      <w:r w:rsidRPr="00D86091">
        <w:rPr>
          <w:i/>
          <w:iCs/>
          <w:color w:val="222222"/>
          <w:shd w:val="clear" w:color="auto" w:fill="FFFFFF"/>
        </w:rPr>
        <w:t>15</w:t>
      </w:r>
      <w:r w:rsidRPr="00D86091">
        <w:rPr>
          <w:color w:val="222222"/>
          <w:shd w:val="clear" w:color="auto" w:fill="FFFFFF"/>
        </w:rPr>
        <w:t xml:space="preserve">(2), p.63. </w:t>
      </w:r>
      <w:hyperlink r:id="rId40" w:history="1">
        <w:r w:rsidRPr="00D86091">
          <w:rPr>
            <w:rStyle w:val="Hyperlink"/>
            <w:shd w:val="clear" w:color="auto" w:fill="FFFFFF"/>
          </w:rPr>
          <w:t>https://www.mdpi.com/2076-3387/15/2/63</w:t>
        </w:r>
      </w:hyperlink>
    </w:p>
    <w:p w14:paraId="421B4BCF" w14:textId="77777777" w:rsidR="00535CBA" w:rsidRPr="00D86091" w:rsidRDefault="00535CBA" w:rsidP="00D86091">
      <w:pPr>
        <w:spacing w:after="240"/>
        <w:ind w:left="61"/>
      </w:pPr>
      <w:r w:rsidRPr="00D86091">
        <w:rPr>
          <w:color w:val="222222"/>
          <w:shd w:val="clear" w:color="auto" w:fill="FFFFFF"/>
        </w:rPr>
        <w:t xml:space="preserve">Nguyen </w:t>
      </w:r>
      <w:proofErr w:type="spellStart"/>
      <w:r w:rsidRPr="00D86091">
        <w:rPr>
          <w:color w:val="222222"/>
          <w:shd w:val="clear" w:color="auto" w:fill="FFFFFF"/>
        </w:rPr>
        <w:t>Thi</w:t>
      </w:r>
      <w:proofErr w:type="spellEnd"/>
      <w:r w:rsidRPr="00D86091">
        <w:rPr>
          <w:color w:val="222222"/>
          <w:shd w:val="clear" w:color="auto" w:fill="FFFFFF"/>
        </w:rPr>
        <w:t>, C., Anh, K.T. and Tran, K.B.N., 2025. Corporate distress and financial restructuring decisions in different stages of life cycle. </w:t>
      </w:r>
      <w:r w:rsidRPr="00D86091">
        <w:rPr>
          <w:i/>
          <w:iCs/>
          <w:color w:val="222222"/>
          <w:shd w:val="clear" w:color="auto" w:fill="FFFFFF"/>
        </w:rPr>
        <w:t xml:space="preserve">Journal of Economics and </w:t>
      </w:r>
      <w:r w:rsidRPr="00D86091">
        <w:rPr>
          <w:i/>
          <w:iCs/>
          <w:color w:val="222222"/>
          <w:shd w:val="clear" w:color="auto" w:fill="FFFFFF"/>
        </w:rPr>
        <w:lastRenderedPageBreak/>
        <w:t>Development</w:t>
      </w:r>
      <w:r w:rsidRPr="00D86091">
        <w:rPr>
          <w:color w:val="222222"/>
          <w:shd w:val="clear" w:color="auto" w:fill="FFFFFF"/>
        </w:rPr>
        <w:t>, </w:t>
      </w:r>
      <w:r w:rsidRPr="00D86091">
        <w:rPr>
          <w:i/>
          <w:iCs/>
          <w:color w:val="222222"/>
          <w:shd w:val="clear" w:color="auto" w:fill="FFFFFF"/>
        </w:rPr>
        <w:t>27</w:t>
      </w:r>
      <w:r w:rsidRPr="00D86091">
        <w:rPr>
          <w:color w:val="222222"/>
          <w:shd w:val="clear" w:color="auto" w:fill="FFFFFF"/>
        </w:rPr>
        <w:t xml:space="preserve">(3), pp.264-276. </w:t>
      </w:r>
      <w:hyperlink r:id="rId41" w:history="1">
        <w:r w:rsidRPr="00D86091">
          <w:rPr>
            <w:rStyle w:val="Hyperlink"/>
            <w:shd w:val="clear" w:color="auto" w:fill="FFFFFF"/>
          </w:rPr>
          <w:t>https://www.emerald.com/jed/article-pdf/27/3/264/10079017/jed-08-2024-0281en.pdf</w:t>
        </w:r>
      </w:hyperlink>
    </w:p>
    <w:p w14:paraId="2C382A2E" w14:textId="77777777" w:rsidR="00535CBA" w:rsidRPr="00D86091" w:rsidRDefault="00535CBA" w:rsidP="00D86091">
      <w:pPr>
        <w:spacing w:after="240"/>
        <w:ind w:left="61"/>
      </w:pPr>
      <w:proofErr w:type="spellStart"/>
      <w:r w:rsidRPr="00D86091">
        <w:rPr>
          <w:color w:val="222222"/>
          <w:shd w:val="clear" w:color="auto" w:fill="FFFFFF"/>
        </w:rPr>
        <w:t>Potharla</w:t>
      </w:r>
      <w:proofErr w:type="spellEnd"/>
      <w:r w:rsidRPr="00D86091">
        <w:rPr>
          <w:color w:val="222222"/>
          <w:shd w:val="clear" w:color="auto" w:fill="FFFFFF"/>
        </w:rPr>
        <w:t>, S., 2025. Financial and Strategic Analysis of Tata Motors: Insights from Corporate Finance Perspectives. </w:t>
      </w:r>
      <w:r w:rsidRPr="00D86091">
        <w:rPr>
          <w:i/>
          <w:iCs/>
          <w:color w:val="222222"/>
          <w:shd w:val="clear" w:color="auto" w:fill="FFFFFF"/>
        </w:rPr>
        <w:t>Available at SSRN 5294575</w:t>
      </w:r>
      <w:r w:rsidRPr="00D86091">
        <w:rPr>
          <w:color w:val="222222"/>
          <w:shd w:val="clear" w:color="auto" w:fill="FFFFFF"/>
        </w:rPr>
        <w:t xml:space="preserve">. </w:t>
      </w:r>
      <w:hyperlink r:id="rId42" w:history="1">
        <w:r w:rsidRPr="00D86091">
          <w:rPr>
            <w:rStyle w:val="Hyperlink"/>
            <w:shd w:val="clear" w:color="auto" w:fill="FFFFFF"/>
          </w:rPr>
          <w:t>https://papers.ssrn.com/sol3/papers.cfm?abstract_id=5294575</w:t>
        </w:r>
      </w:hyperlink>
    </w:p>
    <w:p w14:paraId="01B6E25C" w14:textId="77777777" w:rsidR="00535CBA" w:rsidRPr="00D86091" w:rsidRDefault="00535CBA" w:rsidP="00D86091">
      <w:pPr>
        <w:spacing w:after="240"/>
        <w:ind w:left="61"/>
      </w:pPr>
      <w:r w:rsidRPr="00D86091">
        <w:rPr>
          <w:color w:val="222222"/>
          <w:shd w:val="clear" w:color="auto" w:fill="FFFFFF"/>
        </w:rPr>
        <w:t xml:space="preserve">Rano, B. and Rano, S., 2025. </w:t>
      </w:r>
      <w:proofErr w:type="spellStart"/>
      <w:r w:rsidRPr="00D86091">
        <w:rPr>
          <w:color w:val="222222"/>
          <w:shd w:val="clear" w:color="auto" w:fill="FFFFFF"/>
        </w:rPr>
        <w:t>Analysing</w:t>
      </w:r>
      <w:proofErr w:type="spellEnd"/>
      <w:r w:rsidRPr="00D86091">
        <w:rPr>
          <w:color w:val="222222"/>
          <w:shd w:val="clear" w:color="auto" w:fill="FFFFFF"/>
        </w:rPr>
        <w:t xml:space="preserve"> Bankruptcy Models in Corporate Restructuring: A Study of Financial Stability. </w:t>
      </w:r>
      <w:r w:rsidRPr="00D86091">
        <w:rPr>
          <w:i/>
          <w:iCs/>
          <w:color w:val="222222"/>
          <w:shd w:val="clear" w:color="auto" w:fill="FFFFFF"/>
        </w:rPr>
        <w:t>Available at SSRN 5241872</w:t>
      </w:r>
      <w:r w:rsidRPr="00D86091">
        <w:rPr>
          <w:color w:val="222222"/>
          <w:shd w:val="clear" w:color="auto" w:fill="FFFFFF"/>
        </w:rPr>
        <w:t xml:space="preserve">. </w:t>
      </w:r>
      <w:hyperlink r:id="rId43" w:history="1">
        <w:r w:rsidRPr="00D86091">
          <w:rPr>
            <w:rStyle w:val="Hyperlink"/>
            <w:shd w:val="clear" w:color="auto" w:fill="FFFFFF"/>
          </w:rPr>
          <w:t>https://papers.ssrn.com/sol3/papers.cfm?abstract_id=5241872</w:t>
        </w:r>
      </w:hyperlink>
    </w:p>
    <w:p w14:paraId="60168703" w14:textId="77777777" w:rsidR="00535CBA" w:rsidRPr="00D86091" w:rsidRDefault="00535CBA" w:rsidP="00D86091">
      <w:pPr>
        <w:spacing w:after="240"/>
        <w:ind w:left="61"/>
      </w:pPr>
      <w:r w:rsidRPr="00D86091">
        <w:rPr>
          <w:color w:val="222222"/>
          <w:shd w:val="clear" w:color="auto" w:fill="FFFFFF"/>
        </w:rPr>
        <w:t>Rivera-Prieto, J.C., Santana, M. and López-Cabrales, Á., 2025. Turnaround and human resource strategies during the COVID-19 crisis. </w:t>
      </w:r>
      <w:r w:rsidRPr="00D86091">
        <w:rPr>
          <w:i/>
          <w:iCs/>
          <w:color w:val="222222"/>
          <w:shd w:val="clear" w:color="auto" w:fill="FFFFFF"/>
        </w:rPr>
        <w:t>BRQ Business Research Quarterly</w:t>
      </w:r>
      <w:r w:rsidRPr="00D86091">
        <w:rPr>
          <w:color w:val="222222"/>
          <w:shd w:val="clear" w:color="auto" w:fill="FFFFFF"/>
        </w:rPr>
        <w:t>, </w:t>
      </w:r>
      <w:r w:rsidRPr="00D86091">
        <w:rPr>
          <w:i/>
          <w:iCs/>
          <w:color w:val="222222"/>
          <w:shd w:val="clear" w:color="auto" w:fill="FFFFFF"/>
        </w:rPr>
        <w:t>28</w:t>
      </w:r>
      <w:r w:rsidRPr="00D86091">
        <w:rPr>
          <w:color w:val="222222"/>
          <w:shd w:val="clear" w:color="auto" w:fill="FFFFFF"/>
        </w:rPr>
        <w:t xml:space="preserve">(1), pp.37-58. </w:t>
      </w:r>
      <w:hyperlink r:id="rId44" w:history="1">
        <w:r w:rsidRPr="00D86091">
          <w:rPr>
            <w:rStyle w:val="Hyperlink"/>
            <w:shd w:val="clear" w:color="auto" w:fill="FFFFFF"/>
          </w:rPr>
          <w:t>https://journals.sagepub.com/doi/abs/10.1177/23409444221120053</w:t>
        </w:r>
      </w:hyperlink>
    </w:p>
    <w:p w14:paraId="5B4662A5" w14:textId="77777777" w:rsidR="00535CBA" w:rsidRPr="00D86091" w:rsidRDefault="00535CBA" w:rsidP="00D86091">
      <w:pPr>
        <w:spacing w:after="240"/>
        <w:ind w:left="61"/>
      </w:pPr>
      <w:r w:rsidRPr="00D86091">
        <w:rPr>
          <w:color w:val="222222"/>
          <w:shd w:val="clear" w:color="auto" w:fill="FFFFFF"/>
        </w:rPr>
        <w:t>Senapati, C., Sarma, N.N. and Choudhury, S., 2025. Envisioning Turnaround in Indian Aviation—The Case of Jet Airways. </w:t>
      </w:r>
      <w:r w:rsidRPr="00D86091">
        <w:rPr>
          <w:i/>
          <w:iCs/>
          <w:color w:val="222222"/>
          <w:shd w:val="clear" w:color="auto" w:fill="FFFFFF"/>
        </w:rPr>
        <w:t>Emerging Economies Cases Journal</w:t>
      </w:r>
      <w:r w:rsidRPr="00D86091">
        <w:rPr>
          <w:color w:val="222222"/>
          <w:shd w:val="clear" w:color="auto" w:fill="FFFFFF"/>
        </w:rPr>
        <w:t xml:space="preserve">, p.25166042241304554. </w:t>
      </w:r>
      <w:hyperlink r:id="rId45" w:history="1">
        <w:r w:rsidRPr="00D86091">
          <w:rPr>
            <w:rStyle w:val="Hyperlink"/>
            <w:shd w:val="clear" w:color="auto" w:fill="FFFFFF"/>
          </w:rPr>
          <w:t>https://journals.sagepub.com/doi/abs/10.1177/25166042241304554</w:t>
        </w:r>
      </w:hyperlink>
    </w:p>
    <w:p w14:paraId="36433BA5" w14:textId="77777777" w:rsidR="00535CBA" w:rsidRPr="00D86091" w:rsidRDefault="00535CBA" w:rsidP="00D86091">
      <w:pPr>
        <w:spacing w:after="240"/>
        <w:ind w:left="61"/>
      </w:pPr>
      <w:proofErr w:type="spellStart"/>
      <w:r w:rsidRPr="00D86091">
        <w:rPr>
          <w:color w:val="222222"/>
          <w:shd w:val="clear" w:color="auto" w:fill="FFFFFF"/>
        </w:rPr>
        <w:t>Syafaat</w:t>
      </w:r>
      <w:proofErr w:type="spellEnd"/>
      <w:r w:rsidRPr="00D86091">
        <w:rPr>
          <w:color w:val="222222"/>
          <w:shd w:val="clear" w:color="auto" w:fill="FFFFFF"/>
        </w:rPr>
        <w:t xml:space="preserve">, F. and </w:t>
      </w:r>
      <w:proofErr w:type="spellStart"/>
      <w:r w:rsidRPr="00D86091">
        <w:rPr>
          <w:color w:val="222222"/>
          <w:shd w:val="clear" w:color="auto" w:fill="FFFFFF"/>
        </w:rPr>
        <w:t>Timuriana</w:t>
      </w:r>
      <w:proofErr w:type="spellEnd"/>
      <w:r w:rsidRPr="00D86091">
        <w:rPr>
          <w:color w:val="222222"/>
          <w:shd w:val="clear" w:color="auto" w:fill="FFFFFF"/>
        </w:rPr>
        <w:t>, T., 2025. Financial Performance Analysis of Islamic Bank Using FDR, ROA, ROE, and NPF Ratios. </w:t>
      </w:r>
      <w:proofErr w:type="spellStart"/>
      <w:r w:rsidRPr="00D86091">
        <w:rPr>
          <w:i/>
          <w:iCs/>
          <w:color w:val="222222"/>
          <w:shd w:val="clear" w:color="auto" w:fill="FFFFFF"/>
        </w:rPr>
        <w:t>Jurnal</w:t>
      </w:r>
      <w:proofErr w:type="spellEnd"/>
      <w:r w:rsidRPr="00D86091">
        <w:rPr>
          <w:i/>
          <w:iCs/>
          <w:color w:val="222222"/>
          <w:shd w:val="clear" w:color="auto" w:fill="FFFFFF"/>
        </w:rPr>
        <w:t xml:space="preserve"> </w:t>
      </w:r>
      <w:proofErr w:type="spellStart"/>
      <w:r w:rsidRPr="00D86091">
        <w:rPr>
          <w:i/>
          <w:iCs/>
          <w:color w:val="222222"/>
          <w:shd w:val="clear" w:color="auto" w:fill="FFFFFF"/>
        </w:rPr>
        <w:t>Ilmu</w:t>
      </w:r>
      <w:proofErr w:type="spellEnd"/>
      <w:r w:rsidRPr="00D86091">
        <w:rPr>
          <w:i/>
          <w:iCs/>
          <w:color w:val="222222"/>
          <w:shd w:val="clear" w:color="auto" w:fill="FFFFFF"/>
        </w:rPr>
        <w:t xml:space="preserve"> </w:t>
      </w:r>
      <w:proofErr w:type="spellStart"/>
      <w:r w:rsidRPr="00D86091">
        <w:rPr>
          <w:i/>
          <w:iCs/>
          <w:color w:val="222222"/>
          <w:shd w:val="clear" w:color="auto" w:fill="FFFFFF"/>
        </w:rPr>
        <w:t>Perbankan</w:t>
      </w:r>
      <w:proofErr w:type="spellEnd"/>
      <w:r w:rsidRPr="00D86091">
        <w:rPr>
          <w:i/>
          <w:iCs/>
          <w:color w:val="222222"/>
          <w:shd w:val="clear" w:color="auto" w:fill="FFFFFF"/>
        </w:rPr>
        <w:t xml:space="preserve"> dan </w:t>
      </w:r>
      <w:proofErr w:type="spellStart"/>
      <w:r w:rsidRPr="00D86091">
        <w:rPr>
          <w:i/>
          <w:iCs/>
          <w:color w:val="222222"/>
          <w:shd w:val="clear" w:color="auto" w:fill="FFFFFF"/>
        </w:rPr>
        <w:t>Keuangan</w:t>
      </w:r>
      <w:proofErr w:type="spellEnd"/>
      <w:r w:rsidRPr="00D86091">
        <w:rPr>
          <w:i/>
          <w:iCs/>
          <w:color w:val="222222"/>
          <w:shd w:val="clear" w:color="auto" w:fill="FFFFFF"/>
        </w:rPr>
        <w:t xml:space="preserve"> Syariah</w:t>
      </w:r>
      <w:r w:rsidRPr="00D86091">
        <w:rPr>
          <w:color w:val="222222"/>
          <w:shd w:val="clear" w:color="auto" w:fill="FFFFFF"/>
        </w:rPr>
        <w:t>, </w:t>
      </w:r>
      <w:r w:rsidRPr="00D86091">
        <w:rPr>
          <w:i/>
          <w:iCs/>
          <w:color w:val="222222"/>
          <w:shd w:val="clear" w:color="auto" w:fill="FFFFFF"/>
        </w:rPr>
        <w:t>7</w:t>
      </w:r>
      <w:r w:rsidRPr="00D86091">
        <w:rPr>
          <w:color w:val="222222"/>
          <w:shd w:val="clear" w:color="auto" w:fill="FFFFFF"/>
        </w:rPr>
        <w:t xml:space="preserve">(1), pp.18-34. </w:t>
      </w:r>
      <w:hyperlink r:id="rId46" w:history="1">
        <w:r w:rsidRPr="00D86091">
          <w:rPr>
            <w:rStyle w:val="Hyperlink"/>
            <w:shd w:val="clear" w:color="auto" w:fill="FFFFFF"/>
          </w:rPr>
          <w:t>http://jurnaljipsya.org/index.php/jipsya/article/view/313</w:t>
        </w:r>
      </w:hyperlink>
    </w:p>
    <w:p w14:paraId="4C53EB67" w14:textId="77777777" w:rsidR="00535CBA" w:rsidRPr="00D86091" w:rsidRDefault="00535CBA" w:rsidP="00D86091">
      <w:pPr>
        <w:spacing w:after="240"/>
        <w:ind w:left="61"/>
      </w:pPr>
      <w:r w:rsidRPr="00D86091">
        <w:rPr>
          <w:color w:val="222222"/>
          <w:shd w:val="clear" w:color="auto" w:fill="FFFFFF"/>
        </w:rPr>
        <w:t>Taheri Hosseinkhani, N., 2025. Artificial Intelligence Applications in Financial Markets and Corporate Finance: Technologies, Challenges, and Opportunities. </w:t>
      </w:r>
      <w:r w:rsidRPr="00D86091">
        <w:rPr>
          <w:i/>
          <w:iCs/>
          <w:color w:val="222222"/>
          <w:shd w:val="clear" w:color="auto" w:fill="FFFFFF"/>
        </w:rPr>
        <w:t>Challenges, and Opportunities (August 10, 2025)</w:t>
      </w:r>
      <w:r w:rsidRPr="00D86091">
        <w:rPr>
          <w:color w:val="222222"/>
          <w:shd w:val="clear" w:color="auto" w:fill="FFFFFF"/>
        </w:rPr>
        <w:t xml:space="preserve">. </w:t>
      </w:r>
      <w:hyperlink r:id="rId47" w:history="1">
        <w:r w:rsidRPr="00D86091">
          <w:rPr>
            <w:rStyle w:val="Hyperlink"/>
            <w:shd w:val="clear" w:color="auto" w:fill="FFFFFF"/>
          </w:rPr>
          <w:t>https://papers.ssrn.com/sol3/papers.cfm?abstract_id=5403522</w:t>
        </w:r>
      </w:hyperlink>
    </w:p>
    <w:p w14:paraId="4A7AACAD" w14:textId="77777777" w:rsidR="00535CBA" w:rsidRPr="00D86091" w:rsidRDefault="00535CBA" w:rsidP="00D86091">
      <w:pPr>
        <w:spacing w:after="240"/>
        <w:ind w:left="61"/>
      </w:pPr>
      <w:proofErr w:type="spellStart"/>
      <w:r w:rsidRPr="00D86091">
        <w:rPr>
          <w:color w:val="222222"/>
          <w:shd w:val="clear" w:color="auto" w:fill="FFFFFF"/>
        </w:rPr>
        <w:t>Tangpong</w:t>
      </w:r>
      <w:proofErr w:type="spellEnd"/>
      <w:r w:rsidRPr="00D86091">
        <w:rPr>
          <w:color w:val="222222"/>
          <w:shd w:val="clear" w:color="auto" w:fill="FFFFFF"/>
        </w:rPr>
        <w:t>, C., Lehmberg, D. and Li, Z., 2025. New CEOs in corporate turnaround situations. </w:t>
      </w:r>
      <w:r w:rsidRPr="00D86091">
        <w:rPr>
          <w:i/>
          <w:iCs/>
          <w:color w:val="222222"/>
          <w:shd w:val="clear" w:color="auto" w:fill="FFFFFF"/>
        </w:rPr>
        <w:t>Organizational Dynamics</w:t>
      </w:r>
      <w:r w:rsidRPr="00D86091">
        <w:rPr>
          <w:color w:val="222222"/>
          <w:shd w:val="clear" w:color="auto" w:fill="FFFFFF"/>
        </w:rPr>
        <w:t xml:space="preserve">, p.101146. </w:t>
      </w:r>
      <w:hyperlink r:id="rId48" w:history="1">
        <w:r w:rsidRPr="00D86091">
          <w:rPr>
            <w:rStyle w:val="Hyperlink"/>
            <w:shd w:val="clear" w:color="auto" w:fill="FFFFFF"/>
          </w:rPr>
          <w:t>https://www.sciencedirect.com/science/article/pii/S0090261625000233</w:t>
        </w:r>
      </w:hyperlink>
    </w:p>
    <w:p w14:paraId="5F3F5604" w14:textId="77777777" w:rsidR="00535CBA" w:rsidRPr="00D86091" w:rsidRDefault="00535CBA" w:rsidP="00D86091">
      <w:pPr>
        <w:spacing w:after="240"/>
        <w:ind w:left="61"/>
      </w:pPr>
      <w:proofErr w:type="spellStart"/>
      <w:r w:rsidRPr="00D86091">
        <w:rPr>
          <w:color w:val="222222"/>
          <w:shd w:val="clear" w:color="auto" w:fill="FFFFFF"/>
        </w:rPr>
        <w:t>Toromo</w:t>
      </w:r>
      <w:proofErr w:type="spellEnd"/>
      <w:r w:rsidRPr="00D86091">
        <w:rPr>
          <w:color w:val="222222"/>
          <w:shd w:val="clear" w:color="auto" w:fill="FFFFFF"/>
        </w:rPr>
        <w:t>, C.J. and Mutinda, J., 2025. Turnaround strategies and performance of private universities in Kenya. </w:t>
      </w:r>
      <w:r w:rsidRPr="00D86091">
        <w:rPr>
          <w:i/>
          <w:iCs/>
          <w:color w:val="222222"/>
          <w:shd w:val="clear" w:color="auto" w:fill="FFFFFF"/>
        </w:rPr>
        <w:t>Unpublished MBA</w:t>
      </w:r>
      <w:r w:rsidRPr="00D86091">
        <w:rPr>
          <w:color w:val="222222"/>
          <w:shd w:val="clear" w:color="auto" w:fill="FFFFFF"/>
        </w:rPr>
        <w:t xml:space="preserve">. </w:t>
      </w:r>
      <w:hyperlink r:id="rId49" w:history="1">
        <w:r w:rsidRPr="00D86091">
          <w:rPr>
            <w:rStyle w:val="Hyperlink"/>
            <w:shd w:val="clear" w:color="auto" w:fill="FFFFFF"/>
          </w:rPr>
          <w:t>https://ir-</w:t>
        </w:r>
        <w:r w:rsidRPr="00D86091">
          <w:rPr>
            <w:rStyle w:val="Hyperlink"/>
            <w:shd w:val="clear" w:color="auto" w:fill="FFFFFF"/>
          </w:rPr>
          <w:lastRenderedPageBreak/>
          <w:t>library.ku.ac.ke/server/api/core/bitstreams/78baabc3-5c42-4c54-9a97-11a8d71781d7/content</w:t>
        </w:r>
      </w:hyperlink>
    </w:p>
    <w:p w14:paraId="1BD3CA3F" w14:textId="77777777" w:rsidR="000816CC" w:rsidRPr="00D86091" w:rsidRDefault="00535CBA" w:rsidP="00D86091">
      <w:pPr>
        <w:spacing w:after="240"/>
        <w:ind w:left="61"/>
      </w:pPr>
      <w:r w:rsidRPr="00D86091">
        <w:rPr>
          <w:color w:val="222222"/>
          <w:shd w:val="clear" w:color="auto" w:fill="FFFFFF"/>
        </w:rPr>
        <w:t xml:space="preserve">Yahaya, O.A., 2025. Could the Board of Directors save Publicly Traded Companies from </w:t>
      </w:r>
      <w:proofErr w:type="gramStart"/>
      <w:r w:rsidRPr="00D86091">
        <w:rPr>
          <w:color w:val="222222"/>
          <w:shd w:val="clear" w:color="auto" w:fill="FFFFFF"/>
        </w:rPr>
        <w:t>Bankruptcy?.</w:t>
      </w:r>
      <w:proofErr w:type="gramEnd"/>
      <w:r w:rsidRPr="00D86091">
        <w:rPr>
          <w:color w:val="222222"/>
          <w:shd w:val="clear" w:color="auto" w:fill="FFFFFF"/>
        </w:rPr>
        <w:t> </w:t>
      </w:r>
      <w:r w:rsidRPr="00D86091">
        <w:rPr>
          <w:i/>
          <w:iCs/>
          <w:color w:val="222222"/>
          <w:shd w:val="clear" w:color="auto" w:fill="FFFFFF"/>
        </w:rPr>
        <w:t>Available at SSRN 5159976</w:t>
      </w:r>
      <w:r w:rsidRPr="00D86091">
        <w:rPr>
          <w:color w:val="222222"/>
          <w:shd w:val="clear" w:color="auto" w:fill="FFFFFF"/>
        </w:rPr>
        <w:t xml:space="preserve">. </w:t>
      </w:r>
      <w:hyperlink r:id="rId50" w:history="1">
        <w:r w:rsidRPr="00D86091">
          <w:rPr>
            <w:rStyle w:val="Hyperlink"/>
            <w:shd w:val="clear" w:color="auto" w:fill="FFFFFF"/>
          </w:rPr>
          <w:t>https://papers.ssrn.com/sol3/papers.cfm?abstract_id=5159976</w:t>
        </w:r>
      </w:hyperlink>
      <w:r w:rsidRPr="00D86091">
        <w:rPr>
          <w:lang w:val="en-GB"/>
        </w:rPr>
        <w:br w:type="page"/>
      </w:r>
    </w:p>
    <w:p w14:paraId="270290DB" w14:textId="77777777" w:rsidR="000816CC" w:rsidRPr="00D86091" w:rsidRDefault="00BE1118" w:rsidP="00D86091">
      <w:pPr>
        <w:pStyle w:val="Heading1"/>
        <w:rPr>
          <w:lang w:val="en-GB"/>
        </w:rPr>
      </w:pPr>
      <w:bookmarkStart w:id="59" w:name="_hs3eea1363oy" w:colFirst="0" w:colLast="0"/>
      <w:bookmarkStart w:id="60" w:name="_Toc217308923"/>
      <w:bookmarkEnd w:id="59"/>
      <w:r w:rsidRPr="00D86091">
        <w:rPr>
          <w:lang w:val="en-GB"/>
        </w:rPr>
        <w:lastRenderedPageBreak/>
        <w:t>Appendices</w:t>
      </w:r>
      <w:bookmarkEnd w:id="60"/>
    </w:p>
    <w:p w14:paraId="287BDD5A" w14:textId="77777777" w:rsidR="000816CC" w:rsidRPr="00D86091" w:rsidRDefault="00BE1118" w:rsidP="00D86091">
      <w:pPr>
        <w:pStyle w:val="Heading2"/>
        <w:rPr>
          <w:lang w:val="en-GB"/>
        </w:rPr>
      </w:pPr>
      <w:bookmarkStart w:id="61" w:name="_vgwjyyxzg8ja" w:colFirst="0" w:colLast="0"/>
      <w:bookmarkStart w:id="62" w:name="_Toc217308924"/>
      <w:bookmarkEnd w:id="61"/>
      <w:r w:rsidRPr="00D86091">
        <w:rPr>
          <w:lang w:val="en-GB"/>
        </w:rPr>
        <w:t>Appendix A: Full ratio tables (5 years)</w:t>
      </w:r>
      <w:bookmarkEnd w:id="62"/>
    </w:p>
    <w:p w14:paraId="32E79D96" w14:textId="2EC01BA8" w:rsidR="000816CC" w:rsidRDefault="00A21145" w:rsidP="00D86091">
      <w:pPr>
        <w:jc w:val="center"/>
        <w:rPr>
          <w:lang w:val="en-GB"/>
        </w:rPr>
      </w:pPr>
      <w:r w:rsidRPr="00A21145">
        <w:rPr>
          <w:noProof/>
          <w:lang w:val="en-GB"/>
        </w:rPr>
        <w:drawing>
          <wp:inline distT="0" distB="0" distL="0" distR="0" wp14:anchorId="1AF1B55B" wp14:editId="7E285537">
            <wp:extent cx="5881592" cy="2762250"/>
            <wp:effectExtent l="0" t="0" r="5080" b="0"/>
            <wp:docPr id="1914001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001905" name=""/>
                    <pic:cNvPicPr/>
                  </pic:nvPicPr>
                  <pic:blipFill>
                    <a:blip r:embed="rId51"/>
                    <a:stretch>
                      <a:fillRect/>
                    </a:stretch>
                  </pic:blipFill>
                  <pic:spPr>
                    <a:xfrm>
                      <a:off x="0" y="0"/>
                      <a:ext cx="5881814" cy="2762354"/>
                    </a:xfrm>
                    <a:prstGeom prst="rect">
                      <a:avLst/>
                    </a:prstGeom>
                  </pic:spPr>
                </pic:pic>
              </a:graphicData>
            </a:graphic>
          </wp:inline>
        </w:drawing>
      </w:r>
    </w:p>
    <w:p w14:paraId="5B557E20" w14:textId="77777777" w:rsidR="00A21145" w:rsidRPr="00D86091" w:rsidRDefault="00A21145" w:rsidP="00D86091">
      <w:pPr>
        <w:jc w:val="center"/>
        <w:rPr>
          <w:lang w:val="en-GB"/>
        </w:rPr>
      </w:pPr>
    </w:p>
    <w:p w14:paraId="7A955FCD" w14:textId="5985ED77" w:rsidR="000816CC" w:rsidRDefault="002F24F9" w:rsidP="00D86091">
      <w:pPr>
        <w:jc w:val="center"/>
        <w:rPr>
          <w:lang w:val="en-GB"/>
        </w:rPr>
      </w:pPr>
      <w:r w:rsidRPr="002F24F9">
        <w:rPr>
          <w:noProof/>
          <w:lang w:val="en-GB"/>
        </w:rPr>
        <w:drawing>
          <wp:inline distT="0" distB="0" distL="0" distR="0" wp14:anchorId="01F3DD94" wp14:editId="5ABE5EC9">
            <wp:extent cx="5381215" cy="2655404"/>
            <wp:effectExtent l="0" t="0" r="0" b="0"/>
            <wp:docPr id="993473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473498" name=""/>
                    <pic:cNvPicPr/>
                  </pic:nvPicPr>
                  <pic:blipFill>
                    <a:blip r:embed="rId52"/>
                    <a:stretch>
                      <a:fillRect/>
                    </a:stretch>
                  </pic:blipFill>
                  <pic:spPr>
                    <a:xfrm>
                      <a:off x="0" y="0"/>
                      <a:ext cx="5389918" cy="2659699"/>
                    </a:xfrm>
                    <a:prstGeom prst="rect">
                      <a:avLst/>
                    </a:prstGeom>
                  </pic:spPr>
                </pic:pic>
              </a:graphicData>
            </a:graphic>
          </wp:inline>
        </w:drawing>
      </w:r>
    </w:p>
    <w:p w14:paraId="45A23524" w14:textId="77777777" w:rsidR="002F24F9" w:rsidRPr="00D86091" w:rsidRDefault="002F24F9" w:rsidP="00D86091">
      <w:pPr>
        <w:jc w:val="center"/>
        <w:rPr>
          <w:lang w:val="en-GB"/>
        </w:rPr>
      </w:pPr>
    </w:p>
    <w:p w14:paraId="4F893348" w14:textId="77777777" w:rsidR="005D768C" w:rsidRPr="00D86091" w:rsidRDefault="005D768C" w:rsidP="00D86091">
      <w:pPr>
        <w:jc w:val="left"/>
        <w:rPr>
          <w:b/>
          <w:bCs/>
          <w:i/>
          <w:iCs/>
          <w:lang w:val="en-GB"/>
        </w:rPr>
      </w:pPr>
      <w:r w:rsidRPr="00D86091">
        <w:rPr>
          <w:b/>
          <w:bCs/>
          <w:i/>
          <w:iCs/>
          <w:lang w:val="en-GB"/>
        </w:rPr>
        <w:t>1. Gross Margin</w:t>
      </w:r>
    </w:p>
    <w:p w14:paraId="39DCFDF5" w14:textId="77777777" w:rsidR="002F24F9" w:rsidRDefault="002F24F9" w:rsidP="002F24F9">
      <w:pPr>
        <w:jc w:val="left"/>
        <w:rPr>
          <w:lang w:val="en-GB"/>
        </w:rPr>
      </w:pPr>
      <w:r w:rsidRPr="00D86091">
        <w:rPr>
          <w:lang w:val="en-GB"/>
        </w:rPr>
        <w:t>2020: 176,256 ÷ 614,680 = 0.287</w:t>
      </w:r>
    </w:p>
    <w:p w14:paraId="0665F9F0" w14:textId="77777777" w:rsidR="002F24F9" w:rsidRPr="00D86091" w:rsidRDefault="002F24F9" w:rsidP="002F24F9">
      <w:pPr>
        <w:jc w:val="left"/>
        <w:rPr>
          <w:lang w:val="en-GB"/>
        </w:rPr>
      </w:pPr>
      <w:r w:rsidRPr="00D86091">
        <w:rPr>
          <w:lang w:val="en-GB"/>
        </w:rPr>
        <w:t>2021: 173,016 ÷ 601,602 = 0.288</w:t>
      </w:r>
    </w:p>
    <w:p w14:paraId="7C78A36E" w14:textId="77777777" w:rsidR="002F24F9" w:rsidRPr="00D86091" w:rsidRDefault="002F24F9" w:rsidP="002F24F9">
      <w:pPr>
        <w:jc w:val="left"/>
        <w:rPr>
          <w:lang w:val="en-GB"/>
        </w:rPr>
      </w:pPr>
      <w:r w:rsidRPr="00D86091">
        <w:rPr>
          <w:lang w:val="en-GB"/>
        </w:rPr>
        <w:t>2022: 152,292 ÷ 542,751 = 0.281</w:t>
      </w:r>
    </w:p>
    <w:p w14:paraId="2FFE4643" w14:textId="1DE9C6DD" w:rsidR="002F24F9" w:rsidRPr="00D86091" w:rsidRDefault="002F24F9" w:rsidP="002F24F9">
      <w:pPr>
        <w:jc w:val="left"/>
        <w:rPr>
          <w:lang w:val="en-GB"/>
        </w:rPr>
      </w:pPr>
      <w:r w:rsidRPr="00D86091">
        <w:rPr>
          <w:lang w:val="en-GB"/>
        </w:rPr>
        <w:t>2023: 97,560 ÷ 420,457 = 0.232</w:t>
      </w:r>
    </w:p>
    <w:p w14:paraId="62F4E128" w14:textId="7893A7B8" w:rsidR="005D768C" w:rsidRPr="00D86091" w:rsidRDefault="005D768C" w:rsidP="00D86091">
      <w:pPr>
        <w:jc w:val="left"/>
        <w:rPr>
          <w:lang w:val="en-GB"/>
        </w:rPr>
      </w:pPr>
      <w:r w:rsidRPr="00D86091">
        <w:rPr>
          <w:lang w:val="en-GB"/>
        </w:rPr>
        <w:t>2024</w:t>
      </w:r>
    </w:p>
    <w:p w14:paraId="676EB8CF" w14:textId="77777777" w:rsidR="005D768C" w:rsidRPr="00D86091" w:rsidRDefault="005D768C" w:rsidP="00D86091">
      <w:pPr>
        <w:jc w:val="left"/>
        <w:rPr>
          <w:lang w:val="en-GB"/>
        </w:rPr>
      </w:pPr>
      <w:r w:rsidRPr="00D86091">
        <w:rPr>
          <w:lang w:val="en-GB"/>
        </w:rPr>
        <w:t>Gross Profit = 113,994</w:t>
      </w:r>
    </w:p>
    <w:p w14:paraId="1DB4D204" w14:textId="77777777" w:rsidR="005D768C" w:rsidRPr="00D86091" w:rsidRDefault="005D768C" w:rsidP="00D86091">
      <w:pPr>
        <w:jc w:val="left"/>
        <w:rPr>
          <w:lang w:val="en-GB"/>
        </w:rPr>
      </w:pPr>
      <w:r w:rsidRPr="00D86091">
        <w:rPr>
          <w:lang w:val="en-GB"/>
        </w:rPr>
        <w:t>Net Sales = 394,879</w:t>
      </w:r>
    </w:p>
    <w:p w14:paraId="3CE99DBF" w14:textId="77777777" w:rsidR="005D768C" w:rsidRPr="00D86091" w:rsidRDefault="005D768C" w:rsidP="00D86091">
      <w:pPr>
        <w:jc w:val="left"/>
        <w:rPr>
          <w:lang w:val="en-GB"/>
        </w:rPr>
      </w:pPr>
      <w:r w:rsidRPr="00D86091">
        <w:rPr>
          <w:lang w:val="en-GB"/>
        </w:rPr>
        <w:lastRenderedPageBreak/>
        <w:t>Step 1: 113,994 ÷ 394,879 = 0.2887</w:t>
      </w:r>
    </w:p>
    <w:p w14:paraId="69558E5D" w14:textId="77777777" w:rsidR="005D768C" w:rsidRPr="00D86091" w:rsidRDefault="005D768C" w:rsidP="00D86091">
      <w:pPr>
        <w:jc w:val="left"/>
        <w:rPr>
          <w:lang w:val="en-GB"/>
        </w:rPr>
      </w:pPr>
      <w:r w:rsidRPr="00D86091">
        <w:rPr>
          <w:lang w:val="en-GB"/>
        </w:rPr>
        <w:t>Final: 0.289</w:t>
      </w:r>
    </w:p>
    <w:p w14:paraId="0794F550" w14:textId="77777777" w:rsidR="006212CC" w:rsidRPr="00D86091" w:rsidRDefault="006212CC" w:rsidP="00D86091">
      <w:pPr>
        <w:jc w:val="left"/>
        <w:rPr>
          <w:lang w:val="en-GB"/>
        </w:rPr>
      </w:pPr>
    </w:p>
    <w:p w14:paraId="323F78EF" w14:textId="77777777" w:rsidR="005D768C" w:rsidRPr="00D86091" w:rsidRDefault="005D768C" w:rsidP="00D86091">
      <w:pPr>
        <w:jc w:val="left"/>
        <w:rPr>
          <w:b/>
          <w:bCs/>
          <w:i/>
          <w:iCs/>
          <w:lang w:val="en-GB"/>
        </w:rPr>
      </w:pPr>
      <w:r w:rsidRPr="00D86091">
        <w:rPr>
          <w:b/>
          <w:bCs/>
          <w:i/>
          <w:iCs/>
          <w:lang w:val="en-GB"/>
        </w:rPr>
        <w:t>2. Operating Margin</w:t>
      </w:r>
    </w:p>
    <w:p w14:paraId="7AD3F566" w14:textId="77777777" w:rsidR="002F24F9" w:rsidRDefault="002F24F9" w:rsidP="002F24F9">
      <w:pPr>
        <w:jc w:val="left"/>
        <w:rPr>
          <w:lang w:val="en-GB"/>
        </w:rPr>
      </w:pPr>
      <w:r w:rsidRPr="00D86091">
        <w:rPr>
          <w:lang w:val="en-GB"/>
        </w:rPr>
        <w:t>2020: 37,267 ÷ 614,680 = 0.061</w:t>
      </w:r>
    </w:p>
    <w:p w14:paraId="0FF6716C" w14:textId="77777777" w:rsidR="002F24F9" w:rsidRPr="00D86091" w:rsidRDefault="002F24F9" w:rsidP="002F24F9">
      <w:pPr>
        <w:jc w:val="left"/>
        <w:rPr>
          <w:lang w:val="en-GB"/>
        </w:rPr>
      </w:pPr>
      <w:r w:rsidRPr="00D86091">
        <w:rPr>
          <w:lang w:val="en-GB"/>
        </w:rPr>
        <w:t>2021: 23,253 ÷ 601,602 = 0.039</w:t>
      </w:r>
    </w:p>
    <w:p w14:paraId="3B83B30A" w14:textId="77777777" w:rsidR="002F24F9" w:rsidRPr="00D86091" w:rsidRDefault="002F24F9" w:rsidP="002F24F9">
      <w:pPr>
        <w:jc w:val="left"/>
        <w:rPr>
          <w:lang w:val="en-GB"/>
        </w:rPr>
      </w:pPr>
      <w:r w:rsidRPr="00D86091">
        <w:rPr>
          <w:lang w:val="en-GB"/>
        </w:rPr>
        <w:t>2022: 14,548 ÷ 542,751 = 0.027</w:t>
      </w:r>
    </w:p>
    <w:p w14:paraId="685141B3" w14:textId="21CC12E9" w:rsidR="002F24F9" w:rsidRPr="00D86091" w:rsidRDefault="002F24F9" w:rsidP="002F24F9">
      <w:pPr>
        <w:jc w:val="left"/>
        <w:rPr>
          <w:lang w:val="en-GB"/>
        </w:rPr>
      </w:pPr>
      <w:r w:rsidRPr="00D86091">
        <w:rPr>
          <w:lang w:val="en-GB"/>
        </w:rPr>
        <w:t>2023: –85,301 ÷ 420,457 = –0.203</w:t>
      </w:r>
    </w:p>
    <w:p w14:paraId="49D3AC96" w14:textId="77777777" w:rsidR="006212CC" w:rsidRPr="00D86091" w:rsidRDefault="006212CC" w:rsidP="00D86091">
      <w:pPr>
        <w:jc w:val="left"/>
        <w:rPr>
          <w:lang w:val="en-GB"/>
        </w:rPr>
      </w:pPr>
      <w:r w:rsidRPr="00D86091">
        <w:rPr>
          <w:lang w:val="en-GB"/>
        </w:rPr>
        <w:t>2024</w:t>
      </w:r>
    </w:p>
    <w:p w14:paraId="5241159F" w14:textId="77777777" w:rsidR="005D768C" w:rsidRPr="00D86091" w:rsidRDefault="005D768C" w:rsidP="00D86091">
      <w:pPr>
        <w:jc w:val="left"/>
        <w:rPr>
          <w:lang w:val="en-GB"/>
        </w:rPr>
      </w:pPr>
      <w:r w:rsidRPr="00D86091">
        <w:rPr>
          <w:lang w:val="en-GB"/>
        </w:rPr>
        <w:t>Operating Income = –15,297</w:t>
      </w:r>
    </w:p>
    <w:p w14:paraId="25E74922" w14:textId="77777777" w:rsidR="005D768C" w:rsidRPr="00D86091" w:rsidRDefault="005D768C" w:rsidP="00D86091">
      <w:pPr>
        <w:jc w:val="left"/>
        <w:rPr>
          <w:lang w:val="en-GB"/>
        </w:rPr>
      </w:pPr>
      <w:r w:rsidRPr="00D86091">
        <w:rPr>
          <w:lang w:val="en-GB"/>
        </w:rPr>
        <w:t>Net Sales = 394,879</w:t>
      </w:r>
    </w:p>
    <w:p w14:paraId="34ED650F" w14:textId="77777777" w:rsidR="005D768C" w:rsidRPr="00D86091" w:rsidRDefault="005D768C" w:rsidP="00D86091">
      <w:pPr>
        <w:jc w:val="left"/>
        <w:rPr>
          <w:lang w:val="en-GB"/>
        </w:rPr>
      </w:pPr>
      <w:r w:rsidRPr="00D86091">
        <w:rPr>
          <w:lang w:val="en-GB"/>
        </w:rPr>
        <w:t>Step: –15,297 ÷ 394,879 = –0.0387</w:t>
      </w:r>
    </w:p>
    <w:p w14:paraId="124AC3C6" w14:textId="77777777" w:rsidR="005D768C" w:rsidRPr="00D86091" w:rsidRDefault="005D768C" w:rsidP="00D86091">
      <w:pPr>
        <w:jc w:val="left"/>
        <w:rPr>
          <w:lang w:val="en-GB"/>
        </w:rPr>
      </w:pPr>
      <w:r w:rsidRPr="00D86091">
        <w:rPr>
          <w:lang w:val="en-GB"/>
        </w:rPr>
        <w:t>Final: –0.039</w:t>
      </w:r>
    </w:p>
    <w:p w14:paraId="44A6B4CB" w14:textId="77777777" w:rsidR="006212CC" w:rsidRPr="00D86091" w:rsidRDefault="006212CC" w:rsidP="00D86091">
      <w:pPr>
        <w:jc w:val="left"/>
        <w:rPr>
          <w:lang w:val="en-GB"/>
        </w:rPr>
      </w:pPr>
    </w:p>
    <w:p w14:paraId="75E19C08" w14:textId="77777777" w:rsidR="005D768C" w:rsidRPr="00D86091" w:rsidRDefault="005D768C" w:rsidP="00D86091">
      <w:pPr>
        <w:jc w:val="left"/>
        <w:rPr>
          <w:b/>
          <w:bCs/>
          <w:i/>
          <w:iCs/>
          <w:lang w:val="en-GB"/>
        </w:rPr>
      </w:pPr>
      <w:r w:rsidRPr="00D86091">
        <w:rPr>
          <w:b/>
          <w:bCs/>
          <w:i/>
          <w:iCs/>
          <w:lang w:val="en-GB"/>
        </w:rPr>
        <w:t>3. Net Margin</w:t>
      </w:r>
    </w:p>
    <w:p w14:paraId="1C4D2BDF" w14:textId="77777777" w:rsidR="005D768C" w:rsidRDefault="005D768C" w:rsidP="00D86091">
      <w:pPr>
        <w:jc w:val="left"/>
        <w:rPr>
          <w:lang w:val="en-GB"/>
        </w:rPr>
      </w:pPr>
      <w:r w:rsidRPr="00D86091">
        <w:rPr>
          <w:lang w:val="en-GB"/>
        </w:rPr>
        <w:t>2020: 38,572 ÷ 614,680 = 0.063</w:t>
      </w:r>
    </w:p>
    <w:p w14:paraId="32419144" w14:textId="77777777" w:rsidR="002F24F9" w:rsidRPr="00D86091" w:rsidRDefault="002F24F9" w:rsidP="002F24F9">
      <w:pPr>
        <w:jc w:val="left"/>
        <w:rPr>
          <w:lang w:val="en-GB"/>
        </w:rPr>
      </w:pPr>
      <w:r w:rsidRPr="00D86091">
        <w:rPr>
          <w:lang w:val="en-GB"/>
        </w:rPr>
        <w:t>2021: 5,301 ÷ 601,602 = 0.009</w:t>
      </w:r>
    </w:p>
    <w:p w14:paraId="273D3A50" w14:textId="77777777" w:rsidR="002F24F9" w:rsidRPr="00D86091" w:rsidRDefault="002F24F9" w:rsidP="002F24F9">
      <w:pPr>
        <w:jc w:val="left"/>
        <w:rPr>
          <w:lang w:val="en-GB"/>
        </w:rPr>
      </w:pPr>
      <w:r w:rsidRPr="00D86091">
        <w:rPr>
          <w:lang w:val="en-GB"/>
        </w:rPr>
        <w:t>2022: 407 ÷ 542,751 = 0.001</w:t>
      </w:r>
    </w:p>
    <w:p w14:paraId="73BF8415" w14:textId="0EFB5965" w:rsidR="002F24F9" w:rsidRDefault="002F24F9" w:rsidP="00D86091">
      <w:pPr>
        <w:jc w:val="left"/>
        <w:rPr>
          <w:lang w:val="en-GB"/>
        </w:rPr>
      </w:pPr>
      <w:r w:rsidRPr="00D86091">
        <w:rPr>
          <w:lang w:val="en-GB"/>
        </w:rPr>
        <w:t>2023: –98,238 ÷ 420,457 = –0.234</w:t>
      </w:r>
    </w:p>
    <w:p w14:paraId="1009F994" w14:textId="77777777" w:rsidR="002F24F9" w:rsidRPr="00D86091" w:rsidRDefault="002F24F9" w:rsidP="002F24F9">
      <w:pPr>
        <w:jc w:val="left"/>
        <w:rPr>
          <w:lang w:val="en-GB"/>
        </w:rPr>
      </w:pPr>
      <w:r w:rsidRPr="00D86091">
        <w:rPr>
          <w:lang w:val="en-GB"/>
        </w:rPr>
        <w:t>2024</w:t>
      </w:r>
    </w:p>
    <w:p w14:paraId="69B8678C" w14:textId="77777777" w:rsidR="002F24F9" w:rsidRPr="00D86091" w:rsidRDefault="002F24F9" w:rsidP="002F24F9">
      <w:pPr>
        <w:jc w:val="left"/>
        <w:rPr>
          <w:lang w:val="en-GB"/>
        </w:rPr>
      </w:pPr>
      <w:r w:rsidRPr="00D86091">
        <w:rPr>
          <w:lang w:val="en-GB"/>
        </w:rPr>
        <w:t>Net Income = –24,029</w:t>
      </w:r>
    </w:p>
    <w:p w14:paraId="62695C52" w14:textId="77777777" w:rsidR="002F24F9" w:rsidRPr="00D86091" w:rsidRDefault="002F24F9" w:rsidP="002F24F9">
      <w:pPr>
        <w:jc w:val="left"/>
        <w:rPr>
          <w:lang w:val="en-GB"/>
        </w:rPr>
      </w:pPr>
      <w:r w:rsidRPr="00D86091">
        <w:rPr>
          <w:lang w:val="en-GB"/>
        </w:rPr>
        <w:t>Net Sales = 394,879</w:t>
      </w:r>
    </w:p>
    <w:p w14:paraId="7F07964B" w14:textId="77777777" w:rsidR="002F24F9" w:rsidRPr="00D86091" w:rsidRDefault="002F24F9" w:rsidP="002F24F9">
      <w:pPr>
        <w:jc w:val="left"/>
        <w:rPr>
          <w:lang w:val="en-GB"/>
        </w:rPr>
      </w:pPr>
      <w:r w:rsidRPr="00D86091">
        <w:rPr>
          <w:lang w:val="en-GB"/>
        </w:rPr>
        <w:t>Step: –24,029 ÷ 394,879 = –0.0608</w:t>
      </w:r>
    </w:p>
    <w:p w14:paraId="611DB9A6" w14:textId="77777777" w:rsidR="002F24F9" w:rsidRPr="00D86091" w:rsidRDefault="002F24F9" w:rsidP="002F24F9">
      <w:pPr>
        <w:jc w:val="left"/>
        <w:rPr>
          <w:lang w:val="en-GB"/>
        </w:rPr>
      </w:pPr>
      <w:r w:rsidRPr="00D86091">
        <w:rPr>
          <w:lang w:val="en-GB"/>
        </w:rPr>
        <w:t>Final: –0.061</w:t>
      </w:r>
    </w:p>
    <w:p w14:paraId="3E7C4BCA" w14:textId="77777777" w:rsidR="006212CC" w:rsidRPr="00D86091" w:rsidRDefault="006212CC" w:rsidP="00D86091">
      <w:pPr>
        <w:jc w:val="left"/>
        <w:rPr>
          <w:lang w:val="en-GB"/>
        </w:rPr>
      </w:pPr>
    </w:p>
    <w:p w14:paraId="5798BD09" w14:textId="77777777" w:rsidR="005D768C" w:rsidRPr="00D86091" w:rsidRDefault="005D768C" w:rsidP="00D86091">
      <w:pPr>
        <w:jc w:val="left"/>
        <w:rPr>
          <w:b/>
          <w:bCs/>
          <w:i/>
          <w:iCs/>
          <w:lang w:val="en-GB"/>
        </w:rPr>
      </w:pPr>
      <w:r w:rsidRPr="00D86091">
        <w:rPr>
          <w:b/>
          <w:bCs/>
          <w:i/>
          <w:iCs/>
          <w:lang w:val="en-GB"/>
        </w:rPr>
        <w:t>4. Current Ratio</w:t>
      </w:r>
    </w:p>
    <w:p w14:paraId="6C1D78BD" w14:textId="77777777" w:rsidR="002F24F9" w:rsidRDefault="002F24F9" w:rsidP="002F24F9">
      <w:pPr>
        <w:jc w:val="left"/>
        <w:rPr>
          <w:lang w:val="en-GB"/>
        </w:rPr>
      </w:pPr>
      <w:r w:rsidRPr="00D86091">
        <w:rPr>
          <w:lang w:val="en-GB"/>
        </w:rPr>
        <w:t>2020: 326,843 ÷ 179,510 = 1.821</w:t>
      </w:r>
    </w:p>
    <w:p w14:paraId="59E85FE1" w14:textId="77777777" w:rsidR="002F24F9" w:rsidRPr="00D86091" w:rsidRDefault="002F24F9" w:rsidP="002F24F9">
      <w:pPr>
        <w:jc w:val="left"/>
        <w:rPr>
          <w:lang w:val="en-GB"/>
        </w:rPr>
      </w:pPr>
      <w:r w:rsidRPr="00D86091">
        <w:rPr>
          <w:lang w:val="en-GB"/>
        </w:rPr>
        <w:t>2021: 337,146 ÷ 216,787 = 1.555</w:t>
      </w:r>
    </w:p>
    <w:p w14:paraId="2269850A" w14:textId="77777777" w:rsidR="002F24F9" w:rsidRPr="00D86091" w:rsidRDefault="002F24F9" w:rsidP="002F24F9">
      <w:pPr>
        <w:jc w:val="left"/>
        <w:rPr>
          <w:lang w:val="en-GB"/>
        </w:rPr>
      </w:pPr>
      <w:r w:rsidRPr="00D86091">
        <w:rPr>
          <w:lang w:val="en-GB"/>
        </w:rPr>
        <w:t>2022: 338,040 ÷ 216,473 = 1.562</w:t>
      </w:r>
    </w:p>
    <w:p w14:paraId="6D11ED73" w14:textId="1000352A" w:rsidR="002F24F9" w:rsidRPr="00D86091" w:rsidRDefault="002F24F9" w:rsidP="002F24F9">
      <w:pPr>
        <w:jc w:val="left"/>
        <w:rPr>
          <w:lang w:val="en-GB"/>
        </w:rPr>
      </w:pPr>
      <w:r w:rsidRPr="00D86091">
        <w:rPr>
          <w:lang w:val="en-GB"/>
        </w:rPr>
        <w:t>2023: 258,851 ÷ 161,148 = 1.606</w:t>
      </w:r>
    </w:p>
    <w:p w14:paraId="2E8CD263" w14:textId="77777777" w:rsidR="006212CC" w:rsidRPr="00D86091" w:rsidRDefault="006212CC" w:rsidP="00D86091">
      <w:pPr>
        <w:jc w:val="left"/>
        <w:rPr>
          <w:lang w:val="en-GB"/>
        </w:rPr>
      </w:pPr>
      <w:r w:rsidRPr="00D86091">
        <w:rPr>
          <w:lang w:val="en-GB"/>
        </w:rPr>
        <w:t>2024</w:t>
      </w:r>
    </w:p>
    <w:p w14:paraId="169F408A" w14:textId="77777777" w:rsidR="005D768C" w:rsidRPr="00D86091" w:rsidRDefault="005D768C" w:rsidP="00D86091">
      <w:pPr>
        <w:jc w:val="left"/>
        <w:rPr>
          <w:lang w:val="en-GB"/>
        </w:rPr>
      </w:pPr>
      <w:r w:rsidRPr="00D86091">
        <w:rPr>
          <w:lang w:val="en-GB"/>
        </w:rPr>
        <w:t>Current Assets = 242,494</w:t>
      </w:r>
    </w:p>
    <w:p w14:paraId="767B9C49" w14:textId="77777777" w:rsidR="005D768C" w:rsidRPr="00D86091" w:rsidRDefault="005D768C" w:rsidP="00D86091">
      <w:pPr>
        <w:jc w:val="left"/>
        <w:rPr>
          <w:lang w:val="en-GB"/>
        </w:rPr>
      </w:pPr>
      <w:r w:rsidRPr="00D86091">
        <w:rPr>
          <w:lang w:val="en-GB"/>
        </w:rPr>
        <w:t>Current Liabilities = 158,291</w:t>
      </w:r>
    </w:p>
    <w:p w14:paraId="7F279886" w14:textId="77777777" w:rsidR="005D768C" w:rsidRPr="00D86091" w:rsidRDefault="005D768C" w:rsidP="00D86091">
      <w:pPr>
        <w:jc w:val="left"/>
        <w:rPr>
          <w:lang w:val="en-GB"/>
        </w:rPr>
      </w:pPr>
      <w:r w:rsidRPr="00D86091">
        <w:rPr>
          <w:lang w:val="en-GB"/>
        </w:rPr>
        <w:t>Step: 242,494 ÷ 158,291 = 1.532</w:t>
      </w:r>
    </w:p>
    <w:p w14:paraId="2D133E33" w14:textId="77777777" w:rsidR="005D768C" w:rsidRPr="00D86091" w:rsidRDefault="005D768C" w:rsidP="00D86091">
      <w:pPr>
        <w:jc w:val="left"/>
        <w:rPr>
          <w:lang w:val="en-GB"/>
        </w:rPr>
      </w:pPr>
      <w:r w:rsidRPr="00D86091">
        <w:rPr>
          <w:lang w:val="en-GB"/>
        </w:rPr>
        <w:lastRenderedPageBreak/>
        <w:t>Final: 1.532</w:t>
      </w:r>
    </w:p>
    <w:p w14:paraId="27191059" w14:textId="77777777" w:rsidR="006212CC" w:rsidRPr="002F24F9" w:rsidRDefault="006212CC" w:rsidP="00D86091">
      <w:pPr>
        <w:jc w:val="left"/>
        <w:rPr>
          <w:i/>
          <w:iCs/>
          <w:lang w:val="en-GB"/>
        </w:rPr>
      </w:pPr>
    </w:p>
    <w:p w14:paraId="571A4EF3" w14:textId="77777777" w:rsidR="005D768C" w:rsidRPr="00D86091" w:rsidRDefault="005D768C" w:rsidP="00D86091">
      <w:pPr>
        <w:jc w:val="left"/>
        <w:rPr>
          <w:b/>
          <w:bCs/>
          <w:i/>
          <w:iCs/>
          <w:lang w:val="en-GB"/>
        </w:rPr>
      </w:pPr>
      <w:r w:rsidRPr="00D86091">
        <w:rPr>
          <w:b/>
          <w:bCs/>
          <w:i/>
          <w:iCs/>
          <w:lang w:val="en-GB"/>
        </w:rPr>
        <w:t>5. Quick Ratio</w:t>
      </w:r>
    </w:p>
    <w:p w14:paraId="0794F071" w14:textId="77777777" w:rsidR="006212CC" w:rsidRPr="00D86091" w:rsidRDefault="006212CC" w:rsidP="00D86091">
      <w:pPr>
        <w:jc w:val="left"/>
        <w:rPr>
          <w:lang w:val="en-GB"/>
        </w:rPr>
      </w:pPr>
      <w:r w:rsidRPr="00D86091">
        <w:rPr>
          <w:lang w:val="en-GB"/>
        </w:rPr>
        <w:t>2024</w:t>
      </w:r>
    </w:p>
    <w:p w14:paraId="68594A13" w14:textId="77777777" w:rsidR="005D768C" w:rsidRPr="00D86091" w:rsidRDefault="005D768C" w:rsidP="00D86091">
      <w:pPr>
        <w:jc w:val="left"/>
        <w:rPr>
          <w:lang w:val="en-GB"/>
        </w:rPr>
      </w:pPr>
      <w:r w:rsidRPr="00D86091">
        <w:rPr>
          <w:lang w:val="en-GB"/>
        </w:rPr>
        <w:t>Current Assets = 242,494</w:t>
      </w:r>
    </w:p>
    <w:p w14:paraId="447B9BDC" w14:textId="77777777" w:rsidR="005D768C" w:rsidRPr="00D86091" w:rsidRDefault="005D768C" w:rsidP="00D86091">
      <w:pPr>
        <w:jc w:val="left"/>
        <w:rPr>
          <w:lang w:val="en-GB"/>
        </w:rPr>
      </w:pPr>
      <w:r w:rsidRPr="00D86091">
        <w:rPr>
          <w:lang w:val="en-GB"/>
        </w:rPr>
        <w:t>Inventory = 79,355</w:t>
      </w:r>
    </w:p>
    <w:p w14:paraId="55172269" w14:textId="77777777" w:rsidR="005D768C" w:rsidRPr="00D86091" w:rsidRDefault="005D768C" w:rsidP="00D86091">
      <w:pPr>
        <w:jc w:val="left"/>
        <w:rPr>
          <w:lang w:val="en-GB"/>
        </w:rPr>
      </w:pPr>
      <w:r w:rsidRPr="00D86091">
        <w:rPr>
          <w:lang w:val="en-GB"/>
        </w:rPr>
        <w:t>Current Liabilities = 158,291</w:t>
      </w:r>
    </w:p>
    <w:p w14:paraId="738FE7AA" w14:textId="77777777" w:rsidR="005D768C" w:rsidRPr="00D86091" w:rsidRDefault="005D768C" w:rsidP="00D86091">
      <w:pPr>
        <w:jc w:val="left"/>
        <w:rPr>
          <w:lang w:val="en-GB"/>
        </w:rPr>
      </w:pPr>
      <w:r w:rsidRPr="00D86091">
        <w:rPr>
          <w:lang w:val="en-GB"/>
        </w:rPr>
        <w:t>Step 1: 242,494 – 79,355 = 163,139</w:t>
      </w:r>
    </w:p>
    <w:p w14:paraId="72B75692" w14:textId="77777777" w:rsidR="005D768C" w:rsidRPr="00D86091" w:rsidRDefault="005D768C" w:rsidP="00D86091">
      <w:pPr>
        <w:jc w:val="left"/>
        <w:rPr>
          <w:lang w:val="en-GB"/>
        </w:rPr>
      </w:pPr>
      <w:r w:rsidRPr="00D86091">
        <w:rPr>
          <w:lang w:val="en-GB"/>
        </w:rPr>
        <w:t>Step 2: 163,139 ÷ 158,291 = 1.031</w:t>
      </w:r>
    </w:p>
    <w:p w14:paraId="7E811BF1" w14:textId="77777777" w:rsidR="005D768C" w:rsidRPr="00D86091" w:rsidRDefault="005D768C" w:rsidP="00D86091">
      <w:pPr>
        <w:jc w:val="left"/>
        <w:rPr>
          <w:lang w:val="en-GB"/>
        </w:rPr>
      </w:pPr>
      <w:r w:rsidRPr="00D86091">
        <w:rPr>
          <w:lang w:val="en-GB"/>
        </w:rPr>
        <w:t>Final: 1.031</w:t>
      </w:r>
    </w:p>
    <w:p w14:paraId="52034E61" w14:textId="77777777" w:rsidR="006212CC" w:rsidRPr="00D86091" w:rsidRDefault="006212CC" w:rsidP="00D86091">
      <w:pPr>
        <w:jc w:val="left"/>
        <w:rPr>
          <w:lang w:val="en-GB"/>
        </w:rPr>
      </w:pPr>
    </w:p>
    <w:p w14:paraId="3A19E4F6" w14:textId="77777777" w:rsidR="005D768C" w:rsidRPr="00D86091" w:rsidRDefault="005D768C" w:rsidP="00D86091">
      <w:pPr>
        <w:jc w:val="left"/>
        <w:rPr>
          <w:b/>
          <w:bCs/>
          <w:i/>
          <w:iCs/>
          <w:lang w:val="en-GB"/>
        </w:rPr>
      </w:pPr>
      <w:r w:rsidRPr="00D86091">
        <w:rPr>
          <w:b/>
          <w:bCs/>
          <w:i/>
          <w:iCs/>
          <w:lang w:val="en-GB"/>
        </w:rPr>
        <w:t>6. Inventory Days</w:t>
      </w:r>
    </w:p>
    <w:p w14:paraId="63E2D1F4" w14:textId="77777777" w:rsidR="006212CC" w:rsidRPr="00D86091" w:rsidRDefault="006212CC" w:rsidP="00D86091">
      <w:pPr>
        <w:jc w:val="left"/>
        <w:rPr>
          <w:lang w:val="en-GB"/>
        </w:rPr>
      </w:pPr>
      <w:r w:rsidRPr="00D86091">
        <w:rPr>
          <w:lang w:val="en-GB"/>
        </w:rPr>
        <w:t>2024</w:t>
      </w:r>
    </w:p>
    <w:p w14:paraId="60551117" w14:textId="77777777" w:rsidR="005D768C" w:rsidRPr="00D86091" w:rsidRDefault="005D768C" w:rsidP="00D86091">
      <w:pPr>
        <w:jc w:val="left"/>
        <w:rPr>
          <w:lang w:val="en-GB"/>
        </w:rPr>
      </w:pPr>
      <w:r w:rsidRPr="00D86091">
        <w:rPr>
          <w:lang w:val="en-GB"/>
        </w:rPr>
        <w:t>Inventory = 79,355</w:t>
      </w:r>
    </w:p>
    <w:p w14:paraId="3A7D88C8" w14:textId="77777777" w:rsidR="005D768C" w:rsidRPr="00D86091" w:rsidRDefault="005D768C" w:rsidP="00D86091">
      <w:pPr>
        <w:jc w:val="left"/>
        <w:rPr>
          <w:lang w:val="en-GB"/>
        </w:rPr>
      </w:pPr>
      <w:r w:rsidRPr="00D86091">
        <w:rPr>
          <w:lang w:val="en-GB"/>
        </w:rPr>
        <w:t>Cost of Sales = 280,885</w:t>
      </w:r>
    </w:p>
    <w:p w14:paraId="7CF529EF" w14:textId="77777777" w:rsidR="005D768C" w:rsidRPr="00D86091" w:rsidRDefault="005D768C" w:rsidP="00D86091">
      <w:pPr>
        <w:jc w:val="left"/>
        <w:rPr>
          <w:lang w:val="en-GB"/>
        </w:rPr>
      </w:pPr>
      <w:r w:rsidRPr="00D86091">
        <w:rPr>
          <w:lang w:val="en-GB"/>
        </w:rPr>
        <w:t>Step 1: 79,355 ÷ 280,885 = 0.2825</w:t>
      </w:r>
    </w:p>
    <w:p w14:paraId="6456A863" w14:textId="77777777" w:rsidR="005D768C" w:rsidRPr="00D86091" w:rsidRDefault="005D768C" w:rsidP="00D86091">
      <w:pPr>
        <w:jc w:val="left"/>
        <w:rPr>
          <w:lang w:val="en-GB"/>
        </w:rPr>
      </w:pPr>
      <w:r w:rsidRPr="00D86091">
        <w:rPr>
          <w:lang w:val="en-GB"/>
        </w:rPr>
        <w:t>Step 2: 0.2825 × 365 = 102.1</w:t>
      </w:r>
    </w:p>
    <w:p w14:paraId="6B86D3D3" w14:textId="77777777" w:rsidR="005D768C" w:rsidRPr="00D86091" w:rsidRDefault="005D768C" w:rsidP="00D86091">
      <w:pPr>
        <w:jc w:val="left"/>
        <w:rPr>
          <w:lang w:val="en-GB"/>
        </w:rPr>
      </w:pPr>
      <w:r w:rsidRPr="00D86091">
        <w:rPr>
          <w:lang w:val="en-GB"/>
        </w:rPr>
        <w:t>Final value: 73.351 days</w:t>
      </w:r>
    </w:p>
    <w:p w14:paraId="22B8F547" w14:textId="77777777" w:rsidR="006212CC" w:rsidRPr="00D86091" w:rsidRDefault="006212CC" w:rsidP="00D86091">
      <w:pPr>
        <w:jc w:val="left"/>
        <w:rPr>
          <w:lang w:val="en-GB"/>
        </w:rPr>
      </w:pPr>
    </w:p>
    <w:p w14:paraId="2E793B24" w14:textId="77777777" w:rsidR="005D768C" w:rsidRPr="00D86091" w:rsidRDefault="005D768C" w:rsidP="00D86091">
      <w:pPr>
        <w:jc w:val="left"/>
        <w:rPr>
          <w:b/>
          <w:bCs/>
          <w:i/>
          <w:iCs/>
          <w:lang w:val="en-GB"/>
        </w:rPr>
      </w:pPr>
      <w:r w:rsidRPr="00D86091">
        <w:rPr>
          <w:b/>
          <w:bCs/>
          <w:i/>
          <w:iCs/>
          <w:lang w:val="en-GB"/>
        </w:rPr>
        <w:t>7. Receivable Days</w:t>
      </w:r>
    </w:p>
    <w:p w14:paraId="2CA67C50" w14:textId="77777777" w:rsidR="006212CC" w:rsidRPr="00D86091" w:rsidRDefault="006212CC" w:rsidP="00D86091">
      <w:pPr>
        <w:jc w:val="left"/>
        <w:rPr>
          <w:lang w:val="en-GB"/>
        </w:rPr>
      </w:pPr>
      <w:r w:rsidRPr="00D86091">
        <w:rPr>
          <w:lang w:val="en-GB"/>
        </w:rPr>
        <w:t>2024</w:t>
      </w:r>
    </w:p>
    <w:p w14:paraId="597EE577" w14:textId="77777777" w:rsidR="005D768C" w:rsidRPr="00D86091" w:rsidRDefault="005D768C" w:rsidP="00D86091">
      <w:pPr>
        <w:jc w:val="left"/>
        <w:rPr>
          <w:lang w:val="en-GB"/>
        </w:rPr>
      </w:pPr>
      <w:r w:rsidRPr="00D86091">
        <w:rPr>
          <w:lang w:val="en-GB"/>
        </w:rPr>
        <w:t>Receivables = 114,182</w:t>
      </w:r>
    </w:p>
    <w:p w14:paraId="7435E90F" w14:textId="77777777" w:rsidR="005D768C" w:rsidRPr="00D86091" w:rsidRDefault="005D768C" w:rsidP="00D86091">
      <w:pPr>
        <w:jc w:val="left"/>
        <w:rPr>
          <w:lang w:val="en-GB"/>
        </w:rPr>
      </w:pPr>
      <w:r w:rsidRPr="00D86091">
        <w:rPr>
          <w:lang w:val="en-GB"/>
        </w:rPr>
        <w:t>Sales = 394,879</w:t>
      </w:r>
    </w:p>
    <w:p w14:paraId="533AD4B1" w14:textId="77777777" w:rsidR="005D768C" w:rsidRPr="00D86091" w:rsidRDefault="005D768C" w:rsidP="00D86091">
      <w:pPr>
        <w:jc w:val="left"/>
        <w:rPr>
          <w:lang w:val="en-GB"/>
        </w:rPr>
      </w:pPr>
      <w:r w:rsidRPr="00D86091">
        <w:rPr>
          <w:lang w:val="en-GB"/>
        </w:rPr>
        <w:t>Step 1: 114,182 ÷ 394,879 = 0.289</w:t>
      </w:r>
    </w:p>
    <w:p w14:paraId="12FE680A" w14:textId="77777777" w:rsidR="005D768C" w:rsidRPr="00D86091" w:rsidRDefault="005D768C" w:rsidP="00D86091">
      <w:pPr>
        <w:jc w:val="left"/>
        <w:rPr>
          <w:lang w:val="en-GB"/>
        </w:rPr>
      </w:pPr>
      <w:r w:rsidRPr="00D86091">
        <w:rPr>
          <w:lang w:val="en-GB"/>
        </w:rPr>
        <w:t>Step 2: 0.289 × 365 = 105.54</w:t>
      </w:r>
    </w:p>
    <w:p w14:paraId="44EA0406" w14:textId="77777777" w:rsidR="005D768C" w:rsidRPr="00D86091" w:rsidRDefault="005D768C" w:rsidP="00D86091">
      <w:pPr>
        <w:jc w:val="left"/>
        <w:rPr>
          <w:lang w:val="en-GB"/>
        </w:rPr>
      </w:pPr>
      <w:r w:rsidRPr="00D86091">
        <w:rPr>
          <w:lang w:val="en-GB"/>
        </w:rPr>
        <w:t>Final: 105.542 days</w:t>
      </w:r>
    </w:p>
    <w:p w14:paraId="1A62C176" w14:textId="77777777" w:rsidR="006212CC" w:rsidRPr="00D86091" w:rsidRDefault="006212CC" w:rsidP="00D86091">
      <w:pPr>
        <w:jc w:val="left"/>
        <w:rPr>
          <w:lang w:val="en-GB"/>
        </w:rPr>
      </w:pPr>
    </w:p>
    <w:p w14:paraId="60A94374" w14:textId="77777777" w:rsidR="005D768C" w:rsidRPr="00D86091" w:rsidRDefault="005D768C" w:rsidP="00D86091">
      <w:pPr>
        <w:jc w:val="left"/>
        <w:rPr>
          <w:b/>
          <w:bCs/>
          <w:i/>
          <w:iCs/>
          <w:lang w:val="en-GB"/>
        </w:rPr>
      </w:pPr>
      <w:r w:rsidRPr="00D86091">
        <w:rPr>
          <w:b/>
          <w:bCs/>
          <w:i/>
          <w:iCs/>
          <w:lang w:val="en-GB"/>
        </w:rPr>
        <w:t>8. Payable Days</w:t>
      </w:r>
    </w:p>
    <w:p w14:paraId="59A48E7A" w14:textId="77777777" w:rsidR="006212CC" w:rsidRPr="00D86091" w:rsidRDefault="006212CC" w:rsidP="00D86091">
      <w:pPr>
        <w:jc w:val="left"/>
        <w:rPr>
          <w:lang w:val="en-GB"/>
        </w:rPr>
      </w:pPr>
      <w:r w:rsidRPr="00D86091">
        <w:rPr>
          <w:lang w:val="en-GB"/>
        </w:rPr>
        <w:t>2024</w:t>
      </w:r>
    </w:p>
    <w:p w14:paraId="6EF317CA" w14:textId="77777777" w:rsidR="005D768C" w:rsidRPr="00D86091" w:rsidRDefault="005D768C" w:rsidP="00D86091">
      <w:pPr>
        <w:jc w:val="left"/>
        <w:rPr>
          <w:lang w:val="en-GB"/>
        </w:rPr>
      </w:pPr>
      <w:r w:rsidRPr="00D86091">
        <w:rPr>
          <w:lang w:val="en-GB"/>
        </w:rPr>
        <w:t>Accounts Payable = 72,031</w:t>
      </w:r>
    </w:p>
    <w:p w14:paraId="7EE4A05B" w14:textId="77777777" w:rsidR="005D768C" w:rsidRPr="00D86091" w:rsidRDefault="005D768C" w:rsidP="00D86091">
      <w:pPr>
        <w:jc w:val="left"/>
        <w:rPr>
          <w:lang w:val="en-GB"/>
        </w:rPr>
      </w:pPr>
      <w:r w:rsidRPr="00D86091">
        <w:rPr>
          <w:lang w:val="en-GB"/>
        </w:rPr>
        <w:t>Cost of Sales = 280,885</w:t>
      </w:r>
    </w:p>
    <w:p w14:paraId="23E8CC8E" w14:textId="77777777" w:rsidR="005D768C" w:rsidRPr="00D86091" w:rsidRDefault="005D768C" w:rsidP="00D86091">
      <w:pPr>
        <w:jc w:val="left"/>
        <w:rPr>
          <w:lang w:val="en-GB"/>
        </w:rPr>
      </w:pPr>
      <w:r w:rsidRPr="00D86091">
        <w:rPr>
          <w:lang w:val="en-GB"/>
        </w:rPr>
        <w:t>Step 1: 72,031 ÷ 280,885 = 0.2564</w:t>
      </w:r>
    </w:p>
    <w:p w14:paraId="34FC230D" w14:textId="77777777" w:rsidR="005D768C" w:rsidRPr="00D86091" w:rsidRDefault="005D768C" w:rsidP="00D86091">
      <w:pPr>
        <w:jc w:val="left"/>
        <w:rPr>
          <w:lang w:val="en-GB"/>
        </w:rPr>
      </w:pPr>
      <w:r w:rsidRPr="00D86091">
        <w:rPr>
          <w:lang w:val="en-GB"/>
        </w:rPr>
        <w:t>Step 2: 0.2564 × 365 = 66.58</w:t>
      </w:r>
    </w:p>
    <w:p w14:paraId="47D97DCB" w14:textId="77777777" w:rsidR="005D768C" w:rsidRPr="00D86091" w:rsidRDefault="005D768C" w:rsidP="00D86091">
      <w:pPr>
        <w:jc w:val="left"/>
        <w:rPr>
          <w:lang w:val="en-GB"/>
        </w:rPr>
      </w:pPr>
      <w:r w:rsidRPr="00D86091">
        <w:rPr>
          <w:lang w:val="en-GB"/>
        </w:rPr>
        <w:t>Final: 66.581 days</w:t>
      </w:r>
    </w:p>
    <w:p w14:paraId="68380EE1" w14:textId="77777777" w:rsidR="006212CC" w:rsidRPr="00D86091" w:rsidRDefault="006212CC" w:rsidP="00D86091">
      <w:pPr>
        <w:jc w:val="left"/>
        <w:rPr>
          <w:lang w:val="en-GB"/>
        </w:rPr>
      </w:pPr>
    </w:p>
    <w:p w14:paraId="7DBBA6F0" w14:textId="77777777" w:rsidR="005D768C" w:rsidRPr="00D86091" w:rsidRDefault="005D768C" w:rsidP="00D86091">
      <w:pPr>
        <w:jc w:val="left"/>
        <w:rPr>
          <w:b/>
          <w:bCs/>
          <w:i/>
          <w:iCs/>
          <w:lang w:val="en-GB"/>
        </w:rPr>
      </w:pPr>
      <w:r w:rsidRPr="00D86091">
        <w:rPr>
          <w:b/>
          <w:bCs/>
          <w:i/>
          <w:iCs/>
          <w:lang w:val="en-GB"/>
        </w:rPr>
        <w:t>9. Return on Assets (ROA)</w:t>
      </w:r>
    </w:p>
    <w:p w14:paraId="499FC147" w14:textId="77777777" w:rsidR="006212CC" w:rsidRPr="00D86091" w:rsidRDefault="006212CC" w:rsidP="00D86091">
      <w:pPr>
        <w:jc w:val="left"/>
        <w:rPr>
          <w:lang w:val="en-GB"/>
        </w:rPr>
      </w:pPr>
      <w:r w:rsidRPr="00D86091">
        <w:rPr>
          <w:lang w:val="en-GB"/>
        </w:rPr>
        <w:t>2024</w:t>
      </w:r>
    </w:p>
    <w:p w14:paraId="53766185" w14:textId="77777777" w:rsidR="005D768C" w:rsidRPr="00D86091" w:rsidRDefault="005D768C" w:rsidP="00D86091">
      <w:pPr>
        <w:jc w:val="left"/>
        <w:rPr>
          <w:lang w:val="en-GB"/>
        </w:rPr>
      </w:pPr>
      <w:r w:rsidRPr="00D86091">
        <w:rPr>
          <w:lang w:val="en-GB"/>
        </w:rPr>
        <w:t>Net Income = –24,029</w:t>
      </w:r>
    </w:p>
    <w:p w14:paraId="7F881569" w14:textId="77777777" w:rsidR="005D768C" w:rsidRPr="00D86091" w:rsidRDefault="005D768C" w:rsidP="00D86091">
      <w:pPr>
        <w:jc w:val="left"/>
        <w:rPr>
          <w:lang w:val="en-GB"/>
        </w:rPr>
      </w:pPr>
      <w:r w:rsidRPr="00D86091">
        <w:rPr>
          <w:lang w:val="en-GB"/>
        </w:rPr>
        <w:t>Total Assets = 323,354</w:t>
      </w:r>
    </w:p>
    <w:p w14:paraId="22AA6524" w14:textId="77777777" w:rsidR="005D768C" w:rsidRPr="00D86091" w:rsidRDefault="005D768C" w:rsidP="00D86091">
      <w:pPr>
        <w:jc w:val="left"/>
        <w:rPr>
          <w:lang w:val="en-GB"/>
        </w:rPr>
      </w:pPr>
      <w:r w:rsidRPr="00D86091">
        <w:rPr>
          <w:lang w:val="en-GB"/>
        </w:rPr>
        <w:t>Step: –24,029 ÷ 323,354 = –0.0743</w:t>
      </w:r>
    </w:p>
    <w:p w14:paraId="7DF6E3A0" w14:textId="77777777" w:rsidR="005D768C" w:rsidRPr="00D86091" w:rsidRDefault="005D768C" w:rsidP="00D86091">
      <w:pPr>
        <w:jc w:val="left"/>
        <w:rPr>
          <w:lang w:val="en-GB"/>
        </w:rPr>
      </w:pPr>
      <w:r w:rsidRPr="00D86091">
        <w:rPr>
          <w:lang w:val="en-GB"/>
        </w:rPr>
        <w:t>Final: –0.074</w:t>
      </w:r>
    </w:p>
    <w:p w14:paraId="7B729709" w14:textId="77777777" w:rsidR="006212CC" w:rsidRPr="00D86091" w:rsidRDefault="006212CC" w:rsidP="00D86091">
      <w:pPr>
        <w:jc w:val="left"/>
        <w:rPr>
          <w:lang w:val="en-GB"/>
        </w:rPr>
      </w:pPr>
    </w:p>
    <w:p w14:paraId="03877142" w14:textId="77777777" w:rsidR="005D768C" w:rsidRPr="00D86091" w:rsidRDefault="005D768C" w:rsidP="00D86091">
      <w:pPr>
        <w:jc w:val="left"/>
        <w:rPr>
          <w:b/>
          <w:bCs/>
          <w:i/>
          <w:iCs/>
          <w:lang w:val="en-GB"/>
        </w:rPr>
      </w:pPr>
      <w:r w:rsidRPr="00D86091">
        <w:rPr>
          <w:b/>
          <w:bCs/>
          <w:i/>
          <w:iCs/>
          <w:lang w:val="en-GB"/>
        </w:rPr>
        <w:t>10. Return on Equity (ROE)</w:t>
      </w:r>
    </w:p>
    <w:p w14:paraId="10C69E15" w14:textId="77777777" w:rsidR="006212CC" w:rsidRPr="00D86091" w:rsidRDefault="006212CC" w:rsidP="00D86091">
      <w:pPr>
        <w:jc w:val="left"/>
        <w:rPr>
          <w:lang w:val="en-GB"/>
        </w:rPr>
      </w:pPr>
      <w:r w:rsidRPr="00D86091">
        <w:rPr>
          <w:lang w:val="en-GB"/>
        </w:rPr>
        <w:t>2024</w:t>
      </w:r>
    </w:p>
    <w:p w14:paraId="34FE290E" w14:textId="77777777" w:rsidR="005D768C" w:rsidRPr="00D86091" w:rsidRDefault="005D768C" w:rsidP="00D86091">
      <w:pPr>
        <w:jc w:val="left"/>
        <w:rPr>
          <w:lang w:val="en-GB"/>
        </w:rPr>
      </w:pPr>
      <w:r w:rsidRPr="00D86091">
        <w:rPr>
          <w:lang w:val="en-GB"/>
        </w:rPr>
        <w:t>Net Income = –24,029</w:t>
      </w:r>
    </w:p>
    <w:p w14:paraId="1579CF63" w14:textId="77777777" w:rsidR="005D768C" w:rsidRPr="00D86091" w:rsidRDefault="005D768C" w:rsidP="00D86091">
      <w:pPr>
        <w:jc w:val="left"/>
        <w:rPr>
          <w:lang w:val="en-GB"/>
        </w:rPr>
      </w:pPr>
      <w:r w:rsidRPr="00D86091">
        <w:rPr>
          <w:lang w:val="en-GB"/>
        </w:rPr>
        <w:t>Equity = 153,105</w:t>
      </w:r>
    </w:p>
    <w:p w14:paraId="7D15BF82" w14:textId="77777777" w:rsidR="005D768C" w:rsidRPr="00D86091" w:rsidRDefault="005D768C" w:rsidP="00D86091">
      <w:pPr>
        <w:jc w:val="left"/>
        <w:rPr>
          <w:lang w:val="en-GB"/>
        </w:rPr>
      </w:pPr>
      <w:r w:rsidRPr="00D86091">
        <w:rPr>
          <w:lang w:val="en-GB"/>
        </w:rPr>
        <w:t>Step: –24,029 ÷ 153,105 = –0.157</w:t>
      </w:r>
    </w:p>
    <w:p w14:paraId="4660E76C" w14:textId="77777777" w:rsidR="005D768C" w:rsidRPr="00D86091" w:rsidRDefault="005D768C" w:rsidP="00D86091">
      <w:pPr>
        <w:jc w:val="left"/>
        <w:rPr>
          <w:lang w:val="en-GB"/>
        </w:rPr>
      </w:pPr>
      <w:r w:rsidRPr="00D86091">
        <w:rPr>
          <w:lang w:val="en-GB"/>
        </w:rPr>
        <w:t>Final: –0.157</w:t>
      </w:r>
    </w:p>
    <w:p w14:paraId="40D66E14" w14:textId="77777777" w:rsidR="006212CC" w:rsidRPr="00D86091" w:rsidRDefault="006212CC" w:rsidP="00D86091">
      <w:pPr>
        <w:jc w:val="left"/>
        <w:rPr>
          <w:lang w:val="en-GB"/>
        </w:rPr>
      </w:pPr>
    </w:p>
    <w:p w14:paraId="0E9AE431" w14:textId="77777777" w:rsidR="005D768C" w:rsidRPr="00D86091" w:rsidRDefault="005D768C" w:rsidP="00D86091">
      <w:pPr>
        <w:jc w:val="left"/>
        <w:rPr>
          <w:b/>
          <w:bCs/>
          <w:i/>
          <w:iCs/>
          <w:lang w:val="en-GB"/>
        </w:rPr>
      </w:pPr>
      <w:r w:rsidRPr="00D86091">
        <w:rPr>
          <w:b/>
          <w:bCs/>
          <w:i/>
          <w:iCs/>
          <w:lang w:val="en-GB"/>
        </w:rPr>
        <w:t>11. Debt-to-Equity Ratio</w:t>
      </w:r>
    </w:p>
    <w:p w14:paraId="7D49DA7E" w14:textId="77777777" w:rsidR="006212CC" w:rsidRPr="00D86091" w:rsidRDefault="006212CC" w:rsidP="00D86091">
      <w:pPr>
        <w:jc w:val="left"/>
        <w:rPr>
          <w:lang w:val="en-GB"/>
        </w:rPr>
      </w:pPr>
      <w:r w:rsidRPr="00D86091">
        <w:rPr>
          <w:lang w:val="en-GB"/>
        </w:rPr>
        <w:t>2024</w:t>
      </w:r>
    </w:p>
    <w:p w14:paraId="3BB6DCFC" w14:textId="77777777" w:rsidR="005D768C" w:rsidRPr="00D86091" w:rsidRDefault="005D768C" w:rsidP="00D86091">
      <w:pPr>
        <w:jc w:val="left"/>
        <w:rPr>
          <w:lang w:val="en-GB"/>
        </w:rPr>
      </w:pPr>
      <w:r w:rsidRPr="00D86091">
        <w:rPr>
          <w:lang w:val="en-GB"/>
        </w:rPr>
        <w:t>Liabilities = 170,249</w:t>
      </w:r>
    </w:p>
    <w:p w14:paraId="7148766E" w14:textId="77777777" w:rsidR="005D768C" w:rsidRPr="00D86091" w:rsidRDefault="005D768C" w:rsidP="00D86091">
      <w:pPr>
        <w:jc w:val="left"/>
        <w:rPr>
          <w:lang w:val="en-GB"/>
        </w:rPr>
      </w:pPr>
      <w:r w:rsidRPr="00D86091">
        <w:rPr>
          <w:lang w:val="en-GB"/>
        </w:rPr>
        <w:t>Equity = 153,105</w:t>
      </w:r>
    </w:p>
    <w:p w14:paraId="03F4445D" w14:textId="77777777" w:rsidR="005D768C" w:rsidRPr="00D86091" w:rsidRDefault="005D768C" w:rsidP="00D86091">
      <w:pPr>
        <w:jc w:val="left"/>
        <w:rPr>
          <w:lang w:val="en-GB"/>
        </w:rPr>
      </w:pPr>
      <w:r w:rsidRPr="00D86091">
        <w:rPr>
          <w:lang w:val="en-GB"/>
        </w:rPr>
        <w:t>Step: 170,249 ÷ 153,105 = 1.112</w:t>
      </w:r>
    </w:p>
    <w:p w14:paraId="4CEF5490" w14:textId="77777777" w:rsidR="000816CC" w:rsidRPr="00D86091" w:rsidRDefault="005D768C" w:rsidP="00D86091">
      <w:pPr>
        <w:jc w:val="left"/>
        <w:rPr>
          <w:lang w:val="en-GB"/>
        </w:rPr>
      </w:pPr>
      <w:r w:rsidRPr="00D86091">
        <w:rPr>
          <w:lang w:val="en-GB"/>
        </w:rPr>
        <w:t>Final: 1.112</w:t>
      </w:r>
    </w:p>
    <w:p w14:paraId="38A2F79B" w14:textId="77777777" w:rsidR="006212CC" w:rsidRPr="00D86091" w:rsidRDefault="006212CC" w:rsidP="00D86091">
      <w:pPr>
        <w:rPr>
          <w:b/>
          <w:bCs/>
          <w:lang w:val="en-GB"/>
        </w:rPr>
      </w:pPr>
      <w:bookmarkStart w:id="63" w:name="_w4e6jnctt2gp" w:colFirst="0" w:colLast="0"/>
      <w:bookmarkEnd w:id="63"/>
      <w:r w:rsidRPr="00D86091">
        <w:rPr>
          <w:lang w:val="en-GB"/>
        </w:rPr>
        <w:br w:type="page"/>
      </w:r>
    </w:p>
    <w:p w14:paraId="148BFBAC" w14:textId="154FFCD3" w:rsidR="000816CC" w:rsidRPr="00D86091" w:rsidRDefault="00BE1118" w:rsidP="00D86091">
      <w:pPr>
        <w:pStyle w:val="Heading2"/>
        <w:rPr>
          <w:lang w:val="en-GB"/>
        </w:rPr>
      </w:pPr>
      <w:bookmarkStart w:id="64" w:name="_Toc217308925"/>
      <w:r w:rsidRPr="00D86091">
        <w:rPr>
          <w:lang w:val="en-GB"/>
        </w:rPr>
        <w:lastRenderedPageBreak/>
        <w:t>Appendix B: Altman Z-Score calculations</w:t>
      </w:r>
      <w:bookmarkEnd w:id="64"/>
    </w:p>
    <w:p w14:paraId="5942A36A" w14:textId="545A7C32" w:rsidR="000816CC" w:rsidRPr="00D86091" w:rsidRDefault="00DD2F9D" w:rsidP="00D86091">
      <w:pPr>
        <w:jc w:val="center"/>
        <w:rPr>
          <w:lang w:val="en-GB"/>
        </w:rPr>
      </w:pPr>
      <w:r w:rsidRPr="00DD2F9D">
        <w:rPr>
          <w:noProof/>
          <w:lang w:val="en-GB"/>
        </w:rPr>
        <w:drawing>
          <wp:inline distT="0" distB="0" distL="0" distR="0" wp14:anchorId="2E5B68BA" wp14:editId="6D91F676">
            <wp:extent cx="5238749" cy="615289"/>
            <wp:effectExtent l="0" t="0" r="635" b="0"/>
            <wp:docPr id="151659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59242" name=""/>
                    <pic:cNvPicPr/>
                  </pic:nvPicPr>
                  <pic:blipFill>
                    <a:blip r:embed="rId53"/>
                    <a:stretch>
                      <a:fillRect/>
                    </a:stretch>
                  </pic:blipFill>
                  <pic:spPr>
                    <a:xfrm>
                      <a:off x="0" y="0"/>
                      <a:ext cx="5260917" cy="617893"/>
                    </a:xfrm>
                    <a:prstGeom prst="rect">
                      <a:avLst/>
                    </a:prstGeom>
                  </pic:spPr>
                </pic:pic>
              </a:graphicData>
            </a:graphic>
          </wp:inline>
        </w:drawing>
      </w:r>
    </w:p>
    <w:p w14:paraId="47406B3E" w14:textId="77777777" w:rsidR="007E0055" w:rsidRPr="00D86091" w:rsidRDefault="007E0055" w:rsidP="007E0055">
      <w:pPr>
        <w:jc w:val="left"/>
        <w:rPr>
          <w:lang w:val="en-GB"/>
        </w:rPr>
      </w:pPr>
      <w:r w:rsidRPr="00D86091">
        <w:rPr>
          <w:b/>
          <w:bCs/>
          <w:i/>
          <w:iCs/>
          <w:lang w:val="en-GB"/>
        </w:rPr>
        <w:t>2020</w:t>
      </w:r>
    </w:p>
    <w:p w14:paraId="0D5EFF9F" w14:textId="77777777" w:rsidR="007E0055" w:rsidRPr="00D86091" w:rsidRDefault="007E0055" w:rsidP="007E0055">
      <w:pPr>
        <w:jc w:val="left"/>
        <w:rPr>
          <w:lang w:val="en-GB"/>
        </w:rPr>
      </w:pPr>
      <w:r w:rsidRPr="00D86091">
        <w:rPr>
          <w:lang w:val="en-GB"/>
        </w:rPr>
        <w:t>Inputs: Current assets = 326,843; Current liabilities = 179,510; Working capital = 147,333</w:t>
      </w:r>
    </w:p>
    <w:p w14:paraId="10811EED" w14:textId="77777777" w:rsidR="007E0055" w:rsidRPr="00D86091" w:rsidRDefault="007E0055" w:rsidP="007E0055">
      <w:pPr>
        <w:jc w:val="left"/>
        <w:rPr>
          <w:lang w:val="en-GB"/>
        </w:rPr>
      </w:pPr>
      <w:r w:rsidRPr="00D86091">
        <w:rPr>
          <w:lang w:val="en-GB"/>
        </w:rPr>
        <w:t>Retained earnings = 324,990; EBIT = 37,267; Total assets = 510,290; Sales = 614,680; Total liabilities = 196,989; Book equity = 313,301</w:t>
      </w:r>
    </w:p>
    <w:p w14:paraId="448C2B5C" w14:textId="77777777" w:rsidR="007E0055" w:rsidRPr="00D86091" w:rsidRDefault="007E0055" w:rsidP="007E0055">
      <w:pPr>
        <w:jc w:val="left"/>
        <w:rPr>
          <w:lang w:val="en-GB"/>
        </w:rPr>
      </w:pPr>
      <w:r w:rsidRPr="00D86091">
        <w:rPr>
          <w:lang w:val="en-GB"/>
        </w:rPr>
        <w:t>X:</w:t>
      </w:r>
    </w:p>
    <w:p w14:paraId="50684A47" w14:textId="77777777" w:rsidR="007E0055" w:rsidRPr="00D86091" w:rsidRDefault="007E0055" w:rsidP="007E0055">
      <w:pPr>
        <w:jc w:val="left"/>
        <w:rPr>
          <w:lang w:val="en-GB"/>
        </w:rPr>
      </w:pPr>
      <w:r w:rsidRPr="00D86091">
        <w:rPr>
          <w:lang w:val="en-GB"/>
        </w:rPr>
        <w:t>X1 = 147,333 ÷ 510,290 = 0.288637</w:t>
      </w:r>
    </w:p>
    <w:p w14:paraId="4BF6682C" w14:textId="77777777" w:rsidR="007E0055" w:rsidRPr="00D86091" w:rsidRDefault="007E0055" w:rsidP="007E0055">
      <w:pPr>
        <w:jc w:val="left"/>
        <w:rPr>
          <w:lang w:val="en-GB"/>
        </w:rPr>
      </w:pPr>
      <w:r w:rsidRPr="00D86091">
        <w:rPr>
          <w:lang w:val="en-GB"/>
        </w:rPr>
        <w:t>X2 = 324,990 ÷ 510,290 = 0.636585</w:t>
      </w:r>
    </w:p>
    <w:p w14:paraId="47074CC8" w14:textId="77777777" w:rsidR="007E0055" w:rsidRPr="00D86091" w:rsidRDefault="007E0055" w:rsidP="007E0055">
      <w:pPr>
        <w:jc w:val="left"/>
        <w:rPr>
          <w:lang w:val="en-GB"/>
        </w:rPr>
      </w:pPr>
      <w:r w:rsidRPr="00D86091">
        <w:rPr>
          <w:lang w:val="en-GB"/>
        </w:rPr>
        <w:t>X3 = 37,267 ÷ 510,290 = 0.073000</w:t>
      </w:r>
    </w:p>
    <w:p w14:paraId="7E19649A" w14:textId="77777777" w:rsidR="007E0055" w:rsidRPr="00D86091" w:rsidRDefault="007E0055" w:rsidP="007E0055">
      <w:pPr>
        <w:jc w:val="left"/>
        <w:rPr>
          <w:lang w:val="en-GB"/>
        </w:rPr>
      </w:pPr>
      <w:r w:rsidRPr="00D86091">
        <w:rPr>
          <w:lang w:val="en-GB"/>
        </w:rPr>
        <w:t>X4 = 313,301 ÷ 196,989 = 1.590759</w:t>
      </w:r>
    </w:p>
    <w:p w14:paraId="2F3560E2" w14:textId="77777777" w:rsidR="007E0055" w:rsidRPr="00D86091" w:rsidRDefault="007E0055" w:rsidP="007E0055">
      <w:pPr>
        <w:jc w:val="left"/>
        <w:rPr>
          <w:lang w:val="en-GB"/>
        </w:rPr>
      </w:pPr>
      <w:r w:rsidRPr="00D86091">
        <w:rPr>
          <w:lang w:val="en-GB"/>
        </w:rPr>
        <w:t>X5 = 614,680 ÷ 510,290 = 1.204257</w:t>
      </w:r>
    </w:p>
    <w:p w14:paraId="2DD2782C" w14:textId="77777777" w:rsidR="007E0055" w:rsidRPr="00D86091" w:rsidRDefault="007E0055" w:rsidP="007E0055">
      <w:pPr>
        <w:jc w:val="left"/>
        <w:rPr>
          <w:lang w:val="en-GB"/>
        </w:rPr>
      </w:pPr>
      <w:r w:rsidRPr="00D86091">
        <w:rPr>
          <w:lang w:val="en-GB"/>
        </w:rPr>
        <w:t>Z components:</w:t>
      </w:r>
    </w:p>
    <w:p w14:paraId="7E59010E" w14:textId="77777777" w:rsidR="007E0055" w:rsidRPr="00D86091" w:rsidRDefault="007E0055" w:rsidP="007E0055">
      <w:pPr>
        <w:jc w:val="left"/>
        <w:rPr>
          <w:lang w:val="en-GB"/>
        </w:rPr>
      </w:pPr>
      <w:r w:rsidRPr="00D86091">
        <w:rPr>
          <w:lang w:val="en-GB"/>
        </w:rPr>
        <w:t>1.2·X1 = 0.346364</w:t>
      </w:r>
    </w:p>
    <w:p w14:paraId="378A6475" w14:textId="77777777" w:rsidR="007E0055" w:rsidRPr="00D86091" w:rsidRDefault="007E0055" w:rsidP="007E0055">
      <w:pPr>
        <w:jc w:val="left"/>
        <w:rPr>
          <w:lang w:val="en-GB"/>
        </w:rPr>
      </w:pPr>
      <w:r w:rsidRPr="00D86091">
        <w:rPr>
          <w:lang w:val="en-GB"/>
        </w:rPr>
        <w:t>1.4·X2 = 0.891219</w:t>
      </w:r>
    </w:p>
    <w:p w14:paraId="533CA569" w14:textId="77777777" w:rsidR="007E0055" w:rsidRPr="00D86091" w:rsidRDefault="007E0055" w:rsidP="007E0055">
      <w:pPr>
        <w:jc w:val="left"/>
        <w:rPr>
          <w:lang w:val="en-GB"/>
        </w:rPr>
      </w:pPr>
      <w:r w:rsidRPr="00D86091">
        <w:rPr>
          <w:lang w:val="en-GB"/>
        </w:rPr>
        <w:t>3.3·X3 = 0.240900</w:t>
      </w:r>
    </w:p>
    <w:p w14:paraId="58A27CDE" w14:textId="77777777" w:rsidR="007E0055" w:rsidRPr="00D86091" w:rsidRDefault="007E0055" w:rsidP="007E0055">
      <w:pPr>
        <w:jc w:val="left"/>
        <w:rPr>
          <w:lang w:val="en-GB"/>
        </w:rPr>
      </w:pPr>
      <w:r w:rsidRPr="00D86091">
        <w:rPr>
          <w:lang w:val="en-GB"/>
        </w:rPr>
        <w:t>0.6·X4 = 0.954455</w:t>
      </w:r>
    </w:p>
    <w:p w14:paraId="6C9D34AD" w14:textId="77777777" w:rsidR="007E0055" w:rsidRPr="00D86091" w:rsidRDefault="007E0055" w:rsidP="007E0055">
      <w:pPr>
        <w:jc w:val="left"/>
        <w:rPr>
          <w:lang w:val="en-GB"/>
        </w:rPr>
      </w:pPr>
      <w:r w:rsidRPr="00D86091">
        <w:rPr>
          <w:lang w:val="en-GB"/>
        </w:rPr>
        <w:t>1.0·X5 = 1.204257</w:t>
      </w:r>
    </w:p>
    <w:p w14:paraId="65FABD7E" w14:textId="77777777" w:rsidR="007E0055" w:rsidRPr="00D86091" w:rsidRDefault="007E0055" w:rsidP="007E0055">
      <w:pPr>
        <w:jc w:val="left"/>
        <w:rPr>
          <w:lang w:val="en-GB"/>
        </w:rPr>
      </w:pPr>
      <w:r w:rsidRPr="00D86091">
        <w:rPr>
          <w:lang w:val="en-GB"/>
        </w:rPr>
        <w:t>Sum: Z = 0.346364 + 0.891219 + 0.240900 + 0.954455 + 1.204257 = 3.637195</w:t>
      </w:r>
    </w:p>
    <w:p w14:paraId="5F44734C" w14:textId="77777777" w:rsidR="007E0055" w:rsidRDefault="007E0055" w:rsidP="007E0055">
      <w:proofErr w:type="gramStart"/>
      <w:r w:rsidRPr="00D86091">
        <w:rPr>
          <w:lang w:val="en-GB"/>
        </w:rPr>
        <w:t>Z(</w:t>
      </w:r>
      <w:proofErr w:type="gramEnd"/>
      <w:r w:rsidRPr="00D86091">
        <w:rPr>
          <w:lang w:val="en-GB"/>
        </w:rPr>
        <w:t>2020) = 3.637</w:t>
      </w:r>
    </w:p>
    <w:p w14:paraId="061626A1" w14:textId="77777777" w:rsidR="007E0055" w:rsidRPr="00D86091" w:rsidRDefault="007E0055" w:rsidP="007E0055">
      <w:pPr>
        <w:jc w:val="left"/>
        <w:rPr>
          <w:b/>
          <w:bCs/>
          <w:i/>
          <w:iCs/>
          <w:lang w:val="en-GB"/>
        </w:rPr>
      </w:pPr>
      <w:r w:rsidRPr="00D86091">
        <w:rPr>
          <w:b/>
          <w:bCs/>
          <w:i/>
          <w:iCs/>
          <w:lang w:val="en-GB"/>
        </w:rPr>
        <w:t>2021</w:t>
      </w:r>
    </w:p>
    <w:p w14:paraId="1AD4B034" w14:textId="77777777" w:rsidR="007E0055" w:rsidRPr="00D86091" w:rsidRDefault="007E0055" w:rsidP="007E0055">
      <w:pPr>
        <w:jc w:val="left"/>
        <w:rPr>
          <w:lang w:val="en-GB"/>
        </w:rPr>
      </w:pPr>
      <w:r w:rsidRPr="00D86091">
        <w:rPr>
          <w:lang w:val="en-GB"/>
        </w:rPr>
        <w:t>Inputs: Current assets = 337,146; Current liabilities = 216,787; Working capital = 120,359</w:t>
      </w:r>
    </w:p>
    <w:p w14:paraId="6C7879D4" w14:textId="77777777" w:rsidR="007E0055" w:rsidRPr="00D86091" w:rsidRDefault="007E0055" w:rsidP="007E0055">
      <w:pPr>
        <w:jc w:val="left"/>
        <w:rPr>
          <w:lang w:val="en-GB"/>
        </w:rPr>
      </w:pPr>
      <w:r w:rsidRPr="00D86091">
        <w:rPr>
          <w:lang w:val="en-GB"/>
        </w:rPr>
        <w:t>Retained earnings = 330,291; EBIT = 23,253; Total assets = 510,348; Sales = 601,602; Total liabilities = 234,399; Book equity = 275,949</w:t>
      </w:r>
    </w:p>
    <w:p w14:paraId="64E6AA08" w14:textId="77777777" w:rsidR="007E0055" w:rsidRPr="00D86091" w:rsidRDefault="007E0055" w:rsidP="007E0055">
      <w:pPr>
        <w:jc w:val="left"/>
        <w:rPr>
          <w:lang w:val="en-GB"/>
        </w:rPr>
      </w:pPr>
      <w:r w:rsidRPr="00D86091">
        <w:rPr>
          <w:lang w:val="en-GB"/>
        </w:rPr>
        <w:t>X:</w:t>
      </w:r>
    </w:p>
    <w:p w14:paraId="0015E407" w14:textId="77777777" w:rsidR="007E0055" w:rsidRPr="00D86091" w:rsidRDefault="007E0055" w:rsidP="007E0055">
      <w:pPr>
        <w:jc w:val="left"/>
        <w:rPr>
          <w:lang w:val="en-GB"/>
        </w:rPr>
      </w:pPr>
      <w:r w:rsidRPr="00D86091">
        <w:rPr>
          <w:lang w:val="en-GB"/>
        </w:rPr>
        <w:t>X1 = 120,359 ÷ 510,348 = 0.235879</w:t>
      </w:r>
    </w:p>
    <w:p w14:paraId="62D9A254" w14:textId="77777777" w:rsidR="007E0055" w:rsidRPr="00D86091" w:rsidRDefault="007E0055" w:rsidP="007E0055">
      <w:pPr>
        <w:jc w:val="left"/>
        <w:rPr>
          <w:lang w:val="en-GB"/>
        </w:rPr>
      </w:pPr>
      <w:r w:rsidRPr="00D86091">
        <w:rPr>
          <w:lang w:val="en-GB"/>
        </w:rPr>
        <w:t>X2 = 330,291 ÷ 510,348 = 0.647167</w:t>
      </w:r>
    </w:p>
    <w:p w14:paraId="52355CCA" w14:textId="77777777" w:rsidR="007E0055" w:rsidRPr="00D86091" w:rsidRDefault="007E0055" w:rsidP="007E0055">
      <w:pPr>
        <w:jc w:val="left"/>
        <w:rPr>
          <w:lang w:val="en-GB"/>
        </w:rPr>
      </w:pPr>
      <w:r w:rsidRPr="00D86091">
        <w:rPr>
          <w:lang w:val="en-GB"/>
        </w:rPr>
        <w:t>X3 = 23,253 ÷ 510,348 = 0.045557</w:t>
      </w:r>
    </w:p>
    <w:p w14:paraId="6435848D" w14:textId="77777777" w:rsidR="007E0055" w:rsidRPr="00D86091" w:rsidRDefault="007E0055" w:rsidP="007E0055">
      <w:pPr>
        <w:jc w:val="left"/>
        <w:rPr>
          <w:lang w:val="en-GB"/>
        </w:rPr>
      </w:pPr>
      <w:r w:rsidRPr="00D86091">
        <w:rPr>
          <w:lang w:val="en-GB"/>
        </w:rPr>
        <w:t>X4 = 275,949 ÷ 234,399 = 1.177744</w:t>
      </w:r>
    </w:p>
    <w:p w14:paraId="742B06E3" w14:textId="77777777" w:rsidR="007E0055" w:rsidRPr="00D86091" w:rsidRDefault="007E0055" w:rsidP="007E0055">
      <w:pPr>
        <w:jc w:val="left"/>
        <w:rPr>
          <w:lang w:val="en-GB"/>
        </w:rPr>
      </w:pPr>
      <w:r w:rsidRPr="00D86091">
        <w:rPr>
          <w:lang w:val="en-GB"/>
        </w:rPr>
        <w:t>X5 = 601,602 ÷ 510,348 = 1.178996</w:t>
      </w:r>
    </w:p>
    <w:p w14:paraId="31B4215C" w14:textId="77777777" w:rsidR="007E0055" w:rsidRPr="00D86091" w:rsidRDefault="007E0055" w:rsidP="007E0055">
      <w:pPr>
        <w:jc w:val="left"/>
        <w:rPr>
          <w:lang w:val="en-GB"/>
        </w:rPr>
      </w:pPr>
      <w:r w:rsidRPr="00D86091">
        <w:rPr>
          <w:lang w:val="en-GB"/>
        </w:rPr>
        <w:lastRenderedPageBreak/>
        <w:t>Z components:</w:t>
      </w:r>
    </w:p>
    <w:p w14:paraId="667099AA" w14:textId="77777777" w:rsidR="007E0055" w:rsidRPr="00D86091" w:rsidRDefault="007E0055" w:rsidP="007E0055">
      <w:pPr>
        <w:jc w:val="left"/>
        <w:rPr>
          <w:lang w:val="en-GB"/>
        </w:rPr>
      </w:pPr>
      <w:r w:rsidRPr="00D86091">
        <w:rPr>
          <w:lang w:val="en-GB"/>
        </w:rPr>
        <w:t>1.2·X1 = 0.283055</w:t>
      </w:r>
    </w:p>
    <w:p w14:paraId="08C40765" w14:textId="77777777" w:rsidR="007E0055" w:rsidRPr="00D86091" w:rsidRDefault="007E0055" w:rsidP="007E0055">
      <w:pPr>
        <w:jc w:val="left"/>
        <w:rPr>
          <w:lang w:val="en-GB"/>
        </w:rPr>
      </w:pPr>
      <w:r w:rsidRPr="00D86091">
        <w:rPr>
          <w:lang w:val="en-GB"/>
        </w:rPr>
        <w:t>1.4·X2 = 0.905034</w:t>
      </w:r>
    </w:p>
    <w:p w14:paraId="635C7219" w14:textId="77777777" w:rsidR="007E0055" w:rsidRPr="00D86091" w:rsidRDefault="007E0055" w:rsidP="007E0055">
      <w:pPr>
        <w:jc w:val="left"/>
        <w:rPr>
          <w:lang w:val="en-GB"/>
        </w:rPr>
      </w:pPr>
      <w:r w:rsidRPr="00D86091">
        <w:rPr>
          <w:lang w:val="en-GB"/>
        </w:rPr>
        <w:t>3.3·X3 = 0.150337</w:t>
      </w:r>
    </w:p>
    <w:p w14:paraId="6C922310" w14:textId="77777777" w:rsidR="007E0055" w:rsidRPr="00D86091" w:rsidRDefault="007E0055" w:rsidP="007E0055">
      <w:pPr>
        <w:jc w:val="left"/>
        <w:rPr>
          <w:lang w:val="en-GB"/>
        </w:rPr>
      </w:pPr>
      <w:r w:rsidRPr="00D86091">
        <w:rPr>
          <w:lang w:val="en-GB"/>
        </w:rPr>
        <w:t>0.6·X4 = 0.706646</w:t>
      </w:r>
    </w:p>
    <w:p w14:paraId="3D5811ED" w14:textId="77777777" w:rsidR="007E0055" w:rsidRPr="00D86091" w:rsidRDefault="007E0055" w:rsidP="007E0055">
      <w:pPr>
        <w:jc w:val="left"/>
        <w:rPr>
          <w:lang w:val="en-GB"/>
        </w:rPr>
      </w:pPr>
      <w:r w:rsidRPr="00D86091">
        <w:rPr>
          <w:lang w:val="en-GB"/>
        </w:rPr>
        <w:t>1.0·X5 = 1.178996</w:t>
      </w:r>
    </w:p>
    <w:p w14:paraId="76B48756" w14:textId="77777777" w:rsidR="007E0055" w:rsidRPr="00D86091" w:rsidRDefault="007E0055" w:rsidP="007E0055">
      <w:pPr>
        <w:jc w:val="left"/>
        <w:rPr>
          <w:lang w:val="en-GB"/>
        </w:rPr>
      </w:pPr>
      <w:r w:rsidRPr="00D86091">
        <w:rPr>
          <w:lang w:val="en-GB"/>
        </w:rPr>
        <w:t>Sum: Z = 0.283055 + 0.905034 + 0.150337 + 0.706646 + 1.178996 = 3.223]</w:t>
      </w:r>
    </w:p>
    <w:p w14:paraId="06B8F112" w14:textId="77777777" w:rsidR="007E0055" w:rsidRPr="00D86091" w:rsidRDefault="007E0055" w:rsidP="007E0055">
      <w:pPr>
        <w:jc w:val="left"/>
        <w:rPr>
          <w:lang w:val="en-GB"/>
        </w:rPr>
      </w:pPr>
      <w:r w:rsidRPr="00D86091">
        <w:rPr>
          <w:lang w:val="en-GB"/>
        </w:rPr>
        <w:t xml:space="preserve">(rounded) </w:t>
      </w:r>
      <w:proofErr w:type="gramStart"/>
      <w:r w:rsidRPr="00D86091">
        <w:rPr>
          <w:lang w:val="en-GB"/>
        </w:rPr>
        <w:t>Z(</w:t>
      </w:r>
      <w:proofErr w:type="gramEnd"/>
      <w:r w:rsidRPr="00D86091">
        <w:rPr>
          <w:lang w:val="en-GB"/>
        </w:rPr>
        <w:t>2021) ≈ 3.223</w:t>
      </w:r>
    </w:p>
    <w:p w14:paraId="58A87809" w14:textId="77777777" w:rsidR="007E0055" w:rsidRPr="00D86091" w:rsidRDefault="007E0055" w:rsidP="007E0055">
      <w:pPr>
        <w:jc w:val="left"/>
        <w:rPr>
          <w:lang w:val="en-GB"/>
        </w:rPr>
      </w:pPr>
      <w:r w:rsidRPr="00D86091">
        <w:rPr>
          <w:b/>
          <w:bCs/>
          <w:i/>
          <w:iCs/>
          <w:lang w:val="en-GB"/>
        </w:rPr>
        <w:t>2022</w:t>
      </w:r>
    </w:p>
    <w:p w14:paraId="5211C57D" w14:textId="77777777" w:rsidR="007E0055" w:rsidRPr="00D86091" w:rsidRDefault="007E0055" w:rsidP="007E0055">
      <w:pPr>
        <w:jc w:val="left"/>
        <w:rPr>
          <w:lang w:val="en-GB"/>
        </w:rPr>
      </w:pPr>
      <w:r w:rsidRPr="00D86091">
        <w:rPr>
          <w:lang w:val="en-GB"/>
        </w:rPr>
        <w:t>Inputs: Current assets = 338,040; Current liabilities = 216,473; Working capital = 121,567</w:t>
      </w:r>
    </w:p>
    <w:p w14:paraId="0ED22C8C" w14:textId="77777777" w:rsidR="007E0055" w:rsidRPr="00D86091" w:rsidRDefault="007E0055" w:rsidP="007E0055">
      <w:pPr>
        <w:jc w:val="left"/>
        <w:rPr>
          <w:lang w:val="en-GB"/>
        </w:rPr>
      </w:pPr>
      <w:r w:rsidRPr="00D86091">
        <w:rPr>
          <w:lang w:val="en-GB"/>
        </w:rPr>
        <w:t>Retained earnings = 330,698; EBIT = 14,548; Total assets = 504,163; Sales = 542,751; Total liabilities = 235,757; Book equity = 268,406</w:t>
      </w:r>
    </w:p>
    <w:p w14:paraId="3003AC0F" w14:textId="77777777" w:rsidR="007E0055" w:rsidRPr="00D86091" w:rsidRDefault="007E0055" w:rsidP="007E0055">
      <w:pPr>
        <w:jc w:val="left"/>
        <w:rPr>
          <w:lang w:val="en-GB"/>
        </w:rPr>
      </w:pPr>
      <w:r w:rsidRPr="00D86091">
        <w:rPr>
          <w:lang w:val="en-GB"/>
        </w:rPr>
        <w:t>X:</w:t>
      </w:r>
    </w:p>
    <w:p w14:paraId="17EC93F1" w14:textId="77777777" w:rsidR="007E0055" w:rsidRPr="00D86091" w:rsidRDefault="007E0055" w:rsidP="007E0055">
      <w:pPr>
        <w:jc w:val="left"/>
        <w:rPr>
          <w:lang w:val="en-GB"/>
        </w:rPr>
      </w:pPr>
      <w:r w:rsidRPr="00D86091">
        <w:rPr>
          <w:lang w:val="en-GB"/>
        </w:rPr>
        <w:t>X1 = 121,567 ÷ 504,163 = 0.241096</w:t>
      </w:r>
    </w:p>
    <w:p w14:paraId="69F44BE1" w14:textId="77777777" w:rsidR="007E0055" w:rsidRPr="00D86091" w:rsidRDefault="007E0055" w:rsidP="007E0055">
      <w:pPr>
        <w:jc w:val="left"/>
        <w:rPr>
          <w:lang w:val="en-GB"/>
        </w:rPr>
      </w:pPr>
      <w:r w:rsidRPr="00D86091">
        <w:rPr>
          <w:lang w:val="en-GB"/>
        </w:rPr>
        <w:t>X2 = 330,698 ÷ 504,163 = 0.655723</w:t>
      </w:r>
    </w:p>
    <w:p w14:paraId="5C0FF3F1" w14:textId="77777777" w:rsidR="007E0055" w:rsidRPr="00D86091" w:rsidRDefault="007E0055" w:rsidP="007E0055">
      <w:pPr>
        <w:jc w:val="left"/>
        <w:rPr>
          <w:lang w:val="en-GB"/>
        </w:rPr>
      </w:pPr>
      <w:r w:rsidRPr="00D86091">
        <w:rPr>
          <w:lang w:val="en-GB"/>
        </w:rPr>
        <w:t>X3 = 14,548 ÷ 504,163 = 0.02885</w:t>
      </w:r>
    </w:p>
    <w:p w14:paraId="6B0E5265" w14:textId="77777777" w:rsidR="007E0055" w:rsidRPr="00D86091" w:rsidRDefault="007E0055" w:rsidP="007E0055">
      <w:pPr>
        <w:jc w:val="left"/>
        <w:rPr>
          <w:lang w:val="en-GB"/>
        </w:rPr>
      </w:pPr>
      <w:r w:rsidRPr="00D86091">
        <w:rPr>
          <w:lang w:val="en-GB"/>
        </w:rPr>
        <w:t>X4 = 268,406 ÷ 235,757 = 1.139069</w:t>
      </w:r>
    </w:p>
    <w:p w14:paraId="1F7BD179" w14:textId="77777777" w:rsidR="007E0055" w:rsidRPr="00D86091" w:rsidRDefault="007E0055" w:rsidP="007E0055">
      <w:pPr>
        <w:jc w:val="left"/>
        <w:rPr>
          <w:lang w:val="en-GB"/>
        </w:rPr>
      </w:pPr>
      <w:r w:rsidRPr="00D86091">
        <w:rPr>
          <w:lang w:val="en-GB"/>
        </w:rPr>
        <w:t>X5 = 542,751 ÷ 504,163 = 1.076118</w:t>
      </w:r>
    </w:p>
    <w:p w14:paraId="6C1FCE45" w14:textId="77777777" w:rsidR="007E0055" w:rsidRPr="00D86091" w:rsidRDefault="007E0055" w:rsidP="007E0055">
      <w:pPr>
        <w:jc w:val="left"/>
        <w:rPr>
          <w:lang w:val="en-GB"/>
        </w:rPr>
      </w:pPr>
      <w:r w:rsidRPr="00D86091">
        <w:rPr>
          <w:lang w:val="en-GB"/>
        </w:rPr>
        <w:t>Z components:</w:t>
      </w:r>
    </w:p>
    <w:p w14:paraId="1B391991" w14:textId="77777777" w:rsidR="007E0055" w:rsidRPr="00D86091" w:rsidRDefault="007E0055" w:rsidP="007E0055">
      <w:pPr>
        <w:jc w:val="left"/>
        <w:rPr>
          <w:lang w:val="en-GB"/>
        </w:rPr>
      </w:pPr>
      <w:r w:rsidRPr="00D86091">
        <w:rPr>
          <w:lang w:val="en-GB"/>
        </w:rPr>
        <w:t>1.2·X1 = 0.289315</w:t>
      </w:r>
    </w:p>
    <w:p w14:paraId="789683BF" w14:textId="77777777" w:rsidR="007E0055" w:rsidRPr="00D86091" w:rsidRDefault="007E0055" w:rsidP="007E0055">
      <w:pPr>
        <w:jc w:val="left"/>
        <w:rPr>
          <w:lang w:val="en-GB"/>
        </w:rPr>
      </w:pPr>
      <w:r w:rsidRPr="00D86091">
        <w:rPr>
          <w:lang w:val="en-GB"/>
        </w:rPr>
        <w:t>1.4·X2 = 0.918012</w:t>
      </w:r>
    </w:p>
    <w:p w14:paraId="41493FCE" w14:textId="77777777" w:rsidR="007E0055" w:rsidRPr="00D86091" w:rsidRDefault="007E0055" w:rsidP="007E0055">
      <w:pPr>
        <w:jc w:val="left"/>
        <w:rPr>
          <w:lang w:val="en-GB"/>
        </w:rPr>
      </w:pPr>
      <w:r w:rsidRPr="00D86091">
        <w:rPr>
          <w:lang w:val="en-GB"/>
        </w:rPr>
        <w:t>3.3·X3 = 0.095206</w:t>
      </w:r>
    </w:p>
    <w:p w14:paraId="3221A0C5" w14:textId="77777777" w:rsidR="007E0055" w:rsidRPr="00D86091" w:rsidRDefault="007E0055" w:rsidP="007E0055">
      <w:pPr>
        <w:jc w:val="left"/>
        <w:rPr>
          <w:lang w:val="en-GB"/>
        </w:rPr>
      </w:pPr>
      <w:r w:rsidRPr="00D86091">
        <w:rPr>
          <w:lang w:val="en-GB"/>
        </w:rPr>
        <w:t>0.6·X4 = 0.683441</w:t>
      </w:r>
    </w:p>
    <w:p w14:paraId="4F2184BA" w14:textId="77777777" w:rsidR="007E0055" w:rsidRPr="00D86091" w:rsidRDefault="007E0055" w:rsidP="007E0055">
      <w:pPr>
        <w:jc w:val="left"/>
        <w:rPr>
          <w:lang w:val="en-GB"/>
        </w:rPr>
      </w:pPr>
      <w:r w:rsidRPr="00D86091">
        <w:rPr>
          <w:lang w:val="en-GB"/>
        </w:rPr>
        <w:t>1.0·X5 = 1.076118</w:t>
      </w:r>
    </w:p>
    <w:p w14:paraId="53EDA145" w14:textId="77777777" w:rsidR="007E0055" w:rsidRPr="00D86091" w:rsidRDefault="007E0055" w:rsidP="007E0055">
      <w:pPr>
        <w:jc w:val="left"/>
        <w:rPr>
          <w:lang w:val="en-GB"/>
        </w:rPr>
      </w:pPr>
      <w:r w:rsidRPr="00D86091">
        <w:rPr>
          <w:lang w:val="en-GB"/>
        </w:rPr>
        <w:t>Sum: Z = 0.289315 + 0.918012 + 0.095206 + 0.683441 + 1.076118 = 3.062093</w:t>
      </w:r>
    </w:p>
    <w:p w14:paraId="5E50BBC4" w14:textId="77777777" w:rsidR="007E0055" w:rsidRPr="00D86091" w:rsidRDefault="007E0055" w:rsidP="007E0055">
      <w:pPr>
        <w:jc w:val="left"/>
        <w:rPr>
          <w:lang w:val="en-GB"/>
        </w:rPr>
      </w:pPr>
      <w:proofErr w:type="gramStart"/>
      <w:r w:rsidRPr="00D86091">
        <w:rPr>
          <w:lang w:val="en-GB"/>
        </w:rPr>
        <w:t>Z(</w:t>
      </w:r>
      <w:proofErr w:type="gramEnd"/>
      <w:r w:rsidRPr="00D86091">
        <w:rPr>
          <w:lang w:val="en-GB"/>
        </w:rPr>
        <w:t>2022) = 3.062</w:t>
      </w:r>
    </w:p>
    <w:p w14:paraId="5B3CE08C" w14:textId="77777777" w:rsidR="007E0055" w:rsidRPr="00D86091" w:rsidRDefault="007E0055" w:rsidP="007E0055">
      <w:pPr>
        <w:jc w:val="left"/>
        <w:rPr>
          <w:b/>
          <w:bCs/>
          <w:i/>
          <w:iCs/>
          <w:lang w:val="en-GB"/>
        </w:rPr>
      </w:pPr>
      <w:r w:rsidRPr="00D86091">
        <w:rPr>
          <w:b/>
          <w:bCs/>
          <w:i/>
          <w:iCs/>
          <w:lang w:val="en-GB"/>
        </w:rPr>
        <w:t>2023</w:t>
      </w:r>
    </w:p>
    <w:p w14:paraId="497F3376" w14:textId="77777777" w:rsidR="007E0055" w:rsidRPr="00D86091" w:rsidRDefault="007E0055" w:rsidP="007E0055">
      <w:pPr>
        <w:jc w:val="left"/>
        <w:rPr>
          <w:lang w:val="en-GB"/>
        </w:rPr>
      </w:pPr>
      <w:r w:rsidRPr="00D86091">
        <w:rPr>
          <w:lang w:val="en-GB"/>
        </w:rPr>
        <w:t>Inputs: Current assets = 258,851; Current liabilities = 161,148; Working capital = 97,703</w:t>
      </w:r>
    </w:p>
    <w:p w14:paraId="2FE61ADF" w14:textId="77777777" w:rsidR="007E0055" w:rsidRPr="00D86091" w:rsidRDefault="007E0055" w:rsidP="007E0055">
      <w:pPr>
        <w:jc w:val="left"/>
        <w:rPr>
          <w:lang w:val="en-GB"/>
        </w:rPr>
      </w:pPr>
      <w:r w:rsidRPr="00D86091">
        <w:rPr>
          <w:lang w:val="en-GB"/>
        </w:rPr>
        <w:t>Retained earnings = 232,460; EBIT = −85,301; Total assets = 355,872; Sales = 420,457; Total liabilities = 176,952; Book equity = 178,920</w:t>
      </w:r>
    </w:p>
    <w:p w14:paraId="29A1B128" w14:textId="77777777" w:rsidR="007E0055" w:rsidRPr="00D86091" w:rsidRDefault="007E0055" w:rsidP="007E0055">
      <w:pPr>
        <w:jc w:val="left"/>
        <w:rPr>
          <w:lang w:val="en-GB"/>
        </w:rPr>
      </w:pPr>
      <w:r w:rsidRPr="00D86091">
        <w:rPr>
          <w:lang w:val="en-GB"/>
        </w:rPr>
        <w:t>X calculations:</w:t>
      </w:r>
    </w:p>
    <w:p w14:paraId="3B1624B2" w14:textId="77777777" w:rsidR="007E0055" w:rsidRPr="00D86091" w:rsidRDefault="007E0055" w:rsidP="007E0055">
      <w:pPr>
        <w:jc w:val="left"/>
        <w:rPr>
          <w:lang w:val="en-GB"/>
        </w:rPr>
      </w:pPr>
      <w:r w:rsidRPr="00D86091">
        <w:rPr>
          <w:lang w:val="en-GB"/>
        </w:rPr>
        <w:t>X1 = 97,703 ÷ 355,872 = 0.274588</w:t>
      </w:r>
    </w:p>
    <w:p w14:paraId="5B8AA059" w14:textId="77777777" w:rsidR="007E0055" w:rsidRPr="00D86091" w:rsidRDefault="007E0055" w:rsidP="007E0055">
      <w:pPr>
        <w:jc w:val="left"/>
        <w:rPr>
          <w:lang w:val="en-GB"/>
        </w:rPr>
      </w:pPr>
      <w:r w:rsidRPr="00D86091">
        <w:rPr>
          <w:lang w:val="en-GB"/>
        </w:rPr>
        <w:lastRenderedPageBreak/>
        <w:t>X2 = 232,460 ÷ 355,872 = 0.652949</w:t>
      </w:r>
    </w:p>
    <w:p w14:paraId="70364E72" w14:textId="77777777" w:rsidR="007E0055" w:rsidRPr="00D86091" w:rsidRDefault="007E0055" w:rsidP="007E0055">
      <w:pPr>
        <w:jc w:val="left"/>
        <w:rPr>
          <w:lang w:val="en-GB"/>
        </w:rPr>
      </w:pPr>
      <w:r w:rsidRPr="00D86091">
        <w:rPr>
          <w:lang w:val="en-GB"/>
        </w:rPr>
        <w:t>X3 = −85,301 ÷ 355,872 = −0.239633</w:t>
      </w:r>
    </w:p>
    <w:p w14:paraId="6E6C5CA1" w14:textId="77777777" w:rsidR="007E0055" w:rsidRPr="00D86091" w:rsidRDefault="007E0055" w:rsidP="007E0055">
      <w:pPr>
        <w:jc w:val="left"/>
        <w:rPr>
          <w:lang w:val="en-GB"/>
        </w:rPr>
      </w:pPr>
      <w:r w:rsidRPr="00D86091">
        <w:rPr>
          <w:lang w:val="en-GB"/>
        </w:rPr>
        <w:t>X4 = 178,920 ÷ 176,952 = 1.010797</w:t>
      </w:r>
    </w:p>
    <w:p w14:paraId="4E2A7803" w14:textId="77777777" w:rsidR="007E0055" w:rsidRPr="00D86091" w:rsidRDefault="007E0055" w:rsidP="007E0055">
      <w:pPr>
        <w:jc w:val="left"/>
        <w:rPr>
          <w:lang w:val="en-GB"/>
        </w:rPr>
      </w:pPr>
      <w:r w:rsidRPr="00D86091">
        <w:rPr>
          <w:lang w:val="en-GB"/>
        </w:rPr>
        <w:t>X5 = 420,457 ÷ 355,872 = 1.181859</w:t>
      </w:r>
    </w:p>
    <w:p w14:paraId="4E4AD7BE" w14:textId="77777777" w:rsidR="007E0055" w:rsidRPr="00D86091" w:rsidRDefault="007E0055" w:rsidP="007E0055">
      <w:pPr>
        <w:jc w:val="left"/>
        <w:rPr>
          <w:lang w:val="en-GB"/>
        </w:rPr>
      </w:pPr>
      <w:r w:rsidRPr="00D86091">
        <w:rPr>
          <w:lang w:val="en-GB"/>
        </w:rPr>
        <w:t>Z components:</w:t>
      </w:r>
    </w:p>
    <w:p w14:paraId="284366E5" w14:textId="77777777" w:rsidR="007E0055" w:rsidRPr="00D86091" w:rsidRDefault="007E0055" w:rsidP="007E0055">
      <w:pPr>
        <w:jc w:val="left"/>
        <w:rPr>
          <w:lang w:val="en-GB"/>
        </w:rPr>
      </w:pPr>
      <w:r w:rsidRPr="00D86091">
        <w:rPr>
          <w:lang w:val="en-GB"/>
        </w:rPr>
        <w:t>1.2·X1 = 0.329506</w:t>
      </w:r>
    </w:p>
    <w:p w14:paraId="3CCF34FC" w14:textId="77777777" w:rsidR="007E0055" w:rsidRPr="00D86091" w:rsidRDefault="007E0055" w:rsidP="007E0055">
      <w:pPr>
        <w:jc w:val="left"/>
        <w:rPr>
          <w:lang w:val="en-GB"/>
        </w:rPr>
      </w:pPr>
      <w:r w:rsidRPr="00D86091">
        <w:rPr>
          <w:lang w:val="en-GB"/>
        </w:rPr>
        <w:t>1.4·X2 = 0.914129</w:t>
      </w:r>
    </w:p>
    <w:p w14:paraId="7430808F" w14:textId="77777777" w:rsidR="007E0055" w:rsidRPr="00D86091" w:rsidRDefault="007E0055" w:rsidP="007E0055">
      <w:pPr>
        <w:jc w:val="left"/>
        <w:rPr>
          <w:lang w:val="en-GB"/>
        </w:rPr>
      </w:pPr>
      <w:r w:rsidRPr="00D86091">
        <w:rPr>
          <w:lang w:val="en-GB"/>
        </w:rPr>
        <w:t>3.3·X3 = −0.790789</w:t>
      </w:r>
    </w:p>
    <w:p w14:paraId="03C0E610" w14:textId="77777777" w:rsidR="007E0055" w:rsidRPr="00D86091" w:rsidRDefault="007E0055" w:rsidP="007E0055">
      <w:pPr>
        <w:jc w:val="left"/>
        <w:rPr>
          <w:lang w:val="en-GB"/>
        </w:rPr>
      </w:pPr>
      <w:r w:rsidRPr="00D86091">
        <w:rPr>
          <w:lang w:val="en-GB"/>
        </w:rPr>
        <w:t>0.6·X4 = 0.606478</w:t>
      </w:r>
    </w:p>
    <w:p w14:paraId="1A46ADE2" w14:textId="77777777" w:rsidR="007E0055" w:rsidRPr="00D86091" w:rsidRDefault="007E0055" w:rsidP="007E0055">
      <w:pPr>
        <w:jc w:val="left"/>
        <w:rPr>
          <w:lang w:val="en-GB"/>
        </w:rPr>
      </w:pPr>
      <w:r w:rsidRPr="00D86091">
        <w:rPr>
          <w:lang w:val="en-GB"/>
        </w:rPr>
        <w:t>1.0·X5 = 1.181859</w:t>
      </w:r>
    </w:p>
    <w:p w14:paraId="2489882D" w14:textId="77777777" w:rsidR="007E0055" w:rsidRPr="00D86091" w:rsidRDefault="007E0055" w:rsidP="007E0055">
      <w:pPr>
        <w:jc w:val="left"/>
        <w:rPr>
          <w:lang w:val="en-GB"/>
        </w:rPr>
      </w:pPr>
      <w:r w:rsidRPr="00D86091">
        <w:rPr>
          <w:lang w:val="en-GB"/>
        </w:rPr>
        <w:t>Sum: Z = 0.329506 + 0.914129 − 0.790789 + 0.606478 + 1.181859 = 2.241183</w:t>
      </w:r>
    </w:p>
    <w:p w14:paraId="4B39EE5A" w14:textId="77777777" w:rsidR="007E0055" w:rsidRPr="00D86091" w:rsidRDefault="007E0055" w:rsidP="007E0055">
      <w:pPr>
        <w:jc w:val="left"/>
        <w:rPr>
          <w:lang w:val="en-GB"/>
        </w:rPr>
      </w:pPr>
      <w:proofErr w:type="gramStart"/>
      <w:r w:rsidRPr="00D86091">
        <w:rPr>
          <w:lang w:val="en-GB"/>
        </w:rPr>
        <w:t>Z(</w:t>
      </w:r>
      <w:proofErr w:type="gramEnd"/>
      <w:r w:rsidRPr="00D86091">
        <w:rPr>
          <w:lang w:val="en-GB"/>
        </w:rPr>
        <w:t>2023) = 2.241</w:t>
      </w:r>
    </w:p>
    <w:p w14:paraId="6C84009B" w14:textId="5F01BDB0" w:rsidR="005D768C" w:rsidRPr="00D86091" w:rsidRDefault="005D768C" w:rsidP="00D86091">
      <w:pPr>
        <w:jc w:val="left"/>
        <w:rPr>
          <w:b/>
          <w:bCs/>
          <w:i/>
          <w:iCs/>
          <w:lang w:val="en-GB"/>
        </w:rPr>
      </w:pPr>
      <w:r w:rsidRPr="00D86091">
        <w:rPr>
          <w:b/>
          <w:bCs/>
          <w:i/>
          <w:iCs/>
          <w:lang w:val="en-GB"/>
        </w:rPr>
        <w:t>2024</w:t>
      </w:r>
    </w:p>
    <w:p w14:paraId="1F18381E" w14:textId="77777777" w:rsidR="005D768C" w:rsidRPr="00D86091" w:rsidRDefault="005D768C" w:rsidP="00D86091">
      <w:pPr>
        <w:jc w:val="left"/>
        <w:rPr>
          <w:lang w:val="en-GB"/>
        </w:rPr>
      </w:pPr>
      <w:r w:rsidRPr="00D86091">
        <w:rPr>
          <w:lang w:val="en-GB"/>
        </w:rPr>
        <w:t>Current assets = 242,494</w:t>
      </w:r>
    </w:p>
    <w:p w14:paraId="7F2D8979" w14:textId="77777777" w:rsidR="005D768C" w:rsidRPr="00D86091" w:rsidRDefault="005D768C" w:rsidP="00D86091">
      <w:pPr>
        <w:jc w:val="left"/>
        <w:rPr>
          <w:lang w:val="en-GB"/>
        </w:rPr>
      </w:pPr>
      <w:r w:rsidRPr="00D86091">
        <w:rPr>
          <w:lang w:val="en-GB"/>
        </w:rPr>
        <w:t>Current liabilities = 158,291</w:t>
      </w:r>
    </w:p>
    <w:p w14:paraId="10FFD81A" w14:textId="77777777" w:rsidR="005D768C" w:rsidRPr="00D86091" w:rsidRDefault="005D768C" w:rsidP="00D86091">
      <w:pPr>
        <w:jc w:val="left"/>
        <w:rPr>
          <w:lang w:val="en-GB"/>
        </w:rPr>
      </w:pPr>
      <w:r w:rsidRPr="00D86091">
        <w:rPr>
          <w:lang w:val="en-GB"/>
        </w:rPr>
        <w:t>Working capital = 242,494 − 158,291 = 84,203</w:t>
      </w:r>
    </w:p>
    <w:p w14:paraId="42121BB6" w14:textId="77777777" w:rsidR="005D768C" w:rsidRPr="00D86091" w:rsidRDefault="005D768C" w:rsidP="00D86091">
      <w:pPr>
        <w:jc w:val="left"/>
        <w:rPr>
          <w:lang w:val="en-GB"/>
        </w:rPr>
      </w:pPr>
      <w:r w:rsidRPr="00D86091">
        <w:rPr>
          <w:lang w:val="en-GB"/>
        </w:rPr>
        <w:t>Retained earnings = 208,431</w:t>
      </w:r>
    </w:p>
    <w:p w14:paraId="4BBDECC8" w14:textId="77777777" w:rsidR="005D768C" w:rsidRPr="00D86091" w:rsidRDefault="005D768C" w:rsidP="00D86091">
      <w:pPr>
        <w:jc w:val="left"/>
        <w:rPr>
          <w:lang w:val="en-GB"/>
        </w:rPr>
      </w:pPr>
      <w:r w:rsidRPr="00D86091">
        <w:rPr>
          <w:lang w:val="en-GB"/>
        </w:rPr>
        <w:t>EBIT (Operating income) = −15,297</w:t>
      </w:r>
    </w:p>
    <w:p w14:paraId="5031A26D" w14:textId="77777777" w:rsidR="005D768C" w:rsidRPr="00D86091" w:rsidRDefault="005D768C" w:rsidP="00D86091">
      <w:pPr>
        <w:jc w:val="left"/>
        <w:rPr>
          <w:lang w:val="en-GB"/>
        </w:rPr>
      </w:pPr>
      <w:r w:rsidRPr="00D86091">
        <w:rPr>
          <w:lang w:val="en-GB"/>
        </w:rPr>
        <w:t>Total assets = 323,354</w:t>
      </w:r>
    </w:p>
    <w:p w14:paraId="1B310D69" w14:textId="77777777" w:rsidR="005D768C" w:rsidRPr="00D86091" w:rsidRDefault="005D768C" w:rsidP="00D86091">
      <w:pPr>
        <w:jc w:val="left"/>
        <w:rPr>
          <w:lang w:val="en-GB"/>
        </w:rPr>
      </w:pPr>
      <w:r w:rsidRPr="00D86091">
        <w:rPr>
          <w:lang w:val="en-GB"/>
        </w:rPr>
        <w:t>Sales = 394,879</w:t>
      </w:r>
    </w:p>
    <w:p w14:paraId="43DC3881" w14:textId="77777777" w:rsidR="005D768C" w:rsidRPr="00D86091" w:rsidRDefault="005D768C" w:rsidP="00D86091">
      <w:pPr>
        <w:jc w:val="left"/>
        <w:rPr>
          <w:lang w:val="en-GB"/>
        </w:rPr>
      </w:pPr>
      <w:r w:rsidRPr="00D86091">
        <w:rPr>
          <w:lang w:val="en-GB"/>
        </w:rPr>
        <w:t>Total liabilities = 170,249</w:t>
      </w:r>
    </w:p>
    <w:p w14:paraId="72709204" w14:textId="77777777" w:rsidR="005D768C" w:rsidRPr="00D86091" w:rsidRDefault="005D768C" w:rsidP="00D86091">
      <w:pPr>
        <w:jc w:val="left"/>
        <w:rPr>
          <w:lang w:val="en-GB"/>
        </w:rPr>
      </w:pPr>
      <w:r w:rsidRPr="00D86091">
        <w:rPr>
          <w:lang w:val="en-GB"/>
        </w:rPr>
        <w:t>Book equity = 153,105</w:t>
      </w:r>
    </w:p>
    <w:p w14:paraId="639E8588" w14:textId="77777777" w:rsidR="005D768C" w:rsidRPr="00D86091" w:rsidRDefault="005D768C" w:rsidP="00D86091">
      <w:pPr>
        <w:jc w:val="left"/>
        <w:rPr>
          <w:lang w:val="en-GB"/>
        </w:rPr>
      </w:pPr>
      <w:r w:rsidRPr="00D86091">
        <w:rPr>
          <w:lang w:val="en-GB"/>
        </w:rPr>
        <w:t>Calculate X components:</w:t>
      </w:r>
    </w:p>
    <w:p w14:paraId="5375A9C4" w14:textId="77777777" w:rsidR="005D768C" w:rsidRPr="00D86091" w:rsidRDefault="005D768C" w:rsidP="00D86091">
      <w:pPr>
        <w:jc w:val="left"/>
        <w:rPr>
          <w:lang w:val="en-GB"/>
        </w:rPr>
      </w:pPr>
      <w:r w:rsidRPr="00D86091">
        <w:rPr>
          <w:lang w:val="en-GB"/>
        </w:rPr>
        <w:t>X1 = Working capital / Total assets = 84,203 ÷ 323,354 = 0.260484</w:t>
      </w:r>
    </w:p>
    <w:p w14:paraId="63FEAB9A" w14:textId="77777777" w:rsidR="005D768C" w:rsidRPr="00D86091" w:rsidRDefault="005D768C" w:rsidP="00D86091">
      <w:pPr>
        <w:jc w:val="left"/>
        <w:rPr>
          <w:lang w:val="en-GB"/>
        </w:rPr>
      </w:pPr>
      <w:r w:rsidRPr="00D86091">
        <w:rPr>
          <w:lang w:val="en-GB"/>
        </w:rPr>
        <w:t>X2 = Retained earnings / Total assets = 208,431 ÷ 323,354 = 0.644782</w:t>
      </w:r>
    </w:p>
    <w:p w14:paraId="3C0A2643" w14:textId="77777777" w:rsidR="005D768C" w:rsidRPr="00D86091" w:rsidRDefault="005D768C" w:rsidP="00D86091">
      <w:pPr>
        <w:jc w:val="left"/>
        <w:rPr>
          <w:lang w:val="en-GB"/>
        </w:rPr>
      </w:pPr>
      <w:r w:rsidRPr="00D86091">
        <w:rPr>
          <w:lang w:val="en-GB"/>
        </w:rPr>
        <w:t>X3 = EBIT / Total assets = (−15,297) ÷ 323,354 = −0.047303</w:t>
      </w:r>
    </w:p>
    <w:p w14:paraId="6C6AA0B8" w14:textId="77777777" w:rsidR="005D768C" w:rsidRPr="00D86091" w:rsidRDefault="005D768C" w:rsidP="00D86091">
      <w:pPr>
        <w:jc w:val="left"/>
        <w:rPr>
          <w:lang w:val="en-GB"/>
        </w:rPr>
      </w:pPr>
      <w:r w:rsidRPr="00D86091">
        <w:rPr>
          <w:lang w:val="en-GB"/>
        </w:rPr>
        <w:t>X4 = Market value of equity / Total liabilities ≈ Book equity / Total liabilities = 153,105 ÷ 170,249 = 0.899394</w:t>
      </w:r>
    </w:p>
    <w:p w14:paraId="51A49E84" w14:textId="77777777" w:rsidR="005D768C" w:rsidRPr="00D86091" w:rsidRDefault="005D768C" w:rsidP="00D86091">
      <w:pPr>
        <w:jc w:val="left"/>
        <w:rPr>
          <w:lang w:val="en-GB"/>
        </w:rPr>
      </w:pPr>
      <w:r w:rsidRPr="00D86091">
        <w:rPr>
          <w:lang w:val="en-GB"/>
        </w:rPr>
        <w:t>X5 = Sales / Total assets = 394,879 ÷ 323,354 = 1.221590</w:t>
      </w:r>
    </w:p>
    <w:p w14:paraId="3362088B" w14:textId="77777777" w:rsidR="005D768C" w:rsidRPr="00D86091" w:rsidRDefault="005D768C" w:rsidP="00D86091">
      <w:pPr>
        <w:jc w:val="left"/>
        <w:rPr>
          <w:lang w:val="en-GB"/>
        </w:rPr>
      </w:pPr>
      <w:r w:rsidRPr="00D86091">
        <w:rPr>
          <w:lang w:val="en-GB"/>
        </w:rPr>
        <w:t>Compute Z:</w:t>
      </w:r>
    </w:p>
    <w:p w14:paraId="52EE8720" w14:textId="77777777" w:rsidR="005D768C" w:rsidRPr="00D86091" w:rsidRDefault="005D768C" w:rsidP="00D86091">
      <w:pPr>
        <w:jc w:val="left"/>
        <w:rPr>
          <w:lang w:val="en-GB"/>
        </w:rPr>
      </w:pPr>
      <w:r w:rsidRPr="00D86091">
        <w:rPr>
          <w:lang w:val="en-GB"/>
        </w:rPr>
        <w:t>1.2·X1 = 1.2 × 0.260484 = 0.312581</w:t>
      </w:r>
    </w:p>
    <w:p w14:paraId="23C2AD2B" w14:textId="77777777" w:rsidR="005D768C" w:rsidRPr="00D86091" w:rsidRDefault="005D768C" w:rsidP="00D86091">
      <w:pPr>
        <w:jc w:val="left"/>
        <w:rPr>
          <w:lang w:val="en-GB"/>
        </w:rPr>
      </w:pPr>
      <w:r w:rsidRPr="00D86091">
        <w:rPr>
          <w:lang w:val="en-GB"/>
        </w:rPr>
        <w:t>1.4·X2 = 1.4 × 0.644782 = 0.902695</w:t>
      </w:r>
    </w:p>
    <w:p w14:paraId="7E7A1C97" w14:textId="77777777" w:rsidR="005D768C" w:rsidRPr="00D86091" w:rsidRDefault="005D768C" w:rsidP="00D86091">
      <w:pPr>
        <w:jc w:val="left"/>
        <w:rPr>
          <w:lang w:val="en-GB"/>
        </w:rPr>
      </w:pPr>
      <w:r w:rsidRPr="00D86091">
        <w:rPr>
          <w:lang w:val="en-GB"/>
        </w:rPr>
        <w:t>3.3·X3 = 3.3 × (−0.047303) = −0.156100</w:t>
      </w:r>
    </w:p>
    <w:p w14:paraId="2DA7C21F" w14:textId="77777777" w:rsidR="005D768C" w:rsidRPr="00D86091" w:rsidRDefault="005D768C" w:rsidP="00D86091">
      <w:pPr>
        <w:jc w:val="left"/>
        <w:rPr>
          <w:lang w:val="en-GB"/>
        </w:rPr>
      </w:pPr>
      <w:r w:rsidRPr="00D86091">
        <w:rPr>
          <w:lang w:val="en-GB"/>
        </w:rPr>
        <w:t>0.6·X4 = 0.6 × 0.899394 = 0.539636</w:t>
      </w:r>
    </w:p>
    <w:p w14:paraId="17CEDD15" w14:textId="77777777" w:rsidR="005D768C" w:rsidRPr="00D86091" w:rsidRDefault="005D768C" w:rsidP="00D86091">
      <w:pPr>
        <w:jc w:val="left"/>
        <w:rPr>
          <w:lang w:val="en-GB"/>
        </w:rPr>
      </w:pPr>
      <w:r w:rsidRPr="00D86091">
        <w:rPr>
          <w:lang w:val="en-GB"/>
        </w:rPr>
        <w:lastRenderedPageBreak/>
        <w:t>1.0·X5 = 1.0 × 1.221590 = 1.221590</w:t>
      </w:r>
    </w:p>
    <w:p w14:paraId="76041C7B" w14:textId="77777777" w:rsidR="005D768C" w:rsidRPr="00D86091" w:rsidRDefault="005D768C" w:rsidP="00D86091">
      <w:pPr>
        <w:jc w:val="left"/>
        <w:rPr>
          <w:lang w:val="en-GB"/>
        </w:rPr>
      </w:pPr>
      <w:r w:rsidRPr="00D86091">
        <w:rPr>
          <w:lang w:val="en-GB"/>
        </w:rPr>
        <w:t>Sum: Z = 0.312581 + 0.902695 − 0.156100 + 0.539636 + 1.221590 = 2.820402</w:t>
      </w:r>
    </w:p>
    <w:p w14:paraId="4C8A395E" w14:textId="79E7A8B7" w:rsidR="000816CC" w:rsidRPr="00D86091" w:rsidRDefault="005D768C" w:rsidP="00D86091">
      <w:pPr>
        <w:jc w:val="left"/>
        <w:rPr>
          <w:lang w:val="en-GB"/>
        </w:rPr>
      </w:pPr>
      <w:proofErr w:type="gramStart"/>
      <w:r w:rsidRPr="00D86091">
        <w:rPr>
          <w:lang w:val="en-GB"/>
        </w:rPr>
        <w:t>Z(</w:t>
      </w:r>
      <w:proofErr w:type="gramEnd"/>
      <w:r w:rsidRPr="00D86091">
        <w:rPr>
          <w:lang w:val="en-GB"/>
        </w:rPr>
        <w:t>2024) = 2.820 (using book equity as proxy). </w:t>
      </w:r>
    </w:p>
    <w:p w14:paraId="0841235C" w14:textId="77777777" w:rsidR="006212CC" w:rsidRPr="00D86091" w:rsidRDefault="006212CC" w:rsidP="00D86091">
      <w:pPr>
        <w:rPr>
          <w:b/>
          <w:bCs/>
          <w:lang w:val="en-GB"/>
        </w:rPr>
      </w:pPr>
      <w:bookmarkStart w:id="65" w:name="_y1tgkcokmju6" w:colFirst="0" w:colLast="0"/>
      <w:bookmarkEnd w:id="65"/>
      <w:r w:rsidRPr="00D86091">
        <w:rPr>
          <w:lang w:val="en-GB"/>
        </w:rPr>
        <w:br w:type="page"/>
      </w:r>
    </w:p>
    <w:p w14:paraId="6DC7AF4A" w14:textId="7C37EB0C" w:rsidR="000816CC" w:rsidRPr="00D86091" w:rsidRDefault="00BE1118" w:rsidP="00D86091">
      <w:pPr>
        <w:pStyle w:val="Heading2"/>
        <w:rPr>
          <w:lang w:val="en-GB"/>
        </w:rPr>
      </w:pPr>
      <w:bookmarkStart w:id="66" w:name="_Toc217308926"/>
      <w:r w:rsidRPr="00D86091">
        <w:rPr>
          <w:lang w:val="en-GB"/>
        </w:rPr>
        <w:lastRenderedPageBreak/>
        <w:t>Appendix C: Investment appraisal tables</w:t>
      </w:r>
      <w:bookmarkEnd w:id="66"/>
    </w:p>
    <w:p w14:paraId="209C8DD7" w14:textId="77777777" w:rsidR="000816CC" w:rsidRPr="00D86091" w:rsidRDefault="00BE1118" w:rsidP="00D86091">
      <w:pPr>
        <w:jc w:val="center"/>
        <w:rPr>
          <w:lang w:val="en-GB"/>
        </w:rPr>
      </w:pPr>
      <w:r w:rsidRPr="00D86091">
        <w:rPr>
          <w:noProof/>
          <w:lang w:val="en-GB"/>
        </w:rPr>
        <w:drawing>
          <wp:inline distT="114300" distB="114300" distL="114300" distR="114300" wp14:anchorId="7EFD07FF" wp14:editId="27ADB92B">
            <wp:extent cx="5073650" cy="838200"/>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54"/>
                    <a:srcRect/>
                    <a:stretch>
                      <a:fillRect/>
                    </a:stretch>
                  </pic:blipFill>
                  <pic:spPr>
                    <a:xfrm>
                      <a:off x="0" y="0"/>
                      <a:ext cx="5086053" cy="840249"/>
                    </a:xfrm>
                    <a:prstGeom prst="rect">
                      <a:avLst/>
                    </a:prstGeom>
                    <a:ln/>
                  </pic:spPr>
                </pic:pic>
              </a:graphicData>
            </a:graphic>
          </wp:inline>
        </w:drawing>
      </w:r>
    </w:p>
    <w:p w14:paraId="0926251D" w14:textId="08DD711E" w:rsidR="000816CC" w:rsidRPr="00D86091" w:rsidRDefault="00BE1118" w:rsidP="00D86091">
      <w:pPr>
        <w:jc w:val="center"/>
        <w:rPr>
          <w:lang w:val="en-GB"/>
        </w:rPr>
      </w:pPr>
      <w:r w:rsidRPr="00D86091">
        <w:rPr>
          <w:noProof/>
          <w:lang w:val="en-GB"/>
        </w:rPr>
        <w:drawing>
          <wp:inline distT="114300" distB="114300" distL="114300" distR="114300" wp14:anchorId="54CBEDD1" wp14:editId="67123337">
            <wp:extent cx="6276975" cy="976313"/>
            <wp:effectExtent l="0" t="0" r="0" b="0"/>
            <wp:docPr id="1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55"/>
                    <a:srcRect/>
                    <a:stretch>
                      <a:fillRect/>
                    </a:stretch>
                  </pic:blipFill>
                  <pic:spPr>
                    <a:xfrm>
                      <a:off x="0" y="0"/>
                      <a:ext cx="6297948" cy="979575"/>
                    </a:xfrm>
                    <a:prstGeom prst="rect">
                      <a:avLst/>
                    </a:prstGeom>
                    <a:ln/>
                  </pic:spPr>
                </pic:pic>
              </a:graphicData>
            </a:graphic>
          </wp:inline>
        </w:drawing>
      </w:r>
      <w:bookmarkStart w:id="67" w:name="_czm5ajpuakrl" w:colFirst="0" w:colLast="0"/>
      <w:bookmarkEnd w:id="67"/>
    </w:p>
    <w:sectPr w:rsidR="000816CC" w:rsidRPr="00D86091" w:rsidSect="005D768C">
      <w:headerReference w:type="even" r:id="rId56"/>
      <w:headerReference w:type="default" r:id="rId57"/>
      <w:footerReference w:type="even" r:id="rId58"/>
      <w:footerReference w:type="default" r:id="rId59"/>
      <w:headerReference w:type="first" r:id="rId60"/>
      <w:footerReference w:type="first" r:id="rId61"/>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564F7" w14:textId="77777777" w:rsidR="00000AC9" w:rsidRDefault="00000AC9" w:rsidP="005D768C">
      <w:pPr>
        <w:spacing w:line="240" w:lineRule="auto"/>
      </w:pPr>
      <w:r>
        <w:separator/>
      </w:r>
    </w:p>
  </w:endnote>
  <w:endnote w:type="continuationSeparator" w:id="0">
    <w:p w14:paraId="4DFE193E" w14:textId="77777777" w:rsidR="00000AC9" w:rsidRDefault="00000AC9" w:rsidP="005D76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90478C4-59F7-400A-BD6B-B0C2C6FAB6F6}"/>
    <w:embedBold r:id="rId2" w:fontKey="{53DE9160-D88E-4F06-9C6E-90F3FBD4CA0C}"/>
  </w:font>
  <w:font w:name="Cambria">
    <w:panose1 w:val="02040503050406030204"/>
    <w:charset w:val="00"/>
    <w:family w:val="roman"/>
    <w:pitch w:val="variable"/>
    <w:sig w:usb0="E00006FF" w:usb1="420024FF" w:usb2="02000000" w:usb3="00000000" w:csb0="0000019F" w:csb1="00000000"/>
    <w:embedRegular r:id="rId3" w:fontKey="{61B26D5D-5F56-4031-B461-CF3D099B9268}"/>
    <w:embedBold r:id="rId4" w:fontKey="{EE780E1B-90A5-42BF-A6B4-B6B531AE6016}"/>
    <w:embedBoldItalic r:id="rId5" w:fontKey="{85D07328-932D-40B9-A8A9-2F9031F4806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99499080"/>
      <w:docPartObj>
        <w:docPartGallery w:val="Page Numbers (Bottom of Page)"/>
        <w:docPartUnique/>
      </w:docPartObj>
    </w:sdtPr>
    <w:sdtEndPr>
      <w:rPr>
        <w:rStyle w:val="PageNumber"/>
      </w:rPr>
    </w:sdtEndPr>
    <w:sdtContent>
      <w:p w14:paraId="4B5113B7" w14:textId="77777777" w:rsidR="005D768C" w:rsidRDefault="005D768C" w:rsidP="003F4C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06E43E1" w14:textId="77777777" w:rsidR="005D768C" w:rsidRDefault="005D768C" w:rsidP="000E70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04291141"/>
      <w:docPartObj>
        <w:docPartGallery w:val="Page Numbers (Bottom of Page)"/>
        <w:docPartUnique/>
      </w:docPartObj>
    </w:sdtPr>
    <w:sdtEndPr>
      <w:rPr>
        <w:rStyle w:val="PageNumber"/>
      </w:rPr>
    </w:sdtEndPr>
    <w:sdtContent>
      <w:p w14:paraId="16C42D5A" w14:textId="77777777" w:rsidR="005D768C" w:rsidRDefault="005D768C" w:rsidP="003F4C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F0C86BB" w14:textId="77777777" w:rsidR="005D768C" w:rsidRDefault="005D768C" w:rsidP="000E701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33190674"/>
      <w:docPartObj>
        <w:docPartGallery w:val="Page Numbers (Bottom of Page)"/>
        <w:docPartUnique/>
      </w:docPartObj>
    </w:sdtPr>
    <w:sdtEndPr>
      <w:rPr>
        <w:rStyle w:val="PageNumber"/>
      </w:rPr>
    </w:sdtEndPr>
    <w:sdtContent>
      <w:p w14:paraId="7A8A3434" w14:textId="77777777" w:rsidR="005D768C" w:rsidRDefault="005D768C" w:rsidP="008F2F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301AF78" w14:textId="77777777" w:rsidR="005D768C" w:rsidRDefault="005D768C" w:rsidP="005D768C">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33655314"/>
      <w:docPartObj>
        <w:docPartGallery w:val="Page Numbers (Bottom of Page)"/>
        <w:docPartUnique/>
      </w:docPartObj>
    </w:sdtPr>
    <w:sdtEndPr>
      <w:rPr>
        <w:rStyle w:val="PageNumber"/>
      </w:rPr>
    </w:sdtEndPr>
    <w:sdtContent>
      <w:p w14:paraId="52B3D02C" w14:textId="77777777" w:rsidR="005D768C" w:rsidRDefault="005D768C" w:rsidP="005D768C">
        <w:pPr>
          <w:pStyle w:val="Footer"/>
          <w:framePr w:wrap="none" w:vAnchor="text" w:hAnchor="page" w:x="9904" w:y="-156"/>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745F815" w14:textId="77777777" w:rsidR="005D768C" w:rsidRDefault="005D768C" w:rsidP="005D768C">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A52FE" w14:textId="77777777" w:rsidR="005D768C" w:rsidRDefault="005D76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33F02" w14:textId="77777777" w:rsidR="00000AC9" w:rsidRDefault="00000AC9" w:rsidP="005D768C">
      <w:pPr>
        <w:spacing w:line="240" w:lineRule="auto"/>
      </w:pPr>
      <w:r>
        <w:separator/>
      </w:r>
    </w:p>
  </w:footnote>
  <w:footnote w:type="continuationSeparator" w:id="0">
    <w:p w14:paraId="5CF37324" w14:textId="77777777" w:rsidR="00000AC9" w:rsidRDefault="00000AC9" w:rsidP="005D768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54B04" w14:textId="77777777" w:rsidR="005D768C" w:rsidRDefault="005D76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8DD13" w14:textId="77777777" w:rsidR="005D768C" w:rsidRDefault="005D76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FFCC2" w14:textId="77777777" w:rsidR="005D768C" w:rsidRDefault="005D768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6CC"/>
    <w:rsid w:val="00000AC9"/>
    <w:rsid w:val="0002453B"/>
    <w:rsid w:val="00062BC6"/>
    <w:rsid w:val="000816CC"/>
    <w:rsid w:val="00094D44"/>
    <w:rsid w:val="000D1913"/>
    <w:rsid w:val="000E38C1"/>
    <w:rsid w:val="001A6BBA"/>
    <w:rsid w:val="001B08DE"/>
    <w:rsid w:val="0021388B"/>
    <w:rsid w:val="0025502A"/>
    <w:rsid w:val="002D3054"/>
    <w:rsid w:val="002E61DB"/>
    <w:rsid w:val="002F1B11"/>
    <w:rsid w:val="002F24F9"/>
    <w:rsid w:val="00387238"/>
    <w:rsid w:val="003D6AB2"/>
    <w:rsid w:val="00400058"/>
    <w:rsid w:val="004811FB"/>
    <w:rsid w:val="004C3F0D"/>
    <w:rsid w:val="005107BF"/>
    <w:rsid w:val="00535CBA"/>
    <w:rsid w:val="00564C96"/>
    <w:rsid w:val="00574512"/>
    <w:rsid w:val="005A4378"/>
    <w:rsid w:val="005D768C"/>
    <w:rsid w:val="006212CC"/>
    <w:rsid w:val="00656927"/>
    <w:rsid w:val="00714C90"/>
    <w:rsid w:val="00756C61"/>
    <w:rsid w:val="007B7C67"/>
    <w:rsid w:val="007E0055"/>
    <w:rsid w:val="008F0589"/>
    <w:rsid w:val="00926A57"/>
    <w:rsid w:val="00960256"/>
    <w:rsid w:val="00962D96"/>
    <w:rsid w:val="00977C0F"/>
    <w:rsid w:val="009A5409"/>
    <w:rsid w:val="009D7B47"/>
    <w:rsid w:val="00A21145"/>
    <w:rsid w:val="00A865F2"/>
    <w:rsid w:val="00A92817"/>
    <w:rsid w:val="00A93F90"/>
    <w:rsid w:val="00AE066E"/>
    <w:rsid w:val="00AE10D6"/>
    <w:rsid w:val="00B90E82"/>
    <w:rsid w:val="00BE1118"/>
    <w:rsid w:val="00C01009"/>
    <w:rsid w:val="00C01BB4"/>
    <w:rsid w:val="00CF0686"/>
    <w:rsid w:val="00D86091"/>
    <w:rsid w:val="00DD2F9D"/>
    <w:rsid w:val="00DD49D9"/>
    <w:rsid w:val="00ED2B11"/>
    <w:rsid w:val="00EE33BB"/>
    <w:rsid w:val="00EF5B1F"/>
    <w:rsid w:val="00F34EA6"/>
    <w:rsid w:val="00F552F7"/>
    <w:rsid w:val="00FD333F"/>
    <w:rsid w:val="00FF6B2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16909C"/>
  <w15:docId w15:val="{0B68B117-1B63-124A-81B6-6B29E5E43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32"/>
      <w:szCs w:val="3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5D768C"/>
    <w:pPr>
      <w:tabs>
        <w:tab w:val="center" w:pos="4680"/>
        <w:tab w:val="right" w:pos="9360"/>
      </w:tabs>
      <w:spacing w:line="240" w:lineRule="auto"/>
    </w:pPr>
  </w:style>
  <w:style w:type="character" w:customStyle="1" w:styleId="HeaderChar">
    <w:name w:val="Header Char"/>
    <w:basedOn w:val="DefaultParagraphFont"/>
    <w:link w:val="Header"/>
    <w:uiPriority w:val="99"/>
    <w:rsid w:val="005D768C"/>
  </w:style>
  <w:style w:type="paragraph" w:styleId="Footer">
    <w:name w:val="footer"/>
    <w:basedOn w:val="Normal"/>
    <w:link w:val="FooterChar"/>
    <w:uiPriority w:val="99"/>
    <w:unhideWhenUsed/>
    <w:rsid w:val="005D768C"/>
    <w:pPr>
      <w:tabs>
        <w:tab w:val="center" w:pos="4680"/>
        <w:tab w:val="right" w:pos="9360"/>
      </w:tabs>
      <w:spacing w:line="240" w:lineRule="auto"/>
    </w:pPr>
  </w:style>
  <w:style w:type="character" w:customStyle="1" w:styleId="FooterChar">
    <w:name w:val="Footer Char"/>
    <w:basedOn w:val="DefaultParagraphFont"/>
    <w:link w:val="Footer"/>
    <w:uiPriority w:val="99"/>
    <w:rsid w:val="005D768C"/>
  </w:style>
  <w:style w:type="character" w:styleId="PageNumber">
    <w:name w:val="page number"/>
    <w:basedOn w:val="DefaultParagraphFont"/>
    <w:uiPriority w:val="99"/>
    <w:semiHidden/>
    <w:unhideWhenUsed/>
    <w:rsid w:val="005D768C"/>
  </w:style>
  <w:style w:type="paragraph" w:styleId="TOCHeading">
    <w:name w:val="TOC Heading"/>
    <w:basedOn w:val="Heading1"/>
    <w:next w:val="Normal"/>
    <w:uiPriority w:val="39"/>
    <w:unhideWhenUsed/>
    <w:qFormat/>
    <w:rsid w:val="005D768C"/>
    <w:pPr>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en-US"/>
    </w:rPr>
  </w:style>
  <w:style w:type="paragraph" w:styleId="TOC1">
    <w:name w:val="toc 1"/>
    <w:basedOn w:val="Normal"/>
    <w:next w:val="Normal"/>
    <w:autoRedefine/>
    <w:uiPriority w:val="39"/>
    <w:unhideWhenUsed/>
    <w:rsid w:val="005D768C"/>
    <w:pPr>
      <w:spacing w:before="120"/>
      <w:jc w:val="left"/>
    </w:pPr>
    <w:rPr>
      <w:rFonts w:asciiTheme="minorHAnsi" w:hAnsiTheme="minorHAnsi"/>
      <w:b/>
      <w:bCs/>
      <w:i/>
      <w:iCs/>
    </w:rPr>
  </w:style>
  <w:style w:type="paragraph" w:styleId="TOC2">
    <w:name w:val="toc 2"/>
    <w:basedOn w:val="Normal"/>
    <w:next w:val="Normal"/>
    <w:autoRedefine/>
    <w:uiPriority w:val="39"/>
    <w:unhideWhenUsed/>
    <w:rsid w:val="005D768C"/>
    <w:pPr>
      <w:spacing w:before="120"/>
      <w:ind w:left="240"/>
      <w:jc w:val="left"/>
    </w:pPr>
    <w:rPr>
      <w:rFonts w:asciiTheme="minorHAnsi" w:hAnsiTheme="minorHAnsi"/>
      <w:b/>
      <w:bCs/>
      <w:sz w:val="22"/>
      <w:szCs w:val="22"/>
    </w:rPr>
  </w:style>
  <w:style w:type="character" w:styleId="Hyperlink">
    <w:name w:val="Hyperlink"/>
    <w:basedOn w:val="DefaultParagraphFont"/>
    <w:uiPriority w:val="99"/>
    <w:unhideWhenUsed/>
    <w:rsid w:val="005D768C"/>
    <w:rPr>
      <w:color w:val="0000FF" w:themeColor="hyperlink"/>
      <w:u w:val="single"/>
    </w:rPr>
  </w:style>
  <w:style w:type="paragraph" w:styleId="TOC3">
    <w:name w:val="toc 3"/>
    <w:basedOn w:val="Normal"/>
    <w:next w:val="Normal"/>
    <w:autoRedefine/>
    <w:uiPriority w:val="39"/>
    <w:semiHidden/>
    <w:unhideWhenUsed/>
    <w:rsid w:val="005D768C"/>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5D768C"/>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5D768C"/>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5D768C"/>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5D768C"/>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5D768C"/>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5D768C"/>
    <w:pPr>
      <w:ind w:left="192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hyperlink" Target="https://proceedings.antispublisher.org/index.php/icossh/article/view/62" TargetMode="External"/><Relationship Id="rId39" Type="http://schemas.openxmlformats.org/officeDocument/2006/relationships/hyperlink" Target="https://journal.yayasanpad.org/index.php/sajmr/article/view/409" TargetMode="External"/><Relationship Id="rId21" Type="http://schemas.openxmlformats.org/officeDocument/2006/relationships/hyperlink" Target="https://www.tandfonline.com/doi/abs/10.1080/00472778.2024.2415302" TargetMode="External"/><Relationship Id="rId34" Type="http://schemas.openxmlformats.org/officeDocument/2006/relationships/hyperlink" Target="https://www.tandfonline.com/doi/abs/10.1080/23322039.2025.2521466" TargetMode="External"/><Relationship Id="rId42" Type="http://schemas.openxmlformats.org/officeDocument/2006/relationships/hyperlink" Target="https://papers.ssrn.com/sol3/papers.cfm?abstract_id=5294575" TargetMode="External"/><Relationship Id="rId47" Type="http://schemas.openxmlformats.org/officeDocument/2006/relationships/hyperlink" Target="https://papers.ssrn.com/sol3/papers.cfm?abstract_id=5403522" TargetMode="External"/><Relationship Id="rId50" Type="http://schemas.openxmlformats.org/officeDocument/2006/relationships/hyperlink" Target="https://papers.ssrn.com/sol3/papers.cfm?abstract_id=5159976" TargetMode="External"/><Relationship Id="rId55" Type="http://schemas.openxmlformats.org/officeDocument/2006/relationships/image" Target="media/image6.png"/><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chart" Target="charts/chart7.xml"/><Relationship Id="rId29" Type="http://schemas.openxmlformats.org/officeDocument/2006/relationships/hyperlink" Target="https://onlinelibrary.wiley.com/doi/abs/10.1111/1467-8551.12882" TargetMode="External"/><Relationship Id="rId11" Type="http://schemas.openxmlformats.org/officeDocument/2006/relationships/chart" Target="charts/chart2.xml"/><Relationship Id="rId24" Type="http://schemas.openxmlformats.org/officeDocument/2006/relationships/hyperlink" Target="https://noyam.org/wp-content/uploads/2025/06/EHASS20256719.pdf" TargetMode="External"/><Relationship Id="rId32" Type="http://schemas.openxmlformats.org/officeDocument/2006/relationships/hyperlink" Target="http://ajeaf.com/index.php/Journal/article/view/106" TargetMode="External"/><Relationship Id="rId37" Type="http://schemas.openxmlformats.org/officeDocument/2006/relationships/hyperlink" Target="https://www.sciencedirect.com/science/article/pii/S0007681325001727" TargetMode="External"/><Relationship Id="rId40" Type="http://schemas.openxmlformats.org/officeDocument/2006/relationships/hyperlink" Target="https://www.mdpi.com/2076-3387/15/2/63" TargetMode="External"/><Relationship Id="rId45" Type="http://schemas.openxmlformats.org/officeDocument/2006/relationships/hyperlink" Target="https://journals.sagepub.com/doi/abs/10.1177/25166042241304554" TargetMode="External"/><Relationship Id="rId53" Type="http://schemas.openxmlformats.org/officeDocument/2006/relationships/image" Target="media/image4.png"/><Relationship Id="rId58" Type="http://schemas.openxmlformats.org/officeDocument/2006/relationships/footer" Target="footer3.xml"/><Relationship Id="rId5" Type="http://schemas.openxmlformats.org/officeDocument/2006/relationships/footnotes" Target="footnotes.xml"/><Relationship Id="rId61" Type="http://schemas.openxmlformats.org/officeDocument/2006/relationships/footer" Target="footer5.xml"/><Relationship Id="rId19" Type="http://schemas.openxmlformats.org/officeDocument/2006/relationships/chart" Target="charts/chart10.xml"/><Relationship Id="rId14" Type="http://schemas.openxmlformats.org/officeDocument/2006/relationships/chart" Target="charts/chart5.xml"/><Relationship Id="rId22" Type="http://schemas.openxmlformats.org/officeDocument/2006/relationships/hyperlink" Target="https://www.mdpi.com/1911-8074/18/8/465" TargetMode="External"/><Relationship Id="rId27" Type="http://schemas.openxmlformats.org/officeDocument/2006/relationships/hyperlink" Target="https://www.emerald.com/ejim/article-abstract/28/11/1/1267119" TargetMode="External"/><Relationship Id="rId30" Type="http://schemas.openxmlformats.org/officeDocument/2006/relationships/hyperlink" Target="https://journals.co.za/doi/abs/10.35683/jcm23.005.285" TargetMode="External"/><Relationship Id="rId35" Type="http://schemas.openxmlformats.org/officeDocument/2006/relationships/hyperlink" Target="https://www.researchgate.net/profile/Chetachi-Mammah/publication/396384490_Strategic_branch_management_in_commercial_banks_Driving_profitability_through_operational_efficiency/links/68e91399e7f5f867e6de93fe/Strategic-branch-management-in-commercial-banks-Driving-profitability-through-operational-efficiency.pdf" TargetMode="External"/><Relationship Id="rId43" Type="http://schemas.openxmlformats.org/officeDocument/2006/relationships/hyperlink" Target="https://papers.ssrn.com/sol3/papers.cfm?abstract_id=5241872" TargetMode="External"/><Relationship Id="rId48" Type="http://schemas.openxmlformats.org/officeDocument/2006/relationships/hyperlink" Target="https://www.sciencedirect.com/science/article/pii/S0090261625000233" TargetMode="External"/><Relationship Id="rId56" Type="http://schemas.openxmlformats.org/officeDocument/2006/relationships/header" Target="header1.xml"/><Relationship Id="rId8" Type="http://schemas.openxmlformats.org/officeDocument/2006/relationships/footer" Target="footer1.xml"/><Relationship Id="rId51"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hyperlink" Target="https://www.elgaronline.com/edcollchap/book/9781035315901/chapter16.xml" TargetMode="External"/><Relationship Id="rId33" Type="http://schemas.openxmlformats.org/officeDocument/2006/relationships/hyperlink" Target="https://www.elgaronline.com/abstract/book/9781035315901/chapter8.xml" TargetMode="External"/><Relationship Id="rId38" Type="http://schemas.openxmlformats.org/officeDocument/2006/relationships/hyperlink" Target="https://www.mdpi.com/2071-1050/17/4/1535" TargetMode="External"/><Relationship Id="rId46" Type="http://schemas.openxmlformats.org/officeDocument/2006/relationships/hyperlink" Target="http://jurnaljipsya.org/index.php/jipsya/article/view/313" TargetMode="External"/><Relationship Id="rId59" Type="http://schemas.openxmlformats.org/officeDocument/2006/relationships/footer" Target="footer4.xml"/><Relationship Id="rId20" Type="http://schemas.openxmlformats.org/officeDocument/2006/relationships/chart" Target="charts/chart11.xml"/><Relationship Id="rId41" Type="http://schemas.openxmlformats.org/officeDocument/2006/relationships/hyperlink" Target="https://www.emerald.com/jed/article-pdf/27/3/264/10079017/jed-08-2024-0281en.pdf" TargetMode="External"/><Relationship Id="rId54" Type="http://schemas.openxmlformats.org/officeDocument/2006/relationships/image" Target="media/image5.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chart" Target="charts/chart6.xml"/><Relationship Id="rId23" Type="http://schemas.openxmlformats.org/officeDocument/2006/relationships/hyperlink" Target="https://www.elgaronline.com/abstract/book/9781035315901/chapter3.xml" TargetMode="External"/><Relationship Id="rId28" Type="http://schemas.openxmlformats.org/officeDocument/2006/relationships/hyperlink" Target="https://www.tandfonline.com/doi/abs/10.1080/00472778.2025.2515072" TargetMode="External"/><Relationship Id="rId36" Type="http://schemas.openxmlformats.org/officeDocument/2006/relationships/hyperlink" Target="https://e-journal.penerbit-altafcorp.com/index.php/jemba/article/view/10" TargetMode="External"/><Relationship Id="rId49" Type="http://schemas.openxmlformats.org/officeDocument/2006/relationships/hyperlink" Target="https://ir-library.ku.ac.ke/server/api/core/bitstreams/78baabc3-5c42-4c54-9a97-11a8d71781d7/content" TargetMode="External"/><Relationship Id="rId57" Type="http://schemas.openxmlformats.org/officeDocument/2006/relationships/header" Target="header2.xml"/><Relationship Id="rId10" Type="http://schemas.openxmlformats.org/officeDocument/2006/relationships/chart" Target="charts/chart1.xml"/><Relationship Id="rId31" Type="http://schemas.openxmlformats.org/officeDocument/2006/relationships/hyperlink" Target="https://policyjournalofms.com/index.php/6/article/view/844" TargetMode="External"/><Relationship Id="rId44" Type="http://schemas.openxmlformats.org/officeDocument/2006/relationships/hyperlink" Target="https://journals.sagepub.com/doi/abs/10.1177/23409444221120053" TargetMode="External"/><Relationship Id="rId52" Type="http://schemas.openxmlformats.org/officeDocument/2006/relationships/image" Target="media/image3.png"/><Relationship Id="rId6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charts/_rels/chart1.xml.rels><?xml version="1.0" encoding="UTF-8" standalone="yes"?>
<Relationships xmlns="http://schemas.openxmlformats.org/package/2006/relationships"><Relationship Id="rId3" Type="http://schemas.openxmlformats.org/officeDocument/2006/relationships/oleObject" Target="file:///C:\sepely\Work\my%20work\Dec\BR-AP241%20(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sepely\Work\my%20work\Dec\BR-AP241%20(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sepely\Work\my%20work\Dec\BR-AP241%20(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sepely\Work\my%20work\Dec\BR-AP241%20(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sepely\Work\my%20work\Dec\BR-AP241%20(3).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sepely\Work\my%20work\Dec\BR-AP241%20(3).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sepely\Work\my%20work\Dec\BR-AP241%20(3).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sepely\Work\my%20work\Dec\BR-AP241%20(3).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sepely\Work\my%20work\Dec\BR-AP241%20(3).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sepely\Work\my%20work\Dec\BR-AP241%20(3).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sepely\Work\my%20work\Dec\BR-AP241%20(3).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Ratios!$A$2</c:f>
              <c:strCache>
                <c:ptCount val="1"/>
                <c:pt idx="0">
                  <c:v>Gross Margin</c:v>
                </c:pt>
              </c:strCache>
            </c:strRef>
          </c:tx>
          <c:spPr>
            <a:gradFill rotWithShape="1">
              <a:gsLst>
                <a:gs pos="0">
                  <a:schemeClr val="accent6">
                    <a:tint val="100000"/>
                    <a:shade val="100000"/>
                    <a:satMod val="130000"/>
                  </a:schemeClr>
                </a:gs>
                <a:gs pos="100000">
                  <a:schemeClr val="accent6">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Ratios!$B$1:$F$1</c:f>
              <c:strCache>
                <c:ptCount val="5"/>
                <c:pt idx="0">
                  <c:v>2020</c:v>
                </c:pt>
                <c:pt idx="1">
                  <c:v>2021</c:v>
                </c:pt>
                <c:pt idx="2">
                  <c:v>2022</c:v>
                </c:pt>
                <c:pt idx="3">
                  <c:v>2023</c:v>
                </c:pt>
                <c:pt idx="4">
                  <c:v>2024</c:v>
                </c:pt>
              </c:strCache>
            </c:strRef>
          </c:cat>
          <c:val>
            <c:numRef>
              <c:f>Ratios!$B$2:$F$2</c:f>
              <c:numCache>
                <c:formatCode>General</c:formatCode>
                <c:ptCount val="5"/>
                <c:pt idx="0">
                  <c:v>0.28699999999999998</c:v>
                </c:pt>
                <c:pt idx="1">
                  <c:v>0.28799999999999998</c:v>
                </c:pt>
                <c:pt idx="2" formatCode="0.000">
                  <c:v>0.28059275800505207</c:v>
                </c:pt>
                <c:pt idx="3">
                  <c:v>0.23200000000000001</c:v>
                </c:pt>
                <c:pt idx="4">
                  <c:v>0.28899999999999998</c:v>
                </c:pt>
              </c:numCache>
            </c:numRef>
          </c:val>
          <c:extLst>
            <c:ext xmlns:c16="http://schemas.microsoft.com/office/drawing/2014/chart" uri="{C3380CC4-5D6E-409C-BE32-E72D297353CC}">
              <c16:uniqueId val="{00000000-9112-4E1A-9D21-CCDD53CE0C5F}"/>
            </c:ext>
          </c:extLst>
        </c:ser>
        <c:dLbls>
          <c:showLegendKey val="0"/>
          <c:showVal val="0"/>
          <c:showCatName val="0"/>
          <c:showSerName val="0"/>
          <c:showPercent val="0"/>
          <c:showBubbleSize val="0"/>
        </c:dLbls>
        <c:gapWidth val="115"/>
        <c:overlap val="-20"/>
        <c:axId val="1756895072"/>
        <c:axId val="1838775168"/>
      </c:barChart>
      <c:catAx>
        <c:axId val="1756895072"/>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38775168"/>
        <c:crosses val="autoZero"/>
        <c:auto val="1"/>
        <c:lblAlgn val="ctr"/>
        <c:lblOffset val="100"/>
        <c:noMultiLvlLbl val="0"/>
      </c:catAx>
      <c:valAx>
        <c:axId val="1838775168"/>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756895072"/>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Ratios!$A$3</c:f>
              <c:strCache>
                <c:ptCount val="1"/>
                <c:pt idx="0">
                  <c:v>Operating Margin</c:v>
                </c:pt>
              </c:strCache>
            </c:strRef>
          </c:tx>
          <c:spPr>
            <a:gradFill rotWithShape="1">
              <a:gsLst>
                <a:gs pos="0">
                  <a:schemeClr val="accent6">
                    <a:tint val="100000"/>
                    <a:shade val="100000"/>
                    <a:satMod val="130000"/>
                  </a:schemeClr>
                </a:gs>
                <a:gs pos="100000">
                  <a:schemeClr val="accent6">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Ratios!$B$1:$F$1</c:f>
              <c:strCache>
                <c:ptCount val="5"/>
                <c:pt idx="0">
                  <c:v>2020</c:v>
                </c:pt>
                <c:pt idx="1">
                  <c:v>2021</c:v>
                </c:pt>
                <c:pt idx="2">
                  <c:v>2022</c:v>
                </c:pt>
                <c:pt idx="3">
                  <c:v>2023</c:v>
                </c:pt>
                <c:pt idx="4">
                  <c:v>2024</c:v>
                </c:pt>
              </c:strCache>
            </c:strRef>
          </c:cat>
          <c:val>
            <c:numRef>
              <c:f>Ratios!$B$3:$F$3</c:f>
              <c:numCache>
                <c:formatCode>General</c:formatCode>
                <c:ptCount val="5"/>
                <c:pt idx="0">
                  <c:v>6.0999999999999999E-2</c:v>
                </c:pt>
                <c:pt idx="1">
                  <c:v>3.9E-2</c:v>
                </c:pt>
                <c:pt idx="2" formatCode="0.000">
                  <c:v>2.6804188292605634E-2</c:v>
                </c:pt>
                <c:pt idx="3">
                  <c:v>-0.20300000000000001</c:v>
                </c:pt>
                <c:pt idx="4">
                  <c:v>-3.9E-2</c:v>
                </c:pt>
              </c:numCache>
            </c:numRef>
          </c:val>
          <c:extLst>
            <c:ext xmlns:c16="http://schemas.microsoft.com/office/drawing/2014/chart" uri="{C3380CC4-5D6E-409C-BE32-E72D297353CC}">
              <c16:uniqueId val="{00000000-F828-48FB-B88F-BAB481F3A0E3}"/>
            </c:ext>
          </c:extLst>
        </c:ser>
        <c:dLbls>
          <c:showLegendKey val="0"/>
          <c:showVal val="0"/>
          <c:showCatName val="0"/>
          <c:showSerName val="0"/>
          <c:showPercent val="0"/>
          <c:showBubbleSize val="0"/>
        </c:dLbls>
        <c:gapWidth val="115"/>
        <c:overlap val="-20"/>
        <c:axId val="254094496"/>
        <c:axId val="254002832"/>
      </c:barChart>
      <c:catAx>
        <c:axId val="25409449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54002832"/>
        <c:crosses val="autoZero"/>
        <c:auto val="1"/>
        <c:lblAlgn val="ctr"/>
        <c:lblOffset val="100"/>
        <c:noMultiLvlLbl val="0"/>
      </c:catAx>
      <c:valAx>
        <c:axId val="254002832"/>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54094496"/>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Net Profit Margin</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Ratios!$A$4</c:f>
              <c:strCache>
                <c:ptCount val="1"/>
                <c:pt idx="0">
                  <c:v>Net Margin</c:v>
                </c:pt>
              </c:strCache>
            </c:strRef>
          </c:tx>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Ratios!$B$1:$F$1</c:f>
              <c:strCache>
                <c:ptCount val="5"/>
                <c:pt idx="0">
                  <c:v>2020</c:v>
                </c:pt>
                <c:pt idx="1">
                  <c:v>2021</c:v>
                </c:pt>
                <c:pt idx="2">
                  <c:v>2022</c:v>
                </c:pt>
                <c:pt idx="3">
                  <c:v>2023</c:v>
                </c:pt>
                <c:pt idx="4">
                  <c:v>2024</c:v>
                </c:pt>
              </c:strCache>
            </c:strRef>
          </c:cat>
          <c:val>
            <c:numRef>
              <c:f>Ratios!$B$4:$F$4</c:f>
              <c:numCache>
                <c:formatCode>General</c:formatCode>
                <c:ptCount val="5"/>
                <c:pt idx="0">
                  <c:v>6.3E-2</c:v>
                </c:pt>
                <c:pt idx="1">
                  <c:v>8.9999999999999993E-3</c:v>
                </c:pt>
                <c:pt idx="2" formatCode="0.000">
                  <c:v>7.4988346405626153E-4</c:v>
                </c:pt>
                <c:pt idx="3">
                  <c:v>-0.23400000000000001</c:v>
                </c:pt>
                <c:pt idx="4">
                  <c:v>-6.0999999999999999E-2</c:v>
                </c:pt>
              </c:numCache>
            </c:numRef>
          </c:val>
          <c:extLst>
            <c:ext xmlns:c16="http://schemas.microsoft.com/office/drawing/2014/chart" uri="{C3380CC4-5D6E-409C-BE32-E72D297353CC}">
              <c16:uniqueId val="{00000000-4B1C-49F0-8F8E-2DCD888DFD43}"/>
            </c:ext>
          </c:extLst>
        </c:ser>
        <c:dLbls>
          <c:dLblPos val="inEnd"/>
          <c:showLegendKey val="0"/>
          <c:showVal val="1"/>
          <c:showCatName val="0"/>
          <c:showSerName val="0"/>
          <c:showPercent val="0"/>
          <c:showBubbleSize val="0"/>
        </c:dLbls>
        <c:gapWidth val="65"/>
        <c:axId val="2076510768"/>
        <c:axId val="2077990064"/>
      </c:barChart>
      <c:catAx>
        <c:axId val="207651076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077990064"/>
        <c:crosses val="autoZero"/>
        <c:auto val="1"/>
        <c:lblAlgn val="ctr"/>
        <c:lblOffset val="100"/>
        <c:noMultiLvlLbl val="0"/>
      </c:catAx>
      <c:valAx>
        <c:axId val="207799006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076510768"/>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Ratios!$A$10</c:f>
              <c:strCache>
                <c:ptCount val="1"/>
                <c:pt idx="0">
                  <c:v>ROA</c:v>
                </c:pt>
              </c:strCache>
            </c:strRef>
          </c:tx>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Ratios!$B$1:$F$1</c:f>
              <c:strCache>
                <c:ptCount val="5"/>
                <c:pt idx="0">
                  <c:v>2020</c:v>
                </c:pt>
                <c:pt idx="1">
                  <c:v>2021</c:v>
                </c:pt>
                <c:pt idx="2">
                  <c:v>2022</c:v>
                </c:pt>
                <c:pt idx="3">
                  <c:v>2023</c:v>
                </c:pt>
                <c:pt idx="4">
                  <c:v>2024</c:v>
                </c:pt>
              </c:strCache>
            </c:strRef>
          </c:cat>
          <c:val>
            <c:numRef>
              <c:f>Ratios!$B$10:$F$10</c:f>
              <c:numCache>
                <c:formatCode>General</c:formatCode>
                <c:ptCount val="5"/>
                <c:pt idx="0">
                  <c:v>7.5999999999999998E-2</c:v>
                </c:pt>
                <c:pt idx="1">
                  <c:v>0.01</c:v>
                </c:pt>
                <c:pt idx="2" formatCode="0.000">
                  <c:v>8.0727859838980649E-4</c:v>
                </c:pt>
                <c:pt idx="3">
                  <c:v>-0.27600000000000002</c:v>
                </c:pt>
                <c:pt idx="4">
                  <c:v>-7.3999999999999996E-2</c:v>
                </c:pt>
              </c:numCache>
            </c:numRef>
          </c:val>
          <c:extLst>
            <c:ext xmlns:c16="http://schemas.microsoft.com/office/drawing/2014/chart" uri="{C3380CC4-5D6E-409C-BE32-E72D297353CC}">
              <c16:uniqueId val="{00000000-3BD6-4CFD-AD72-7ABAEADEC606}"/>
            </c:ext>
          </c:extLst>
        </c:ser>
        <c:dLbls>
          <c:dLblPos val="inEnd"/>
          <c:showLegendKey val="0"/>
          <c:showVal val="1"/>
          <c:showCatName val="0"/>
          <c:showSerName val="0"/>
          <c:showPercent val="0"/>
          <c:showBubbleSize val="0"/>
        </c:dLbls>
        <c:gapWidth val="65"/>
        <c:axId val="2078239728"/>
        <c:axId val="2074038208"/>
      </c:barChart>
      <c:catAx>
        <c:axId val="207823972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074038208"/>
        <c:crosses val="autoZero"/>
        <c:auto val="1"/>
        <c:lblAlgn val="ctr"/>
        <c:lblOffset val="100"/>
        <c:noMultiLvlLbl val="0"/>
      </c:catAx>
      <c:valAx>
        <c:axId val="207403820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078239728"/>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Ratios!$A$11</c:f>
              <c:strCache>
                <c:ptCount val="1"/>
                <c:pt idx="0">
                  <c:v>ROE</c:v>
                </c:pt>
              </c:strCache>
            </c:strRef>
          </c:tx>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Ratios!$B$1:$F$1</c:f>
              <c:strCache>
                <c:ptCount val="5"/>
                <c:pt idx="0">
                  <c:v>2020</c:v>
                </c:pt>
                <c:pt idx="1">
                  <c:v>2021</c:v>
                </c:pt>
                <c:pt idx="2">
                  <c:v>2022</c:v>
                </c:pt>
                <c:pt idx="3">
                  <c:v>2023</c:v>
                </c:pt>
                <c:pt idx="4">
                  <c:v>2024</c:v>
                </c:pt>
              </c:strCache>
            </c:strRef>
          </c:cat>
          <c:val>
            <c:numRef>
              <c:f>Ratios!$B$11:$F$11</c:f>
              <c:numCache>
                <c:formatCode>General</c:formatCode>
                <c:ptCount val="5"/>
                <c:pt idx="0">
                  <c:v>0.123</c:v>
                </c:pt>
                <c:pt idx="1">
                  <c:v>1.9E-2</c:v>
                </c:pt>
                <c:pt idx="2" formatCode="0.000">
                  <c:v>1.5163595448685946E-3</c:v>
                </c:pt>
                <c:pt idx="3">
                  <c:v>-0.54900000000000004</c:v>
                </c:pt>
                <c:pt idx="4">
                  <c:v>-0.157</c:v>
                </c:pt>
              </c:numCache>
            </c:numRef>
          </c:val>
          <c:extLst>
            <c:ext xmlns:c16="http://schemas.microsoft.com/office/drawing/2014/chart" uri="{C3380CC4-5D6E-409C-BE32-E72D297353CC}">
              <c16:uniqueId val="{00000000-50CC-4B35-833E-F16E9347B0DE}"/>
            </c:ext>
          </c:extLst>
        </c:ser>
        <c:dLbls>
          <c:dLblPos val="inEnd"/>
          <c:showLegendKey val="0"/>
          <c:showVal val="1"/>
          <c:showCatName val="0"/>
          <c:showSerName val="0"/>
          <c:showPercent val="0"/>
          <c:showBubbleSize val="0"/>
        </c:dLbls>
        <c:gapWidth val="65"/>
        <c:axId val="2083627344"/>
        <c:axId val="492302144"/>
      </c:barChart>
      <c:catAx>
        <c:axId val="208362734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92302144"/>
        <c:crosses val="autoZero"/>
        <c:auto val="1"/>
        <c:lblAlgn val="ctr"/>
        <c:lblOffset val="100"/>
        <c:noMultiLvlLbl val="0"/>
      </c:catAx>
      <c:valAx>
        <c:axId val="49230214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083627344"/>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Ratios!$A$5</c:f>
              <c:strCache>
                <c:ptCount val="1"/>
                <c:pt idx="0">
                  <c:v>Current Ratio</c:v>
                </c:pt>
              </c:strCache>
            </c:strRef>
          </c:tx>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Ratios!$B$1:$F$1</c:f>
              <c:strCache>
                <c:ptCount val="5"/>
                <c:pt idx="0">
                  <c:v>2020</c:v>
                </c:pt>
                <c:pt idx="1">
                  <c:v>2021</c:v>
                </c:pt>
                <c:pt idx="2">
                  <c:v>2022</c:v>
                </c:pt>
                <c:pt idx="3">
                  <c:v>2023</c:v>
                </c:pt>
                <c:pt idx="4">
                  <c:v>2024</c:v>
                </c:pt>
              </c:strCache>
            </c:strRef>
          </c:cat>
          <c:val>
            <c:numRef>
              <c:f>Ratios!$B$5:$F$5</c:f>
              <c:numCache>
                <c:formatCode>General</c:formatCode>
                <c:ptCount val="5"/>
                <c:pt idx="0">
                  <c:v>1.821</c:v>
                </c:pt>
                <c:pt idx="1">
                  <c:v>1.5549999999999999</c:v>
                </c:pt>
                <c:pt idx="2" formatCode="0.000">
                  <c:v>1.5615804280441441</c:v>
                </c:pt>
                <c:pt idx="3">
                  <c:v>1.6060000000000001</c:v>
                </c:pt>
                <c:pt idx="4">
                  <c:v>1.532</c:v>
                </c:pt>
              </c:numCache>
            </c:numRef>
          </c:val>
          <c:extLst>
            <c:ext xmlns:c16="http://schemas.microsoft.com/office/drawing/2014/chart" uri="{C3380CC4-5D6E-409C-BE32-E72D297353CC}">
              <c16:uniqueId val="{00000000-F322-4BFA-84DB-1287D80B6A41}"/>
            </c:ext>
          </c:extLst>
        </c:ser>
        <c:dLbls>
          <c:dLblPos val="inEnd"/>
          <c:showLegendKey val="0"/>
          <c:showVal val="1"/>
          <c:showCatName val="0"/>
          <c:showSerName val="0"/>
          <c:showPercent val="0"/>
          <c:showBubbleSize val="0"/>
        </c:dLbls>
        <c:gapWidth val="65"/>
        <c:axId val="2026952368"/>
        <c:axId val="2027628672"/>
      </c:barChart>
      <c:catAx>
        <c:axId val="202695236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027628672"/>
        <c:crosses val="autoZero"/>
        <c:auto val="1"/>
        <c:lblAlgn val="ctr"/>
        <c:lblOffset val="100"/>
        <c:noMultiLvlLbl val="0"/>
      </c:catAx>
      <c:valAx>
        <c:axId val="202762867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026952368"/>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Ratios!$A$6</c:f>
              <c:strCache>
                <c:ptCount val="1"/>
                <c:pt idx="0">
                  <c:v>Quick Ratio</c:v>
                </c:pt>
              </c:strCache>
            </c:strRef>
          </c:tx>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Ratios!$B$1:$F$1</c:f>
              <c:strCache>
                <c:ptCount val="5"/>
                <c:pt idx="0">
                  <c:v>2020</c:v>
                </c:pt>
                <c:pt idx="1">
                  <c:v>2021</c:v>
                </c:pt>
                <c:pt idx="2">
                  <c:v>2022</c:v>
                </c:pt>
                <c:pt idx="3">
                  <c:v>2023</c:v>
                </c:pt>
                <c:pt idx="4">
                  <c:v>2024</c:v>
                </c:pt>
              </c:strCache>
            </c:strRef>
          </c:cat>
          <c:val>
            <c:numRef>
              <c:f>Ratios!$B$6:$F$6</c:f>
              <c:numCache>
                <c:formatCode>General</c:formatCode>
                <c:ptCount val="5"/>
                <c:pt idx="0">
                  <c:v>1.1499999999999999</c:v>
                </c:pt>
                <c:pt idx="1">
                  <c:v>0.93500000000000005</c:v>
                </c:pt>
                <c:pt idx="2" formatCode="0.000">
                  <c:v>0.9140123710578224</c:v>
                </c:pt>
                <c:pt idx="3">
                  <c:v>1.0589999999999999</c:v>
                </c:pt>
                <c:pt idx="4">
                  <c:v>1.0309999999999999</c:v>
                </c:pt>
              </c:numCache>
            </c:numRef>
          </c:val>
          <c:extLst>
            <c:ext xmlns:c16="http://schemas.microsoft.com/office/drawing/2014/chart" uri="{C3380CC4-5D6E-409C-BE32-E72D297353CC}">
              <c16:uniqueId val="{00000000-1ED0-40EB-A7B2-C01DAFB52985}"/>
            </c:ext>
          </c:extLst>
        </c:ser>
        <c:dLbls>
          <c:dLblPos val="inEnd"/>
          <c:showLegendKey val="0"/>
          <c:showVal val="1"/>
          <c:showCatName val="0"/>
          <c:showSerName val="0"/>
          <c:showPercent val="0"/>
          <c:showBubbleSize val="0"/>
        </c:dLbls>
        <c:gapWidth val="65"/>
        <c:axId val="253959392"/>
        <c:axId val="253832048"/>
      </c:barChart>
      <c:catAx>
        <c:axId val="25395939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53832048"/>
        <c:crosses val="autoZero"/>
        <c:auto val="1"/>
        <c:lblAlgn val="ctr"/>
        <c:lblOffset val="100"/>
        <c:noMultiLvlLbl val="0"/>
      </c:catAx>
      <c:valAx>
        <c:axId val="25383204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5395939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Ratios!$A$7</c:f>
              <c:strCache>
                <c:ptCount val="1"/>
                <c:pt idx="0">
                  <c:v>Inventory Days</c:v>
                </c:pt>
              </c:strCache>
            </c:strRef>
          </c:tx>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Ratios!$B$1:$F$1</c:f>
              <c:strCache>
                <c:ptCount val="5"/>
                <c:pt idx="0">
                  <c:v>2020</c:v>
                </c:pt>
                <c:pt idx="1">
                  <c:v>2021</c:v>
                </c:pt>
                <c:pt idx="2">
                  <c:v>2022</c:v>
                </c:pt>
                <c:pt idx="3">
                  <c:v>2023</c:v>
                </c:pt>
                <c:pt idx="4">
                  <c:v>2024</c:v>
                </c:pt>
              </c:strCache>
            </c:strRef>
          </c:cat>
          <c:val>
            <c:numRef>
              <c:f>Ratios!$B$7:$F$7</c:f>
              <c:numCache>
                <c:formatCode>General</c:formatCode>
                <c:ptCount val="5"/>
                <c:pt idx="0">
                  <c:v>71.512</c:v>
                </c:pt>
                <c:pt idx="1">
                  <c:v>81.584000000000003</c:v>
                </c:pt>
                <c:pt idx="2" formatCode="0.000">
                  <c:v>94.271710231763748</c:v>
                </c:pt>
                <c:pt idx="3">
                  <c:v>76.63</c:v>
                </c:pt>
                <c:pt idx="4">
                  <c:v>73.350999999999999</c:v>
                </c:pt>
              </c:numCache>
            </c:numRef>
          </c:val>
          <c:extLst>
            <c:ext xmlns:c16="http://schemas.microsoft.com/office/drawing/2014/chart" uri="{C3380CC4-5D6E-409C-BE32-E72D297353CC}">
              <c16:uniqueId val="{00000000-B95E-408D-B8B2-2144D04538E3}"/>
            </c:ext>
          </c:extLst>
        </c:ser>
        <c:dLbls>
          <c:dLblPos val="inEnd"/>
          <c:showLegendKey val="0"/>
          <c:showVal val="1"/>
          <c:showCatName val="0"/>
          <c:showSerName val="0"/>
          <c:showPercent val="0"/>
          <c:showBubbleSize val="0"/>
        </c:dLbls>
        <c:gapWidth val="65"/>
        <c:axId val="2095105680"/>
        <c:axId val="2096087056"/>
      </c:barChart>
      <c:catAx>
        <c:axId val="209510568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096087056"/>
        <c:crosses val="autoZero"/>
        <c:auto val="1"/>
        <c:lblAlgn val="ctr"/>
        <c:lblOffset val="100"/>
        <c:noMultiLvlLbl val="0"/>
      </c:catAx>
      <c:valAx>
        <c:axId val="209608705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095105680"/>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Ratios!$A$8</c:f>
              <c:strCache>
                <c:ptCount val="1"/>
                <c:pt idx="0">
                  <c:v>Receivable Days</c:v>
                </c:pt>
              </c:strCache>
            </c:strRef>
          </c:tx>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Ratios!$B$1:$F$1</c:f>
              <c:strCache>
                <c:ptCount val="5"/>
                <c:pt idx="0">
                  <c:v>2020</c:v>
                </c:pt>
                <c:pt idx="1">
                  <c:v>2021</c:v>
                </c:pt>
                <c:pt idx="2">
                  <c:v>2022</c:v>
                </c:pt>
                <c:pt idx="3">
                  <c:v>2023</c:v>
                </c:pt>
                <c:pt idx="4">
                  <c:v>2024</c:v>
                </c:pt>
              </c:strCache>
            </c:strRef>
          </c:cat>
          <c:val>
            <c:numRef>
              <c:f>Ratios!$B$8:$F$8</c:f>
              <c:numCache>
                <c:formatCode>General</c:formatCode>
                <c:ptCount val="5"/>
                <c:pt idx="0">
                  <c:v>76.858000000000004</c:v>
                </c:pt>
                <c:pt idx="1">
                  <c:v>78.396000000000001</c:v>
                </c:pt>
                <c:pt idx="2" formatCode="0.000">
                  <c:v>75.552675167802548</c:v>
                </c:pt>
                <c:pt idx="3">
                  <c:v>97.745000000000005</c:v>
                </c:pt>
                <c:pt idx="4">
                  <c:v>105.542</c:v>
                </c:pt>
              </c:numCache>
            </c:numRef>
          </c:val>
          <c:extLst>
            <c:ext xmlns:c16="http://schemas.microsoft.com/office/drawing/2014/chart" uri="{C3380CC4-5D6E-409C-BE32-E72D297353CC}">
              <c16:uniqueId val="{00000000-C000-4E97-A5D6-C66A9C7CEE11}"/>
            </c:ext>
          </c:extLst>
        </c:ser>
        <c:dLbls>
          <c:dLblPos val="inEnd"/>
          <c:showLegendKey val="0"/>
          <c:showVal val="1"/>
          <c:showCatName val="0"/>
          <c:showSerName val="0"/>
          <c:showPercent val="0"/>
          <c:showBubbleSize val="0"/>
        </c:dLbls>
        <c:gapWidth val="65"/>
        <c:axId val="1975155248"/>
        <c:axId val="489084432"/>
      </c:barChart>
      <c:catAx>
        <c:axId val="197515524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89084432"/>
        <c:crosses val="autoZero"/>
        <c:auto val="1"/>
        <c:lblAlgn val="ctr"/>
        <c:lblOffset val="100"/>
        <c:noMultiLvlLbl val="0"/>
      </c:catAx>
      <c:valAx>
        <c:axId val="48908443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975155248"/>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Ratios!$A$9</c:f>
              <c:strCache>
                <c:ptCount val="1"/>
                <c:pt idx="0">
                  <c:v>Payable Days</c:v>
                </c:pt>
              </c:strCache>
            </c:strRef>
          </c:tx>
          <c:spPr>
            <a:gradFill rotWithShape="1">
              <a:gsLst>
                <a:gs pos="0">
                  <a:schemeClr val="accent6">
                    <a:tint val="100000"/>
                    <a:shade val="100000"/>
                    <a:satMod val="130000"/>
                  </a:schemeClr>
                </a:gs>
                <a:gs pos="100000">
                  <a:schemeClr val="accent6">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Ratios!$B$1:$F$1</c:f>
              <c:strCache>
                <c:ptCount val="5"/>
                <c:pt idx="0">
                  <c:v>2020</c:v>
                </c:pt>
                <c:pt idx="1">
                  <c:v>2021</c:v>
                </c:pt>
                <c:pt idx="2">
                  <c:v>2022</c:v>
                </c:pt>
                <c:pt idx="3">
                  <c:v>2023</c:v>
                </c:pt>
                <c:pt idx="4">
                  <c:v>2024</c:v>
                </c:pt>
              </c:strCache>
            </c:strRef>
          </c:cat>
          <c:val>
            <c:numRef>
              <c:f>Ratios!$B$9:$F$9</c:f>
              <c:numCache>
                <c:formatCode>General</c:formatCode>
                <c:ptCount val="5"/>
                <c:pt idx="0">
                  <c:v>49.421999999999997</c:v>
                </c:pt>
                <c:pt idx="1">
                  <c:v>56.247</c:v>
                </c:pt>
                <c:pt idx="2" formatCode="0.000">
                  <c:v>47.998336253641178</c:v>
                </c:pt>
                <c:pt idx="3">
                  <c:v>49.511000000000003</c:v>
                </c:pt>
                <c:pt idx="4">
                  <c:v>66.581000000000003</c:v>
                </c:pt>
              </c:numCache>
            </c:numRef>
          </c:val>
          <c:extLst>
            <c:ext xmlns:c16="http://schemas.microsoft.com/office/drawing/2014/chart" uri="{C3380CC4-5D6E-409C-BE32-E72D297353CC}">
              <c16:uniqueId val="{00000000-134F-467F-943F-623601B34A51}"/>
            </c:ext>
          </c:extLst>
        </c:ser>
        <c:dLbls>
          <c:dLblPos val="inEnd"/>
          <c:showLegendKey val="0"/>
          <c:showVal val="1"/>
          <c:showCatName val="0"/>
          <c:showSerName val="0"/>
          <c:showPercent val="0"/>
          <c:showBubbleSize val="0"/>
        </c:dLbls>
        <c:gapWidth val="115"/>
        <c:overlap val="-20"/>
        <c:axId val="1995340672"/>
        <c:axId val="2023343328"/>
      </c:barChart>
      <c:catAx>
        <c:axId val="1995340672"/>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23343328"/>
        <c:crosses val="autoZero"/>
        <c:auto val="1"/>
        <c:lblAlgn val="ctr"/>
        <c:lblOffset val="100"/>
        <c:noMultiLvlLbl val="0"/>
      </c:catAx>
      <c:valAx>
        <c:axId val="2023343328"/>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995340672"/>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Ratios!$A$12</c:f>
              <c:strCache>
                <c:ptCount val="1"/>
                <c:pt idx="0">
                  <c:v>Debt-to-Equity</c:v>
                </c:pt>
              </c:strCache>
            </c:strRef>
          </c:tx>
          <c:spPr>
            <a:gradFill rotWithShape="1">
              <a:gsLst>
                <a:gs pos="0">
                  <a:schemeClr val="accent6">
                    <a:tint val="100000"/>
                    <a:shade val="100000"/>
                    <a:satMod val="130000"/>
                  </a:schemeClr>
                </a:gs>
                <a:gs pos="100000">
                  <a:schemeClr val="accent6">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Ratios!$B$1:$F$1</c:f>
              <c:strCache>
                <c:ptCount val="5"/>
                <c:pt idx="0">
                  <c:v>2020</c:v>
                </c:pt>
                <c:pt idx="1">
                  <c:v>2021</c:v>
                </c:pt>
                <c:pt idx="2">
                  <c:v>2022</c:v>
                </c:pt>
                <c:pt idx="3">
                  <c:v>2023</c:v>
                </c:pt>
                <c:pt idx="4">
                  <c:v>2024</c:v>
                </c:pt>
              </c:strCache>
            </c:strRef>
          </c:cat>
          <c:val>
            <c:numRef>
              <c:f>Ratios!$B$12:$F$12</c:f>
              <c:numCache>
                <c:formatCode>General</c:formatCode>
                <c:ptCount val="5"/>
                <c:pt idx="0">
                  <c:v>0.629</c:v>
                </c:pt>
                <c:pt idx="1">
                  <c:v>0.84899999999999998</c:v>
                </c:pt>
                <c:pt idx="2" formatCode="0.000">
                  <c:v>0.87835964918817011</c:v>
                </c:pt>
                <c:pt idx="3">
                  <c:v>0.98899999999999999</c:v>
                </c:pt>
                <c:pt idx="4">
                  <c:v>1.1120000000000001</c:v>
                </c:pt>
              </c:numCache>
            </c:numRef>
          </c:val>
          <c:extLst>
            <c:ext xmlns:c16="http://schemas.microsoft.com/office/drawing/2014/chart" uri="{C3380CC4-5D6E-409C-BE32-E72D297353CC}">
              <c16:uniqueId val="{00000000-3649-4E9D-AB86-3E388FD235D0}"/>
            </c:ext>
          </c:extLst>
        </c:ser>
        <c:dLbls>
          <c:showLegendKey val="0"/>
          <c:showVal val="0"/>
          <c:showCatName val="0"/>
          <c:showSerName val="0"/>
          <c:showPercent val="0"/>
          <c:showBubbleSize val="0"/>
        </c:dLbls>
        <c:gapWidth val="115"/>
        <c:overlap val="-20"/>
        <c:axId val="2094396192"/>
        <c:axId val="2101626848"/>
      </c:barChart>
      <c:catAx>
        <c:axId val="2094396192"/>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101626848"/>
        <c:crosses val="autoZero"/>
        <c:auto val="1"/>
        <c:lblAlgn val="ctr"/>
        <c:lblOffset val="100"/>
        <c:noMultiLvlLbl val="0"/>
      </c:catAx>
      <c:valAx>
        <c:axId val="2101626848"/>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94396192"/>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6">
  <a:schemeClr val="accent6"/>
</cs:colorStyle>
</file>

<file path=word/charts/colors2.xml><?xml version="1.0" encoding="utf-8"?>
<cs:colorStyle xmlns:cs="http://schemas.microsoft.com/office/drawing/2012/chartStyle" xmlns:a="http://schemas.openxmlformats.org/drawingml/2006/main" meth="withinLinear" id="19">
  <a:schemeClr val="accent6"/>
</cs:colorStyle>
</file>

<file path=word/charts/colors3.xml><?xml version="1.0" encoding="utf-8"?>
<cs:colorStyle xmlns:cs="http://schemas.microsoft.com/office/drawing/2012/chartStyle" xmlns:a="http://schemas.openxmlformats.org/drawingml/2006/main" meth="withinLinear" id="19">
  <a:schemeClr val="accent6"/>
</cs:colorStyle>
</file>

<file path=word/charts/colors4.xml><?xml version="1.0" encoding="utf-8"?>
<cs:colorStyle xmlns:cs="http://schemas.microsoft.com/office/drawing/2012/chartStyle" xmlns:a="http://schemas.openxmlformats.org/drawingml/2006/main" meth="withinLinear" id="19">
  <a:schemeClr val="accent6"/>
</cs:colorStyle>
</file>

<file path=word/charts/colors5.xml><?xml version="1.0" encoding="utf-8"?>
<cs:colorStyle xmlns:cs="http://schemas.microsoft.com/office/drawing/2012/chartStyle" xmlns:a="http://schemas.openxmlformats.org/drawingml/2006/main" meth="withinLinear" id="19">
  <a:schemeClr val="accent6"/>
</cs:colorStyle>
</file>

<file path=word/charts/colors6.xml><?xml version="1.0" encoding="utf-8"?>
<cs:colorStyle xmlns:cs="http://schemas.microsoft.com/office/drawing/2012/chartStyle" xmlns:a="http://schemas.openxmlformats.org/drawingml/2006/main" meth="withinLinear" id="19">
  <a:schemeClr val="accent6"/>
</cs:colorStyle>
</file>

<file path=word/charts/colors7.xml><?xml version="1.0" encoding="utf-8"?>
<cs:colorStyle xmlns:cs="http://schemas.microsoft.com/office/drawing/2012/chartStyle" xmlns:a="http://schemas.openxmlformats.org/drawingml/2006/main" meth="withinLinear" id="19">
  <a:schemeClr val="accent6"/>
</cs:colorStyle>
</file>

<file path=word/charts/colors8.xml><?xml version="1.0" encoding="utf-8"?>
<cs:colorStyle xmlns:cs="http://schemas.microsoft.com/office/drawing/2012/chartStyle" xmlns:a="http://schemas.openxmlformats.org/drawingml/2006/main" meth="withinLinear" id="19">
  <a:schemeClr val="accent6"/>
</cs:colorStyle>
</file>

<file path=word/charts/colors9.xml><?xml version="1.0" encoding="utf-8"?>
<cs:colorStyle xmlns:cs="http://schemas.microsoft.com/office/drawing/2012/chartStyle" xmlns:a="http://schemas.openxmlformats.org/drawingml/2006/main" meth="withinLinear" id="19">
  <a:schemeClr val="accent6"/>
</cs:colorStyle>
</file>

<file path=word/charts/colors10.xml><?xml version="1.0" encoding="utf-8"?>
<cs:colorStyle xmlns:cs="http://schemas.microsoft.com/office/drawing/2012/chartStyle" xmlns:a="http://schemas.openxmlformats.org/drawingml/2006/main" meth="withinLinear" id="19">
  <a:schemeClr val="accent6"/>
</cs:colorStyle>
</file>

<file path=word/charts/colors11.xml><?xml version="1.0" encoding="utf-8"?>
<cs:colorStyle xmlns:cs="http://schemas.microsoft.com/office/drawing/2012/chartStyle" xmlns:a="http://schemas.openxmlformats.org/drawingml/2006/main" meth="withinLinear" id="19">
  <a:schemeClr val="accent6"/>
</cs:colorStyle>
</file>

<file path=word/charts/style1.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1.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17BE4-8949-5B49-94A8-FE4FCFF88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36</Pages>
  <Words>7884</Words>
  <Characters>44945</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shubhmodi06@gmail.com</cp:lastModifiedBy>
  <cp:revision>55</cp:revision>
  <dcterms:created xsi:type="dcterms:W3CDTF">2025-12-16T23:38:00Z</dcterms:created>
  <dcterms:modified xsi:type="dcterms:W3CDTF">2025-12-22T11:00:00Z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c8cc68df-be8c-458d-98b3-e028dfd0fe9d</vt:lpwstr>
  </property>
</Properties>
</file>