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5675D8" w14:textId="77777777" w:rsidR="00B6078E" w:rsidRPr="006B33BE" w:rsidRDefault="00F43647">
      <w:pPr>
        <w:pStyle w:val="Title"/>
        <w:rPr>
          <w:sz w:val="28"/>
          <w:szCs w:val="28"/>
        </w:rPr>
      </w:pPr>
      <w:r w:rsidRPr="006B33BE">
        <w:rPr>
          <w:sz w:val="28"/>
          <w:szCs w:val="28"/>
        </w:rPr>
        <w:t>Assignment 2: Literature Review</w:t>
      </w:r>
    </w:p>
    <w:p w14:paraId="71F3A932" w14:textId="77777777" w:rsidR="00B6078E" w:rsidRPr="006B33BE" w:rsidRDefault="00F43647">
      <w:pPr>
        <w:spacing w:after="240"/>
        <w:jc w:val="center"/>
        <w:rPr>
          <w:sz w:val="28"/>
          <w:szCs w:val="28"/>
        </w:rPr>
      </w:pPr>
      <w:r w:rsidRPr="006B33BE">
        <w:rPr>
          <w:sz w:val="28"/>
          <w:szCs w:val="28"/>
        </w:rPr>
        <w:t>Emily Brown</w:t>
      </w:r>
    </w:p>
    <w:p w14:paraId="2BAED92D" w14:textId="77777777" w:rsidR="00B6078E" w:rsidRPr="006B33BE" w:rsidRDefault="00F43647">
      <w:pPr>
        <w:spacing w:after="360"/>
        <w:jc w:val="center"/>
        <w:rPr>
          <w:sz w:val="28"/>
          <w:szCs w:val="28"/>
        </w:rPr>
      </w:pPr>
      <w:r w:rsidRPr="006B33BE">
        <w:rPr>
          <w:sz w:val="28"/>
          <w:szCs w:val="28"/>
        </w:rPr>
        <w:t>Academic Skills</w:t>
      </w:r>
    </w:p>
    <w:p w14:paraId="6DCE707B" w14:textId="77777777" w:rsidR="00B6078E" w:rsidRPr="006B33BE" w:rsidRDefault="00F43647">
      <w:pPr>
        <w:spacing w:after="200"/>
        <w:rPr>
          <w:sz w:val="28"/>
          <w:szCs w:val="28"/>
        </w:rPr>
      </w:pPr>
      <w:r w:rsidRPr="006B33BE">
        <w:rPr>
          <w:sz w:val="28"/>
          <w:szCs w:val="28"/>
        </w:rPr>
        <w:t>Jane Webster's 2001 article 'Ethnographic Approaches to the Study of Roman-Celtic Religion' appeared in the peer-reviewed journal Britannia, which focuses on Roman Britain studies. Webster is an archaeologist writing during a significant shift in archaeological methodology when scholars were increasingly questioning traditional approaches to studying ancient religions. Published at the turn of the millennium, this article represents broader theoretical changes in archaeology influenced by anthropology and p</w:t>
      </w:r>
      <w:r w:rsidRPr="006B33BE">
        <w:rPr>
          <w:sz w:val="28"/>
          <w:szCs w:val="28"/>
        </w:rPr>
        <w:t>ost-colonial studies.</w:t>
      </w:r>
    </w:p>
    <w:p w14:paraId="23BE166C" w14:textId="77777777" w:rsidR="00B6078E" w:rsidRPr="006B33BE" w:rsidRDefault="00F43647">
      <w:pPr>
        <w:spacing w:after="200"/>
        <w:rPr>
          <w:sz w:val="28"/>
          <w:szCs w:val="28"/>
        </w:rPr>
      </w:pPr>
      <w:r w:rsidRPr="006B33BE">
        <w:rPr>
          <w:sz w:val="28"/>
          <w:szCs w:val="28"/>
        </w:rPr>
        <w:t>Webster's central argument challenges how archaeologists have traditionally studied Roman-Celtic religion. She contends that archaeology has focused too heavily on physical evidence like statues, temples, and ritual objects while neglecting what these items meant to ancient people. Her key proposal is that archaeologists should adopt ethnographic methods borrowed from anthropology. Ethnography involves studying how living cultures practice their beliefs, and Webster argues that examining modern religious pr</w:t>
      </w:r>
      <w:r w:rsidRPr="006B33BE">
        <w:rPr>
          <w:sz w:val="28"/>
          <w:szCs w:val="28"/>
        </w:rPr>
        <w:t>actices can provide insights into how ancient religions functioned. She emphasizes that religion involves not just objects but actions, beliefs, and social meanings that cannot be understood through material evidence alone.</w:t>
      </w:r>
    </w:p>
    <w:p w14:paraId="4E6EEAE6" w14:textId="77777777" w:rsidR="00B6078E" w:rsidRPr="006B33BE" w:rsidRDefault="00F43647">
      <w:pPr>
        <w:spacing w:after="200"/>
        <w:rPr>
          <w:sz w:val="28"/>
          <w:szCs w:val="28"/>
        </w:rPr>
      </w:pPr>
      <w:r w:rsidRPr="006B33BE">
        <w:rPr>
          <w:sz w:val="28"/>
          <w:szCs w:val="28"/>
        </w:rPr>
        <w:t>Webster adopts a clear theoretical perspective influenced by post-colonial theory. She strongly criticizes traditional 'Romanization theory', which suggested that Celtic peoples simply abandoned their culture and adopted Roman practices when conquered. This older view portrayed cultural change as one-directional and treated Celtic people as passive recipients of Roman culture. Webster argues this interpretation is oversimplified and disrespectful to the complexity of cultural interaction. Instead, she suppo</w:t>
      </w:r>
      <w:r w:rsidRPr="006B33BE">
        <w:rPr>
          <w:sz w:val="28"/>
          <w:szCs w:val="28"/>
        </w:rPr>
        <w:t>rts viewing cultural change as negotiated, with Celtic peoples actively choosing which Roman elements to adopt and creatively blending Roman and Celtic traditions. This perspective reflects post-colonial scholarship that questions how powerful cultures interact with less powerful ones.</w:t>
      </w:r>
    </w:p>
    <w:p w14:paraId="10366634" w14:textId="77777777" w:rsidR="00B6078E" w:rsidRPr="006B33BE" w:rsidRDefault="00F43647">
      <w:pPr>
        <w:spacing w:after="200"/>
        <w:rPr>
          <w:sz w:val="28"/>
          <w:szCs w:val="28"/>
        </w:rPr>
      </w:pPr>
      <w:r w:rsidRPr="006B33BE">
        <w:rPr>
          <w:sz w:val="28"/>
          <w:szCs w:val="28"/>
        </w:rPr>
        <w:t xml:space="preserve">The article draws on diverse sources to build its argument. Webster uses archaeological evidence from religious sites across Roman Britain, including temples and ritual deposits. Significantly, she incorporates ethnographic studies from various world cultures, particularly African and </w:t>
      </w:r>
      <w:r w:rsidRPr="006B33BE">
        <w:rPr>
          <w:sz w:val="28"/>
          <w:szCs w:val="28"/>
        </w:rPr>
        <w:lastRenderedPageBreak/>
        <w:t>South American societies where traditional religions remain practiced. These comparative examples help her identify patterns in religious practice that might apply to ancient contexts. She also examines classical texts by Roman authors like Caesar and Tacitus, though she carefully notes these sources reflect Roman biases and may misrepresent Celtic beliefs. Additionally, Webster engages extensively with existing archaeological and anthropological literature, positioning her work within ongoing scholarly deb</w:t>
      </w:r>
      <w:r w:rsidRPr="006B33BE">
        <w:rPr>
          <w:sz w:val="28"/>
          <w:szCs w:val="28"/>
        </w:rPr>
        <w:t>ates.</w:t>
      </w:r>
    </w:p>
    <w:p w14:paraId="11FB9AE8" w14:textId="77777777" w:rsidR="00B6078E" w:rsidRPr="006B33BE" w:rsidRDefault="00F43647">
      <w:pPr>
        <w:spacing w:after="200"/>
        <w:rPr>
          <w:sz w:val="28"/>
          <w:szCs w:val="28"/>
        </w:rPr>
      </w:pPr>
      <w:r w:rsidRPr="006B33BE">
        <w:rPr>
          <w:sz w:val="28"/>
          <w:szCs w:val="28"/>
        </w:rPr>
        <w:t>The historical and social context of this article is crucial for understanding its significance. The 1990s and early 2000s marked a transformative period in archaeology. Scholars increasingly drew on anthropological theories and questioned whether traditional archaeological methods adequately captured past cultures' complexity. Post-colonial perspectives gained prominence, making researchers more aware of how modern assumptions might distort interpretations of ancient societies. In British archaeology speci</w:t>
      </w:r>
      <w:r w:rsidRPr="006B33BE">
        <w:rPr>
          <w:sz w:val="28"/>
          <w:szCs w:val="28"/>
        </w:rPr>
        <w:t>fically, heated debates surrounded the concept of Romanization and whether it remained useful for understanding the Roman period. Webster's article emerged as part of this broader movement toward more sophisticated approaches to cultural interaction and religious practice in archaeology.</w:t>
      </w:r>
    </w:p>
    <w:p w14:paraId="7C726ABA" w14:textId="77777777" w:rsidR="00B6078E" w:rsidRPr="006B33BE" w:rsidRDefault="00F43647">
      <w:pPr>
        <w:spacing w:after="200"/>
        <w:rPr>
          <w:sz w:val="28"/>
          <w:szCs w:val="28"/>
        </w:rPr>
      </w:pPr>
      <w:r w:rsidRPr="006B33BE">
        <w:rPr>
          <w:sz w:val="28"/>
          <w:szCs w:val="28"/>
        </w:rPr>
        <w:t>Webster's work demonstrates several notable strengths. Most importantly, she forces archaeologists to examine their assumptions about interpreting material evidence. By arguing that objects alone cannot reveal beliefs, she encourages more thoughtful approaches to ancient religion. Her ethnographic comparisons open interpretive possibilities that purely archaeological methods might miss. The article is thoroughly researched, drawing on sources from multiple academic disciplines, which strengthens her credibi</w:t>
      </w:r>
      <w:r w:rsidRPr="006B33BE">
        <w:rPr>
          <w:sz w:val="28"/>
          <w:szCs w:val="28"/>
        </w:rPr>
        <w:t>lity. Furthermore, Webster writes clearly and accessibly, making complex theoretical concepts understandable for archaeologists unfamiliar with anthropological theory. Her criticism of Romanization theory is well-argued and supported by evidence showing more complex cultural interactions than traditional models suggested.</w:t>
      </w:r>
    </w:p>
    <w:p w14:paraId="4C756777" w14:textId="77777777" w:rsidR="00B6078E" w:rsidRPr="006B33BE" w:rsidRDefault="00F43647">
      <w:pPr>
        <w:spacing w:after="200"/>
        <w:rPr>
          <w:sz w:val="28"/>
          <w:szCs w:val="28"/>
        </w:rPr>
      </w:pPr>
      <w:r w:rsidRPr="006B33BE">
        <w:rPr>
          <w:sz w:val="28"/>
          <w:szCs w:val="28"/>
        </w:rPr>
        <w:t>However, the article also has weaknesses that deserve consideration. The fundamental problem with ethnographic comparison is the assumption that ancient peoples behaved similarly to modern communities. Every culture is unique, and patterns observed in contemporary societies may not apply to ancient Celts. Webster's comparisons, while thought-provoking, rest on uncertain foundations. Additionally, though she effectively critiques traditional Romanization theory, she provides fewer concrete alternative interp</w:t>
      </w:r>
      <w:r w:rsidRPr="006B33BE">
        <w:rPr>
          <w:sz w:val="28"/>
          <w:szCs w:val="28"/>
        </w:rPr>
        <w:t xml:space="preserve">retations for </w:t>
      </w:r>
      <w:r w:rsidRPr="006B33BE">
        <w:rPr>
          <w:sz w:val="28"/>
          <w:szCs w:val="28"/>
        </w:rPr>
        <w:lastRenderedPageBreak/>
        <w:t>specific archaeological finds. The article succeeds better at identifying problems than offering solutions. Another limitation involves the ethnographic evidence itself, which comes from cultures studied by anthropologists who brought their own biases. Using this evidence as Webster suggests is therefore more problematic than she acknowledges. Finally, some critics might argue her approach risks making archaeological interpretation overly subjective if material evidence becomes less central to</w:t>
      </w:r>
      <w:r w:rsidRPr="006B33BE">
        <w:rPr>
          <w:sz w:val="28"/>
          <w:szCs w:val="28"/>
        </w:rPr>
        <w:t xml:space="preserve"> interpretation.</w:t>
      </w:r>
    </w:p>
    <w:p w14:paraId="14D1CEE6" w14:textId="5147E61C" w:rsidR="00B6078E" w:rsidRPr="006B33BE" w:rsidRDefault="00F43647" w:rsidP="006B33BE">
      <w:pPr>
        <w:spacing w:after="240"/>
        <w:rPr>
          <w:sz w:val="28"/>
          <w:szCs w:val="28"/>
        </w:rPr>
      </w:pPr>
      <w:r w:rsidRPr="006B33BE">
        <w:rPr>
          <w:sz w:val="28"/>
          <w:szCs w:val="28"/>
        </w:rPr>
        <w:t>Regarding other scholarship on Celtic religion, Webster's work both supports and extends existing research. Her emphasis on religious complexity aligns with scholars like Miranda Green and Anne Ross, who warned against oversimplifying Celtic practices. However, Webster goes further by specifically advocating ethnographic methods as a solution. Her article directly challenges older works like Stuart Piggott's 1960 study, which took a more traditional descriptive approach focused on cataloguing evidence witho</w:t>
      </w:r>
      <w:r w:rsidRPr="006B33BE">
        <w:rPr>
          <w:sz w:val="28"/>
          <w:szCs w:val="28"/>
        </w:rPr>
        <w:t>ut theoretical reflection. Webster's perspective fits within broader archaeological trends during the 1990s and 2000s that combined multiple methodologies and theoretical frameworks. Her work has influenced subsequent scholars to think more carefully about interpretation and to consider insights from other disciplines when studying ancient religion.</w:t>
      </w:r>
    </w:p>
    <w:p w14:paraId="4FFB0DC5" w14:textId="77777777" w:rsidR="00B6078E" w:rsidRPr="006B33BE" w:rsidRDefault="00B6078E">
      <w:pPr>
        <w:spacing w:before="360"/>
        <w:rPr>
          <w:sz w:val="28"/>
          <w:szCs w:val="28"/>
        </w:rPr>
      </w:pPr>
    </w:p>
    <w:p w14:paraId="6D4C0B97" w14:textId="77777777" w:rsidR="00B6078E" w:rsidRPr="006B33BE" w:rsidRDefault="00F43647">
      <w:pPr>
        <w:pStyle w:val="Heading1"/>
      </w:pPr>
      <w:r w:rsidRPr="006B33BE">
        <w:t>Bibliography</w:t>
      </w:r>
    </w:p>
    <w:p w14:paraId="19659592" w14:textId="77777777" w:rsidR="00B6078E" w:rsidRPr="006B33BE" w:rsidRDefault="00F43647">
      <w:pPr>
        <w:spacing w:after="120"/>
        <w:ind w:left="720" w:hanging="720"/>
        <w:rPr>
          <w:sz w:val="28"/>
          <w:szCs w:val="28"/>
        </w:rPr>
      </w:pPr>
      <w:r w:rsidRPr="006B33BE">
        <w:rPr>
          <w:sz w:val="28"/>
          <w:szCs w:val="28"/>
        </w:rPr>
        <w:t xml:space="preserve">Webster, Jane, 'Ethnographic Approaches to the Study of Roman-Celtic Religion', </w:t>
      </w:r>
      <w:r w:rsidRPr="006B33BE">
        <w:rPr>
          <w:i/>
          <w:iCs/>
          <w:sz w:val="28"/>
          <w:szCs w:val="28"/>
        </w:rPr>
        <w:t>Britannia</w:t>
      </w:r>
      <w:r w:rsidRPr="006B33BE">
        <w:rPr>
          <w:sz w:val="28"/>
          <w:szCs w:val="28"/>
        </w:rPr>
        <w:t>, 32 (2001), 1–22</w:t>
      </w:r>
    </w:p>
    <w:sectPr w:rsidR="00B6078E" w:rsidRPr="006B33BE">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307F70" w14:textId="77777777" w:rsidR="00F43647" w:rsidRDefault="00F43647" w:rsidP="00F43647">
      <w:r>
        <w:separator/>
      </w:r>
    </w:p>
  </w:endnote>
  <w:endnote w:type="continuationSeparator" w:id="0">
    <w:p w14:paraId="545C1271" w14:textId="77777777" w:rsidR="00F43647" w:rsidRDefault="00F43647" w:rsidP="00F436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26B35D" w14:textId="77777777" w:rsidR="00F43647" w:rsidRDefault="00F43647" w:rsidP="00F43647">
      <w:r>
        <w:separator/>
      </w:r>
    </w:p>
  </w:footnote>
  <w:footnote w:type="continuationSeparator" w:id="0">
    <w:p w14:paraId="5D5DE87E" w14:textId="77777777" w:rsidR="00F43647" w:rsidRDefault="00F43647" w:rsidP="00F436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E929CE"/>
    <w:multiLevelType w:val="hybridMultilevel"/>
    <w:tmpl w:val="0A24415E"/>
    <w:lvl w:ilvl="0" w:tplc="2938CF40">
      <w:start w:val="1"/>
      <w:numFmt w:val="bullet"/>
      <w:lvlText w:val="●"/>
      <w:lvlJc w:val="left"/>
      <w:pPr>
        <w:ind w:left="720" w:hanging="360"/>
      </w:pPr>
    </w:lvl>
    <w:lvl w:ilvl="1" w:tplc="4C86155C">
      <w:start w:val="1"/>
      <w:numFmt w:val="bullet"/>
      <w:lvlText w:val="○"/>
      <w:lvlJc w:val="left"/>
      <w:pPr>
        <w:ind w:left="1440" w:hanging="360"/>
      </w:pPr>
    </w:lvl>
    <w:lvl w:ilvl="2" w:tplc="C5C80414">
      <w:start w:val="1"/>
      <w:numFmt w:val="bullet"/>
      <w:lvlText w:val="■"/>
      <w:lvlJc w:val="left"/>
      <w:pPr>
        <w:ind w:left="2160" w:hanging="360"/>
      </w:pPr>
    </w:lvl>
    <w:lvl w:ilvl="3" w:tplc="F0A6B420">
      <w:start w:val="1"/>
      <w:numFmt w:val="bullet"/>
      <w:lvlText w:val="●"/>
      <w:lvlJc w:val="left"/>
      <w:pPr>
        <w:ind w:left="2880" w:hanging="360"/>
      </w:pPr>
    </w:lvl>
    <w:lvl w:ilvl="4" w:tplc="B562F5E8">
      <w:start w:val="1"/>
      <w:numFmt w:val="bullet"/>
      <w:lvlText w:val="○"/>
      <w:lvlJc w:val="left"/>
      <w:pPr>
        <w:ind w:left="3600" w:hanging="360"/>
      </w:pPr>
    </w:lvl>
    <w:lvl w:ilvl="5" w:tplc="87FC5F82">
      <w:start w:val="1"/>
      <w:numFmt w:val="bullet"/>
      <w:lvlText w:val="■"/>
      <w:lvlJc w:val="left"/>
      <w:pPr>
        <w:ind w:left="4320" w:hanging="360"/>
      </w:pPr>
    </w:lvl>
    <w:lvl w:ilvl="6" w:tplc="741CF406">
      <w:start w:val="1"/>
      <w:numFmt w:val="bullet"/>
      <w:lvlText w:val="●"/>
      <w:lvlJc w:val="left"/>
      <w:pPr>
        <w:ind w:left="5040" w:hanging="360"/>
      </w:pPr>
    </w:lvl>
    <w:lvl w:ilvl="7" w:tplc="2A02D948">
      <w:start w:val="1"/>
      <w:numFmt w:val="bullet"/>
      <w:lvlText w:val="●"/>
      <w:lvlJc w:val="left"/>
      <w:pPr>
        <w:ind w:left="5760" w:hanging="360"/>
      </w:pPr>
    </w:lvl>
    <w:lvl w:ilvl="8" w:tplc="2C2E63A8">
      <w:start w:val="1"/>
      <w:numFmt w:val="bullet"/>
      <w:lvlText w:val="●"/>
      <w:lvlJc w:val="left"/>
      <w:pPr>
        <w:ind w:left="6480" w:hanging="360"/>
      </w:pPr>
    </w:lvl>
  </w:abstractNum>
  <w:num w:numId="1" w16cid:durableId="141527803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78E"/>
    <w:rsid w:val="00037DB7"/>
    <w:rsid w:val="006B33BE"/>
    <w:rsid w:val="00B6078E"/>
    <w:rsid w:val="00F43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688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outlineLvl w:val="0"/>
    </w:pPr>
    <w:rPr>
      <w:b/>
      <w:bCs/>
      <w:color w:val="000000"/>
      <w:sz w:val="28"/>
      <w:szCs w:val="28"/>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pPr>
      <w:spacing w:after="240"/>
      <w:jc w:val="center"/>
    </w:pPr>
    <w:rPr>
      <w:b/>
      <w:bCs/>
      <w:color w:val="000000"/>
      <w:sz w:val="32"/>
      <w:szCs w:val="32"/>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F43647"/>
    <w:pPr>
      <w:tabs>
        <w:tab w:val="center" w:pos="4513"/>
        <w:tab w:val="right" w:pos="9026"/>
      </w:tabs>
    </w:pPr>
  </w:style>
  <w:style w:type="character" w:customStyle="1" w:styleId="HeaderChar">
    <w:name w:val="Header Char"/>
    <w:basedOn w:val="DefaultParagraphFont"/>
    <w:link w:val="Header"/>
    <w:uiPriority w:val="99"/>
    <w:rsid w:val="00F43647"/>
  </w:style>
  <w:style w:type="paragraph" w:styleId="Footer">
    <w:name w:val="footer"/>
    <w:basedOn w:val="Normal"/>
    <w:link w:val="FooterChar"/>
    <w:uiPriority w:val="99"/>
    <w:unhideWhenUsed/>
    <w:rsid w:val="00F43647"/>
    <w:pPr>
      <w:tabs>
        <w:tab w:val="center" w:pos="4513"/>
        <w:tab w:val="right" w:pos="9026"/>
      </w:tabs>
    </w:pPr>
  </w:style>
  <w:style w:type="character" w:customStyle="1" w:styleId="FooterChar">
    <w:name w:val="Footer Char"/>
    <w:basedOn w:val="DefaultParagraphFont"/>
    <w:link w:val="Footer"/>
    <w:uiPriority w:val="99"/>
    <w:rsid w:val="00F436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842</Words>
  <Characters>5754</Characters>
  <Application>Microsoft Office Word</Application>
  <DocSecurity>0</DocSecurity>
  <Lines>104</Lines>
  <Paragraphs>14</Paragraphs>
  <ScaleCrop>false</ScaleCrop>
  <Company/>
  <LinksUpToDate>false</LinksUpToDate>
  <CharactersWithSpaces>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2026-01-03T16:04:00Z</dcterms:created>
  <dcterms:modified xsi:type="dcterms:W3CDTF">2026-01-03T16:04:00Z</dcterms:modified>
</cp:coreProperties>
</file>