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81400F">
      <w:pPr>
        <w:jc w:val="center"/>
      </w:pPr>
      <w:r>
        <w:drawing>
          <wp:inline distT="0" distB="0" distL="0" distR="0">
            <wp:extent cx="2174875" cy="1005840"/>
            <wp:effectExtent l="0" t="0" r="0" b="3810"/>
            <wp:docPr id="1" name="image1.png"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close up of a logo&#10;&#10;Description automatically generated"/>
                    <pic:cNvPicPr preferRelativeResize="0"/>
                  </pic:nvPicPr>
                  <pic:blipFill>
                    <a:blip r:embed="rId12"/>
                    <a:srcRect/>
                    <a:stretch>
                      <a:fillRect/>
                    </a:stretch>
                  </pic:blipFill>
                  <pic:spPr>
                    <a:xfrm>
                      <a:off x="0" y="0"/>
                      <a:ext cx="2179304" cy="1007792"/>
                    </a:xfrm>
                    <a:prstGeom prst="rect">
                      <a:avLst/>
                    </a:prstGeom>
                  </pic:spPr>
                </pic:pic>
              </a:graphicData>
            </a:graphic>
          </wp:inline>
        </w:drawing>
      </w:r>
    </w:p>
    <w:p w14:paraId="35FA6C1D">
      <w:pPr>
        <w:jc w:val="right"/>
      </w:pPr>
    </w:p>
    <w:p w14:paraId="63126156">
      <w:pPr>
        <w:jc w:val="center"/>
      </w:pPr>
      <w:r>
        <w:rPr>
          <w:sz w:val="40"/>
          <w:szCs w:val="40"/>
        </w:rPr>
        <w:t>Strategic Management (LCMB7003)</w:t>
      </w:r>
    </w:p>
    <w:p w14:paraId="07DAF1DC">
      <w:pPr>
        <w:jc w:val="left"/>
      </w:pPr>
    </w:p>
    <w:p w14:paraId="6C51F0F6">
      <w:pPr>
        <w:jc w:val="center"/>
        <w:rPr>
          <w:sz w:val="20"/>
          <w:szCs w:val="20"/>
        </w:rPr>
      </w:pPr>
      <w:r>
        <w:rPr>
          <w:sz w:val="32"/>
          <w:szCs w:val="32"/>
        </w:rPr>
        <w:t>The Emergence of Virtual Organizations: A Critical Evaluation of Virtual Management Practices at Dell Technologies</w:t>
      </w:r>
    </w:p>
    <w:p w14:paraId="1637C434">
      <w:pPr>
        <w:rPr>
          <w:sz w:val="28"/>
          <w:szCs w:val="28"/>
        </w:rPr>
      </w:pPr>
      <w:r>
        <w:rPr>
          <w:sz w:val="28"/>
          <w:szCs w:val="28"/>
        </w:rPr>
        <w:t>Student name: Sakshi Soni</w:t>
      </w:r>
    </w:p>
    <w:p w14:paraId="746EAFBE">
      <w:pPr>
        <w:rPr>
          <w:sz w:val="28"/>
          <w:szCs w:val="28"/>
        </w:rPr>
      </w:pPr>
      <w:r>
        <w:rPr>
          <w:sz w:val="28"/>
          <w:szCs w:val="28"/>
        </w:rPr>
        <w:t>Student Number: 2320592</w:t>
      </w:r>
    </w:p>
    <w:p w14:paraId="5558F659">
      <w:pPr>
        <w:rPr>
          <w:rFonts w:hint="default"/>
          <w:sz w:val="28"/>
          <w:szCs w:val="28"/>
          <w:lang w:val="en-US"/>
        </w:rPr>
      </w:pPr>
      <w:r>
        <w:rPr>
          <w:sz w:val="28"/>
          <w:szCs w:val="28"/>
        </w:rPr>
        <w:t xml:space="preserve">Lecturer: Prof </w:t>
      </w:r>
      <w:r>
        <w:rPr>
          <w:rFonts w:hint="default"/>
          <w:sz w:val="28"/>
          <w:szCs w:val="28"/>
          <w:lang w:val="en-US"/>
        </w:rPr>
        <w:t xml:space="preserve"> Hoang Dang Nguyen</w:t>
      </w:r>
    </w:p>
    <w:p w14:paraId="50EF8494">
      <w:pPr>
        <w:rPr>
          <w:sz w:val="28"/>
          <w:szCs w:val="28"/>
        </w:rPr>
      </w:pPr>
      <w:r>
        <w:rPr>
          <w:sz w:val="28"/>
          <w:szCs w:val="28"/>
        </w:rPr>
        <w:t>Word count: 2000</w:t>
      </w:r>
    </w:p>
    <w:p w14:paraId="0FBE1037">
      <w:pPr>
        <w:rPr>
          <w:sz w:val="28"/>
          <w:szCs w:val="28"/>
        </w:rPr>
      </w:pPr>
      <w:r>
        <w:rPr>
          <w:sz w:val="28"/>
          <w:szCs w:val="28"/>
        </w:rPr>
        <w:t>Submission Date: 2</w:t>
      </w:r>
      <w:r>
        <w:rPr>
          <w:rFonts w:hint="default"/>
          <w:sz w:val="28"/>
          <w:szCs w:val="28"/>
          <w:lang w:val="en-US"/>
        </w:rPr>
        <w:t>3rd</w:t>
      </w:r>
      <w:r>
        <w:rPr>
          <w:sz w:val="28"/>
          <w:szCs w:val="28"/>
        </w:rPr>
        <w:t xml:space="preserve"> August 2024</w:t>
      </w:r>
    </w:p>
    <w:p w14:paraId="224D1694">
      <w:pPr>
        <w:rPr>
          <w:sz w:val="28"/>
          <w:szCs w:val="28"/>
        </w:rPr>
      </w:pPr>
    </w:p>
    <w:p w14:paraId="65B2A1C8">
      <w:pPr>
        <w:rPr>
          <w:sz w:val="28"/>
          <w:szCs w:val="28"/>
        </w:rPr>
      </w:pPr>
    </w:p>
    <w:p w14:paraId="2EC0DAC3">
      <w:pPr>
        <w:rPr>
          <w:sz w:val="28"/>
          <w:szCs w:val="28"/>
        </w:rPr>
      </w:pPr>
    </w:p>
    <w:p w14:paraId="700EEBB5">
      <w:pPr>
        <w:rPr>
          <w:sz w:val="28"/>
          <w:szCs w:val="28"/>
        </w:rPr>
      </w:pPr>
    </w:p>
    <w:p w14:paraId="3D026350">
      <w:pPr>
        <w:rPr>
          <w:sz w:val="28"/>
          <w:szCs w:val="28"/>
        </w:rPr>
      </w:pPr>
    </w:p>
    <w:p w14:paraId="79A2791A">
      <w:pPr>
        <w:rPr>
          <w:sz w:val="28"/>
          <w:szCs w:val="28"/>
        </w:rPr>
      </w:pPr>
    </w:p>
    <w:p w14:paraId="49D205A4">
      <w:pPr>
        <w:rPr>
          <w:sz w:val="28"/>
          <w:szCs w:val="28"/>
        </w:rPr>
      </w:pPr>
    </w:p>
    <w:p w14:paraId="0980B76B">
      <w:pPr>
        <w:keepNext/>
        <w:keepLines/>
        <w:pBdr>
          <w:top w:val="none" w:color="auto" w:sz="0" w:space="0"/>
          <w:left w:val="none" w:color="auto" w:sz="0" w:space="0"/>
          <w:bottom w:val="none" w:color="auto" w:sz="0" w:space="0"/>
          <w:right w:val="none" w:color="auto" w:sz="0" w:space="0"/>
          <w:between w:val="none" w:color="auto" w:sz="0" w:space="0"/>
        </w:pBdr>
        <w:spacing w:before="240" w:after="240" w:line="259" w:lineRule="auto"/>
        <w:rPr>
          <w:rFonts w:ascii="Arial" w:hAnsi="Arial" w:eastAsia="Arial" w:cs="Arial"/>
          <w:b/>
          <w:color w:val="17365D"/>
        </w:rPr>
      </w:pPr>
      <w:r>
        <w:rPr>
          <w:rFonts w:ascii="Arial" w:hAnsi="Arial" w:eastAsia="Arial" w:cs="Arial"/>
          <w:b/>
          <w:color w:val="17365D"/>
        </w:rPr>
        <w:t>Table of Contents</w:t>
      </w:r>
    </w:p>
    <w:sdt>
      <w:sdtPr>
        <w:id w:val="173772242"/>
        <w:docPartObj>
          <w:docPartGallery w:val="Table of Contents"/>
          <w:docPartUnique/>
        </w:docPartObj>
      </w:sdtPr>
      <w:sdtContent>
        <w:p w14:paraId="23BDAD5C">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TOC \h \u \z \t "Heading 1,1,Heading 2,2,Heading 3,3,Heading 4,4,"</w:instrText>
          </w:r>
          <w:r>
            <w:fldChar w:fldCharType="separate"/>
          </w:r>
          <w:r>
            <w:fldChar w:fldCharType="begin"/>
          </w:r>
          <w:r>
            <w:instrText xml:space="preserve"> HYPERLINK \l "_Toc174481053" </w:instrText>
          </w:r>
          <w:r>
            <w:fldChar w:fldCharType="separate"/>
          </w:r>
          <w:r>
            <w:rPr>
              <w:rStyle w:val="11"/>
            </w:rPr>
            <w:t>Introduction</w:t>
          </w:r>
          <w:r>
            <w:tab/>
          </w:r>
          <w:r>
            <w:fldChar w:fldCharType="begin"/>
          </w:r>
          <w:r>
            <w:instrText xml:space="preserve"> PAGEREF _Toc174481053 \h </w:instrText>
          </w:r>
          <w:r>
            <w:fldChar w:fldCharType="separate"/>
          </w:r>
          <w:r>
            <w:t>3</w:t>
          </w:r>
          <w:r>
            <w:fldChar w:fldCharType="end"/>
          </w:r>
          <w:r>
            <w:fldChar w:fldCharType="end"/>
          </w:r>
        </w:p>
        <w:p w14:paraId="3EB0573F">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"_Toc174481054" </w:instrText>
          </w:r>
          <w:r>
            <w:fldChar w:fldCharType="separate"/>
          </w:r>
          <w:r>
            <w:rPr>
              <w:rStyle w:val="11"/>
            </w:rPr>
            <w:t>Planning in Virtual Organizations</w:t>
          </w:r>
          <w:r>
            <w:tab/>
          </w:r>
          <w:r>
            <w:fldChar w:fldCharType="begin"/>
          </w:r>
          <w:r>
            <w:instrText xml:space="preserve"> PAGEREF _Toc174481054 \h </w:instrText>
          </w:r>
          <w:r>
            <w:fldChar w:fldCharType="separate"/>
          </w:r>
          <w:r>
            <w:t>3</w:t>
          </w:r>
          <w:r>
            <w:fldChar w:fldCharType="end"/>
          </w:r>
          <w:r>
            <w:fldChar w:fldCharType="end"/>
          </w:r>
        </w:p>
        <w:p w14:paraId="0E0FE7E7">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"_Toc174481055" </w:instrText>
          </w:r>
          <w:r>
            <w:fldChar w:fldCharType="separate"/>
          </w:r>
          <w:r>
            <w:rPr>
              <w:rStyle w:val="11"/>
            </w:rPr>
            <w:t>Challenges</w:t>
          </w:r>
          <w:r>
            <w:tab/>
          </w:r>
          <w:r>
            <w:fldChar w:fldCharType="begin"/>
          </w:r>
          <w:r>
            <w:instrText xml:space="preserve"> PAGEREF _Toc174481055 \h </w:instrText>
          </w:r>
          <w:r>
            <w:fldChar w:fldCharType="separate"/>
          </w:r>
          <w:r>
            <w:t>3</w:t>
          </w:r>
          <w:r>
            <w:fldChar w:fldCharType="end"/>
          </w:r>
          <w:r>
            <w:fldChar w:fldCharType="end"/>
          </w:r>
        </w:p>
        <w:p w14:paraId="13403E7F">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"_Toc174481056" </w:instrText>
          </w:r>
          <w:r>
            <w:fldChar w:fldCharType="separate"/>
          </w:r>
          <w:r>
            <w:rPr>
              <w:rStyle w:val="11"/>
            </w:rPr>
            <w:t>Maintaining Organizational Culture and Employee Engagement</w:t>
          </w:r>
          <w:r>
            <w:tab/>
          </w:r>
          <w:r>
            <w:fldChar w:fldCharType="begin"/>
          </w:r>
          <w:r>
            <w:instrText xml:space="preserve"> PAGEREF _Toc174481056 \h </w:instrText>
          </w:r>
          <w:r>
            <w:fldChar w:fldCharType="separate"/>
          </w:r>
          <w:r>
            <w:t>3</w:t>
          </w:r>
          <w:r>
            <w:fldChar w:fldCharType="end"/>
          </w:r>
          <w:r>
            <w:fldChar w:fldCharType="end"/>
          </w:r>
        </w:p>
        <w:p w14:paraId="22AA3CBF">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"_Toc174481057" </w:instrText>
          </w:r>
          <w:r>
            <w:fldChar w:fldCharType="separate"/>
          </w:r>
          <w:r>
            <w:rPr>
              <w:rStyle w:val="11"/>
            </w:rPr>
            <w:t>Ensuring Effective Communication and Collaboration</w:t>
          </w:r>
          <w:r>
            <w:tab/>
          </w:r>
          <w:r>
            <w:fldChar w:fldCharType="begin"/>
          </w:r>
          <w:r>
            <w:instrText xml:space="preserve"> PAGEREF _Toc174481057 \h </w:instrText>
          </w:r>
          <w:r>
            <w:fldChar w:fldCharType="separate"/>
          </w:r>
          <w:r>
            <w:t>4</w:t>
          </w:r>
          <w:r>
            <w:fldChar w:fldCharType="end"/>
          </w:r>
          <w:r>
            <w:fldChar w:fldCharType="end"/>
          </w:r>
        </w:p>
        <w:p w14:paraId="77E91E1C">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"_Toc174481058" </w:instrText>
          </w:r>
          <w:r>
            <w:fldChar w:fldCharType="separate"/>
          </w:r>
          <w:r>
            <w:rPr>
              <w:rStyle w:val="11"/>
            </w:rPr>
            <w:t>Opportunities</w:t>
          </w:r>
          <w:r>
            <w:tab/>
          </w:r>
          <w:r>
            <w:fldChar w:fldCharType="begin"/>
          </w:r>
          <w:r>
            <w:instrText xml:space="preserve"> PAGEREF _Toc174481058 \h </w:instrText>
          </w:r>
          <w:r>
            <w:fldChar w:fldCharType="separate"/>
          </w:r>
          <w:r>
            <w:t>4</w:t>
          </w:r>
          <w:r>
            <w:fldChar w:fldCharType="end"/>
          </w:r>
          <w:r>
            <w:fldChar w:fldCharType="end"/>
          </w:r>
        </w:p>
        <w:p w14:paraId="45351740">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"_Toc174481059" </w:instrText>
          </w:r>
          <w:r>
            <w:fldChar w:fldCharType="separate"/>
          </w:r>
          <w:r>
            <w:rPr>
              <w:rStyle w:val="11"/>
            </w:rPr>
            <w:t>Access to Global Talent and Enhanced Diversity</w:t>
          </w:r>
          <w:r>
            <w:tab/>
          </w:r>
          <w:r>
            <w:fldChar w:fldCharType="begin"/>
          </w:r>
          <w:r>
            <w:instrText xml:space="preserve"> PAGEREF _Toc174481059 \h </w:instrText>
          </w:r>
          <w:r>
            <w:fldChar w:fldCharType="separate"/>
          </w:r>
          <w:r>
            <w:t>4</w:t>
          </w:r>
          <w:r>
            <w:fldChar w:fldCharType="end"/>
          </w:r>
          <w:r>
            <w:fldChar w:fldCharType="end"/>
          </w:r>
        </w:p>
        <w:p w14:paraId="20C9CE7D">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"_Toc174481060" </w:instrText>
          </w:r>
          <w:r>
            <w:fldChar w:fldCharType="separate"/>
          </w:r>
          <w:r>
            <w:rPr>
              <w:rStyle w:val="11"/>
            </w:rPr>
            <w:t>Cost Reduction and Resource Optimization</w:t>
          </w:r>
          <w:r>
            <w:tab/>
          </w:r>
          <w:r>
            <w:fldChar w:fldCharType="begin"/>
          </w:r>
          <w:r>
            <w:instrText xml:space="preserve"> PAGEREF _Toc174481060 \h </w:instrText>
          </w:r>
          <w:r>
            <w:fldChar w:fldCharType="separate"/>
          </w:r>
          <w:r>
            <w:t>5</w:t>
          </w:r>
          <w:r>
            <w:fldChar w:fldCharType="end"/>
          </w:r>
          <w:r>
            <w:fldChar w:fldCharType="end"/>
          </w:r>
        </w:p>
        <w:p w14:paraId="79035BE3">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"_Toc174481061" </w:instrText>
          </w:r>
          <w:r>
            <w:fldChar w:fldCharType="separate"/>
          </w:r>
          <w:r>
            <w:rPr>
              <w:rStyle w:val="11"/>
            </w:rPr>
            <w:t>Designing Virtual Organizations</w:t>
          </w:r>
          <w:r>
            <w:tab/>
          </w:r>
          <w:r>
            <w:fldChar w:fldCharType="begin"/>
          </w:r>
          <w:r>
            <w:instrText xml:space="preserve"> PAGEREF _Toc174481061 \h </w:instrText>
          </w:r>
          <w:r>
            <w:fldChar w:fldCharType="separate"/>
          </w:r>
          <w:r>
            <w:t>5</w:t>
          </w:r>
          <w:r>
            <w:fldChar w:fldCharType="end"/>
          </w:r>
          <w:r>
            <w:fldChar w:fldCharType="end"/>
          </w:r>
        </w:p>
        <w:p w14:paraId="10E90270">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"_Toc174481062" </w:instrText>
          </w:r>
          <w:r>
            <w:fldChar w:fldCharType="separate"/>
          </w:r>
          <w:r>
            <w:rPr>
              <w:rStyle w:val="11"/>
            </w:rPr>
            <w:t>Challenges</w:t>
          </w:r>
          <w:r>
            <w:tab/>
          </w:r>
          <w:r>
            <w:fldChar w:fldCharType="begin"/>
          </w:r>
          <w:r>
            <w:instrText xml:space="preserve"> PAGEREF _Toc174481062 \h </w:instrText>
          </w:r>
          <w:r>
            <w:fldChar w:fldCharType="separate"/>
          </w:r>
          <w:r>
            <w:t>5</w:t>
          </w:r>
          <w:r>
            <w:fldChar w:fldCharType="end"/>
          </w:r>
          <w:r>
            <w:fldChar w:fldCharType="end"/>
          </w:r>
        </w:p>
        <w:p w14:paraId="560F369D">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"_Toc174481063" </w:instrText>
          </w:r>
          <w:r>
            <w:fldChar w:fldCharType="separate"/>
          </w:r>
          <w:r>
            <w:rPr>
              <w:rStyle w:val="11"/>
            </w:rPr>
            <w:t>Performance Management and Productivity in a Virtual Environment</w:t>
          </w:r>
          <w:r>
            <w:tab/>
          </w:r>
          <w:r>
            <w:fldChar w:fldCharType="begin"/>
          </w:r>
          <w:r>
            <w:instrText xml:space="preserve"> PAGEREF _Toc174481063 \h </w:instrText>
          </w:r>
          <w:r>
            <w:fldChar w:fldCharType="separate"/>
          </w:r>
          <w:r>
            <w:t>5</w:t>
          </w:r>
          <w:r>
            <w:fldChar w:fldCharType="end"/>
          </w:r>
          <w:r>
            <w:fldChar w:fldCharType="end"/>
          </w:r>
        </w:p>
        <w:p w14:paraId="20AEFA28">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"_Toc174481064" </w:instrText>
          </w:r>
          <w:r>
            <w:fldChar w:fldCharType="separate"/>
          </w:r>
          <w:r>
            <w:rPr>
              <w:rStyle w:val="11"/>
            </w:rPr>
            <w:t>Cybersecurity and Data Protection Concerns</w:t>
          </w:r>
          <w:r>
            <w:tab/>
          </w:r>
          <w:r>
            <w:fldChar w:fldCharType="begin"/>
          </w:r>
          <w:r>
            <w:instrText xml:space="preserve"> PAGEREF _Toc174481064 \h </w:instrText>
          </w:r>
          <w:r>
            <w:fldChar w:fldCharType="separate"/>
          </w:r>
          <w:r>
            <w:t>5</w:t>
          </w:r>
          <w:r>
            <w:fldChar w:fldCharType="end"/>
          </w:r>
          <w:r>
            <w:fldChar w:fldCharType="end"/>
          </w:r>
        </w:p>
        <w:p w14:paraId="73BF9131">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"_Toc174481065" </w:instrText>
          </w:r>
          <w:r>
            <w:fldChar w:fldCharType="separate"/>
          </w:r>
          <w:r>
            <w:rPr>
              <w:rStyle w:val="11"/>
            </w:rPr>
            <w:t>Opportunities</w:t>
          </w:r>
          <w:r>
            <w:tab/>
          </w:r>
          <w:r>
            <w:fldChar w:fldCharType="begin"/>
          </w:r>
          <w:r>
            <w:instrText xml:space="preserve"> PAGEREF _Toc174481065 \h </w:instrText>
          </w:r>
          <w:r>
            <w:fldChar w:fldCharType="separate"/>
          </w:r>
          <w:r>
            <w:t>6</w:t>
          </w:r>
          <w:r>
            <w:fldChar w:fldCharType="end"/>
          </w:r>
          <w:r>
            <w:fldChar w:fldCharType="end"/>
          </w:r>
        </w:p>
        <w:p w14:paraId="1731FBA4">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"_Toc174481066" </w:instrText>
          </w:r>
          <w:r>
            <w:fldChar w:fldCharType="separate"/>
          </w:r>
          <w:r>
            <w:rPr>
              <w:rStyle w:val="11"/>
            </w:rPr>
            <w:t>Agility and Adaptability in a Competitive Global Market</w:t>
          </w:r>
          <w:r>
            <w:tab/>
          </w:r>
          <w:r>
            <w:fldChar w:fldCharType="begin"/>
          </w:r>
          <w:r>
            <w:instrText xml:space="preserve"> PAGEREF _Toc174481066 \h </w:instrText>
          </w:r>
          <w:r>
            <w:fldChar w:fldCharType="separate"/>
          </w:r>
          <w:r>
            <w:t>6</w:t>
          </w:r>
          <w:r>
            <w:fldChar w:fldCharType="end"/>
          </w:r>
          <w:r>
            <w:fldChar w:fldCharType="end"/>
          </w:r>
        </w:p>
        <w:p w14:paraId="738F7959">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"_Toc174481067" </w:instrText>
          </w:r>
          <w:r>
            <w:fldChar w:fldCharType="separate"/>
          </w:r>
          <w:r>
            <w:rPr>
              <w:rStyle w:val="11"/>
            </w:rPr>
            <w:t>Innovation Through Diverse Virtual Teams</w:t>
          </w:r>
          <w:r>
            <w:tab/>
          </w:r>
          <w:r>
            <w:fldChar w:fldCharType="begin"/>
          </w:r>
          <w:r>
            <w:instrText xml:space="preserve"> PAGEREF _Toc174481067 \h </w:instrText>
          </w:r>
          <w:r>
            <w:fldChar w:fldCharType="separate"/>
          </w:r>
          <w:r>
            <w:t>6</w:t>
          </w:r>
          <w:r>
            <w:fldChar w:fldCharType="end"/>
          </w:r>
          <w:r>
            <w:fldChar w:fldCharType="end"/>
          </w:r>
        </w:p>
        <w:p w14:paraId="622F4311">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"_Toc174481068" </w:instrText>
          </w:r>
          <w:r>
            <w:fldChar w:fldCharType="separate"/>
          </w:r>
          <w:r>
            <w:rPr>
              <w:rStyle w:val="11"/>
            </w:rPr>
            <w:t>Leading Virtual Organisations</w:t>
          </w:r>
          <w:r>
            <w:tab/>
          </w:r>
          <w:r>
            <w:fldChar w:fldCharType="begin"/>
          </w:r>
          <w:r>
            <w:instrText xml:space="preserve"> PAGEREF _Toc174481068 \h </w:instrText>
          </w:r>
          <w:r>
            <w:fldChar w:fldCharType="separate"/>
          </w:r>
          <w:r>
            <w:t>7</w:t>
          </w:r>
          <w:r>
            <w:fldChar w:fldCharType="end"/>
          </w:r>
          <w:r>
            <w:fldChar w:fldCharType="end"/>
          </w:r>
        </w:p>
        <w:p w14:paraId="4A2CC734">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"_Toc174481069" </w:instrText>
          </w:r>
          <w:r>
            <w:fldChar w:fldCharType="separate"/>
          </w:r>
          <w:r>
            <w:rPr>
              <w:rStyle w:val="11"/>
            </w:rPr>
            <w:t>Challenges</w:t>
          </w:r>
          <w:r>
            <w:tab/>
          </w:r>
          <w:r>
            <w:fldChar w:fldCharType="begin"/>
          </w:r>
          <w:r>
            <w:instrText xml:space="preserve"> PAGEREF _Toc174481069 \h </w:instrText>
          </w:r>
          <w:r>
            <w:fldChar w:fldCharType="separate"/>
          </w:r>
          <w:r>
            <w:t>7</w:t>
          </w:r>
          <w:r>
            <w:fldChar w:fldCharType="end"/>
          </w:r>
          <w:r>
            <w:fldChar w:fldCharType="end"/>
          </w:r>
        </w:p>
        <w:p w14:paraId="32E3028A">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"_Toc174481070" </w:instrText>
          </w:r>
          <w:r>
            <w:fldChar w:fldCharType="separate"/>
          </w:r>
          <w:r>
            <w:rPr>
              <w:rStyle w:val="11"/>
            </w:rPr>
            <w:t>Maintaining Trust and Cohesion in Virtual Teams</w:t>
          </w:r>
          <w:r>
            <w:tab/>
          </w:r>
          <w:r>
            <w:fldChar w:fldCharType="begin"/>
          </w:r>
          <w:r>
            <w:instrText xml:space="preserve"> PAGEREF _Toc174481070 \h </w:instrText>
          </w:r>
          <w:r>
            <w:fldChar w:fldCharType="separate"/>
          </w:r>
          <w:r>
            <w:t>7</w:t>
          </w:r>
          <w:r>
            <w:fldChar w:fldCharType="end"/>
          </w:r>
          <w:r>
            <w:fldChar w:fldCharType="end"/>
          </w:r>
        </w:p>
        <w:p w14:paraId="49E52A25">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"_Toc174481071" </w:instrText>
          </w:r>
          <w:r>
            <w:fldChar w:fldCharType="separate"/>
          </w:r>
          <w:r>
            <w:rPr>
              <w:rStyle w:val="11"/>
            </w:rPr>
            <w:t>Developing Leadership Skills for Virtual Environments</w:t>
          </w:r>
          <w:r>
            <w:tab/>
          </w:r>
          <w:r>
            <w:fldChar w:fldCharType="begin"/>
          </w:r>
          <w:r>
            <w:instrText xml:space="preserve"> PAGEREF _Toc174481071 \h </w:instrText>
          </w:r>
          <w:r>
            <w:fldChar w:fldCharType="separate"/>
          </w:r>
          <w:r>
            <w:t>7</w:t>
          </w:r>
          <w:r>
            <w:fldChar w:fldCharType="end"/>
          </w:r>
          <w:r>
            <w:fldChar w:fldCharType="end"/>
          </w:r>
        </w:p>
        <w:p w14:paraId="778EA840">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"_Toc174481072" </w:instrText>
          </w:r>
          <w:r>
            <w:fldChar w:fldCharType="separate"/>
          </w:r>
          <w:r>
            <w:rPr>
              <w:rStyle w:val="11"/>
            </w:rPr>
            <w:t>Opportunities</w:t>
          </w:r>
          <w:r>
            <w:tab/>
          </w:r>
          <w:r>
            <w:fldChar w:fldCharType="begin"/>
          </w:r>
          <w:r>
            <w:instrText xml:space="preserve"> PAGEREF _Toc174481072 \h </w:instrText>
          </w:r>
          <w:r>
            <w:fldChar w:fldCharType="separate"/>
          </w:r>
          <w:r>
            <w:t>7</w:t>
          </w:r>
          <w:r>
            <w:fldChar w:fldCharType="end"/>
          </w:r>
          <w:r>
            <w:fldChar w:fldCharType="end"/>
          </w:r>
        </w:p>
        <w:p w14:paraId="36D9A526">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"_Toc174481073" </w:instrText>
          </w:r>
          <w:r>
            <w:fldChar w:fldCharType="separate"/>
          </w:r>
          <w:r>
            <w:rPr>
              <w:rStyle w:val="11"/>
            </w:rPr>
            <w:t>Fostering a Global Leadership Perspective</w:t>
          </w:r>
          <w:r>
            <w:tab/>
          </w:r>
          <w:r>
            <w:fldChar w:fldCharType="begin"/>
          </w:r>
          <w:r>
            <w:instrText xml:space="preserve"> PAGEREF _Toc174481073 \h </w:instrText>
          </w:r>
          <w:r>
            <w:fldChar w:fldCharType="separate"/>
          </w:r>
          <w:r>
            <w:t>7</w:t>
          </w:r>
          <w:r>
            <w:fldChar w:fldCharType="end"/>
          </w:r>
          <w:r>
            <w:fldChar w:fldCharType="end"/>
          </w:r>
        </w:p>
        <w:p w14:paraId="56A16D0F">
          <w:pPr>
            <w:pStyle w:val="18"/>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"_Toc174481074" </w:instrText>
          </w:r>
          <w:r>
            <w:fldChar w:fldCharType="separate"/>
          </w:r>
          <w:r>
            <w:rPr>
              <w:rStyle w:val="11"/>
            </w:rPr>
            <w:t>Leveraging Technology for Enhanced Leadership Effectiveness</w:t>
          </w:r>
          <w:r>
            <w:tab/>
          </w:r>
          <w:r>
            <w:fldChar w:fldCharType="begin"/>
          </w:r>
          <w:r>
            <w:instrText xml:space="preserve"> PAGEREF _Toc174481074 \h </w:instrText>
          </w:r>
          <w:r>
            <w:fldChar w:fldCharType="separate"/>
          </w:r>
          <w:r>
            <w:t>8</w:t>
          </w:r>
          <w:r>
            <w:fldChar w:fldCharType="end"/>
          </w:r>
          <w:r>
            <w:fldChar w:fldCharType="end"/>
          </w:r>
        </w:p>
        <w:p w14:paraId="09E1B284">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"_Toc174481075" </w:instrText>
          </w:r>
          <w:r>
            <w:fldChar w:fldCharType="separate"/>
          </w:r>
          <w:r>
            <w:rPr>
              <w:rStyle w:val="11"/>
            </w:rPr>
            <w:t>Critical Evaluation of Dell's Virtual Management Practices</w:t>
          </w:r>
          <w:r>
            <w:tab/>
          </w:r>
          <w:r>
            <w:fldChar w:fldCharType="begin"/>
          </w:r>
          <w:r>
            <w:instrText xml:space="preserve"> PAGEREF _Toc174481075 \h </w:instrText>
          </w:r>
          <w:r>
            <w:fldChar w:fldCharType="separate"/>
          </w:r>
          <w:r>
            <w:t>8</w:t>
          </w:r>
          <w:r>
            <w:fldChar w:fldCharType="end"/>
          </w:r>
          <w:r>
            <w:fldChar w:fldCharType="end"/>
          </w:r>
        </w:p>
        <w:p w14:paraId="328A322B">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"_Toc174481076" </w:instrText>
          </w:r>
          <w:r>
            <w:fldChar w:fldCharType="separate"/>
          </w:r>
          <w:r>
            <w:rPr>
              <w:rStyle w:val="11"/>
            </w:rPr>
            <w:t>Successes and Best Practices</w:t>
          </w:r>
          <w:r>
            <w:tab/>
          </w:r>
          <w:r>
            <w:fldChar w:fldCharType="begin"/>
          </w:r>
          <w:r>
            <w:instrText xml:space="preserve"> PAGEREF _Toc174481076 \h </w:instrText>
          </w:r>
          <w:r>
            <w:fldChar w:fldCharType="separate"/>
          </w:r>
          <w:r>
            <w:t>8</w:t>
          </w:r>
          <w:r>
            <w:fldChar w:fldCharType="end"/>
          </w:r>
          <w:r>
            <w:fldChar w:fldCharType="end"/>
          </w:r>
        </w:p>
        <w:p w14:paraId="7AB368A5">
          <w:pPr>
            <w:pStyle w:val="17"/>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"_Toc174481077" </w:instrText>
          </w:r>
          <w:r>
            <w:fldChar w:fldCharType="separate"/>
          </w:r>
          <w:r>
            <w:rPr>
              <w:rStyle w:val="11"/>
            </w:rPr>
            <w:t>Areas for Improvement</w:t>
          </w:r>
          <w:r>
            <w:tab/>
          </w:r>
          <w:r>
            <w:fldChar w:fldCharType="begin"/>
          </w:r>
          <w:r>
            <w:instrText xml:space="preserve"> PAGEREF _Toc174481077 \h </w:instrText>
          </w:r>
          <w:r>
            <w:fldChar w:fldCharType="separate"/>
          </w:r>
          <w:r>
            <w:t>9</w:t>
          </w:r>
          <w:r>
            <w:fldChar w:fldCharType="end"/>
          </w:r>
          <w:r>
            <w:fldChar w:fldCharType="end"/>
          </w:r>
        </w:p>
        <w:p w14:paraId="4FC277A7">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"_Toc174481078" </w:instrText>
          </w:r>
          <w:r>
            <w:fldChar w:fldCharType="separate"/>
          </w:r>
          <w:r>
            <w:rPr>
              <w:rStyle w:val="11"/>
            </w:rPr>
            <w:t>Implications for Global Business Strategy</w:t>
          </w:r>
          <w:r>
            <w:tab/>
          </w:r>
          <w:r>
            <w:fldChar w:fldCharType="begin"/>
          </w:r>
          <w:r>
            <w:instrText xml:space="preserve"> PAGEREF _Toc174481078 \h </w:instrText>
          </w:r>
          <w:r>
            <w:fldChar w:fldCharType="separate"/>
          </w:r>
          <w:r>
            <w:t>9</w:t>
          </w:r>
          <w:r>
            <w:fldChar w:fldCharType="end"/>
          </w:r>
          <w:r>
            <w:fldChar w:fldCharType="end"/>
          </w:r>
        </w:p>
        <w:p w14:paraId="7275294B">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"_Toc174481079" </w:instrText>
          </w:r>
          <w:r>
            <w:fldChar w:fldCharType="separate"/>
          </w:r>
          <w:r>
            <w:rPr>
              <w:rStyle w:val="11"/>
            </w:rPr>
            <w:t>Conclusion</w:t>
          </w:r>
          <w:r>
            <w:tab/>
          </w:r>
          <w:r>
            <w:fldChar w:fldCharType="begin"/>
          </w:r>
          <w:r>
            <w:instrText xml:space="preserve"> PAGEREF _Toc174481079 \h </w:instrText>
          </w:r>
          <w:r>
            <w:fldChar w:fldCharType="separate"/>
          </w:r>
          <w:r>
            <w:t>10</w:t>
          </w:r>
          <w:r>
            <w:fldChar w:fldCharType="end"/>
          </w:r>
          <w:r>
            <w:fldChar w:fldCharType="end"/>
          </w:r>
        </w:p>
        <w:p w14:paraId="13BE041B">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"_Toc174481080" </w:instrText>
          </w:r>
          <w:r>
            <w:fldChar w:fldCharType="separate"/>
          </w:r>
          <w:r>
            <w:rPr>
              <w:rStyle w:val="11"/>
            </w:rPr>
            <w:t>References</w:t>
          </w:r>
          <w:r>
            <w:tab/>
          </w:r>
          <w:r>
            <w:fldChar w:fldCharType="begin"/>
          </w:r>
          <w:r>
            <w:instrText xml:space="preserve"> PAGEREF _Toc174481080 \h </w:instrText>
          </w:r>
          <w:r>
            <w:fldChar w:fldCharType="separate"/>
          </w:r>
          <w:r>
            <w:t>11</w:t>
          </w:r>
          <w:r>
            <w:fldChar w:fldCharType="end"/>
          </w:r>
          <w:r>
            <w:fldChar w:fldCharType="end"/>
          </w:r>
        </w:p>
        <w:p w14:paraId="7BB03BF9">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"_Toc174481081" </w:instrText>
          </w:r>
          <w:r>
            <w:fldChar w:fldCharType="separate"/>
          </w:r>
          <w:r>
            <w:rPr>
              <w:rStyle w:val="11"/>
            </w:rPr>
            <w:t>Appendix A: Individual Summary</w:t>
          </w:r>
          <w:r>
            <w:tab/>
          </w:r>
          <w:r>
            <w:fldChar w:fldCharType="begin"/>
          </w:r>
          <w:r>
            <w:instrText xml:space="preserve"> PAGEREF _Toc174481081 \h </w:instrText>
          </w:r>
          <w:r>
            <w:fldChar w:fldCharType="separate"/>
          </w:r>
          <w:r>
            <w:t>14</w:t>
          </w:r>
          <w:r>
            <w:fldChar w:fldCharType="end"/>
          </w:r>
          <w:r>
            <w:fldChar w:fldCharType="end"/>
          </w:r>
        </w:p>
        <w:p w14:paraId="32F9BA31">
          <w:pPr>
            <w:pStyle w:val="16"/>
            <w:tabs>
              <w:tab w:val="right" w:leader="dot" w:pos="9016"/>
            </w:tabs>
            <w:rPr>
              <w:rFonts w:asciiTheme="minorHAnsi" w:hAnsiTheme="minorHAnsi" w:eastAsiaTheme="minorEastAsia" w:cstheme="minorBidi"/>
              <w:color w:val="auto"/>
              <w:kern w:val="2"/>
              <w14:ligatures w14:val="standardContextual"/>
            </w:rPr>
          </w:pPr>
          <w:r>
            <w:fldChar w:fldCharType="begin"/>
          </w:r>
          <w:r>
            <w:instrText xml:space="preserve"> HYPERLINK \l "_Toc174481082" </w:instrText>
          </w:r>
          <w:r>
            <w:fldChar w:fldCharType="separate"/>
          </w:r>
          <w:r>
            <w:rPr>
              <w:rStyle w:val="11"/>
            </w:rPr>
            <w:t>Appendix B: Presentation + Précis of the Paper</w:t>
          </w:r>
          <w:r>
            <w:tab/>
          </w:r>
          <w:r>
            <w:fldChar w:fldCharType="begin"/>
          </w:r>
          <w:r>
            <w:instrText xml:space="preserve"> PAGEREF _Toc174481082 \h </w:instrText>
          </w:r>
          <w:r>
            <w:fldChar w:fldCharType="separate"/>
          </w:r>
          <w:r>
            <w:t>17</w:t>
          </w:r>
          <w:r>
            <w:fldChar w:fldCharType="end"/>
          </w:r>
          <w:r>
            <w:fldChar w:fldCharType="end"/>
          </w:r>
        </w:p>
        <w:p w14:paraId="5487052B">
          <w:r>
            <w:fldChar w:fldCharType="end"/>
          </w:r>
        </w:p>
      </w:sdtContent>
    </w:sdt>
    <w:p w14:paraId="5ADE33B7">
      <w:r>
        <w:t xml:space="preserve"> </w:t>
      </w:r>
    </w:p>
    <w:p w14:paraId="1972D869">
      <w:pPr>
        <w:rPr>
          <w:rFonts w:ascii="Arial" w:hAnsi="Arial" w:eastAsia="Arial" w:cs="Arial"/>
          <w:b/>
          <w:color w:val="17365D"/>
        </w:rPr>
      </w:pPr>
      <w:r>
        <w:br w:type="page"/>
      </w:r>
    </w:p>
    <w:p w14:paraId="7E6D8555">
      <w:pPr>
        <w:pStyle w:val="2"/>
      </w:pPr>
      <w:bookmarkStart w:id="0" w:name="_Toc174481053"/>
      <w:r>
        <w:t>Introduction</w:t>
      </w:r>
      <w:bookmarkEnd w:id="0"/>
    </w:p>
    <w:p w14:paraId="18B92176">
      <w:pPr>
        <w:pStyle w:val="23"/>
      </w:pPr>
      <w:r>
        <w:t>Virtual organizations (VOs) are organizations that employ Internet technologies to work with international teams; they have no constraints in terms of geography or time (Schilling, 2021). In today's rapidly evolving digital landscape, VOs have become increasingly significant due to their ability to adapt quickly, access global talent, and reduce operational costs (Dulebohn &amp; Hoch, 2017). However, they also present unique challenges in areas such as communication, corporate culture, and performance management (Gilson et al., 2015).</w:t>
      </w:r>
    </w:p>
    <w:p w14:paraId="41C9C322">
      <w:pPr>
        <w:pStyle w:val="23"/>
      </w:pPr>
      <w:r>
        <w:t>This report examines virtual management in Dell Technologies through a structured analysis. It begins with an introduction defining virtual organizations and the report's purpose. The main body is divided into three key sections: first, it explores the challenges Dell faces in virtual management, including cultural, communication, and security issues. Second, it discusses the opportunities presented by virtual management, such as global talent access and cost reduction.</w:t>
      </w:r>
    </w:p>
    <w:p w14:paraId="7E5150F9">
      <w:pPr>
        <w:pStyle w:val="23"/>
      </w:pPr>
      <w:r>
        <w:rPr>
          <w:b/>
          <w:bCs/>
        </w:rPr>
        <w:t>Company Background:</w:t>
      </w:r>
      <w:r>
        <w:t xml:space="preserve"> Dell Technologies is an American multinational technological organization established in 1984 that has earlier adopted virtual work structures (Dell Technologies, 2023). Starting from 2009, Dell continues and proves that it insists on the flexible and remote work policy with the program called “Connected Workplace” (Messenger &amp; Gschwind, 2016). This initiative has since evolved, making Dell an ideal subject for examining virtual organization practices. </w:t>
      </w:r>
    </w:p>
    <w:p w14:paraId="32E97A91">
      <w:pPr>
        <w:pStyle w:val="2"/>
      </w:pPr>
      <w:bookmarkStart w:id="1" w:name="_Toc174481054"/>
      <w:r>
        <w:t>Planning in Virtual Organizations</w:t>
      </w:r>
      <w:bookmarkEnd w:id="1"/>
    </w:p>
    <w:p w14:paraId="5205ADC8">
      <w:pPr>
        <w:pStyle w:val="3"/>
      </w:pPr>
      <w:bookmarkStart w:id="2" w:name="_Toc174481055"/>
      <w:r>
        <w:t>Challenges</w:t>
      </w:r>
      <w:bookmarkEnd w:id="2"/>
    </w:p>
    <w:p w14:paraId="604902F5">
      <w:pPr>
        <w:pStyle w:val="4"/>
      </w:pPr>
      <w:bookmarkStart w:id="3" w:name="_Toc174481056"/>
      <w:r>
        <w:t>Maintaining Organizational Culture and Employee Engagement</w:t>
      </w:r>
      <w:bookmarkEnd w:id="3"/>
    </w:p>
    <w:p w14:paraId="7667282E">
      <w:pPr>
        <w:pStyle w:val="23"/>
      </w:pPr>
      <w:r>
        <w:t xml:space="preserve">The organizational culture, hence, has its share of challenges in relation to its preservation together with commitment-building for the employees working for Dell Technologies at a virtual setting. According to Schein (2010), it was established that organizational culture encompasses aspects that are well imbedded in the organization’s people and things, which are tangible in the physical space but not easily in virtual environments.  </w:t>
      </w:r>
    </w:p>
    <w:p w14:paraId="223BFCDF">
      <w:pPr>
        <w:pStyle w:val="23"/>
      </w:pPr>
      <w:r>
        <w:t>Also, Neeley (2021) notes that virtual work may bring latent feelings of alienation and dislocation within employees, thus contrary to the intention put on organizational culture at Dell. Ideally, the company faces the challenge of shifting from shallow attempts of culture-building, through social media connections, hence the need to critically redesign the culture strategy to encompass creation of high-quality virtual experiences that reflect the organizational culture of Dell and improve employee engagement.</w:t>
      </w:r>
    </w:p>
    <w:p w14:paraId="0C4EEB10">
      <w:pPr>
        <w:pStyle w:val="4"/>
      </w:pPr>
      <w:bookmarkStart w:id="4" w:name="_Toc174481057"/>
      <w:r>
        <w:t>Ensuring Effective Communication and Collaboration</w:t>
      </w:r>
      <w:bookmarkEnd w:id="4"/>
    </w:p>
    <w:p w14:paraId="576E2176">
      <w:pPr>
        <w:pStyle w:val="23"/>
      </w:pPr>
      <w:r>
        <w:t xml:space="preserve">As for the efficient communication between the globally located employees, Dell, despite the latter’s investment in the modern means of communication technologies, continues to face significant challenges. The findings of Marlow et al., (2017) show that many virtual teams face issues that relate to coordination, communication, and trust. Another is that Dell leveraging of digital coms as a means of communication may lead to a creation of many ‘pools of information’ that do not interact as they would if the workers were physically situated hence inhibiting the passing around of ideas. </w:t>
      </w:r>
    </w:p>
    <w:p w14:paraId="016C9611">
      <w:pPr>
        <w:pStyle w:val="23"/>
      </w:pPr>
      <w:r>
        <w:t xml:space="preserve"> In addition, Jarvenpaa &amp; Leidner (1999) found that the level of trust in virtual teams is relatively low and testifies a certain period to strengthen cooperation between distributed employees Thus, Dell must make efforts to maintain and develop the trust of the employees. </w:t>
      </w:r>
    </w:p>
    <w:p w14:paraId="0E3A82D2">
      <w:pPr>
        <w:pStyle w:val="3"/>
      </w:pPr>
      <w:bookmarkStart w:id="5" w:name="_Toc174481058"/>
      <w:r>
        <w:t>Opportunities</w:t>
      </w:r>
      <w:bookmarkEnd w:id="5"/>
    </w:p>
    <w:p w14:paraId="63CDDEB1">
      <w:pPr>
        <w:pStyle w:val="4"/>
      </w:pPr>
      <w:bookmarkStart w:id="6" w:name="_Toc174481059"/>
      <w:r>
        <w:t>Access to Global Talent and Enhanced Diversity</w:t>
      </w:r>
      <w:bookmarkEnd w:id="6"/>
    </w:p>
    <w:p w14:paraId="6BE5162C">
      <w:pPr>
        <w:pStyle w:val="23"/>
      </w:pPr>
      <w:r>
        <w:t xml:space="preserve">The use of virtual management in Dell has gone a notch higher in increasing the kind of talent pool the company is in reach of. It will also be important to agree with Raghuram et al., (2019) that virtual work arrangements could in fact assist an organisation in being able to access talent that it could not previously access, hence increasing innovation and possibly problem-solving skills. </w:t>
      </w:r>
    </w:p>
    <w:p w14:paraId="4E908913">
      <w:pPr>
        <w:pStyle w:val="23"/>
      </w:pPr>
      <w:r>
        <w:t>However, the authors of the article Hinds et al., (2011) noted across geographical space- and nation-bound diverse workforce has certain issues which can be managed only through efficient cross cultural management skills. The following issue that Dell needs to address is if the current management practices at Dell are diverse enough and if the company is making the most out of diverse views that result from global virtual work environment to sustain competitive advantage in the technology industry.</w:t>
      </w:r>
    </w:p>
    <w:p w14:paraId="19E777BE">
      <w:pPr>
        <w:pStyle w:val="4"/>
      </w:pPr>
      <w:bookmarkStart w:id="7" w:name="_Toc174481060"/>
      <w:r>
        <w:t>Cost Reduction and Resource Optimization</w:t>
      </w:r>
      <w:bookmarkEnd w:id="7"/>
    </w:p>
    <w:p w14:paraId="5FE985B2">
      <w:pPr>
        <w:pStyle w:val="23"/>
      </w:pPr>
      <w:r>
        <w:t>Virtual management can serve as a major advantage for Dell as it freed the company significant amounts of money as the need for the extension of physical offices and other overhead costs. However, according to Nilles (1997), it is claimed that virtual working not only entails cost savings, but also enhanced levels of productivity and flexibility of organizations. Thus, Dell needs to deeply analy</w:t>
      </w:r>
      <w:r>
        <w:rPr>
          <w:rFonts w:hint="default"/>
          <w:lang w:val="en-US"/>
        </w:rPr>
        <w:t>z</w:t>
      </w:r>
      <w:r>
        <w:t xml:space="preserve">e the impact of virtual work model and decide whether these cost reductions are effectively re-allocated and invested into the company’s competitive advantage instruments, such as R&amp;D or customer relationship improvements. </w:t>
      </w:r>
    </w:p>
    <w:p w14:paraId="1CBAD70E">
      <w:pPr>
        <w:pStyle w:val="23"/>
      </w:pPr>
      <w:r>
        <w:t xml:space="preserve">However, according to Martins et al., (2004), virtual teams can be assembled, reconfigured and disassembled rather easily since the needs of an organisation are bound to change with the passage of time. The above flexibility could somehow improve the organizational agility of Dell, effectively enabling it to address market trends much faster. </w:t>
      </w:r>
    </w:p>
    <w:p w14:paraId="52CA4FFB">
      <w:pPr>
        <w:pStyle w:val="2"/>
      </w:pPr>
      <w:bookmarkStart w:id="8" w:name="_Toc174481061"/>
      <w:r>
        <w:t>Designing Virtual Organizations</w:t>
      </w:r>
      <w:bookmarkEnd w:id="8"/>
    </w:p>
    <w:p w14:paraId="6E44E338">
      <w:pPr>
        <w:pStyle w:val="3"/>
      </w:pPr>
      <w:bookmarkStart w:id="9" w:name="_Toc174481062"/>
      <w:r>
        <w:t>Challenges</w:t>
      </w:r>
      <w:bookmarkEnd w:id="9"/>
    </w:p>
    <w:p w14:paraId="35023815">
      <w:pPr>
        <w:pStyle w:val="4"/>
      </w:pPr>
      <w:bookmarkStart w:id="10" w:name="_Toc174481063"/>
      <w:r>
        <w:t>Performance Management and Productivity in a Virtual Environment</w:t>
      </w:r>
      <w:bookmarkEnd w:id="10"/>
    </w:p>
    <w:p w14:paraId="27CACFC0">
      <w:pPr>
        <w:pStyle w:val="23"/>
      </w:pPr>
      <w:r>
        <w:t xml:space="preserve">Due to the changes in business organization structures, especially the shift to virtual management in the case of Dell, Essential Performance must push for a radical overhaul of performance standards and management methodologies. Kaplan et al., (2018) also highlighted the existence of performance evaluation issues where managers rely on their own default to estimate their subordinates’ productivity without supervision. Dell needs to justify whether its hierarchy of performance management tools is capable to provide fair and accurate assessment in context of virtual environment. </w:t>
      </w:r>
    </w:p>
    <w:p w14:paraId="69DCF3A5">
      <w:pPr>
        <w:pStyle w:val="23"/>
      </w:pPr>
      <w:r>
        <w:t xml:space="preserve"> Furthermore, Dell has noted higher extant of productivity in some work domains according to; Kelliher &amp; Anderson (2010) this has been specifically observed as a potential threat to work intensification and well-being consequences among employees. </w:t>
      </w:r>
    </w:p>
    <w:p w14:paraId="65860E32">
      <w:pPr>
        <w:pStyle w:val="4"/>
      </w:pPr>
      <w:bookmarkStart w:id="11" w:name="_Toc174481064"/>
      <w:r>
        <w:t>Cybersecurity and Data Protection Concerns</w:t>
      </w:r>
      <w:bookmarkEnd w:id="11"/>
    </w:p>
    <w:p w14:paraId="06B9DC1A">
      <w:pPr>
        <w:pStyle w:val="23"/>
        <w:spacing w:line="360" w:lineRule="auto"/>
        <w:rPr>
          <w:rFonts w:hint="default"/>
          <w:lang w:val="en-US"/>
        </w:rPr>
      </w:pPr>
      <w:r>
        <w:t>This vulnerability is more concerning for an organization such as Dell as a technology company in a contemporary, heavily computerized workspace. In this paper, cram et al., (2017) explain that an increased attack surface and cyber risk are two disadvantages of remote work due to decentralization. It’s high time for Dell to ensure that current security measures are effective in case of the company’s largely remote workers, and to define potential consequences of data leaks in the global field for the company’s competitive advantages</w:t>
      </w:r>
      <w:r>
        <w:rPr>
          <w:rFonts w:hint="default"/>
          <w:lang w:val="en-US"/>
        </w:rPr>
        <w:t xml:space="preserve"> </w:t>
      </w:r>
      <w:r>
        <w:t>and customers’ confi</w:t>
      </w:r>
      <w:r>
        <w:rPr>
          <w:rFonts w:hint="default"/>
          <w:lang w:val="en-US"/>
        </w:rPr>
        <w:t>dence. In addition , Canibano (2019) note that it is quite difficult for organizations to enforce data protection laws that are required for virtual workplaces.</w:t>
      </w:r>
    </w:p>
    <w:p w14:paraId="05D41134">
      <w:pPr>
        <w:pStyle w:val="3"/>
      </w:pPr>
      <w:bookmarkStart w:id="12" w:name="_Toc174481065"/>
      <w:r>
        <w:t>Opportunities</w:t>
      </w:r>
      <w:bookmarkEnd w:id="12"/>
    </w:p>
    <w:p w14:paraId="643EAF7D">
      <w:pPr>
        <w:pStyle w:val="4"/>
      </w:pPr>
      <w:bookmarkStart w:id="13" w:name="_Toc174481066"/>
      <w:r>
        <w:t>Agility and Adaptability in a Competitive Global Market</w:t>
      </w:r>
      <w:bookmarkEnd w:id="13"/>
    </w:p>
    <w:p w14:paraId="53DF428C">
      <w:r>
        <w:t xml:space="preserve">The model of virtual management increases the activities of the company in the space of density of electricity with the market and customers as well as the speed of the changes. Sambamurthy et al., (2003) maintain that flexibility is the main source of competitive advantage in digital business settings. </w:t>
      </w:r>
    </w:p>
    <w:p w14:paraId="3708E388">
      <w:r>
        <w:t xml:space="preserve"> Nonetheless, Eisenhardt &amp; Martin (2000) have opined that the organizational capabilities may get over time frozen irrespective of the dynamic environment that the organization operates in. Dell must be careful not to lose focus from the fact that flexibility within an organization entails the development of other aspects that identify its core competencies. </w:t>
      </w:r>
    </w:p>
    <w:p w14:paraId="6B0D96BF">
      <w:pPr>
        <w:pStyle w:val="4"/>
      </w:pPr>
      <w:bookmarkStart w:id="14" w:name="_Toc174481067"/>
      <w:r>
        <w:t>Innovation Through Diverse Virtual Teams</w:t>
      </w:r>
      <w:bookmarkEnd w:id="14"/>
    </w:p>
    <w:p w14:paraId="035CFC06">
      <w:pPr>
        <w:pStyle w:val="23"/>
      </w:pPr>
      <w:r>
        <w:t xml:space="preserve">Virtual management, which Dell utilizes, gives the firm a chance to work with cross-functional teams, which may be in different geographical regions, hence cutting costs and encouraging innovation in new ideas. According to Gibson &amp; Gibbs, (2006), virtual teams can increase innovation since different knowledge and perspective may be compiled. Due to the virtual nature of Dell’s organizational structure, talent and ideas can be combined in fundamentally new ways. </w:t>
      </w:r>
    </w:p>
    <w:p w14:paraId="5A64B348">
      <w:pPr>
        <w:pStyle w:val="23"/>
      </w:pPr>
      <w:r>
        <w:t xml:space="preserve"> However, Gilson et al., (2015) add that the facility of idea generation and other creative assignments tends to be a problem for virtual teams because of the absence of casual interactions. With regards to the innovation referenced by the author, Dell must ask itself whether its virtual innovation processes are engaging the creativity of the diverse population. </w:t>
      </w:r>
    </w:p>
    <w:p w14:paraId="074607A2">
      <w:pPr>
        <w:pStyle w:val="2"/>
      </w:pPr>
      <w:bookmarkStart w:id="15" w:name="_Toc174481068"/>
      <w:r>
        <w:t xml:space="preserve">Leading Virtual </w:t>
      </w:r>
      <w:r>
        <w:rPr>
          <w:lang w:val="en-US"/>
        </w:rPr>
        <w:t>Organizations</w:t>
      </w:r>
      <w:bookmarkEnd w:id="15"/>
    </w:p>
    <w:p w14:paraId="54FE2E49">
      <w:pPr>
        <w:pStyle w:val="3"/>
      </w:pPr>
      <w:bookmarkStart w:id="16" w:name="_Toc174481069"/>
      <w:r>
        <w:t>Challenges</w:t>
      </w:r>
      <w:bookmarkEnd w:id="16"/>
    </w:p>
    <w:p w14:paraId="1BB01804">
      <w:pPr>
        <w:pStyle w:val="4"/>
      </w:pPr>
      <w:bookmarkStart w:id="17" w:name="_Toc174481070"/>
      <w:r>
        <w:t>Maintaining Trust and Cohesion in Virtual Teams</w:t>
      </w:r>
      <w:bookmarkEnd w:id="17"/>
    </w:p>
    <w:p w14:paraId="4551440C">
      <w:pPr>
        <w:pStyle w:val="28"/>
      </w:pPr>
      <w:r>
        <w:t>While virtual teams have the advantage of flexibility, they lack the effective means of developing trust and creating the integrated, united spirit of the whole. The use of online communication may cause some team members to have certain misconceptions and antagonisms which will only harm the team’s performance. Jarvenpaa &amp; Leidner (1999) are of the opinion that virtual teams are easily mistrustful and therefore the trust needs to be cultivated continually. However, communicating excessively to make clients trust you can create a problem of ‘over information’ decimating productivity. About this, leader’s ought to self-reflect and analyse if the steps they use in managing virtual teams promote trust or if it is all mirage that disintegrates when pressure is applied.</w:t>
      </w:r>
    </w:p>
    <w:p w14:paraId="49ADA973">
      <w:pPr>
        <w:pStyle w:val="4"/>
      </w:pPr>
      <w:bookmarkStart w:id="18" w:name="_Toc174481071"/>
      <w:r>
        <w:t>Developing Leadership Skills for Virtual Environments</w:t>
      </w:r>
      <w:bookmarkEnd w:id="18"/>
    </w:p>
    <w:p w14:paraId="667822C9">
      <w:pPr>
        <w:pStyle w:val="28"/>
      </w:pPr>
      <w:r>
        <w:t>Leading virtually requires the application of new skills which blur the application of conventional leadership theories. Whereas Zigurs (2003) proposes more facilitative ways of leadership, this changeover may result in reduced influence of the leader. A potential drawback to judging leadership skills in the written domain is that it unfolds in the context of virtual communication, which naturally privatizes communication while often overemphasizing the written form, thus potentially disadvantaging those leaders with innately strong interpersonal skills. Besides, more recent theories of leadership, such as that of ‘e-charisma’ (Avolio et al., 2014), prompt concerns about the nature of leadership in virtual environments. One can develop a false sense of authenticity and lose the signal about who the leader is and what abilities they possess offline. Leadership development programs need to be queried by organizations to determine if they adequately equip effective leaders to operate in virtual management environments.</w:t>
      </w:r>
    </w:p>
    <w:p w14:paraId="7EEB59D2">
      <w:pPr>
        <w:pStyle w:val="3"/>
      </w:pPr>
      <w:bookmarkStart w:id="19" w:name="_Toc174481072"/>
      <w:r>
        <w:t>Opportunities</w:t>
      </w:r>
      <w:bookmarkEnd w:id="19"/>
    </w:p>
    <w:p w14:paraId="1DA0AC23">
      <w:pPr>
        <w:pStyle w:val="4"/>
      </w:pPr>
      <w:bookmarkStart w:id="20" w:name="_Toc174481073"/>
      <w:r>
        <w:t>Fostering a Global Leadership Perspective</w:t>
      </w:r>
      <w:bookmarkEnd w:id="20"/>
    </w:p>
    <w:p w14:paraId="58EEC1BF">
      <w:r>
        <w:t xml:space="preserve">Virtual organizations allow for global exposure that can improve cultural literacy in leadership, or exacerbate the problem. But this opportunity is accompanied by numerous problems. Counterparts of this type of thought are those simple belief systems which proposed that all the world exposure would amount to cultural competence. So, the prejudice can be simply reproduced in a far more aggressive manner when the interaction goes through the virtual environment, and that is the way such communications can convert prejudices instead of eliminating them. As much as Ang &amp; Van Dyne (2015) suggest cultural intelligence, attaining this in virtual context unachievable. The ideas of fully democratized leadership positions within the virtual domain seems enticing but such a paradigm might only reinforce the divisions across different capabilities in using technology props. Leaders of </w:t>
      </w:r>
      <w:r>
        <w:rPr>
          <w:lang w:val="en-US"/>
        </w:rPr>
        <w:t>organizations</w:t>
      </w:r>
      <w:r>
        <w:t xml:space="preserve"> need to assess whether virtual leadership enhances diversity, or if it is just a façade.</w:t>
      </w:r>
    </w:p>
    <w:p w14:paraId="13AE072E">
      <w:pPr>
        <w:pStyle w:val="4"/>
      </w:pPr>
      <w:bookmarkStart w:id="21" w:name="_Toc174481074"/>
      <w:r>
        <w:t>Leveraging Technology for Enhanced Leadership Effectiveness</w:t>
      </w:r>
      <w:bookmarkEnd w:id="21"/>
    </w:p>
    <w:p w14:paraId="5180E4EF">
      <w:r>
        <w:t>The idea of having data driven leadership in virtual environment, as proposed by McAfee et al., (2012) holds a great promise. Excessive reliance on analytics implies that the management of human capital is dehumanizing complex human relations to figures. Despite the promise of applying AI and especially machine learning to identify dynamics of working teams, it becomes clear that such an approach might be reductionist and reproduce prejudices existing in the algorithms. This idea of implementing Virtual and Augmented Reality as a form of team-building engagement is rather unique and may pose possible psychological trends of being able to engage virtually but cannot transfer to other usual organizational communication and interdependence settings. Such leaders need to analyse to what extent the technology improves their efficiency and effectiveness or simply disguises the leadership issues with a high-tech coat.</w:t>
      </w:r>
    </w:p>
    <w:p w14:paraId="16DBAE63">
      <w:pPr>
        <w:pStyle w:val="2"/>
      </w:pPr>
      <w:bookmarkStart w:id="22" w:name="_Toc174481075"/>
      <w:r>
        <w:t>Critical Evaluation of Dell's Virtual Management Practices</w:t>
      </w:r>
      <w:bookmarkEnd w:id="22"/>
    </w:p>
    <w:p w14:paraId="4820EBDA">
      <w:pPr>
        <w:pStyle w:val="3"/>
      </w:pPr>
      <w:bookmarkStart w:id="23" w:name="_Toc174481076"/>
      <w:r>
        <w:t>Successes and Best Practices</w:t>
      </w:r>
      <w:bookmarkEnd w:id="23"/>
    </w:p>
    <w:p w14:paraId="392C63EC">
      <w:pPr>
        <w:pStyle w:val="23"/>
      </w:pPr>
      <w:r>
        <w:rPr>
          <w:b/>
          <w:bCs/>
        </w:rPr>
        <w:t>Global Talent Acquisition:</w:t>
      </w:r>
      <w:r>
        <w:t xml:space="preserve"> Virtual management is the other area, where Dell has managed to record </w:t>
      </w:r>
      <w:r>
        <w:rPr>
          <w:lang w:val="en-US"/>
        </w:rPr>
        <w:t>organizational</w:t>
      </w:r>
      <w:r>
        <w:t xml:space="preserve"> triumphs through supply of global talent. As Larson &amp; Makarius (2018), such approach might lead to the enhancement of creativity and to the actions connected to the work on different problems. Starting from the year 2009, Dell began their programme known as ‘Connected Workplace’ that has ease their talent acquisition implying that they source talents that may not be in their vicinity hence make them more competitive over the interface technologies and products in the technology industry. </w:t>
      </w:r>
    </w:p>
    <w:p w14:paraId="77022A13">
      <w:pPr>
        <w:pStyle w:val="23"/>
      </w:pPr>
      <w:r>
        <w:rPr>
          <w:b/>
          <w:bCs/>
        </w:rPr>
        <w:t>Cost Efficiency:</w:t>
      </w:r>
      <w:r>
        <w:t xml:space="preserve"> Dell for instance regarding cost factors it provided $12 million annual cost reductions for cost reduction through flexibility in work (Dell Technologies, 2020). This is in line with Nilles’ sentiment in 1997 as he blew the trumpet for telework as having capacity to bring about absolute elimination of costs. Still, it becomes pertinent to check whether, these savings have better been channelled into imperative business plans. </w:t>
      </w:r>
    </w:p>
    <w:p w14:paraId="5FFD8D70">
      <w:pPr>
        <w:pStyle w:val="23"/>
      </w:pPr>
      <w:r>
        <w:rPr>
          <w:b/>
          <w:bCs/>
        </w:rPr>
        <w:t>Environmental Impact:</w:t>
      </w:r>
      <w:r>
        <w:t xml:space="preserve"> Dell's virtual work policies have contributed to a reduction in carbon emissions by decreasing employee commuting. While this aligns with corporate social responsibility goals, it's important to note that Harrington &amp; Santiago (2006) argue that the overall environmental impact of virtual work is complex and not always positive.</w:t>
      </w:r>
    </w:p>
    <w:p w14:paraId="665F7623">
      <w:pPr>
        <w:pStyle w:val="3"/>
      </w:pPr>
      <w:bookmarkStart w:id="24" w:name="_Toc174481077"/>
      <w:r>
        <w:t>Areas for Improvement</w:t>
      </w:r>
      <w:bookmarkEnd w:id="24"/>
    </w:p>
    <w:p w14:paraId="05ACCFCF">
      <w:pPr>
        <w:pStyle w:val="23"/>
      </w:pPr>
      <w:r>
        <w:rPr>
          <w:b/>
          <w:bCs/>
        </w:rPr>
        <w:t>Culture and Engagement:</w:t>
      </w:r>
      <w:r>
        <w:t xml:space="preserve"> Thus, it is still very hard for Dell to preserve organisational culture during the usage of virtual teams. According to Neeley (2021), deliberate culture activities should be conducted in workspaces that are virtual. Considering this, Dell must prudently assess the efficacy of the existing virtual culture promotion endeavours and explore more creative solutions regarding the management of the employees engagement. </w:t>
      </w:r>
    </w:p>
    <w:p w14:paraId="51ACD951">
      <w:pPr>
        <w:pStyle w:val="23"/>
      </w:pPr>
      <w:r>
        <w:rPr>
          <w:b/>
          <w:bCs/>
        </w:rPr>
        <w:t>Performance Management:</w:t>
      </w:r>
      <w:r>
        <w:t xml:space="preserve"> Thus, it can be hypothesized that the performance evaluation systems used in Dell has not been optimized for the virtual work environment. One limitation that Kaplan et al., (2018) discussed to virtual performance assessments is that there is a possible systematic bias. Dell needs to conduct a critical evaluation of how performance management is done within the company to see if the current approach effectively measures the employees’ performance in a virtual environment. </w:t>
      </w:r>
    </w:p>
    <w:p w14:paraId="37BC785D">
      <w:pPr>
        <w:pStyle w:val="23"/>
      </w:pPr>
      <w:r>
        <w:rPr>
          <w:b/>
          <w:bCs/>
        </w:rPr>
        <w:t xml:space="preserve"> Innovation Processes:</w:t>
      </w:r>
      <w:r>
        <w:t xml:space="preserve"> Although Dell has the ambiguous virtual structure, the company must solve the problems of virtual innovation, and the team composition can differ. Gilson et al., (2015) made their observation on the fact that virtual teams tend to have poor idea generation. Therefore, a major challenge that Dell has is the means of fostering creativity and innovation in virtual teams.</w:t>
      </w:r>
    </w:p>
    <w:p w14:paraId="40C42548">
      <w:pPr>
        <w:pStyle w:val="2"/>
      </w:pPr>
      <w:bookmarkStart w:id="25" w:name="_Toc174481078"/>
      <w:r>
        <w:t>Implications for Global Business Strategy</w:t>
      </w:r>
      <w:bookmarkEnd w:id="25"/>
    </w:p>
    <w:p w14:paraId="160CC7B0">
      <w:r>
        <w:rPr>
          <w:b/>
          <w:bCs/>
        </w:rPr>
        <w:t>Market Responsiveness:</w:t>
      </w:r>
      <w:r>
        <w:t xml:space="preserve"> Its virtual management model might be useful in boosting Dell’s capacity for reacting swiftly to market trends. But Eisenhardt &amp; Martin (2000) noted that such organizational capabilities tend to become exponentiate with time. To ensure credibility, Dell must be very careful that its virtual structure indeed equates market agility. </w:t>
      </w:r>
    </w:p>
    <w:p w14:paraId="03556DC7">
      <w:r>
        <w:rPr>
          <w:b/>
          <w:bCs/>
        </w:rPr>
        <w:t>Competitive Differentiation:</w:t>
      </w:r>
      <w:r>
        <w:t xml:space="preserve"> Introducing flexible work option has become a norm in industries presently and therefore Dell’s virtual management practices do not hold the competitive advantage that they used to. The paradox for the company is that it now needs to seek opportunities for the competitive advantage of the ‘being virtually structured’ more probably in virtual collaboration distinction or in virtual customer interaction distinction. </w:t>
      </w:r>
    </w:p>
    <w:p w14:paraId="7F611FAA">
      <w:r>
        <w:rPr>
          <w:b/>
          <w:bCs/>
        </w:rPr>
        <w:t>Global Expansion:</w:t>
      </w:r>
      <w:r>
        <w:t xml:space="preserve"> Virtual management is advantageous to Dell as it operates on an international level while at the same time posing challenges in cross-cultural management. Hinds et al. define the difficulties of co-ordinate intercultural team communication and work in virtual teams. Thus, Dell also must carry out an appraisal of its cross-cultural management strategies to enable efficient operation on the international level. </w:t>
      </w:r>
    </w:p>
    <w:p w14:paraId="133D1F51">
      <w:r>
        <w:rPr>
          <w:b/>
          <w:bCs/>
        </w:rPr>
        <w:t>Cybersecurity and Data Governance:</w:t>
      </w:r>
      <w:r>
        <w:t xml:space="preserve"> As Dell goes virtual, security threats grow to be significant in the firms’ strategic plans across the world. Cram et al., (2017) also explain how risks have grown in distributed work environments. Dell must now regard effective protection of its assets and clients’ data as prerequisites not only for operational efficiency, but also for gaining customers’ trust around the world.</w:t>
      </w:r>
    </w:p>
    <w:p w14:paraId="0B86CD57">
      <w:pPr>
        <w:pStyle w:val="2"/>
      </w:pPr>
      <w:bookmarkStart w:id="26" w:name="_Toc174481079"/>
      <w:r>
        <w:t>Conclusion</w:t>
      </w:r>
      <w:bookmarkEnd w:id="26"/>
    </w:p>
    <w:p w14:paraId="2FA406C3">
      <w:pPr>
        <w:pStyle w:val="23"/>
      </w:pPr>
      <w:r>
        <w:t>The case of Dell Technologies can be considered as one of the most dramatic cases that reflect the specificity of managing enterprises in the conditions of the digital environment. As for the strengths, Dell manages to effectively source global talents, minimize costs, and uphold environmental objectives; as for the weaknesses, there are challenges related to creating and sustaining the company’s culture, adapting the system of performance management, and promoting innovation in a virtual context. In the future, it is expected that the virtual management will incorporate more intensively artificial intelligence, focus on the virtual management competencies, develop the novel approaches towards cybersecurity, and use the option of the work-from-home initiative as a combination of both virtual and physical work environments. At the same time, virtual management becomes the standard model, particularly in the global industries.</w:t>
      </w:r>
    </w:p>
    <w:p w14:paraId="570DA3C3">
      <w:pPr>
        <w:pStyle w:val="2"/>
      </w:pPr>
      <w:bookmarkStart w:id="27" w:name="_Toc174481080"/>
      <w:r>
        <w:t>References</w:t>
      </w:r>
      <w:bookmarkEnd w:id="27"/>
    </w:p>
    <w:p w14:paraId="4016C996">
      <w:r>
        <w:t>Ang, S. and Van Dyne, L., 2015. </w:t>
      </w:r>
      <w:r>
        <w:rPr>
          <w:i/>
          <w:iCs/>
        </w:rPr>
        <w:t>Handbook of cultural intelligence: Theory, measurement, and applications</w:t>
      </w:r>
      <w:r>
        <w:t>. Routledge.</w:t>
      </w:r>
    </w:p>
    <w:p w14:paraId="32156603">
      <w:r>
        <w:t>Avolio, B.J., Sosik, J.J., Kahai, S.S. and Baker, B., 2014. E-leadership: Re-examining transformations in leadership source and transmission. </w:t>
      </w:r>
      <w:r>
        <w:rPr>
          <w:i/>
          <w:iCs/>
        </w:rPr>
        <w:t>The Leadership Quarterly</w:t>
      </w:r>
      <w:r>
        <w:t>, </w:t>
      </w:r>
      <w:r>
        <w:rPr>
          <w:i/>
          <w:iCs/>
        </w:rPr>
        <w:t>25</w:t>
      </w:r>
      <w:r>
        <w:t>(1), pp.105-131.</w:t>
      </w:r>
    </w:p>
    <w:p w14:paraId="60278497">
      <w:pPr>
        <w:rPr>
          <w:sz w:val="23"/>
          <w:szCs w:val="23"/>
        </w:rPr>
      </w:pPr>
      <w:r>
        <w:rPr>
          <w:sz w:val="23"/>
          <w:szCs w:val="23"/>
        </w:rPr>
        <w:t>Cañibano, A., 2019. Workplace flexibility as a paradoxical phenomenon: Exploring employee experiences. </w:t>
      </w:r>
      <w:r>
        <w:rPr>
          <w:i/>
          <w:iCs/>
          <w:sz w:val="23"/>
          <w:szCs w:val="23"/>
        </w:rPr>
        <w:t>Human Relations</w:t>
      </w:r>
      <w:r>
        <w:rPr>
          <w:sz w:val="23"/>
          <w:szCs w:val="23"/>
        </w:rPr>
        <w:t>, </w:t>
      </w:r>
      <w:r>
        <w:rPr>
          <w:i/>
          <w:iCs/>
          <w:sz w:val="23"/>
          <w:szCs w:val="23"/>
        </w:rPr>
        <w:t>72</w:t>
      </w:r>
      <w:r>
        <w:rPr>
          <w:sz w:val="23"/>
          <w:szCs w:val="23"/>
        </w:rPr>
        <w:t>(2), pp.444-470.</w:t>
      </w:r>
    </w:p>
    <w:p w14:paraId="67C5F91A">
      <w:pPr>
        <w:rPr>
          <w:sz w:val="23"/>
          <w:szCs w:val="23"/>
        </w:rPr>
      </w:pPr>
      <w:r>
        <w:rPr>
          <w:sz w:val="23"/>
          <w:szCs w:val="23"/>
        </w:rPr>
        <w:t>Cram, W.A., Proudfoot, J.G. and D’arcy, J., 2017. Organizational information security policies: a review and research framework. </w:t>
      </w:r>
      <w:r>
        <w:rPr>
          <w:i/>
          <w:iCs/>
          <w:sz w:val="23"/>
          <w:szCs w:val="23"/>
        </w:rPr>
        <w:t>European Journal of Information Systems</w:t>
      </w:r>
      <w:r>
        <w:rPr>
          <w:sz w:val="23"/>
          <w:szCs w:val="23"/>
        </w:rPr>
        <w:t>, </w:t>
      </w:r>
      <w:r>
        <w:rPr>
          <w:i/>
          <w:iCs/>
          <w:sz w:val="23"/>
          <w:szCs w:val="23"/>
        </w:rPr>
        <w:t>26</w:t>
      </w:r>
      <w:r>
        <w:rPr>
          <w:sz w:val="23"/>
          <w:szCs w:val="23"/>
        </w:rPr>
        <w:t>(6), pp.605-641.</w:t>
      </w:r>
    </w:p>
    <w:p w14:paraId="01DC1207">
      <w:pPr>
        <w:pStyle w:val="28"/>
        <w:jc w:val="left"/>
        <w:rPr>
          <w:sz w:val="23"/>
          <w:szCs w:val="23"/>
        </w:rPr>
      </w:pPr>
      <w:r>
        <w:rPr>
          <w:sz w:val="23"/>
          <w:szCs w:val="23"/>
        </w:rPr>
        <w:t xml:space="preserve">Dell Technologies, 2020. </w:t>
      </w:r>
      <w:r>
        <w:rPr>
          <w:i/>
          <w:iCs/>
          <w:sz w:val="23"/>
          <w:szCs w:val="23"/>
        </w:rPr>
        <w:t>FY20 Social Impact Report.</w:t>
      </w:r>
      <w:r>
        <w:rPr>
          <w:sz w:val="23"/>
          <w:szCs w:val="23"/>
        </w:rPr>
        <w:t xml:space="preserve"> [online] Available at: </w:t>
      </w:r>
      <w:r>
        <w:rPr>
          <w:sz w:val="23"/>
          <w:szCs w:val="23"/>
          <w:u w:val="single"/>
        </w:rPr>
        <w:t xml:space="preserve">https://corporate.delltechnologies.com/content/dam/delltechnologies/assets/corporate/pdf/progress-made-real-reports/delltechnologies-fy20-progress-made-real-report.p </w:t>
      </w:r>
      <w:r>
        <w:rPr>
          <w:sz w:val="23"/>
          <w:szCs w:val="23"/>
        </w:rPr>
        <w:t xml:space="preserve">[Accessed </w:t>
      </w:r>
      <w:r>
        <w:rPr>
          <w:rFonts w:hint="default"/>
          <w:sz w:val="23"/>
          <w:szCs w:val="23"/>
          <w:lang w:val="en-IN"/>
        </w:rPr>
        <w:t>1 August</w:t>
      </w:r>
      <w:r>
        <w:rPr>
          <w:sz w:val="23"/>
          <w:szCs w:val="23"/>
        </w:rPr>
        <w:t xml:space="preserve"> 2024].</w:t>
      </w:r>
    </w:p>
    <w:p w14:paraId="6433D334">
      <w:pPr>
        <w:pStyle w:val="28"/>
        <w:jc w:val="left"/>
        <w:rPr>
          <w:sz w:val="23"/>
          <w:szCs w:val="23"/>
        </w:rPr>
      </w:pPr>
      <w:r>
        <w:rPr>
          <w:sz w:val="23"/>
          <w:szCs w:val="23"/>
        </w:rPr>
        <w:t xml:space="preserve">Dell Technologies, 2023. </w:t>
      </w:r>
      <w:r>
        <w:rPr>
          <w:i/>
          <w:iCs/>
          <w:sz w:val="23"/>
          <w:szCs w:val="23"/>
        </w:rPr>
        <w:t>Who we are.</w:t>
      </w:r>
      <w:r>
        <w:rPr>
          <w:sz w:val="23"/>
          <w:szCs w:val="23"/>
        </w:rPr>
        <w:t xml:space="preserve"> [online] Available at: </w:t>
      </w:r>
      <w:r>
        <w:rPr>
          <w:sz w:val="23"/>
          <w:szCs w:val="23"/>
          <w:u w:val="single"/>
        </w:rPr>
        <w:t xml:space="preserve">https://www.dell.com/en-us/dt/corporate/about-us/who-we-are.htm </w:t>
      </w:r>
      <w:r>
        <w:rPr>
          <w:sz w:val="23"/>
          <w:szCs w:val="23"/>
        </w:rPr>
        <w:t xml:space="preserve">[Accessed </w:t>
      </w:r>
      <w:r>
        <w:rPr>
          <w:rFonts w:hint="default"/>
          <w:sz w:val="23"/>
          <w:szCs w:val="23"/>
          <w:lang w:val="en-IN"/>
        </w:rPr>
        <w:t>3 August</w:t>
      </w:r>
      <w:r>
        <w:rPr>
          <w:sz w:val="23"/>
          <w:szCs w:val="23"/>
        </w:rPr>
        <w:t xml:space="preserve"> 2024].</w:t>
      </w:r>
    </w:p>
    <w:p w14:paraId="5FFB8EC9">
      <w:pPr>
        <w:rPr>
          <w:sz w:val="23"/>
          <w:szCs w:val="23"/>
        </w:rPr>
      </w:pPr>
      <w:r>
        <w:rPr>
          <w:sz w:val="23"/>
          <w:szCs w:val="23"/>
        </w:rPr>
        <w:t>Dulebohn, J.H. and Hoch, J.E., 2017. Virtual teams in organizations. </w:t>
      </w:r>
      <w:r>
        <w:rPr>
          <w:i/>
          <w:iCs/>
          <w:sz w:val="23"/>
          <w:szCs w:val="23"/>
        </w:rPr>
        <w:t>Human resource management review</w:t>
      </w:r>
      <w:r>
        <w:rPr>
          <w:sz w:val="23"/>
          <w:szCs w:val="23"/>
        </w:rPr>
        <w:t>, </w:t>
      </w:r>
      <w:r>
        <w:rPr>
          <w:i/>
          <w:iCs/>
          <w:sz w:val="23"/>
          <w:szCs w:val="23"/>
        </w:rPr>
        <w:t>27</w:t>
      </w:r>
      <w:r>
        <w:rPr>
          <w:sz w:val="23"/>
          <w:szCs w:val="23"/>
        </w:rPr>
        <w:t>(4), pp.569-574.</w:t>
      </w:r>
    </w:p>
    <w:p w14:paraId="662DE353">
      <w:pPr>
        <w:rPr>
          <w:sz w:val="23"/>
          <w:szCs w:val="23"/>
        </w:rPr>
      </w:pPr>
      <w:r>
        <w:rPr>
          <w:sz w:val="23"/>
          <w:szCs w:val="23"/>
        </w:rPr>
        <w:t>Eisenhardt, K.M. and Martin, J.A., 2000. Dynamic capabilities: what are they?. </w:t>
      </w:r>
      <w:r>
        <w:rPr>
          <w:i/>
          <w:iCs/>
          <w:sz w:val="23"/>
          <w:szCs w:val="23"/>
        </w:rPr>
        <w:t>Strategic management journal</w:t>
      </w:r>
      <w:r>
        <w:rPr>
          <w:sz w:val="23"/>
          <w:szCs w:val="23"/>
        </w:rPr>
        <w:t>, </w:t>
      </w:r>
      <w:r>
        <w:rPr>
          <w:i/>
          <w:iCs/>
          <w:sz w:val="23"/>
          <w:szCs w:val="23"/>
        </w:rPr>
        <w:t>21</w:t>
      </w:r>
      <w:r>
        <w:rPr>
          <w:sz w:val="23"/>
          <w:szCs w:val="23"/>
        </w:rPr>
        <w:t>(10‐11), pp.1105-1121.</w:t>
      </w:r>
    </w:p>
    <w:p w14:paraId="312EE463">
      <w:pPr>
        <w:rPr>
          <w:sz w:val="23"/>
          <w:szCs w:val="23"/>
        </w:rPr>
      </w:pPr>
      <w:r>
        <w:rPr>
          <w:sz w:val="23"/>
          <w:szCs w:val="23"/>
        </w:rPr>
        <w:t>Gibson, C.B. and Gibbs, J.L., 2006. Unpacking the concept of virtuality: The effects of geographic dispersion, electronic dependence, dynamic structure, and national diversity on team innovation. </w:t>
      </w:r>
      <w:r>
        <w:rPr>
          <w:i/>
          <w:iCs/>
          <w:sz w:val="23"/>
          <w:szCs w:val="23"/>
        </w:rPr>
        <w:t>Administrative science quarterly</w:t>
      </w:r>
      <w:r>
        <w:rPr>
          <w:sz w:val="23"/>
          <w:szCs w:val="23"/>
        </w:rPr>
        <w:t>, </w:t>
      </w:r>
      <w:r>
        <w:rPr>
          <w:i/>
          <w:iCs/>
          <w:sz w:val="23"/>
          <w:szCs w:val="23"/>
        </w:rPr>
        <w:t>51</w:t>
      </w:r>
      <w:r>
        <w:rPr>
          <w:sz w:val="23"/>
          <w:szCs w:val="23"/>
        </w:rPr>
        <w:t>(3), pp.451-495.</w:t>
      </w:r>
    </w:p>
    <w:p w14:paraId="67849113">
      <w:pPr>
        <w:rPr>
          <w:sz w:val="23"/>
          <w:szCs w:val="23"/>
        </w:rPr>
      </w:pPr>
      <w:r>
        <w:rPr>
          <w:sz w:val="23"/>
          <w:szCs w:val="23"/>
        </w:rPr>
        <w:t>Gilson, L.L., Maynard, M.T., Jones Young, N.C., Vartiainen, M. and Hakonen, M., 2015. Virtual teams research: 10 years, 10 themes, and 10 opportunities. </w:t>
      </w:r>
      <w:r>
        <w:rPr>
          <w:i/>
          <w:iCs/>
          <w:sz w:val="23"/>
          <w:szCs w:val="23"/>
        </w:rPr>
        <w:t>Journal of management</w:t>
      </w:r>
      <w:r>
        <w:rPr>
          <w:sz w:val="23"/>
          <w:szCs w:val="23"/>
        </w:rPr>
        <w:t>, </w:t>
      </w:r>
      <w:r>
        <w:rPr>
          <w:i/>
          <w:iCs/>
          <w:sz w:val="23"/>
          <w:szCs w:val="23"/>
        </w:rPr>
        <w:t>41</w:t>
      </w:r>
      <w:r>
        <w:rPr>
          <w:sz w:val="23"/>
          <w:szCs w:val="23"/>
        </w:rPr>
        <w:t>(5), pp.1313-1337.</w:t>
      </w:r>
    </w:p>
    <w:p w14:paraId="3006C684">
      <w:pPr>
        <w:rPr>
          <w:sz w:val="23"/>
          <w:szCs w:val="23"/>
        </w:rPr>
      </w:pPr>
      <w:r>
        <w:rPr>
          <w:sz w:val="23"/>
          <w:szCs w:val="23"/>
        </w:rPr>
        <w:t>Harrington, S.J. and Santiago, J., 2006. Organizational culture and telecommuters' quality of work life and professional isolation. </w:t>
      </w:r>
      <w:r>
        <w:rPr>
          <w:i/>
          <w:iCs/>
          <w:sz w:val="23"/>
          <w:szCs w:val="23"/>
        </w:rPr>
        <w:t>Communications of the IIMA</w:t>
      </w:r>
      <w:r>
        <w:rPr>
          <w:sz w:val="23"/>
          <w:szCs w:val="23"/>
        </w:rPr>
        <w:t>, </w:t>
      </w:r>
      <w:r>
        <w:rPr>
          <w:i/>
          <w:iCs/>
          <w:sz w:val="23"/>
          <w:szCs w:val="23"/>
        </w:rPr>
        <w:t>6</w:t>
      </w:r>
      <w:r>
        <w:rPr>
          <w:sz w:val="23"/>
          <w:szCs w:val="23"/>
        </w:rPr>
        <w:t>(3), p.1.</w:t>
      </w:r>
    </w:p>
    <w:p w14:paraId="0461EBA5">
      <w:pPr>
        <w:rPr>
          <w:sz w:val="23"/>
          <w:szCs w:val="23"/>
        </w:rPr>
      </w:pPr>
      <w:r>
        <w:rPr>
          <w:sz w:val="23"/>
          <w:szCs w:val="23"/>
        </w:rPr>
        <w:t>Hinds, P., Liu, L. and Lyon, J., 2011. Putting the global in global work: An intercultural lens on the practice of cross-national collaboration. </w:t>
      </w:r>
      <w:r>
        <w:rPr>
          <w:i/>
          <w:iCs/>
          <w:sz w:val="23"/>
          <w:szCs w:val="23"/>
        </w:rPr>
        <w:t>Academy of Management annals</w:t>
      </w:r>
      <w:r>
        <w:rPr>
          <w:sz w:val="23"/>
          <w:szCs w:val="23"/>
        </w:rPr>
        <w:t>, </w:t>
      </w:r>
      <w:r>
        <w:rPr>
          <w:i/>
          <w:iCs/>
          <w:sz w:val="23"/>
          <w:szCs w:val="23"/>
        </w:rPr>
        <w:t>5</w:t>
      </w:r>
      <w:r>
        <w:rPr>
          <w:sz w:val="23"/>
          <w:szCs w:val="23"/>
        </w:rPr>
        <w:t>(1), pp.135-188.</w:t>
      </w:r>
    </w:p>
    <w:p w14:paraId="13CB92FF">
      <w:pPr>
        <w:rPr>
          <w:sz w:val="23"/>
          <w:szCs w:val="23"/>
        </w:rPr>
      </w:pPr>
      <w:r>
        <w:rPr>
          <w:sz w:val="23"/>
          <w:szCs w:val="23"/>
        </w:rPr>
        <w:t>Jarvenpaa, S.L. and Leidner, D.E., 1999. Communication and trust in global virtual teams. </w:t>
      </w:r>
      <w:r>
        <w:rPr>
          <w:i/>
          <w:iCs/>
          <w:sz w:val="23"/>
          <w:szCs w:val="23"/>
        </w:rPr>
        <w:t>Organization science</w:t>
      </w:r>
      <w:r>
        <w:rPr>
          <w:sz w:val="23"/>
          <w:szCs w:val="23"/>
        </w:rPr>
        <w:t>, </w:t>
      </w:r>
      <w:r>
        <w:rPr>
          <w:i/>
          <w:iCs/>
          <w:sz w:val="23"/>
          <w:szCs w:val="23"/>
        </w:rPr>
        <w:t>10</w:t>
      </w:r>
      <w:r>
        <w:rPr>
          <w:sz w:val="23"/>
          <w:szCs w:val="23"/>
        </w:rPr>
        <w:t>(6), pp.791-815.</w:t>
      </w:r>
    </w:p>
    <w:p w14:paraId="527DE515">
      <w:pPr>
        <w:rPr>
          <w:sz w:val="23"/>
          <w:szCs w:val="23"/>
        </w:rPr>
      </w:pPr>
      <w:r>
        <w:rPr>
          <w:sz w:val="23"/>
          <w:szCs w:val="23"/>
        </w:rPr>
        <w:t>Kaplan, S., Engelsted, L., Lei, X. and Lockwood, K., 2018. Unpackaging manager mistrust in allowing telework: comparing and integrating theoretical perspectives. </w:t>
      </w:r>
      <w:r>
        <w:rPr>
          <w:i/>
          <w:iCs/>
          <w:sz w:val="23"/>
          <w:szCs w:val="23"/>
        </w:rPr>
        <w:t>Journal of Business and Psychology</w:t>
      </w:r>
      <w:r>
        <w:rPr>
          <w:sz w:val="23"/>
          <w:szCs w:val="23"/>
        </w:rPr>
        <w:t>, </w:t>
      </w:r>
      <w:r>
        <w:rPr>
          <w:i/>
          <w:iCs/>
          <w:sz w:val="23"/>
          <w:szCs w:val="23"/>
        </w:rPr>
        <w:t>33</w:t>
      </w:r>
      <w:r>
        <w:rPr>
          <w:sz w:val="23"/>
          <w:szCs w:val="23"/>
        </w:rPr>
        <w:t>, pp.365-382.</w:t>
      </w:r>
    </w:p>
    <w:p w14:paraId="60B548A5">
      <w:pPr>
        <w:rPr>
          <w:sz w:val="23"/>
          <w:szCs w:val="23"/>
        </w:rPr>
      </w:pPr>
      <w:r>
        <w:rPr>
          <w:sz w:val="23"/>
          <w:szCs w:val="23"/>
        </w:rPr>
        <w:t>Kelliher, C. and Anderson, D., 2010. Doing more with less? Flexible working practices and the intensification of work. </w:t>
      </w:r>
      <w:r>
        <w:rPr>
          <w:i/>
          <w:iCs/>
          <w:sz w:val="23"/>
          <w:szCs w:val="23"/>
        </w:rPr>
        <w:t>Human relations</w:t>
      </w:r>
      <w:r>
        <w:rPr>
          <w:sz w:val="23"/>
          <w:szCs w:val="23"/>
        </w:rPr>
        <w:t>, </w:t>
      </w:r>
      <w:r>
        <w:rPr>
          <w:i/>
          <w:iCs/>
          <w:sz w:val="23"/>
          <w:szCs w:val="23"/>
        </w:rPr>
        <w:t>63</w:t>
      </w:r>
      <w:r>
        <w:rPr>
          <w:sz w:val="23"/>
          <w:szCs w:val="23"/>
        </w:rPr>
        <w:t>(1), pp.83-106.</w:t>
      </w:r>
    </w:p>
    <w:p w14:paraId="0AAA5C1B">
      <w:pPr>
        <w:rPr>
          <w:sz w:val="23"/>
          <w:szCs w:val="23"/>
        </w:rPr>
      </w:pPr>
      <w:r>
        <w:rPr>
          <w:sz w:val="23"/>
          <w:szCs w:val="23"/>
        </w:rPr>
        <w:t>Larson, B.Z. and Makarius, E.E., 2018. The virtual work skills you need—even if you never work remotely. </w:t>
      </w:r>
      <w:r>
        <w:rPr>
          <w:i/>
          <w:iCs/>
          <w:sz w:val="23"/>
          <w:szCs w:val="23"/>
        </w:rPr>
        <w:t>Harvard Business Review</w:t>
      </w:r>
      <w:r>
        <w:rPr>
          <w:sz w:val="23"/>
          <w:szCs w:val="23"/>
        </w:rPr>
        <w:t>, </w:t>
      </w:r>
      <w:r>
        <w:rPr>
          <w:i/>
          <w:iCs/>
          <w:sz w:val="23"/>
          <w:szCs w:val="23"/>
        </w:rPr>
        <w:t>5</w:t>
      </w:r>
      <w:r>
        <w:rPr>
          <w:sz w:val="23"/>
          <w:szCs w:val="23"/>
        </w:rPr>
        <w:t>(2018), p.5.</w:t>
      </w:r>
    </w:p>
    <w:p w14:paraId="348BF455">
      <w:pPr>
        <w:rPr>
          <w:sz w:val="23"/>
          <w:szCs w:val="23"/>
        </w:rPr>
      </w:pPr>
      <w:r>
        <w:rPr>
          <w:sz w:val="23"/>
          <w:szCs w:val="23"/>
        </w:rPr>
        <w:t>Marlow, S.L., Lacerenza, C.N. and Salas, E., 2017. Communication in virtual teams: A conceptual framework and research agenda. </w:t>
      </w:r>
      <w:r>
        <w:rPr>
          <w:i/>
          <w:iCs/>
          <w:sz w:val="23"/>
          <w:szCs w:val="23"/>
        </w:rPr>
        <w:t>Human resource management review</w:t>
      </w:r>
      <w:r>
        <w:rPr>
          <w:sz w:val="23"/>
          <w:szCs w:val="23"/>
        </w:rPr>
        <w:t>, </w:t>
      </w:r>
      <w:r>
        <w:rPr>
          <w:i/>
          <w:iCs/>
          <w:sz w:val="23"/>
          <w:szCs w:val="23"/>
        </w:rPr>
        <w:t>27</w:t>
      </w:r>
      <w:r>
        <w:rPr>
          <w:sz w:val="23"/>
          <w:szCs w:val="23"/>
        </w:rPr>
        <w:t>(4), pp.575-589.</w:t>
      </w:r>
    </w:p>
    <w:p w14:paraId="6017BE04">
      <w:pPr>
        <w:rPr>
          <w:sz w:val="23"/>
          <w:szCs w:val="23"/>
        </w:rPr>
      </w:pPr>
      <w:r>
        <w:rPr>
          <w:sz w:val="23"/>
          <w:szCs w:val="23"/>
        </w:rPr>
        <w:t>Martins, L.L., Gilson, L.L. and Maynard, M.T., 2004. Virtual teams: What do we know and where do we go from here?. </w:t>
      </w:r>
      <w:r>
        <w:rPr>
          <w:i/>
          <w:iCs/>
          <w:sz w:val="23"/>
          <w:szCs w:val="23"/>
        </w:rPr>
        <w:t>Journal of management</w:t>
      </w:r>
      <w:r>
        <w:rPr>
          <w:sz w:val="23"/>
          <w:szCs w:val="23"/>
        </w:rPr>
        <w:t>, </w:t>
      </w:r>
      <w:r>
        <w:rPr>
          <w:i/>
          <w:iCs/>
          <w:sz w:val="23"/>
          <w:szCs w:val="23"/>
        </w:rPr>
        <w:t>30</w:t>
      </w:r>
      <w:r>
        <w:rPr>
          <w:sz w:val="23"/>
          <w:szCs w:val="23"/>
        </w:rPr>
        <w:t>(6), pp.805-835.</w:t>
      </w:r>
    </w:p>
    <w:p w14:paraId="4B973BE9">
      <w:pPr>
        <w:rPr>
          <w:sz w:val="23"/>
          <w:szCs w:val="23"/>
        </w:rPr>
      </w:pPr>
      <w:r>
        <w:rPr>
          <w:sz w:val="23"/>
          <w:szCs w:val="23"/>
        </w:rPr>
        <w:t>McAfee, A., Brynjolfsson, E., Davenport, T.H., Patil, D.J. and Barton, D., 2012. Big data: the management revolution. </w:t>
      </w:r>
      <w:r>
        <w:rPr>
          <w:i/>
          <w:iCs/>
          <w:sz w:val="23"/>
          <w:szCs w:val="23"/>
        </w:rPr>
        <w:t>Harvard business review</w:t>
      </w:r>
      <w:r>
        <w:rPr>
          <w:sz w:val="23"/>
          <w:szCs w:val="23"/>
        </w:rPr>
        <w:t>, </w:t>
      </w:r>
      <w:r>
        <w:rPr>
          <w:i/>
          <w:iCs/>
          <w:sz w:val="23"/>
          <w:szCs w:val="23"/>
        </w:rPr>
        <w:t>90</w:t>
      </w:r>
      <w:r>
        <w:rPr>
          <w:sz w:val="23"/>
          <w:szCs w:val="23"/>
        </w:rPr>
        <w:t>(10), pp.60-68.</w:t>
      </w:r>
    </w:p>
    <w:p w14:paraId="2B38F56F">
      <w:pPr>
        <w:rPr>
          <w:sz w:val="23"/>
          <w:szCs w:val="23"/>
        </w:rPr>
      </w:pPr>
      <w:r>
        <w:rPr>
          <w:sz w:val="23"/>
          <w:szCs w:val="23"/>
        </w:rPr>
        <w:t>Messenger, J.C. and Gschwind, L., 2016. Three generations of Telework: New ICT s and the (R) evolution from Home Office to Virtual Office. </w:t>
      </w:r>
      <w:r>
        <w:rPr>
          <w:i/>
          <w:iCs/>
          <w:sz w:val="23"/>
          <w:szCs w:val="23"/>
        </w:rPr>
        <w:t>New Technology, Work and Employment</w:t>
      </w:r>
      <w:r>
        <w:rPr>
          <w:sz w:val="23"/>
          <w:szCs w:val="23"/>
        </w:rPr>
        <w:t>, </w:t>
      </w:r>
      <w:r>
        <w:rPr>
          <w:i/>
          <w:iCs/>
          <w:sz w:val="23"/>
          <w:szCs w:val="23"/>
        </w:rPr>
        <w:t>31</w:t>
      </w:r>
      <w:r>
        <w:rPr>
          <w:sz w:val="23"/>
          <w:szCs w:val="23"/>
        </w:rPr>
        <w:t>(3), pp.195-208.</w:t>
      </w:r>
    </w:p>
    <w:p w14:paraId="1C8B48C7">
      <w:pPr>
        <w:rPr>
          <w:sz w:val="23"/>
          <w:szCs w:val="23"/>
        </w:rPr>
      </w:pPr>
      <w:r>
        <w:rPr>
          <w:sz w:val="23"/>
          <w:szCs w:val="23"/>
        </w:rPr>
        <w:t>Neeley, T., 2021. </w:t>
      </w:r>
      <w:r>
        <w:rPr>
          <w:i/>
          <w:iCs/>
          <w:sz w:val="23"/>
          <w:szCs w:val="23"/>
        </w:rPr>
        <w:t>Remote work revolution: Succeeding from anywhere</w:t>
      </w:r>
      <w:r>
        <w:rPr>
          <w:sz w:val="23"/>
          <w:szCs w:val="23"/>
        </w:rPr>
        <w:t>. London, UK:: Harper Business.</w:t>
      </w:r>
    </w:p>
    <w:p w14:paraId="40E398F6">
      <w:pPr>
        <w:rPr>
          <w:sz w:val="23"/>
          <w:szCs w:val="23"/>
        </w:rPr>
      </w:pPr>
      <w:r>
        <w:rPr>
          <w:sz w:val="23"/>
          <w:szCs w:val="23"/>
        </w:rPr>
        <w:t>Nilles, J.M., 1997. Telework: enabling distributed organizations: implications for IT managers. </w:t>
      </w:r>
      <w:r>
        <w:rPr>
          <w:i/>
          <w:iCs/>
          <w:sz w:val="23"/>
          <w:szCs w:val="23"/>
        </w:rPr>
        <w:t>Information Systems Management</w:t>
      </w:r>
      <w:r>
        <w:rPr>
          <w:sz w:val="23"/>
          <w:szCs w:val="23"/>
        </w:rPr>
        <w:t>, </w:t>
      </w:r>
      <w:r>
        <w:rPr>
          <w:i/>
          <w:iCs/>
          <w:sz w:val="23"/>
          <w:szCs w:val="23"/>
        </w:rPr>
        <w:t>14</w:t>
      </w:r>
      <w:r>
        <w:rPr>
          <w:sz w:val="23"/>
          <w:szCs w:val="23"/>
        </w:rPr>
        <w:t>(4), pp.7-14.</w:t>
      </w:r>
    </w:p>
    <w:p w14:paraId="1940DF80">
      <w:pPr>
        <w:rPr>
          <w:sz w:val="23"/>
          <w:szCs w:val="23"/>
        </w:rPr>
      </w:pPr>
      <w:r>
        <w:rPr>
          <w:sz w:val="23"/>
          <w:szCs w:val="23"/>
        </w:rPr>
        <w:t>OSAZEVBARU, H.O. and TARURHOR, E.M., 2020. Corporate governance and management opportunistic behaviour. </w:t>
      </w:r>
      <w:r>
        <w:rPr>
          <w:i/>
          <w:iCs/>
          <w:sz w:val="23"/>
          <w:szCs w:val="23"/>
        </w:rPr>
        <w:t>Social Science Asia</w:t>
      </w:r>
      <w:r>
        <w:rPr>
          <w:sz w:val="23"/>
          <w:szCs w:val="23"/>
        </w:rPr>
        <w:t>, </w:t>
      </w:r>
      <w:r>
        <w:rPr>
          <w:i/>
          <w:iCs/>
          <w:sz w:val="23"/>
          <w:szCs w:val="23"/>
        </w:rPr>
        <w:t>6</w:t>
      </w:r>
      <w:r>
        <w:rPr>
          <w:sz w:val="23"/>
          <w:szCs w:val="23"/>
        </w:rPr>
        <w:t>(3), pp.1-12</w:t>
      </w:r>
    </w:p>
    <w:p w14:paraId="285F8858">
      <w:pPr>
        <w:spacing w:line="240" w:lineRule="auto"/>
        <w:rPr>
          <w:rFonts w:hint="default"/>
          <w:sz w:val="23"/>
          <w:szCs w:val="23"/>
          <w:lang w:val="en-IN"/>
        </w:rPr>
      </w:pPr>
      <w:r>
        <w:rPr>
          <w:rFonts w:hint="default"/>
          <w:sz w:val="23"/>
          <w:szCs w:val="23"/>
          <w:lang w:val="en-IN"/>
        </w:rPr>
        <w:t>Raghuram, S., Hill, N.S., Gibbs, J.L. and Maruping, L.M., 2019. Virtual work: Bridging</w:t>
      </w:r>
    </w:p>
    <w:p w14:paraId="4100972F">
      <w:pPr>
        <w:spacing w:line="240" w:lineRule="auto"/>
        <w:rPr>
          <w:rFonts w:hint="default"/>
          <w:sz w:val="23"/>
          <w:szCs w:val="23"/>
          <w:lang w:val="en-IN"/>
        </w:rPr>
      </w:pPr>
      <w:r>
        <w:rPr>
          <w:rFonts w:hint="default"/>
          <w:sz w:val="23"/>
          <w:szCs w:val="23"/>
          <w:lang w:val="en-IN"/>
        </w:rPr>
        <w:t>Research clusters. Academy of Management Annals, 13(1), pp.308-341.</w:t>
      </w:r>
    </w:p>
    <w:p w14:paraId="72DD8B8A">
      <w:pPr>
        <w:rPr>
          <w:sz w:val="23"/>
          <w:szCs w:val="23"/>
        </w:rPr>
      </w:pPr>
      <w:r>
        <w:rPr>
          <w:sz w:val="23"/>
          <w:szCs w:val="23"/>
        </w:rPr>
        <w:t>Sambamurthy, V., Bharadwaj, A. and Grover, V., 2003. Shaping agility through digital options: Reconceptualizing the role of information technology in contemporary firms. </w:t>
      </w:r>
      <w:r>
        <w:rPr>
          <w:i/>
          <w:iCs/>
          <w:sz w:val="23"/>
          <w:szCs w:val="23"/>
        </w:rPr>
        <w:t>MIS quarterly</w:t>
      </w:r>
      <w:r>
        <w:rPr>
          <w:sz w:val="23"/>
          <w:szCs w:val="23"/>
        </w:rPr>
        <w:t>, pp.237-263.</w:t>
      </w:r>
    </w:p>
    <w:p w14:paraId="6A92CFCC">
      <w:pPr>
        <w:rPr>
          <w:sz w:val="23"/>
          <w:szCs w:val="23"/>
        </w:rPr>
      </w:pPr>
      <w:r>
        <w:rPr>
          <w:sz w:val="23"/>
          <w:szCs w:val="23"/>
        </w:rPr>
        <w:t>Schein, E.H., 2010. </w:t>
      </w:r>
      <w:r>
        <w:rPr>
          <w:i/>
          <w:iCs/>
          <w:sz w:val="23"/>
          <w:szCs w:val="23"/>
        </w:rPr>
        <w:t>Organizational culture and leadership</w:t>
      </w:r>
      <w:r>
        <w:rPr>
          <w:sz w:val="23"/>
          <w:szCs w:val="23"/>
        </w:rPr>
        <w:t> (Vol. 2). John Wiley &amp; Sons.</w:t>
      </w:r>
    </w:p>
    <w:p w14:paraId="11FD6D5B">
      <w:pPr>
        <w:rPr>
          <w:sz w:val="23"/>
          <w:szCs w:val="23"/>
        </w:rPr>
      </w:pPr>
      <w:bookmarkStart w:id="30" w:name="_GoBack"/>
      <w:r>
        <w:rPr>
          <w:sz w:val="23"/>
          <w:szCs w:val="23"/>
        </w:rPr>
        <w:t>Schilling, M.A., 2017. </w:t>
      </w:r>
      <w:r>
        <w:rPr>
          <w:i/>
          <w:iCs/>
          <w:sz w:val="23"/>
          <w:szCs w:val="23"/>
        </w:rPr>
        <w:t>Strategic management of technological innovation</w:t>
      </w:r>
      <w:r>
        <w:rPr>
          <w:sz w:val="23"/>
          <w:szCs w:val="23"/>
        </w:rPr>
        <w:t>. McGraw-Hill</w:t>
      </w:r>
      <w:bookmarkEnd w:id="30"/>
      <w:r>
        <w:rPr>
          <w:sz w:val="23"/>
          <w:szCs w:val="23"/>
        </w:rPr>
        <w:t>.</w:t>
      </w:r>
    </w:p>
    <w:p w14:paraId="5CBAD851">
      <w:pPr>
        <w:rPr>
          <w:sz w:val="23"/>
          <w:szCs w:val="23"/>
        </w:rPr>
      </w:pPr>
    </w:p>
    <w:p w14:paraId="150C1387">
      <w:pPr>
        <w:rPr>
          <w:sz w:val="23"/>
          <w:szCs w:val="23"/>
        </w:rPr>
      </w:pPr>
    </w:p>
    <w:p w14:paraId="5FD55653">
      <w:pPr>
        <w:rPr>
          <w:sz w:val="23"/>
          <w:szCs w:val="23"/>
        </w:rPr>
      </w:pPr>
    </w:p>
    <w:p w14:paraId="1E7BD556">
      <w:pPr>
        <w:rPr>
          <w:sz w:val="23"/>
          <w:szCs w:val="23"/>
        </w:rPr>
      </w:pPr>
    </w:p>
    <w:p w14:paraId="75617AF8">
      <w:pPr>
        <w:rPr>
          <w:sz w:val="23"/>
          <w:szCs w:val="23"/>
        </w:rPr>
      </w:pPr>
    </w:p>
    <w:p w14:paraId="571F0983">
      <w:pPr>
        <w:rPr>
          <w:sz w:val="23"/>
          <w:szCs w:val="23"/>
        </w:rPr>
      </w:pPr>
    </w:p>
    <w:p w14:paraId="749C3896">
      <w:pPr>
        <w:rPr>
          <w:sz w:val="23"/>
          <w:szCs w:val="23"/>
        </w:rPr>
      </w:pPr>
    </w:p>
    <w:p w14:paraId="3A02F5F3">
      <w:pPr>
        <w:rPr>
          <w:sz w:val="23"/>
          <w:szCs w:val="23"/>
        </w:rPr>
      </w:pPr>
    </w:p>
    <w:p w14:paraId="0AC2C279">
      <w:pPr>
        <w:rPr>
          <w:sz w:val="23"/>
          <w:szCs w:val="23"/>
        </w:rPr>
      </w:pPr>
    </w:p>
    <w:p w14:paraId="367C2744">
      <w:pPr>
        <w:rPr>
          <w:sz w:val="23"/>
          <w:szCs w:val="23"/>
        </w:rPr>
      </w:pPr>
    </w:p>
    <w:p w14:paraId="429393F6">
      <w:pPr>
        <w:rPr>
          <w:sz w:val="23"/>
          <w:szCs w:val="23"/>
        </w:rPr>
      </w:pPr>
    </w:p>
    <w:p w14:paraId="3715D9CB">
      <w:pPr>
        <w:rPr>
          <w:sz w:val="23"/>
          <w:szCs w:val="23"/>
        </w:rPr>
      </w:pPr>
    </w:p>
    <w:p w14:paraId="4B7C8DC4">
      <w:pPr>
        <w:rPr>
          <w:sz w:val="23"/>
          <w:szCs w:val="23"/>
        </w:rPr>
      </w:pPr>
    </w:p>
    <w:p w14:paraId="6DF73960">
      <w:pPr>
        <w:rPr>
          <w:sz w:val="23"/>
          <w:szCs w:val="23"/>
        </w:rPr>
      </w:pPr>
    </w:p>
    <w:p w14:paraId="266CCB27">
      <w:pPr>
        <w:rPr>
          <w:sz w:val="23"/>
          <w:szCs w:val="23"/>
        </w:rPr>
      </w:pPr>
    </w:p>
    <w:p w14:paraId="5895F0AA">
      <w:pPr>
        <w:rPr>
          <w:sz w:val="23"/>
          <w:szCs w:val="23"/>
        </w:rPr>
      </w:pPr>
    </w:p>
    <w:p w14:paraId="1F367B13">
      <w:pPr>
        <w:rPr>
          <w:sz w:val="23"/>
          <w:szCs w:val="23"/>
        </w:rPr>
      </w:pPr>
    </w:p>
    <w:p w14:paraId="2D45577A">
      <w:pPr>
        <w:rPr>
          <w:sz w:val="23"/>
          <w:szCs w:val="23"/>
        </w:rPr>
      </w:pPr>
    </w:p>
    <w:p w14:paraId="093932D5">
      <w:pPr>
        <w:pStyle w:val="2"/>
      </w:pPr>
      <w:bookmarkStart w:id="28" w:name="_Toc174481081"/>
      <w:r>
        <w:t>Appendix A: Individual Summary</w:t>
      </w:r>
      <w:bookmarkEnd w:id="28"/>
      <w:r>
        <w:t xml:space="preserve"> </w:t>
      </w:r>
    </w:p>
    <w:p w14:paraId="551A68A7">
      <w:pPr>
        <w:rPr>
          <w:b/>
          <w:bCs/>
        </w:rPr>
      </w:pPr>
      <w:r>
        <w:rPr>
          <w:b/>
          <w:bCs/>
        </w:rPr>
        <w:t>Analysis of the Conclusion - (Osazevbaru &amp; Tarurhor, 2020)</w:t>
      </w:r>
    </w:p>
    <w:p w14:paraId="712DA9A1">
      <w:r>
        <w:t>The authors argue that control mechanisms such as performance- related executive compensation policies in the corporate governance structures of firms offer a way through which opportunistic actions by managers can be curbed and the levels of information asymmetry decreased. Their findings are inconclusive as to the efficiency of all compensation elements since positive findings are combined with either negligible or significantly negative signs.</w:t>
      </w:r>
    </w:p>
    <w:p w14:paraId="7FD172F4">
      <w:pPr>
        <w:rPr>
          <w:b/>
          <w:bCs/>
        </w:rPr>
      </w:pPr>
      <w:r>
        <w:rPr>
          <w:b/>
          <w:bCs/>
        </w:rPr>
        <w:t>Key Findings:</w:t>
      </w:r>
    </w:p>
    <w:p w14:paraId="21340962">
      <w:pPr>
        <w:numPr>
          <w:ilvl w:val="0"/>
          <w:numId w:val="2"/>
        </w:numPr>
      </w:pPr>
      <w:r>
        <w:t>The study result indicated that the CEO benefits and bonuses ratio had a negative but insignificant effect on information asymmetry. It also indicates that it can partially lower the level of opportunistic behaviour; however, the impact is not very pronounced.</w:t>
      </w:r>
    </w:p>
    <w:p w14:paraId="6458A920">
      <w:pPr>
        <w:numPr>
          <w:ilvl w:val="0"/>
          <w:numId w:val="2"/>
        </w:numPr>
      </w:pPr>
      <w:r>
        <w:t>In addition, there were insignificant negative correlations between information asymmetry and the following executive compensation policies; executive benefits and bonuses (for non-CEO executives). Again, this suggests a possible but weak moderating effect of the level of opportunism.</w:t>
      </w:r>
    </w:p>
    <w:p w14:paraId="385D1721">
      <w:pPr>
        <w:numPr>
          <w:ilvl w:val="0"/>
          <w:numId w:val="2"/>
        </w:numPr>
      </w:pPr>
      <w:r>
        <w:t>Long-term incentive mix (stocks, performance plans) including CEO had a positive and significant correlation with Information Asymmetry. This implies that it may even enhance the fabrication of opportunism contrary to any conception.</w:t>
      </w:r>
    </w:p>
    <w:p w14:paraId="664D130B">
      <w:pPr>
        <w:numPr>
          <w:ilvl w:val="0"/>
          <w:numId w:val="2"/>
        </w:numPr>
      </w:pPr>
      <w:r>
        <w:t>For the combined variables of executive compensation, the general impact was observed to have a statistically relevant relationship with the information asymmetry.</w:t>
      </w:r>
    </w:p>
    <w:p w14:paraId="35E086D5">
      <w:r>
        <w:rPr>
          <w:b/>
          <w:bCs/>
        </w:rPr>
        <w:t>Linking Results to Research Question:</w:t>
      </w:r>
      <w:r>
        <w:t xml:space="preserve"> The authors also successfully relate the results obtained to the main research question of whether CG innovations, more specifically, the systems of executive compensation, can help mitigate managers’ self-serving behaviours and obtainable information disparities. They address this by looking at the composite picture and working out each part and the whole. Therefore, the outcome of the reviewed studies is inconclusive; thus, the paper offers a mixed results to the research question. It means that while some of the compensation elements may pose a positive line of work in connection with decreasing opportunism, others will do the opposite. This shows that there is a special challenge in creating efficient governance structures as well as compensation schemes.</w:t>
      </w:r>
    </w:p>
    <w:p w14:paraId="01A15A32">
      <w:r>
        <w:rPr>
          <w:b/>
          <w:bCs/>
        </w:rPr>
        <w:t>Identified Limitations:</w:t>
      </w:r>
      <w:r>
        <w:t xml:space="preserve"> The authors acknowledge some limitations of their study: </w:t>
      </w:r>
    </w:p>
    <w:p w14:paraId="260DE836">
      <w:pPr>
        <w:numPr>
          <w:ilvl w:val="0"/>
          <w:numId w:val="3"/>
        </w:numPr>
      </w:pPr>
      <w:r>
        <w:t xml:space="preserve">Use of primary data: As with the current information, this approach is likely to present certain biases compared with the use of historical financial data. </w:t>
      </w:r>
    </w:p>
    <w:p w14:paraId="7E92345C">
      <w:pPr>
        <w:numPr>
          <w:ilvl w:val="0"/>
          <w:numId w:val="3"/>
        </w:numPr>
      </w:pPr>
      <w:r>
        <w:t xml:space="preserve">Sample size: The normally low number of used responses, in this case approximately 97, is an indicator that the results of the study may not readily translate to the general population. </w:t>
      </w:r>
    </w:p>
    <w:p w14:paraId="49EFA379">
      <w:pPr>
        <w:numPr>
          <w:ilvl w:val="0"/>
          <w:numId w:val="3"/>
        </w:numPr>
      </w:pPr>
      <w:r>
        <w:t xml:space="preserve">Focus on executive compensation: Other corporate governance structures were not investigated which might have concealed these factors. </w:t>
      </w:r>
    </w:p>
    <w:p w14:paraId="095F265D">
      <w:pPr>
        <w:numPr>
          <w:ilvl w:val="0"/>
          <w:numId w:val="3"/>
        </w:numPr>
      </w:pPr>
      <w:r>
        <w:t xml:space="preserve">Geographic limitation: The research centered on Nigerian firms implying a confinement to the market thus restricting the generalization to other markets or regulations. </w:t>
      </w:r>
    </w:p>
    <w:p w14:paraId="224F6340">
      <w:pPr>
        <w:rPr>
          <w:b/>
          <w:bCs/>
        </w:rPr>
      </w:pPr>
      <w:r>
        <w:rPr>
          <w:b/>
          <w:bCs/>
        </w:rPr>
        <w:t xml:space="preserve">Points the Authors May Have Missed: </w:t>
      </w:r>
    </w:p>
    <w:p w14:paraId="5A9F6132">
      <w:pPr>
        <w:numPr>
          <w:ilvl w:val="0"/>
          <w:numId w:val="4"/>
        </w:numPr>
      </w:pPr>
      <w:r>
        <w:t xml:space="preserve">Endogeneity concerns: Of these concerns, there is a lack of profound discussion about the endogeneity problem between compensation policies and firm performance or information gap. </w:t>
      </w:r>
    </w:p>
    <w:p w14:paraId="2F6097ED">
      <w:pPr>
        <w:numPr>
          <w:ilvl w:val="0"/>
          <w:numId w:val="4"/>
        </w:numPr>
      </w:pPr>
      <w:r>
        <w:t xml:space="preserve">Cultural factors: The paper could also have gone further to show the impact that culture typical of the Nigerian market has on the success of different structures of compensation as was seen for other markets. </w:t>
      </w:r>
    </w:p>
    <w:p w14:paraId="27B133FE">
      <w:pPr>
        <w:numPr>
          <w:ilvl w:val="0"/>
          <w:numId w:val="4"/>
        </w:numPr>
      </w:pPr>
      <w:r>
        <w:t xml:space="preserve">Time horizon effects: Longitudinal research studying that considers the way in which the variations in compensation structures affect information asymmetry over time can be informative. </w:t>
      </w:r>
    </w:p>
    <w:p w14:paraId="54246965">
      <w:pPr>
        <w:numPr>
          <w:ilvl w:val="0"/>
          <w:numId w:val="4"/>
        </w:numPr>
      </w:pPr>
      <w:r>
        <w:t xml:space="preserve">Interaction effects: The authors might have expanded where different compensation components interrelate with each other and their joint effect on opportunistic behaviour. </w:t>
      </w:r>
    </w:p>
    <w:p w14:paraId="13EC2488">
      <w:pPr>
        <w:rPr>
          <w:b/>
          <w:bCs/>
        </w:rPr>
      </w:pPr>
      <w:r>
        <w:t xml:space="preserve"> </w:t>
      </w:r>
      <w:r>
        <w:rPr>
          <w:b/>
          <w:bCs/>
        </w:rPr>
        <w:t xml:space="preserve">Proposed Next Steps: </w:t>
      </w:r>
    </w:p>
    <w:p w14:paraId="65422AE7">
      <w:r>
        <w:t xml:space="preserve">The authors suggest several directions for future research: </w:t>
      </w:r>
    </w:p>
    <w:p w14:paraId="3674D448">
      <w:pPr>
        <w:numPr>
          <w:ilvl w:val="0"/>
          <w:numId w:val="5"/>
        </w:numPr>
      </w:pPr>
      <w:r>
        <w:t xml:space="preserve">Some of the limitations of the study include, they included, the small sample size and the geographical restricted nature of the study. </w:t>
      </w:r>
    </w:p>
    <w:p w14:paraId="3B00AB5E">
      <w:pPr>
        <w:numPr>
          <w:ilvl w:val="0"/>
          <w:numId w:val="5"/>
        </w:numPr>
      </w:pPr>
      <w:r>
        <w:t xml:space="preserve">Implementing other corporate governance mechanisms except for the focuses on the executive compensation. </w:t>
      </w:r>
    </w:p>
    <w:p w14:paraId="23BB0D7E">
      <w:pPr>
        <w:numPr>
          <w:ilvl w:val="0"/>
          <w:numId w:val="5"/>
        </w:numPr>
      </w:pPr>
      <w:r>
        <w:t xml:space="preserve">To supplement these results, findings are also corroborated using other proxies of information asymmetry. </w:t>
      </w:r>
    </w:p>
    <w:p w14:paraId="211AEA7D">
      <w:pPr>
        <w:numPr>
          <w:ilvl w:val="0"/>
          <w:numId w:val="5"/>
        </w:numPr>
      </w:pPr>
      <w:r>
        <w:t xml:space="preserve">Carrying out research that focuses on the changes in the overall behaviour of employees and business over an extended period following the implementation of different compensation structures to curb opportunism. </w:t>
      </w:r>
    </w:p>
    <w:p w14:paraId="20A282DF">
      <w:pPr>
        <w:rPr>
          <w:b/>
          <w:bCs/>
        </w:rPr>
      </w:pPr>
      <w:r>
        <w:rPr>
          <w:b/>
          <w:bCs/>
        </w:rPr>
        <w:t xml:space="preserve">Critical Assessment: </w:t>
      </w:r>
    </w:p>
    <w:p w14:paraId="158374BD">
      <w:r>
        <w:t xml:space="preserve">The suggested post-analytical work is appropriate and effectively responds to some of the study’s limitations. However, additional areas for future research could include: </w:t>
      </w:r>
    </w:p>
    <w:p w14:paraId="6F223453">
      <w:pPr>
        <w:numPr>
          <w:ilvl w:val="0"/>
          <w:numId w:val="6"/>
        </w:numPr>
      </w:pPr>
      <w:r>
        <w:rPr>
          <w:lang w:val="en-IN"/>
        </w:rPr>
        <w:t>Analyzing</w:t>
      </w:r>
      <w:r>
        <w:t xml:space="preserve"> the changes in regulations affecting the efficiency of the compensation structures on the prospects of opportunism. </w:t>
      </w:r>
    </w:p>
    <w:p w14:paraId="0E3E40CD">
      <w:pPr>
        <w:numPr>
          <w:ilvl w:val="0"/>
          <w:numId w:val="6"/>
        </w:numPr>
      </w:pPr>
      <w:r>
        <w:t xml:space="preserve">Exploring the fact that firm characteristics may act as a moderator and influence the compensation-information asymmetry linkage. </w:t>
      </w:r>
    </w:p>
    <w:p w14:paraId="0548BAA3">
      <w:pPr>
        <w:numPr>
          <w:ilvl w:val="0"/>
          <w:numId w:val="6"/>
        </w:numPr>
      </w:pPr>
      <w:r>
        <w:t xml:space="preserve">Combined with examining the boards of directors and their independence as the external factor, this study looks at the board composition external factor moderating the relationship between executive compensation. </w:t>
      </w:r>
    </w:p>
    <w:p w14:paraId="522CC19A">
      <w:pPr>
        <w:rPr>
          <w:b/>
          <w:bCs/>
        </w:rPr>
      </w:pPr>
      <w:r>
        <w:rPr>
          <w:b/>
          <w:bCs/>
        </w:rPr>
        <w:t xml:space="preserve">Agreement with Findings and Proposed Steps: </w:t>
      </w:r>
    </w:p>
    <w:p w14:paraId="1A0C083D">
      <w:r>
        <w:t xml:space="preserve"> I endorse the study conclusions and the authors’ conservative analysis of the study outcomes. The mixed evidence presented should remind scholars and practitioners of the challenge of crafting sound corporate governance structures and is consistent with prior research that has reported both beneficial and detrimental influence of the executive pay on managers’ action. </w:t>
      </w:r>
    </w:p>
    <w:p w14:paraId="0922A64A">
      <w:r>
        <w:t>The finding that CEO long-term mix may raise opportunistic behaviour is interesting and puzzling, and thus requires more research. It may imply some negative side effects of particular remuneration arrangements, which might lead to the executives’ influence on the information process, and overemphasis on the short-term results rather than the long-term benefits for the stakeholders.  Regarding the proposed next steps, I also concur with them because they correct fundamental flaws and are designed to enhance the research’s generalizability in terms of the link between corporate governance, executive compensation, and information asymmetry. However, the other research directions highlighted would be beneficial in adding more knowledge in this unarguably complicated problem.</w:t>
      </w:r>
    </w:p>
    <w:p w14:paraId="48D352C5">
      <w:pPr>
        <w:pStyle w:val="2"/>
      </w:pPr>
      <w:bookmarkStart w:id="29" w:name="_Toc174481082"/>
      <w:r>
        <w:t>Appendix B: Presentation + Précis of the Paper</w:t>
      </w:r>
      <w:bookmarkEnd w:id="29"/>
    </w:p>
    <w:p w14:paraId="1EEDB4E1">
      <w:pPr>
        <w:jc w:val="center"/>
        <w:rPr>
          <w:b/>
          <w:bCs/>
          <w:sz w:val="22"/>
          <w:szCs w:val="22"/>
        </w:rPr>
      </w:pPr>
      <w:r>
        <w:rPr>
          <w:b/>
          <w:bCs/>
          <w:sz w:val="22"/>
          <w:szCs w:val="22"/>
        </w:rPr>
        <w:t>Title: Corporate Governance and Management Opportunistic Behaviour</w:t>
      </w:r>
    </w:p>
    <w:p w14:paraId="2040CE04">
      <w:pPr>
        <w:jc w:val="center"/>
        <w:rPr>
          <w:b/>
          <w:bCs/>
          <w:sz w:val="22"/>
          <w:szCs w:val="22"/>
        </w:rPr>
      </w:pPr>
      <w:r>
        <w:rPr>
          <w:b/>
          <w:bCs/>
          <w:sz w:val="22"/>
          <w:szCs w:val="22"/>
        </w:rPr>
        <w:t>Authors: Henry Osahon Osazevbaru and Emmanuel Mitaire Tarhuror</w:t>
      </w:r>
    </w:p>
    <w:p w14:paraId="712C44B8">
      <w:pPr>
        <w:rPr>
          <w:sz w:val="22"/>
          <w:szCs w:val="22"/>
        </w:rPr>
      </w:pPr>
      <w:r>
        <w:rPr>
          <w:sz w:val="22"/>
          <w:szCs w:val="22"/>
        </w:rPr>
        <w:t xml:space="preserve">Owing to the corporate failures recorded in Nigeria and elsewhere, this work assesses the link between corporate governance mechanisms, in particular, performance related schemes of executive compensations and managerial opportunism. In this regard, the authors examine the efficacy of these ends of compensation structures to eliminate the information asymmetry between the managers and shareholders. </w:t>
      </w:r>
    </w:p>
    <w:p w14:paraId="4A553BCE">
      <w:pPr>
        <w:rPr>
          <w:b/>
          <w:bCs/>
          <w:sz w:val="22"/>
          <w:szCs w:val="22"/>
        </w:rPr>
      </w:pPr>
      <w:r>
        <w:rPr>
          <w:b/>
          <w:bCs/>
          <w:sz w:val="22"/>
          <w:szCs w:val="22"/>
        </w:rPr>
        <w:t xml:space="preserve">Methodology: </w:t>
      </w:r>
    </w:p>
    <w:p w14:paraId="42E43C81">
      <w:pPr>
        <w:numPr>
          <w:ilvl w:val="0"/>
          <w:numId w:val="7"/>
        </w:numPr>
        <w:rPr>
          <w:sz w:val="22"/>
          <w:szCs w:val="22"/>
        </w:rPr>
      </w:pPr>
      <w:r>
        <w:rPr>
          <w:sz w:val="22"/>
          <w:szCs w:val="22"/>
        </w:rPr>
        <w:t xml:space="preserve">Primary data that was gathered by administering questionnaires to 125 senior managers of Nigerian organizations </w:t>
      </w:r>
    </w:p>
    <w:p w14:paraId="48F20591">
      <w:pPr>
        <w:numPr>
          <w:ilvl w:val="0"/>
          <w:numId w:val="7"/>
        </w:numPr>
        <w:rPr>
          <w:sz w:val="22"/>
          <w:szCs w:val="22"/>
        </w:rPr>
      </w:pPr>
      <w:r>
        <w:rPr>
          <w:sz w:val="22"/>
          <w:szCs w:val="22"/>
        </w:rPr>
        <w:t xml:space="preserve">The 97 completed and usable questionnaires used the OLS regression analysis. </w:t>
      </w:r>
    </w:p>
    <w:p w14:paraId="07CC6A50">
      <w:pPr>
        <w:numPr>
          <w:ilvl w:val="0"/>
          <w:numId w:val="7"/>
        </w:numPr>
        <w:rPr>
          <w:sz w:val="22"/>
          <w:szCs w:val="22"/>
        </w:rPr>
      </w:pPr>
      <w:r>
        <w:rPr>
          <w:sz w:val="22"/>
          <w:szCs w:val="22"/>
        </w:rPr>
        <w:t xml:space="preserve">Dependent variable: Analysts’ following as a measure of the degree of information asymmetry </w:t>
      </w:r>
    </w:p>
    <w:p w14:paraId="48174259">
      <w:pPr>
        <w:numPr>
          <w:ilvl w:val="0"/>
          <w:numId w:val="7"/>
        </w:numPr>
        <w:rPr>
          <w:sz w:val="22"/>
          <w:szCs w:val="22"/>
        </w:rPr>
      </w:pPr>
      <w:r>
        <w:rPr>
          <w:sz w:val="22"/>
          <w:szCs w:val="22"/>
        </w:rPr>
        <w:t xml:space="preserve">Independent variables: CEO to the benefit/bonus ratio, the long-term CEO constituent, and other executive benefits/bonus. </w:t>
      </w:r>
    </w:p>
    <w:p w14:paraId="3F592E84">
      <w:pPr>
        <w:rPr>
          <w:sz w:val="22"/>
          <w:szCs w:val="22"/>
        </w:rPr>
      </w:pPr>
      <w:r>
        <w:rPr>
          <w:sz w:val="22"/>
          <w:szCs w:val="22"/>
        </w:rPr>
        <w:t xml:space="preserve"> Key Findings: </w:t>
      </w:r>
    </w:p>
    <w:p w14:paraId="5B5A6427">
      <w:pPr>
        <w:numPr>
          <w:ilvl w:val="0"/>
          <w:numId w:val="8"/>
        </w:numPr>
        <w:rPr>
          <w:sz w:val="22"/>
          <w:szCs w:val="22"/>
        </w:rPr>
      </w:pPr>
      <w:r>
        <w:rPr>
          <w:sz w:val="22"/>
          <w:szCs w:val="22"/>
        </w:rPr>
        <w:t>The correlation test on CEO benefits and bonuses ratio and information asymmetry yielded a coefficient with a negative sign but not significantly different from zero.</w:t>
      </w:r>
    </w:p>
    <w:p w14:paraId="35C12315">
      <w:pPr>
        <w:numPr>
          <w:ilvl w:val="0"/>
          <w:numId w:val="8"/>
        </w:numPr>
        <w:rPr>
          <w:sz w:val="22"/>
          <w:szCs w:val="22"/>
        </w:rPr>
      </w:pPr>
      <w:r>
        <w:rPr>
          <w:sz w:val="22"/>
          <w:szCs w:val="22"/>
        </w:rPr>
        <w:t xml:space="preserve">Among the control variables, executive benefits and bonuses also had a negative accord with information asymmetry but the coefficients were insignificant. </w:t>
      </w:r>
    </w:p>
    <w:p w14:paraId="4D6B9A38">
      <w:pPr>
        <w:numPr>
          <w:ilvl w:val="0"/>
          <w:numId w:val="8"/>
        </w:numPr>
        <w:rPr>
          <w:sz w:val="22"/>
          <w:szCs w:val="22"/>
        </w:rPr>
      </w:pPr>
      <w:r>
        <w:rPr>
          <w:sz w:val="22"/>
          <w:szCs w:val="22"/>
        </w:rPr>
        <w:t xml:space="preserve">Hypothesis H2: There was a positive and statistically significant correlation between CEO long-term mix and information asymmetry, although it was in the opposite direction of the prediction. </w:t>
      </w:r>
    </w:p>
    <w:p w14:paraId="34083C06">
      <w:pPr>
        <w:numPr>
          <w:ilvl w:val="0"/>
          <w:numId w:val="8"/>
        </w:numPr>
        <w:rPr>
          <w:sz w:val="22"/>
          <w:szCs w:val="22"/>
        </w:rPr>
      </w:pPr>
      <w:r>
        <w:rPr>
          <w:sz w:val="22"/>
          <w:szCs w:val="22"/>
        </w:rPr>
        <w:t xml:space="preserve"> The combined effect of all executive compensation variables significantly influenced information asymmetry.</w:t>
      </w:r>
    </w:p>
    <w:p w14:paraId="3AF37850">
      <w:pPr>
        <w:rPr>
          <w:sz w:val="22"/>
          <w:szCs w:val="22"/>
        </w:rPr>
      </w:pPr>
      <w:r>
        <w:rPr>
          <w:b/>
          <w:bCs/>
          <w:sz w:val="22"/>
          <w:szCs w:val="22"/>
        </w:rPr>
        <w:t>Conclusions:</w:t>
      </w:r>
      <w:r>
        <w:rPr>
          <w:sz w:val="22"/>
          <w:szCs w:val="22"/>
        </w:rPr>
        <w:t xml:space="preserve"> There are somewhat ambiguous findings regarding the impact of PER and executive compensation for mitigating managerial opportunism. While some elements reveal the signs to curb the opportunistic behaviour, some of the other components may worse it subjectively. This shows why it’s challenging to create a proper framework for a company’s corporate governance and compensation system. </w:t>
      </w:r>
    </w:p>
    <w:p w14:paraId="295B6F81">
      <w:pPr>
        <w:rPr>
          <w:b/>
          <w:bCs/>
          <w:sz w:val="22"/>
          <w:szCs w:val="22"/>
        </w:rPr>
      </w:pPr>
      <w:r>
        <w:rPr>
          <w:b/>
          <w:bCs/>
          <w:sz w:val="22"/>
          <w:szCs w:val="22"/>
        </w:rPr>
        <w:t xml:space="preserve">Limitations: </w:t>
      </w:r>
    </w:p>
    <w:p w14:paraId="33D1648E">
      <w:pPr>
        <w:numPr>
          <w:ilvl w:val="0"/>
          <w:numId w:val="9"/>
        </w:numPr>
        <w:rPr>
          <w:sz w:val="22"/>
          <w:szCs w:val="22"/>
        </w:rPr>
      </w:pPr>
      <w:r>
        <w:rPr>
          <w:sz w:val="22"/>
          <w:szCs w:val="22"/>
        </w:rPr>
        <w:t xml:space="preserve">The collected primary data can be biased </w:t>
      </w:r>
    </w:p>
    <w:p w14:paraId="030B7A60">
      <w:pPr>
        <w:numPr>
          <w:ilvl w:val="0"/>
          <w:numId w:val="9"/>
        </w:numPr>
        <w:rPr>
          <w:sz w:val="22"/>
          <w:szCs w:val="22"/>
        </w:rPr>
      </w:pPr>
      <w:r>
        <w:rPr>
          <w:sz w:val="22"/>
          <w:szCs w:val="22"/>
        </w:rPr>
        <w:t xml:space="preserve">A factor that could affect the generalization of the results is the size of the sample in relation to the population. </w:t>
      </w:r>
    </w:p>
    <w:p w14:paraId="6A625FBB">
      <w:pPr>
        <w:numPr>
          <w:ilvl w:val="0"/>
          <w:numId w:val="9"/>
        </w:numPr>
        <w:rPr>
          <w:sz w:val="22"/>
          <w:szCs w:val="22"/>
        </w:rPr>
      </w:pPr>
      <w:r>
        <w:rPr>
          <w:sz w:val="22"/>
          <w:szCs w:val="22"/>
        </w:rPr>
        <w:t xml:space="preserve">Concentrate on the variables that relate to the remuneration of executives without any regard to the other instruments of governance. </w:t>
      </w:r>
    </w:p>
    <w:p w14:paraId="5AFF853E">
      <w:pPr>
        <w:numPr>
          <w:ilvl w:val="0"/>
          <w:numId w:val="9"/>
        </w:numPr>
        <w:rPr>
          <w:sz w:val="22"/>
          <w:szCs w:val="22"/>
        </w:rPr>
      </w:pPr>
      <w:r>
        <w:rPr>
          <w:sz w:val="22"/>
          <w:szCs w:val="22"/>
        </w:rPr>
        <w:t xml:space="preserve">Restriction of firms to Nigeria </w:t>
      </w:r>
    </w:p>
    <w:p w14:paraId="17A7731E">
      <w:pPr>
        <w:rPr>
          <w:b/>
          <w:bCs/>
          <w:sz w:val="22"/>
          <w:szCs w:val="22"/>
        </w:rPr>
      </w:pPr>
      <w:r>
        <w:rPr>
          <w:b/>
          <w:bCs/>
          <w:sz w:val="22"/>
          <w:szCs w:val="22"/>
        </w:rPr>
        <w:t xml:space="preserve">Recommendations: </w:t>
      </w:r>
    </w:p>
    <w:p w14:paraId="0DF80657">
      <w:pPr>
        <w:numPr>
          <w:ilvl w:val="0"/>
          <w:numId w:val="10"/>
        </w:numPr>
        <w:rPr>
          <w:sz w:val="22"/>
          <w:szCs w:val="22"/>
        </w:rPr>
      </w:pPr>
      <w:r>
        <w:rPr>
          <w:sz w:val="22"/>
          <w:szCs w:val="22"/>
        </w:rPr>
        <w:t xml:space="preserve">Restraining self-interest: to control opportunistic behaviour, managerial benefit or bonus and chief executive officers benefits and ratio should be used carefully. </w:t>
      </w:r>
    </w:p>
    <w:p w14:paraId="7F17F32C">
      <w:pPr>
        <w:numPr>
          <w:ilvl w:val="0"/>
          <w:numId w:val="10"/>
        </w:numPr>
        <w:rPr>
          <w:sz w:val="22"/>
          <w:szCs w:val="22"/>
        </w:rPr>
      </w:pPr>
      <w:r>
        <w:rPr>
          <w:sz w:val="22"/>
          <w:szCs w:val="22"/>
        </w:rPr>
        <w:t xml:space="preserve">A concept that needs to be reviewed is the use of CEO long-term mix since it will lead to information asymmetry. </w:t>
      </w:r>
    </w:p>
    <w:p w14:paraId="54D8C855">
      <w:pPr>
        <w:numPr>
          <w:ilvl w:val="0"/>
          <w:numId w:val="10"/>
        </w:numPr>
        <w:rPr>
          <w:sz w:val="22"/>
          <w:szCs w:val="22"/>
        </w:rPr>
      </w:pPr>
      <w:r>
        <w:rPr>
          <w:sz w:val="22"/>
          <w:szCs w:val="22"/>
        </w:rPr>
        <w:t xml:space="preserve">More research is required with bigger sample, different geographic areas, and other forms of governance. </w:t>
      </w:r>
    </w:p>
    <w:p w14:paraId="1B8A4DB5">
      <w:pPr>
        <w:rPr>
          <w:b/>
          <w:bCs/>
          <w:sz w:val="22"/>
          <w:szCs w:val="22"/>
        </w:rPr>
      </w:pPr>
      <w:r>
        <w:rPr>
          <w:b/>
          <w:bCs/>
          <w:sz w:val="22"/>
          <w:szCs w:val="22"/>
        </w:rPr>
        <w:t xml:space="preserve"> Implications: </w:t>
      </w:r>
    </w:p>
    <w:p w14:paraId="23D3D0A7">
      <w:pPr>
        <w:rPr>
          <w:sz w:val="22"/>
          <w:szCs w:val="22"/>
        </w:rPr>
      </w:pPr>
      <w:r>
        <w:rPr>
          <w:sz w:val="22"/>
          <w:szCs w:val="22"/>
        </w:rPr>
        <w:t>This research participates in the current discourse on measuring adequate corporate governance structures and stresses that considerably more concern should be given to the procedure when developing performance incentive structures for executives to ensure their goals are consistent with the shareholders.</w:t>
      </w:r>
    </w:p>
    <w:p w14:paraId="6B4AF7BB">
      <w:pPr>
        <w:rPr>
          <w:sz w:val="22"/>
          <w:szCs w:val="22"/>
        </w:rPr>
      </w:pPr>
    </w:p>
    <w:p w14:paraId="6A658377">
      <w:pPr>
        <w:rPr>
          <w:sz w:val="22"/>
          <w:szCs w:val="22"/>
        </w:rPr>
      </w:pPr>
    </w:p>
    <w:p w14:paraId="3C718883">
      <w:pPr>
        <w:rPr>
          <w:sz w:val="22"/>
          <w:szCs w:val="22"/>
        </w:rPr>
      </w:pPr>
    </w:p>
    <w:p w14:paraId="0653292A">
      <w:pPr>
        <w:rPr>
          <w:sz w:val="22"/>
          <w:szCs w:val="22"/>
        </w:rPr>
      </w:pPr>
    </w:p>
    <w:p w14:paraId="34E0A5A7">
      <w:pPr>
        <w:rPr>
          <w:sz w:val="22"/>
          <w:szCs w:val="22"/>
        </w:rPr>
      </w:pPr>
      <w:r>
        <w:rPr>
          <w:sz w:val="22"/>
          <w:szCs w:val="22"/>
        </w:rPr>
        <w:drawing>
          <wp:inline distT="0" distB="0" distL="0" distR="0">
            <wp:extent cx="5745480" cy="3771900"/>
            <wp:effectExtent l="0" t="0" r="7620" b="0"/>
            <wp:docPr id="1070377709" name="Picture 1" descr="A blue and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0377709" name="Picture 1" descr="A blue and black text on a white background&#10;&#10;Description automatically generated"/>
                    <pic:cNvPicPr>
                      <a:picLocks noChangeAspect="1"/>
                    </pic:cNvPicPr>
                  </pic:nvPicPr>
                  <pic:blipFill>
                    <a:blip r:embed="rId13"/>
                    <a:stretch>
                      <a:fillRect/>
                    </a:stretch>
                  </pic:blipFill>
                  <pic:spPr>
                    <a:xfrm>
                      <a:off x="0" y="0"/>
                      <a:ext cx="5745480" cy="3771900"/>
                    </a:xfrm>
                    <a:prstGeom prst="rect">
                      <a:avLst/>
                    </a:prstGeom>
                  </pic:spPr>
                </pic:pic>
              </a:graphicData>
            </a:graphic>
          </wp:inline>
        </w:drawing>
      </w:r>
    </w:p>
    <w:p w14:paraId="694D8742">
      <w:pPr>
        <w:rPr>
          <w:sz w:val="22"/>
          <w:szCs w:val="22"/>
        </w:rPr>
      </w:pPr>
      <w:r>
        <w:rPr>
          <w:sz w:val="22"/>
          <w:szCs w:val="22"/>
        </w:rPr>
        <w:drawing>
          <wp:inline distT="0" distB="0" distL="0" distR="0">
            <wp:extent cx="5731510" cy="4061460"/>
            <wp:effectExtent l="0" t="0" r="2540" b="0"/>
            <wp:docPr id="40728678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286783" name="Picture 1" descr="A screenshot of a computer&#10;&#10;Description automatically generated"/>
                    <pic:cNvPicPr>
                      <a:picLocks noChangeAspect="1"/>
                    </pic:cNvPicPr>
                  </pic:nvPicPr>
                  <pic:blipFill>
                    <a:blip r:embed="rId14"/>
                    <a:stretch>
                      <a:fillRect/>
                    </a:stretch>
                  </pic:blipFill>
                  <pic:spPr>
                    <a:xfrm>
                      <a:off x="0" y="0"/>
                      <a:ext cx="5731510" cy="4061460"/>
                    </a:xfrm>
                    <a:prstGeom prst="rect">
                      <a:avLst/>
                    </a:prstGeom>
                  </pic:spPr>
                </pic:pic>
              </a:graphicData>
            </a:graphic>
          </wp:inline>
        </w:drawing>
      </w:r>
    </w:p>
    <w:p w14:paraId="37DC9E44"/>
    <w:p w14:paraId="6DD7278E"/>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pgNumType w:start="0"/>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Georgia">
    <w:panose1 w:val="02040502050405020303"/>
    <w:charset w:val="00"/>
    <w:family w:val="roman"/>
    <w:pitch w:val="default"/>
    <w:sig w:usb0="000002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Carlito">
    <w:altName w:val="Calibri"/>
    <w:panose1 w:val="00000000000000000000"/>
    <w:charset w:val="00"/>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C9DD7">
    <w:pPr>
      <w:pBdr>
        <w:top w:val="single" w:color="D9D9D9" w:sz="4" w:space="1"/>
        <w:left w:val="none" w:color="auto" w:sz="0" w:space="0"/>
        <w:bottom w:val="none" w:color="auto" w:sz="0" w:space="0"/>
        <w:right w:val="none" w:color="auto" w:sz="0" w:space="0"/>
        <w:between w:val="none" w:color="auto" w:sz="0" w:space="0"/>
      </w:pBdr>
      <w:tabs>
        <w:tab w:val="center" w:pos="4513"/>
        <w:tab w:val="right" w:pos="9026"/>
      </w:tabs>
      <w:spacing w:after="0"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t>1</w:t>
    </w:r>
    <w:r>
      <w:rPr>
        <w:color w:val="000000"/>
      </w:rPr>
      <w:fldChar w:fldCharType="end"/>
    </w:r>
    <w:r>
      <w:rPr>
        <w:color w:val="000000"/>
      </w:rPr>
      <w:t xml:space="preserve"> | </w:t>
    </w:r>
    <w:r>
      <w:rPr>
        <w:color w:val="7F7F7F"/>
      </w:rPr>
      <w:t>Page</w:t>
    </w:r>
  </w:p>
  <w:p w14:paraId="5D602EB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3A4145">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FC5AE">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A540B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p w14:paraId="5FB0F297">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6B2CF">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599205">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591577"/>
    <w:multiLevelType w:val="multilevel"/>
    <w:tmpl w:val="0359157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074F1C07"/>
    <w:multiLevelType w:val="multilevel"/>
    <w:tmpl w:val="074F1C0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21A44DB1"/>
    <w:multiLevelType w:val="multilevel"/>
    <w:tmpl w:val="21A44DB1"/>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41E76CD4"/>
    <w:multiLevelType w:val="multilevel"/>
    <w:tmpl w:val="41E76CD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A6307F0"/>
    <w:multiLevelType w:val="multilevel"/>
    <w:tmpl w:val="4A6307F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127175C"/>
    <w:multiLevelType w:val="multilevel"/>
    <w:tmpl w:val="5127175C"/>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81431CA"/>
    <w:multiLevelType w:val="multilevel"/>
    <w:tmpl w:val="581431C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7">
    <w:nsid w:val="5B1503DF"/>
    <w:multiLevelType w:val="multilevel"/>
    <w:tmpl w:val="5B1503D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7A8D5793"/>
    <w:multiLevelType w:val="multilevel"/>
    <w:tmpl w:val="7A8D5793"/>
    <w:lvl w:ilvl="0" w:tentative="0">
      <w:start w:val="1"/>
      <w:numFmt w:val="bullet"/>
      <w:pStyle w:val="22"/>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rPr>
    </w:lvl>
    <w:lvl w:ilvl="8" w:tentative="0">
      <w:start w:val="1"/>
      <w:numFmt w:val="bullet"/>
      <w:lvlText w:val=""/>
      <w:lvlJc w:val="left"/>
      <w:pPr>
        <w:ind w:left="6480" w:hanging="360"/>
      </w:pPr>
      <w:rPr>
        <w:rFonts w:hint="default" w:ascii="Wingdings" w:hAnsi="Wingdings"/>
      </w:rPr>
    </w:lvl>
  </w:abstractNum>
  <w:abstractNum w:abstractNumId="9">
    <w:nsid w:val="7D102A40"/>
    <w:multiLevelType w:val="multilevel"/>
    <w:tmpl w:val="7D102A4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8"/>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3"/>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D35"/>
    <w:rsid w:val="00002E1C"/>
    <w:rsid w:val="000106FD"/>
    <w:rsid w:val="00024E35"/>
    <w:rsid w:val="00043615"/>
    <w:rsid w:val="0004714C"/>
    <w:rsid w:val="000553FC"/>
    <w:rsid w:val="00056A2F"/>
    <w:rsid w:val="000614AD"/>
    <w:rsid w:val="000636EA"/>
    <w:rsid w:val="00063D17"/>
    <w:rsid w:val="000656FF"/>
    <w:rsid w:val="00066EBA"/>
    <w:rsid w:val="00081759"/>
    <w:rsid w:val="000951B9"/>
    <w:rsid w:val="000965FF"/>
    <w:rsid w:val="000B07A5"/>
    <w:rsid w:val="000B7B22"/>
    <w:rsid w:val="000C344A"/>
    <w:rsid w:val="000C6643"/>
    <w:rsid w:val="000C6F52"/>
    <w:rsid w:val="000F33E8"/>
    <w:rsid w:val="001016C6"/>
    <w:rsid w:val="00116375"/>
    <w:rsid w:val="0014627E"/>
    <w:rsid w:val="00150122"/>
    <w:rsid w:val="001550AB"/>
    <w:rsid w:val="00156AF5"/>
    <w:rsid w:val="00170F4B"/>
    <w:rsid w:val="00172EA2"/>
    <w:rsid w:val="00174A22"/>
    <w:rsid w:val="00182C52"/>
    <w:rsid w:val="00184F0F"/>
    <w:rsid w:val="00186A78"/>
    <w:rsid w:val="00190835"/>
    <w:rsid w:val="001946A3"/>
    <w:rsid w:val="00197DC3"/>
    <w:rsid w:val="001A5272"/>
    <w:rsid w:val="001A7EC5"/>
    <w:rsid w:val="001D5EF8"/>
    <w:rsid w:val="001D604C"/>
    <w:rsid w:val="001D6BB9"/>
    <w:rsid w:val="001D6D06"/>
    <w:rsid w:val="001E2161"/>
    <w:rsid w:val="001E3586"/>
    <w:rsid w:val="001E6890"/>
    <w:rsid w:val="001E6EF6"/>
    <w:rsid w:val="001F186A"/>
    <w:rsid w:val="001F6499"/>
    <w:rsid w:val="001F6B4B"/>
    <w:rsid w:val="0021091D"/>
    <w:rsid w:val="0021448D"/>
    <w:rsid w:val="00225C4F"/>
    <w:rsid w:val="00231155"/>
    <w:rsid w:val="00231954"/>
    <w:rsid w:val="00232262"/>
    <w:rsid w:val="00241EE1"/>
    <w:rsid w:val="002446EF"/>
    <w:rsid w:val="002522AC"/>
    <w:rsid w:val="00256FC4"/>
    <w:rsid w:val="002734C9"/>
    <w:rsid w:val="002743CA"/>
    <w:rsid w:val="00275E4A"/>
    <w:rsid w:val="00281EF3"/>
    <w:rsid w:val="002824D8"/>
    <w:rsid w:val="00290176"/>
    <w:rsid w:val="00296415"/>
    <w:rsid w:val="002A2A74"/>
    <w:rsid w:val="002C177E"/>
    <w:rsid w:val="002C3284"/>
    <w:rsid w:val="002D2D5E"/>
    <w:rsid w:val="002E62E7"/>
    <w:rsid w:val="002F5B0A"/>
    <w:rsid w:val="00300781"/>
    <w:rsid w:val="00313D91"/>
    <w:rsid w:val="0032037D"/>
    <w:rsid w:val="003274FE"/>
    <w:rsid w:val="003423EE"/>
    <w:rsid w:val="003438BA"/>
    <w:rsid w:val="0034769B"/>
    <w:rsid w:val="00383431"/>
    <w:rsid w:val="00393445"/>
    <w:rsid w:val="003A1C4F"/>
    <w:rsid w:val="003B285B"/>
    <w:rsid w:val="003C300C"/>
    <w:rsid w:val="003E71C6"/>
    <w:rsid w:val="003F0778"/>
    <w:rsid w:val="00404DC1"/>
    <w:rsid w:val="004076E9"/>
    <w:rsid w:val="004224BF"/>
    <w:rsid w:val="00436E41"/>
    <w:rsid w:val="00441036"/>
    <w:rsid w:val="00442FE2"/>
    <w:rsid w:val="004505D0"/>
    <w:rsid w:val="00456093"/>
    <w:rsid w:val="004656EA"/>
    <w:rsid w:val="004706A1"/>
    <w:rsid w:val="00476993"/>
    <w:rsid w:val="00481AF7"/>
    <w:rsid w:val="0048703D"/>
    <w:rsid w:val="004936C2"/>
    <w:rsid w:val="00495552"/>
    <w:rsid w:val="004A011D"/>
    <w:rsid w:val="004A415F"/>
    <w:rsid w:val="004A41B2"/>
    <w:rsid w:val="004C4034"/>
    <w:rsid w:val="004C40EC"/>
    <w:rsid w:val="004D2193"/>
    <w:rsid w:val="004E306E"/>
    <w:rsid w:val="004E700D"/>
    <w:rsid w:val="004F1EC1"/>
    <w:rsid w:val="004F54FD"/>
    <w:rsid w:val="004F7AAB"/>
    <w:rsid w:val="005033D6"/>
    <w:rsid w:val="00506728"/>
    <w:rsid w:val="0050697B"/>
    <w:rsid w:val="00515746"/>
    <w:rsid w:val="00522564"/>
    <w:rsid w:val="00522D35"/>
    <w:rsid w:val="005367FB"/>
    <w:rsid w:val="005526F3"/>
    <w:rsid w:val="00554403"/>
    <w:rsid w:val="0055646D"/>
    <w:rsid w:val="005565FF"/>
    <w:rsid w:val="005737C6"/>
    <w:rsid w:val="00575045"/>
    <w:rsid w:val="00580734"/>
    <w:rsid w:val="005851F3"/>
    <w:rsid w:val="00587782"/>
    <w:rsid w:val="0059070E"/>
    <w:rsid w:val="00590D61"/>
    <w:rsid w:val="00597A65"/>
    <w:rsid w:val="005B0506"/>
    <w:rsid w:val="005B0CD5"/>
    <w:rsid w:val="005C196F"/>
    <w:rsid w:val="005C5171"/>
    <w:rsid w:val="005D29A4"/>
    <w:rsid w:val="005D3F6D"/>
    <w:rsid w:val="005D50BA"/>
    <w:rsid w:val="005D72EE"/>
    <w:rsid w:val="005E73C5"/>
    <w:rsid w:val="005F2575"/>
    <w:rsid w:val="006005F7"/>
    <w:rsid w:val="00600D92"/>
    <w:rsid w:val="00606067"/>
    <w:rsid w:val="00610D1A"/>
    <w:rsid w:val="00610EFF"/>
    <w:rsid w:val="006114F0"/>
    <w:rsid w:val="00632D07"/>
    <w:rsid w:val="00642D79"/>
    <w:rsid w:val="006462EB"/>
    <w:rsid w:val="00651B05"/>
    <w:rsid w:val="006564FA"/>
    <w:rsid w:val="00663906"/>
    <w:rsid w:val="00663D83"/>
    <w:rsid w:val="00664F3D"/>
    <w:rsid w:val="00672778"/>
    <w:rsid w:val="00680E7A"/>
    <w:rsid w:val="00685F08"/>
    <w:rsid w:val="00691155"/>
    <w:rsid w:val="006A0069"/>
    <w:rsid w:val="006A4A3B"/>
    <w:rsid w:val="006A78F3"/>
    <w:rsid w:val="006B12B7"/>
    <w:rsid w:val="006B4465"/>
    <w:rsid w:val="006B74E1"/>
    <w:rsid w:val="006C4EBF"/>
    <w:rsid w:val="006D0CC7"/>
    <w:rsid w:val="006F6739"/>
    <w:rsid w:val="006F7C13"/>
    <w:rsid w:val="00710D4D"/>
    <w:rsid w:val="00714F9D"/>
    <w:rsid w:val="0072787A"/>
    <w:rsid w:val="00730678"/>
    <w:rsid w:val="00732143"/>
    <w:rsid w:val="00744F94"/>
    <w:rsid w:val="0076463B"/>
    <w:rsid w:val="00766575"/>
    <w:rsid w:val="00770AA2"/>
    <w:rsid w:val="0078289D"/>
    <w:rsid w:val="00786531"/>
    <w:rsid w:val="00793E34"/>
    <w:rsid w:val="007957E5"/>
    <w:rsid w:val="007A2688"/>
    <w:rsid w:val="007A56D2"/>
    <w:rsid w:val="007B19E8"/>
    <w:rsid w:val="007C5921"/>
    <w:rsid w:val="007D127A"/>
    <w:rsid w:val="007D3E82"/>
    <w:rsid w:val="007E0591"/>
    <w:rsid w:val="007E215C"/>
    <w:rsid w:val="007E2A60"/>
    <w:rsid w:val="007F13A5"/>
    <w:rsid w:val="007F3453"/>
    <w:rsid w:val="007F4B9A"/>
    <w:rsid w:val="0080099D"/>
    <w:rsid w:val="008048F4"/>
    <w:rsid w:val="008071C6"/>
    <w:rsid w:val="008122E7"/>
    <w:rsid w:val="00817B31"/>
    <w:rsid w:val="008474B0"/>
    <w:rsid w:val="00850EBD"/>
    <w:rsid w:val="0085202C"/>
    <w:rsid w:val="00877164"/>
    <w:rsid w:val="00882D01"/>
    <w:rsid w:val="00892EFC"/>
    <w:rsid w:val="008A3903"/>
    <w:rsid w:val="008B1174"/>
    <w:rsid w:val="008B681C"/>
    <w:rsid w:val="008F0381"/>
    <w:rsid w:val="008F1B8D"/>
    <w:rsid w:val="0090167E"/>
    <w:rsid w:val="009079AA"/>
    <w:rsid w:val="0091016E"/>
    <w:rsid w:val="00910996"/>
    <w:rsid w:val="00927A65"/>
    <w:rsid w:val="00930252"/>
    <w:rsid w:val="00947BFA"/>
    <w:rsid w:val="00950CC2"/>
    <w:rsid w:val="00952145"/>
    <w:rsid w:val="00956D03"/>
    <w:rsid w:val="00975FFB"/>
    <w:rsid w:val="00990864"/>
    <w:rsid w:val="0099209B"/>
    <w:rsid w:val="009920AE"/>
    <w:rsid w:val="00996597"/>
    <w:rsid w:val="0099776A"/>
    <w:rsid w:val="009A453F"/>
    <w:rsid w:val="009A4FB3"/>
    <w:rsid w:val="009B7C80"/>
    <w:rsid w:val="009C15F1"/>
    <w:rsid w:val="009C2B88"/>
    <w:rsid w:val="009E28A2"/>
    <w:rsid w:val="009F0E3E"/>
    <w:rsid w:val="009F1181"/>
    <w:rsid w:val="009F3007"/>
    <w:rsid w:val="009F61AF"/>
    <w:rsid w:val="009F656A"/>
    <w:rsid w:val="00A0146E"/>
    <w:rsid w:val="00A11020"/>
    <w:rsid w:val="00A153B2"/>
    <w:rsid w:val="00A26416"/>
    <w:rsid w:val="00A476EC"/>
    <w:rsid w:val="00A51BA2"/>
    <w:rsid w:val="00A52EBB"/>
    <w:rsid w:val="00A62B20"/>
    <w:rsid w:val="00A70162"/>
    <w:rsid w:val="00A81C86"/>
    <w:rsid w:val="00A82639"/>
    <w:rsid w:val="00A8652F"/>
    <w:rsid w:val="00AA3BCB"/>
    <w:rsid w:val="00AB1957"/>
    <w:rsid w:val="00AC7F59"/>
    <w:rsid w:val="00AD0F0B"/>
    <w:rsid w:val="00AD13E5"/>
    <w:rsid w:val="00AD2006"/>
    <w:rsid w:val="00AE23B4"/>
    <w:rsid w:val="00AE3A13"/>
    <w:rsid w:val="00B0140C"/>
    <w:rsid w:val="00B1230E"/>
    <w:rsid w:val="00B20442"/>
    <w:rsid w:val="00B25379"/>
    <w:rsid w:val="00B52A32"/>
    <w:rsid w:val="00B55688"/>
    <w:rsid w:val="00B606FD"/>
    <w:rsid w:val="00B7005A"/>
    <w:rsid w:val="00B74208"/>
    <w:rsid w:val="00B76E24"/>
    <w:rsid w:val="00B8353F"/>
    <w:rsid w:val="00B906F2"/>
    <w:rsid w:val="00B94544"/>
    <w:rsid w:val="00B962A3"/>
    <w:rsid w:val="00B974E0"/>
    <w:rsid w:val="00BA1651"/>
    <w:rsid w:val="00BA60C2"/>
    <w:rsid w:val="00BC222B"/>
    <w:rsid w:val="00BC3E28"/>
    <w:rsid w:val="00BD30DF"/>
    <w:rsid w:val="00BD7CF6"/>
    <w:rsid w:val="00BE34AC"/>
    <w:rsid w:val="00BF2970"/>
    <w:rsid w:val="00BF2A06"/>
    <w:rsid w:val="00C05834"/>
    <w:rsid w:val="00C2214A"/>
    <w:rsid w:val="00C22E0B"/>
    <w:rsid w:val="00C3170D"/>
    <w:rsid w:val="00C35E6C"/>
    <w:rsid w:val="00C43342"/>
    <w:rsid w:val="00C55144"/>
    <w:rsid w:val="00C6305E"/>
    <w:rsid w:val="00C876B2"/>
    <w:rsid w:val="00C9026D"/>
    <w:rsid w:val="00C92382"/>
    <w:rsid w:val="00CA766D"/>
    <w:rsid w:val="00CC31B8"/>
    <w:rsid w:val="00CC4C78"/>
    <w:rsid w:val="00CC522D"/>
    <w:rsid w:val="00CD7A20"/>
    <w:rsid w:val="00CE5B8A"/>
    <w:rsid w:val="00CF16A1"/>
    <w:rsid w:val="00D15B1F"/>
    <w:rsid w:val="00D26E5C"/>
    <w:rsid w:val="00D300EC"/>
    <w:rsid w:val="00D32052"/>
    <w:rsid w:val="00D3594E"/>
    <w:rsid w:val="00D42B37"/>
    <w:rsid w:val="00D51A0F"/>
    <w:rsid w:val="00D533F3"/>
    <w:rsid w:val="00D56C96"/>
    <w:rsid w:val="00D621C0"/>
    <w:rsid w:val="00D679D7"/>
    <w:rsid w:val="00D70A9A"/>
    <w:rsid w:val="00D808B6"/>
    <w:rsid w:val="00D80A95"/>
    <w:rsid w:val="00D82513"/>
    <w:rsid w:val="00D860CB"/>
    <w:rsid w:val="00D965ED"/>
    <w:rsid w:val="00DA1C66"/>
    <w:rsid w:val="00DA552D"/>
    <w:rsid w:val="00DC3BB8"/>
    <w:rsid w:val="00DC4667"/>
    <w:rsid w:val="00DD1E5A"/>
    <w:rsid w:val="00DD36C9"/>
    <w:rsid w:val="00DD48B5"/>
    <w:rsid w:val="00DD51C0"/>
    <w:rsid w:val="00DF3006"/>
    <w:rsid w:val="00DF76F6"/>
    <w:rsid w:val="00E03210"/>
    <w:rsid w:val="00E0492F"/>
    <w:rsid w:val="00E12D0A"/>
    <w:rsid w:val="00E17519"/>
    <w:rsid w:val="00E20F9A"/>
    <w:rsid w:val="00E25198"/>
    <w:rsid w:val="00E26809"/>
    <w:rsid w:val="00E30119"/>
    <w:rsid w:val="00E31756"/>
    <w:rsid w:val="00E36F64"/>
    <w:rsid w:val="00E374E5"/>
    <w:rsid w:val="00E51718"/>
    <w:rsid w:val="00E52227"/>
    <w:rsid w:val="00E52593"/>
    <w:rsid w:val="00E57589"/>
    <w:rsid w:val="00E623DB"/>
    <w:rsid w:val="00E66835"/>
    <w:rsid w:val="00E704B2"/>
    <w:rsid w:val="00E806D6"/>
    <w:rsid w:val="00E82C23"/>
    <w:rsid w:val="00E84807"/>
    <w:rsid w:val="00E90319"/>
    <w:rsid w:val="00E97BB9"/>
    <w:rsid w:val="00EA1512"/>
    <w:rsid w:val="00EA15ED"/>
    <w:rsid w:val="00EB3946"/>
    <w:rsid w:val="00EB734A"/>
    <w:rsid w:val="00EC208F"/>
    <w:rsid w:val="00ED241C"/>
    <w:rsid w:val="00ED2ABD"/>
    <w:rsid w:val="00ED792A"/>
    <w:rsid w:val="00EE079C"/>
    <w:rsid w:val="00EE5E72"/>
    <w:rsid w:val="00EE6970"/>
    <w:rsid w:val="00F01677"/>
    <w:rsid w:val="00F0630A"/>
    <w:rsid w:val="00F15D4D"/>
    <w:rsid w:val="00F16BAF"/>
    <w:rsid w:val="00F17E5E"/>
    <w:rsid w:val="00F20E10"/>
    <w:rsid w:val="00F258E6"/>
    <w:rsid w:val="00F270F5"/>
    <w:rsid w:val="00F358EA"/>
    <w:rsid w:val="00F376FD"/>
    <w:rsid w:val="00F77BE8"/>
    <w:rsid w:val="00FC3D88"/>
    <w:rsid w:val="00FD0A7E"/>
    <w:rsid w:val="00FE6EFF"/>
    <w:rsid w:val="00FF14CC"/>
    <w:rsid w:val="00FF2538"/>
    <w:rsid w:val="00FF328E"/>
    <w:rsid w:val="00FF3816"/>
    <w:rsid w:val="334C796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Times New Roman" w:hAnsi="Times New Roman" w:eastAsia="Times New Roman" w:cs="Times New Roman"/>
      <w:color w:val="000000" w:themeColor="text1"/>
      <w:sz w:val="24"/>
      <w:szCs w:val="24"/>
      <w:lang w:val="en-GB" w:eastAsia="en-GB" w:bidi="ar-SA"/>
      <w14:textFill>
        <w14:solidFill>
          <w14:schemeClr w14:val="tx1"/>
        </w14:solidFill>
      </w14:textFill>
    </w:rPr>
  </w:style>
  <w:style w:type="paragraph" w:styleId="2">
    <w:name w:val="heading 1"/>
    <w:basedOn w:val="1"/>
    <w:next w:val="1"/>
    <w:link w:val="24"/>
    <w:qFormat/>
    <w:uiPriority w:val="9"/>
    <w:pPr>
      <w:keepNext/>
      <w:keepLines/>
      <w:spacing w:before="360" w:after="240"/>
      <w:outlineLvl w:val="0"/>
    </w:pPr>
    <w:rPr>
      <w:rFonts w:ascii="Arial" w:hAnsi="Arial" w:eastAsia="Arial" w:cs="Arial"/>
      <w:b/>
      <w:color w:val="17365D"/>
    </w:rPr>
  </w:style>
  <w:style w:type="paragraph" w:styleId="3">
    <w:name w:val="heading 2"/>
    <w:basedOn w:val="1"/>
    <w:next w:val="1"/>
    <w:unhideWhenUsed/>
    <w:qFormat/>
    <w:uiPriority w:val="9"/>
    <w:pPr>
      <w:keepNext/>
      <w:keepLines/>
      <w:spacing w:before="40" w:after="0"/>
      <w:outlineLvl w:val="1"/>
    </w:pPr>
    <w:rPr>
      <w:rFonts w:ascii="Arial" w:hAnsi="Arial" w:eastAsia="Arial" w:cs="Arial"/>
      <w:b/>
      <w:color w:val="366091"/>
    </w:rPr>
  </w:style>
  <w:style w:type="paragraph" w:styleId="4">
    <w:name w:val="heading 3"/>
    <w:basedOn w:val="1"/>
    <w:next w:val="1"/>
    <w:unhideWhenUsed/>
    <w:qFormat/>
    <w:uiPriority w:val="9"/>
    <w:pPr>
      <w:keepNext/>
      <w:keepLines/>
      <w:spacing w:before="240" w:after="240"/>
      <w:outlineLvl w:val="2"/>
    </w:pPr>
    <w:rPr>
      <w:rFonts w:ascii="Arial" w:hAnsi="Arial" w:eastAsia="Arial" w:cs="Arial"/>
      <w:b/>
      <w:color w:val="244061"/>
    </w:rPr>
  </w:style>
  <w:style w:type="paragraph" w:styleId="5">
    <w:name w:val="heading 4"/>
    <w:basedOn w:val="1"/>
    <w:next w:val="1"/>
    <w:semiHidden/>
    <w:unhideWhenUsed/>
    <w:qFormat/>
    <w:uiPriority w:val="9"/>
    <w:pPr>
      <w:keepNext/>
      <w:keepLines/>
      <w:spacing w:before="40" w:after="0"/>
      <w:outlineLvl w:val="3"/>
    </w:pPr>
    <w:rPr>
      <w:rFonts w:ascii="Arial" w:hAnsi="Arial" w:eastAsia="Arial" w:cs="Arial"/>
      <w:b/>
      <w:color w:val="632423"/>
    </w:rPr>
  </w:style>
  <w:style w:type="paragraph" w:styleId="6">
    <w:name w:val="heading 5"/>
    <w:basedOn w:val="1"/>
    <w:next w:val="1"/>
    <w:semiHidden/>
    <w:unhideWhenUsed/>
    <w:qFormat/>
    <w:uiPriority w:val="9"/>
    <w:pPr>
      <w:keepNext/>
      <w:keepLines/>
      <w:spacing w:before="220" w:after="40"/>
      <w:outlineLvl w:val="4"/>
    </w:pPr>
    <w:rPr>
      <w:b/>
      <w:sz w:val="22"/>
      <w:szCs w:val="22"/>
    </w:rPr>
  </w:style>
  <w:style w:type="paragraph" w:styleId="7">
    <w:name w:val="heading 6"/>
    <w:basedOn w:val="1"/>
    <w:next w:val="1"/>
    <w:semiHidden/>
    <w:unhideWhenUsed/>
    <w:qFormat/>
    <w:uiPriority w:val="9"/>
    <w:pPr>
      <w:keepNext/>
      <w:keepLines/>
      <w:spacing w:before="200" w:after="40"/>
      <w:outlineLvl w:val="5"/>
    </w:pPr>
    <w:rPr>
      <w:b/>
      <w:sz w:val="20"/>
      <w:szCs w:val="20"/>
    </w:rPr>
  </w:style>
  <w:style w:type="character" w:default="1" w:styleId="8">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link w:val="29"/>
    <w:semiHidden/>
    <w:unhideWhenUsed/>
    <w:qFormat/>
    <w:uiPriority w:val="99"/>
    <w:pPr>
      <w:spacing w:after="120"/>
    </w:pPr>
  </w:style>
  <w:style w:type="character" w:styleId="11">
    <w:name w:val="Hyperlink"/>
    <w:basedOn w:val="8"/>
    <w:unhideWhenUsed/>
    <w:uiPriority w:val="99"/>
    <w:rPr>
      <w:color w:val="0000FF" w:themeColor="hyperlink"/>
      <w:u w:val="single"/>
      <w14:textFill>
        <w14:solidFill>
          <w14:schemeClr w14:val="hlink"/>
        </w14:solidFill>
      </w14:textFill>
    </w:rPr>
  </w:style>
  <w:style w:type="character" w:styleId="12">
    <w:name w:val="Strong"/>
    <w:basedOn w:val="8"/>
    <w:qFormat/>
    <w:uiPriority w:val="22"/>
    <w:rPr>
      <w:b/>
      <w:bCs/>
    </w:rPr>
  </w:style>
  <w:style w:type="paragraph" w:styleId="13">
    <w:name w:val="Subtitle"/>
    <w:basedOn w:val="1"/>
    <w:next w:val="1"/>
    <w:qFormat/>
    <w:uiPriority w:val="11"/>
    <w:pPr>
      <w:keepNext/>
      <w:keepLines/>
      <w:spacing w:before="360" w:after="80"/>
    </w:pPr>
    <w:rPr>
      <w:rFonts w:ascii="Georgia" w:hAnsi="Georgia" w:eastAsia="Georgia" w:cs="Georgia"/>
      <w:i/>
      <w:color w:val="666666"/>
      <w:sz w:val="48"/>
      <w:szCs w:val="48"/>
    </w:rPr>
  </w:style>
  <w:style w:type="table" w:styleId="14">
    <w:name w:val="Table Grid"/>
    <w:basedOn w:val="9"/>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5">
    <w:name w:val="Title"/>
    <w:basedOn w:val="1"/>
    <w:next w:val="1"/>
    <w:qFormat/>
    <w:uiPriority w:val="10"/>
    <w:pPr>
      <w:keepNext/>
      <w:keepLines/>
      <w:spacing w:before="480" w:after="120"/>
    </w:pPr>
    <w:rPr>
      <w:b/>
      <w:sz w:val="72"/>
      <w:szCs w:val="72"/>
    </w:rPr>
  </w:style>
  <w:style w:type="paragraph" w:styleId="16">
    <w:name w:val="toc 1"/>
    <w:basedOn w:val="1"/>
    <w:next w:val="1"/>
    <w:autoRedefine/>
    <w:unhideWhenUsed/>
    <w:qFormat/>
    <w:uiPriority w:val="39"/>
    <w:pPr>
      <w:spacing w:after="100"/>
    </w:pPr>
  </w:style>
  <w:style w:type="paragraph" w:styleId="17">
    <w:name w:val="toc 2"/>
    <w:basedOn w:val="1"/>
    <w:next w:val="1"/>
    <w:autoRedefine/>
    <w:unhideWhenUsed/>
    <w:uiPriority w:val="39"/>
    <w:pPr>
      <w:spacing w:after="100"/>
      <w:ind w:left="240"/>
    </w:pPr>
  </w:style>
  <w:style w:type="paragraph" w:styleId="18">
    <w:name w:val="toc 3"/>
    <w:basedOn w:val="1"/>
    <w:next w:val="1"/>
    <w:autoRedefine/>
    <w:unhideWhenUsed/>
    <w:uiPriority w:val="39"/>
    <w:pPr>
      <w:spacing w:after="100"/>
      <w:ind w:left="480"/>
    </w:pPr>
  </w:style>
  <w:style w:type="paragraph" w:styleId="19">
    <w:name w:val="No Spacing"/>
    <w:qFormat/>
    <w:uiPriority w:val="1"/>
    <w:pPr>
      <w:spacing w:after="0" w:line="240" w:lineRule="auto"/>
    </w:pPr>
    <w:rPr>
      <w:rFonts w:ascii="Times New Roman" w:hAnsi="Times New Roman" w:eastAsia="Times New Roman" w:cs="Times New Roman"/>
      <w:sz w:val="24"/>
      <w:szCs w:val="24"/>
      <w:lang w:val="en-GB" w:eastAsia="en-GB" w:bidi="ar-SA"/>
    </w:rPr>
  </w:style>
  <w:style w:type="paragraph" w:styleId="20">
    <w:name w:val="List Paragraph"/>
    <w:basedOn w:val="1"/>
    <w:qFormat/>
    <w:uiPriority w:val="34"/>
    <w:pPr>
      <w:spacing w:before="120" w:after="240"/>
      <w:ind w:left="720"/>
      <w:contextualSpacing/>
    </w:pPr>
    <w:rPr>
      <w:rFonts w:ascii="Arial" w:hAnsi="Arial"/>
    </w:rPr>
  </w:style>
  <w:style w:type="paragraph" w:customStyle="1" w:styleId="21">
    <w:name w:val="whitespace-pre-wrap"/>
    <w:basedOn w:val="1"/>
    <w:qFormat/>
    <w:uiPriority w:val="0"/>
    <w:pPr>
      <w:spacing w:before="100" w:beforeAutospacing="1" w:after="100" w:afterAutospacing="1" w:line="240" w:lineRule="auto"/>
    </w:pPr>
  </w:style>
  <w:style w:type="paragraph" w:customStyle="1" w:styleId="22">
    <w:name w:val="content"/>
    <w:basedOn w:val="20"/>
    <w:qFormat/>
    <w:uiPriority w:val="0"/>
    <w:pPr>
      <w:numPr>
        <w:ilvl w:val="0"/>
        <w:numId w:val="1"/>
      </w:numPr>
    </w:pPr>
    <w:rPr>
      <w:rFonts w:ascii="Times New Roman" w:hAnsi="Times New Roman" w:cs="Arial"/>
      <w:bCs/>
      <w:color w:val="1C1917"/>
      <w:shd w:val="clear" w:color="auto" w:fill="FFFFFF"/>
    </w:rPr>
  </w:style>
  <w:style w:type="paragraph" w:customStyle="1" w:styleId="23">
    <w:name w:val="content 2"/>
    <w:basedOn w:val="1"/>
    <w:qFormat/>
    <w:uiPriority w:val="0"/>
    <w:rPr>
      <w:rFonts w:cs="Arial"/>
    </w:rPr>
  </w:style>
  <w:style w:type="character" w:customStyle="1" w:styleId="24">
    <w:name w:val="Heading 1 Char"/>
    <w:basedOn w:val="8"/>
    <w:link w:val="2"/>
    <w:qFormat/>
    <w:uiPriority w:val="9"/>
    <w:rPr>
      <w:rFonts w:ascii="Arial" w:hAnsi="Arial" w:eastAsia="Arial" w:cs="Arial"/>
      <w:b/>
      <w:color w:val="17365D"/>
    </w:rPr>
  </w:style>
  <w:style w:type="paragraph" w:customStyle="1" w:styleId="25">
    <w:name w:val="Bibliography"/>
    <w:basedOn w:val="1"/>
    <w:next w:val="1"/>
    <w:unhideWhenUsed/>
    <w:uiPriority w:val="37"/>
  </w:style>
  <w:style w:type="table" w:customStyle="1" w:styleId="26">
    <w:name w:val="Plain Table 1"/>
    <w:basedOn w:val="9"/>
    <w:qFormat/>
    <w:uiPriority w:val="41"/>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tblStylePr w:type="firstRow">
      <w:rPr>
        <w:b/>
        <w:bCs/>
      </w:rPr>
    </w:tblStylePr>
    <w:tblStylePr w:type="lastRow">
      <w:rPr>
        <w:b/>
        <w:bCs/>
      </w:rPr>
      <w:tcPr>
        <w:tcBorders>
          <w:top w:val="double" w:color="BEBEBE" w:themeColor="background1" w:themeShade="BF" w:sz="4" w:space="0"/>
        </w:tcBorders>
      </w:tcPr>
    </w:tblStylePr>
    <w:tblStylePr w:type="firstCol">
      <w:rPr>
        <w:b/>
        <w:bCs/>
      </w:rPr>
    </w:tblStylePr>
    <w:tblStylePr w:type="lastCol">
      <w:rPr>
        <w:b/>
        <w:bCs/>
      </w:rPr>
    </w:tblStylePr>
    <w:tblStylePr w:type="band1Vert">
      <w:tcPr>
        <w:shd w:val="clear" w:color="auto" w:fill="F1F1F1" w:themeFill="background1" w:themeFillShade="F2"/>
      </w:tcPr>
    </w:tblStylePr>
    <w:tblStylePr w:type="band1Horz">
      <w:tcPr>
        <w:shd w:val="clear" w:color="auto" w:fill="F1F1F1" w:themeFill="background1" w:themeFillShade="F2"/>
      </w:tcPr>
    </w:tblStylePr>
  </w:style>
  <w:style w:type="table" w:customStyle="1" w:styleId="27">
    <w:name w:val="Grid Table Light"/>
    <w:basedOn w:val="9"/>
    <w:qFormat/>
    <w:uiPriority w:val="40"/>
    <w:pPr>
      <w:spacing w:after="0" w:line="240" w:lineRule="auto"/>
    </w:pPr>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customStyle="1" w:styleId="28">
    <w:name w:val="Content"/>
    <w:basedOn w:val="10"/>
    <w:qFormat/>
    <w:uiPriority w:val="0"/>
    <w:pPr>
      <w:widowControl w:val="0"/>
      <w:autoSpaceDE w:val="0"/>
      <w:autoSpaceDN w:val="0"/>
      <w:spacing w:before="120" w:after="240"/>
    </w:pPr>
    <w:rPr>
      <w:rFonts w:eastAsia="Carlito" w:cs="Carlito"/>
      <w:szCs w:val="22"/>
      <w:lang w:val="en-US" w:eastAsia="en-US"/>
    </w:rPr>
  </w:style>
  <w:style w:type="character" w:customStyle="1" w:styleId="29">
    <w:name w:val="Body Text Char"/>
    <w:basedOn w:val="8"/>
    <w:link w:val="10"/>
    <w:semiHidden/>
    <w:uiPriority w:val="99"/>
    <w:rPr>
      <w:color w:val="000000" w:themeColor="text1"/>
      <w14:textFill>
        <w14:solidFill>
          <w14:schemeClr w14:val="tx1"/>
        </w14:solidFill>
      </w14:textFill>
    </w:rPr>
  </w:style>
  <w:style w:type="character" w:customStyle="1" w:styleId="30">
    <w:name w:val="Unresolved Mention"/>
    <w:basedOn w:val="8"/>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Del235</b:Tag>
    <b:SourceType>InternetSite</b:SourceType>
    <b:Guid>{E12DB41C-8822-4CC7-9517-DCBC41001188}</b:Guid>
    <b:Author>
      <b:Author>
        <b:Corporate>Deliveroo</b:Corporate>
      </b:Author>
    </b:Author>
    <b:Title>About Us</b:Title>
    <b:Year>2023</b:Year>
    <b:YearAccessed>2024</b:YearAccessed>
    <b:MonthAccessed>June</b:MonthAccessed>
    <b:DayAccessed>30</b:DayAccessed>
    <b:URL>https://deliveroo.co.uk/about-us</b:URL>
    <b:RefOrder>1</b:RefOrder>
  </b:Source>
  <b:Source>
    <b:Tag>Del234</b:Tag>
    <b:SourceType>InternetSite</b:SourceType>
    <b:Guid>{F702BF2A-D894-4F12-91FC-925132822A2B}</b:Guid>
    <b:Author>
      <b:Author>
        <b:Corporate>Deliveroo</b:Corporate>
      </b:Author>
    </b:Author>
    <b:Title>Annual Report 2023</b:Title>
    <b:Year>2023a</b:Year>
    <b:YearAccessed>2024</b:YearAccessed>
    <b:MonthAccessed>June</b:MonthAccessed>
    <b:DayAccessed>30</b:DayAccessed>
    <b:URL>https://corporate.deliveroo.co.uk/investors/annual-report-summary/</b:URL>
    <b:RefOrder>2</b:RefOrder>
  </b:Source>
  <b:Source>
    <b:Tag>Sta235</b:Tag>
    <b:SourceType>InternetSite</b:SourceType>
    <b:Guid>{A322CEBE-BCC4-4542-B6A7-CE620A282D11}</b:Guid>
    <b:Author>
      <b:Author>
        <b:Corporate>Statista</b:Corporate>
      </b:Author>
    </b:Author>
    <b:Title>Gross Transaction Value (GTV) of Deliveroo in the United Kingdom and Ireland from 2020 to 2023</b:Title>
    <b:Year>2023</b:Year>
    <b:YearAccessed>2024</b:YearAccessed>
    <b:MonthAccessed>June</b:MonthAccessed>
    <b:DayAccessed>30</b:DayAccessed>
    <b:URL>https://www.statista.com/statistics/1337079/deliveroo-s-gross-transaction-value-uk-and-ireland/</b:URL>
    <b:RefOrder>3</b:RefOrder>
  </b:Source>
  <b:Source>
    <b:Tag>Del211</b:Tag>
    <b:SourceType>InternetSite</b:SourceType>
    <b:Guid>{7DEA4935-4E36-4DA7-8DC1-58A0C7FD98EB}</b:Guid>
    <b:Author>
      <b:Author>
        <b:Corporate>Deliveroo</b:Corporate>
      </b:Author>
    </b:Author>
    <b:Title>Registration Document</b:Title>
    <b:Year>2021</b:Year>
    <b:YearAccessed>2024</b:YearAccessed>
    <b:MonthAccessed>July</b:MonthAccessed>
    <b:DayAccessed>02</b:DayAccessed>
    <b:URL>https://dpd-12774-s3.s3.eu-west-2.amazonaws.com/assets/6216/1521/6447/Deliveroo_-_Registration_Document.pdf</b:URL>
    <b:RefOrder>4</b:RefOrder>
  </b:Source>
  <b:Source>
    <b:Tag>Fin21</b:Tag>
    <b:SourceType>InternetSite</b:SourceType>
    <b:Guid>{60B24534-449E-4D9C-A754-335180E453BE}</b:Guid>
    <b:Author>
      <b:Author>
        <b:Corporate>Financial Times</b:Corporate>
      </b:Author>
    </b:Author>
    <b:Title>Deliveroo’s challenge to serve up growth after IPO</b:Title>
    <b:Year>2021</b:Year>
    <b:YearAccessed>2024</b:YearAccessed>
    <b:MonthAccessed>July</b:MonthAccessed>
    <b:DayAccessed>02</b:DayAccessed>
    <b:URL>https://www.ft.com/content/5ce64d6e-8ee5-46f6-9580-f59d0708b547</b:URL>
    <b:RefOrder>5</b:RefOrder>
  </b:Source>
  <b:Source>
    <b:Tag>BCG21</b:Tag>
    <b:SourceType>InternetSite</b:SourceType>
    <b:Guid>{D035ECF3-BCC3-4D8C-B7B2-DB1BF937FB20}</b:Guid>
    <b:Author>
      <b:Author>
        <b:Corporate>BCG</b:Corporate>
      </b:Author>
    </b:Author>
    <b:Title>The 2021 M&amp;A Report: Mastering the Art of Breaking Up. Boston: Boston Consulting Group. </b:Title>
    <b:Year>2021</b:Year>
    <b:YearAccessed>2024</b:YearAccessed>
    <b:MonthAccessed>July</b:MonthAccessed>
    <b:DayAccessed>02</b:DayAccessed>
    <b:URL>https://www.bcg.com/publications/2021/m-and-a-report-mastering-the-art-of-breaking-up</b:URL>
    <b:RefOrder>7</b:RefOrder>
  </b:Source>
  <b:Source>
    <b:Tag>Del212</b:Tag>
    <b:SourceType>InternetSite</b:SourceType>
    <b:Guid>{60930626-2199-47B2-9319-AB00D082557C}</b:Guid>
    <b:Author>
      <b:Author>
        <b:Corporate>Deloitte</b:Corporate>
      </b:Author>
    </b:Author>
    <b:Title>Strategies for going public</b:Title>
    <b:Year>2021</b:Year>
    <b:YearAccessed>2024</b:YearAccessed>
    <b:MonthAccessed>July</b:MonthAccessed>
    <b:DayAccessed>03</b:DayAccessed>
    <b:URL>https://www2.deloitte.com/content/dam/Deloitte/ch/Documents/audit/deloitte-ch-en-audit-strategies-for-going-public-5th-edition-update.pdf</b:URL>
    <b:RefOrder>8</b:RefOrder>
  </b:Source>
  <b:Source>
    <b:Tag>Fin211</b:Tag>
    <b:SourceType>InternetSite</b:SourceType>
    <b:Guid>{2F2BE1A4-429A-4C6D-A053-5B727EEB6CA2}</b:Guid>
    <b:Author>
      <b:Author>
        <b:Corporate>Financial Times</b:Corporate>
      </b:Author>
    </b:Author>
    <b:Title>Disaster strikes as Deliveroo becomes ‘worst IPO in London’s history</b:Title>
    <b:Year>2021a</b:Year>
    <b:YearAccessed>2024</b:YearAccessed>
    <b:MonthAccessed>July</b:MonthAccessed>
    <b:DayAccessed>02</b:DayAccessed>
    <b:URL>https://www.ft.com/content/bdf6ac6b-46b5-4f7a-90db-291d7fd2898d</b:URL>
    <b:RefOrder>6</b:RefOrder>
  </b:Source>
  <b:Source>
    <b:Tag>CNB212</b:Tag>
    <b:SourceType>InternetSite</b:SourceType>
    <b:Guid>{3AC73B7D-92C0-49EC-B55B-9D867BD549A0}</b:Guid>
    <b:Author>
      <b:Author>
        <b:Corporate>CNBC</b:Corporate>
      </b:Author>
    </b:Author>
    <b:Title>Deliveroo shares push higher as retail investors start trading the stock</b:Title>
    <b:Year>2021</b:Year>
    <b:YearAccessed>2024</b:YearAccessed>
    <b:MonthAccessed>uly</b:MonthAccessed>
    <b:DayAccessed>03</b:DayAccessed>
    <b:URL>https://www.cnbc.com/2021/04/07/deliveroo-shares-push-higher-as-retail-investors-start-trading.html</b:URL>
    <b:RefOrder>9</b:RefOrder>
  </b:Source>
  <b:Source>
    <b:Tag>PWC21</b:Tag>
    <b:SourceType>InternetSite</b:SourceType>
    <b:Guid>{5267A0EE-ACCA-48BD-86E3-1FCB88EB339D}</b:Guid>
    <b:Author>
      <b:Author>
        <b:Corporate>PWC</b:Corporate>
      </b:Author>
    </b:Author>
    <b:Title>Considering an IPO? First, understand the costs</b:Title>
    <b:Year>2021</b:Year>
    <b:YearAccessed>2024</b:YearAccessed>
    <b:MonthAccessed>July</b:MonthAccessed>
    <b:DayAccessed>02</b:DayAccessed>
    <b:URL>https://www.pwc.com/us/en/services/consulting/deals/library/cost-of-an-ipo.html</b:URL>
    <b:RefOrder>10</b:RefOrder>
  </b:Source>
  <b:Source>
    <b:Tag>Pra18</b:Tag>
    <b:SourceType>Report</b:SourceType>
    <b:Guid>{9EA3286C-0849-474D-92EC-76D1529986AD}</b:Guid>
    <b:Title>Humans as a service: The promise and perils of work in the gig economy</b:Title>
    <b:Year>2018</b:Year>
    <b:Publisher>Oxford University press</b:Publisher>
    <b:Author>
      <b:Author>
        <b:NameList>
          <b:Person>
            <b:Last>Prassl</b:Last>
            <b:First>J</b:First>
          </b:Person>
        </b:NameList>
      </b:Author>
    </b:Author>
    <b:RefOrder>11</b:RefOrder>
  </b:Source>
  <b:Source>
    <b:Tag>The215</b:Tag>
    <b:SourceType>InternetSite</b:SourceType>
    <b:Guid>{CDAD5D4B-3F02-46B8-B332-3FC25531DA3B}</b:Guid>
    <b:Title>Uber drivers entitled to workers' rights, UK supreme court rules</b:Title>
    <b:Year>2021</b:Year>
    <b:Author>
      <b:Author>
        <b:Corporate>The Guardian</b:Corporate>
      </b:Author>
    </b:Author>
    <b:YearAccessed>2024</b:YearAccessed>
    <b:MonthAccessed>July</b:MonthAccessed>
    <b:DayAccessed>03</b:DayAccessed>
    <b:URL>https://www.theguardian.com/technology/2021/feb/19/uber-drivers-workers-uk-supreme-court-rules-rights</b:URL>
    <b:RefOrder>12</b:RefOrder>
  </b:Source>
  <b:Source>
    <b:Tag>Sta24</b:Tag>
    <b:SourceType>InternetSite</b:SourceType>
    <b:Guid>{E13C71B7-3322-4D8D-B833-9FB7B1B40DBC}</b:Guid>
    <b:Author>
      <b:Author>
        <b:Corporate>Statista</b:Corporate>
      </b:Author>
    </b:Author>
    <b:Title>Online Food Delivery - Worldwide</b:Title>
    <b:Year>2024</b:Year>
    <b:YearAccessed>2024</b:YearAccessed>
    <b:MonthAccessed>July</b:MonthAccessed>
    <b:DayAccessed>04</b:DayAccessed>
    <b:URL>https://www.statista.com/outlook/dmo/online-food-delivery/worldwide?currency=usd</b:URL>
    <b:RefOrder>14</b:RefOrder>
  </b:Source>
  <b:Source>
    <b:Tag>MCk24</b:Tag>
    <b:SourceType>InternetSite</b:SourceType>
    <b:Guid>{E2F6F16E-47C4-4264-899D-B43EBF7F156E}</b:Guid>
    <b:Author>
      <b:Author>
        <b:Corporate>Mckinsey &amp; Company</b:Corporate>
      </b:Author>
    </b:Author>
    <b:Title>The future of online grocery in Europe</b:Title>
    <b:Year>2024</b:Year>
    <b:YearAccessed>2024</b:YearAccessed>
    <b:MonthAccessed>July</b:MonthAccessed>
    <b:DayAccessed>03</b:DayAccessed>
    <b:URL>https://www.mckinsey.com/industries/retail/our-insights/state-of-grocery-europe</b:URL>
    <b:RefOrder>13</b:RefOrder>
  </b:Source>
</b:Sources>
</file>

<file path=customXml/itemProps1.xml><?xml version="1.0" encoding="utf-8"?>
<ds:datastoreItem xmlns:ds="http://schemas.openxmlformats.org/officeDocument/2006/customXml" ds:itemID="{054A8982-3C10-468F-9CF6-94BAFA0BF1C1}">
  <ds:schemaRefs/>
</ds:datastoreItem>
</file>

<file path=docProps/app.xml><?xml version="1.0" encoding="utf-8"?>
<Properties xmlns="http://schemas.openxmlformats.org/officeDocument/2006/extended-properties" xmlns:vt="http://schemas.openxmlformats.org/officeDocument/2006/docPropsVTypes">
  <Template>Normal</Template>
  <Pages>21</Pages>
  <Words>5300</Words>
  <Characters>30214</Characters>
  <Lines>251</Lines>
  <Paragraphs>70</Paragraphs>
  <TotalTime>77</TotalTime>
  <ScaleCrop>false</ScaleCrop>
  <LinksUpToDate>false</LinksUpToDate>
  <CharactersWithSpaces>35444</CharactersWithSpaces>
  <Application>WPS Office_12.2.0.17153_F1E327BC-269C-435d-A152-05C5408002CA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2024-08-05T10:57:00Z</dcterms:created>
  <dc:creator>Sakshi Soni</dc:creator>
  <cp:lastModifiedBy>Sakshi Soni</cp:lastModifiedBy>
  <dcterms:modified xsi:type="dcterms:W3CDTF">2024-08-22T21:11:46Z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1033-12.2.0.17153</vt:lpwstr>
  </property>
  <property fmtid="{D5CDD505-2E9C-101B-9397-08002B2CF9AE}" pid="3" name="ICV">
    <vt:lpwstr>F551316BA42D46118FEB4A836FFACBCF_12</vt:lpwstr>
  </property>
</Properties>
</file>