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3AD12" w14:textId="6B6AA64F" w:rsidR="00EF2BD8" w:rsidRDefault="00C103CB">
      <w:pPr>
        <w:rPr>
          <w:b/>
          <w:bCs/>
          <w:sz w:val="28"/>
          <w:szCs w:val="28"/>
        </w:rPr>
      </w:pPr>
      <w:r>
        <w:rPr>
          <w:b/>
          <w:bCs/>
          <w:sz w:val="28"/>
          <w:szCs w:val="28"/>
        </w:rPr>
        <w:t xml:space="preserve">                                                                                 Student Name: Nafia Tasnim Rinbi </w:t>
      </w:r>
    </w:p>
    <w:p w14:paraId="0C77EF61" w14:textId="241113D6" w:rsidR="00C103CB" w:rsidRDefault="00C103CB">
      <w:pPr>
        <w:rPr>
          <w:b/>
          <w:bCs/>
          <w:sz w:val="28"/>
          <w:szCs w:val="28"/>
        </w:rPr>
      </w:pPr>
      <w:r>
        <w:rPr>
          <w:b/>
          <w:bCs/>
          <w:sz w:val="28"/>
          <w:szCs w:val="28"/>
        </w:rPr>
        <w:t xml:space="preserve">                                                                                 Student ID: 2409141</w:t>
      </w:r>
    </w:p>
    <w:p w14:paraId="3B027B20" w14:textId="3B64B068" w:rsidR="00C103CB" w:rsidRDefault="00C103CB">
      <w:pPr>
        <w:rPr>
          <w:b/>
          <w:bCs/>
          <w:sz w:val="28"/>
          <w:szCs w:val="28"/>
        </w:rPr>
      </w:pPr>
      <w:r>
        <w:rPr>
          <w:b/>
          <w:bCs/>
          <w:sz w:val="28"/>
          <w:szCs w:val="28"/>
        </w:rPr>
        <w:t xml:space="preserve">                                                               Module Name:</w:t>
      </w:r>
      <w:r w:rsidR="00615E42">
        <w:rPr>
          <w:b/>
          <w:bCs/>
          <w:sz w:val="28"/>
          <w:szCs w:val="28"/>
        </w:rPr>
        <w:t xml:space="preserve"> Introduction to </w:t>
      </w:r>
      <w:r w:rsidR="007431E5">
        <w:rPr>
          <w:b/>
          <w:bCs/>
          <w:sz w:val="28"/>
          <w:szCs w:val="28"/>
        </w:rPr>
        <w:t xml:space="preserve">Psychology </w:t>
      </w:r>
    </w:p>
    <w:p w14:paraId="473927C7" w14:textId="57AF24D3" w:rsidR="00C103CB" w:rsidRPr="00C103CB" w:rsidRDefault="00C103CB">
      <w:pPr>
        <w:rPr>
          <w:b/>
          <w:bCs/>
          <w:sz w:val="28"/>
          <w:szCs w:val="28"/>
        </w:rPr>
      </w:pPr>
      <w:r>
        <w:rPr>
          <w:b/>
          <w:bCs/>
          <w:sz w:val="28"/>
          <w:szCs w:val="28"/>
        </w:rPr>
        <w:t xml:space="preserve">                                                                                   Module Code:</w:t>
      </w:r>
      <w:r w:rsidR="007E6544">
        <w:rPr>
          <w:b/>
          <w:bCs/>
          <w:sz w:val="28"/>
          <w:szCs w:val="28"/>
        </w:rPr>
        <w:t xml:space="preserve">   </w:t>
      </w:r>
      <w:r w:rsidR="007431E5">
        <w:rPr>
          <w:b/>
          <w:bCs/>
          <w:sz w:val="28"/>
          <w:szCs w:val="28"/>
        </w:rPr>
        <w:t>BMH</w:t>
      </w:r>
      <w:r w:rsidR="007E6544">
        <w:rPr>
          <w:b/>
          <w:bCs/>
          <w:sz w:val="28"/>
          <w:szCs w:val="28"/>
        </w:rPr>
        <w:t>P 5023</w:t>
      </w:r>
    </w:p>
    <w:p w14:paraId="16246EDD" w14:textId="77777777" w:rsidR="0044681D" w:rsidRDefault="0044681D"/>
    <w:p w14:paraId="210FDC3D" w14:textId="77777777" w:rsidR="0044681D" w:rsidRDefault="0044681D"/>
    <w:p w14:paraId="022B2FDE" w14:textId="77777777" w:rsidR="0044681D" w:rsidRDefault="0044681D"/>
    <w:p w14:paraId="76858165" w14:textId="77777777" w:rsidR="0044681D" w:rsidRDefault="0044681D"/>
    <w:p w14:paraId="00EA15B4" w14:textId="77777777" w:rsidR="0044681D" w:rsidRDefault="0044681D"/>
    <w:p w14:paraId="0DE72C4B" w14:textId="77777777" w:rsidR="0044681D" w:rsidRDefault="0044681D"/>
    <w:p w14:paraId="795B8664" w14:textId="77777777" w:rsidR="0044681D" w:rsidRPr="0044681D" w:rsidRDefault="0044681D" w:rsidP="0044681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44681D">
        <w:rPr>
          <w:rFonts w:ascii="Times New Roman" w:eastAsia="Times New Roman" w:hAnsi="Times New Roman" w:cs="Times New Roman"/>
          <w:b/>
          <w:bCs/>
          <w:kern w:val="36"/>
          <w:sz w:val="48"/>
          <w:szCs w:val="48"/>
          <w:lang w:eastAsia="en-GB"/>
          <w14:ligatures w14:val="none"/>
        </w:rPr>
        <w:t>Supporting Patients with Type 2 Diabetes: Understanding, Monitoring, and Managing the Condition</w:t>
      </w:r>
    </w:p>
    <w:p w14:paraId="473F9BFF" w14:textId="7770CD7C"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6E504E3D"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a) Introduction</w:t>
      </w:r>
    </w:p>
    <w:p w14:paraId="19D67ABD" w14:textId="47BCE32A"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Diabetes mellitus is a chronic metabolic condition characterised by elevated blood glucose levels (hyperglycaemia) resulting from defects in insulin secretion, insulin action, or both (World Health Organization [WHO], 2024). There are two main types: </w:t>
      </w:r>
      <w:r w:rsidRPr="0044681D">
        <w:rPr>
          <w:rFonts w:ascii="Times New Roman" w:eastAsia="Times New Roman" w:hAnsi="Times New Roman" w:cs="Times New Roman"/>
          <w:b/>
          <w:bCs/>
          <w:kern w:val="0"/>
          <w:lang w:eastAsia="en-GB"/>
          <w14:ligatures w14:val="none"/>
        </w:rPr>
        <w:t xml:space="preserve"> </w:t>
      </w:r>
      <w:r w:rsidR="00C103CB">
        <w:rPr>
          <w:rFonts w:ascii="Times New Roman" w:eastAsia="Times New Roman" w:hAnsi="Times New Roman" w:cs="Times New Roman"/>
          <w:kern w:val="0"/>
          <w:lang w:eastAsia="en-GB"/>
          <w14:ligatures w14:val="none"/>
        </w:rPr>
        <w:t xml:space="preserve">Type 1 diabetes </w:t>
      </w:r>
      <w:r w:rsidRPr="0044681D">
        <w:rPr>
          <w:rFonts w:ascii="Times New Roman" w:eastAsia="Times New Roman" w:hAnsi="Times New Roman" w:cs="Times New Roman"/>
          <w:kern w:val="0"/>
          <w:lang w:eastAsia="en-GB"/>
          <w14:ligatures w14:val="none"/>
        </w:rPr>
        <w:t xml:space="preserve">, an autoimmune condition where pancreatic β-cells are destroyed, leading to absolute insulin deficiency, and </w:t>
      </w:r>
      <w:r w:rsidR="00C103CB">
        <w:rPr>
          <w:rFonts w:ascii="Times New Roman" w:eastAsia="Times New Roman" w:hAnsi="Times New Roman" w:cs="Times New Roman"/>
          <w:kern w:val="0"/>
          <w:lang w:eastAsia="en-GB"/>
          <w14:ligatures w14:val="none"/>
        </w:rPr>
        <w:t xml:space="preserve">Type 2 diabetes </w:t>
      </w:r>
      <w:r w:rsidRPr="0044681D">
        <w:rPr>
          <w:rFonts w:ascii="Times New Roman" w:eastAsia="Times New Roman" w:hAnsi="Times New Roman" w:cs="Times New Roman"/>
          <w:kern w:val="0"/>
          <w:lang w:eastAsia="en-GB"/>
          <w14:ligatures w14:val="none"/>
        </w:rPr>
        <w:t>, which accounts for approximately 90% of all cases and is primarily associated with insulin resistance and relative insulin deficiency (NICE, 2023).</w:t>
      </w:r>
    </w:p>
    <w:p w14:paraId="542F72CF"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Globally, the prevalence of Type 2 diabetes has risen sharply due to increasing rates of obesity, sedentary lifestyles, and population ageing (International Diabetes Federation [IDF], 2024). In the United Kingdom, an estimated 4.3 million people live with diabetes, and over 90% of these have Type 2 diabetes (Diabetes UK, 2024).</w:t>
      </w:r>
    </w:p>
    <w:p w14:paraId="3B545A59" w14:textId="269F2BFE" w:rsidR="0044681D" w:rsidRPr="0044681D" w:rsidRDefault="00C103CB"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Risk factors</w:t>
      </w:r>
      <w:r w:rsidR="0044681D" w:rsidRPr="0044681D">
        <w:rPr>
          <w:rFonts w:ascii="Times New Roman" w:eastAsia="Times New Roman" w:hAnsi="Times New Roman" w:cs="Times New Roman"/>
          <w:kern w:val="0"/>
          <w:lang w:eastAsia="en-GB"/>
          <w14:ligatures w14:val="none"/>
        </w:rPr>
        <w:t xml:space="preserve"> for Type 2 diabetes include both </w:t>
      </w:r>
      <w:r>
        <w:rPr>
          <w:rFonts w:ascii="Times New Roman" w:eastAsia="Times New Roman" w:hAnsi="Times New Roman" w:cs="Times New Roman"/>
          <w:kern w:val="0"/>
          <w:lang w:eastAsia="en-GB"/>
          <w14:ligatures w14:val="none"/>
        </w:rPr>
        <w:t>non modifiable</w:t>
      </w:r>
      <w:r w:rsidR="0044681D" w:rsidRPr="0044681D">
        <w:rPr>
          <w:rFonts w:ascii="Times New Roman" w:eastAsia="Times New Roman" w:hAnsi="Times New Roman" w:cs="Times New Roman"/>
          <w:kern w:val="0"/>
          <w:lang w:eastAsia="en-GB"/>
          <w14:ligatures w14:val="none"/>
        </w:rPr>
        <w:t xml:space="preserve"> and </w:t>
      </w:r>
      <w:r>
        <w:rPr>
          <w:rFonts w:ascii="Times New Roman" w:eastAsia="Times New Roman" w:hAnsi="Times New Roman" w:cs="Times New Roman"/>
          <w:kern w:val="0"/>
          <w:lang w:eastAsia="en-GB"/>
          <w14:ligatures w14:val="none"/>
        </w:rPr>
        <w:t xml:space="preserve">modifiable </w:t>
      </w:r>
      <w:r w:rsidR="0044681D" w:rsidRPr="0044681D">
        <w:rPr>
          <w:rFonts w:ascii="Times New Roman" w:eastAsia="Times New Roman" w:hAnsi="Times New Roman" w:cs="Times New Roman"/>
          <w:kern w:val="0"/>
          <w:lang w:eastAsia="en-GB"/>
          <w14:ligatures w14:val="none"/>
        </w:rPr>
        <w:t>elements. Non-modifiable risk factors include age, family history, and ethnicity (particularly South Asian and African-Caribbean backgrounds). Modifiable risk factors include overweight or obesity, poor diet, physical inactivity, hypertension, smoking, and excessive alcohol intake (NHS, 2024).</w:t>
      </w:r>
    </w:p>
    <w:p w14:paraId="2E1AD86F"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As a practice nurse, it is evident that many patients with Type 2 diabetes benefit from a better understanding of how their lifestyle choices and self-management strategies influence blood </w:t>
      </w:r>
      <w:r w:rsidRPr="0044681D">
        <w:rPr>
          <w:rFonts w:ascii="Times New Roman" w:eastAsia="Times New Roman" w:hAnsi="Times New Roman" w:cs="Times New Roman"/>
          <w:kern w:val="0"/>
          <w:lang w:eastAsia="en-GB"/>
          <w14:ligatures w14:val="none"/>
        </w:rPr>
        <w:lastRenderedPageBreak/>
        <w:t>glucose levels. This report aims to outline key information for educating patients, including how blood sugar levels are regulated, how the body uses oxygen and glucose for energy, why monitoring blood glucose is important, and how evidence-based lifestyle changes can improve diabetes management and long-term health outcomes.</w:t>
      </w:r>
    </w:p>
    <w:p w14:paraId="56EDD478" w14:textId="77777777" w:rsidR="0044681D" w:rsidRPr="0044681D" w:rsidRDefault="00000000" w:rsidP="0044681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286546A">
          <v:rect id="_x0000_i1025" style="width:0;height:1.5pt" o:hralign="center" o:hrstd="t" o:hr="t" fillcolor="#a0a0a0" stroked="f"/>
        </w:pict>
      </w:r>
    </w:p>
    <w:p w14:paraId="7CFCD7A2"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b) Regulation of Blood Glucose Levels</w:t>
      </w:r>
    </w:p>
    <w:p w14:paraId="0AE94C1A" w14:textId="5F2231C2"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The body maintains blood glucose levels within a narrow range (approximately 4–7 mmol/L) through a process known as </w:t>
      </w:r>
      <w:r w:rsidR="00C103CB">
        <w:rPr>
          <w:rFonts w:ascii="Times New Roman" w:eastAsia="Times New Roman" w:hAnsi="Times New Roman" w:cs="Times New Roman"/>
          <w:kern w:val="0"/>
          <w:lang w:eastAsia="en-GB"/>
          <w14:ligatures w14:val="none"/>
        </w:rPr>
        <w:t>homeostasis</w:t>
      </w:r>
      <w:r w:rsidRPr="0044681D">
        <w:rPr>
          <w:rFonts w:ascii="Times New Roman" w:eastAsia="Times New Roman" w:hAnsi="Times New Roman" w:cs="Times New Roman"/>
          <w:kern w:val="0"/>
          <w:lang w:eastAsia="en-GB"/>
          <w14:ligatures w14:val="none"/>
        </w:rPr>
        <w:t xml:space="preserve"> (Guyton and Hall, 2021). This regulation is primarily controlled by the hormones </w:t>
      </w:r>
      <w:r w:rsidR="00C103CB">
        <w:rPr>
          <w:rFonts w:ascii="Times New Roman" w:eastAsia="Times New Roman" w:hAnsi="Times New Roman" w:cs="Times New Roman"/>
          <w:kern w:val="0"/>
          <w:lang w:eastAsia="en-GB"/>
          <w14:ligatures w14:val="none"/>
        </w:rPr>
        <w:t>insulin</w:t>
      </w:r>
      <w:r w:rsidRPr="0044681D">
        <w:rPr>
          <w:rFonts w:ascii="Times New Roman" w:eastAsia="Times New Roman" w:hAnsi="Times New Roman" w:cs="Times New Roman"/>
          <w:kern w:val="0"/>
          <w:lang w:eastAsia="en-GB"/>
          <w14:ligatures w14:val="none"/>
        </w:rPr>
        <w:t xml:space="preserve"> and </w:t>
      </w:r>
      <w:r w:rsidR="00C103CB">
        <w:rPr>
          <w:rFonts w:ascii="Times New Roman" w:eastAsia="Times New Roman" w:hAnsi="Times New Roman" w:cs="Times New Roman"/>
          <w:kern w:val="0"/>
          <w:lang w:eastAsia="en-GB"/>
          <w14:ligatures w14:val="none"/>
        </w:rPr>
        <w:t xml:space="preserve">glucagon </w:t>
      </w:r>
      <w:r w:rsidRPr="0044681D">
        <w:rPr>
          <w:rFonts w:ascii="Times New Roman" w:eastAsia="Times New Roman" w:hAnsi="Times New Roman" w:cs="Times New Roman"/>
          <w:kern w:val="0"/>
          <w:lang w:eastAsia="en-GB"/>
          <w14:ligatures w14:val="none"/>
        </w:rPr>
        <w:t>, secreted by the pancreas.</w:t>
      </w:r>
    </w:p>
    <w:p w14:paraId="33194ACD" w14:textId="5FE7623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After food intake, carbohydrates are digested into glucose, which enters the bloodstream. The rise in blood glucose stimulates the </w:t>
      </w:r>
      <w:r w:rsidRPr="0044681D">
        <w:rPr>
          <w:rFonts w:ascii="Times New Roman" w:eastAsia="Times New Roman" w:hAnsi="Times New Roman" w:cs="Times New Roman"/>
          <w:b/>
          <w:bCs/>
          <w:kern w:val="0"/>
          <w:lang w:eastAsia="en-GB"/>
          <w14:ligatures w14:val="none"/>
        </w:rPr>
        <w:t xml:space="preserve">β-cells </w:t>
      </w:r>
      <w:r w:rsidR="003A3033">
        <w:rPr>
          <w:rFonts w:ascii="Times New Roman" w:eastAsia="Times New Roman" w:hAnsi="Times New Roman" w:cs="Times New Roman"/>
          <w:kern w:val="0"/>
          <w:lang w:eastAsia="en-GB"/>
          <w14:ligatures w14:val="none"/>
        </w:rPr>
        <w:t xml:space="preserve">of the </w:t>
      </w:r>
      <w:r w:rsidR="00FF3806">
        <w:rPr>
          <w:rFonts w:ascii="Times New Roman" w:eastAsia="Times New Roman" w:hAnsi="Times New Roman" w:cs="Times New Roman"/>
          <w:kern w:val="0"/>
          <w:lang w:eastAsia="en-GB"/>
          <w14:ligatures w14:val="none"/>
        </w:rPr>
        <w:t>islets of Langerhans</w:t>
      </w:r>
      <w:r w:rsidRPr="0044681D">
        <w:rPr>
          <w:rFonts w:ascii="Times New Roman" w:eastAsia="Times New Roman" w:hAnsi="Times New Roman" w:cs="Times New Roman"/>
          <w:kern w:val="0"/>
          <w:lang w:eastAsia="en-GB"/>
          <w14:ligatures w14:val="none"/>
        </w:rPr>
        <w:t xml:space="preserve"> in the pancreas to release insulin. Insulin facilitates glucose uptake into muscle and adipose cells by increasing the number of glucose transporters (GLUT4) on cell membranes. It also promotes glucose storage as glycogen in the liver and muscle tissue and inhibits hepatic glucose production (Hall, 2021).</w:t>
      </w:r>
    </w:p>
    <w:p w14:paraId="6C576DA4" w14:textId="163A474E"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Between meals, when blood glucose levels fall, </w:t>
      </w:r>
      <w:r w:rsidRPr="0044681D">
        <w:rPr>
          <w:rFonts w:ascii="Times New Roman" w:eastAsia="Times New Roman" w:hAnsi="Times New Roman" w:cs="Times New Roman"/>
          <w:b/>
          <w:bCs/>
          <w:kern w:val="0"/>
          <w:lang w:eastAsia="en-GB"/>
          <w14:ligatures w14:val="none"/>
        </w:rPr>
        <w:t>α-cells</w:t>
      </w:r>
      <w:r w:rsidRPr="0044681D">
        <w:rPr>
          <w:rFonts w:ascii="Times New Roman" w:eastAsia="Times New Roman" w:hAnsi="Times New Roman" w:cs="Times New Roman"/>
          <w:kern w:val="0"/>
          <w:lang w:eastAsia="en-GB"/>
          <w14:ligatures w14:val="none"/>
        </w:rPr>
        <w:t xml:space="preserve"> of the pancreas release </w:t>
      </w:r>
      <w:r w:rsidR="003F3BD6">
        <w:rPr>
          <w:rFonts w:ascii="Times New Roman" w:eastAsia="Times New Roman" w:hAnsi="Times New Roman" w:cs="Times New Roman"/>
          <w:kern w:val="0"/>
          <w:lang w:eastAsia="en-GB"/>
          <w14:ligatures w14:val="none"/>
        </w:rPr>
        <w:t>glucagon</w:t>
      </w:r>
      <w:r w:rsidRPr="0044681D">
        <w:rPr>
          <w:rFonts w:ascii="Times New Roman" w:eastAsia="Times New Roman" w:hAnsi="Times New Roman" w:cs="Times New Roman"/>
          <w:kern w:val="0"/>
          <w:lang w:eastAsia="en-GB"/>
          <w14:ligatures w14:val="none"/>
        </w:rPr>
        <w:t>, which stimulates glycogenolysis (breakdown of glycogen to glucose) and gluconeogenesis (formation of glucose from non-carbohydrate sources). This ensures a continuous supply of glucose for essential functions, particularly brain activity, which depends on glucose as its primary energy source (Sherwood, 2020).</w:t>
      </w:r>
    </w:p>
    <w:p w14:paraId="71161E3E" w14:textId="44238D35"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In </w:t>
      </w:r>
      <w:r w:rsidR="003F3BD6">
        <w:rPr>
          <w:rFonts w:ascii="Times New Roman" w:eastAsia="Times New Roman" w:hAnsi="Times New Roman" w:cs="Times New Roman"/>
          <w:kern w:val="0"/>
          <w:lang w:eastAsia="en-GB"/>
          <w14:ligatures w14:val="none"/>
        </w:rPr>
        <w:t xml:space="preserve">Type 2 </w:t>
      </w:r>
      <w:r w:rsidR="00914AA4">
        <w:rPr>
          <w:rFonts w:ascii="Times New Roman" w:eastAsia="Times New Roman" w:hAnsi="Times New Roman" w:cs="Times New Roman"/>
          <w:kern w:val="0"/>
          <w:lang w:eastAsia="en-GB"/>
          <w14:ligatures w14:val="none"/>
        </w:rPr>
        <w:t>diabetes</w:t>
      </w:r>
      <w:r w:rsidRPr="0044681D">
        <w:rPr>
          <w:rFonts w:ascii="Times New Roman" w:eastAsia="Times New Roman" w:hAnsi="Times New Roman" w:cs="Times New Roman"/>
          <w:kern w:val="0"/>
          <w:lang w:eastAsia="en-GB"/>
          <w14:ligatures w14:val="none"/>
        </w:rPr>
        <w:t xml:space="preserve">, insulin resistance develops—cells fail to respond adequately to insulin. To compensate, the pancreas produces more insulin, but over time β-cells become dysfunctional and insulin secretion decreases. The result is chronic hyperglycaemia (American Diabetes Association [ADA], 2023). Persistently high glucose levels can cause </w:t>
      </w:r>
      <w:r w:rsidR="00FE5AD0">
        <w:rPr>
          <w:rFonts w:ascii="Times New Roman" w:eastAsia="Times New Roman" w:hAnsi="Times New Roman" w:cs="Times New Roman"/>
          <w:kern w:val="0"/>
          <w:lang w:eastAsia="en-GB"/>
          <w14:ligatures w14:val="none"/>
        </w:rPr>
        <w:t>microvascular complications</w:t>
      </w:r>
      <w:r w:rsidRPr="0044681D">
        <w:rPr>
          <w:rFonts w:ascii="Times New Roman" w:eastAsia="Times New Roman" w:hAnsi="Times New Roman" w:cs="Times New Roman"/>
          <w:kern w:val="0"/>
          <w:lang w:eastAsia="en-GB"/>
          <w14:ligatures w14:val="none"/>
        </w:rPr>
        <w:t xml:space="preserve"> (retinopathy, nephropathy, neuropathy) and </w:t>
      </w:r>
      <w:r w:rsidR="00461DCB">
        <w:rPr>
          <w:rFonts w:ascii="Times New Roman" w:eastAsia="Times New Roman" w:hAnsi="Times New Roman" w:cs="Times New Roman"/>
          <w:kern w:val="0"/>
          <w:lang w:eastAsia="en-GB"/>
          <w14:ligatures w14:val="none"/>
        </w:rPr>
        <w:t>micro</w:t>
      </w:r>
      <w:r w:rsidR="00F83479">
        <w:rPr>
          <w:rFonts w:ascii="Times New Roman" w:eastAsia="Times New Roman" w:hAnsi="Times New Roman" w:cs="Times New Roman"/>
          <w:kern w:val="0"/>
          <w:lang w:eastAsia="en-GB"/>
          <w14:ligatures w14:val="none"/>
        </w:rPr>
        <w:t xml:space="preserve">vascular </w:t>
      </w:r>
      <w:r w:rsidR="00251371">
        <w:rPr>
          <w:rFonts w:ascii="Times New Roman" w:eastAsia="Times New Roman" w:hAnsi="Times New Roman" w:cs="Times New Roman"/>
          <w:kern w:val="0"/>
          <w:lang w:eastAsia="en-GB"/>
          <w14:ligatures w14:val="none"/>
        </w:rPr>
        <w:t>complications</w:t>
      </w:r>
      <w:r w:rsidRPr="0044681D">
        <w:rPr>
          <w:rFonts w:ascii="Times New Roman" w:eastAsia="Times New Roman" w:hAnsi="Times New Roman" w:cs="Times New Roman"/>
          <w:kern w:val="0"/>
          <w:lang w:eastAsia="en-GB"/>
          <w14:ligatures w14:val="none"/>
        </w:rPr>
        <w:t xml:space="preserve"> (cardiovascular disease, stroke, peripheral arterial disease) (NICE, 2023).</w:t>
      </w:r>
    </w:p>
    <w:p w14:paraId="78931F7D"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Therefore, maintaining blood glucose at safe levels through medication, diet, and lifestyle interventions is crucial. Effective management not only prevents acute complications such as hypoglycaemia and hyperosmolar states but also reduces the risk of long-term damage to organs and blood vessels (WHO, 2024).</w:t>
      </w:r>
    </w:p>
    <w:p w14:paraId="3F2BFF10" w14:textId="3D881152"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15E4DE02"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c) Oxygen and Glucose in Energy Production</w:t>
      </w:r>
    </w:p>
    <w:p w14:paraId="0825BA5D" w14:textId="05FE36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Every cell in the body requires energy to perform essential functions such as muscle contraction, nerve transmission, and tissue repair. This energy is produced </w:t>
      </w:r>
      <w:r w:rsidR="005A1CF7" w:rsidRPr="0044681D">
        <w:rPr>
          <w:rFonts w:ascii="Times New Roman" w:eastAsia="Times New Roman" w:hAnsi="Times New Roman" w:cs="Times New Roman"/>
          <w:kern w:val="0"/>
          <w:lang w:eastAsia="en-GB"/>
          <w14:ligatures w14:val="none"/>
        </w:rPr>
        <w:t>through</w:t>
      </w:r>
      <w:r w:rsidR="005A1CF7">
        <w:rPr>
          <w:rFonts w:ascii="Times New Roman" w:eastAsia="Times New Roman" w:hAnsi="Times New Roman" w:cs="Times New Roman"/>
          <w:kern w:val="0"/>
          <w:lang w:eastAsia="en-GB"/>
          <w14:ligatures w14:val="none"/>
        </w:rPr>
        <w:t xml:space="preserve"> </w:t>
      </w:r>
      <w:r w:rsidR="00FF3806">
        <w:rPr>
          <w:rFonts w:ascii="Times New Roman" w:eastAsia="Times New Roman" w:hAnsi="Times New Roman" w:cs="Times New Roman"/>
          <w:kern w:val="0"/>
          <w:lang w:eastAsia="en-GB"/>
          <w14:ligatures w14:val="none"/>
        </w:rPr>
        <w:t>cellular respiration</w:t>
      </w:r>
      <w:r w:rsidRPr="0044681D">
        <w:rPr>
          <w:rFonts w:ascii="Times New Roman" w:eastAsia="Times New Roman" w:hAnsi="Times New Roman" w:cs="Times New Roman"/>
          <w:kern w:val="0"/>
          <w:lang w:eastAsia="en-GB"/>
          <w14:ligatures w14:val="none"/>
        </w:rPr>
        <w:t>, where glucose and oxygen react to form adenosine triphosphate (ATP), the body’s main energy currency (Reece et al., 2020).</w:t>
      </w:r>
    </w:p>
    <w:p w14:paraId="2A6B27C7"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b/>
          <w:bCs/>
          <w:kern w:val="0"/>
          <w:lang w:eastAsia="en-GB"/>
          <w14:ligatures w14:val="none"/>
        </w:rPr>
        <w:t>Glucose + Oxygen → Carbon dioxide + Water + Energy (ATP)</w:t>
      </w:r>
    </w:p>
    <w:p w14:paraId="6BE1B44A"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The process occurs in three main stages:</w:t>
      </w:r>
    </w:p>
    <w:p w14:paraId="4CCE6129" w14:textId="77777777" w:rsidR="0044681D" w:rsidRPr="0044681D" w:rsidRDefault="0044681D" w:rsidP="0044681D">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b/>
          <w:bCs/>
          <w:kern w:val="0"/>
          <w:lang w:eastAsia="en-GB"/>
          <w14:ligatures w14:val="none"/>
        </w:rPr>
        <w:lastRenderedPageBreak/>
        <w:t>Glycolysis</w:t>
      </w:r>
      <w:r w:rsidRPr="0044681D">
        <w:rPr>
          <w:rFonts w:ascii="Times New Roman" w:eastAsia="Times New Roman" w:hAnsi="Times New Roman" w:cs="Times New Roman"/>
          <w:kern w:val="0"/>
          <w:lang w:eastAsia="en-GB"/>
          <w14:ligatures w14:val="none"/>
        </w:rPr>
        <w:t xml:space="preserve"> (cytoplasm): One glucose molecule is broken into two pyruvate molecules, producing a small amount of ATP.</w:t>
      </w:r>
    </w:p>
    <w:p w14:paraId="2472397D" w14:textId="77777777" w:rsidR="0044681D" w:rsidRPr="0044681D" w:rsidRDefault="0044681D" w:rsidP="0044681D">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b/>
          <w:bCs/>
          <w:kern w:val="0"/>
          <w:lang w:eastAsia="en-GB"/>
          <w14:ligatures w14:val="none"/>
        </w:rPr>
        <w:t>Krebs cycle</w:t>
      </w:r>
      <w:r w:rsidRPr="0044681D">
        <w:rPr>
          <w:rFonts w:ascii="Times New Roman" w:eastAsia="Times New Roman" w:hAnsi="Times New Roman" w:cs="Times New Roman"/>
          <w:kern w:val="0"/>
          <w:lang w:eastAsia="en-GB"/>
          <w14:ligatures w14:val="none"/>
        </w:rPr>
        <w:t xml:space="preserve"> (mitochondria): Pyruvate is converted into acetyl-CoA, releasing carbon dioxide and generating high-energy electron carriers (NADH, FADH₂).</w:t>
      </w:r>
    </w:p>
    <w:p w14:paraId="4D1430D9" w14:textId="77777777" w:rsidR="0044681D" w:rsidRPr="0044681D" w:rsidRDefault="0044681D" w:rsidP="0044681D">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b/>
          <w:bCs/>
          <w:kern w:val="0"/>
          <w:lang w:eastAsia="en-GB"/>
          <w14:ligatures w14:val="none"/>
        </w:rPr>
        <w:t>Electron transport chain</w:t>
      </w:r>
      <w:r w:rsidRPr="0044681D">
        <w:rPr>
          <w:rFonts w:ascii="Times New Roman" w:eastAsia="Times New Roman" w:hAnsi="Times New Roman" w:cs="Times New Roman"/>
          <w:kern w:val="0"/>
          <w:lang w:eastAsia="en-GB"/>
          <w14:ligatures w14:val="none"/>
        </w:rPr>
        <w:t xml:space="preserve"> (mitochondrial membrane): Electrons move through a series of proteins, and oxygen acts as the final electron acceptor, forming water and producing large amounts of ATP.</w:t>
      </w:r>
    </w:p>
    <w:p w14:paraId="1AA2D6C4" w14:textId="61BCBEC4"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In well-controlled glucose metabolism, this process is efficient and maintains energy balance. However, when glucose cannot enter cells effectively—as seen in uncontrolled diabetes—the body shifts to fat metabolism, leading to the production of </w:t>
      </w:r>
      <w:r w:rsidR="00C103CB">
        <w:rPr>
          <w:rFonts w:ascii="Times New Roman" w:eastAsia="Times New Roman" w:hAnsi="Times New Roman" w:cs="Times New Roman"/>
          <w:kern w:val="0"/>
          <w:lang w:eastAsia="en-GB"/>
          <w14:ligatures w14:val="none"/>
        </w:rPr>
        <w:t>ketone bodies</w:t>
      </w:r>
      <w:r w:rsidRPr="0044681D">
        <w:rPr>
          <w:rFonts w:ascii="Times New Roman" w:eastAsia="Times New Roman" w:hAnsi="Times New Roman" w:cs="Times New Roman"/>
          <w:kern w:val="0"/>
          <w:lang w:eastAsia="en-GB"/>
          <w14:ligatures w14:val="none"/>
        </w:rPr>
        <w:t xml:space="preserve">. Excess ketones can acidify the blood, leading to </w:t>
      </w:r>
      <w:r w:rsidR="004F3121">
        <w:rPr>
          <w:rFonts w:ascii="Times New Roman" w:eastAsia="Times New Roman" w:hAnsi="Times New Roman" w:cs="Times New Roman"/>
          <w:kern w:val="0"/>
          <w:lang w:eastAsia="en-GB"/>
          <w14:ligatures w14:val="none"/>
        </w:rPr>
        <w:t xml:space="preserve">diabetes </w:t>
      </w:r>
      <w:r w:rsidR="00C55B9C">
        <w:rPr>
          <w:rFonts w:ascii="Times New Roman" w:eastAsia="Times New Roman" w:hAnsi="Times New Roman" w:cs="Times New Roman"/>
          <w:kern w:val="0"/>
          <w:lang w:eastAsia="en-GB"/>
          <w14:ligatures w14:val="none"/>
        </w:rPr>
        <w:t>ketoacidosis</w:t>
      </w:r>
      <w:r w:rsidRPr="0044681D">
        <w:rPr>
          <w:rFonts w:ascii="Times New Roman" w:eastAsia="Times New Roman" w:hAnsi="Times New Roman" w:cs="Times New Roman"/>
          <w:kern w:val="0"/>
          <w:lang w:eastAsia="en-GB"/>
          <w14:ligatures w14:val="none"/>
        </w:rPr>
        <w:t xml:space="preserve"> (mainly in Type 1 diabetes) or </w:t>
      </w:r>
      <w:r w:rsidR="00C103CB">
        <w:rPr>
          <w:rFonts w:ascii="Times New Roman" w:eastAsia="Times New Roman" w:hAnsi="Times New Roman" w:cs="Times New Roman"/>
          <w:kern w:val="0"/>
          <w:lang w:eastAsia="en-GB"/>
          <w14:ligatures w14:val="none"/>
        </w:rPr>
        <w:t>ketone build-up</w:t>
      </w:r>
      <w:r w:rsidRPr="0044681D">
        <w:rPr>
          <w:rFonts w:ascii="Times New Roman" w:eastAsia="Times New Roman" w:hAnsi="Times New Roman" w:cs="Times New Roman"/>
          <w:kern w:val="0"/>
          <w:lang w:eastAsia="en-GB"/>
          <w14:ligatures w14:val="none"/>
        </w:rPr>
        <w:t xml:space="preserve"> in poorly controlled Type 2 diabetes (ADA, 2023).</w:t>
      </w:r>
    </w:p>
    <w:p w14:paraId="7415E030"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Maintaining stable blood glucose levels allows cells to produce ATP efficiently and helps prevent fatigue, weakness, and metabolic complications. Adequate oxygenation through regular exercise and cardiovascular health further supports this energy production system (Reece et al., 2020).</w:t>
      </w:r>
    </w:p>
    <w:p w14:paraId="06467A1E" w14:textId="280D599F"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58C77AEF"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d) Importance of Recording and Tracking Blood Sugar Levels</w:t>
      </w:r>
    </w:p>
    <w:p w14:paraId="77C3F8D7" w14:textId="4914E60D" w:rsidR="0044681D" w:rsidRPr="0044681D" w:rsidRDefault="00902C9E"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Self-</w:t>
      </w:r>
      <w:r w:rsidR="00B626C6">
        <w:rPr>
          <w:rFonts w:ascii="Times New Roman" w:eastAsia="Times New Roman" w:hAnsi="Times New Roman" w:cs="Times New Roman"/>
          <w:kern w:val="0"/>
          <w:lang w:eastAsia="en-GB"/>
          <w14:ligatures w14:val="none"/>
        </w:rPr>
        <w:t>monitoring of</w:t>
      </w:r>
      <w:r>
        <w:rPr>
          <w:rFonts w:ascii="Times New Roman" w:eastAsia="Times New Roman" w:hAnsi="Times New Roman" w:cs="Times New Roman"/>
          <w:kern w:val="0"/>
          <w:lang w:eastAsia="en-GB"/>
          <w14:ligatures w14:val="none"/>
        </w:rPr>
        <w:t xml:space="preserve"> blood </w:t>
      </w:r>
      <w:r w:rsidR="00FA7377">
        <w:rPr>
          <w:rFonts w:ascii="Times New Roman" w:eastAsia="Times New Roman" w:hAnsi="Times New Roman" w:cs="Times New Roman"/>
          <w:kern w:val="0"/>
          <w:lang w:eastAsia="en-GB"/>
          <w14:ligatures w14:val="none"/>
        </w:rPr>
        <w:t xml:space="preserve">glucose (SMBG) and </w:t>
      </w:r>
      <w:r w:rsidR="00B626C6">
        <w:rPr>
          <w:rFonts w:ascii="Times New Roman" w:eastAsia="Times New Roman" w:hAnsi="Times New Roman" w:cs="Times New Roman"/>
          <w:kern w:val="0"/>
          <w:lang w:eastAsia="en-GB"/>
          <w14:ligatures w14:val="none"/>
        </w:rPr>
        <w:t>Continuous</w:t>
      </w:r>
      <w:r w:rsidR="007C46A3">
        <w:rPr>
          <w:rFonts w:ascii="Times New Roman" w:eastAsia="Times New Roman" w:hAnsi="Times New Roman" w:cs="Times New Roman"/>
          <w:kern w:val="0"/>
          <w:lang w:eastAsia="en-GB"/>
          <w14:ligatures w14:val="none"/>
        </w:rPr>
        <w:t xml:space="preserve"> glucose monitoring (</w:t>
      </w:r>
      <w:r w:rsidR="00B626C6">
        <w:rPr>
          <w:rFonts w:ascii="Times New Roman" w:eastAsia="Times New Roman" w:hAnsi="Times New Roman" w:cs="Times New Roman"/>
          <w:kern w:val="0"/>
          <w:lang w:eastAsia="en-GB"/>
          <w14:ligatures w14:val="none"/>
        </w:rPr>
        <w:t>CGM)</w:t>
      </w:r>
      <w:r w:rsidR="0044681D" w:rsidRPr="0044681D">
        <w:rPr>
          <w:rFonts w:ascii="Times New Roman" w:eastAsia="Times New Roman" w:hAnsi="Times New Roman" w:cs="Times New Roman"/>
          <w:kern w:val="0"/>
          <w:lang w:eastAsia="en-GB"/>
          <w14:ligatures w14:val="none"/>
        </w:rPr>
        <w:t xml:space="preserve"> are essential tools in the self-management of Type 2 diabetes. These methods enable patients to track their glucose levels throughout the day and identify how diet, exercise, stress, and medication affect their readings (NICE, 2023).</w:t>
      </w:r>
    </w:p>
    <w:p w14:paraId="342E3E07" w14:textId="087E7D49"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Monitoring helps patients and healthcare professionals identify </w:t>
      </w:r>
      <w:r w:rsidR="00506845">
        <w:rPr>
          <w:rFonts w:ascii="Times New Roman" w:eastAsia="Times New Roman" w:hAnsi="Times New Roman" w:cs="Times New Roman"/>
          <w:kern w:val="0"/>
          <w:lang w:eastAsia="en-GB"/>
          <w14:ligatures w14:val="none"/>
        </w:rPr>
        <w:t xml:space="preserve">patterns and </w:t>
      </w:r>
      <w:r w:rsidR="00DC2887">
        <w:rPr>
          <w:rFonts w:ascii="Times New Roman" w:eastAsia="Times New Roman" w:hAnsi="Times New Roman" w:cs="Times New Roman"/>
          <w:kern w:val="0"/>
          <w:lang w:eastAsia="en-GB"/>
          <w14:ligatures w14:val="none"/>
        </w:rPr>
        <w:t>trends</w:t>
      </w:r>
      <w:r w:rsidRPr="0044681D">
        <w:rPr>
          <w:rFonts w:ascii="Times New Roman" w:eastAsia="Times New Roman" w:hAnsi="Times New Roman" w:cs="Times New Roman"/>
          <w:kern w:val="0"/>
          <w:lang w:eastAsia="en-GB"/>
          <w14:ligatures w14:val="none"/>
        </w:rPr>
        <w:t xml:space="preserve">—for example, if glucose spikes occur after certain meals or during periods of stress. This information allows for informed adjustments to diet, activity, or medication. According to </w:t>
      </w:r>
      <w:r w:rsidR="00DC2887">
        <w:rPr>
          <w:rFonts w:ascii="Times New Roman" w:eastAsia="Times New Roman" w:hAnsi="Times New Roman" w:cs="Times New Roman"/>
          <w:kern w:val="0"/>
          <w:lang w:eastAsia="en-GB"/>
          <w14:ligatures w14:val="none"/>
        </w:rPr>
        <w:t>Dia</w:t>
      </w:r>
      <w:r w:rsidR="007630E2">
        <w:rPr>
          <w:rFonts w:ascii="Times New Roman" w:eastAsia="Times New Roman" w:hAnsi="Times New Roman" w:cs="Times New Roman"/>
          <w:kern w:val="0"/>
          <w:lang w:eastAsia="en-GB"/>
          <w14:ligatures w14:val="none"/>
        </w:rPr>
        <w:t>bates UK (2024)</w:t>
      </w:r>
      <w:r w:rsidRPr="0044681D">
        <w:rPr>
          <w:rFonts w:ascii="Times New Roman" w:eastAsia="Times New Roman" w:hAnsi="Times New Roman" w:cs="Times New Roman"/>
          <w:kern w:val="0"/>
          <w:lang w:eastAsia="en-GB"/>
          <w14:ligatures w14:val="none"/>
        </w:rPr>
        <w:t>, patients who record their blood glucose regularly are more likely to achieve target HbA1c levels and experience fewer hypoglycaemic episodes.</w:t>
      </w:r>
    </w:p>
    <w:p w14:paraId="6D0E5800" w14:textId="22F4EB1C"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The </w:t>
      </w:r>
      <w:r w:rsidR="00AE42FA">
        <w:rPr>
          <w:rFonts w:ascii="Times New Roman" w:eastAsia="Times New Roman" w:hAnsi="Times New Roman" w:cs="Times New Roman"/>
          <w:kern w:val="0"/>
          <w:lang w:eastAsia="en-GB"/>
          <w14:ligatures w14:val="none"/>
        </w:rPr>
        <w:t>NICE (</w:t>
      </w:r>
      <w:r w:rsidR="003609A2">
        <w:rPr>
          <w:rFonts w:ascii="Times New Roman" w:eastAsia="Times New Roman" w:hAnsi="Times New Roman" w:cs="Times New Roman"/>
          <w:kern w:val="0"/>
          <w:lang w:eastAsia="en-GB"/>
          <w14:ligatures w14:val="none"/>
        </w:rPr>
        <w:t>2023)</w:t>
      </w:r>
      <w:r w:rsidR="003609A2" w:rsidRPr="0044681D">
        <w:rPr>
          <w:rFonts w:ascii="Times New Roman" w:eastAsia="Times New Roman" w:hAnsi="Times New Roman" w:cs="Times New Roman"/>
          <w:kern w:val="0"/>
          <w:lang w:eastAsia="en-GB"/>
          <w14:ligatures w14:val="none"/>
        </w:rPr>
        <w:t xml:space="preserve"> guidelines</w:t>
      </w:r>
      <w:r w:rsidRPr="0044681D">
        <w:rPr>
          <w:rFonts w:ascii="Times New Roman" w:eastAsia="Times New Roman" w:hAnsi="Times New Roman" w:cs="Times New Roman"/>
          <w:kern w:val="0"/>
          <w:lang w:eastAsia="en-GB"/>
          <w14:ligatures w14:val="none"/>
        </w:rPr>
        <w:t xml:space="preserve"> recommend structured diabetes education programmes such as </w:t>
      </w:r>
      <w:r w:rsidR="00233FD4">
        <w:rPr>
          <w:rFonts w:ascii="Times New Roman" w:eastAsia="Times New Roman" w:hAnsi="Times New Roman" w:cs="Times New Roman"/>
          <w:kern w:val="0"/>
          <w:lang w:eastAsia="en-GB"/>
          <w14:ligatures w14:val="none"/>
        </w:rPr>
        <w:t xml:space="preserve">DESMOND (Diabates Education </w:t>
      </w:r>
      <w:r w:rsidR="0090297B">
        <w:rPr>
          <w:rFonts w:ascii="Times New Roman" w:eastAsia="Times New Roman" w:hAnsi="Times New Roman" w:cs="Times New Roman"/>
          <w:kern w:val="0"/>
          <w:lang w:eastAsia="en-GB"/>
          <w14:ligatures w14:val="none"/>
        </w:rPr>
        <w:t xml:space="preserve">and </w:t>
      </w:r>
      <w:r w:rsidR="00BF60BE">
        <w:rPr>
          <w:rFonts w:ascii="Times New Roman" w:eastAsia="Times New Roman" w:hAnsi="Times New Roman" w:cs="Times New Roman"/>
          <w:kern w:val="0"/>
          <w:lang w:eastAsia="en-GB"/>
          <w14:ligatures w14:val="none"/>
        </w:rPr>
        <w:t>Self-Management</w:t>
      </w:r>
      <w:r w:rsidR="0090297B">
        <w:rPr>
          <w:rFonts w:ascii="Times New Roman" w:eastAsia="Times New Roman" w:hAnsi="Times New Roman" w:cs="Times New Roman"/>
          <w:kern w:val="0"/>
          <w:lang w:eastAsia="en-GB"/>
          <w14:ligatures w14:val="none"/>
        </w:rPr>
        <w:t xml:space="preserve"> for Ongoing and Newly </w:t>
      </w:r>
      <w:r w:rsidR="00BF60BE">
        <w:rPr>
          <w:rFonts w:ascii="Times New Roman" w:eastAsia="Times New Roman" w:hAnsi="Times New Roman" w:cs="Times New Roman"/>
          <w:kern w:val="0"/>
          <w:lang w:eastAsia="en-GB"/>
          <w14:ligatures w14:val="none"/>
        </w:rPr>
        <w:t>Diagnosed)</w:t>
      </w:r>
      <w:r w:rsidRPr="0044681D">
        <w:rPr>
          <w:rFonts w:ascii="Times New Roman" w:eastAsia="Times New Roman" w:hAnsi="Times New Roman" w:cs="Times New Roman"/>
          <w:kern w:val="0"/>
          <w:lang w:eastAsia="en-GB"/>
          <w14:ligatures w14:val="none"/>
        </w:rPr>
        <w:t>, which emphasise the importance of regular monitoring and understanding readings.</w:t>
      </w:r>
    </w:p>
    <w:p w14:paraId="5A52E073" w14:textId="0D0768E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Recording results also promotes </w:t>
      </w:r>
      <w:r w:rsidR="003609A2">
        <w:rPr>
          <w:rFonts w:ascii="Times New Roman" w:eastAsia="Times New Roman" w:hAnsi="Times New Roman" w:cs="Times New Roman"/>
          <w:kern w:val="0"/>
          <w:lang w:eastAsia="en-GB"/>
          <w14:ligatures w14:val="none"/>
        </w:rPr>
        <w:t>self-efficiency</w:t>
      </w:r>
      <w:r w:rsidRPr="0044681D">
        <w:rPr>
          <w:rFonts w:ascii="Times New Roman" w:eastAsia="Times New Roman" w:hAnsi="Times New Roman" w:cs="Times New Roman"/>
          <w:kern w:val="0"/>
          <w:lang w:eastAsia="en-GB"/>
          <w14:ligatures w14:val="none"/>
        </w:rPr>
        <w:t>—patients become more engaged and empowered in their care (Funnell and Anderson, 2021). Moreover, sharing glucose data with healthcare professionals supports collaborative decision-making, enabling tailored medication plans and lifestyle advice.</w:t>
      </w:r>
    </w:p>
    <w:p w14:paraId="38797DB6" w14:textId="52379B94"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Inadequate monitoring can lead to unrecognised hyperglycaemia or hypoglycaemia, both of which can be dangerous. Regular tracking, therefore, is fundamental for the </w:t>
      </w:r>
      <w:r w:rsidR="003609A2">
        <w:rPr>
          <w:rFonts w:ascii="Times New Roman" w:eastAsia="Times New Roman" w:hAnsi="Times New Roman" w:cs="Times New Roman"/>
          <w:kern w:val="0"/>
          <w:lang w:eastAsia="en-GB"/>
          <w14:ligatures w14:val="none"/>
        </w:rPr>
        <w:t>safe and effective management</w:t>
      </w:r>
      <w:r w:rsidRPr="0044681D">
        <w:rPr>
          <w:rFonts w:ascii="Times New Roman" w:eastAsia="Times New Roman" w:hAnsi="Times New Roman" w:cs="Times New Roman"/>
          <w:kern w:val="0"/>
          <w:lang w:eastAsia="en-GB"/>
          <w14:ligatures w14:val="none"/>
        </w:rPr>
        <w:t xml:space="preserve"> of Type 2 diabetes and for reducing long-term complications (ADA, 2023).</w:t>
      </w:r>
    </w:p>
    <w:p w14:paraId="27D8721B" w14:textId="2333F2A5"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359E381F"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e) Evidence-Based Lifestyle Recommendations</w:t>
      </w:r>
    </w:p>
    <w:p w14:paraId="11DBCD97"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lastRenderedPageBreak/>
        <w:t>Lifestyle modification remains the cornerstone of Type 2 diabetes management and prevention. Evidence from large clinical trials demonstrates that lifestyle interventions can significantly improve glycaemic control and overall health outcomes (Knowler et al., 2002; UKPDS, 1998).</w:t>
      </w:r>
    </w:p>
    <w:p w14:paraId="386AC28B" w14:textId="77777777" w:rsidR="0044681D" w:rsidRPr="0044681D" w:rsidRDefault="0044681D" w:rsidP="0044681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4681D">
        <w:rPr>
          <w:rFonts w:ascii="Times New Roman" w:eastAsia="Times New Roman" w:hAnsi="Times New Roman" w:cs="Times New Roman"/>
          <w:b/>
          <w:bCs/>
          <w:kern w:val="0"/>
          <w:lang w:eastAsia="en-GB"/>
          <w14:ligatures w14:val="none"/>
        </w:rPr>
        <w:t>1. Diet</w:t>
      </w:r>
    </w:p>
    <w:p w14:paraId="72B61A2C" w14:textId="5945DD6D"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Dietary management focuses on maintaining balanced nutrition, managing weight, and stabilising blood glucose. The </w:t>
      </w:r>
      <w:r w:rsidR="005B716B">
        <w:rPr>
          <w:rFonts w:ascii="Times New Roman" w:eastAsia="Times New Roman" w:hAnsi="Times New Roman" w:cs="Times New Roman"/>
          <w:kern w:val="0"/>
          <w:lang w:eastAsia="en-GB"/>
          <w14:ligatures w14:val="none"/>
        </w:rPr>
        <w:t>M</w:t>
      </w:r>
      <w:r w:rsidR="00993073">
        <w:rPr>
          <w:rFonts w:ascii="Times New Roman" w:eastAsia="Times New Roman" w:hAnsi="Times New Roman" w:cs="Times New Roman"/>
          <w:kern w:val="0"/>
          <w:lang w:eastAsia="en-GB"/>
          <w14:ligatures w14:val="none"/>
        </w:rPr>
        <w:t>editerranean</w:t>
      </w:r>
      <w:r w:rsidRPr="0044681D">
        <w:rPr>
          <w:rFonts w:ascii="Times New Roman" w:eastAsia="Times New Roman" w:hAnsi="Times New Roman" w:cs="Times New Roman"/>
          <w:kern w:val="0"/>
          <w:lang w:eastAsia="en-GB"/>
          <w14:ligatures w14:val="none"/>
        </w:rPr>
        <w:t xml:space="preserve"> and </w:t>
      </w:r>
      <w:r w:rsidR="00993073">
        <w:rPr>
          <w:rFonts w:ascii="Times New Roman" w:eastAsia="Times New Roman" w:hAnsi="Times New Roman" w:cs="Times New Roman"/>
          <w:kern w:val="0"/>
          <w:lang w:eastAsia="en-GB"/>
          <w14:ligatures w14:val="none"/>
        </w:rPr>
        <w:t>DASH</w:t>
      </w:r>
      <w:r w:rsidRPr="0044681D">
        <w:rPr>
          <w:rFonts w:ascii="Times New Roman" w:eastAsia="Times New Roman" w:hAnsi="Times New Roman" w:cs="Times New Roman"/>
          <w:kern w:val="0"/>
          <w:lang w:eastAsia="en-GB"/>
          <w14:ligatures w14:val="none"/>
        </w:rPr>
        <w:t xml:space="preserve"> (Dietary Approaches to Stop Hypertension) diets—rich in whole grains, fruit, vegetables, legumes, lean proteins, and healthy fats—have shown improvements in glycaemic control and cardiovascular outcomes (Esposito et al., 2009).</w:t>
      </w:r>
    </w:p>
    <w:p w14:paraId="4F16F55B"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Patients are encouraged to:</w:t>
      </w:r>
    </w:p>
    <w:p w14:paraId="3ECF8923" w14:textId="77777777" w:rsidR="0044681D" w:rsidRPr="0044681D" w:rsidRDefault="0044681D" w:rsidP="0044681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Limit refined carbohydrates and sugary drinks.</w:t>
      </w:r>
    </w:p>
    <w:p w14:paraId="3ACCDED4" w14:textId="77777777" w:rsidR="0044681D" w:rsidRPr="0044681D" w:rsidRDefault="0044681D" w:rsidP="0044681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Increase fibre intake (30 g/day recommended).</w:t>
      </w:r>
    </w:p>
    <w:p w14:paraId="608D400F" w14:textId="77777777" w:rsidR="0044681D" w:rsidRPr="0044681D" w:rsidRDefault="0044681D" w:rsidP="0044681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Choose complex carbohydrates with a low glycaemic index.</w:t>
      </w:r>
    </w:p>
    <w:p w14:paraId="25DF5F82" w14:textId="77777777" w:rsidR="0044681D" w:rsidRPr="0044681D" w:rsidRDefault="0044681D" w:rsidP="0044681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Reduce saturated fats and processed foods.</w:t>
      </w:r>
    </w:p>
    <w:p w14:paraId="055FD2D3" w14:textId="77777777" w:rsidR="0044681D" w:rsidRPr="0044681D" w:rsidRDefault="0044681D" w:rsidP="0044681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Control portion sizes and aim for gradual, sustainable weight loss.</w:t>
      </w:r>
    </w:p>
    <w:p w14:paraId="48279EE6"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A 5–10% reduction in body weight can significantly improve insulin sensitivity and glycaemic control (NICE, 2023). Dietitians can provide personalised meal plans and support carbohydrate counting to align insulin or medication doses with food intake.</w:t>
      </w:r>
    </w:p>
    <w:p w14:paraId="3307CAE0" w14:textId="77777777" w:rsidR="0044681D" w:rsidRPr="0044681D" w:rsidRDefault="0044681D" w:rsidP="0044681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4681D">
        <w:rPr>
          <w:rFonts w:ascii="Times New Roman" w:eastAsia="Times New Roman" w:hAnsi="Times New Roman" w:cs="Times New Roman"/>
          <w:b/>
          <w:bCs/>
          <w:kern w:val="0"/>
          <w:lang w:eastAsia="en-GB"/>
          <w14:ligatures w14:val="none"/>
        </w:rPr>
        <w:t>2. Physical Activity</w:t>
      </w:r>
    </w:p>
    <w:p w14:paraId="4CFECDBD" w14:textId="6208194B"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Regular physical activity enhances insulin sensitivity, promotes glucose uptake, and supports cardiovascular health. NICE (2023) recommends at least </w:t>
      </w:r>
      <w:r w:rsidR="004D7C21">
        <w:rPr>
          <w:rFonts w:ascii="Times New Roman" w:eastAsia="Times New Roman" w:hAnsi="Times New Roman" w:cs="Times New Roman"/>
          <w:kern w:val="0"/>
          <w:lang w:eastAsia="en-GB"/>
          <w14:ligatures w14:val="none"/>
        </w:rPr>
        <w:t xml:space="preserve">150 </w:t>
      </w:r>
      <w:r w:rsidR="006A67DF">
        <w:rPr>
          <w:rFonts w:ascii="Times New Roman" w:eastAsia="Times New Roman" w:hAnsi="Times New Roman" w:cs="Times New Roman"/>
          <w:kern w:val="0"/>
          <w:lang w:eastAsia="en-GB"/>
          <w14:ligatures w14:val="none"/>
        </w:rPr>
        <w:t>minutes</w:t>
      </w:r>
      <w:r w:rsidR="00A4267F">
        <w:rPr>
          <w:rFonts w:ascii="Times New Roman" w:eastAsia="Times New Roman" w:hAnsi="Times New Roman" w:cs="Times New Roman"/>
          <w:kern w:val="0"/>
          <w:lang w:eastAsia="en-GB"/>
          <w14:ligatures w14:val="none"/>
        </w:rPr>
        <w:t xml:space="preserve"> of moderate intensity per week</w:t>
      </w:r>
      <w:r w:rsidRPr="0044681D">
        <w:rPr>
          <w:rFonts w:ascii="Times New Roman" w:eastAsia="Times New Roman" w:hAnsi="Times New Roman" w:cs="Times New Roman"/>
          <w:kern w:val="0"/>
          <w:lang w:eastAsia="en-GB"/>
          <w14:ligatures w14:val="none"/>
        </w:rPr>
        <w:t>, such as brisk walking, swimming, or cycling, plus strength-training sessions twice weekly.</w:t>
      </w:r>
    </w:p>
    <w:p w14:paraId="6627A7BF"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The </w:t>
      </w:r>
      <w:r w:rsidRPr="0044681D">
        <w:rPr>
          <w:rFonts w:ascii="Times New Roman" w:eastAsia="Times New Roman" w:hAnsi="Times New Roman" w:cs="Times New Roman"/>
          <w:b/>
          <w:bCs/>
          <w:kern w:val="0"/>
          <w:lang w:eastAsia="en-GB"/>
          <w14:ligatures w14:val="none"/>
        </w:rPr>
        <w:t>Diabetes Prevention Program (Knowler et al., 2002)</w:t>
      </w:r>
      <w:r w:rsidRPr="0044681D">
        <w:rPr>
          <w:rFonts w:ascii="Times New Roman" w:eastAsia="Times New Roman" w:hAnsi="Times New Roman" w:cs="Times New Roman"/>
          <w:kern w:val="0"/>
          <w:lang w:eastAsia="en-GB"/>
          <w14:ligatures w14:val="none"/>
        </w:rPr>
        <w:t xml:space="preserve"> found that lifestyle intervention (diet + exercise) reduced the incidence of Type 2 diabetes by 58% among at-risk adults, outperforming metformin alone. Encouraging small, realistic goals—such as walking after meals or using stairs—can increase adherence.</w:t>
      </w:r>
    </w:p>
    <w:p w14:paraId="1A5B2D4B" w14:textId="77777777" w:rsidR="0044681D" w:rsidRPr="0044681D" w:rsidRDefault="0044681D" w:rsidP="0044681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4681D">
        <w:rPr>
          <w:rFonts w:ascii="Times New Roman" w:eastAsia="Times New Roman" w:hAnsi="Times New Roman" w:cs="Times New Roman"/>
          <w:b/>
          <w:bCs/>
          <w:kern w:val="0"/>
          <w:lang w:eastAsia="en-GB"/>
          <w14:ligatures w14:val="none"/>
        </w:rPr>
        <w:t>3. Smoking Cessation</w:t>
      </w:r>
    </w:p>
    <w:p w14:paraId="36E56718"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Smoking exacerbates insulin resistance and increases the risk of cardiovascular complications and microvascular damage (WHO, 2024). Smoking cessation support, including behavioural counselling and nicotine replacement therapy, should be integral to diabetes care.</w:t>
      </w:r>
    </w:p>
    <w:p w14:paraId="19B0DD30" w14:textId="77777777" w:rsidR="0044681D" w:rsidRPr="0044681D" w:rsidRDefault="0044681D" w:rsidP="0044681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4681D">
        <w:rPr>
          <w:rFonts w:ascii="Times New Roman" w:eastAsia="Times New Roman" w:hAnsi="Times New Roman" w:cs="Times New Roman"/>
          <w:b/>
          <w:bCs/>
          <w:kern w:val="0"/>
          <w:lang w:eastAsia="en-GB"/>
          <w14:ligatures w14:val="none"/>
        </w:rPr>
        <w:t>4. Alcohol</w:t>
      </w:r>
    </w:p>
    <w:p w14:paraId="31222945"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Excess alcohol consumption can destabilise glucose control and contribute to weight gain. Patients should follow national guidance—no more than 14 units per week, spread evenly, with alcohol-free days (NHS, 2024).</w:t>
      </w:r>
    </w:p>
    <w:p w14:paraId="069603B4" w14:textId="77777777" w:rsidR="0044681D" w:rsidRPr="0044681D" w:rsidRDefault="0044681D" w:rsidP="0044681D">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4681D">
        <w:rPr>
          <w:rFonts w:ascii="Times New Roman" w:eastAsia="Times New Roman" w:hAnsi="Times New Roman" w:cs="Times New Roman"/>
          <w:b/>
          <w:bCs/>
          <w:kern w:val="0"/>
          <w:lang w:eastAsia="en-GB"/>
          <w14:ligatures w14:val="none"/>
        </w:rPr>
        <w:t>5. Stress Management and Sleep</w:t>
      </w:r>
    </w:p>
    <w:p w14:paraId="4418B661"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lastRenderedPageBreak/>
        <w:t>Chronic stress raises cortisol and adrenaline, promoting insulin resistance and hyperglycaemia. Poor sleep quality also impairs glucose metabolism (Sherwood, 2020). Techniques such as mindfulness, yoga, and cognitive behavioural therapy (CBT) can improve emotional well-being and glycaemic outcomes (NICE, 2022).</w:t>
      </w:r>
    </w:p>
    <w:p w14:paraId="0319849A"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Collectively, these lifestyle modifications empower individuals to manage their diabetes proactively. When combined with pharmacological therapy and regular monitoring, they form a holistic and sustainable management plan (ADA, 2023).</w:t>
      </w:r>
    </w:p>
    <w:p w14:paraId="0500C7DD" w14:textId="1AF05B2B"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0A001A72"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f) Conclusion</w:t>
      </w:r>
    </w:p>
    <w:p w14:paraId="41033184"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Type 2 diabetes is a prevalent, multifactorial condition that requires a holistic management approach. Understanding how the body regulates blood glucose, how energy is produced, and how lifestyle factors influence health outcomes allows patients to take an active role in their care.</w:t>
      </w:r>
    </w:p>
    <w:p w14:paraId="328F62AF"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Monitoring and tracking blood sugar levels are fundamental for maintaining safe glucose ranges and preventing complications. Evidence consistently supports that lifestyle changes—especially improved diet, regular exercise, smoking cessation, and stress management—significantly enhance glycaemic control and overall well-being.</w:t>
      </w:r>
    </w:p>
    <w:p w14:paraId="41C99C54"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As a practice nurse, providing patients with education, support, and encouragement is vital to empower self-management. Collaboration between patients and healthcare teams leads to better adherence, improved outcomes, and reduced healthcare costs. Ultimately, effective diabetes education fosters patient autonomy, reduces complications, and improves quality of life.</w:t>
      </w:r>
    </w:p>
    <w:p w14:paraId="6E7F2AAA" w14:textId="11E62F14" w:rsidR="0044681D" w:rsidRPr="0044681D" w:rsidRDefault="0044681D" w:rsidP="0044681D">
      <w:pPr>
        <w:spacing w:after="0" w:line="240" w:lineRule="auto"/>
        <w:rPr>
          <w:rFonts w:ascii="Times New Roman" w:eastAsia="Times New Roman" w:hAnsi="Times New Roman" w:cs="Times New Roman"/>
          <w:kern w:val="0"/>
          <w:lang w:eastAsia="en-GB"/>
          <w14:ligatures w14:val="none"/>
        </w:rPr>
      </w:pPr>
    </w:p>
    <w:p w14:paraId="1F94A808" w14:textId="77777777" w:rsidR="0044681D" w:rsidRPr="0044681D" w:rsidRDefault="0044681D" w:rsidP="0044681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1D">
        <w:rPr>
          <w:rFonts w:ascii="Times New Roman" w:eastAsia="Times New Roman" w:hAnsi="Times New Roman" w:cs="Times New Roman"/>
          <w:b/>
          <w:bCs/>
          <w:kern w:val="0"/>
          <w:sz w:val="27"/>
          <w:szCs w:val="27"/>
          <w:lang w:eastAsia="en-GB"/>
          <w14:ligatures w14:val="none"/>
        </w:rPr>
        <w:t>g) Reference List</w:t>
      </w:r>
    </w:p>
    <w:p w14:paraId="24FF0084"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American Diabetes Association (ADA) (2023) </w:t>
      </w:r>
      <w:r w:rsidRPr="0044681D">
        <w:rPr>
          <w:rFonts w:ascii="Times New Roman" w:eastAsia="Times New Roman" w:hAnsi="Times New Roman" w:cs="Times New Roman"/>
          <w:i/>
          <w:iCs/>
          <w:kern w:val="0"/>
          <w:lang w:eastAsia="en-GB"/>
          <w14:ligatures w14:val="none"/>
        </w:rPr>
        <w:t>Standards of Medical Care in Diabetes—2023.</w:t>
      </w:r>
      <w:r w:rsidRPr="0044681D">
        <w:rPr>
          <w:rFonts w:ascii="Times New Roman" w:eastAsia="Times New Roman" w:hAnsi="Times New Roman" w:cs="Times New Roman"/>
          <w:kern w:val="0"/>
          <w:lang w:eastAsia="en-GB"/>
          <w14:ligatures w14:val="none"/>
        </w:rPr>
        <w:t xml:space="preserve"> </w:t>
      </w:r>
      <w:r w:rsidRPr="0044681D">
        <w:rPr>
          <w:rFonts w:ascii="Times New Roman" w:eastAsia="Times New Roman" w:hAnsi="Times New Roman" w:cs="Times New Roman"/>
          <w:i/>
          <w:iCs/>
          <w:kern w:val="0"/>
          <w:lang w:eastAsia="en-GB"/>
          <w14:ligatures w14:val="none"/>
        </w:rPr>
        <w:t>Diabetes Care</w:t>
      </w:r>
      <w:r w:rsidRPr="0044681D">
        <w:rPr>
          <w:rFonts w:ascii="Times New Roman" w:eastAsia="Times New Roman" w:hAnsi="Times New Roman" w:cs="Times New Roman"/>
          <w:kern w:val="0"/>
          <w:lang w:eastAsia="en-GB"/>
          <w14:ligatures w14:val="none"/>
        </w:rPr>
        <w:t>, 46(Suppl. 1), pp. S1–S290.</w:t>
      </w:r>
    </w:p>
    <w:p w14:paraId="65C397F9"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Diabetes UK (2024) </w:t>
      </w:r>
      <w:r w:rsidRPr="0044681D">
        <w:rPr>
          <w:rFonts w:ascii="Times New Roman" w:eastAsia="Times New Roman" w:hAnsi="Times New Roman" w:cs="Times New Roman"/>
          <w:i/>
          <w:iCs/>
          <w:kern w:val="0"/>
          <w:lang w:eastAsia="en-GB"/>
          <w14:ligatures w14:val="none"/>
        </w:rPr>
        <w:t>Type 2 Diabetes: Facts and Guidance.</w:t>
      </w:r>
      <w:r w:rsidRPr="0044681D">
        <w:rPr>
          <w:rFonts w:ascii="Times New Roman" w:eastAsia="Times New Roman" w:hAnsi="Times New Roman" w:cs="Times New Roman"/>
          <w:kern w:val="0"/>
          <w:lang w:eastAsia="en-GB"/>
          <w14:ligatures w14:val="none"/>
        </w:rPr>
        <w:t xml:space="preserve"> Available at: https://www.diabetes.org.uk (Accessed: 20 October 2025).</w:t>
      </w:r>
    </w:p>
    <w:p w14:paraId="1BAA2B5D"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Esposito, K. et al. (2009) ‘Effect of a Mediterranean-style diet on endothelial dysfunction and markers of vascular inflammation in the metabolic syndrome’, </w:t>
      </w:r>
      <w:r w:rsidRPr="0044681D">
        <w:rPr>
          <w:rFonts w:ascii="Times New Roman" w:eastAsia="Times New Roman" w:hAnsi="Times New Roman" w:cs="Times New Roman"/>
          <w:i/>
          <w:iCs/>
          <w:kern w:val="0"/>
          <w:lang w:eastAsia="en-GB"/>
          <w14:ligatures w14:val="none"/>
        </w:rPr>
        <w:t>JAMA</w:t>
      </w:r>
      <w:r w:rsidRPr="0044681D">
        <w:rPr>
          <w:rFonts w:ascii="Times New Roman" w:eastAsia="Times New Roman" w:hAnsi="Times New Roman" w:cs="Times New Roman"/>
          <w:kern w:val="0"/>
          <w:lang w:eastAsia="en-GB"/>
          <w14:ligatures w14:val="none"/>
        </w:rPr>
        <w:t>, 292(12), pp. 1440–1446.</w:t>
      </w:r>
    </w:p>
    <w:p w14:paraId="6A4E4495"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Funnell, M.M. and Anderson, R.M. (2021) ‘Empowerment and self-management of diabetes’, </w:t>
      </w:r>
      <w:r w:rsidRPr="0044681D">
        <w:rPr>
          <w:rFonts w:ascii="Times New Roman" w:eastAsia="Times New Roman" w:hAnsi="Times New Roman" w:cs="Times New Roman"/>
          <w:i/>
          <w:iCs/>
          <w:kern w:val="0"/>
          <w:lang w:eastAsia="en-GB"/>
          <w14:ligatures w14:val="none"/>
        </w:rPr>
        <w:t>Clinical Diabetes</w:t>
      </w:r>
      <w:r w:rsidRPr="0044681D">
        <w:rPr>
          <w:rFonts w:ascii="Times New Roman" w:eastAsia="Times New Roman" w:hAnsi="Times New Roman" w:cs="Times New Roman"/>
          <w:kern w:val="0"/>
          <w:lang w:eastAsia="en-GB"/>
          <w14:ligatures w14:val="none"/>
        </w:rPr>
        <w:t>, 39(3), pp. 255–260.</w:t>
      </w:r>
    </w:p>
    <w:p w14:paraId="57A9F200"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Guyton, A.C. and Hall, J.E. (2021) </w:t>
      </w:r>
      <w:r w:rsidRPr="0044681D">
        <w:rPr>
          <w:rFonts w:ascii="Times New Roman" w:eastAsia="Times New Roman" w:hAnsi="Times New Roman" w:cs="Times New Roman"/>
          <w:i/>
          <w:iCs/>
          <w:kern w:val="0"/>
          <w:lang w:eastAsia="en-GB"/>
          <w14:ligatures w14:val="none"/>
        </w:rPr>
        <w:t>Textbook of Medical Physiology.</w:t>
      </w:r>
      <w:r w:rsidRPr="0044681D">
        <w:rPr>
          <w:rFonts w:ascii="Times New Roman" w:eastAsia="Times New Roman" w:hAnsi="Times New Roman" w:cs="Times New Roman"/>
          <w:kern w:val="0"/>
          <w:lang w:eastAsia="en-GB"/>
          <w14:ligatures w14:val="none"/>
        </w:rPr>
        <w:t xml:space="preserve"> 14th </w:t>
      </w:r>
      <w:proofErr w:type="spellStart"/>
      <w:r w:rsidRPr="0044681D">
        <w:rPr>
          <w:rFonts w:ascii="Times New Roman" w:eastAsia="Times New Roman" w:hAnsi="Times New Roman" w:cs="Times New Roman"/>
          <w:kern w:val="0"/>
          <w:lang w:eastAsia="en-GB"/>
          <w14:ligatures w14:val="none"/>
        </w:rPr>
        <w:t>edn</w:t>
      </w:r>
      <w:proofErr w:type="spellEnd"/>
      <w:r w:rsidRPr="0044681D">
        <w:rPr>
          <w:rFonts w:ascii="Times New Roman" w:eastAsia="Times New Roman" w:hAnsi="Times New Roman" w:cs="Times New Roman"/>
          <w:kern w:val="0"/>
          <w:lang w:eastAsia="en-GB"/>
          <w14:ligatures w14:val="none"/>
        </w:rPr>
        <w:t>. Philadelphia: Elsevier.</w:t>
      </w:r>
    </w:p>
    <w:p w14:paraId="2DB5DD17"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lastRenderedPageBreak/>
        <w:t xml:space="preserve">Hall, J.E. (2021) </w:t>
      </w:r>
      <w:r w:rsidRPr="0044681D">
        <w:rPr>
          <w:rFonts w:ascii="Times New Roman" w:eastAsia="Times New Roman" w:hAnsi="Times New Roman" w:cs="Times New Roman"/>
          <w:i/>
          <w:iCs/>
          <w:kern w:val="0"/>
          <w:lang w:eastAsia="en-GB"/>
          <w14:ligatures w14:val="none"/>
        </w:rPr>
        <w:t>Guyton and Hall Textbook of Medical Physiology.</w:t>
      </w:r>
      <w:r w:rsidRPr="0044681D">
        <w:rPr>
          <w:rFonts w:ascii="Times New Roman" w:eastAsia="Times New Roman" w:hAnsi="Times New Roman" w:cs="Times New Roman"/>
          <w:kern w:val="0"/>
          <w:lang w:eastAsia="en-GB"/>
          <w14:ligatures w14:val="none"/>
        </w:rPr>
        <w:t xml:space="preserve"> 14th </w:t>
      </w:r>
      <w:proofErr w:type="spellStart"/>
      <w:r w:rsidRPr="0044681D">
        <w:rPr>
          <w:rFonts w:ascii="Times New Roman" w:eastAsia="Times New Roman" w:hAnsi="Times New Roman" w:cs="Times New Roman"/>
          <w:kern w:val="0"/>
          <w:lang w:eastAsia="en-GB"/>
          <w14:ligatures w14:val="none"/>
        </w:rPr>
        <w:t>edn</w:t>
      </w:r>
      <w:proofErr w:type="spellEnd"/>
      <w:r w:rsidRPr="0044681D">
        <w:rPr>
          <w:rFonts w:ascii="Times New Roman" w:eastAsia="Times New Roman" w:hAnsi="Times New Roman" w:cs="Times New Roman"/>
          <w:kern w:val="0"/>
          <w:lang w:eastAsia="en-GB"/>
          <w14:ligatures w14:val="none"/>
        </w:rPr>
        <w:t>. Philadelphia: Elsevier.</w:t>
      </w:r>
    </w:p>
    <w:p w14:paraId="34EF9532"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International Diabetes Federation (IDF) (2024) </w:t>
      </w:r>
      <w:r w:rsidRPr="0044681D">
        <w:rPr>
          <w:rFonts w:ascii="Times New Roman" w:eastAsia="Times New Roman" w:hAnsi="Times New Roman" w:cs="Times New Roman"/>
          <w:i/>
          <w:iCs/>
          <w:kern w:val="0"/>
          <w:lang w:eastAsia="en-GB"/>
          <w14:ligatures w14:val="none"/>
        </w:rPr>
        <w:t>IDF Diabetes Atlas.</w:t>
      </w:r>
      <w:r w:rsidRPr="0044681D">
        <w:rPr>
          <w:rFonts w:ascii="Times New Roman" w:eastAsia="Times New Roman" w:hAnsi="Times New Roman" w:cs="Times New Roman"/>
          <w:kern w:val="0"/>
          <w:lang w:eastAsia="en-GB"/>
          <w14:ligatures w14:val="none"/>
        </w:rPr>
        <w:t xml:space="preserve"> 11th </w:t>
      </w:r>
      <w:proofErr w:type="spellStart"/>
      <w:r w:rsidRPr="0044681D">
        <w:rPr>
          <w:rFonts w:ascii="Times New Roman" w:eastAsia="Times New Roman" w:hAnsi="Times New Roman" w:cs="Times New Roman"/>
          <w:kern w:val="0"/>
          <w:lang w:eastAsia="en-GB"/>
          <w14:ligatures w14:val="none"/>
        </w:rPr>
        <w:t>edn</w:t>
      </w:r>
      <w:proofErr w:type="spellEnd"/>
      <w:r w:rsidRPr="0044681D">
        <w:rPr>
          <w:rFonts w:ascii="Times New Roman" w:eastAsia="Times New Roman" w:hAnsi="Times New Roman" w:cs="Times New Roman"/>
          <w:kern w:val="0"/>
          <w:lang w:eastAsia="en-GB"/>
          <w14:ligatures w14:val="none"/>
        </w:rPr>
        <w:t>. Brussels: IDF.</w:t>
      </w:r>
    </w:p>
    <w:p w14:paraId="663B70D5"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Knowler, W.C. et al. (2002) ‘Reduction in the incidence of Type 2 diabetes with lifestyle intervention or metformin’, </w:t>
      </w:r>
      <w:r w:rsidRPr="0044681D">
        <w:rPr>
          <w:rFonts w:ascii="Times New Roman" w:eastAsia="Times New Roman" w:hAnsi="Times New Roman" w:cs="Times New Roman"/>
          <w:i/>
          <w:iCs/>
          <w:kern w:val="0"/>
          <w:lang w:eastAsia="en-GB"/>
          <w14:ligatures w14:val="none"/>
        </w:rPr>
        <w:t>New England Journal of Medicine</w:t>
      </w:r>
      <w:r w:rsidRPr="0044681D">
        <w:rPr>
          <w:rFonts w:ascii="Times New Roman" w:eastAsia="Times New Roman" w:hAnsi="Times New Roman" w:cs="Times New Roman"/>
          <w:kern w:val="0"/>
          <w:lang w:eastAsia="en-GB"/>
          <w14:ligatures w14:val="none"/>
        </w:rPr>
        <w:t>, 346(6), pp. 393–403.</w:t>
      </w:r>
    </w:p>
    <w:p w14:paraId="11649B23"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National Institute for Health and Care Excellence (NICE) (2022) </w:t>
      </w:r>
      <w:r w:rsidRPr="0044681D">
        <w:rPr>
          <w:rFonts w:ascii="Times New Roman" w:eastAsia="Times New Roman" w:hAnsi="Times New Roman" w:cs="Times New Roman"/>
          <w:i/>
          <w:iCs/>
          <w:kern w:val="0"/>
          <w:lang w:eastAsia="en-GB"/>
          <w14:ligatures w14:val="none"/>
        </w:rPr>
        <w:t>Type 2 diabetes: prevention and management of comorbidities.</w:t>
      </w:r>
      <w:r w:rsidRPr="0044681D">
        <w:rPr>
          <w:rFonts w:ascii="Times New Roman" w:eastAsia="Times New Roman" w:hAnsi="Times New Roman" w:cs="Times New Roman"/>
          <w:kern w:val="0"/>
          <w:lang w:eastAsia="en-GB"/>
          <w14:ligatures w14:val="none"/>
        </w:rPr>
        <w:t xml:space="preserve"> London: NICE.</w:t>
      </w:r>
    </w:p>
    <w:p w14:paraId="5BA03593"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National Institute for Health and Care Excellence (NICE) (2023) </w:t>
      </w:r>
      <w:r w:rsidRPr="0044681D">
        <w:rPr>
          <w:rFonts w:ascii="Times New Roman" w:eastAsia="Times New Roman" w:hAnsi="Times New Roman" w:cs="Times New Roman"/>
          <w:i/>
          <w:iCs/>
          <w:kern w:val="0"/>
          <w:lang w:eastAsia="en-GB"/>
          <w14:ligatures w14:val="none"/>
        </w:rPr>
        <w:t>Type 2 diabetes in adults: management (NG28).</w:t>
      </w:r>
      <w:r w:rsidRPr="0044681D">
        <w:rPr>
          <w:rFonts w:ascii="Times New Roman" w:eastAsia="Times New Roman" w:hAnsi="Times New Roman" w:cs="Times New Roman"/>
          <w:kern w:val="0"/>
          <w:lang w:eastAsia="en-GB"/>
          <w14:ligatures w14:val="none"/>
        </w:rPr>
        <w:t xml:space="preserve"> London: NICE.</w:t>
      </w:r>
    </w:p>
    <w:p w14:paraId="2C343A85"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NHS (2024) </w:t>
      </w:r>
      <w:r w:rsidRPr="0044681D">
        <w:rPr>
          <w:rFonts w:ascii="Times New Roman" w:eastAsia="Times New Roman" w:hAnsi="Times New Roman" w:cs="Times New Roman"/>
          <w:i/>
          <w:iCs/>
          <w:kern w:val="0"/>
          <w:lang w:eastAsia="en-GB"/>
          <w14:ligatures w14:val="none"/>
        </w:rPr>
        <w:t>Managing your diabetes.</w:t>
      </w:r>
      <w:r w:rsidRPr="0044681D">
        <w:rPr>
          <w:rFonts w:ascii="Times New Roman" w:eastAsia="Times New Roman" w:hAnsi="Times New Roman" w:cs="Times New Roman"/>
          <w:kern w:val="0"/>
          <w:lang w:eastAsia="en-GB"/>
          <w14:ligatures w14:val="none"/>
        </w:rPr>
        <w:t xml:space="preserve"> Available at: </w:t>
      </w:r>
      <w:hyperlink r:id="rId5" w:tgtFrame="_new" w:history="1">
        <w:r w:rsidRPr="0044681D">
          <w:rPr>
            <w:rFonts w:ascii="Times New Roman" w:eastAsia="Times New Roman" w:hAnsi="Times New Roman" w:cs="Times New Roman"/>
            <w:color w:val="0000FF"/>
            <w:kern w:val="0"/>
            <w:u w:val="single"/>
            <w:lang w:eastAsia="en-GB"/>
            <w14:ligatures w14:val="none"/>
          </w:rPr>
          <w:t>https://www.nhs.uk</w:t>
        </w:r>
      </w:hyperlink>
      <w:r w:rsidRPr="0044681D">
        <w:rPr>
          <w:rFonts w:ascii="Times New Roman" w:eastAsia="Times New Roman" w:hAnsi="Times New Roman" w:cs="Times New Roman"/>
          <w:kern w:val="0"/>
          <w:lang w:eastAsia="en-GB"/>
          <w14:ligatures w14:val="none"/>
        </w:rPr>
        <w:t xml:space="preserve"> (Accessed: 20 October 2025).</w:t>
      </w:r>
    </w:p>
    <w:p w14:paraId="6AB5CC4B"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Reece, J.B., Taylor, M.R. and Simon, E.J. (2020) </w:t>
      </w:r>
      <w:r w:rsidRPr="0044681D">
        <w:rPr>
          <w:rFonts w:ascii="Times New Roman" w:eastAsia="Times New Roman" w:hAnsi="Times New Roman" w:cs="Times New Roman"/>
          <w:i/>
          <w:iCs/>
          <w:kern w:val="0"/>
          <w:lang w:eastAsia="en-GB"/>
          <w14:ligatures w14:val="none"/>
        </w:rPr>
        <w:t>Biology: Concepts and Connections.</w:t>
      </w:r>
      <w:r w:rsidRPr="0044681D">
        <w:rPr>
          <w:rFonts w:ascii="Times New Roman" w:eastAsia="Times New Roman" w:hAnsi="Times New Roman" w:cs="Times New Roman"/>
          <w:kern w:val="0"/>
          <w:lang w:eastAsia="en-GB"/>
          <w14:ligatures w14:val="none"/>
        </w:rPr>
        <w:t xml:space="preserve"> 10th </w:t>
      </w:r>
      <w:proofErr w:type="spellStart"/>
      <w:r w:rsidRPr="0044681D">
        <w:rPr>
          <w:rFonts w:ascii="Times New Roman" w:eastAsia="Times New Roman" w:hAnsi="Times New Roman" w:cs="Times New Roman"/>
          <w:kern w:val="0"/>
          <w:lang w:eastAsia="en-GB"/>
          <w14:ligatures w14:val="none"/>
        </w:rPr>
        <w:t>edn</w:t>
      </w:r>
      <w:proofErr w:type="spellEnd"/>
      <w:r w:rsidRPr="0044681D">
        <w:rPr>
          <w:rFonts w:ascii="Times New Roman" w:eastAsia="Times New Roman" w:hAnsi="Times New Roman" w:cs="Times New Roman"/>
          <w:kern w:val="0"/>
          <w:lang w:eastAsia="en-GB"/>
          <w14:ligatures w14:val="none"/>
        </w:rPr>
        <w:t>. London: Pearson.</w:t>
      </w:r>
    </w:p>
    <w:p w14:paraId="5B6B3A21"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Sherwood, L. (2020) </w:t>
      </w:r>
      <w:r w:rsidRPr="0044681D">
        <w:rPr>
          <w:rFonts w:ascii="Times New Roman" w:eastAsia="Times New Roman" w:hAnsi="Times New Roman" w:cs="Times New Roman"/>
          <w:i/>
          <w:iCs/>
          <w:kern w:val="0"/>
          <w:lang w:eastAsia="en-GB"/>
          <w14:ligatures w14:val="none"/>
        </w:rPr>
        <w:t>Human Physiology: From Cells to Systems.</w:t>
      </w:r>
      <w:r w:rsidRPr="0044681D">
        <w:rPr>
          <w:rFonts w:ascii="Times New Roman" w:eastAsia="Times New Roman" w:hAnsi="Times New Roman" w:cs="Times New Roman"/>
          <w:kern w:val="0"/>
          <w:lang w:eastAsia="en-GB"/>
          <w14:ligatures w14:val="none"/>
        </w:rPr>
        <w:t xml:space="preserve"> 10th </w:t>
      </w:r>
      <w:proofErr w:type="spellStart"/>
      <w:r w:rsidRPr="0044681D">
        <w:rPr>
          <w:rFonts w:ascii="Times New Roman" w:eastAsia="Times New Roman" w:hAnsi="Times New Roman" w:cs="Times New Roman"/>
          <w:kern w:val="0"/>
          <w:lang w:eastAsia="en-GB"/>
          <w14:ligatures w14:val="none"/>
        </w:rPr>
        <w:t>edn</w:t>
      </w:r>
      <w:proofErr w:type="spellEnd"/>
      <w:r w:rsidRPr="0044681D">
        <w:rPr>
          <w:rFonts w:ascii="Times New Roman" w:eastAsia="Times New Roman" w:hAnsi="Times New Roman" w:cs="Times New Roman"/>
          <w:kern w:val="0"/>
          <w:lang w:eastAsia="en-GB"/>
          <w14:ligatures w14:val="none"/>
        </w:rPr>
        <w:t>. Boston: Cengage Learning.</w:t>
      </w:r>
    </w:p>
    <w:p w14:paraId="3BA1D882" w14:textId="5267E8FB"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UK Prospective Diabetes Study (UKPDS) (1998) ‘Intensive blood-glucose control with </w:t>
      </w:r>
      <w:r w:rsidR="00C103CB" w:rsidRPr="0044681D">
        <w:rPr>
          <w:rFonts w:ascii="Times New Roman" w:eastAsia="Times New Roman" w:hAnsi="Times New Roman" w:cs="Times New Roman"/>
          <w:kern w:val="0"/>
          <w:lang w:eastAsia="en-GB"/>
          <w14:ligatures w14:val="none"/>
        </w:rPr>
        <w:t>sulphonyl Reas</w:t>
      </w:r>
      <w:r w:rsidRPr="0044681D">
        <w:rPr>
          <w:rFonts w:ascii="Times New Roman" w:eastAsia="Times New Roman" w:hAnsi="Times New Roman" w:cs="Times New Roman"/>
          <w:kern w:val="0"/>
          <w:lang w:eastAsia="en-GB"/>
          <w14:ligatures w14:val="none"/>
        </w:rPr>
        <w:t xml:space="preserve"> or insulin compared with conventional treatment and risk of complications in patients with Type 2 diabetes’, </w:t>
      </w:r>
      <w:r w:rsidRPr="0044681D">
        <w:rPr>
          <w:rFonts w:ascii="Times New Roman" w:eastAsia="Times New Roman" w:hAnsi="Times New Roman" w:cs="Times New Roman"/>
          <w:i/>
          <w:iCs/>
          <w:kern w:val="0"/>
          <w:lang w:eastAsia="en-GB"/>
          <w14:ligatures w14:val="none"/>
        </w:rPr>
        <w:t>Lancet</w:t>
      </w:r>
      <w:r w:rsidRPr="0044681D">
        <w:rPr>
          <w:rFonts w:ascii="Times New Roman" w:eastAsia="Times New Roman" w:hAnsi="Times New Roman" w:cs="Times New Roman"/>
          <w:kern w:val="0"/>
          <w:lang w:eastAsia="en-GB"/>
          <w14:ligatures w14:val="none"/>
        </w:rPr>
        <w:t>, 352(9131), pp. 837–853.</w:t>
      </w:r>
    </w:p>
    <w:p w14:paraId="4AFBC8DF" w14:textId="77777777" w:rsidR="0044681D" w:rsidRPr="0044681D" w:rsidRDefault="0044681D" w:rsidP="0044681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1D">
        <w:rPr>
          <w:rFonts w:ascii="Times New Roman" w:eastAsia="Times New Roman" w:hAnsi="Times New Roman" w:cs="Times New Roman"/>
          <w:kern w:val="0"/>
          <w:lang w:eastAsia="en-GB"/>
          <w14:ligatures w14:val="none"/>
        </w:rPr>
        <w:t xml:space="preserve">World Health Organization (WHO) (2024) </w:t>
      </w:r>
      <w:r w:rsidRPr="0044681D">
        <w:rPr>
          <w:rFonts w:ascii="Times New Roman" w:eastAsia="Times New Roman" w:hAnsi="Times New Roman" w:cs="Times New Roman"/>
          <w:i/>
          <w:iCs/>
          <w:kern w:val="0"/>
          <w:lang w:eastAsia="en-GB"/>
          <w14:ligatures w14:val="none"/>
        </w:rPr>
        <w:t>Diabetes Fact Sheet.</w:t>
      </w:r>
      <w:r w:rsidRPr="0044681D">
        <w:rPr>
          <w:rFonts w:ascii="Times New Roman" w:eastAsia="Times New Roman" w:hAnsi="Times New Roman" w:cs="Times New Roman"/>
          <w:kern w:val="0"/>
          <w:lang w:eastAsia="en-GB"/>
          <w14:ligatures w14:val="none"/>
        </w:rPr>
        <w:t xml:space="preserve"> Geneva: WHO.</w:t>
      </w:r>
    </w:p>
    <w:p w14:paraId="6C7C3FAA" w14:textId="77777777" w:rsidR="0044681D" w:rsidRDefault="0044681D"/>
    <w:sectPr w:rsidR="00446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57C9B"/>
    <w:multiLevelType w:val="multilevel"/>
    <w:tmpl w:val="3B80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177CCA"/>
    <w:multiLevelType w:val="multilevel"/>
    <w:tmpl w:val="30E05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1897992">
    <w:abstractNumId w:val="1"/>
  </w:num>
  <w:num w:numId="2" w16cid:durableId="1809741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81D"/>
    <w:rsid w:val="00233FD4"/>
    <w:rsid w:val="00251371"/>
    <w:rsid w:val="00327DDC"/>
    <w:rsid w:val="003609A2"/>
    <w:rsid w:val="003A3033"/>
    <w:rsid w:val="003F3BD6"/>
    <w:rsid w:val="00401C12"/>
    <w:rsid w:val="0044681D"/>
    <w:rsid w:val="00461DCB"/>
    <w:rsid w:val="004D7C21"/>
    <w:rsid w:val="004F3121"/>
    <w:rsid w:val="00506845"/>
    <w:rsid w:val="005A1CF7"/>
    <w:rsid w:val="005B716B"/>
    <w:rsid w:val="005C1A3A"/>
    <w:rsid w:val="00614FEA"/>
    <w:rsid w:val="00615E42"/>
    <w:rsid w:val="00684CB3"/>
    <w:rsid w:val="006A67DF"/>
    <w:rsid w:val="007431E5"/>
    <w:rsid w:val="007630E2"/>
    <w:rsid w:val="007C46A3"/>
    <w:rsid w:val="007E6544"/>
    <w:rsid w:val="008E754D"/>
    <w:rsid w:val="0090297B"/>
    <w:rsid w:val="00902C9E"/>
    <w:rsid w:val="00914AA4"/>
    <w:rsid w:val="00993073"/>
    <w:rsid w:val="00A4267F"/>
    <w:rsid w:val="00A879A3"/>
    <w:rsid w:val="00AE42FA"/>
    <w:rsid w:val="00B626C6"/>
    <w:rsid w:val="00BF60BE"/>
    <w:rsid w:val="00C103CB"/>
    <w:rsid w:val="00C107ED"/>
    <w:rsid w:val="00C55B9C"/>
    <w:rsid w:val="00DC2887"/>
    <w:rsid w:val="00EA532D"/>
    <w:rsid w:val="00EF2BD8"/>
    <w:rsid w:val="00F83479"/>
    <w:rsid w:val="00FA7377"/>
    <w:rsid w:val="00FB75B0"/>
    <w:rsid w:val="00FE5AD0"/>
    <w:rsid w:val="00FF3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D6AFE"/>
  <w15:chartTrackingRefBased/>
  <w15:docId w15:val="{0E343908-3C47-44F4-9820-4DB36D68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8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8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8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8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8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8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8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8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8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8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8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8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8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8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8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8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8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81D"/>
    <w:rPr>
      <w:rFonts w:eastAsiaTheme="majorEastAsia" w:cstheme="majorBidi"/>
      <w:color w:val="272727" w:themeColor="text1" w:themeTint="D8"/>
    </w:rPr>
  </w:style>
  <w:style w:type="paragraph" w:styleId="Title">
    <w:name w:val="Title"/>
    <w:basedOn w:val="Normal"/>
    <w:next w:val="Normal"/>
    <w:link w:val="TitleChar"/>
    <w:uiPriority w:val="10"/>
    <w:qFormat/>
    <w:rsid w:val="004468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8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8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8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81D"/>
    <w:pPr>
      <w:spacing w:before="160"/>
      <w:jc w:val="center"/>
    </w:pPr>
    <w:rPr>
      <w:i/>
      <w:iCs/>
      <w:color w:val="404040" w:themeColor="text1" w:themeTint="BF"/>
    </w:rPr>
  </w:style>
  <w:style w:type="character" w:customStyle="1" w:styleId="QuoteChar">
    <w:name w:val="Quote Char"/>
    <w:basedOn w:val="DefaultParagraphFont"/>
    <w:link w:val="Quote"/>
    <w:uiPriority w:val="29"/>
    <w:rsid w:val="0044681D"/>
    <w:rPr>
      <w:i/>
      <w:iCs/>
      <w:color w:val="404040" w:themeColor="text1" w:themeTint="BF"/>
    </w:rPr>
  </w:style>
  <w:style w:type="paragraph" w:styleId="ListParagraph">
    <w:name w:val="List Paragraph"/>
    <w:basedOn w:val="Normal"/>
    <w:uiPriority w:val="34"/>
    <w:qFormat/>
    <w:rsid w:val="0044681D"/>
    <w:pPr>
      <w:ind w:left="720"/>
      <w:contextualSpacing/>
    </w:pPr>
  </w:style>
  <w:style w:type="character" w:styleId="IntenseEmphasis">
    <w:name w:val="Intense Emphasis"/>
    <w:basedOn w:val="DefaultParagraphFont"/>
    <w:uiPriority w:val="21"/>
    <w:qFormat/>
    <w:rsid w:val="0044681D"/>
    <w:rPr>
      <w:i/>
      <w:iCs/>
      <w:color w:val="0F4761" w:themeColor="accent1" w:themeShade="BF"/>
    </w:rPr>
  </w:style>
  <w:style w:type="paragraph" w:styleId="IntenseQuote">
    <w:name w:val="Intense Quote"/>
    <w:basedOn w:val="Normal"/>
    <w:next w:val="Normal"/>
    <w:link w:val="IntenseQuoteChar"/>
    <w:uiPriority w:val="30"/>
    <w:qFormat/>
    <w:rsid w:val="004468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81D"/>
    <w:rPr>
      <w:i/>
      <w:iCs/>
      <w:color w:val="0F4761" w:themeColor="accent1" w:themeShade="BF"/>
    </w:rPr>
  </w:style>
  <w:style w:type="character" w:styleId="IntenseReference">
    <w:name w:val="Intense Reference"/>
    <w:basedOn w:val="DefaultParagraphFont"/>
    <w:uiPriority w:val="32"/>
    <w:qFormat/>
    <w:rsid w:val="004468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96</TotalTime>
  <Pages>6</Pages>
  <Words>2010</Words>
  <Characters>11463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Nafia Rinbi</dc:creator>
  <cp:keywords/>
  <dc:description/>
  <cp:lastModifiedBy>Nafia Rinbi</cp:lastModifiedBy>
  <cp:revision>38</cp:revision>
  <dcterms:created xsi:type="dcterms:W3CDTF">2025-10-23T23:28:00Z</dcterms:created>
  <dcterms:modified xsi:type="dcterms:W3CDTF">2025-10-24T21:23:00Z</dcterms:modified>
</cp:coreProperties>
</file>