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25D3F" w14:textId="77777777" w:rsidR="00E42DDC" w:rsidRDefault="00E42DDC" w:rsidP="00E42DDC"/>
    <w:p w14:paraId="738D0978" w14:textId="77777777" w:rsidR="00E42DDC" w:rsidRDefault="00E42DDC" w:rsidP="00E42DDC"/>
    <w:p w14:paraId="1D355946" w14:textId="77777777" w:rsidR="00E42DDC" w:rsidRDefault="00E42DDC" w:rsidP="00E42DDC"/>
    <w:p w14:paraId="1CC401E9" w14:textId="77777777" w:rsidR="00E42DDC" w:rsidRDefault="00E42DDC" w:rsidP="00E42DDC"/>
    <w:p w14:paraId="5A0341A8" w14:textId="77777777" w:rsidR="00E42DDC" w:rsidRDefault="00E42DDC" w:rsidP="00E42DDC"/>
    <w:p w14:paraId="333907F9" w14:textId="77777777" w:rsidR="00E42DDC" w:rsidRDefault="00E42DDC" w:rsidP="00E42DDC"/>
    <w:p w14:paraId="77A78B7D" w14:textId="77777777" w:rsidR="00E42DDC" w:rsidRDefault="00E42DDC" w:rsidP="00E42DDC"/>
    <w:p w14:paraId="07798CEC" w14:textId="0E72D89E" w:rsidR="005E72E6" w:rsidRPr="00E42DDC" w:rsidRDefault="00E42DDC">
      <w:pPr>
        <w:rPr>
          <w:b/>
          <w:bCs/>
          <w:sz w:val="36"/>
          <w:szCs w:val="32"/>
        </w:rPr>
      </w:pPr>
      <w:r w:rsidRPr="00E42DDC">
        <w:rPr>
          <w:b/>
          <w:bCs/>
          <w:sz w:val="36"/>
          <w:szCs w:val="32"/>
        </w:rPr>
        <w:t>Module Code and Name:</w:t>
      </w:r>
      <w:r w:rsidR="00DA7E41">
        <w:rPr>
          <w:b/>
          <w:bCs/>
          <w:sz w:val="36"/>
          <w:szCs w:val="32"/>
        </w:rPr>
        <w:t xml:space="preserve"> </w:t>
      </w:r>
      <w:r w:rsidR="00DA7E41" w:rsidRPr="00DA7E41">
        <w:rPr>
          <w:b/>
          <w:bCs/>
          <w:sz w:val="36"/>
          <w:szCs w:val="32"/>
        </w:rPr>
        <w:t xml:space="preserve">ACHA 7028 </w:t>
      </w:r>
      <w:r w:rsidRPr="00E42DDC">
        <w:rPr>
          <w:b/>
          <w:bCs/>
          <w:sz w:val="36"/>
          <w:szCs w:val="32"/>
        </w:rPr>
        <w:t>Resourcing and Financial Management for Projects</w:t>
      </w:r>
    </w:p>
    <w:p w14:paraId="5CECD3C7" w14:textId="77777777" w:rsidR="00E42DDC" w:rsidRDefault="00E42DDC">
      <w:pPr>
        <w:rPr>
          <w:b/>
          <w:bCs/>
          <w:sz w:val="36"/>
          <w:szCs w:val="32"/>
        </w:rPr>
      </w:pPr>
    </w:p>
    <w:p w14:paraId="0253C4E9" w14:textId="77777777" w:rsidR="00E42DDC" w:rsidRPr="00E42DDC" w:rsidRDefault="00E42DDC">
      <w:pPr>
        <w:rPr>
          <w:b/>
          <w:bCs/>
          <w:sz w:val="36"/>
          <w:szCs w:val="32"/>
        </w:rPr>
      </w:pPr>
    </w:p>
    <w:p w14:paraId="095A5675" w14:textId="7F5B535F" w:rsidR="00E42DDC" w:rsidRPr="00E42DDC" w:rsidRDefault="00E42DDC">
      <w:pPr>
        <w:rPr>
          <w:b/>
          <w:bCs/>
          <w:sz w:val="36"/>
          <w:szCs w:val="32"/>
        </w:rPr>
      </w:pPr>
      <w:r w:rsidRPr="00E42DDC">
        <w:rPr>
          <w:b/>
          <w:bCs/>
          <w:sz w:val="36"/>
          <w:szCs w:val="32"/>
        </w:rPr>
        <w:t>Student Name:</w:t>
      </w:r>
    </w:p>
    <w:p w14:paraId="55AE43B6" w14:textId="58A94108" w:rsidR="00E42DDC" w:rsidRPr="00E42DDC" w:rsidRDefault="00E42DDC">
      <w:pPr>
        <w:rPr>
          <w:b/>
          <w:bCs/>
          <w:sz w:val="36"/>
          <w:szCs w:val="32"/>
        </w:rPr>
      </w:pPr>
      <w:r w:rsidRPr="00E42DDC">
        <w:rPr>
          <w:b/>
          <w:bCs/>
          <w:sz w:val="36"/>
          <w:szCs w:val="32"/>
        </w:rPr>
        <w:t>Student Number:</w:t>
      </w:r>
    </w:p>
    <w:p w14:paraId="19B2AA9C" w14:textId="134B1A45" w:rsidR="00E42DDC" w:rsidRPr="00E42DDC" w:rsidRDefault="00E42DDC">
      <w:pPr>
        <w:rPr>
          <w:b/>
          <w:bCs/>
          <w:sz w:val="36"/>
          <w:szCs w:val="32"/>
        </w:rPr>
      </w:pPr>
      <w:r w:rsidRPr="00E42DDC">
        <w:rPr>
          <w:b/>
          <w:bCs/>
          <w:sz w:val="36"/>
          <w:szCs w:val="32"/>
        </w:rPr>
        <w:t>Word Count: 2</w:t>
      </w:r>
      <w:r w:rsidR="00E47AFC">
        <w:rPr>
          <w:b/>
          <w:bCs/>
          <w:sz w:val="36"/>
          <w:szCs w:val="32"/>
        </w:rPr>
        <w:t>571</w:t>
      </w:r>
    </w:p>
    <w:p w14:paraId="32886FA8" w14:textId="77777777" w:rsidR="00F44318" w:rsidRDefault="00F44318"/>
    <w:p w14:paraId="51A777B4" w14:textId="77777777" w:rsidR="00F44318" w:rsidRDefault="00F44318"/>
    <w:p w14:paraId="6D7E1957" w14:textId="77777777" w:rsidR="00F44318" w:rsidRDefault="00F44318"/>
    <w:p w14:paraId="65E34614" w14:textId="77777777" w:rsidR="00DB2457" w:rsidRDefault="00F44318">
      <w:pPr>
        <w:spacing w:line="259" w:lineRule="auto"/>
        <w:jc w:val="left"/>
        <w:sectPr w:rsidR="00DB2457" w:rsidSect="00045A26">
          <w:pgSz w:w="12240" w:h="15840"/>
          <w:pgMar w:top="1440" w:right="1440" w:bottom="1440" w:left="1440" w:header="720" w:footer="720" w:gutter="0"/>
          <w:cols w:space="720"/>
          <w:docGrid w:linePitch="360"/>
        </w:sectPr>
      </w:pPr>
      <w:r>
        <w:br w:type="page"/>
      </w:r>
    </w:p>
    <w:sdt>
      <w:sdtPr>
        <w:rPr>
          <w:rFonts w:eastAsiaTheme="minorHAnsi" w:cstheme="minorBidi"/>
          <w:b w:val="0"/>
          <w:sz w:val="24"/>
          <w:szCs w:val="22"/>
          <w14:ligatures w14:val="standardContextual"/>
        </w:rPr>
        <w:id w:val="-1839985356"/>
        <w:docPartObj>
          <w:docPartGallery w:val="Table of Contents"/>
          <w:docPartUnique/>
        </w:docPartObj>
      </w:sdtPr>
      <w:sdtEndPr>
        <w:rPr>
          <w:bCs/>
          <w:noProof/>
        </w:rPr>
      </w:sdtEndPr>
      <w:sdtContent>
        <w:p w14:paraId="47055564" w14:textId="01D6245B" w:rsidR="00E42DDC" w:rsidRDefault="00E42DDC">
          <w:pPr>
            <w:pStyle w:val="TOCHeading"/>
          </w:pPr>
          <w:r>
            <w:t>Table of Contents</w:t>
          </w:r>
        </w:p>
        <w:p w14:paraId="043DBF80" w14:textId="27CB7CAE" w:rsidR="00E47AFC" w:rsidRDefault="00E42DDC">
          <w:pPr>
            <w:pStyle w:val="TOC1"/>
            <w:tabs>
              <w:tab w:val="left" w:pos="480"/>
              <w:tab w:val="right" w:leader="dot" w:pos="9350"/>
            </w:tabs>
            <w:rPr>
              <w:rFonts w:asciiTheme="minorHAnsi" w:eastAsiaTheme="minorEastAsia" w:hAnsiTheme="minorHAnsi"/>
              <w:noProof/>
              <w:kern w:val="2"/>
              <w:szCs w:val="24"/>
            </w:rPr>
          </w:pPr>
          <w:r>
            <w:fldChar w:fldCharType="begin"/>
          </w:r>
          <w:r>
            <w:instrText xml:space="preserve"> TOC \o "1-3" \h \z \u </w:instrText>
          </w:r>
          <w:r>
            <w:fldChar w:fldCharType="separate"/>
          </w:r>
          <w:hyperlink w:anchor="_Toc230329699" w:history="1">
            <w:r w:rsidR="00E47AFC" w:rsidRPr="00E55BB0">
              <w:rPr>
                <w:rStyle w:val="Hyperlink"/>
                <w:noProof/>
              </w:rPr>
              <w:t>1.</w:t>
            </w:r>
            <w:r w:rsidR="00E47AFC">
              <w:rPr>
                <w:rFonts w:asciiTheme="minorHAnsi" w:eastAsiaTheme="minorEastAsia" w:hAnsiTheme="minorHAnsi"/>
                <w:noProof/>
                <w:kern w:val="2"/>
                <w:szCs w:val="24"/>
              </w:rPr>
              <w:tab/>
            </w:r>
            <w:r w:rsidR="00E47AFC" w:rsidRPr="00E55BB0">
              <w:rPr>
                <w:rStyle w:val="Hyperlink"/>
                <w:noProof/>
              </w:rPr>
              <w:t>Introduction</w:t>
            </w:r>
            <w:r w:rsidR="00E47AFC">
              <w:rPr>
                <w:noProof/>
                <w:webHidden/>
              </w:rPr>
              <w:tab/>
            </w:r>
            <w:r w:rsidR="00E47AFC">
              <w:rPr>
                <w:noProof/>
                <w:webHidden/>
              </w:rPr>
              <w:fldChar w:fldCharType="begin"/>
            </w:r>
            <w:r w:rsidR="00E47AFC">
              <w:rPr>
                <w:noProof/>
                <w:webHidden/>
              </w:rPr>
              <w:instrText xml:space="preserve"> PAGEREF _Toc230329699 \h </w:instrText>
            </w:r>
            <w:r w:rsidR="00E47AFC">
              <w:rPr>
                <w:noProof/>
                <w:webHidden/>
              </w:rPr>
            </w:r>
            <w:r w:rsidR="00E47AFC">
              <w:rPr>
                <w:noProof/>
                <w:webHidden/>
              </w:rPr>
              <w:fldChar w:fldCharType="separate"/>
            </w:r>
            <w:r w:rsidR="00E47AFC">
              <w:rPr>
                <w:noProof/>
                <w:webHidden/>
              </w:rPr>
              <w:t>1</w:t>
            </w:r>
            <w:r w:rsidR="00E47AFC">
              <w:rPr>
                <w:noProof/>
                <w:webHidden/>
              </w:rPr>
              <w:fldChar w:fldCharType="end"/>
            </w:r>
          </w:hyperlink>
        </w:p>
        <w:p w14:paraId="4FE85383" w14:textId="37619691" w:rsidR="00E47AFC" w:rsidRDefault="00E47AFC">
          <w:pPr>
            <w:pStyle w:val="TOC1"/>
            <w:tabs>
              <w:tab w:val="left" w:pos="480"/>
              <w:tab w:val="right" w:leader="dot" w:pos="9350"/>
            </w:tabs>
            <w:rPr>
              <w:rFonts w:asciiTheme="minorHAnsi" w:eastAsiaTheme="minorEastAsia" w:hAnsiTheme="minorHAnsi"/>
              <w:noProof/>
              <w:kern w:val="2"/>
              <w:szCs w:val="24"/>
            </w:rPr>
          </w:pPr>
          <w:hyperlink w:anchor="_Toc230329700" w:history="1">
            <w:r w:rsidRPr="00E55BB0">
              <w:rPr>
                <w:rStyle w:val="Hyperlink"/>
                <w:noProof/>
              </w:rPr>
              <w:t>2.</w:t>
            </w:r>
            <w:r>
              <w:rPr>
                <w:rFonts w:asciiTheme="minorHAnsi" w:eastAsiaTheme="minorEastAsia" w:hAnsiTheme="minorHAnsi"/>
                <w:noProof/>
                <w:kern w:val="2"/>
                <w:szCs w:val="24"/>
              </w:rPr>
              <w:tab/>
            </w:r>
            <w:r w:rsidRPr="00E55BB0">
              <w:rPr>
                <w:rStyle w:val="Hyperlink"/>
                <w:noProof/>
              </w:rPr>
              <w:t>Scenario 1 – High</w:t>
            </w:r>
            <w:r w:rsidRPr="00E55BB0">
              <w:rPr>
                <w:rStyle w:val="Hyperlink"/>
                <w:rFonts w:ascii="Cambria Math" w:hAnsi="Cambria Math" w:cs="Cambria Math"/>
                <w:noProof/>
              </w:rPr>
              <w:t>‑</w:t>
            </w:r>
            <w:r w:rsidRPr="00E55BB0">
              <w:rPr>
                <w:rStyle w:val="Hyperlink"/>
                <w:noProof/>
              </w:rPr>
              <w:t>Performing Workplaces: Evidence from Fortune and Great Place to Work</w:t>
            </w:r>
            <w:r>
              <w:rPr>
                <w:noProof/>
                <w:webHidden/>
              </w:rPr>
              <w:tab/>
            </w:r>
            <w:r>
              <w:rPr>
                <w:noProof/>
                <w:webHidden/>
              </w:rPr>
              <w:fldChar w:fldCharType="begin"/>
            </w:r>
            <w:r>
              <w:rPr>
                <w:noProof/>
                <w:webHidden/>
              </w:rPr>
              <w:instrText xml:space="preserve"> PAGEREF _Toc230329700 \h </w:instrText>
            </w:r>
            <w:r>
              <w:rPr>
                <w:noProof/>
                <w:webHidden/>
              </w:rPr>
            </w:r>
            <w:r>
              <w:rPr>
                <w:noProof/>
                <w:webHidden/>
              </w:rPr>
              <w:fldChar w:fldCharType="separate"/>
            </w:r>
            <w:r>
              <w:rPr>
                <w:noProof/>
                <w:webHidden/>
              </w:rPr>
              <w:t>2</w:t>
            </w:r>
            <w:r>
              <w:rPr>
                <w:noProof/>
                <w:webHidden/>
              </w:rPr>
              <w:fldChar w:fldCharType="end"/>
            </w:r>
          </w:hyperlink>
        </w:p>
        <w:p w14:paraId="1ED8A368" w14:textId="08DD10F3" w:rsidR="00E47AFC" w:rsidRDefault="00E47AFC">
          <w:pPr>
            <w:pStyle w:val="TOC2"/>
            <w:tabs>
              <w:tab w:val="right" w:leader="dot" w:pos="9350"/>
            </w:tabs>
            <w:rPr>
              <w:rFonts w:asciiTheme="minorHAnsi" w:eastAsiaTheme="minorEastAsia" w:hAnsiTheme="minorHAnsi"/>
              <w:noProof/>
              <w:kern w:val="2"/>
              <w:szCs w:val="24"/>
            </w:rPr>
          </w:pPr>
          <w:hyperlink w:anchor="_Toc230329701" w:history="1">
            <w:r w:rsidRPr="00E55BB0">
              <w:rPr>
                <w:rStyle w:val="Hyperlink"/>
                <w:noProof/>
              </w:rPr>
              <w:t>2.1 Common Organisation Practices from the Employer of the Year - Top teams</w:t>
            </w:r>
            <w:r>
              <w:rPr>
                <w:noProof/>
                <w:webHidden/>
              </w:rPr>
              <w:tab/>
            </w:r>
            <w:r>
              <w:rPr>
                <w:noProof/>
                <w:webHidden/>
              </w:rPr>
              <w:fldChar w:fldCharType="begin"/>
            </w:r>
            <w:r>
              <w:rPr>
                <w:noProof/>
                <w:webHidden/>
              </w:rPr>
              <w:instrText xml:space="preserve"> PAGEREF _Toc230329701 \h </w:instrText>
            </w:r>
            <w:r>
              <w:rPr>
                <w:noProof/>
                <w:webHidden/>
              </w:rPr>
            </w:r>
            <w:r>
              <w:rPr>
                <w:noProof/>
                <w:webHidden/>
              </w:rPr>
              <w:fldChar w:fldCharType="separate"/>
            </w:r>
            <w:r>
              <w:rPr>
                <w:noProof/>
                <w:webHidden/>
              </w:rPr>
              <w:t>2</w:t>
            </w:r>
            <w:r>
              <w:rPr>
                <w:noProof/>
                <w:webHidden/>
              </w:rPr>
              <w:fldChar w:fldCharType="end"/>
            </w:r>
          </w:hyperlink>
        </w:p>
        <w:p w14:paraId="780185F3" w14:textId="60FE734B" w:rsidR="00E47AFC" w:rsidRDefault="00E47AFC">
          <w:pPr>
            <w:pStyle w:val="TOC2"/>
            <w:tabs>
              <w:tab w:val="right" w:leader="dot" w:pos="9350"/>
            </w:tabs>
            <w:rPr>
              <w:rFonts w:asciiTheme="minorHAnsi" w:eastAsiaTheme="minorEastAsia" w:hAnsiTheme="minorHAnsi"/>
              <w:noProof/>
              <w:kern w:val="2"/>
              <w:szCs w:val="24"/>
            </w:rPr>
          </w:pPr>
          <w:hyperlink w:anchor="_Toc230329702" w:history="1">
            <w:r w:rsidRPr="00E55BB0">
              <w:rPr>
                <w:rStyle w:val="Hyperlink"/>
                <w:noProof/>
              </w:rPr>
              <w:t>2.2 Common employee benefits</w:t>
            </w:r>
            <w:r>
              <w:rPr>
                <w:noProof/>
                <w:webHidden/>
              </w:rPr>
              <w:tab/>
            </w:r>
            <w:r>
              <w:rPr>
                <w:noProof/>
                <w:webHidden/>
              </w:rPr>
              <w:fldChar w:fldCharType="begin"/>
            </w:r>
            <w:r>
              <w:rPr>
                <w:noProof/>
                <w:webHidden/>
              </w:rPr>
              <w:instrText xml:space="preserve"> PAGEREF _Toc230329702 \h </w:instrText>
            </w:r>
            <w:r>
              <w:rPr>
                <w:noProof/>
                <w:webHidden/>
              </w:rPr>
            </w:r>
            <w:r>
              <w:rPr>
                <w:noProof/>
                <w:webHidden/>
              </w:rPr>
              <w:fldChar w:fldCharType="separate"/>
            </w:r>
            <w:r>
              <w:rPr>
                <w:noProof/>
                <w:webHidden/>
              </w:rPr>
              <w:t>2</w:t>
            </w:r>
            <w:r>
              <w:rPr>
                <w:noProof/>
                <w:webHidden/>
              </w:rPr>
              <w:fldChar w:fldCharType="end"/>
            </w:r>
          </w:hyperlink>
        </w:p>
        <w:p w14:paraId="6D7CABD1" w14:textId="566B1DD8" w:rsidR="00E47AFC" w:rsidRDefault="00E47AFC">
          <w:pPr>
            <w:pStyle w:val="TOC2"/>
            <w:tabs>
              <w:tab w:val="right" w:leader="dot" w:pos="9350"/>
            </w:tabs>
            <w:rPr>
              <w:rFonts w:asciiTheme="minorHAnsi" w:eastAsiaTheme="minorEastAsia" w:hAnsiTheme="minorHAnsi"/>
              <w:noProof/>
              <w:kern w:val="2"/>
              <w:szCs w:val="24"/>
            </w:rPr>
          </w:pPr>
          <w:hyperlink w:anchor="_Toc230329703" w:history="1">
            <w:r w:rsidRPr="00E55BB0">
              <w:rPr>
                <w:rStyle w:val="Hyperlink"/>
                <w:noProof/>
              </w:rPr>
              <w:t>2.3 Cultural features</w:t>
            </w:r>
            <w:r>
              <w:rPr>
                <w:noProof/>
                <w:webHidden/>
              </w:rPr>
              <w:tab/>
            </w:r>
            <w:r>
              <w:rPr>
                <w:noProof/>
                <w:webHidden/>
              </w:rPr>
              <w:fldChar w:fldCharType="begin"/>
            </w:r>
            <w:r>
              <w:rPr>
                <w:noProof/>
                <w:webHidden/>
              </w:rPr>
              <w:instrText xml:space="preserve"> PAGEREF _Toc230329703 \h </w:instrText>
            </w:r>
            <w:r>
              <w:rPr>
                <w:noProof/>
                <w:webHidden/>
              </w:rPr>
            </w:r>
            <w:r>
              <w:rPr>
                <w:noProof/>
                <w:webHidden/>
              </w:rPr>
              <w:fldChar w:fldCharType="separate"/>
            </w:r>
            <w:r>
              <w:rPr>
                <w:noProof/>
                <w:webHidden/>
              </w:rPr>
              <w:t>2</w:t>
            </w:r>
            <w:r>
              <w:rPr>
                <w:noProof/>
                <w:webHidden/>
              </w:rPr>
              <w:fldChar w:fldCharType="end"/>
            </w:r>
          </w:hyperlink>
        </w:p>
        <w:p w14:paraId="62D86A88" w14:textId="433BDB28" w:rsidR="00E47AFC" w:rsidRDefault="00E47AFC">
          <w:pPr>
            <w:pStyle w:val="TOC2"/>
            <w:tabs>
              <w:tab w:val="right" w:leader="dot" w:pos="9350"/>
            </w:tabs>
            <w:rPr>
              <w:rFonts w:asciiTheme="minorHAnsi" w:eastAsiaTheme="minorEastAsia" w:hAnsiTheme="minorHAnsi"/>
              <w:noProof/>
              <w:kern w:val="2"/>
              <w:szCs w:val="24"/>
            </w:rPr>
          </w:pPr>
          <w:hyperlink w:anchor="_Toc230329704" w:history="1">
            <w:r w:rsidRPr="00E55BB0">
              <w:rPr>
                <w:rStyle w:val="Hyperlink"/>
                <w:noProof/>
              </w:rPr>
              <w:t>2.4 Synthesis of findings</w:t>
            </w:r>
            <w:r>
              <w:rPr>
                <w:noProof/>
                <w:webHidden/>
              </w:rPr>
              <w:tab/>
            </w:r>
            <w:r>
              <w:rPr>
                <w:noProof/>
                <w:webHidden/>
              </w:rPr>
              <w:fldChar w:fldCharType="begin"/>
            </w:r>
            <w:r>
              <w:rPr>
                <w:noProof/>
                <w:webHidden/>
              </w:rPr>
              <w:instrText xml:space="preserve"> PAGEREF _Toc230329704 \h </w:instrText>
            </w:r>
            <w:r>
              <w:rPr>
                <w:noProof/>
                <w:webHidden/>
              </w:rPr>
            </w:r>
            <w:r>
              <w:rPr>
                <w:noProof/>
                <w:webHidden/>
              </w:rPr>
              <w:fldChar w:fldCharType="separate"/>
            </w:r>
            <w:r>
              <w:rPr>
                <w:noProof/>
                <w:webHidden/>
              </w:rPr>
              <w:t>3</w:t>
            </w:r>
            <w:r>
              <w:rPr>
                <w:noProof/>
                <w:webHidden/>
              </w:rPr>
              <w:fldChar w:fldCharType="end"/>
            </w:r>
          </w:hyperlink>
        </w:p>
        <w:p w14:paraId="237BDC1E" w14:textId="19D47A2A" w:rsidR="00E47AFC" w:rsidRDefault="00E47AFC">
          <w:pPr>
            <w:pStyle w:val="TOC1"/>
            <w:tabs>
              <w:tab w:val="left" w:pos="480"/>
              <w:tab w:val="right" w:leader="dot" w:pos="9350"/>
            </w:tabs>
            <w:rPr>
              <w:rFonts w:asciiTheme="minorHAnsi" w:eastAsiaTheme="minorEastAsia" w:hAnsiTheme="minorHAnsi"/>
              <w:noProof/>
              <w:kern w:val="2"/>
              <w:szCs w:val="24"/>
            </w:rPr>
          </w:pPr>
          <w:hyperlink w:anchor="_Toc230329705" w:history="1">
            <w:r w:rsidRPr="00E55BB0">
              <w:rPr>
                <w:rStyle w:val="Hyperlink"/>
                <w:noProof/>
              </w:rPr>
              <w:t>3.</w:t>
            </w:r>
            <w:r>
              <w:rPr>
                <w:rFonts w:asciiTheme="minorHAnsi" w:eastAsiaTheme="minorEastAsia" w:hAnsiTheme="minorHAnsi"/>
                <w:noProof/>
                <w:kern w:val="2"/>
                <w:szCs w:val="24"/>
              </w:rPr>
              <w:tab/>
            </w:r>
            <w:r w:rsidRPr="00E55BB0">
              <w:rPr>
                <w:rStyle w:val="Hyperlink"/>
                <w:noProof/>
              </w:rPr>
              <w:t>Scenario 2 - Employee Orientation Practices</w:t>
            </w:r>
            <w:r>
              <w:rPr>
                <w:noProof/>
                <w:webHidden/>
              </w:rPr>
              <w:tab/>
            </w:r>
            <w:r>
              <w:rPr>
                <w:noProof/>
                <w:webHidden/>
              </w:rPr>
              <w:fldChar w:fldCharType="begin"/>
            </w:r>
            <w:r>
              <w:rPr>
                <w:noProof/>
                <w:webHidden/>
              </w:rPr>
              <w:instrText xml:space="preserve"> PAGEREF _Toc230329705 \h </w:instrText>
            </w:r>
            <w:r>
              <w:rPr>
                <w:noProof/>
                <w:webHidden/>
              </w:rPr>
            </w:r>
            <w:r>
              <w:rPr>
                <w:noProof/>
                <w:webHidden/>
              </w:rPr>
              <w:fldChar w:fldCharType="separate"/>
            </w:r>
            <w:r>
              <w:rPr>
                <w:noProof/>
                <w:webHidden/>
              </w:rPr>
              <w:t>4</w:t>
            </w:r>
            <w:r>
              <w:rPr>
                <w:noProof/>
                <w:webHidden/>
              </w:rPr>
              <w:fldChar w:fldCharType="end"/>
            </w:r>
          </w:hyperlink>
        </w:p>
        <w:p w14:paraId="61B83646" w14:textId="70D994BF" w:rsidR="00E47AFC" w:rsidRDefault="00E47AFC">
          <w:pPr>
            <w:pStyle w:val="TOC2"/>
            <w:tabs>
              <w:tab w:val="right" w:leader="dot" w:pos="9350"/>
            </w:tabs>
            <w:rPr>
              <w:rFonts w:asciiTheme="minorHAnsi" w:eastAsiaTheme="minorEastAsia" w:hAnsiTheme="minorHAnsi"/>
              <w:noProof/>
              <w:kern w:val="2"/>
              <w:szCs w:val="24"/>
            </w:rPr>
          </w:pPr>
          <w:hyperlink w:anchor="_Toc230329706" w:history="1">
            <w:r w:rsidRPr="00E55BB0">
              <w:rPr>
                <w:rStyle w:val="Hyperlink"/>
                <w:bCs/>
                <w:noProof/>
              </w:rPr>
              <w:t>3.1 Critical evaluation of a researched induction programme</w:t>
            </w:r>
            <w:r>
              <w:rPr>
                <w:noProof/>
                <w:webHidden/>
              </w:rPr>
              <w:tab/>
            </w:r>
            <w:r>
              <w:rPr>
                <w:noProof/>
                <w:webHidden/>
              </w:rPr>
              <w:fldChar w:fldCharType="begin"/>
            </w:r>
            <w:r>
              <w:rPr>
                <w:noProof/>
                <w:webHidden/>
              </w:rPr>
              <w:instrText xml:space="preserve"> PAGEREF _Toc230329706 \h </w:instrText>
            </w:r>
            <w:r>
              <w:rPr>
                <w:noProof/>
                <w:webHidden/>
              </w:rPr>
            </w:r>
            <w:r>
              <w:rPr>
                <w:noProof/>
                <w:webHidden/>
              </w:rPr>
              <w:fldChar w:fldCharType="separate"/>
            </w:r>
            <w:r>
              <w:rPr>
                <w:noProof/>
                <w:webHidden/>
              </w:rPr>
              <w:t>4</w:t>
            </w:r>
            <w:r>
              <w:rPr>
                <w:noProof/>
                <w:webHidden/>
              </w:rPr>
              <w:fldChar w:fldCharType="end"/>
            </w:r>
          </w:hyperlink>
        </w:p>
        <w:p w14:paraId="7307114A" w14:textId="5031C6D0" w:rsidR="00E47AFC" w:rsidRDefault="00E47AFC">
          <w:pPr>
            <w:pStyle w:val="TOC2"/>
            <w:tabs>
              <w:tab w:val="right" w:leader="dot" w:pos="9350"/>
            </w:tabs>
            <w:rPr>
              <w:rFonts w:asciiTheme="minorHAnsi" w:eastAsiaTheme="minorEastAsia" w:hAnsiTheme="minorHAnsi"/>
              <w:noProof/>
              <w:kern w:val="2"/>
              <w:szCs w:val="24"/>
            </w:rPr>
          </w:pPr>
          <w:hyperlink w:anchor="_Toc230329707" w:history="1">
            <w:r w:rsidRPr="00E55BB0">
              <w:rPr>
                <w:rStyle w:val="Hyperlink"/>
                <w:noProof/>
              </w:rPr>
              <w:t>3.2 Proposed evidence</w:t>
            </w:r>
            <w:r w:rsidRPr="00E55BB0">
              <w:rPr>
                <w:rStyle w:val="Hyperlink"/>
                <w:rFonts w:ascii="Cambria Math" w:hAnsi="Cambria Math" w:cs="Cambria Math"/>
                <w:noProof/>
              </w:rPr>
              <w:t>‑</w:t>
            </w:r>
            <w:r w:rsidRPr="00E55BB0">
              <w:rPr>
                <w:rStyle w:val="Hyperlink"/>
                <w:noProof/>
              </w:rPr>
              <w:t>based improvements</w:t>
            </w:r>
            <w:r>
              <w:rPr>
                <w:noProof/>
                <w:webHidden/>
              </w:rPr>
              <w:tab/>
            </w:r>
            <w:r>
              <w:rPr>
                <w:noProof/>
                <w:webHidden/>
              </w:rPr>
              <w:fldChar w:fldCharType="begin"/>
            </w:r>
            <w:r>
              <w:rPr>
                <w:noProof/>
                <w:webHidden/>
              </w:rPr>
              <w:instrText xml:space="preserve"> PAGEREF _Toc230329707 \h </w:instrText>
            </w:r>
            <w:r>
              <w:rPr>
                <w:noProof/>
                <w:webHidden/>
              </w:rPr>
            </w:r>
            <w:r>
              <w:rPr>
                <w:noProof/>
                <w:webHidden/>
              </w:rPr>
              <w:fldChar w:fldCharType="separate"/>
            </w:r>
            <w:r>
              <w:rPr>
                <w:noProof/>
                <w:webHidden/>
              </w:rPr>
              <w:t>4</w:t>
            </w:r>
            <w:r>
              <w:rPr>
                <w:noProof/>
                <w:webHidden/>
              </w:rPr>
              <w:fldChar w:fldCharType="end"/>
            </w:r>
          </w:hyperlink>
        </w:p>
        <w:p w14:paraId="712F395E" w14:textId="7190B9CE" w:rsidR="00E47AFC" w:rsidRDefault="00E47AFC">
          <w:pPr>
            <w:pStyle w:val="TOC1"/>
            <w:tabs>
              <w:tab w:val="left" w:pos="480"/>
              <w:tab w:val="right" w:leader="dot" w:pos="9350"/>
            </w:tabs>
            <w:rPr>
              <w:rFonts w:asciiTheme="minorHAnsi" w:eastAsiaTheme="minorEastAsia" w:hAnsiTheme="minorHAnsi"/>
              <w:noProof/>
              <w:kern w:val="2"/>
              <w:szCs w:val="24"/>
            </w:rPr>
          </w:pPr>
          <w:hyperlink w:anchor="_Toc230329708" w:history="1">
            <w:r w:rsidRPr="00E55BB0">
              <w:rPr>
                <w:rStyle w:val="Hyperlink"/>
                <w:noProof/>
              </w:rPr>
              <w:t>4.</w:t>
            </w:r>
            <w:r>
              <w:rPr>
                <w:rFonts w:asciiTheme="minorHAnsi" w:eastAsiaTheme="minorEastAsia" w:hAnsiTheme="minorHAnsi"/>
                <w:noProof/>
                <w:kern w:val="2"/>
                <w:szCs w:val="24"/>
              </w:rPr>
              <w:tab/>
            </w:r>
            <w:r w:rsidRPr="00E55BB0">
              <w:rPr>
                <w:rStyle w:val="Hyperlink"/>
                <w:noProof/>
              </w:rPr>
              <w:t>Scenario 3 – Modern approaches to Succession Planning</w:t>
            </w:r>
            <w:r>
              <w:rPr>
                <w:noProof/>
                <w:webHidden/>
              </w:rPr>
              <w:tab/>
            </w:r>
            <w:r>
              <w:rPr>
                <w:noProof/>
                <w:webHidden/>
              </w:rPr>
              <w:fldChar w:fldCharType="begin"/>
            </w:r>
            <w:r>
              <w:rPr>
                <w:noProof/>
                <w:webHidden/>
              </w:rPr>
              <w:instrText xml:space="preserve"> PAGEREF _Toc230329708 \h </w:instrText>
            </w:r>
            <w:r>
              <w:rPr>
                <w:noProof/>
                <w:webHidden/>
              </w:rPr>
            </w:r>
            <w:r>
              <w:rPr>
                <w:noProof/>
                <w:webHidden/>
              </w:rPr>
              <w:fldChar w:fldCharType="separate"/>
            </w:r>
            <w:r>
              <w:rPr>
                <w:noProof/>
                <w:webHidden/>
              </w:rPr>
              <w:t>6</w:t>
            </w:r>
            <w:r>
              <w:rPr>
                <w:noProof/>
                <w:webHidden/>
              </w:rPr>
              <w:fldChar w:fldCharType="end"/>
            </w:r>
          </w:hyperlink>
        </w:p>
        <w:p w14:paraId="3BB8C429" w14:textId="059C88D6" w:rsidR="00E47AFC" w:rsidRDefault="00E47AFC">
          <w:pPr>
            <w:pStyle w:val="TOC2"/>
            <w:tabs>
              <w:tab w:val="right" w:leader="dot" w:pos="9350"/>
            </w:tabs>
            <w:rPr>
              <w:rFonts w:asciiTheme="minorHAnsi" w:eastAsiaTheme="minorEastAsia" w:hAnsiTheme="minorHAnsi"/>
              <w:noProof/>
              <w:kern w:val="2"/>
              <w:szCs w:val="24"/>
            </w:rPr>
          </w:pPr>
          <w:hyperlink w:anchor="_Toc230329709" w:history="1">
            <w:r w:rsidRPr="00E55BB0">
              <w:rPr>
                <w:rStyle w:val="Hyperlink"/>
                <w:noProof/>
              </w:rPr>
              <w:t>4.1 Traditional vs modern approaches</w:t>
            </w:r>
            <w:r>
              <w:rPr>
                <w:noProof/>
                <w:webHidden/>
              </w:rPr>
              <w:tab/>
            </w:r>
            <w:r>
              <w:rPr>
                <w:noProof/>
                <w:webHidden/>
              </w:rPr>
              <w:fldChar w:fldCharType="begin"/>
            </w:r>
            <w:r>
              <w:rPr>
                <w:noProof/>
                <w:webHidden/>
              </w:rPr>
              <w:instrText xml:space="preserve"> PAGEREF _Toc230329709 \h </w:instrText>
            </w:r>
            <w:r>
              <w:rPr>
                <w:noProof/>
                <w:webHidden/>
              </w:rPr>
            </w:r>
            <w:r>
              <w:rPr>
                <w:noProof/>
                <w:webHidden/>
              </w:rPr>
              <w:fldChar w:fldCharType="separate"/>
            </w:r>
            <w:r>
              <w:rPr>
                <w:noProof/>
                <w:webHidden/>
              </w:rPr>
              <w:t>6</w:t>
            </w:r>
            <w:r>
              <w:rPr>
                <w:noProof/>
                <w:webHidden/>
              </w:rPr>
              <w:fldChar w:fldCharType="end"/>
            </w:r>
          </w:hyperlink>
        </w:p>
        <w:p w14:paraId="3A4A19DC" w14:textId="1119212E" w:rsidR="00E47AFC" w:rsidRDefault="00E47AFC">
          <w:pPr>
            <w:pStyle w:val="TOC2"/>
            <w:tabs>
              <w:tab w:val="right" w:leader="dot" w:pos="9350"/>
            </w:tabs>
            <w:rPr>
              <w:rFonts w:asciiTheme="minorHAnsi" w:eastAsiaTheme="minorEastAsia" w:hAnsiTheme="minorHAnsi"/>
              <w:noProof/>
              <w:kern w:val="2"/>
              <w:szCs w:val="24"/>
            </w:rPr>
          </w:pPr>
          <w:hyperlink w:anchor="_Toc230329710" w:history="1">
            <w:r w:rsidRPr="00E55BB0">
              <w:rPr>
                <w:rStyle w:val="Hyperlink"/>
                <w:noProof/>
              </w:rPr>
              <w:t>4.2 Effectiveness and limitations</w:t>
            </w:r>
            <w:r>
              <w:rPr>
                <w:noProof/>
                <w:webHidden/>
              </w:rPr>
              <w:tab/>
            </w:r>
            <w:r>
              <w:rPr>
                <w:noProof/>
                <w:webHidden/>
              </w:rPr>
              <w:fldChar w:fldCharType="begin"/>
            </w:r>
            <w:r>
              <w:rPr>
                <w:noProof/>
                <w:webHidden/>
              </w:rPr>
              <w:instrText xml:space="preserve"> PAGEREF _Toc230329710 \h </w:instrText>
            </w:r>
            <w:r>
              <w:rPr>
                <w:noProof/>
                <w:webHidden/>
              </w:rPr>
            </w:r>
            <w:r>
              <w:rPr>
                <w:noProof/>
                <w:webHidden/>
              </w:rPr>
              <w:fldChar w:fldCharType="separate"/>
            </w:r>
            <w:r>
              <w:rPr>
                <w:noProof/>
                <w:webHidden/>
              </w:rPr>
              <w:t>6</w:t>
            </w:r>
            <w:r>
              <w:rPr>
                <w:noProof/>
                <w:webHidden/>
              </w:rPr>
              <w:fldChar w:fldCharType="end"/>
            </w:r>
          </w:hyperlink>
        </w:p>
        <w:p w14:paraId="47CED2E8" w14:textId="75B16363" w:rsidR="00E47AFC" w:rsidRDefault="00E47AFC">
          <w:pPr>
            <w:pStyle w:val="TOC2"/>
            <w:tabs>
              <w:tab w:val="right" w:leader="dot" w:pos="9350"/>
            </w:tabs>
            <w:rPr>
              <w:rFonts w:asciiTheme="minorHAnsi" w:eastAsiaTheme="minorEastAsia" w:hAnsiTheme="minorHAnsi"/>
              <w:noProof/>
              <w:kern w:val="2"/>
              <w:szCs w:val="24"/>
            </w:rPr>
          </w:pPr>
          <w:hyperlink w:anchor="_Toc230329711" w:history="1">
            <w:r w:rsidRPr="00E55BB0">
              <w:rPr>
                <w:rStyle w:val="Hyperlink"/>
                <w:noProof/>
              </w:rPr>
              <w:t>4.3 Workforce Analytics</w:t>
            </w:r>
            <w:r>
              <w:rPr>
                <w:noProof/>
                <w:webHidden/>
              </w:rPr>
              <w:tab/>
            </w:r>
            <w:r>
              <w:rPr>
                <w:noProof/>
                <w:webHidden/>
              </w:rPr>
              <w:fldChar w:fldCharType="begin"/>
            </w:r>
            <w:r>
              <w:rPr>
                <w:noProof/>
                <w:webHidden/>
              </w:rPr>
              <w:instrText xml:space="preserve"> PAGEREF _Toc230329711 \h </w:instrText>
            </w:r>
            <w:r>
              <w:rPr>
                <w:noProof/>
                <w:webHidden/>
              </w:rPr>
            </w:r>
            <w:r>
              <w:rPr>
                <w:noProof/>
                <w:webHidden/>
              </w:rPr>
              <w:fldChar w:fldCharType="separate"/>
            </w:r>
            <w:r>
              <w:rPr>
                <w:noProof/>
                <w:webHidden/>
              </w:rPr>
              <w:t>6</w:t>
            </w:r>
            <w:r>
              <w:rPr>
                <w:noProof/>
                <w:webHidden/>
              </w:rPr>
              <w:fldChar w:fldCharType="end"/>
            </w:r>
          </w:hyperlink>
        </w:p>
        <w:p w14:paraId="647DDAC8" w14:textId="503AE8FD" w:rsidR="00E47AFC" w:rsidRDefault="00E47AFC">
          <w:pPr>
            <w:pStyle w:val="TOC1"/>
            <w:tabs>
              <w:tab w:val="left" w:pos="480"/>
              <w:tab w:val="right" w:leader="dot" w:pos="9350"/>
            </w:tabs>
            <w:rPr>
              <w:rFonts w:asciiTheme="minorHAnsi" w:eastAsiaTheme="minorEastAsia" w:hAnsiTheme="minorHAnsi"/>
              <w:noProof/>
              <w:kern w:val="2"/>
              <w:szCs w:val="24"/>
            </w:rPr>
          </w:pPr>
          <w:hyperlink w:anchor="_Toc230329712" w:history="1">
            <w:r w:rsidRPr="00E55BB0">
              <w:rPr>
                <w:rStyle w:val="Hyperlink"/>
                <w:noProof/>
              </w:rPr>
              <w:t>5.</w:t>
            </w:r>
            <w:r>
              <w:rPr>
                <w:rFonts w:asciiTheme="minorHAnsi" w:eastAsiaTheme="minorEastAsia" w:hAnsiTheme="minorHAnsi"/>
                <w:noProof/>
                <w:kern w:val="2"/>
                <w:szCs w:val="24"/>
              </w:rPr>
              <w:tab/>
            </w:r>
            <w:r w:rsidRPr="00E55BB0">
              <w:rPr>
                <w:rStyle w:val="Hyperlink"/>
                <w:noProof/>
              </w:rPr>
              <w:t>Scenario 4 – Resourcing and Retention Strategies</w:t>
            </w:r>
            <w:r>
              <w:rPr>
                <w:noProof/>
                <w:webHidden/>
              </w:rPr>
              <w:tab/>
            </w:r>
            <w:r>
              <w:rPr>
                <w:noProof/>
                <w:webHidden/>
              </w:rPr>
              <w:fldChar w:fldCharType="begin"/>
            </w:r>
            <w:r>
              <w:rPr>
                <w:noProof/>
                <w:webHidden/>
              </w:rPr>
              <w:instrText xml:space="preserve"> PAGEREF _Toc230329712 \h </w:instrText>
            </w:r>
            <w:r>
              <w:rPr>
                <w:noProof/>
                <w:webHidden/>
              </w:rPr>
            </w:r>
            <w:r>
              <w:rPr>
                <w:noProof/>
                <w:webHidden/>
              </w:rPr>
              <w:fldChar w:fldCharType="separate"/>
            </w:r>
            <w:r>
              <w:rPr>
                <w:noProof/>
                <w:webHidden/>
              </w:rPr>
              <w:t>8</w:t>
            </w:r>
            <w:r>
              <w:rPr>
                <w:noProof/>
                <w:webHidden/>
              </w:rPr>
              <w:fldChar w:fldCharType="end"/>
            </w:r>
          </w:hyperlink>
        </w:p>
        <w:p w14:paraId="4B3F15F4" w14:textId="17C4458E" w:rsidR="00E47AFC" w:rsidRDefault="00E47AFC">
          <w:pPr>
            <w:pStyle w:val="TOC2"/>
            <w:tabs>
              <w:tab w:val="right" w:leader="dot" w:pos="9350"/>
            </w:tabs>
            <w:rPr>
              <w:rFonts w:asciiTheme="minorHAnsi" w:eastAsiaTheme="minorEastAsia" w:hAnsiTheme="minorHAnsi"/>
              <w:noProof/>
              <w:kern w:val="2"/>
              <w:szCs w:val="24"/>
            </w:rPr>
          </w:pPr>
          <w:hyperlink w:anchor="_Toc230329713" w:history="1">
            <w:r w:rsidRPr="00E55BB0">
              <w:rPr>
                <w:rStyle w:val="Hyperlink"/>
                <w:noProof/>
              </w:rPr>
              <w:t>5.1 Attracting diverse talent in current labour markets</w:t>
            </w:r>
            <w:r>
              <w:rPr>
                <w:noProof/>
                <w:webHidden/>
              </w:rPr>
              <w:tab/>
            </w:r>
            <w:r>
              <w:rPr>
                <w:noProof/>
                <w:webHidden/>
              </w:rPr>
              <w:fldChar w:fldCharType="begin"/>
            </w:r>
            <w:r>
              <w:rPr>
                <w:noProof/>
                <w:webHidden/>
              </w:rPr>
              <w:instrText xml:space="preserve"> PAGEREF _Toc230329713 \h </w:instrText>
            </w:r>
            <w:r>
              <w:rPr>
                <w:noProof/>
                <w:webHidden/>
              </w:rPr>
            </w:r>
            <w:r>
              <w:rPr>
                <w:noProof/>
                <w:webHidden/>
              </w:rPr>
              <w:fldChar w:fldCharType="separate"/>
            </w:r>
            <w:r>
              <w:rPr>
                <w:noProof/>
                <w:webHidden/>
              </w:rPr>
              <w:t>8</w:t>
            </w:r>
            <w:r>
              <w:rPr>
                <w:noProof/>
                <w:webHidden/>
              </w:rPr>
              <w:fldChar w:fldCharType="end"/>
            </w:r>
          </w:hyperlink>
        </w:p>
        <w:p w14:paraId="4E3A0FAD" w14:textId="0FEAAE80" w:rsidR="00E47AFC" w:rsidRDefault="00E47AFC">
          <w:pPr>
            <w:pStyle w:val="TOC2"/>
            <w:tabs>
              <w:tab w:val="right" w:leader="dot" w:pos="9350"/>
            </w:tabs>
            <w:rPr>
              <w:rFonts w:asciiTheme="minorHAnsi" w:eastAsiaTheme="minorEastAsia" w:hAnsiTheme="minorHAnsi"/>
              <w:noProof/>
              <w:kern w:val="2"/>
              <w:szCs w:val="24"/>
            </w:rPr>
          </w:pPr>
          <w:hyperlink w:anchor="_Toc230329714" w:history="1">
            <w:r w:rsidRPr="00E55BB0">
              <w:rPr>
                <w:rStyle w:val="Hyperlink"/>
                <w:noProof/>
              </w:rPr>
              <w:t>5.2 Retention and long</w:t>
            </w:r>
            <w:r w:rsidRPr="00E55BB0">
              <w:rPr>
                <w:rStyle w:val="Hyperlink"/>
                <w:rFonts w:ascii="Cambria Math" w:hAnsi="Cambria Math" w:cs="Cambria Math"/>
                <w:noProof/>
              </w:rPr>
              <w:t>‑</w:t>
            </w:r>
            <w:r w:rsidRPr="00E55BB0">
              <w:rPr>
                <w:rStyle w:val="Hyperlink"/>
                <w:noProof/>
              </w:rPr>
              <w:t>term engagement</w:t>
            </w:r>
            <w:r>
              <w:rPr>
                <w:noProof/>
                <w:webHidden/>
              </w:rPr>
              <w:tab/>
            </w:r>
            <w:r>
              <w:rPr>
                <w:noProof/>
                <w:webHidden/>
              </w:rPr>
              <w:fldChar w:fldCharType="begin"/>
            </w:r>
            <w:r>
              <w:rPr>
                <w:noProof/>
                <w:webHidden/>
              </w:rPr>
              <w:instrText xml:space="preserve"> PAGEREF _Toc230329714 \h </w:instrText>
            </w:r>
            <w:r>
              <w:rPr>
                <w:noProof/>
                <w:webHidden/>
              </w:rPr>
            </w:r>
            <w:r>
              <w:rPr>
                <w:noProof/>
                <w:webHidden/>
              </w:rPr>
              <w:fldChar w:fldCharType="separate"/>
            </w:r>
            <w:r>
              <w:rPr>
                <w:noProof/>
                <w:webHidden/>
              </w:rPr>
              <w:t>8</w:t>
            </w:r>
            <w:r>
              <w:rPr>
                <w:noProof/>
                <w:webHidden/>
              </w:rPr>
              <w:fldChar w:fldCharType="end"/>
            </w:r>
          </w:hyperlink>
        </w:p>
        <w:p w14:paraId="2478381D" w14:textId="466C91E7" w:rsidR="00E47AFC" w:rsidRDefault="00E47AFC">
          <w:pPr>
            <w:pStyle w:val="TOC1"/>
            <w:tabs>
              <w:tab w:val="left" w:pos="480"/>
              <w:tab w:val="right" w:leader="dot" w:pos="9350"/>
            </w:tabs>
            <w:rPr>
              <w:rFonts w:asciiTheme="minorHAnsi" w:eastAsiaTheme="minorEastAsia" w:hAnsiTheme="minorHAnsi"/>
              <w:noProof/>
              <w:kern w:val="2"/>
              <w:szCs w:val="24"/>
            </w:rPr>
          </w:pPr>
          <w:hyperlink w:anchor="_Toc230329715" w:history="1">
            <w:r w:rsidRPr="00E55BB0">
              <w:rPr>
                <w:rStyle w:val="Hyperlink"/>
                <w:noProof/>
              </w:rPr>
              <w:t>6.</w:t>
            </w:r>
            <w:r>
              <w:rPr>
                <w:rFonts w:asciiTheme="minorHAnsi" w:eastAsiaTheme="minorEastAsia" w:hAnsiTheme="minorHAnsi"/>
                <w:noProof/>
                <w:kern w:val="2"/>
                <w:szCs w:val="24"/>
              </w:rPr>
              <w:tab/>
            </w:r>
            <w:r w:rsidRPr="00E55BB0">
              <w:rPr>
                <w:rStyle w:val="Hyperlink"/>
                <w:noProof/>
              </w:rPr>
              <w:t>Scenario 5 – Talent Insight and Strategic Retention</w:t>
            </w:r>
            <w:r>
              <w:rPr>
                <w:noProof/>
                <w:webHidden/>
              </w:rPr>
              <w:tab/>
            </w:r>
            <w:r>
              <w:rPr>
                <w:noProof/>
                <w:webHidden/>
              </w:rPr>
              <w:fldChar w:fldCharType="begin"/>
            </w:r>
            <w:r>
              <w:rPr>
                <w:noProof/>
                <w:webHidden/>
              </w:rPr>
              <w:instrText xml:space="preserve"> PAGEREF _Toc230329715 \h </w:instrText>
            </w:r>
            <w:r>
              <w:rPr>
                <w:noProof/>
                <w:webHidden/>
              </w:rPr>
            </w:r>
            <w:r>
              <w:rPr>
                <w:noProof/>
                <w:webHidden/>
              </w:rPr>
              <w:fldChar w:fldCharType="separate"/>
            </w:r>
            <w:r>
              <w:rPr>
                <w:noProof/>
                <w:webHidden/>
              </w:rPr>
              <w:t>9</w:t>
            </w:r>
            <w:r>
              <w:rPr>
                <w:noProof/>
                <w:webHidden/>
              </w:rPr>
              <w:fldChar w:fldCharType="end"/>
            </w:r>
          </w:hyperlink>
        </w:p>
        <w:p w14:paraId="330D8954" w14:textId="2A8A9F10" w:rsidR="00E47AFC" w:rsidRDefault="00E47AFC">
          <w:pPr>
            <w:pStyle w:val="TOC2"/>
            <w:tabs>
              <w:tab w:val="right" w:leader="dot" w:pos="9350"/>
            </w:tabs>
            <w:rPr>
              <w:rFonts w:asciiTheme="minorHAnsi" w:eastAsiaTheme="minorEastAsia" w:hAnsiTheme="minorHAnsi"/>
              <w:noProof/>
              <w:kern w:val="2"/>
              <w:szCs w:val="24"/>
            </w:rPr>
          </w:pPr>
          <w:hyperlink w:anchor="_Toc230329716" w:history="1">
            <w:r w:rsidRPr="00E55BB0">
              <w:rPr>
                <w:rStyle w:val="Hyperlink"/>
                <w:noProof/>
              </w:rPr>
              <w:t>6.1 Talent</w:t>
            </w:r>
            <w:r w:rsidRPr="00E55BB0">
              <w:rPr>
                <w:rStyle w:val="Hyperlink"/>
                <w:rFonts w:ascii="Cambria Math" w:hAnsi="Cambria Math" w:cs="Cambria Math"/>
                <w:noProof/>
              </w:rPr>
              <w:t>‑</w:t>
            </w:r>
            <w:r w:rsidRPr="00E55BB0">
              <w:rPr>
                <w:rStyle w:val="Hyperlink"/>
                <w:noProof/>
              </w:rPr>
              <w:t>insight tools and assessments</w:t>
            </w:r>
            <w:r>
              <w:rPr>
                <w:noProof/>
                <w:webHidden/>
              </w:rPr>
              <w:tab/>
            </w:r>
            <w:r>
              <w:rPr>
                <w:noProof/>
                <w:webHidden/>
              </w:rPr>
              <w:fldChar w:fldCharType="begin"/>
            </w:r>
            <w:r>
              <w:rPr>
                <w:noProof/>
                <w:webHidden/>
              </w:rPr>
              <w:instrText xml:space="preserve"> PAGEREF _Toc230329716 \h </w:instrText>
            </w:r>
            <w:r>
              <w:rPr>
                <w:noProof/>
                <w:webHidden/>
              </w:rPr>
            </w:r>
            <w:r>
              <w:rPr>
                <w:noProof/>
                <w:webHidden/>
              </w:rPr>
              <w:fldChar w:fldCharType="separate"/>
            </w:r>
            <w:r>
              <w:rPr>
                <w:noProof/>
                <w:webHidden/>
              </w:rPr>
              <w:t>9</w:t>
            </w:r>
            <w:r>
              <w:rPr>
                <w:noProof/>
                <w:webHidden/>
              </w:rPr>
              <w:fldChar w:fldCharType="end"/>
            </w:r>
          </w:hyperlink>
        </w:p>
        <w:p w14:paraId="295A185C" w14:textId="0D5E4ABB" w:rsidR="00E47AFC" w:rsidRDefault="00E47AFC">
          <w:pPr>
            <w:pStyle w:val="TOC2"/>
            <w:tabs>
              <w:tab w:val="right" w:leader="dot" w:pos="9350"/>
            </w:tabs>
            <w:rPr>
              <w:rFonts w:asciiTheme="minorHAnsi" w:eastAsiaTheme="minorEastAsia" w:hAnsiTheme="minorHAnsi"/>
              <w:noProof/>
              <w:kern w:val="2"/>
              <w:szCs w:val="24"/>
            </w:rPr>
          </w:pPr>
          <w:hyperlink w:anchor="_Toc230329717" w:history="1">
            <w:r w:rsidRPr="00E55BB0">
              <w:rPr>
                <w:rStyle w:val="Hyperlink"/>
                <w:noProof/>
              </w:rPr>
              <w:t>6.2 Personalised retention approaches</w:t>
            </w:r>
            <w:r>
              <w:rPr>
                <w:noProof/>
                <w:webHidden/>
              </w:rPr>
              <w:tab/>
            </w:r>
            <w:r>
              <w:rPr>
                <w:noProof/>
                <w:webHidden/>
              </w:rPr>
              <w:fldChar w:fldCharType="begin"/>
            </w:r>
            <w:r>
              <w:rPr>
                <w:noProof/>
                <w:webHidden/>
              </w:rPr>
              <w:instrText xml:space="preserve"> PAGEREF _Toc230329717 \h </w:instrText>
            </w:r>
            <w:r>
              <w:rPr>
                <w:noProof/>
                <w:webHidden/>
              </w:rPr>
            </w:r>
            <w:r>
              <w:rPr>
                <w:noProof/>
                <w:webHidden/>
              </w:rPr>
              <w:fldChar w:fldCharType="separate"/>
            </w:r>
            <w:r>
              <w:rPr>
                <w:noProof/>
                <w:webHidden/>
              </w:rPr>
              <w:t>9</w:t>
            </w:r>
            <w:r>
              <w:rPr>
                <w:noProof/>
                <w:webHidden/>
              </w:rPr>
              <w:fldChar w:fldCharType="end"/>
            </w:r>
          </w:hyperlink>
        </w:p>
        <w:p w14:paraId="006547C9" w14:textId="55052874" w:rsidR="00E47AFC" w:rsidRDefault="00E47AFC">
          <w:pPr>
            <w:pStyle w:val="TOC2"/>
            <w:tabs>
              <w:tab w:val="right" w:leader="dot" w:pos="9350"/>
            </w:tabs>
            <w:rPr>
              <w:rFonts w:asciiTheme="minorHAnsi" w:eastAsiaTheme="minorEastAsia" w:hAnsiTheme="minorHAnsi"/>
              <w:noProof/>
              <w:kern w:val="2"/>
              <w:szCs w:val="24"/>
            </w:rPr>
          </w:pPr>
          <w:hyperlink w:anchor="_Toc230329718" w:history="1">
            <w:r w:rsidRPr="00E55BB0">
              <w:rPr>
                <w:rStyle w:val="Hyperlink"/>
                <w:noProof/>
              </w:rPr>
              <w:t>6.3 Continuing employee feedback systems</w:t>
            </w:r>
            <w:r>
              <w:rPr>
                <w:noProof/>
                <w:webHidden/>
              </w:rPr>
              <w:tab/>
            </w:r>
            <w:r>
              <w:rPr>
                <w:noProof/>
                <w:webHidden/>
              </w:rPr>
              <w:fldChar w:fldCharType="begin"/>
            </w:r>
            <w:r>
              <w:rPr>
                <w:noProof/>
                <w:webHidden/>
              </w:rPr>
              <w:instrText xml:space="preserve"> PAGEREF _Toc230329718 \h </w:instrText>
            </w:r>
            <w:r>
              <w:rPr>
                <w:noProof/>
                <w:webHidden/>
              </w:rPr>
            </w:r>
            <w:r>
              <w:rPr>
                <w:noProof/>
                <w:webHidden/>
              </w:rPr>
              <w:fldChar w:fldCharType="separate"/>
            </w:r>
            <w:r>
              <w:rPr>
                <w:noProof/>
                <w:webHidden/>
              </w:rPr>
              <w:t>9</w:t>
            </w:r>
            <w:r>
              <w:rPr>
                <w:noProof/>
                <w:webHidden/>
              </w:rPr>
              <w:fldChar w:fldCharType="end"/>
            </w:r>
          </w:hyperlink>
        </w:p>
        <w:p w14:paraId="487F8CA3" w14:textId="5D4A1A67" w:rsidR="00E47AFC" w:rsidRDefault="00E47AFC">
          <w:pPr>
            <w:pStyle w:val="TOC1"/>
            <w:tabs>
              <w:tab w:val="left" w:pos="480"/>
              <w:tab w:val="right" w:leader="dot" w:pos="9350"/>
            </w:tabs>
            <w:rPr>
              <w:rFonts w:asciiTheme="minorHAnsi" w:eastAsiaTheme="minorEastAsia" w:hAnsiTheme="minorHAnsi"/>
              <w:noProof/>
              <w:kern w:val="2"/>
              <w:szCs w:val="24"/>
            </w:rPr>
          </w:pPr>
          <w:hyperlink w:anchor="_Toc230329719" w:history="1">
            <w:r w:rsidRPr="00E55BB0">
              <w:rPr>
                <w:rStyle w:val="Hyperlink"/>
                <w:noProof/>
              </w:rPr>
              <w:t>7.</w:t>
            </w:r>
            <w:r>
              <w:rPr>
                <w:rFonts w:asciiTheme="minorHAnsi" w:eastAsiaTheme="minorEastAsia" w:hAnsiTheme="minorHAnsi"/>
                <w:noProof/>
                <w:kern w:val="2"/>
                <w:szCs w:val="24"/>
              </w:rPr>
              <w:tab/>
            </w:r>
            <w:r w:rsidRPr="00E55BB0">
              <w:rPr>
                <w:rStyle w:val="Hyperlink"/>
                <w:noProof/>
              </w:rPr>
              <w:t>Conclusion</w:t>
            </w:r>
            <w:r>
              <w:rPr>
                <w:noProof/>
                <w:webHidden/>
              </w:rPr>
              <w:tab/>
            </w:r>
            <w:r>
              <w:rPr>
                <w:noProof/>
                <w:webHidden/>
              </w:rPr>
              <w:fldChar w:fldCharType="begin"/>
            </w:r>
            <w:r>
              <w:rPr>
                <w:noProof/>
                <w:webHidden/>
              </w:rPr>
              <w:instrText xml:space="preserve"> PAGEREF _Toc230329719 \h </w:instrText>
            </w:r>
            <w:r>
              <w:rPr>
                <w:noProof/>
                <w:webHidden/>
              </w:rPr>
            </w:r>
            <w:r>
              <w:rPr>
                <w:noProof/>
                <w:webHidden/>
              </w:rPr>
              <w:fldChar w:fldCharType="separate"/>
            </w:r>
            <w:r>
              <w:rPr>
                <w:noProof/>
                <w:webHidden/>
              </w:rPr>
              <w:t>11</w:t>
            </w:r>
            <w:r>
              <w:rPr>
                <w:noProof/>
                <w:webHidden/>
              </w:rPr>
              <w:fldChar w:fldCharType="end"/>
            </w:r>
          </w:hyperlink>
        </w:p>
        <w:p w14:paraId="60431FE8" w14:textId="00F86BA3" w:rsidR="00E47AFC" w:rsidRDefault="00E47AFC">
          <w:pPr>
            <w:pStyle w:val="TOC1"/>
            <w:tabs>
              <w:tab w:val="right" w:leader="dot" w:pos="9350"/>
            </w:tabs>
            <w:rPr>
              <w:rFonts w:asciiTheme="minorHAnsi" w:eastAsiaTheme="minorEastAsia" w:hAnsiTheme="minorHAnsi"/>
              <w:noProof/>
              <w:kern w:val="2"/>
              <w:szCs w:val="24"/>
            </w:rPr>
          </w:pPr>
          <w:hyperlink w:anchor="_Toc230329720" w:history="1">
            <w:r w:rsidRPr="00E55BB0">
              <w:rPr>
                <w:rStyle w:val="Hyperlink"/>
                <w:noProof/>
              </w:rPr>
              <w:t>References</w:t>
            </w:r>
            <w:r>
              <w:rPr>
                <w:noProof/>
                <w:webHidden/>
              </w:rPr>
              <w:tab/>
            </w:r>
            <w:r>
              <w:rPr>
                <w:noProof/>
                <w:webHidden/>
              </w:rPr>
              <w:fldChar w:fldCharType="begin"/>
            </w:r>
            <w:r>
              <w:rPr>
                <w:noProof/>
                <w:webHidden/>
              </w:rPr>
              <w:instrText xml:space="preserve"> PAGEREF _Toc230329720 \h </w:instrText>
            </w:r>
            <w:r>
              <w:rPr>
                <w:noProof/>
                <w:webHidden/>
              </w:rPr>
            </w:r>
            <w:r>
              <w:rPr>
                <w:noProof/>
                <w:webHidden/>
              </w:rPr>
              <w:fldChar w:fldCharType="separate"/>
            </w:r>
            <w:r>
              <w:rPr>
                <w:noProof/>
                <w:webHidden/>
              </w:rPr>
              <w:t>12</w:t>
            </w:r>
            <w:r>
              <w:rPr>
                <w:noProof/>
                <w:webHidden/>
              </w:rPr>
              <w:fldChar w:fldCharType="end"/>
            </w:r>
          </w:hyperlink>
        </w:p>
        <w:p w14:paraId="32A9A76F" w14:textId="0A2BF594" w:rsidR="00E42DDC" w:rsidRDefault="00E42DDC">
          <w:r>
            <w:rPr>
              <w:b/>
              <w:bCs/>
              <w:noProof/>
            </w:rPr>
            <w:fldChar w:fldCharType="end"/>
          </w:r>
        </w:p>
      </w:sdtContent>
    </w:sdt>
    <w:p w14:paraId="3C86E31C" w14:textId="77777777" w:rsidR="00E42DDC" w:rsidRDefault="00E42DDC" w:rsidP="00E42DDC"/>
    <w:p w14:paraId="50566ED5" w14:textId="77777777" w:rsidR="0067032F" w:rsidRDefault="00E42DDC">
      <w:pPr>
        <w:spacing w:line="259" w:lineRule="auto"/>
        <w:jc w:val="left"/>
        <w:sectPr w:rsidR="0067032F" w:rsidSect="00DB2457">
          <w:footerReference w:type="default" r:id="rId8"/>
          <w:pgSz w:w="12240" w:h="15840"/>
          <w:pgMar w:top="1440" w:right="1440" w:bottom="1440" w:left="1440" w:header="720" w:footer="720" w:gutter="0"/>
          <w:pgNumType w:start="1"/>
          <w:cols w:space="720"/>
          <w:docGrid w:linePitch="360"/>
        </w:sectPr>
      </w:pPr>
      <w:r>
        <w:br w:type="page"/>
      </w:r>
    </w:p>
    <w:p w14:paraId="377EC72F" w14:textId="2D9D08E0" w:rsidR="00AF1AA8" w:rsidRDefault="00AF1AA8" w:rsidP="00AF1AA8">
      <w:pPr>
        <w:pStyle w:val="Heading1"/>
      </w:pPr>
      <w:bookmarkStart w:id="0" w:name="_Toc230329699"/>
      <w:r>
        <w:lastRenderedPageBreak/>
        <w:t>1.</w:t>
      </w:r>
      <w:r>
        <w:tab/>
      </w:r>
      <w:r>
        <w:t>Introduction</w:t>
      </w:r>
      <w:bookmarkEnd w:id="0"/>
    </w:p>
    <w:p w14:paraId="15AC24FA" w14:textId="43978A4D" w:rsidR="00AF1AA8" w:rsidRDefault="00AF1AA8" w:rsidP="00AF1AA8">
      <w:r>
        <w:t xml:space="preserve">It is evident that today's project-based </w:t>
      </w:r>
      <w:proofErr w:type="spellStart"/>
      <w:r w:rsidR="00EF556E">
        <w:t>organisations</w:t>
      </w:r>
      <w:proofErr w:type="spellEnd"/>
      <w:r>
        <w:t xml:space="preserve"> function as part of an environment where technological innovation is rampant, skill deficits are common</w:t>
      </w:r>
      <w:r w:rsidR="00EF556E">
        <w:t>,</w:t>
      </w:r>
      <w:r>
        <w:t xml:space="preserve"> and employees' expectations are constantly evolving. Project</w:t>
      </w:r>
      <w:r>
        <w:rPr>
          <w:rFonts w:ascii="Cambria Math" w:hAnsi="Cambria Math" w:cs="Cambria Math"/>
        </w:rPr>
        <w:t>‑</w:t>
      </w:r>
      <w:r>
        <w:t xml:space="preserve">based firms provide an alternative to a traditional functional hierarchy as they are </w:t>
      </w:r>
      <w:proofErr w:type="spellStart"/>
      <w:r w:rsidR="00EF556E">
        <w:t>organised</w:t>
      </w:r>
      <w:proofErr w:type="spellEnd"/>
      <w:r>
        <w:t xml:space="preserve"> with these cross</w:t>
      </w:r>
      <w:r>
        <w:rPr>
          <w:rFonts w:ascii="Cambria Math" w:hAnsi="Cambria Math" w:cs="Cambria Math"/>
        </w:rPr>
        <w:t>‑</w:t>
      </w:r>
      <w:r>
        <w:t>functional teams that are formed and disbanded based on the lifecycle of the project. This structural reality calls for agile, flexible and strategically oriented human resource management (HRM) practices that are oriented at the project's goals. Talent is seen as a strategic asset that can be the source of a sustained competitive advantage if it is valuable, rare, inimitable and non</w:t>
      </w:r>
      <w:r>
        <w:rPr>
          <w:rFonts w:ascii="Cambria Math" w:hAnsi="Cambria Math" w:cs="Cambria Math"/>
        </w:rPr>
        <w:t>‑</w:t>
      </w:r>
      <w:r>
        <w:t>substitutable as highlighted in the Resource</w:t>
      </w:r>
      <w:r>
        <w:rPr>
          <w:rFonts w:ascii="Cambria Math" w:hAnsi="Cambria Math" w:cs="Cambria Math"/>
        </w:rPr>
        <w:t>‑</w:t>
      </w:r>
      <w:r>
        <w:t xml:space="preserve">Based View (RBV) </w:t>
      </w:r>
      <w:proofErr w:type="spellStart"/>
      <w:r w:rsidR="00EF556E">
        <w:t>conceptualisation</w:t>
      </w:r>
      <w:proofErr w:type="spellEnd"/>
      <w:r>
        <w:t>. Now</w:t>
      </w:r>
      <w:r w:rsidR="00EF556E">
        <w:t>,</w:t>
      </w:r>
      <w:r>
        <w:t xml:space="preserve"> no longer can HRM perform its traditional role as a service function - it has to be a strategic partner that makes sure the correct persons are available at the right time with the correct knowledge and skills.</w:t>
      </w:r>
    </w:p>
    <w:p w14:paraId="66D38990" w14:textId="53589941" w:rsidR="00AF1AA8" w:rsidRDefault="00AF1AA8" w:rsidP="00AF1AA8">
      <w:r>
        <w:t>In this report</w:t>
      </w:r>
      <w:r w:rsidR="00EF556E">
        <w:t>,</w:t>
      </w:r>
      <w:r>
        <w:t xml:space="preserve"> five HRM areas essential for project</w:t>
      </w:r>
      <w:r>
        <w:rPr>
          <w:rFonts w:ascii="Cambria Math" w:hAnsi="Cambria Math" w:cs="Cambria Math"/>
        </w:rPr>
        <w:t>‑</w:t>
      </w:r>
      <w:r>
        <w:t xml:space="preserve">based </w:t>
      </w:r>
      <w:proofErr w:type="spellStart"/>
      <w:r>
        <w:t>organisations</w:t>
      </w:r>
      <w:proofErr w:type="spellEnd"/>
      <w:r>
        <w:t xml:space="preserve"> is critically examined. In scenario one, </w:t>
      </w:r>
      <w:r w:rsidR="00EF556E">
        <w:t>high-performing</w:t>
      </w:r>
      <w:r>
        <w:t xml:space="preserve"> workplaces were </w:t>
      </w:r>
      <w:proofErr w:type="spellStart"/>
      <w:r>
        <w:t>analysed</w:t>
      </w:r>
      <w:proofErr w:type="spellEnd"/>
      <w:r>
        <w:t xml:space="preserve"> based on a direct translation of the Fortune and Great Place to Work rankings for the UK. There is a researched induction </w:t>
      </w:r>
      <w:proofErr w:type="spellStart"/>
      <w:r>
        <w:t>programme</w:t>
      </w:r>
      <w:proofErr w:type="spellEnd"/>
      <w:r>
        <w:t xml:space="preserve"> which assesses employee orientation practices in scenario two. In scenario three, students will learn about modern succession planning and the comparison between traditional and modern ones. A focus of scenario four is on resourcing and retention around differing talent. At the end of scenario five</w:t>
      </w:r>
      <w:r w:rsidR="00EF556E">
        <w:t>,</w:t>
      </w:r>
      <w:r>
        <w:t xml:space="preserve"> talent</w:t>
      </w:r>
      <w:r>
        <w:rPr>
          <w:rFonts w:ascii="Cambria Math" w:hAnsi="Cambria Math" w:cs="Cambria Math"/>
        </w:rPr>
        <w:t>‑</w:t>
      </w:r>
      <w:r>
        <w:t>insight tools and continual feedback mechanisms are assessed. All scenarios have credible academic and Industry publications that are primarily from the past five years. As affirmed by the overall argument, their evidence</w:t>
      </w:r>
      <w:r>
        <w:rPr>
          <w:rFonts w:ascii="Cambria Math" w:hAnsi="Cambria Math" w:cs="Cambria Math"/>
        </w:rPr>
        <w:t>‑</w:t>
      </w:r>
      <w:r>
        <w:t>based, data</w:t>
      </w:r>
      <w:r>
        <w:rPr>
          <w:rFonts w:ascii="Cambria Math" w:hAnsi="Cambria Math" w:cs="Cambria Math"/>
        </w:rPr>
        <w:t>‑</w:t>
      </w:r>
      <w:r>
        <w:t>informed and human</w:t>
      </w:r>
      <w:r>
        <w:rPr>
          <w:rFonts w:ascii="Cambria Math" w:hAnsi="Cambria Math" w:cs="Cambria Math"/>
        </w:rPr>
        <w:t>‑</w:t>
      </w:r>
      <w:proofErr w:type="spellStart"/>
      <w:r>
        <w:t>centred</w:t>
      </w:r>
      <w:proofErr w:type="spellEnd"/>
      <w:r>
        <w:t xml:space="preserve"> HRM practices have a significant direct impact on project results, voluntary turnover and resilient workforces.</w:t>
      </w:r>
    </w:p>
    <w:p w14:paraId="3FB60D41" w14:textId="4627577F" w:rsidR="00AF1AA8" w:rsidRDefault="00AF1AA8">
      <w:pPr>
        <w:spacing w:line="259" w:lineRule="auto"/>
        <w:jc w:val="left"/>
      </w:pPr>
      <w:r>
        <w:br w:type="page"/>
      </w:r>
    </w:p>
    <w:p w14:paraId="33B3BEDD" w14:textId="6088B655" w:rsidR="00AF1AA8" w:rsidRDefault="00AF1AA8" w:rsidP="00AF1AA8">
      <w:pPr>
        <w:pStyle w:val="Heading1"/>
      </w:pPr>
      <w:bookmarkStart w:id="1" w:name="_Toc230329700"/>
      <w:r>
        <w:lastRenderedPageBreak/>
        <w:t>2.</w:t>
      </w:r>
      <w:r>
        <w:tab/>
      </w:r>
      <w:r>
        <w:t>Scenario 1 – High</w:t>
      </w:r>
      <w:r>
        <w:rPr>
          <w:rFonts w:ascii="Cambria Math" w:hAnsi="Cambria Math" w:cs="Cambria Math"/>
        </w:rPr>
        <w:t>‑</w:t>
      </w:r>
      <w:r>
        <w:t>Performing Workplaces: Evidence from Fortune and Great Place to Work</w:t>
      </w:r>
      <w:bookmarkEnd w:id="1"/>
    </w:p>
    <w:p w14:paraId="11AE004D" w14:textId="77777777" w:rsidR="00AF1AA8" w:rsidRDefault="00AF1AA8" w:rsidP="00AF1AA8">
      <w:pPr>
        <w:pStyle w:val="Heading2"/>
      </w:pPr>
      <w:bookmarkStart w:id="2" w:name="_Toc230329701"/>
      <w:r>
        <w:t xml:space="preserve">2.1 Common </w:t>
      </w:r>
      <w:proofErr w:type="spellStart"/>
      <w:r>
        <w:t>Organisation</w:t>
      </w:r>
      <w:proofErr w:type="spellEnd"/>
      <w:r>
        <w:t xml:space="preserve"> Practices from the Employer of the Year - Top teams</w:t>
      </w:r>
      <w:bookmarkEnd w:id="2"/>
    </w:p>
    <w:p w14:paraId="5B4E3F8C" w14:textId="3DD7C936" w:rsidR="00AF1AA8" w:rsidRDefault="00AF1AA8" w:rsidP="00AF1AA8">
      <w:r>
        <w:t xml:space="preserve">Looking at the Fortune's 100 Best Companies </w:t>
      </w:r>
      <w:r w:rsidR="00570015">
        <w:t>show</w:t>
      </w:r>
      <w:r>
        <w:t xml:space="preserve"> the special practices that companies need to implement.</w:t>
      </w:r>
      <w:r w:rsidR="00EF556E">
        <w:t xml:space="preserve"> </w:t>
      </w:r>
      <w:r>
        <w:t xml:space="preserve">These companies focus on clear communication with the management, a structured induction </w:t>
      </w:r>
      <w:proofErr w:type="spellStart"/>
      <w:r>
        <w:t>programme</w:t>
      </w:r>
      <w:proofErr w:type="spellEnd"/>
      <w:r>
        <w:t xml:space="preserve"> and continued growth. Salesforce has staff conversation platforms that involve weekly town halls with key leadership members to discuss employees' concerns and perspectives, and Cisco has personnel development options such as agile feedback cycles and individual learning paths</w:t>
      </w:r>
      <w:r w:rsidR="00306929">
        <w:t xml:space="preserve"> </w:t>
      </w:r>
      <w:r w:rsidR="00306929">
        <w:t>(</w:t>
      </w:r>
      <w:proofErr w:type="spellStart"/>
      <w:r w:rsidR="00306929" w:rsidRPr="00A03A83">
        <w:t>Pathomphatthaphan</w:t>
      </w:r>
      <w:proofErr w:type="spellEnd"/>
      <w:r w:rsidR="00306929" w:rsidRPr="00A03A83">
        <w:t xml:space="preserve">, Das and </w:t>
      </w:r>
      <w:proofErr w:type="spellStart"/>
      <w:r w:rsidR="00306929" w:rsidRPr="00A03A83">
        <w:t>Keytapark</w:t>
      </w:r>
      <w:proofErr w:type="spellEnd"/>
      <w:r w:rsidR="00306929">
        <w:t xml:space="preserve">, </w:t>
      </w:r>
      <w:r w:rsidR="00306929" w:rsidRPr="00A03A83">
        <w:t>2021</w:t>
      </w:r>
      <w:r w:rsidR="00306929">
        <w:t>)</w:t>
      </w:r>
      <w:r>
        <w:t xml:space="preserve">. Companies in the top decile of the ranking receive extensive training for managers, who at a higher rate coach, empower and express empathy – as Google has found in “Project Oxygen”. But critical scholars point out </w:t>
      </w:r>
      <w:r w:rsidR="00570015">
        <w:t xml:space="preserve">that </w:t>
      </w:r>
      <w:r>
        <w:t xml:space="preserve">such - possibly simpler to execute - practices might be more feasible for technology companies that are wealthier than engineering project </w:t>
      </w:r>
      <w:proofErr w:type="spellStart"/>
      <w:r>
        <w:t>organisations</w:t>
      </w:r>
      <w:proofErr w:type="spellEnd"/>
      <w:r>
        <w:t xml:space="preserve"> where margins are narrower.</w:t>
      </w:r>
    </w:p>
    <w:p w14:paraId="7121481A" w14:textId="77777777" w:rsidR="00AF1AA8" w:rsidRDefault="00AF1AA8" w:rsidP="00AF1AA8">
      <w:pPr>
        <w:pStyle w:val="Heading2"/>
      </w:pPr>
      <w:bookmarkStart w:id="3" w:name="_Toc230329702"/>
      <w:r>
        <w:t>2.2 Common employee benefits</w:t>
      </w:r>
      <w:bookmarkEnd w:id="3"/>
    </w:p>
    <w:p w14:paraId="24D80C87" w14:textId="190F63D2" w:rsidR="00AF1AA8" w:rsidRDefault="00AF1AA8" w:rsidP="00AF1AA8">
      <w:r>
        <w:t xml:space="preserve">These programs span wellness </w:t>
      </w:r>
      <w:proofErr w:type="spellStart"/>
      <w:r>
        <w:t>programmes</w:t>
      </w:r>
      <w:proofErr w:type="spellEnd"/>
      <w:r>
        <w:t>, such as providing mental health days or counselling for employees, to financial benefits</w:t>
      </w:r>
      <w:r w:rsidR="00570015">
        <w:t>,</w:t>
      </w:r>
      <w:r>
        <w:t xml:space="preserve"> including profit</w:t>
      </w:r>
      <w:r>
        <w:rPr>
          <w:rFonts w:ascii="Cambria Math" w:hAnsi="Cambria Math" w:cs="Cambria Math"/>
        </w:rPr>
        <w:t>‑</w:t>
      </w:r>
      <w:r>
        <w:t>sharing, repaying student loans, and much more, including flexible working arrangements</w:t>
      </w:r>
      <w:r w:rsidR="00306929">
        <w:t xml:space="preserve"> </w:t>
      </w:r>
      <w:r w:rsidR="00306929" w:rsidRPr="00114B31">
        <w:t>(Wood et al., 2024)</w:t>
      </w:r>
      <w:r>
        <w:t xml:space="preserve">. Microsoft has a </w:t>
      </w:r>
      <w:r>
        <w:rPr>
          <w:rFonts w:cs="Arial"/>
        </w:rPr>
        <w:t>“</w:t>
      </w:r>
      <w:r w:rsidR="00570015">
        <w:t>well-being</w:t>
      </w:r>
      <w:r>
        <w:t xml:space="preserve"> leave</w:t>
      </w:r>
      <w:r>
        <w:rPr>
          <w:rFonts w:cs="Arial"/>
        </w:rPr>
        <w:t>”</w:t>
      </w:r>
      <w:r>
        <w:t xml:space="preserve"> for mental health</w:t>
      </w:r>
      <w:r w:rsidR="00570015">
        <w:t>,</w:t>
      </w:r>
      <w:r>
        <w:t xml:space="preserve"> and Jacobs Engineering offers student loan repayments as an offering to get them through the engineering </w:t>
      </w:r>
      <w:proofErr w:type="spellStart"/>
      <w:r>
        <w:t>labour</w:t>
      </w:r>
      <w:proofErr w:type="spellEnd"/>
      <w:r>
        <w:t xml:space="preserve"> market.</w:t>
      </w:r>
    </w:p>
    <w:p w14:paraId="3C449DDA" w14:textId="77777777" w:rsidR="00AF1AA8" w:rsidRDefault="00AF1AA8" w:rsidP="00AF1AA8">
      <w:pPr>
        <w:pStyle w:val="Heading2"/>
      </w:pPr>
      <w:bookmarkStart w:id="4" w:name="_Toc230329703"/>
      <w:r>
        <w:t>2.3 Cultural features</w:t>
      </w:r>
      <w:bookmarkEnd w:id="4"/>
    </w:p>
    <w:p w14:paraId="2F687CCD" w14:textId="7B4F1B2D" w:rsidR="00AF1AA8" w:rsidRDefault="00AF1AA8" w:rsidP="00AF1AA8">
      <w:r>
        <w:t>High performing workplaces have established a trust environment, they feel included, they experience recognition and good values. Empowerment of the employees is a key point. Autonomy and psychological safety in decision</w:t>
      </w:r>
      <w:r>
        <w:rPr>
          <w:rFonts w:ascii="Cambria Math" w:hAnsi="Cambria Math" w:cs="Cambria Math"/>
        </w:rPr>
        <w:t>‑</w:t>
      </w:r>
      <w:r>
        <w:t>making lead to a much greater level of engagement. The recognition is on a regular basis and peer</w:t>
      </w:r>
      <w:r>
        <w:rPr>
          <w:rFonts w:ascii="Cambria Math" w:hAnsi="Cambria Math" w:cs="Cambria Math"/>
        </w:rPr>
        <w:t>‑</w:t>
      </w:r>
      <w:r>
        <w:t>influenced, not just once a year</w:t>
      </w:r>
      <w:r w:rsidR="00306929">
        <w:t xml:space="preserve"> </w:t>
      </w:r>
      <w:r w:rsidR="00306929" w:rsidRPr="00114B31">
        <w:t>(Wood et al., 2024)</w:t>
      </w:r>
      <w:r>
        <w:t>. Beyond quotas for diversity, inclusion means access to difficult projects, mentorships and sponsorships</w:t>
      </w:r>
      <w:r w:rsidR="00570015">
        <w:t xml:space="preserve"> </w:t>
      </w:r>
      <w:r>
        <w:t xml:space="preserve">are all available. One concern is that prolific </w:t>
      </w:r>
      <w:r>
        <w:lastRenderedPageBreak/>
        <w:t xml:space="preserve">cultures might embody exclusionary </w:t>
      </w:r>
      <w:r w:rsidR="00570015">
        <w:t xml:space="preserve">practices </w:t>
      </w:r>
      <w:r>
        <w:t>because those who don't normally comply with their way may be cut off.</w:t>
      </w:r>
    </w:p>
    <w:p w14:paraId="523C9416" w14:textId="77777777" w:rsidR="00AF1AA8" w:rsidRDefault="00AF1AA8" w:rsidP="00AF1AA8">
      <w:pPr>
        <w:pStyle w:val="Heading2"/>
      </w:pPr>
      <w:bookmarkStart w:id="5" w:name="_Toc230329704"/>
      <w:r>
        <w:t>2.4 Synthesis of findings</w:t>
      </w:r>
      <w:bookmarkEnd w:id="5"/>
    </w:p>
    <w:p w14:paraId="7909FB23" w14:textId="498CEDC5" w:rsidR="00AF1AA8" w:rsidRDefault="00AF1AA8" w:rsidP="00AF1AA8">
      <w:r>
        <w:t xml:space="preserve">It is possible to </w:t>
      </w:r>
      <w:proofErr w:type="spellStart"/>
      <w:r>
        <w:t>synthesise</w:t>
      </w:r>
      <w:proofErr w:type="spellEnd"/>
      <w:r>
        <w:t xml:space="preserve"> the cross</w:t>
      </w:r>
      <w:r>
        <w:rPr>
          <w:rFonts w:ascii="Cambria Math" w:hAnsi="Cambria Math" w:cs="Cambria Math"/>
        </w:rPr>
        <w:t>‑</w:t>
      </w:r>
      <w:proofErr w:type="spellStart"/>
      <w:r>
        <w:t>organisational</w:t>
      </w:r>
      <w:proofErr w:type="spellEnd"/>
      <w:r>
        <w:t xml:space="preserve"> themes, giving rise to three key drivers. Shared purpose </w:t>
      </w:r>
      <w:r>
        <w:rPr>
          <w:rFonts w:cs="Arial"/>
        </w:rPr>
        <w:t>–</w:t>
      </w:r>
      <w:r>
        <w:t xml:space="preserve"> employees see a link between what they do and the </w:t>
      </w:r>
      <w:proofErr w:type="spellStart"/>
      <w:r>
        <w:t>organisational</w:t>
      </w:r>
      <w:proofErr w:type="spellEnd"/>
      <w:r>
        <w:t xml:space="preserve"> mission. Second, proactive well</w:t>
      </w:r>
      <w:r>
        <w:rPr>
          <w:rFonts w:ascii="Cambria Math" w:hAnsi="Cambria Math" w:cs="Cambria Math"/>
        </w:rPr>
        <w:t>‑</w:t>
      </w:r>
      <w:r>
        <w:t>being, mental &amp; physical health support is systematic</w:t>
      </w:r>
      <w:r w:rsidR="00570015">
        <w:t>,</w:t>
      </w:r>
      <w:r>
        <w:t xml:space="preserve"> not reactive. Third, growth infrastructure </w:t>
      </w:r>
      <w:r>
        <w:rPr>
          <w:rFonts w:cs="Arial"/>
        </w:rPr>
        <w:t>–</w:t>
      </w:r>
      <w:r>
        <w:t xml:space="preserve"> learning opportunities are integrated into </w:t>
      </w:r>
      <w:r w:rsidR="00570015">
        <w:t xml:space="preserve">the </w:t>
      </w:r>
      <w:r>
        <w:t xml:space="preserve">work process. These practices not only limit employee turnover but also create better results for the project. While </w:t>
      </w:r>
      <w:r w:rsidR="00570015">
        <w:t>benchmarking</w:t>
      </w:r>
      <w:r>
        <w:t xml:space="preserve"> with </w:t>
      </w:r>
      <w:r w:rsidR="00570015">
        <w:t>high-performing workplaces</w:t>
      </w:r>
      <w:r>
        <w:t xml:space="preserve"> (HPWs) is a crucial step for any engineering project </w:t>
      </w:r>
      <w:proofErr w:type="spellStart"/>
      <w:r w:rsidR="00570015">
        <w:t>organisation</w:t>
      </w:r>
      <w:proofErr w:type="spellEnd"/>
      <w:r>
        <w:t xml:space="preserve">, it should be applied to the project context and should not be a mere copy of the </w:t>
      </w:r>
      <w:r w:rsidR="00570015">
        <w:t>high-performing</w:t>
      </w:r>
      <w:r>
        <w:t xml:space="preserve"> workplaces.</w:t>
      </w:r>
    </w:p>
    <w:p w14:paraId="0EF4642E" w14:textId="57877F9B" w:rsidR="00AF1AA8" w:rsidRDefault="00AF1AA8">
      <w:pPr>
        <w:spacing w:line="259" w:lineRule="auto"/>
        <w:jc w:val="left"/>
      </w:pPr>
      <w:r>
        <w:br w:type="page"/>
      </w:r>
    </w:p>
    <w:p w14:paraId="50B3F2EE" w14:textId="45F315D5" w:rsidR="00AF1AA8" w:rsidRDefault="00AF1AA8" w:rsidP="00AF1AA8">
      <w:pPr>
        <w:pStyle w:val="Heading1"/>
      </w:pPr>
      <w:bookmarkStart w:id="6" w:name="_Toc230329705"/>
      <w:r>
        <w:lastRenderedPageBreak/>
        <w:t>3.</w:t>
      </w:r>
      <w:r>
        <w:tab/>
      </w:r>
      <w:r>
        <w:t>Scenario 2 - Employee Orientation Practices</w:t>
      </w:r>
      <w:bookmarkEnd w:id="6"/>
    </w:p>
    <w:p w14:paraId="68D63CF4" w14:textId="73C7A49C" w:rsidR="00AF1AA8" w:rsidRPr="00AF1AA8" w:rsidRDefault="00AF1AA8" w:rsidP="00AF1AA8">
      <w:pPr>
        <w:pStyle w:val="Heading2"/>
        <w:rPr>
          <w:bCs/>
        </w:rPr>
      </w:pPr>
      <w:bookmarkStart w:id="7" w:name="_Toc230329706"/>
      <w:r>
        <w:rPr>
          <w:bCs/>
        </w:rPr>
        <w:t xml:space="preserve">3.1 </w:t>
      </w:r>
      <w:r w:rsidRPr="00AF1AA8">
        <w:rPr>
          <w:bCs/>
        </w:rPr>
        <w:t xml:space="preserve">Critical evaluation of a researched induction </w:t>
      </w:r>
      <w:proofErr w:type="spellStart"/>
      <w:r w:rsidRPr="00AF1AA8">
        <w:rPr>
          <w:bCs/>
        </w:rPr>
        <w:t>programme</w:t>
      </w:r>
      <w:bookmarkEnd w:id="7"/>
      <w:proofErr w:type="spellEnd"/>
    </w:p>
    <w:p w14:paraId="7509A8B8" w14:textId="57BCC962" w:rsidR="00AF1AA8" w:rsidRDefault="00AF1AA8" w:rsidP="00AF1AA8">
      <w:r>
        <w:t xml:space="preserve">A case study of a published induction </w:t>
      </w:r>
      <w:proofErr w:type="spellStart"/>
      <w:r>
        <w:t>programme</w:t>
      </w:r>
      <w:proofErr w:type="spellEnd"/>
      <w:r>
        <w:t xml:space="preserve"> at a large engineering consultancy had a </w:t>
      </w:r>
      <w:r>
        <w:t>2-day</w:t>
      </w:r>
      <w:r>
        <w:t xml:space="preserve"> orientation. The first day was mostly about installing IT, briefing on compliance</w:t>
      </w:r>
      <w:r>
        <w:t>,</w:t>
      </w:r>
      <w:r>
        <w:t xml:space="preserve"> and a review of HR policy – it was a fairly passive and information</w:t>
      </w:r>
      <w:r>
        <w:rPr>
          <w:rFonts w:ascii="Cambria Math" w:hAnsi="Cambria Math" w:cs="Cambria Math"/>
        </w:rPr>
        <w:t>‑</w:t>
      </w:r>
      <w:r>
        <w:t xml:space="preserve">dense day. The team lunch was held </w:t>
      </w:r>
      <w:r>
        <w:t>on</w:t>
      </w:r>
      <w:r>
        <w:t xml:space="preserve"> day two</w:t>
      </w:r>
      <w:r>
        <w:t>,</w:t>
      </w:r>
      <w:r>
        <w:t xml:space="preserve"> along with a briefing on the safety measures. Strengths were administrative clarity. But it was an aid of little utility. A lack of project</w:t>
      </w:r>
      <w:r>
        <w:rPr>
          <w:rFonts w:ascii="Cambria Math" w:hAnsi="Cambria Math" w:cs="Cambria Math"/>
        </w:rPr>
        <w:t>‑</w:t>
      </w:r>
      <w:r>
        <w:t xml:space="preserve">specific context, poorly integrated project management systems, and a missing link to the </w:t>
      </w:r>
      <w:proofErr w:type="spellStart"/>
      <w:r>
        <w:t>organisation's</w:t>
      </w:r>
      <w:proofErr w:type="spellEnd"/>
      <w:r>
        <w:t xml:space="preserve"> strategy are all cited as obstacles to successfully bringing new employees into the project. Strategic alignment was weak due to an orientation towards compliance</w:t>
      </w:r>
      <w:r>
        <w:t>,</w:t>
      </w:r>
      <w:r>
        <w:t xml:space="preserve"> which did not take into account cultural integration. Theoretically, it is expected that the employees return positive </w:t>
      </w:r>
      <w:proofErr w:type="spellStart"/>
      <w:r>
        <w:t>behaviour</w:t>
      </w:r>
      <w:proofErr w:type="spellEnd"/>
      <w:r>
        <w:t xml:space="preserve"> with loyalty in accordance with the theory of Social Exchange</w:t>
      </w:r>
      <w:r w:rsidR="00306929">
        <w:t xml:space="preserve"> </w:t>
      </w:r>
      <w:r w:rsidR="00306929">
        <w:t>(</w:t>
      </w:r>
      <w:proofErr w:type="spellStart"/>
      <w:r w:rsidR="00306929" w:rsidRPr="00A34A0F">
        <w:t>Runhaar</w:t>
      </w:r>
      <w:proofErr w:type="spellEnd"/>
      <w:r w:rsidR="00306929" w:rsidRPr="00A34A0F">
        <w:t>, Gulikers and Biemans, 2024</w:t>
      </w:r>
      <w:r w:rsidR="00306929">
        <w:t>)</w:t>
      </w:r>
      <w:r>
        <w:t xml:space="preserve">. When the onboarding process is not </w:t>
      </w:r>
      <w:r>
        <w:t>well-designed</w:t>
      </w:r>
      <w:r>
        <w:t xml:space="preserve">, it means that the </w:t>
      </w:r>
      <w:proofErr w:type="spellStart"/>
      <w:r>
        <w:t>organisation</w:t>
      </w:r>
      <w:proofErr w:type="spellEnd"/>
      <w:r>
        <w:t xml:space="preserve"> doesn't invest in it and that can raise the risk of early turnover.</w:t>
      </w:r>
    </w:p>
    <w:p w14:paraId="59CB293E" w14:textId="77777777" w:rsidR="00AF1AA8" w:rsidRDefault="00AF1AA8" w:rsidP="00AF1AA8">
      <w:pPr>
        <w:pStyle w:val="Heading2"/>
      </w:pPr>
      <w:bookmarkStart w:id="8" w:name="_Toc230329707"/>
      <w:r>
        <w:t>3.2 Proposed evidence</w:t>
      </w:r>
      <w:r>
        <w:rPr>
          <w:rFonts w:ascii="Cambria Math" w:hAnsi="Cambria Math" w:cs="Cambria Math"/>
        </w:rPr>
        <w:t>‑</w:t>
      </w:r>
      <w:r>
        <w:t>based improvements</w:t>
      </w:r>
      <w:bookmarkEnd w:id="8"/>
    </w:p>
    <w:p w14:paraId="61FA22C3" w14:textId="51272562" w:rsidR="00AF1AA8" w:rsidRDefault="00AF1AA8" w:rsidP="00AF1AA8">
      <w:r>
        <w:t>A recent, comprehensive study found that proper orientation takes 90</w:t>
      </w:r>
      <w:r>
        <w:rPr>
          <w:rFonts w:ascii="Cambria Math" w:hAnsi="Cambria Math" w:cs="Cambria Math"/>
        </w:rPr>
        <w:t>‑</w:t>
      </w:r>
      <w:r>
        <w:t>days, rather than just 1</w:t>
      </w:r>
      <w:r>
        <w:rPr>
          <w:rFonts w:ascii="Cambria Math" w:hAnsi="Cambria Math" w:cs="Cambria Math"/>
        </w:rPr>
        <w:t>‑</w:t>
      </w:r>
      <w:r>
        <w:t>day, to be effective. Recommendations include:</w:t>
      </w:r>
    </w:p>
    <w:p w14:paraId="30B0C8D4" w14:textId="77777777" w:rsidR="00AF1AA8" w:rsidRDefault="00AF1AA8" w:rsidP="00AF1AA8">
      <w:pPr>
        <w:pStyle w:val="ListParagraph"/>
        <w:numPr>
          <w:ilvl w:val="0"/>
          <w:numId w:val="5"/>
        </w:numPr>
      </w:pPr>
      <w:r>
        <w:t>Multiple months of onboarding – 90</w:t>
      </w:r>
      <w:r w:rsidRPr="00AF1AA8">
        <w:rPr>
          <w:rFonts w:ascii="Cambria Math" w:hAnsi="Cambria Math" w:cs="Cambria Math"/>
        </w:rPr>
        <w:t>‑</w:t>
      </w:r>
      <w:r>
        <w:t>day onboarding roadmap with weekly check</w:t>
      </w:r>
      <w:r w:rsidRPr="00AF1AA8">
        <w:rPr>
          <w:rFonts w:ascii="Cambria Math" w:hAnsi="Cambria Math" w:cs="Cambria Math"/>
        </w:rPr>
        <w:t>‑</w:t>
      </w:r>
      <w:r>
        <w:t>ins.</w:t>
      </w:r>
    </w:p>
    <w:p w14:paraId="105790B7" w14:textId="44228B7B" w:rsidR="00AF1AA8" w:rsidRDefault="00AF1AA8" w:rsidP="00AF1AA8">
      <w:pPr>
        <w:pStyle w:val="ListParagraph"/>
        <w:numPr>
          <w:ilvl w:val="0"/>
          <w:numId w:val="5"/>
        </w:numPr>
      </w:pPr>
      <w:r>
        <w:t>Project</w:t>
      </w:r>
      <w:r w:rsidRPr="00AF1AA8">
        <w:rPr>
          <w:rFonts w:ascii="Cambria Math" w:hAnsi="Cambria Math" w:cs="Cambria Math"/>
        </w:rPr>
        <w:t>‑</w:t>
      </w:r>
      <w:r>
        <w:t>based immersion (Small project task in week 1 with peer mentor.</w:t>
      </w:r>
    </w:p>
    <w:p w14:paraId="5AA4F6B0" w14:textId="77777777" w:rsidR="00AF1AA8" w:rsidRDefault="00AF1AA8" w:rsidP="00AF1AA8">
      <w:pPr>
        <w:pStyle w:val="ListParagraph"/>
        <w:numPr>
          <w:ilvl w:val="0"/>
          <w:numId w:val="5"/>
        </w:numPr>
      </w:pPr>
      <w:r>
        <w:t>Strategic storytelling: videos from leaders containing explanations – role contribution to project KPIs.</w:t>
      </w:r>
    </w:p>
    <w:p w14:paraId="4B8A6D60" w14:textId="77777777" w:rsidR="00AF1AA8" w:rsidRDefault="00AF1AA8" w:rsidP="00AF1AA8">
      <w:pPr>
        <w:pStyle w:val="ListParagraph"/>
        <w:numPr>
          <w:ilvl w:val="0"/>
          <w:numId w:val="5"/>
        </w:numPr>
      </w:pPr>
      <w:r>
        <w:t>Digital orientation hub (with practical simulations) – self</w:t>
      </w:r>
      <w:r w:rsidRPr="00AF1AA8">
        <w:rPr>
          <w:rFonts w:ascii="Cambria Math" w:hAnsi="Cambria Math" w:cs="Cambria Math"/>
        </w:rPr>
        <w:t>‑</w:t>
      </w:r>
      <w:r>
        <w:t>paced modules.</w:t>
      </w:r>
    </w:p>
    <w:p w14:paraId="564B4610" w14:textId="4E54589D" w:rsidR="00AF1AA8" w:rsidRDefault="00AF1AA8" w:rsidP="00AF1AA8">
      <w:pPr>
        <w:pStyle w:val="ListParagraph"/>
        <w:numPr>
          <w:ilvl w:val="0"/>
          <w:numId w:val="5"/>
        </w:numPr>
      </w:pPr>
      <w:r>
        <w:t>Feedback loops – Structured feedback at 30, 60 and 90 days.</w:t>
      </w:r>
    </w:p>
    <w:p w14:paraId="41AC2783" w14:textId="77777777" w:rsidR="00AF1AA8" w:rsidRDefault="00AF1AA8" w:rsidP="00AF1AA8">
      <w:pPr>
        <w:pStyle w:val="ListParagraph"/>
        <w:numPr>
          <w:ilvl w:val="0"/>
          <w:numId w:val="5"/>
        </w:numPr>
      </w:pPr>
      <w:r>
        <w:t>Manager training – Invest in teaching the Project Managers about integration and setting up expectations.</w:t>
      </w:r>
    </w:p>
    <w:p w14:paraId="091EE747" w14:textId="3703E22C" w:rsidR="00AF1AA8" w:rsidRDefault="00AF1AA8" w:rsidP="00AF1AA8">
      <w:r>
        <w:t>Arup has adopted the new ‘Arup You´, which is a 90</w:t>
      </w:r>
      <w:r>
        <w:rPr>
          <w:rFonts w:ascii="Cambria Math" w:hAnsi="Cambria Math" w:cs="Cambria Math"/>
        </w:rPr>
        <w:t>‑</w:t>
      </w:r>
      <w:r>
        <w:t xml:space="preserve">day onboarding </w:t>
      </w:r>
      <w:proofErr w:type="spellStart"/>
      <w:r>
        <w:t>programme</w:t>
      </w:r>
      <w:proofErr w:type="spellEnd"/>
      <w:r>
        <w:t xml:space="preserve"> that includes digital modules, project shadowing and peer mentoring, aiming to improve </w:t>
      </w:r>
      <w:r>
        <w:lastRenderedPageBreak/>
        <w:t>time</w:t>
      </w:r>
      <w:r>
        <w:rPr>
          <w:rFonts w:ascii="Cambria Math" w:hAnsi="Cambria Math" w:cs="Cambria Math"/>
        </w:rPr>
        <w:t>‑</w:t>
      </w:r>
      <w:r>
        <w:t>to</w:t>
      </w:r>
      <w:r>
        <w:rPr>
          <w:rFonts w:ascii="Cambria Math" w:hAnsi="Cambria Math" w:cs="Cambria Math"/>
        </w:rPr>
        <w:t>‑</w:t>
      </w:r>
      <w:r>
        <w:t>productivity to 40% of actual productivity in less than 90 days. As an administrative requirement, orientation can be turned into a strategic tool and offers measurable benefits for the project.</w:t>
      </w:r>
    </w:p>
    <w:p w14:paraId="019B3516" w14:textId="77777777" w:rsidR="00AF1AA8" w:rsidRDefault="00AF1AA8" w:rsidP="00AF1AA8"/>
    <w:p w14:paraId="0F3F2E6C" w14:textId="05E4A2AE" w:rsidR="00EF556E" w:rsidRDefault="00EF556E">
      <w:pPr>
        <w:spacing w:line="259" w:lineRule="auto"/>
        <w:jc w:val="left"/>
      </w:pPr>
      <w:r>
        <w:br w:type="page"/>
      </w:r>
    </w:p>
    <w:p w14:paraId="3A503980" w14:textId="3B8169C7" w:rsidR="00AF1AA8" w:rsidRDefault="00AF1AA8" w:rsidP="00EF556E">
      <w:pPr>
        <w:pStyle w:val="Heading1"/>
      </w:pPr>
      <w:bookmarkStart w:id="9" w:name="_Toc230329708"/>
      <w:r>
        <w:lastRenderedPageBreak/>
        <w:t>4.</w:t>
      </w:r>
      <w:r w:rsidR="00EF556E">
        <w:tab/>
      </w:r>
      <w:r>
        <w:t>Scenario 3 – Modern approaches to Succession Planning</w:t>
      </w:r>
      <w:bookmarkEnd w:id="9"/>
    </w:p>
    <w:p w14:paraId="32BAB94C" w14:textId="283CB68F" w:rsidR="00AF1AA8" w:rsidRDefault="00AF1AA8" w:rsidP="00EF556E">
      <w:pPr>
        <w:pStyle w:val="Heading2"/>
      </w:pPr>
      <w:bookmarkStart w:id="10" w:name="_Toc230329709"/>
      <w:r>
        <w:t>4.1 Traditional vs modern approaches</w:t>
      </w:r>
      <w:bookmarkEnd w:id="10"/>
    </w:p>
    <w:p w14:paraId="406356BA" w14:textId="6E8ECEC1" w:rsidR="00AF1AA8" w:rsidRDefault="00AF1AA8" w:rsidP="00AF1AA8">
      <w:r>
        <w:t xml:space="preserve">In these conventional succession planning tools, succession planning was linear, confidential and only addressed a small </w:t>
      </w:r>
      <w:r w:rsidR="00EF556E">
        <w:t>number</w:t>
      </w:r>
      <w:r>
        <w:t xml:space="preserve"> of the top executives. It became </w:t>
      </w:r>
      <w:proofErr w:type="spellStart"/>
      <w:r w:rsidR="00EF556E">
        <w:t>institutionalised</w:t>
      </w:r>
      <w:proofErr w:type="spellEnd"/>
      <w:r>
        <w:t xml:space="preserve"> with fixed </w:t>
      </w:r>
      <w:proofErr w:type="spellStart"/>
      <w:r w:rsidR="00EF556E">
        <w:t>organisational</w:t>
      </w:r>
      <w:proofErr w:type="spellEnd"/>
      <w:r>
        <w:t xml:space="preserve"> forms, anticipated and authoritative career paths, and longevity. Replacement charts revealed that in one case, for each managerial position</w:t>
      </w:r>
      <w:r w:rsidR="00EF556E">
        <w:t>,</w:t>
      </w:r>
      <w:r>
        <w:t xml:space="preserve"> there was only one replacement, nominated by management. In the project</w:t>
      </w:r>
      <w:r>
        <w:rPr>
          <w:rFonts w:ascii="Cambria Math" w:hAnsi="Cambria Math" w:cs="Cambria Math"/>
        </w:rPr>
        <w:t>‑</w:t>
      </w:r>
      <w:r>
        <w:t xml:space="preserve">based </w:t>
      </w:r>
      <w:proofErr w:type="spellStart"/>
      <w:r>
        <w:t>organisation</w:t>
      </w:r>
      <w:proofErr w:type="spellEnd"/>
      <w:r>
        <w:t xml:space="preserve"> of the agile world, these are no longer true. New methods are flexible, clear, and talent</w:t>
      </w:r>
      <w:r>
        <w:rPr>
          <w:rFonts w:ascii="Cambria Math" w:hAnsi="Cambria Math" w:cs="Cambria Math"/>
        </w:rPr>
        <w:t>‑</w:t>
      </w:r>
      <w:r>
        <w:t xml:space="preserve">based. Firms create "succession pools" that are comprised of several different critical job functions, such as technical leads and project managers. Siemens' talent pool approach consists of all </w:t>
      </w:r>
      <w:r w:rsidR="00EF556E">
        <w:t>high-potential</w:t>
      </w:r>
      <w:r>
        <w:t xml:space="preserve"> employees who are developed for different kinds of roles in the future</w:t>
      </w:r>
      <w:r w:rsidR="00306929">
        <w:t xml:space="preserve"> </w:t>
      </w:r>
      <w:r w:rsidR="00306929" w:rsidRPr="00114B31">
        <w:t>(Jadesola et al., 2023</w:t>
      </w:r>
      <w:r w:rsidR="00306929" w:rsidRPr="00114B31">
        <w:t>0029</w:t>
      </w:r>
      <w:r>
        <w:t>. This fits into the AMO model (Ability</w:t>
      </w:r>
      <w:r>
        <w:rPr>
          <w:rFonts w:ascii="Cambria Math" w:hAnsi="Cambria Math" w:cs="Cambria Math"/>
        </w:rPr>
        <w:t>‑</w:t>
      </w:r>
      <w:r>
        <w:t>Motivation</w:t>
      </w:r>
      <w:r>
        <w:rPr>
          <w:rFonts w:ascii="Cambria Math" w:hAnsi="Cambria Math" w:cs="Cambria Math"/>
        </w:rPr>
        <w:t>‑</w:t>
      </w:r>
      <w:r>
        <w:t>Opportunity) of HRM practices, which states that various HRM practices improve the performance of an employee by improving his abilities, making him more motivated, and providing him with opportunities.</w:t>
      </w:r>
    </w:p>
    <w:p w14:paraId="107044A0" w14:textId="77777777" w:rsidR="00AF1AA8" w:rsidRDefault="00AF1AA8" w:rsidP="00EF556E">
      <w:pPr>
        <w:pStyle w:val="Heading2"/>
      </w:pPr>
      <w:bookmarkStart w:id="11" w:name="_Toc230329710"/>
      <w:r>
        <w:t>4.2 Effectiveness and limitations</w:t>
      </w:r>
      <w:bookmarkEnd w:id="11"/>
    </w:p>
    <w:p w14:paraId="3E0564D3" w14:textId="3B153ACC" w:rsidR="00AF1AA8" w:rsidRDefault="00570015" w:rsidP="00AF1AA8">
      <w:r>
        <w:t>T</w:t>
      </w:r>
      <w:r w:rsidR="00AF1AA8">
        <w:t>he traditional approach missed out on identifying a variety of talent as individuals were nominated for selection by managers</w:t>
      </w:r>
      <w:r w:rsidR="00EF556E">
        <w:t>,</w:t>
      </w:r>
      <w:r w:rsidR="00AF1AA8">
        <w:t xml:space="preserve"> who were people like themselves. The modern ways are more inclusive</w:t>
      </w:r>
      <w:r w:rsidR="00EF556E">
        <w:t>,</w:t>
      </w:r>
      <w:r w:rsidR="00AF1AA8">
        <w:t xml:space="preserve"> but there are certain limitations. Most </w:t>
      </w:r>
      <w:proofErr w:type="spellStart"/>
      <w:r w:rsidR="00AF1AA8">
        <w:t>organisations</w:t>
      </w:r>
      <w:proofErr w:type="spellEnd"/>
      <w:r w:rsidR="00AF1AA8">
        <w:t xml:space="preserve"> don't have a succession plan for the mid</w:t>
      </w:r>
      <w:r w:rsidR="00AF1AA8">
        <w:rPr>
          <w:rFonts w:ascii="Cambria Math" w:hAnsi="Cambria Math" w:cs="Cambria Math"/>
        </w:rPr>
        <w:t>‑</w:t>
      </w:r>
      <w:r w:rsidR="00AF1AA8">
        <w:t>level project requirements</w:t>
      </w:r>
      <w:r w:rsidR="00306929">
        <w:t xml:space="preserve"> </w:t>
      </w:r>
      <w:r w:rsidR="00306929">
        <w:t>(</w:t>
      </w:r>
      <w:r w:rsidR="00306929" w:rsidRPr="009E6946">
        <w:t>Patra, Datta and Bose, 2024</w:t>
      </w:r>
      <w:r w:rsidR="00306929">
        <w:t>)</w:t>
      </w:r>
      <w:r w:rsidR="00AF1AA8">
        <w:t xml:space="preserve">. Managers can </w:t>
      </w:r>
      <w:r w:rsidR="00EF556E">
        <w:t>face</w:t>
      </w:r>
      <w:r w:rsidR="00AF1AA8">
        <w:t xml:space="preserve"> a decline in key talent, forcing them to make hard choices on releasing others from their teams to ensure the </w:t>
      </w:r>
      <w:r w:rsidR="00EF556E">
        <w:t>business's</w:t>
      </w:r>
      <w:r w:rsidR="00AF1AA8">
        <w:t xml:space="preserve"> resilience. Modern pools can become bloated and too big to focus development efforts.</w:t>
      </w:r>
    </w:p>
    <w:p w14:paraId="5AD6AA16" w14:textId="0AA787EB" w:rsidR="00AF1AA8" w:rsidRDefault="00EF556E" w:rsidP="00EF556E">
      <w:pPr>
        <w:pStyle w:val="Heading2"/>
      </w:pPr>
      <w:bookmarkStart w:id="12" w:name="_Toc230329711"/>
      <w:r>
        <w:t xml:space="preserve">4.3 </w:t>
      </w:r>
      <w:r w:rsidR="00AF1AA8">
        <w:t>Workforce Analytics</w:t>
      </w:r>
      <w:bookmarkEnd w:id="12"/>
    </w:p>
    <w:p w14:paraId="7847EC53" w14:textId="72268AFB" w:rsidR="00AF1AA8" w:rsidRDefault="00AF1AA8" w:rsidP="00AF1AA8">
      <w:r>
        <w:t>Workforce analytics is used to enhance succession planning. Predictive modelling is used for predicting flight risks and high</w:t>
      </w:r>
      <w:r>
        <w:rPr>
          <w:rFonts w:ascii="Cambria Math" w:hAnsi="Cambria Math" w:cs="Cambria Math"/>
        </w:rPr>
        <w:t>‑</w:t>
      </w:r>
      <w:r>
        <w:t xml:space="preserve">potential employees in the first place. In other words, skills gap analysis is the process of connecting present skills with the future requirements of a project. Third, network analysis has shown that informal leaders (individuals who </w:t>
      </w:r>
      <w:r>
        <w:lastRenderedPageBreak/>
        <w:t xml:space="preserve">exert influence over project outcomes but who are not necessarily granted authority to do so) can have a significant impact on the project. To proactively develop technical specialists to take the place of employees </w:t>
      </w:r>
      <w:r w:rsidR="00570015">
        <w:t>who</w:t>
      </w:r>
      <w:r>
        <w:t xml:space="preserve"> are close to retirement, BAE Systems relies on a workforce analytics tool. Attendant ethical questions come with these analytics</w:t>
      </w:r>
      <w:r w:rsidR="00570015">
        <w:t>;</w:t>
      </w:r>
      <w:r>
        <w:t xml:space="preserve"> however, as workers feel like being observed </w:t>
      </w:r>
      <w:r w:rsidR="00306929" w:rsidRPr="00306929">
        <w:t>(Coolen et al., 2023)</w:t>
      </w:r>
      <w:r>
        <w:t xml:space="preserve">. All </w:t>
      </w:r>
      <w:proofErr w:type="spellStart"/>
      <w:r>
        <w:t>organisations</w:t>
      </w:r>
      <w:proofErr w:type="spellEnd"/>
      <w:r>
        <w:t xml:space="preserve"> need to make effective use of analytics and to have robust inbuilt mechanisms to make clear to users how they are consenting to the process.</w:t>
      </w:r>
    </w:p>
    <w:p w14:paraId="7A42204A" w14:textId="77777777" w:rsidR="00AF1AA8" w:rsidRDefault="00AF1AA8" w:rsidP="00AF1AA8"/>
    <w:p w14:paraId="57E7D670" w14:textId="741A6A44" w:rsidR="00EF556E" w:rsidRDefault="00EF556E">
      <w:pPr>
        <w:spacing w:line="259" w:lineRule="auto"/>
        <w:jc w:val="left"/>
      </w:pPr>
      <w:r>
        <w:br w:type="page"/>
      </w:r>
    </w:p>
    <w:p w14:paraId="55DDA5B3" w14:textId="0B905806" w:rsidR="00AF1AA8" w:rsidRDefault="00AF1AA8" w:rsidP="00EF556E">
      <w:pPr>
        <w:pStyle w:val="Heading1"/>
      </w:pPr>
      <w:bookmarkStart w:id="13" w:name="_Toc230329712"/>
      <w:r>
        <w:lastRenderedPageBreak/>
        <w:t>5.</w:t>
      </w:r>
      <w:r w:rsidR="00EF556E">
        <w:tab/>
      </w:r>
      <w:r>
        <w:t>Scenario 4 – Resourcing and Retention Strategies</w:t>
      </w:r>
      <w:bookmarkEnd w:id="13"/>
    </w:p>
    <w:p w14:paraId="3E470DEC" w14:textId="07FA940C" w:rsidR="00EF556E" w:rsidRPr="00EF556E" w:rsidRDefault="00EF556E" w:rsidP="00EF556E">
      <w:pPr>
        <w:pStyle w:val="Heading2"/>
      </w:pPr>
      <w:bookmarkStart w:id="14" w:name="_Toc230329713"/>
      <w:r>
        <w:t xml:space="preserve">5.1 </w:t>
      </w:r>
      <w:r w:rsidRPr="00EF556E">
        <w:t xml:space="preserve">Attracting diverse talent in current </w:t>
      </w:r>
      <w:proofErr w:type="spellStart"/>
      <w:r w:rsidRPr="00EF556E">
        <w:t>labour</w:t>
      </w:r>
      <w:proofErr w:type="spellEnd"/>
      <w:r w:rsidRPr="00EF556E">
        <w:t xml:space="preserve"> markets</w:t>
      </w:r>
      <w:bookmarkEnd w:id="14"/>
    </w:p>
    <w:p w14:paraId="08B17463" w14:textId="0FCB8162" w:rsidR="00AF1AA8" w:rsidRDefault="00AF1AA8" w:rsidP="00AF1AA8">
      <w:r>
        <w:t xml:space="preserve">On the other hand, some </w:t>
      </w:r>
      <w:proofErr w:type="spellStart"/>
      <w:r>
        <w:t>labour</w:t>
      </w:r>
      <w:proofErr w:type="spellEnd"/>
      <w:r>
        <w:t xml:space="preserve"> market trends include a growing expectation for remote working, a desire for a values-driven job and a critical shortage of skills. There is also a lack of diversity in project leadership positions</w:t>
      </w:r>
      <w:r w:rsidR="00306929">
        <w:t xml:space="preserve"> </w:t>
      </w:r>
      <w:r w:rsidR="00306929" w:rsidRPr="001448DB">
        <w:t>(Martínez-Morán et al. 2024</w:t>
      </w:r>
      <w:r w:rsidR="00306929">
        <w:t>)</w:t>
      </w:r>
      <w:r>
        <w:t xml:space="preserve">. </w:t>
      </w:r>
      <w:r w:rsidR="00570015">
        <w:t>Evidence-based strategies</w:t>
      </w:r>
      <w:r>
        <w:t xml:space="preserve"> include:</w:t>
      </w:r>
    </w:p>
    <w:p w14:paraId="6E49C441" w14:textId="3408BA5C" w:rsidR="00AF1AA8" w:rsidRDefault="00AF1AA8" w:rsidP="00EF556E">
      <w:pPr>
        <w:pStyle w:val="ListParagraph"/>
        <w:numPr>
          <w:ilvl w:val="0"/>
          <w:numId w:val="6"/>
        </w:numPr>
      </w:pPr>
      <w:r>
        <w:t>Use of gender</w:t>
      </w:r>
      <w:r w:rsidRPr="00EF556E">
        <w:rPr>
          <w:rFonts w:ascii="Cambria Math" w:hAnsi="Cambria Math" w:cs="Cambria Math"/>
        </w:rPr>
        <w:t>‑</w:t>
      </w:r>
      <w:r>
        <w:t xml:space="preserve">neutral language in job descriptions </w:t>
      </w:r>
      <w:r w:rsidR="00EF556E">
        <w:t>to</w:t>
      </w:r>
      <w:r>
        <w:t xml:space="preserve"> be inclusive</w:t>
      </w:r>
      <w:r w:rsidR="00570015">
        <w:t>.</w:t>
      </w:r>
    </w:p>
    <w:p w14:paraId="1741E88B" w14:textId="69745D78" w:rsidR="00AF1AA8" w:rsidRDefault="00AF1AA8" w:rsidP="00EF556E">
      <w:pPr>
        <w:pStyle w:val="ListParagraph"/>
        <w:numPr>
          <w:ilvl w:val="0"/>
          <w:numId w:val="6"/>
        </w:numPr>
      </w:pPr>
      <w:r>
        <w:t xml:space="preserve">Using professional </w:t>
      </w:r>
      <w:proofErr w:type="spellStart"/>
      <w:r w:rsidR="00EF556E">
        <w:t>organisations</w:t>
      </w:r>
      <w:proofErr w:type="spellEnd"/>
      <w:r>
        <w:t xml:space="preserve"> to reach engineering students and society (Women in Engineering, Society of Hispanic Professional Engineers).</w:t>
      </w:r>
    </w:p>
    <w:p w14:paraId="54E5BCF0" w14:textId="437AE186" w:rsidR="00570015" w:rsidRDefault="00570015" w:rsidP="00EF556E">
      <w:pPr>
        <w:pStyle w:val="ListParagraph"/>
        <w:numPr>
          <w:ilvl w:val="0"/>
          <w:numId w:val="6"/>
        </w:numPr>
      </w:pPr>
      <w:proofErr w:type="spellStart"/>
      <w:r>
        <w:t>Utilising</w:t>
      </w:r>
      <w:proofErr w:type="spellEnd"/>
      <w:r>
        <w:t xml:space="preserve"> </w:t>
      </w:r>
      <w:r>
        <w:t>blind recruitment</w:t>
      </w:r>
      <w:r>
        <w:t xml:space="preserve"> t</w:t>
      </w:r>
      <w:r w:rsidR="00AF1AA8">
        <w:t xml:space="preserve">o </w:t>
      </w:r>
      <w:proofErr w:type="spellStart"/>
      <w:r w:rsidR="00AF1AA8">
        <w:t>minimise</w:t>
      </w:r>
      <w:proofErr w:type="spellEnd"/>
      <w:r w:rsidR="00AF1AA8">
        <w:t xml:space="preserve"> conscious bias</w:t>
      </w:r>
      <w:r>
        <w:t>.</w:t>
      </w:r>
    </w:p>
    <w:p w14:paraId="1C613F48" w14:textId="50A7EAC1" w:rsidR="00AF1AA8" w:rsidRDefault="00AF1AA8" w:rsidP="00EF556E">
      <w:pPr>
        <w:pStyle w:val="ListParagraph"/>
        <w:numPr>
          <w:ilvl w:val="0"/>
          <w:numId w:val="6"/>
        </w:numPr>
      </w:pPr>
      <w:r>
        <w:t xml:space="preserve">Accepting alternate </w:t>
      </w:r>
      <w:r w:rsidR="00EF556E">
        <w:t>credentials</w:t>
      </w:r>
      <w:r>
        <w:t xml:space="preserve"> - portfolio evidence or skills assessment.</w:t>
      </w:r>
    </w:p>
    <w:p w14:paraId="59C575E9" w14:textId="3B4A507E" w:rsidR="00AF1AA8" w:rsidRDefault="00EF556E" w:rsidP="00EF556E">
      <w:pPr>
        <w:pStyle w:val="Heading2"/>
      </w:pPr>
      <w:bookmarkStart w:id="15" w:name="_Toc230329714"/>
      <w:r>
        <w:t xml:space="preserve">5.2 </w:t>
      </w:r>
      <w:r w:rsidRPr="00EF556E">
        <w:t>Retention and long</w:t>
      </w:r>
      <w:r w:rsidRPr="00EF556E">
        <w:rPr>
          <w:rFonts w:ascii="Cambria Math" w:hAnsi="Cambria Math" w:cs="Cambria Math"/>
        </w:rPr>
        <w:t>‑</w:t>
      </w:r>
      <w:r w:rsidRPr="00EF556E">
        <w:t>term engagement</w:t>
      </w:r>
      <w:bookmarkEnd w:id="15"/>
    </w:p>
    <w:p w14:paraId="23207F05" w14:textId="35BAD90F" w:rsidR="00AF1AA8" w:rsidRDefault="00AF1AA8" w:rsidP="00AF1AA8">
      <w:r>
        <w:t xml:space="preserve">Retention involves proactive retention hires. Belonging + psychological safety result in higher retention expectations, in comparison with compensation. Social Exchange Theory can be used to explain that when employees feel as though there is a real investment on the part of their </w:t>
      </w:r>
      <w:proofErr w:type="spellStart"/>
      <w:r>
        <w:t>organisation</w:t>
      </w:r>
      <w:proofErr w:type="spellEnd"/>
      <w:r>
        <w:t>, they return that investment by being loyal</w:t>
      </w:r>
      <w:r w:rsidR="00306929">
        <w:t xml:space="preserve"> </w:t>
      </w:r>
      <w:r w:rsidR="00306929">
        <w:t>(</w:t>
      </w:r>
      <w:r w:rsidR="00306929" w:rsidRPr="00C24DD8">
        <w:t>Hasan, Hasnat and Khandakar, 2026</w:t>
      </w:r>
      <w:r w:rsidR="00306929">
        <w:t>)</w:t>
      </w:r>
      <w:r>
        <w:t>. Effective strategies include:</w:t>
      </w:r>
    </w:p>
    <w:p w14:paraId="44084DC0" w14:textId="10BD3492" w:rsidR="00AF1AA8" w:rsidRDefault="00EF556E" w:rsidP="00EF556E">
      <w:pPr>
        <w:pStyle w:val="ListParagraph"/>
        <w:numPr>
          <w:ilvl w:val="0"/>
          <w:numId w:val="7"/>
        </w:numPr>
      </w:pPr>
      <w:r>
        <w:t>Executive-sponsored</w:t>
      </w:r>
      <w:r w:rsidR="00AF1AA8">
        <w:t xml:space="preserve"> employee resource groups (ERGs). ERGs (Employee Resource Groups) are available at Jacobs Engineering, with </w:t>
      </w:r>
      <w:r>
        <w:t>board-level</w:t>
      </w:r>
      <w:r w:rsidR="00AF1AA8">
        <w:t xml:space="preserve"> sponsorship for the groups to include Women, Ethnic Minorities and LGBTQ+ ERGs.</w:t>
      </w:r>
    </w:p>
    <w:p w14:paraId="2A1628E4" w14:textId="77777777" w:rsidR="00AF1AA8" w:rsidRDefault="00AF1AA8" w:rsidP="00EF556E">
      <w:pPr>
        <w:pStyle w:val="ListParagraph"/>
        <w:numPr>
          <w:ilvl w:val="0"/>
          <w:numId w:val="7"/>
        </w:numPr>
      </w:pPr>
      <w:r>
        <w:t>Transparent pay equity audits – Salesforce has spent more than $10M to make salary adjustments, and made public summaries of results.</w:t>
      </w:r>
    </w:p>
    <w:p w14:paraId="6A69BDDE" w14:textId="41AA0D12" w:rsidR="00AF1AA8" w:rsidRDefault="00AF1AA8" w:rsidP="00EF556E">
      <w:pPr>
        <w:pStyle w:val="ListParagraph"/>
        <w:numPr>
          <w:ilvl w:val="0"/>
          <w:numId w:val="7"/>
        </w:numPr>
      </w:pPr>
      <w:r>
        <w:t>Stay interviews: quarterly discussions to determine how best to keep workers happy.</w:t>
      </w:r>
    </w:p>
    <w:p w14:paraId="7D2EF128" w14:textId="76FAB5C5" w:rsidR="00AF1AA8" w:rsidRDefault="00AF1AA8" w:rsidP="00AF1AA8">
      <w:pPr>
        <w:pStyle w:val="ListParagraph"/>
        <w:numPr>
          <w:ilvl w:val="0"/>
          <w:numId w:val="7"/>
        </w:numPr>
      </w:pPr>
      <w:r>
        <w:t>A downside: These investments need to be continued. Engineering project firms should add inclusion as a principle in standard project practices, such as facilitation of the project meetings, anonymous idea submission, and/or equal project assignment, as a way to make it both sustainable and independent of project funding.</w:t>
      </w:r>
    </w:p>
    <w:p w14:paraId="4EC66595" w14:textId="2C33DDFF" w:rsidR="00EF556E" w:rsidRDefault="00EF556E">
      <w:pPr>
        <w:spacing w:line="259" w:lineRule="auto"/>
        <w:jc w:val="left"/>
      </w:pPr>
      <w:r>
        <w:br w:type="page"/>
      </w:r>
    </w:p>
    <w:p w14:paraId="0CE6794E" w14:textId="34349DA6" w:rsidR="00AF1AA8" w:rsidRDefault="00AF1AA8" w:rsidP="00EF556E">
      <w:pPr>
        <w:pStyle w:val="Heading1"/>
      </w:pPr>
      <w:bookmarkStart w:id="16" w:name="_Toc230329715"/>
      <w:r>
        <w:lastRenderedPageBreak/>
        <w:t>6.</w:t>
      </w:r>
      <w:r w:rsidR="00EF556E">
        <w:tab/>
      </w:r>
      <w:r>
        <w:t>Scenario 5 – Talent Insight and Strategic Retention</w:t>
      </w:r>
      <w:bookmarkEnd w:id="16"/>
    </w:p>
    <w:p w14:paraId="00C85CDD" w14:textId="54BC4066" w:rsidR="00AF1AA8" w:rsidRDefault="00EF556E" w:rsidP="00EF556E">
      <w:pPr>
        <w:pStyle w:val="Heading2"/>
      </w:pPr>
      <w:bookmarkStart w:id="17" w:name="_Toc230329716"/>
      <w:r>
        <w:t>6.</w:t>
      </w:r>
      <w:r>
        <w:t xml:space="preserve">1 </w:t>
      </w:r>
      <w:r w:rsidR="00AF1AA8">
        <w:t>Talent</w:t>
      </w:r>
      <w:r w:rsidR="00AF1AA8">
        <w:rPr>
          <w:rFonts w:ascii="Cambria Math" w:hAnsi="Cambria Math" w:cs="Cambria Math"/>
        </w:rPr>
        <w:t>‑</w:t>
      </w:r>
      <w:r w:rsidR="00AF1AA8">
        <w:t>insight tools and assessments</w:t>
      </w:r>
      <w:bookmarkEnd w:id="17"/>
    </w:p>
    <w:p w14:paraId="219F2E41" w14:textId="77777777" w:rsidR="00AF1AA8" w:rsidRDefault="00AF1AA8" w:rsidP="00AF1AA8">
      <w:r>
        <w:t>Talent</w:t>
      </w:r>
      <w:r>
        <w:rPr>
          <w:rFonts w:ascii="Cambria Math" w:hAnsi="Cambria Math" w:cs="Cambria Math"/>
        </w:rPr>
        <w:t>‑</w:t>
      </w:r>
      <w:r>
        <w:t>insight tools don't just include a resume. They include:</w:t>
      </w:r>
    </w:p>
    <w:p w14:paraId="05026E1E" w14:textId="5C0D306A" w:rsidR="00AF1AA8" w:rsidRDefault="00AF1AA8" w:rsidP="00EF556E">
      <w:pPr>
        <w:pStyle w:val="ListParagraph"/>
        <w:numPr>
          <w:ilvl w:val="0"/>
          <w:numId w:val="8"/>
        </w:numPr>
      </w:pPr>
      <w:r>
        <w:t>Psychometric assessments – cultural fit (Hogan) and team dynamics.</w:t>
      </w:r>
    </w:p>
    <w:p w14:paraId="4A3AF8AB" w14:textId="77777777" w:rsidR="00AF1AA8" w:rsidRDefault="00AF1AA8" w:rsidP="00EF556E">
      <w:pPr>
        <w:pStyle w:val="ListParagraph"/>
        <w:numPr>
          <w:ilvl w:val="0"/>
          <w:numId w:val="8"/>
        </w:numPr>
      </w:pPr>
      <w:r>
        <w:t>Platforms for skills validation (</w:t>
      </w:r>
      <w:proofErr w:type="spellStart"/>
      <w:r>
        <w:t>Pymetrics</w:t>
      </w:r>
      <w:proofErr w:type="spellEnd"/>
      <w:r>
        <w:t xml:space="preserve">, </w:t>
      </w:r>
      <w:proofErr w:type="spellStart"/>
      <w:r>
        <w:t>Codility</w:t>
      </w:r>
      <w:proofErr w:type="spellEnd"/>
      <w:r>
        <w:t>) that gamify learning, to measure skills.</w:t>
      </w:r>
    </w:p>
    <w:p w14:paraId="062D6B90" w14:textId="77777777" w:rsidR="00AF1AA8" w:rsidRDefault="00AF1AA8" w:rsidP="00EF556E">
      <w:pPr>
        <w:pStyle w:val="ListParagraph"/>
        <w:numPr>
          <w:ilvl w:val="0"/>
          <w:numId w:val="8"/>
        </w:numPr>
      </w:pPr>
      <w:r>
        <w:t>Human talent matching to project types based on skills using internal talent marketplaces (Gloat, Fuel50).</w:t>
      </w:r>
    </w:p>
    <w:p w14:paraId="431EAD13" w14:textId="422E9FD6" w:rsidR="00AF1AA8" w:rsidRDefault="00AF1AA8" w:rsidP="00AF1AA8">
      <w:r>
        <w:t>These tools can help to lessen bias and give you more information than intuition alone. The multi</w:t>
      </w:r>
      <w:r>
        <w:rPr>
          <w:rFonts w:ascii="Cambria Math" w:hAnsi="Cambria Math" w:cs="Cambria Math"/>
        </w:rPr>
        <w:t>‑</w:t>
      </w:r>
      <w:r>
        <w:t>method assessment batteries are much more effective in achieving long</w:t>
      </w:r>
      <w:r>
        <w:rPr>
          <w:rFonts w:ascii="Cambria Math" w:hAnsi="Cambria Math" w:cs="Cambria Math"/>
        </w:rPr>
        <w:t>‑</w:t>
      </w:r>
      <w:r>
        <w:t>term retention than are unstructured interviews</w:t>
      </w:r>
      <w:r w:rsidR="00306929">
        <w:t xml:space="preserve"> </w:t>
      </w:r>
      <w:r w:rsidR="00306929" w:rsidRPr="001D7447">
        <w:t>(P.et al., 2023)</w:t>
      </w:r>
      <w:r>
        <w:t xml:space="preserve">. But, using psychometrics too much can result in "category errors" </w:t>
      </w:r>
      <w:r>
        <w:rPr>
          <w:rFonts w:cs="Arial"/>
        </w:rPr>
        <w:t>–</w:t>
      </w:r>
      <w:r>
        <w:t xml:space="preserve"> making complex humans into simple types.</w:t>
      </w:r>
    </w:p>
    <w:p w14:paraId="2E1260FA" w14:textId="77777777" w:rsidR="00AF1AA8" w:rsidRDefault="00AF1AA8" w:rsidP="00EF556E">
      <w:pPr>
        <w:pStyle w:val="Heading2"/>
      </w:pPr>
      <w:bookmarkStart w:id="18" w:name="_Toc230329717"/>
      <w:r>
        <w:t xml:space="preserve">6.2 </w:t>
      </w:r>
      <w:proofErr w:type="spellStart"/>
      <w:r>
        <w:t>Personalised</w:t>
      </w:r>
      <w:proofErr w:type="spellEnd"/>
      <w:r>
        <w:t xml:space="preserve"> retention approaches</w:t>
      </w:r>
      <w:bookmarkEnd w:id="18"/>
    </w:p>
    <w:p w14:paraId="121F16BD" w14:textId="20F86A6A" w:rsidR="00AF1AA8" w:rsidRDefault="00AF1AA8" w:rsidP="00AF1AA8">
      <w:r>
        <w:t>One</w:t>
      </w:r>
      <w:r>
        <w:rPr>
          <w:rFonts w:ascii="Cambria Math" w:hAnsi="Cambria Math" w:cs="Cambria Math"/>
        </w:rPr>
        <w:t>‑</w:t>
      </w:r>
      <w:r>
        <w:t>size</w:t>
      </w:r>
      <w:r>
        <w:rPr>
          <w:rFonts w:ascii="Cambria Math" w:hAnsi="Cambria Math" w:cs="Cambria Math"/>
        </w:rPr>
        <w:t>‑</w:t>
      </w:r>
      <w:r>
        <w:t>fits</w:t>
      </w:r>
      <w:r>
        <w:rPr>
          <w:rFonts w:ascii="Cambria Math" w:hAnsi="Cambria Math" w:cs="Cambria Math"/>
        </w:rPr>
        <w:t>‑</w:t>
      </w:r>
      <w:r>
        <w:t xml:space="preserve">all retention fails. </w:t>
      </w:r>
      <w:proofErr w:type="spellStart"/>
      <w:r>
        <w:t>Organisations</w:t>
      </w:r>
      <w:proofErr w:type="spellEnd"/>
      <w:r>
        <w:t xml:space="preserve"> that use talent insights segment employees into the following personas</w:t>
      </w:r>
      <w:r w:rsidR="00EF556E">
        <w:t>.</w:t>
      </w:r>
      <w:r>
        <w:t xml:space="preserve"> Segmenting people into the following personas: early career learners, mid</w:t>
      </w:r>
      <w:r>
        <w:rPr>
          <w:rFonts w:ascii="Cambria Math" w:hAnsi="Cambria Math" w:cs="Cambria Math"/>
        </w:rPr>
        <w:t>‑</w:t>
      </w:r>
      <w:r>
        <w:t>career balancers and late</w:t>
      </w:r>
      <w:r>
        <w:rPr>
          <w:rFonts w:ascii="Cambria Math" w:hAnsi="Cambria Math" w:cs="Cambria Math"/>
        </w:rPr>
        <w:t>‑</w:t>
      </w:r>
      <w:r>
        <w:t>career mentors</w:t>
      </w:r>
      <w:r w:rsidR="00306929">
        <w:t xml:space="preserve"> (</w:t>
      </w:r>
      <w:r w:rsidR="00306929" w:rsidRPr="00306929">
        <w:t>Abhishek</w:t>
      </w:r>
      <w:r w:rsidR="00306929">
        <w:t>,</w:t>
      </w:r>
      <w:r w:rsidR="00306929" w:rsidRPr="00306929">
        <w:t xml:space="preserve"> 2025</w:t>
      </w:r>
      <w:r w:rsidR="00306929">
        <w:t>)</w:t>
      </w:r>
      <w:r>
        <w:t>. Skill development and mentorship might be important for early</w:t>
      </w:r>
      <w:r>
        <w:rPr>
          <w:rFonts w:ascii="Cambria Math" w:hAnsi="Cambria Math" w:cs="Cambria Math"/>
        </w:rPr>
        <w:t>‑</w:t>
      </w:r>
      <w:r>
        <w:t>career engineers, while for those in the middle, work</w:t>
      </w:r>
      <w:r>
        <w:rPr>
          <w:rFonts w:ascii="Cambria Math" w:hAnsi="Cambria Math" w:cs="Cambria Math"/>
        </w:rPr>
        <w:t>‑</w:t>
      </w:r>
      <w:r>
        <w:t>life balance is more important.</w:t>
      </w:r>
    </w:p>
    <w:p w14:paraId="272A6866" w14:textId="1B5459AA" w:rsidR="00AF1AA8" w:rsidRDefault="00AF1AA8" w:rsidP="00EF556E">
      <w:pPr>
        <w:pStyle w:val="Heading2"/>
      </w:pPr>
      <w:bookmarkStart w:id="19" w:name="_Toc230329718"/>
      <w:r>
        <w:t>6.3</w:t>
      </w:r>
      <w:r w:rsidR="00EF556E">
        <w:t xml:space="preserve"> </w:t>
      </w:r>
      <w:r>
        <w:t>Continuing employee feedback systems</w:t>
      </w:r>
      <w:bookmarkEnd w:id="19"/>
    </w:p>
    <w:p w14:paraId="20F3D0BF" w14:textId="4A597E35" w:rsidR="00AF1AA8" w:rsidRDefault="00AF1AA8" w:rsidP="00AF1AA8">
      <w:r>
        <w:t xml:space="preserve">It is not common enough for businesses to be conducting engagement surveys annually. Workload, recognition, psychological safety and intent to stay are all examples of areas companies use pulse surveys (2-4 WEEKLY) for leading </w:t>
      </w:r>
      <w:proofErr w:type="spellStart"/>
      <w:r w:rsidR="00EF556E">
        <w:t>organisations</w:t>
      </w:r>
      <w:proofErr w:type="spellEnd"/>
      <w:r>
        <w:t xml:space="preserve">. But feedback should be </w:t>
      </w:r>
      <w:r w:rsidR="00EF556E">
        <w:t>closed-loop</w:t>
      </w:r>
      <w:r>
        <w:t xml:space="preserve"> feedback – employees need to see that their input will be followed up with action. With the insights gleaned from pulse data, HR can make de</w:t>
      </w:r>
      <w:r w:rsidRPr="00E47AFC">
        <w:t>adline adjustments or offer assistance for mental health issues</w:t>
      </w:r>
      <w:r w:rsidR="00E47AFC" w:rsidRPr="00E47AFC">
        <w:t xml:space="preserve"> (</w:t>
      </w:r>
      <w:r w:rsidR="00E47AFC" w:rsidRPr="00E47AFC">
        <w:t>Waldkirch, M. et al.</w:t>
      </w:r>
      <w:r w:rsidR="00E47AFC" w:rsidRPr="00E47AFC">
        <w:t xml:space="preserve">, </w:t>
      </w:r>
      <w:r w:rsidR="00E47AFC" w:rsidRPr="00E47AFC">
        <w:t>2021</w:t>
      </w:r>
      <w:r w:rsidR="00E47AFC">
        <w:t>)</w:t>
      </w:r>
      <w:r>
        <w:t>. Project management platforms that provide real</w:t>
      </w:r>
      <w:r>
        <w:rPr>
          <w:rFonts w:ascii="Cambria Math" w:hAnsi="Cambria Math" w:cs="Cambria Math"/>
        </w:rPr>
        <w:t>‑</w:t>
      </w:r>
      <w:r>
        <w:t xml:space="preserve">time feedback (Culture Amp, Qualtrics) enable PMs to quickly detect </w:t>
      </w:r>
      <w:r w:rsidR="00306929">
        <w:t>at-risk</w:t>
      </w:r>
      <w:r>
        <w:t xml:space="preserve"> teams. A dynamic HRM system that can be used to </w:t>
      </w:r>
      <w:r>
        <w:lastRenderedPageBreak/>
        <w:t>reduce turnover and develop continuous improvement can occur through combining talent insights with agile feedback.</w:t>
      </w:r>
    </w:p>
    <w:p w14:paraId="449BF1FF" w14:textId="77777777" w:rsidR="00AF1AA8" w:rsidRDefault="00AF1AA8" w:rsidP="00AF1AA8"/>
    <w:p w14:paraId="5AA8F94C" w14:textId="1F70CEC6" w:rsidR="00EF556E" w:rsidRDefault="00EF556E">
      <w:pPr>
        <w:spacing w:line="259" w:lineRule="auto"/>
        <w:jc w:val="left"/>
      </w:pPr>
      <w:r>
        <w:br w:type="page"/>
      </w:r>
    </w:p>
    <w:p w14:paraId="2D9FAFD6" w14:textId="52D0250C" w:rsidR="00AF1AA8" w:rsidRDefault="00AF1AA8" w:rsidP="00EF556E">
      <w:pPr>
        <w:pStyle w:val="Heading1"/>
      </w:pPr>
      <w:bookmarkStart w:id="20" w:name="_Toc230329719"/>
      <w:r>
        <w:lastRenderedPageBreak/>
        <w:t>7.</w:t>
      </w:r>
      <w:r w:rsidR="00EF556E">
        <w:tab/>
      </w:r>
      <w:r>
        <w:t>Conclusion</w:t>
      </w:r>
      <w:bookmarkEnd w:id="20"/>
    </w:p>
    <w:p w14:paraId="6229634E" w14:textId="75876669" w:rsidR="00AF1AA8" w:rsidRDefault="00AF1AA8" w:rsidP="00AF1AA8">
      <w:r>
        <w:t>Five areas of HRM practices have been systematically studied in this report that are needed for the modern project</w:t>
      </w:r>
      <w:r>
        <w:rPr>
          <w:rFonts w:ascii="Cambria Math" w:hAnsi="Cambria Math" w:cs="Cambria Math"/>
        </w:rPr>
        <w:t>‑</w:t>
      </w:r>
      <w:r>
        <w:t xml:space="preserve">based </w:t>
      </w:r>
      <w:proofErr w:type="spellStart"/>
      <w:r>
        <w:t>organisations</w:t>
      </w:r>
      <w:proofErr w:type="spellEnd"/>
      <w:r>
        <w:t>. In scenario one, in direct alignment with the assignment brief, it was established that a high</w:t>
      </w:r>
      <w:r>
        <w:rPr>
          <w:rFonts w:ascii="Cambria Math" w:hAnsi="Cambria Math" w:cs="Cambria Math"/>
        </w:rPr>
        <w:t>‑</w:t>
      </w:r>
      <w:r>
        <w:t>performing workplace employs transparent leadership, inclusive cultures, proactively supports well</w:t>
      </w:r>
      <w:r>
        <w:rPr>
          <w:rFonts w:ascii="Cambria Math" w:hAnsi="Cambria Math" w:cs="Cambria Math"/>
        </w:rPr>
        <w:t>‑</w:t>
      </w:r>
      <w:r>
        <w:t>being and initiates systems of growth. In scenario 2, it was demonstrated that effective orientation is a 90</w:t>
      </w:r>
      <w:r>
        <w:rPr>
          <w:rFonts w:ascii="Cambria Math" w:hAnsi="Cambria Math" w:cs="Cambria Math"/>
        </w:rPr>
        <w:t>‑</w:t>
      </w:r>
      <w:r>
        <w:t xml:space="preserve">day process that requires immersing in a project, engaging digital tools, and structured feedback loops. In scenario three, talent and succession planning </w:t>
      </w:r>
      <w:r w:rsidR="00306929">
        <w:t>have</w:t>
      </w:r>
      <w:r>
        <w:t xml:space="preserve"> taken a step from the “replacement chart” to a flexible talent pool, with critical ethical use of workforce analysis. Scenario four determined that to attract and retain diverse talent</w:t>
      </w:r>
      <w:r w:rsidR="00EF556E">
        <w:t>,</w:t>
      </w:r>
      <w:r>
        <w:t xml:space="preserve"> inclusive job design, blind recruiting, ERGs, flexible career paths and stay interviews were necessary. In scenario 5, the separation of the </w:t>
      </w:r>
      <w:r w:rsidR="00EF556E">
        <w:t>ability’s</w:t>
      </w:r>
      <w:r>
        <w:t xml:space="preserve"> information via the talent</w:t>
      </w:r>
      <w:r>
        <w:rPr>
          <w:rFonts w:ascii="Cambria Math" w:hAnsi="Cambria Math" w:cs="Cambria Math"/>
        </w:rPr>
        <w:t>‑</w:t>
      </w:r>
      <w:r>
        <w:t xml:space="preserve">insight tools and the pulse surveys gives an opportunity for </w:t>
      </w:r>
      <w:proofErr w:type="spellStart"/>
      <w:r>
        <w:t>personalised</w:t>
      </w:r>
      <w:proofErr w:type="spellEnd"/>
      <w:r>
        <w:t xml:space="preserve"> retention and strategic recruitment.</w:t>
      </w:r>
    </w:p>
    <w:p w14:paraId="078A2EE7" w14:textId="18E960AA" w:rsidR="00DA7E41" w:rsidRDefault="00AF1AA8" w:rsidP="00AF1AA8">
      <w:r>
        <w:t>One thing is clear, regardless of the different scenarios, HRM in project</w:t>
      </w:r>
      <w:r>
        <w:rPr>
          <w:rFonts w:ascii="Cambria Math" w:hAnsi="Cambria Math" w:cs="Cambria Math"/>
        </w:rPr>
        <w:t>‑</w:t>
      </w:r>
      <w:r>
        <w:t xml:space="preserve">based </w:t>
      </w:r>
      <w:proofErr w:type="spellStart"/>
      <w:r>
        <w:t>organisations</w:t>
      </w:r>
      <w:proofErr w:type="spellEnd"/>
      <w:r>
        <w:t xml:space="preserve"> needs to be proactive, data</w:t>
      </w:r>
      <w:r>
        <w:rPr>
          <w:rFonts w:ascii="Cambria Math" w:hAnsi="Cambria Math" w:cs="Cambria Math"/>
        </w:rPr>
        <w:t>‑</w:t>
      </w:r>
      <w:r>
        <w:t>informed and human</w:t>
      </w:r>
      <w:r>
        <w:rPr>
          <w:rFonts w:ascii="Cambria Math" w:hAnsi="Cambria Math" w:cs="Cambria Math"/>
        </w:rPr>
        <w:t>‑</w:t>
      </w:r>
      <w:proofErr w:type="spellStart"/>
      <w:r>
        <w:t>centred</w:t>
      </w:r>
      <w:proofErr w:type="spellEnd"/>
      <w:r>
        <w:t xml:space="preserve">. Reactive HRM </w:t>
      </w:r>
      <w:r>
        <w:rPr>
          <w:rFonts w:cs="Arial"/>
        </w:rPr>
        <w:t>–</w:t>
      </w:r>
      <w:r>
        <w:t xml:space="preserve"> focused on compliance, is no longer on the job. Future employees will only join an engineering project firm that is focused on strategic direction, analytics-based succession planning, inclusive retention strategies, and provides continuous feedback. Potential studies include the combined use of these AI</w:t>
      </w:r>
      <w:r>
        <w:rPr>
          <w:rFonts w:ascii="Cambria Math" w:hAnsi="Cambria Math" w:cs="Cambria Math"/>
        </w:rPr>
        <w:t>‑</w:t>
      </w:r>
      <w:r>
        <w:t>based talent analyses and project management information systems in the future. The findings - and recommendations that are backed by evidence - advance a path for creating more resilient, engaged, high</w:t>
      </w:r>
      <w:r>
        <w:rPr>
          <w:rFonts w:ascii="Cambria Math" w:hAnsi="Cambria Math" w:cs="Cambria Math"/>
        </w:rPr>
        <w:t>‑</w:t>
      </w:r>
      <w:r>
        <w:t>performing project workforces.</w:t>
      </w:r>
    </w:p>
    <w:p w14:paraId="438716B3" w14:textId="307EA2DA" w:rsidR="00DA7E41" w:rsidRDefault="00DA7E41">
      <w:pPr>
        <w:spacing w:line="259" w:lineRule="auto"/>
        <w:jc w:val="left"/>
      </w:pPr>
      <w:r>
        <w:br w:type="page"/>
      </w:r>
    </w:p>
    <w:p w14:paraId="053A4629" w14:textId="7D94E12F" w:rsidR="00DA7E41" w:rsidRDefault="00DA7E41" w:rsidP="00DA7E41">
      <w:pPr>
        <w:pStyle w:val="Heading1"/>
      </w:pPr>
      <w:bookmarkStart w:id="21" w:name="_Toc230329720"/>
      <w:r>
        <w:lastRenderedPageBreak/>
        <w:t>References</w:t>
      </w:r>
      <w:bookmarkEnd w:id="21"/>
    </w:p>
    <w:p w14:paraId="24F217CE" w14:textId="77777777" w:rsidR="00E47AFC" w:rsidRPr="00306929" w:rsidRDefault="00E47AFC" w:rsidP="00306929">
      <w:pPr>
        <w:spacing w:line="240" w:lineRule="auto"/>
        <w:ind w:left="720" w:hanging="720"/>
      </w:pPr>
      <w:r w:rsidRPr="00306929">
        <w:t>Abhishek Suvarna (2025) “AI-ENABLED PREDICTIVE ANALYTICS FOR EMPLOYEE WELL-BEING: A CLUSTER-BASED APPROACH TO PROACTIVE HR STRATEGIES IN THE DIGITAL ERA,” </w:t>
      </w:r>
      <w:r w:rsidRPr="00306929">
        <w:rPr>
          <w:i/>
          <w:iCs/>
        </w:rPr>
        <w:t>ICTACT journal on management studies</w:t>
      </w:r>
      <w:r w:rsidRPr="00306929">
        <w:t>, 11(2), pp. 2124–2129. Available at: https://doi.org/10.21917/ijms.2025.0327.</w:t>
      </w:r>
    </w:p>
    <w:p w14:paraId="7687FCF8" w14:textId="77777777" w:rsidR="00E47AFC" w:rsidRDefault="00E47AFC" w:rsidP="004742B0">
      <w:pPr>
        <w:spacing w:line="240" w:lineRule="auto"/>
        <w:ind w:left="720" w:hanging="720"/>
      </w:pPr>
      <w:r w:rsidRPr="009E6946">
        <w:t xml:space="preserve">Coolen, </w:t>
      </w:r>
      <w:proofErr w:type="gramStart"/>
      <w:r w:rsidRPr="009E6946">
        <w:t>Patrick ;</w:t>
      </w:r>
      <w:proofErr w:type="gramEnd"/>
      <w:r w:rsidRPr="009E6946">
        <w:t xml:space="preserve"> van den Heuvel, </w:t>
      </w:r>
      <w:proofErr w:type="gramStart"/>
      <w:r w:rsidRPr="009E6946">
        <w:t>Sjoerd ;</w:t>
      </w:r>
      <w:proofErr w:type="gramEnd"/>
      <w:r w:rsidRPr="009E6946">
        <w:t xml:space="preserve"> Van De Voorde, Karina; Paauwe, Jaap</w:t>
      </w:r>
      <w:r w:rsidRPr="009E6946">
        <w:rPr>
          <w:i/>
          <w:iCs/>
        </w:rPr>
        <w:t>.</w:t>
      </w:r>
      <w:r w:rsidRPr="009E6946">
        <w:t> (2023) “Understanding the adoption and institutionalization of workforce analytics: A systematic literature review and research agenda,” </w:t>
      </w:r>
      <w:r w:rsidRPr="009E6946">
        <w:rPr>
          <w:i/>
          <w:iCs/>
        </w:rPr>
        <w:t>Human resource management review</w:t>
      </w:r>
      <w:r w:rsidRPr="009E6946">
        <w:t xml:space="preserve">, 33(4). Available at: </w:t>
      </w:r>
      <w:hyperlink r:id="rId9" w:history="1">
        <w:r w:rsidRPr="009329C0">
          <w:rPr>
            <w:rStyle w:val="Hyperlink"/>
          </w:rPr>
          <w:t>https://doi.org/10.1016/j.hrmr.2023.100985</w:t>
        </w:r>
      </w:hyperlink>
      <w:r w:rsidRPr="009E6946">
        <w:t>.</w:t>
      </w:r>
    </w:p>
    <w:p w14:paraId="5A00ACB4" w14:textId="77777777" w:rsidR="00E47AFC" w:rsidRDefault="00E47AFC" w:rsidP="004742B0">
      <w:pPr>
        <w:spacing w:line="240" w:lineRule="auto"/>
        <w:ind w:left="720" w:hanging="720"/>
      </w:pPr>
      <w:r w:rsidRPr="00C24DD8">
        <w:t xml:space="preserve">Hasan, K.K., Hasnat, </w:t>
      </w:r>
      <w:proofErr w:type="spellStart"/>
      <w:r w:rsidRPr="00C24DD8">
        <w:t>Md.A</w:t>
      </w:r>
      <w:proofErr w:type="spellEnd"/>
      <w:r w:rsidRPr="00C24DD8">
        <w:t>. and Khandakar, H. (2026) “Boardroom communication networks and AI driven HRM in Cyber-FinTech: A theory building framework for employee retention,” </w:t>
      </w:r>
      <w:r w:rsidRPr="00C24DD8">
        <w:rPr>
          <w:i/>
          <w:iCs/>
        </w:rPr>
        <w:t>Telematics and Informatics Reports</w:t>
      </w:r>
      <w:r w:rsidRPr="00C24DD8">
        <w:t xml:space="preserve">, 21. Available at: </w:t>
      </w:r>
      <w:hyperlink r:id="rId10" w:history="1">
        <w:r w:rsidRPr="009329C0">
          <w:rPr>
            <w:rStyle w:val="Hyperlink"/>
          </w:rPr>
          <w:t>https://doi.org/10.1016/j.teler.2025.100280</w:t>
        </w:r>
      </w:hyperlink>
      <w:r w:rsidRPr="00C24DD8">
        <w:t>.</w:t>
      </w:r>
    </w:p>
    <w:p w14:paraId="66EE63E8" w14:textId="77777777" w:rsidR="00E47AFC" w:rsidRDefault="00E47AFC" w:rsidP="004742B0">
      <w:pPr>
        <w:spacing w:line="240" w:lineRule="auto"/>
        <w:ind w:left="720" w:hanging="720"/>
      </w:pPr>
      <w:r w:rsidRPr="004007E9">
        <w:t xml:space="preserve">Hassan, MD Mahamudul; </w:t>
      </w:r>
      <w:proofErr w:type="spellStart"/>
      <w:r w:rsidRPr="004007E9">
        <w:t>Jambulingam</w:t>
      </w:r>
      <w:proofErr w:type="spellEnd"/>
      <w:r w:rsidRPr="004007E9">
        <w:t xml:space="preserve">, Manimekalai; </w:t>
      </w:r>
      <w:proofErr w:type="spellStart"/>
      <w:r w:rsidRPr="004007E9">
        <w:t>Alagas</w:t>
      </w:r>
      <w:proofErr w:type="spellEnd"/>
      <w:r w:rsidRPr="004007E9">
        <w:t xml:space="preserve">, </w:t>
      </w:r>
      <w:proofErr w:type="spellStart"/>
      <w:r w:rsidRPr="004007E9">
        <w:t>Elangkovan</w:t>
      </w:r>
      <w:proofErr w:type="spellEnd"/>
      <w:r w:rsidRPr="004007E9">
        <w:t xml:space="preserve"> Narayanan; </w:t>
      </w:r>
      <w:proofErr w:type="spellStart"/>
      <w:r w:rsidRPr="004007E9">
        <w:t>Uzir</w:t>
      </w:r>
      <w:proofErr w:type="spellEnd"/>
      <w:r w:rsidRPr="004007E9">
        <w:t xml:space="preserve">, Md. </w:t>
      </w:r>
      <w:proofErr w:type="spellStart"/>
      <w:r w:rsidRPr="004007E9">
        <w:t>Uzir</w:t>
      </w:r>
      <w:proofErr w:type="spellEnd"/>
      <w:r w:rsidRPr="004007E9">
        <w:t xml:space="preserve"> Hossain; </w:t>
      </w:r>
      <w:proofErr w:type="spellStart"/>
      <w:r w:rsidRPr="004007E9">
        <w:t>Halbusi</w:t>
      </w:r>
      <w:proofErr w:type="spellEnd"/>
      <w:r w:rsidRPr="004007E9">
        <w:t>, Hussam Al</w:t>
      </w:r>
      <w:r w:rsidRPr="004007E9">
        <w:rPr>
          <w:i/>
          <w:iCs/>
        </w:rPr>
        <w:t>.</w:t>
      </w:r>
      <w:r w:rsidRPr="004007E9">
        <w:t> (2023) “Necessities and Ways of Combating Dissatisfactions at Workplaces Against the Job-Hopping Generation Y Employees,” </w:t>
      </w:r>
      <w:r w:rsidRPr="004007E9">
        <w:rPr>
          <w:i/>
          <w:iCs/>
        </w:rPr>
        <w:t>Global business review</w:t>
      </w:r>
      <w:r w:rsidRPr="004007E9">
        <w:t xml:space="preserve">, 24(6), pp. 1276–1301. Available at: </w:t>
      </w:r>
      <w:hyperlink r:id="rId11" w:history="1">
        <w:r w:rsidRPr="009329C0">
          <w:rPr>
            <w:rStyle w:val="Hyperlink"/>
          </w:rPr>
          <w:t>https://doi.org/10.1177/0972150920926966</w:t>
        </w:r>
      </w:hyperlink>
      <w:r w:rsidRPr="004007E9">
        <w:t>.</w:t>
      </w:r>
    </w:p>
    <w:p w14:paraId="627BB869" w14:textId="77777777" w:rsidR="00E47AFC" w:rsidRDefault="00E47AFC" w:rsidP="004742B0">
      <w:pPr>
        <w:spacing w:line="240" w:lineRule="auto"/>
        <w:ind w:left="720" w:hanging="720"/>
      </w:pPr>
      <w:r w:rsidRPr="00A34A0F">
        <w:t xml:space="preserve">Jadesola Ololade, </w:t>
      </w:r>
      <w:proofErr w:type="spellStart"/>
      <w:r w:rsidRPr="00A34A0F">
        <w:t>Alebiosu</w:t>
      </w:r>
      <w:proofErr w:type="spellEnd"/>
      <w:r w:rsidRPr="00A34A0F">
        <w:t xml:space="preserve">; Odunayo Paul, Salau; Tolulope Morenike, </w:t>
      </w:r>
      <w:proofErr w:type="spellStart"/>
      <w:r w:rsidRPr="00A34A0F">
        <w:t>Atolagbe</w:t>
      </w:r>
      <w:proofErr w:type="spellEnd"/>
      <w:r w:rsidRPr="00A34A0F">
        <w:t xml:space="preserve">; Augustina </w:t>
      </w:r>
      <w:proofErr w:type="spellStart"/>
      <w:r w:rsidRPr="00A34A0F">
        <w:t>Esitse</w:t>
      </w:r>
      <w:proofErr w:type="spellEnd"/>
      <w:r w:rsidRPr="00A34A0F">
        <w:t xml:space="preserve">, Dada (2023) “Bolstering the role of human resource information system on employees’ </w:t>
      </w:r>
      <w:proofErr w:type="spellStart"/>
      <w:r w:rsidRPr="00A34A0F">
        <w:t>behavioural</w:t>
      </w:r>
      <w:proofErr w:type="spellEnd"/>
      <w:r w:rsidRPr="00A34A0F">
        <w:t xml:space="preserve"> outcomes of selected manufacturing firms in Nigeria,” </w:t>
      </w:r>
      <w:proofErr w:type="spellStart"/>
      <w:r w:rsidRPr="00A34A0F">
        <w:rPr>
          <w:i/>
          <w:iCs/>
        </w:rPr>
        <w:t>Heliyon</w:t>
      </w:r>
      <w:proofErr w:type="spellEnd"/>
      <w:r w:rsidRPr="00A34A0F">
        <w:t xml:space="preserve">, 9(1). Available at: </w:t>
      </w:r>
      <w:hyperlink r:id="rId12" w:history="1">
        <w:r w:rsidRPr="009329C0">
          <w:rPr>
            <w:rStyle w:val="Hyperlink"/>
          </w:rPr>
          <w:t>https://doi.org/10.1016/j.heliyon.2022.e12785</w:t>
        </w:r>
      </w:hyperlink>
      <w:r w:rsidRPr="00A34A0F">
        <w:t>.</w:t>
      </w:r>
    </w:p>
    <w:p w14:paraId="3F5E7B05" w14:textId="77777777" w:rsidR="00E47AFC" w:rsidRDefault="00E47AFC" w:rsidP="004742B0">
      <w:pPr>
        <w:spacing w:line="240" w:lineRule="auto"/>
        <w:ind w:left="720" w:hanging="720"/>
      </w:pPr>
      <w:r w:rsidRPr="009E6946">
        <w:t xml:space="preserve">Martínez-Morán, Pedro César; Díez, Fernando; </w:t>
      </w:r>
      <w:proofErr w:type="spellStart"/>
      <w:r w:rsidRPr="009E6946">
        <w:t>Solabarrieta</w:t>
      </w:r>
      <w:proofErr w:type="spellEnd"/>
      <w:r w:rsidRPr="009E6946">
        <w:t xml:space="preserve">, Josu; Fernández-Rico, José María; </w:t>
      </w:r>
      <w:proofErr w:type="spellStart"/>
      <w:r w:rsidRPr="009E6946">
        <w:t>Igoa</w:t>
      </w:r>
      <w:proofErr w:type="spellEnd"/>
      <w:r w:rsidRPr="009E6946">
        <w:t>-Iraola, Elene (2024) “Talent Management Digitalization and Company Size as a Catalyst,” </w:t>
      </w:r>
      <w:r w:rsidRPr="009E6946">
        <w:rPr>
          <w:i/>
          <w:iCs/>
        </w:rPr>
        <w:t>Systems (Basel)</w:t>
      </w:r>
      <w:r w:rsidRPr="009E6946">
        <w:t xml:space="preserve">, 12(5), p. 168. Available at: </w:t>
      </w:r>
      <w:hyperlink r:id="rId13" w:history="1">
        <w:r w:rsidRPr="009329C0">
          <w:rPr>
            <w:rStyle w:val="Hyperlink"/>
          </w:rPr>
          <w:t>https://doi.org/10.3390/systems12050168</w:t>
        </w:r>
      </w:hyperlink>
      <w:r w:rsidRPr="009E6946">
        <w:t>.</w:t>
      </w:r>
    </w:p>
    <w:p w14:paraId="26A257B8" w14:textId="77777777" w:rsidR="00E47AFC" w:rsidRPr="0079794D" w:rsidRDefault="00E47AFC" w:rsidP="004742B0">
      <w:pPr>
        <w:spacing w:line="240" w:lineRule="auto"/>
        <w:ind w:left="720" w:hanging="720"/>
      </w:pPr>
      <w:r w:rsidRPr="0079794D">
        <w:t>P., Arunprasad; Dey, Chitra; Santhanam, Nivethitha; Bin Ahmad, Kamarul Zaman</w:t>
      </w:r>
      <w:r w:rsidRPr="0079794D">
        <w:rPr>
          <w:i/>
          <w:iCs/>
        </w:rPr>
        <w:t>.</w:t>
      </w:r>
      <w:r w:rsidRPr="0079794D">
        <w:t> (2023) “Strategic HRM practices, learning orientation and learning competence: study from retail industry,” </w:t>
      </w:r>
      <w:r w:rsidRPr="0079794D">
        <w:rPr>
          <w:i/>
          <w:iCs/>
        </w:rPr>
        <w:t>The learning organization</w:t>
      </w:r>
      <w:r w:rsidRPr="0079794D">
        <w:t>, 30(4), pp. 406–425. Available at: https://doi.org/10.1108/TLO-05-2022-0066.</w:t>
      </w:r>
    </w:p>
    <w:p w14:paraId="3D0BECB6" w14:textId="77777777" w:rsidR="00E47AFC" w:rsidRDefault="00E47AFC" w:rsidP="004742B0">
      <w:pPr>
        <w:spacing w:line="240" w:lineRule="auto"/>
        <w:ind w:left="720" w:hanging="720"/>
      </w:pPr>
      <w:proofErr w:type="spellStart"/>
      <w:r w:rsidRPr="00A03A83">
        <w:t>Pathomphatthaphan</w:t>
      </w:r>
      <w:proofErr w:type="spellEnd"/>
      <w:r w:rsidRPr="00A03A83">
        <w:t xml:space="preserve">, S., Das, S. and </w:t>
      </w:r>
      <w:proofErr w:type="spellStart"/>
      <w:r w:rsidRPr="00A03A83">
        <w:t>Keytapark</w:t>
      </w:r>
      <w:proofErr w:type="spellEnd"/>
      <w:r w:rsidRPr="00A03A83">
        <w:t xml:space="preserve"> Virat (2021) “A Conceptual Approach to HRM Practices: The Mediating Role of Employee Outcomes and Organizational Culture,” </w:t>
      </w:r>
      <w:r w:rsidRPr="00A03A83">
        <w:rPr>
          <w:i/>
          <w:iCs/>
        </w:rPr>
        <w:t>Organizational cultures (Champaign, Ill. Online)</w:t>
      </w:r>
      <w:r w:rsidRPr="00A03A83">
        <w:t xml:space="preserve">, 21(2), p. 19. Available at: </w:t>
      </w:r>
      <w:hyperlink r:id="rId14" w:history="1">
        <w:r w:rsidRPr="009329C0">
          <w:rPr>
            <w:rStyle w:val="Hyperlink"/>
          </w:rPr>
          <w:t>https://doi.org/10.18848/2327-8013/CGP/v21i02/19-33</w:t>
        </w:r>
      </w:hyperlink>
      <w:r w:rsidRPr="00A03A83">
        <w:t>.</w:t>
      </w:r>
    </w:p>
    <w:p w14:paraId="0D84C4CF" w14:textId="77777777" w:rsidR="00E47AFC" w:rsidRDefault="00E47AFC" w:rsidP="004742B0">
      <w:pPr>
        <w:spacing w:line="240" w:lineRule="auto"/>
        <w:ind w:left="720" w:hanging="720"/>
      </w:pPr>
      <w:r w:rsidRPr="009E6946">
        <w:t>Patra, G., Datta, S. and Bose, I. (2024) “Managing talent and branding in learning organization,” </w:t>
      </w:r>
      <w:r w:rsidRPr="009E6946">
        <w:rPr>
          <w:i/>
          <w:iCs/>
        </w:rPr>
        <w:t>The learning organization</w:t>
      </w:r>
      <w:r w:rsidRPr="009E6946">
        <w:t xml:space="preserve">, 31(4), pp. 465–483. Available at: </w:t>
      </w:r>
      <w:hyperlink r:id="rId15" w:history="1">
        <w:r w:rsidRPr="009329C0">
          <w:rPr>
            <w:rStyle w:val="Hyperlink"/>
          </w:rPr>
          <w:t>https://doi.org/10.1108/TLO-04-2023-0067</w:t>
        </w:r>
      </w:hyperlink>
      <w:r w:rsidRPr="009E6946">
        <w:t>.</w:t>
      </w:r>
    </w:p>
    <w:p w14:paraId="397EDFA3" w14:textId="77777777" w:rsidR="00E47AFC" w:rsidRDefault="00E47AFC" w:rsidP="004742B0">
      <w:pPr>
        <w:spacing w:line="240" w:lineRule="auto"/>
        <w:ind w:left="720" w:hanging="720"/>
      </w:pPr>
      <w:proofErr w:type="spellStart"/>
      <w:r w:rsidRPr="00A34A0F">
        <w:lastRenderedPageBreak/>
        <w:t>Runhaar</w:t>
      </w:r>
      <w:proofErr w:type="spellEnd"/>
      <w:r w:rsidRPr="00A34A0F">
        <w:t>, P., Gulikers, J. and Biemans, H. (2024) “Ensuring a smooth landing for starting VET teachers: integrating induction and HRM practices,” </w:t>
      </w:r>
      <w:r w:rsidRPr="00A34A0F">
        <w:rPr>
          <w:i/>
          <w:iCs/>
        </w:rPr>
        <w:t>Education &amp; training (London)</w:t>
      </w:r>
      <w:r w:rsidRPr="00A34A0F">
        <w:t xml:space="preserve">, 66(5), pp. 572–588. Available at: </w:t>
      </w:r>
      <w:hyperlink r:id="rId16" w:history="1">
        <w:r w:rsidRPr="009329C0">
          <w:rPr>
            <w:rStyle w:val="Hyperlink"/>
          </w:rPr>
          <w:t>https://doi.org/10.1108/ET-09-2023-0385</w:t>
        </w:r>
      </w:hyperlink>
      <w:r w:rsidRPr="00A34A0F">
        <w:t>.</w:t>
      </w:r>
    </w:p>
    <w:p w14:paraId="53565105" w14:textId="77777777" w:rsidR="00E47AFC" w:rsidRPr="00E47AFC" w:rsidRDefault="00E47AFC" w:rsidP="00E47AFC">
      <w:pPr>
        <w:spacing w:line="240" w:lineRule="auto"/>
        <w:ind w:left="720" w:hanging="720"/>
      </w:pPr>
      <w:r w:rsidRPr="00E47AFC">
        <w:t>Waldkirch, M. </w:t>
      </w:r>
      <w:r w:rsidRPr="00E47AFC">
        <w:rPr>
          <w:i/>
          <w:iCs/>
        </w:rPr>
        <w:t>et al.</w:t>
      </w:r>
      <w:r w:rsidRPr="00E47AFC">
        <w:t> (2021) “Controlled by the algorithm, coached by the crowd - how HRM activities take shape on digital work platforms in the gig economy,” </w:t>
      </w:r>
      <w:r w:rsidRPr="00E47AFC">
        <w:rPr>
          <w:i/>
          <w:iCs/>
        </w:rPr>
        <w:t>International journal of human resource management</w:t>
      </w:r>
      <w:r w:rsidRPr="00E47AFC">
        <w:t>, 32(12), pp. 2643–2682. Available at: https://doi.org/10.1080/09585192.2021.1914129.</w:t>
      </w:r>
    </w:p>
    <w:p w14:paraId="316F20BB" w14:textId="77777777" w:rsidR="00E47AFC" w:rsidRDefault="00E47AFC" w:rsidP="004742B0">
      <w:pPr>
        <w:spacing w:line="240" w:lineRule="auto"/>
        <w:ind w:left="720" w:hanging="720"/>
      </w:pPr>
      <w:r w:rsidRPr="00A03A83">
        <w:t xml:space="preserve">Wood, Geoffrey; Cooke, Fang Lee; Brou, Daniel; Wang, </w:t>
      </w:r>
      <w:proofErr w:type="spellStart"/>
      <w:r w:rsidRPr="00A03A83">
        <w:t>Jingtian</w:t>
      </w:r>
      <w:proofErr w:type="spellEnd"/>
      <w:r w:rsidRPr="00A03A83">
        <w:t xml:space="preserve">; Ghauri, </w:t>
      </w:r>
      <w:proofErr w:type="gramStart"/>
      <w:r w:rsidRPr="00A03A83">
        <w:t>Pervez</w:t>
      </w:r>
      <w:r>
        <w:t>.</w:t>
      </w:r>
      <w:r w:rsidRPr="00A03A83">
        <w:rPr>
          <w:i/>
          <w:iCs/>
        </w:rPr>
        <w:t>.</w:t>
      </w:r>
      <w:proofErr w:type="gramEnd"/>
      <w:r w:rsidRPr="00A03A83">
        <w:t xml:space="preserve"> (2024) “Rethinking contexts and institutions for research on human resource management in multinational enterprises in an age of </w:t>
      </w:r>
      <w:proofErr w:type="spellStart"/>
      <w:r w:rsidRPr="00A03A83">
        <w:t>polycrisis</w:t>
      </w:r>
      <w:proofErr w:type="spellEnd"/>
      <w:r w:rsidRPr="00A03A83">
        <w:t>: reflections and suggestions,” </w:t>
      </w:r>
      <w:r w:rsidRPr="00A03A83">
        <w:rPr>
          <w:i/>
          <w:iCs/>
        </w:rPr>
        <w:t>International journal of human resource management</w:t>
      </w:r>
      <w:r w:rsidRPr="00A03A83">
        <w:t>, 35(19), pp. 3173–3206. Available at: https://doi.org/10.1080/09585192.2024.2401021.</w:t>
      </w:r>
    </w:p>
    <w:sectPr w:rsidR="00E47AFC" w:rsidSect="00DB2457">
      <w:footerReference w:type="default" r:id="rId1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3F63A" w14:textId="77777777" w:rsidR="001B32F2" w:rsidRDefault="001B32F2" w:rsidP="00DB2457">
      <w:pPr>
        <w:spacing w:after="0" w:line="240" w:lineRule="auto"/>
      </w:pPr>
      <w:r>
        <w:separator/>
      </w:r>
    </w:p>
  </w:endnote>
  <w:endnote w:type="continuationSeparator" w:id="0">
    <w:p w14:paraId="5BE45223" w14:textId="77777777" w:rsidR="001B32F2" w:rsidRDefault="001B32F2" w:rsidP="00DB24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C9E91" w14:textId="33864E30" w:rsidR="00DB2457" w:rsidRPr="0067032F" w:rsidRDefault="00DB2457" w:rsidP="006703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4892550"/>
      <w:docPartObj>
        <w:docPartGallery w:val="Page Numbers (Bottom of Page)"/>
        <w:docPartUnique/>
      </w:docPartObj>
    </w:sdtPr>
    <w:sdtEndPr>
      <w:rPr>
        <w:noProof/>
      </w:rPr>
    </w:sdtEndPr>
    <w:sdtContent>
      <w:p w14:paraId="0DCD904A" w14:textId="77777777" w:rsidR="0067032F" w:rsidRDefault="0067032F" w:rsidP="00DB245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7FE35" w14:textId="77777777" w:rsidR="001B32F2" w:rsidRDefault="001B32F2" w:rsidP="00DB2457">
      <w:pPr>
        <w:spacing w:after="0" w:line="240" w:lineRule="auto"/>
      </w:pPr>
      <w:r>
        <w:separator/>
      </w:r>
    </w:p>
  </w:footnote>
  <w:footnote w:type="continuationSeparator" w:id="0">
    <w:p w14:paraId="5224D154" w14:textId="77777777" w:rsidR="001B32F2" w:rsidRDefault="001B32F2" w:rsidP="00DB24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10F4C"/>
    <w:multiLevelType w:val="hybridMultilevel"/>
    <w:tmpl w:val="0A8E57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C026715"/>
    <w:multiLevelType w:val="hybridMultilevel"/>
    <w:tmpl w:val="CD8E6C5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6D27390"/>
    <w:multiLevelType w:val="hybridMultilevel"/>
    <w:tmpl w:val="422615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FF87BE3"/>
    <w:multiLevelType w:val="hybridMultilevel"/>
    <w:tmpl w:val="1DB287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00730AD"/>
    <w:multiLevelType w:val="hybridMultilevel"/>
    <w:tmpl w:val="476A1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C32388"/>
    <w:multiLevelType w:val="hybridMultilevel"/>
    <w:tmpl w:val="8A8EF5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A493727"/>
    <w:multiLevelType w:val="hybridMultilevel"/>
    <w:tmpl w:val="1848DC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E9B746B"/>
    <w:multiLevelType w:val="hybridMultilevel"/>
    <w:tmpl w:val="FA16C0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752556687">
    <w:abstractNumId w:val="1"/>
  </w:num>
  <w:num w:numId="2" w16cid:durableId="920483818">
    <w:abstractNumId w:val="4"/>
  </w:num>
  <w:num w:numId="3" w16cid:durableId="2100174158">
    <w:abstractNumId w:val="7"/>
  </w:num>
  <w:num w:numId="4" w16cid:durableId="838547756">
    <w:abstractNumId w:val="0"/>
  </w:num>
  <w:num w:numId="5" w16cid:durableId="824861613">
    <w:abstractNumId w:val="6"/>
  </w:num>
  <w:num w:numId="6" w16cid:durableId="972713278">
    <w:abstractNumId w:val="2"/>
  </w:num>
  <w:num w:numId="7" w16cid:durableId="1317568064">
    <w:abstractNumId w:val="5"/>
  </w:num>
  <w:num w:numId="8" w16cid:durableId="17572460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318"/>
    <w:rsid w:val="00045A26"/>
    <w:rsid w:val="000D3DA9"/>
    <w:rsid w:val="000F0037"/>
    <w:rsid w:val="00114B31"/>
    <w:rsid w:val="001448DB"/>
    <w:rsid w:val="001656F1"/>
    <w:rsid w:val="00184E74"/>
    <w:rsid w:val="00197EDD"/>
    <w:rsid w:val="001B32F2"/>
    <w:rsid w:val="001D7447"/>
    <w:rsid w:val="00211103"/>
    <w:rsid w:val="00306929"/>
    <w:rsid w:val="0033517F"/>
    <w:rsid w:val="00355967"/>
    <w:rsid w:val="004742B0"/>
    <w:rsid w:val="00570015"/>
    <w:rsid w:val="005E72E6"/>
    <w:rsid w:val="006528DF"/>
    <w:rsid w:val="0067032F"/>
    <w:rsid w:val="00837C57"/>
    <w:rsid w:val="00837C85"/>
    <w:rsid w:val="008943E4"/>
    <w:rsid w:val="00AF1AA8"/>
    <w:rsid w:val="00B76730"/>
    <w:rsid w:val="00DA7E41"/>
    <w:rsid w:val="00DB2457"/>
    <w:rsid w:val="00DB6036"/>
    <w:rsid w:val="00E42DDC"/>
    <w:rsid w:val="00E47AFC"/>
    <w:rsid w:val="00EB65D2"/>
    <w:rsid w:val="00EF556E"/>
    <w:rsid w:val="00F44318"/>
    <w:rsid w:val="00FD06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1B561"/>
  <w15:chartTrackingRefBased/>
  <w15:docId w15:val="{112799DD-98C3-486E-A145-75BB4EC74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318"/>
    <w:pPr>
      <w:spacing w:line="360" w:lineRule="auto"/>
      <w:jc w:val="both"/>
    </w:pPr>
    <w:rPr>
      <w:rFonts w:ascii="Arial" w:hAnsi="Arial"/>
      <w:sz w:val="24"/>
    </w:rPr>
  </w:style>
  <w:style w:type="paragraph" w:styleId="Heading1">
    <w:name w:val="heading 1"/>
    <w:basedOn w:val="Normal"/>
    <w:next w:val="Normal"/>
    <w:link w:val="Heading1Char"/>
    <w:uiPriority w:val="9"/>
    <w:qFormat/>
    <w:rsid w:val="00F44318"/>
    <w:pPr>
      <w:keepNext/>
      <w:keepLines/>
      <w:spacing w:after="24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AF1AA8"/>
    <w:pPr>
      <w:keepNext/>
      <w:keepLines/>
      <w:spacing w:before="240" w:after="120"/>
      <w:outlineLvl w:val="1"/>
    </w:pPr>
    <w:rPr>
      <w:rFonts w:eastAsiaTheme="majorEastAsia" w:cstheme="majorBidi"/>
      <w:b/>
      <w:i/>
      <w:szCs w:val="32"/>
    </w:rPr>
  </w:style>
  <w:style w:type="paragraph" w:styleId="Heading3">
    <w:name w:val="heading 3"/>
    <w:basedOn w:val="Normal"/>
    <w:next w:val="Normal"/>
    <w:link w:val="Heading3Char"/>
    <w:uiPriority w:val="9"/>
    <w:semiHidden/>
    <w:unhideWhenUsed/>
    <w:qFormat/>
    <w:rsid w:val="00F44318"/>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4431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4431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4431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4431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4431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4431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318"/>
    <w:rPr>
      <w:rFonts w:ascii="Arial" w:eastAsiaTheme="majorEastAsia" w:hAnsi="Arial" w:cstheme="majorBidi"/>
      <w:b/>
      <w:sz w:val="32"/>
      <w:szCs w:val="40"/>
    </w:rPr>
  </w:style>
  <w:style w:type="character" w:customStyle="1" w:styleId="Heading2Char">
    <w:name w:val="Heading 2 Char"/>
    <w:basedOn w:val="DefaultParagraphFont"/>
    <w:link w:val="Heading2"/>
    <w:uiPriority w:val="9"/>
    <w:rsid w:val="00AF1AA8"/>
    <w:rPr>
      <w:rFonts w:ascii="Arial" w:eastAsiaTheme="majorEastAsia" w:hAnsi="Arial" w:cstheme="majorBidi"/>
      <w:b/>
      <w:i/>
      <w:sz w:val="24"/>
      <w:szCs w:val="32"/>
    </w:rPr>
  </w:style>
  <w:style w:type="character" w:customStyle="1" w:styleId="Heading3Char">
    <w:name w:val="Heading 3 Char"/>
    <w:basedOn w:val="DefaultParagraphFont"/>
    <w:link w:val="Heading3"/>
    <w:uiPriority w:val="9"/>
    <w:semiHidden/>
    <w:rsid w:val="00F4431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44318"/>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F44318"/>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F44318"/>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F44318"/>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F44318"/>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F44318"/>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F443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43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431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43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4318"/>
    <w:pPr>
      <w:spacing w:before="160"/>
      <w:jc w:val="center"/>
    </w:pPr>
    <w:rPr>
      <w:i/>
      <w:iCs/>
      <w:color w:val="404040" w:themeColor="text1" w:themeTint="BF"/>
    </w:rPr>
  </w:style>
  <w:style w:type="character" w:customStyle="1" w:styleId="QuoteChar">
    <w:name w:val="Quote Char"/>
    <w:basedOn w:val="DefaultParagraphFont"/>
    <w:link w:val="Quote"/>
    <w:uiPriority w:val="29"/>
    <w:rsid w:val="00F44318"/>
    <w:rPr>
      <w:rFonts w:ascii="Times New Roman" w:hAnsi="Times New Roman"/>
      <w:i/>
      <w:iCs/>
      <w:color w:val="404040" w:themeColor="text1" w:themeTint="BF"/>
      <w:sz w:val="24"/>
    </w:rPr>
  </w:style>
  <w:style w:type="paragraph" w:styleId="ListParagraph">
    <w:name w:val="List Paragraph"/>
    <w:basedOn w:val="Normal"/>
    <w:uiPriority w:val="34"/>
    <w:qFormat/>
    <w:rsid w:val="00F44318"/>
    <w:pPr>
      <w:ind w:left="720"/>
      <w:contextualSpacing/>
    </w:pPr>
  </w:style>
  <w:style w:type="character" w:styleId="IntenseEmphasis">
    <w:name w:val="Intense Emphasis"/>
    <w:basedOn w:val="DefaultParagraphFont"/>
    <w:uiPriority w:val="21"/>
    <w:qFormat/>
    <w:rsid w:val="00F44318"/>
    <w:rPr>
      <w:i/>
      <w:iCs/>
      <w:color w:val="2F5496" w:themeColor="accent1" w:themeShade="BF"/>
    </w:rPr>
  </w:style>
  <w:style w:type="paragraph" w:styleId="IntenseQuote">
    <w:name w:val="Intense Quote"/>
    <w:basedOn w:val="Normal"/>
    <w:next w:val="Normal"/>
    <w:link w:val="IntenseQuoteChar"/>
    <w:uiPriority w:val="30"/>
    <w:qFormat/>
    <w:rsid w:val="00F443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44318"/>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F44318"/>
    <w:rPr>
      <w:b/>
      <w:bCs/>
      <w:smallCaps/>
      <w:color w:val="2F5496" w:themeColor="accent1" w:themeShade="BF"/>
      <w:spacing w:val="5"/>
    </w:rPr>
  </w:style>
  <w:style w:type="paragraph" w:styleId="TOCHeading">
    <w:name w:val="TOC Heading"/>
    <w:basedOn w:val="Heading1"/>
    <w:next w:val="Normal"/>
    <w:uiPriority w:val="39"/>
    <w:unhideWhenUsed/>
    <w:qFormat/>
    <w:rsid w:val="00E42DDC"/>
    <w:pPr>
      <w:jc w:val="center"/>
      <w:outlineLvl w:val="9"/>
    </w:pPr>
    <w:rPr>
      <w:szCs w:val="32"/>
      <w14:ligatures w14:val="none"/>
    </w:rPr>
  </w:style>
  <w:style w:type="paragraph" w:styleId="TOC1">
    <w:name w:val="toc 1"/>
    <w:basedOn w:val="Normal"/>
    <w:next w:val="Normal"/>
    <w:autoRedefine/>
    <w:uiPriority w:val="39"/>
    <w:unhideWhenUsed/>
    <w:rsid w:val="00E42DDC"/>
    <w:pPr>
      <w:spacing w:after="100"/>
    </w:pPr>
  </w:style>
  <w:style w:type="paragraph" w:styleId="TOC2">
    <w:name w:val="toc 2"/>
    <w:basedOn w:val="Normal"/>
    <w:next w:val="Normal"/>
    <w:autoRedefine/>
    <w:uiPriority w:val="39"/>
    <w:unhideWhenUsed/>
    <w:rsid w:val="00E42DDC"/>
    <w:pPr>
      <w:spacing w:after="100"/>
      <w:ind w:left="240"/>
    </w:pPr>
  </w:style>
  <w:style w:type="character" w:styleId="Hyperlink">
    <w:name w:val="Hyperlink"/>
    <w:basedOn w:val="DefaultParagraphFont"/>
    <w:uiPriority w:val="99"/>
    <w:unhideWhenUsed/>
    <w:rsid w:val="00E42DDC"/>
    <w:rPr>
      <w:color w:val="0563C1" w:themeColor="hyperlink"/>
      <w:u w:val="single"/>
    </w:rPr>
  </w:style>
  <w:style w:type="paragraph" w:styleId="Header">
    <w:name w:val="header"/>
    <w:basedOn w:val="Normal"/>
    <w:link w:val="HeaderChar"/>
    <w:uiPriority w:val="99"/>
    <w:unhideWhenUsed/>
    <w:rsid w:val="00DB24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2457"/>
    <w:rPr>
      <w:rFonts w:ascii="Arial" w:hAnsi="Arial"/>
      <w:sz w:val="24"/>
    </w:rPr>
  </w:style>
  <w:style w:type="paragraph" w:styleId="Footer">
    <w:name w:val="footer"/>
    <w:basedOn w:val="Normal"/>
    <w:link w:val="FooterChar"/>
    <w:uiPriority w:val="99"/>
    <w:unhideWhenUsed/>
    <w:rsid w:val="00DB24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2457"/>
    <w:rPr>
      <w:rFonts w:ascii="Arial" w:hAnsi="Arial"/>
      <w:sz w:val="24"/>
    </w:rPr>
  </w:style>
  <w:style w:type="character" w:styleId="UnresolvedMention">
    <w:name w:val="Unresolved Mention"/>
    <w:basedOn w:val="DefaultParagraphFont"/>
    <w:uiPriority w:val="99"/>
    <w:semiHidden/>
    <w:unhideWhenUsed/>
    <w:rsid w:val="00DA7E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3390/systems12050168"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heliyon.2022.e12785"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i.org/10.1108/ET-09-2023-038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972150920926966" TargetMode="External"/><Relationship Id="rId5" Type="http://schemas.openxmlformats.org/officeDocument/2006/relationships/webSettings" Target="webSettings.xml"/><Relationship Id="rId15" Type="http://schemas.openxmlformats.org/officeDocument/2006/relationships/hyperlink" Target="https://doi.org/10.1108/TLO-04-2023-0067" TargetMode="External"/><Relationship Id="rId10" Type="http://schemas.openxmlformats.org/officeDocument/2006/relationships/hyperlink" Target="https://doi.org/10.1016/j.teler.2025.10028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16/j.hrmr.2023.100985" TargetMode="External"/><Relationship Id="rId14" Type="http://schemas.openxmlformats.org/officeDocument/2006/relationships/hyperlink" Target="https://doi.org/10.18848/2327-8013/CGP/v21i02/19-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CDE64-3D22-4779-B05C-F679C920D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16</Pages>
  <Words>3327</Words>
  <Characters>18966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Yasin Bin Rouf</dc:creator>
  <cp:keywords/>
  <dc:description/>
  <cp:lastModifiedBy>Mohammed Yasin Bin Rouf</cp:lastModifiedBy>
  <cp:revision>6</cp:revision>
  <dcterms:created xsi:type="dcterms:W3CDTF">2026-05-11T14:59:00Z</dcterms:created>
  <dcterms:modified xsi:type="dcterms:W3CDTF">2026-05-22T02:08:00Z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da3c250b-351d-4923-9e0d-9cb5563bd29a</vt:lpwstr>
  </property>
</Properties>
</file>