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42FFC" w14:textId="1D480B36" w:rsidR="008E68BD" w:rsidRDefault="008E68BD" w:rsidP="00EF641C">
      <w:pPr>
        <w:jc w:val="center"/>
      </w:pPr>
    </w:p>
    <w:p w14:paraId="6FE2DFAB" w14:textId="6DABA724" w:rsidR="00EF641C" w:rsidRDefault="00EF641C" w:rsidP="00EF641C">
      <w:pPr>
        <w:jc w:val="center"/>
      </w:pPr>
    </w:p>
    <w:p w14:paraId="6D381260" w14:textId="1B25E849" w:rsidR="00EF641C" w:rsidRDefault="00EF641C" w:rsidP="00EF641C">
      <w:pPr>
        <w:jc w:val="center"/>
      </w:pPr>
    </w:p>
    <w:p w14:paraId="184CF24B" w14:textId="07252132" w:rsidR="00EF641C" w:rsidRDefault="00EF641C" w:rsidP="00EF641C">
      <w:pPr>
        <w:jc w:val="center"/>
      </w:pPr>
    </w:p>
    <w:p w14:paraId="36773BC1" w14:textId="77777777" w:rsidR="005F4F75" w:rsidRDefault="005F4F75" w:rsidP="00EF641C">
      <w:pPr>
        <w:jc w:val="center"/>
      </w:pPr>
    </w:p>
    <w:p w14:paraId="71D0D9E7" w14:textId="7444609C" w:rsidR="00EF641C" w:rsidRDefault="00EF641C" w:rsidP="00EF641C">
      <w:pPr>
        <w:jc w:val="center"/>
      </w:pPr>
    </w:p>
    <w:p w14:paraId="7E3B3DE0" w14:textId="4CD0DB9F" w:rsidR="00EF641C" w:rsidRPr="00BB0882" w:rsidRDefault="00BB0882" w:rsidP="00EF641C">
      <w:pPr>
        <w:jc w:val="center"/>
        <w:rPr>
          <w:rFonts w:ascii="Arial" w:hAnsi="Arial" w:cs="Arial"/>
          <w:b/>
          <w:bCs/>
          <w:sz w:val="48"/>
          <w:szCs w:val="48"/>
        </w:rPr>
      </w:pPr>
      <w:r w:rsidRPr="00BB0882">
        <w:rPr>
          <w:rFonts w:ascii="Arial" w:hAnsi="Arial" w:cs="Arial"/>
          <w:b/>
          <w:bCs/>
          <w:sz w:val="48"/>
          <w:szCs w:val="48"/>
        </w:rPr>
        <w:t>How to engage employees throughout the employee lifecycle</w:t>
      </w:r>
    </w:p>
    <w:p w14:paraId="51C9E047" w14:textId="57F201EB" w:rsidR="00EF641C" w:rsidRDefault="00EF641C" w:rsidP="00EF641C">
      <w:pPr>
        <w:jc w:val="center"/>
        <w:rPr>
          <w:rFonts w:ascii="Arial" w:hAnsi="Arial" w:cs="Arial"/>
          <w:b/>
          <w:bCs/>
          <w:sz w:val="52"/>
          <w:szCs w:val="52"/>
        </w:rPr>
      </w:pPr>
    </w:p>
    <w:p w14:paraId="7A408955" w14:textId="18E1877B" w:rsidR="00EF641C" w:rsidRDefault="00EF641C" w:rsidP="00EF641C">
      <w:pPr>
        <w:jc w:val="center"/>
        <w:rPr>
          <w:rFonts w:ascii="Arial" w:hAnsi="Arial" w:cs="Arial"/>
          <w:b/>
          <w:bCs/>
          <w:sz w:val="52"/>
          <w:szCs w:val="52"/>
        </w:rPr>
      </w:pPr>
    </w:p>
    <w:p w14:paraId="1F172811" w14:textId="173C249F" w:rsidR="00EF641C" w:rsidRDefault="00EF641C" w:rsidP="00EF641C">
      <w:pPr>
        <w:jc w:val="center"/>
        <w:rPr>
          <w:rFonts w:ascii="Arial" w:hAnsi="Arial" w:cs="Arial"/>
          <w:b/>
          <w:bCs/>
          <w:sz w:val="52"/>
          <w:szCs w:val="52"/>
        </w:rPr>
      </w:pPr>
    </w:p>
    <w:p w14:paraId="7955A281" w14:textId="1906FE7A" w:rsidR="005F4F75" w:rsidRDefault="005F4F75" w:rsidP="00EF641C">
      <w:pPr>
        <w:jc w:val="center"/>
        <w:rPr>
          <w:rFonts w:ascii="Arial" w:hAnsi="Arial" w:cs="Arial"/>
          <w:b/>
          <w:bCs/>
          <w:sz w:val="52"/>
          <w:szCs w:val="52"/>
        </w:rPr>
      </w:pPr>
    </w:p>
    <w:p w14:paraId="3C5D4BB0" w14:textId="77777777" w:rsidR="00545004" w:rsidRDefault="00545004" w:rsidP="00EF641C">
      <w:pPr>
        <w:jc w:val="center"/>
        <w:rPr>
          <w:rFonts w:ascii="Arial" w:hAnsi="Arial" w:cs="Arial"/>
          <w:b/>
          <w:bCs/>
          <w:sz w:val="52"/>
          <w:szCs w:val="52"/>
        </w:rPr>
      </w:pPr>
    </w:p>
    <w:p w14:paraId="44284D3E" w14:textId="766745D5" w:rsidR="00EF641C" w:rsidRDefault="00EF641C" w:rsidP="00EF641C">
      <w:pPr>
        <w:jc w:val="center"/>
        <w:rPr>
          <w:rFonts w:ascii="Arial" w:hAnsi="Arial" w:cs="Arial"/>
          <w:b/>
          <w:bCs/>
          <w:sz w:val="40"/>
          <w:szCs w:val="40"/>
        </w:rPr>
      </w:pPr>
      <w:r>
        <w:rPr>
          <w:rFonts w:ascii="Arial" w:hAnsi="Arial" w:cs="Arial"/>
          <w:b/>
          <w:bCs/>
          <w:sz w:val="40"/>
          <w:szCs w:val="40"/>
        </w:rPr>
        <w:t>Md Jewel Ahmed</w:t>
      </w:r>
    </w:p>
    <w:p w14:paraId="72EEE6C6" w14:textId="62B17A94" w:rsidR="00EF641C" w:rsidRDefault="00EF641C" w:rsidP="00EF641C">
      <w:pPr>
        <w:jc w:val="center"/>
        <w:rPr>
          <w:rFonts w:ascii="Arial" w:hAnsi="Arial" w:cs="Arial"/>
          <w:b/>
          <w:bCs/>
          <w:sz w:val="40"/>
          <w:szCs w:val="40"/>
        </w:rPr>
      </w:pPr>
      <w:r>
        <w:rPr>
          <w:rFonts w:ascii="Arial" w:hAnsi="Arial" w:cs="Arial"/>
          <w:b/>
          <w:bCs/>
          <w:sz w:val="40"/>
          <w:szCs w:val="40"/>
        </w:rPr>
        <w:t>Personnel Resourcing and Development</w:t>
      </w:r>
    </w:p>
    <w:p w14:paraId="4DB859D4" w14:textId="12D282CA" w:rsidR="00EF641C" w:rsidRDefault="00EF641C" w:rsidP="00EF641C">
      <w:pPr>
        <w:jc w:val="center"/>
        <w:rPr>
          <w:rFonts w:ascii="Arial" w:hAnsi="Arial" w:cs="Arial"/>
          <w:b/>
          <w:bCs/>
          <w:sz w:val="40"/>
          <w:szCs w:val="40"/>
        </w:rPr>
      </w:pPr>
      <w:r>
        <w:rPr>
          <w:rFonts w:ascii="Arial" w:hAnsi="Arial" w:cs="Arial"/>
          <w:b/>
          <w:bCs/>
          <w:sz w:val="40"/>
          <w:szCs w:val="40"/>
        </w:rPr>
        <w:t>BMIH5005</w:t>
      </w:r>
    </w:p>
    <w:p w14:paraId="30F0376E" w14:textId="5668D85C" w:rsidR="00EF641C" w:rsidRDefault="00EF641C" w:rsidP="00EF641C">
      <w:pPr>
        <w:jc w:val="center"/>
        <w:rPr>
          <w:rFonts w:ascii="Arial" w:hAnsi="Arial" w:cs="Arial"/>
          <w:b/>
          <w:bCs/>
          <w:sz w:val="40"/>
          <w:szCs w:val="40"/>
        </w:rPr>
      </w:pPr>
      <w:r>
        <w:rPr>
          <w:rFonts w:ascii="Arial" w:hAnsi="Arial" w:cs="Arial"/>
          <w:b/>
          <w:bCs/>
          <w:sz w:val="40"/>
          <w:szCs w:val="40"/>
        </w:rPr>
        <w:t>Charlotte Joyner</w:t>
      </w:r>
    </w:p>
    <w:p w14:paraId="0F412681" w14:textId="516ED79D" w:rsidR="00EF641C" w:rsidRDefault="00EF641C" w:rsidP="00EF641C">
      <w:pPr>
        <w:jc w:val="center"/>
        <w:rPr>
          <w:rFonts w:ascii="Arial" w:hAnsi="Arial" w:cs="Arial"/>
          <w:b/>
          <w:bCs/>
          <w:sz w:val="40"/>
          <w:szCs w:val="40"/>
        </w:rPr>
      </w:pPr>
    </w:p>
    <w:p w14:paraId="24527715" w14:textId="0AAF1A54" w:rsidR="00EF641C" w:rsidRDefault="00EF641C" w:rsidP="00EF641C">
      <w:pPr>
        <w:jc w:val="center"/>
        <w:rPr>
          <w:rFonts w:ascii="Arial" w:hAnsi="Arial" w:cs="Arial"/>
          <w:b/>
          <w:bCs/>
          <w:sz w:val="40"/>
          <w:szCs w:val="40"/>
        </w:rPr>
      </w:pPr>
    </w:p>
    <w:p w14:paraId="7A91B6BE" w14:textId="431C9A00" w:rsidR="00EF641C" w:rsidRDefault="00EF641C" w:rsidP="00EF641C">
      <w:pPr>
        <w:jc w:val="center"/>
        <w:rPr>
          <w:rFonts w:ascii="Arial" w:hAnsi="Arial" w:cs="Arial"/>
          <w:b/>
          <w:bCs/>
          <w:sz w:val="40"/>
          <w:szCs w:val="40"/>
        </w:rPr>
      </w:pPr>
    </w:p>
    <w:p w14:paraId="3B4CB8F5" w14:textId="0960695F" w:rsidR="00EF641C" w:rsidRDefault="00EF641C" w:rsidP="00EF641C">
      <w:pPr>
        <w:jc w:val="center"/>
        <w:rPr>
          <w:rFonts w:ascii="Arial" w:hAnsi="Arial" w:cs="Arial"/>
          <w:b/>
          <w:bCs/>
          <w:sz w:val="40"/>
          <w:szCs w:val="40"/>
        </w:rPr>
      </w:pPr>
    </w:p>
    <w:p w14:paraId="52B7173C" w14:textId="55033BB4" w:rsidR="00EF641C" w:rsidRDefault="00EF641C" w:rsidP="00EF641C">
      <w:pPr>
        <w:jc w:val="center"/>
        <w:rPr>
          <w:rFonts w:ascii="Arial" w:hAnsi="Arial" w:cs="Arial"/>
          <w:b/>
          <w:bCs/>
          <w:sz w:val="40"/>
          <w:szCs w:val="40"/>
        </w:rPr>
      </w:pPr>
    </w:p>
    <w:p w14:paraId="346285AC" w14:textId="13B654DF" w:rsidR="00EF641C" w:rsidRPr="00EF641C" w:rsidRDefault="00EF641C" w:rsidP="0083385E">
      <w:pPr>
        <w:spacing w:after="0" w:line="360" w:lineRule="auto"/>
        <w:jc w:val="both"/>
        <w:rPr>
          <w:rFonts w:ascii="Arial" w:eastAsia="Arial" w:hAnsi="Arial" w:cs="Arial"/>
          <w:sz w:val="24"/>
          <w:szCs w:val="24"/>
          <w:lang w:eastAsia="en-GB"/>
        </w:rPr>
      </w:pPr>
      <w:r w:rsidRPr="00EF641C">
        <w:rPr>
          <w:rFonts w:ascii="Arial" w:eastAsia="Arial" w:hAnsi="Arial" w:cs="Arial"/>
          <w:sz w:val="24"/>
          <w:szCs w:val="24"/>
          <w:lang w:eastAsia="en-GB"/>
        </w:rPr>
        <w:lastRenderedPageBreak/>
        <w:t>The human resource department plays a critical role in the success of any organisation as well as the hotel industry. It is responsible for recruiting, training, and retaining the best employees, and ensuring that they are engaged and motivated throughout their employment lifecycle (Podgorodnichenko, Edgar and McAndrew, 2020). This is especially important in the hospitality industry, where customer service is key to success. A well-run human resource department is essential for any large hotel to remain competitive and successful (</w:t>
      </w:r>
      <w:proofErr w:type="spellStart"/>
      <w:r w:rsidRPr="00EF641C">
        <w:rPr>
          <w:rFonts w:ascii="Arial" w:eastAsia="Arial" w:hAnsi="Arial" w:cs="Arial"/>
          <w:sz w:val="24"/>
          <w:szCs w:val="24"/>
          <w:lang w:eastAsia="en-GB"/>
        </w:rPr>
        <w:t>Tsaur</w:t>
      </w:r>
      <w:proofErr w:type="spellEnd"/>
      <w:r w:rsidRPr="00EF641C">
        <w:rPr>
          <w:rFonts w:ascii="Arial" w:eastAsia="Arial" w:hAnsi="Arial" w:cs="Arial"/>
          <w:sz w:val="24"/>
          <w:szCs w:val="24"/>
          <w:lang w:eastAsia="en-GB"/>
        </w:rPr>
        <w:t xml:space="preserve"> and Lin, 2014).</w:t>
      </w:r>
      <w:r w:rsidR="00D90279">
        <w:rPr>
          <w:rFonts w:ascii="Arial" w:eastAsia="Arial" w:hAnsi="Arial" w:cs="Arial"/>
          <w:sz w:val="24"/>
          <w:szCs w:val="24"/>
          <w:lang w:eastAsia="en-GB"/>
        </w:rPr>
        <w:t xml:space="preserve"> </w:t>
      </w:r>
      <w:r w:rsidRPr="00EF641C">
        <w:rPr>
          <w:rFonts w:ascii="Arial" w:eastAsia="Arial" w:hAnsi="Arial" w:cs="Arial"/>
          <w:sz w:val="24"/>
          <w:szCs w:val="24"/>
          <w:lang w:eastAsia="en-GB"/>
        </w:rPr>
        <w:t>Engaging a team is an important part of Human Resource Management (HRM) in large hotels. Creating an atmosphere where staff members feel valued, respected, and inspired to perform at their best is essential to engaging a team (</w:t>
      </w:r>
      <w:proofErr w:type="spellStart"/>
      <w:r w:rsidRPr="00EF641C">
        <w:rPr>
          <w:rFonts w:ascii="Arial" w:eastAsia="Arial" w:hAnsi="Arial" w:cs="Arial"/>
          <w:sz w:val="24"/>
          <w:szCs w:val="24"/>
          <w:lang w:eastAsia="en-GB"/>
        </w:rPr>
        <w:t>Guchait</w:t>
      </w:r>
      <w:proofErr w:type="spellEnd"/>
      <w:r w:rsidRPr="00EF641C">
        <w:rPr>
          <w:rFonts w:ascii="Arial" w:eastAsia="Arial" w:hAnsi="Arial" w:cs="Arial"/>
          <w:sz w:val="24"/>
          <w:szCs w:val="24"/>
          <w:lang w:eastAsia="en-GB"/>
        </w:rPr>
        <w:t>, 2016). This can be done through effective communication, recognition, and rewards.</w:t>
      </w:r>
    </w:p>
    <w:p w14:paraId="4CE58964" w14:textId="33FA4FD4" w:rsidR="00EF641C" w:rsidRPr="00EF641C" w:rsidRDefault="00EF641C" w:rsidP="0083385E">
      <w:pPr>
        <w:spacing w:after="0" w:line="360" w:lineRule="auto"/>
        <w:jc w:val="both"/>
        <w:rPr>
          <w:rFonts w:ascii="Arial" w:eastAsia="Arial" w:hAnsi="Arial" w:cs="Arial"/>
          <w:sz w:val="24"/>
          <w:szCs w:val="24"/>
          <w:lang w:eastAsia="en-GB"/>
        </w:rPr>
      </w:pPr>
      <w:r w:rsidRPr="00EF641C">
        <w:rPr>
          <w:rFonts w:ascii="Arial" w:eastAsia="Arial" w:hAnsi="Arial" w:cs="Arial"/>
          <w:sz w:val="24"/>
          <w:szCs w:val="24"/>
          <w:lang w:eastAsia="en-GB"/>
        </w:rPr>
        <w:t>Communication is key to engaging a team. It's crucial to make sure staff members are aware of the organi</w:t>
      </w:r>
      <w:r w:rsidR="00495919">
        <w:rPr>
          <w:rFonts w:ascii="Arial" w:eastAsia="Arial" w:hAnsi="Arial" w:cs="Arial"/>
          <w:sz w:val="24"/>
          <w:szCs w:val="24"/>
          <w:lang w:eastAsia="en-GB"/>
        </w:rPr>
        <w:t>s</w:t>
      </w:r>
      <w:r w:rsidRPr="00EF641C">
        <w:rPr>
          <w:rFonts w:ascii="Arial" w:eastAsia="Arial" w:hAnsi="Arial" w:cs="Arial"/>
          <w:sz w:val="24"/>
          <w:szCs w:val="24"/>
          <w:lang w:eastAsia="en-GB"/>
        </w:rPr>
        <w:t>ation's aims and objectives and how their efforts contribute to the organi</w:t>
      </w:r>
      <w:r w:rsidR="00334F3E">
        <w:rPr>
          <w:rFonts w:ascii="Arial" w:eastAsia="Arial" w:hAnsi="Arial" w:cs="Arial"/>
          <w:sz w:val="24"/>
          <w:szCs w:val="24"/>
          <w:lang w:eastAsia="en-GB"/>
        </w:rPr>
        <w:t>s</w:t>
      </w:r>
      <w:r w:rsidRPr="00EF641C">
        <w:rPr>
          <w:rFonts w:ascii="Arial" w:eastAsia="Arial" w:hAnsi="Arial" w:cs="Arial"/>
          <w:sz w:val="24"/>
          <w:szCs w:val="24"/>
          <w:lang w:eastAsia="en-GB"/>
        </w:rPr>
        <w:t>ation's success (</w:t>
      </w:r>
      <w:proofErr w:type="spellStart"/>
      <w:r w:rsidRPr="00EF641C">
        <w:rPr>
          <w:rFonts w:ascii="Arial" w:eastAsia="Arial" w:hAnsi="Arial" w:cs="Arial"/>
          <w:sz w:val="24"/>
          <w:szCs w:val="24"/>
          <w:lang w:eastAsia="en-GB"/>
        </w:rPr>
        <w:t>Haitao</w:t>
      </w:r>
      <w:proofErr w:type="spellEnd"/>
      <w:r w:rsidRPr="00EF641C">
        <w:rPr>
          <w:rFonts w:ascii="Arial" w:eastAsia="Arial" w:hAnsi="Arial" w:cs="Arial"/>
          <w:sz w:val="24"/>
          <w:szCs w:val="24"/>
          <w:lang w:eastAsia="en-GB"/>
        </w:rPr>
        <w:t>, 2021). Additionally, it is important to provide feedback and recognition for a job well done. This can be done through verbal recognition, awards, or other forms of recognition.</w:t>
      </w:r>
      <w:r w:rsidR="00E41621">
        <w:rPr>
          <w:rFonts w:ascii="Arial" w:eastAsia="Arial" w:hAnsi="Arial" w:cs="Arial"/>
          <w:sz w:val="24"/>
          <w:szCs w:val="24"/>
          <w:lang w:eastAsia="en-GB"/>
        </w:rPr>
        <w:t xml:space="preserve"> </w:t>
      </w:r>
      <w:r w:rsidRPr="00EF641C">
        <w:rPr>
          <w:rFonts w:ascii="Arial" w:eastAsia="Arial" w:hAnsi="Arial" w:cs="Arial"/>
          <w:sz w:val="24"/>
          <w:szCs w:val="24"/>
          <w:lang w:eastAsia="en-GB"/>
        </w:rPr>
        <w:t xml:space="preserve">Rewards are also important for engaging a team. This can include monetary rewards, such as bonuses or raises, or non-monetary rewards, such as additional vacation time or flexible work hours (Shields </w:t>
      </w:r>
      <w:r w:rsidRPr="00EF641C">
        <w:rPr>
          <w:rFonts w:ascii="Arial" w:eastAsia="Arial" w:hAnsi="Arial" w:cs="Arial"/>
          <w:i/>
          <w:sz w:val="24"/>
          <w:szCs w:val="24"/>
          <w:lang w:eastAsia="en-GB"/>
        </w:rPr>
        <w:t xml:space="preserve">et al. </w:t>
      </w:r>
      <w:r w:rsidRPr="00EF641C">
        <w:rPr>
          <w:rFonts w:ascii="Arial" w:eastAsia="Arial" w:hAnsi="Arial" w:cs="Arial"/>
          <w:sz w:val="24"/>
          <w:szCs w:val="24"/>
          <w:lang w:eastAsia="en-GB"/>
        </w:rPr>
        <w:t>2015). These rewards can help to motivate employees and show them that their hard work is appreciated.</w:t>
      </w:r>
    </w:p>
    <w:p w14:paraId="323EFF8C" w14:textId="3F557D5F" w:rsidR="00BB0882" w:rsidRPr="00DD43BB" w:rsidRDefault="00EF641C" w:rsidP="0083385E">
      <w:pPr>
        <w:spacing w:after="0" w:line="360" w:lineRule="auto"/>
        <w:jc w:val="both"/>
        <w:rPr>
          <w:rFonts w:ascii="Arial" w:eastAsia="Arial" w:hAnsi="Arial" w:cs="Arial"/>
          <w:sz w:val="24"/>
          <w:szCs w:val="24"/>
          <w:lang w:eastAsia="en-GB"/>
        </w:rPr>
      </w:pPr>
      <w:r w:rsidRPr="00EF641C">
        <w:rPr>
          <w:rFonts w:ascii="Arial" w:eastAsia="Arial" w:hAnsi="Arial" w:cs="Arial"/>
          <w:sz w:val="24"/>
          <w:szCs w:val="24"/>
          <w:lang w:eastAsia="en-GB"/>
        </w:rPr>
        <w:t xml:space="preserve">The human resource department must employ a variety of strategies to engage employees throughout their employment lifecycle. These strategies include recruitment, onboarding, training, performance management, recognition, and retention (Paauwe and Boon, 2018). By employing these strategies, the human resource department can ensure that employees are engaged and motivated throughout their employment lifecycle (Verlinden, 2023). This will help the hotel to maintain a high level of customer service and ensure that employees are satisfied with their work. The essay sheds light on various aspects of employee lifecycle and </w:t>
      </w:r>
      <w:proofErr w:type="spellStart"/>
      <w:r w:rsidRPr="00EF641C">
        <w:rPr>
          <w:rFonts w:ascii="Arial" w:eastAsia="Arial" w:hAnsi="Arial" w:cs="Arial"/>
          <w:sz w:val="24"/>
          <w:szCs w:val="24"/>
          <w:lang w:eastAsia="en-GB"/>
        </w:rPr>
        <w:t>it’s</w:t>
      </w:r>
      <w:proofErr w:type="spellEnd"/>
      <w:r w:rsidRPr="00EF641C">
        <w:rPr>
          <w:rFonts w:ascii="Arial" w:eastAsia="Arial" w:hAnsi="Arial" w:cs="Arial"/>
          <w:sz w:val="24"/>
          <w:szCs w:val="24"/>
          <w:lang w:eastAsia="en-GB"/>
        </w:rPr>
        <w:t xml:space="preserve"> relationship with the HRM. It will also explore the strategies and implementations for the betterment of the organisations. </w:t>
      </w:r>
    </w:p>
    <w:p w14:paraId="09A88959" w14:textId="77777777" w:rsidR="006A1D67" w:rsidRDefault="00BB0882" w:rsidP="0083385E">
      <w:pPr>
        <w:spacing w:after="0"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 xml:space="preserve">Human resources (HR) play a critical role in engaging employees in large hotels. Employees that are engaged are more productive, more satisfied with their jobs, and more likely to stick with the company (ADP, 2023). HR departments in large hotels are responsible for creating and implementing strategies and programs to ensure </w:t>
      </w:r>
      <w:r w:rsidRPr="00BB0882">
        <w:rPr>
          <w:rFonts w:ascii="Arial" w:eastAsia="Arial" w:hAnsi="Arial" w:cs="Arial"/>
          <w:sz w:val="24"/>
          <w:szCs w:val="24"/>
          <w:lang w:eastAsia="en-GB"/>
        </w:rPr>
        <w:lastRenderedPageBreak/>
        <w:t xml:space="preserve">employees are engaged and motivated. The success of large hotels can be attributed, according to statistics, in part to employee engagement. Only 33% of workers in the hospitality sector, according to a Gallup survey, are actively engaged in their jobs. This is significantly lower than the average of 38% for all industries (Harter, 2022). Furthermore, the survey found that hotels with high engagement scores reported higher levels of customer satisfaction, higher revenue growth, and higher profits. </w:t>
      </w:r>
    </w:p>
    <w:p w14:paraId="35DE7766" w14:textId="1C627ED6" w:rsidR="00BB0882" w:rsidRPr="00BB0882" w:rsidRDefault="00BB0882" w:rsidP="0083385E">
      <w:pPr>
        <w:spacing w:after="0"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HR departments in large hotels can use a variety of strategies to engage employees. These include fostering a healthy work atmosphere, offering competitive compensation and benefits, and giving staff opportunity for professional development. Additionally, HR departments can design initiatives that reward staff for their commitment and hard work (Hsieh and Chen, 2011). These programs can include awards, bonuses, and other incentives. Another important role of HR departments in large hotels is to ensure that employees feel valued and respected (Kim, 2019). This can be done by providing employees with regular feedback and recognition, and by creating a culture of trust and respect. HR departments should also make sure that workers have access to the tools and assistance they need to succeed in their positions. Last but not least, HR teams at big hotels should make sure that the working conditions are secure and healthful. This entails giving workers the required safety gear and training, as well as making sure that all safety standards are fulfilled (Shrm, 2022). Additionally, HR departments should make sure that workers have access to the tools and assistance they need to deal with any potential problems with their mental or physical health.</w:t>
      </w:r>
    </w:p>
    <w:p w14:paraId="24677F2F" w14:textId="77777777" w:rsidR="00CB6DBE" w:rsidRDefault="00BB0882" w:rsidP="0083385E">
      <w:pPr>
        <w:spacing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Creating a nice work atmosphere is one of the most crucial strategies to engage a workforce in large hotels. This includes providing a safe and comfortable workplace, offering flexible working hours, and providing clear communication and feedback. Additionally, making sure team members have access to the tools they require to do their duties successfully. Along with access to technology and other resources, this may also involve offering opportunities for training and growth. In major hotels, motivating a team</w:t>
      </w:r>
      <w:r>
        <w:rPr>
          <w:rFonts w:ascii="Arial" w:eastAsia="Arial" w:hAnsi="Arial" w:cs="Arial"/>
          <w:sz w:val="24"/>
          <w:szCs w:val="24"/>
          <w:lang w:eastAsia="en-GB"/>
        </w:rPr>
        <w:t xml:space="preserve"> </w:t>
      </w:r>
      <w:r w:rsidRPr="00BB0882">
        <w:rPr>
          <w:rFonts w:ascii="Arial" w:eastAsia="Arial" w:hAnsi="Arial" w:cs="Arial"/>
          <w:sz w:val="24"/>
          <w:szCs w:val="24"/>
          <w:lang w:eastAsia="en-GB"/>
        </w:rPr>
        <w:t>also involves giving them significant prizes and recognition in addition to fostering a positive work environment. This can include providing financial incentives, such as bonuses or raises, as well as non-financial rewards, such as recognition for a job well done or a special event. Additionally, it is important to recogni</w:t>
      </w:r>
      <w:r w:rsidR="00BF0E86">
        <w:rPr>
          <w:rFonts w:ascii="Arial" w:eastAsia="Arial" w:hAnsi="Arial" w:cs="Arial"/>
          <w:sz w:val="24"/>
          <w:szCs w:val="24"/>
          <w:lang w:eastAsia="en-GB"/>
        </w:rPr>
        <w:t>s</w:t>
      </w:r>
      <w:r w:rsidRPr="00BB0882">
        <w:rPr>
          <w:rFonts w:ascii="Arial" w:eastAsia="Arial" w:hAnsi="Arial" w:cs="Arial"/>
          <w:sz w:val="24"/>
          <w:szCs w:val="24"/>
          <w:lang w:eastAsia="en-GB"/>
        </w:rPr>
        <w:t xml:space="preserve">e team members for their contributions and to provide opportunities for them to grow and develop. Finally, fostering a sense of team spirit is essential for engaging </w:t>
      </w:r>
      <w:r w:rsidRPr="00BB0882">
        <w:rPr>
          <w:rFonts w:ascii="Arial" w:eastAsia="Arial" w:hAnsi="Arial" w:cs="Arial"/>
          <w:sz w:val="24"/>
          <w:szCs w:val="24"/>
          <w:lang w:eastAsia="en-GB"/>
        </w:rPr>
        <w:lastRenderedPageBreak/>
        <w:t xml:space="preserve">a team in large hotels. This can include creating a shared vision and mission, encouraging collaboration and teamwork, and providing opportunities for team members to get to know each other. Additionally, it is important to recognize team members for their individual contributions and to provide meaningful feedback and support (HR University, 2022). </w:t>
      </w:r>
    </w:p>
    <w:p w14:paraId="1EF294B9" w14:textId="6371EB94" w:rsidR="00D87646" w:rsidRDefault="00BB0882" w:rsidP="0083385E">
      <w:pPr>
        <w:spacing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The advantages of engaging a team in large hotels are numerous. According to studies, teams that are engaged are more creative, productive, and likely to stick with the company. Additionally, teams that are engaged tend to have greater levels of job satisfaction and work satisfaction. According to a survey conducted by Forbes, 83% of organizations that have engaged teams report higher levels of employee engagement and satisfaction (Beheshti, 2022). Engaging a team in large hotels is an important part of HRM. By creating a positive work environment, providing meaningful rewards and recognition, and fostering a sense of team spirit, organizations can ensure that their teams are engaged and motivated. This can lead to increased productivity, creativity, and job satisfaction, as well as improved retention rates.</w:t>
      </w:r>
    </w:p>
    <w:p w14:paraId="11891AF8" w14:textId="031A31BB" w:rsidR="00D87646" w:rsidRDefault="00BB0882" w:rsidP="0083385E">
      <w:pPr>
        <w:spacing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Utili</w:t>
      </w:r>
      <w:r w:rsidR="000432B1">
        <w:rPr>
          <w:rFonts w:ascii="Arial" w:eastAsia="Arial" w:hAnsi="Arial" w:cs="Arial"/>
          <w:sz w:val="24"/>
          <w:szCs w:val="24"/>
          <w:lang w:eastAsia="en-GB"/>
        </w:rPr>
        <w:t>s</w:t>
      </w:r>
      <w:r w:rsidRPr="00BB0882">
        <w:rPr>
          <w:rFonts w:ascii="Arial" w:eastAsia="Arial" w:hAnsi="Arial" w:cs="Arial"/>
          <w:sz w:val="24"/>
          <w:szCs w:val="24"/>
          <w:lang w:eastAsia="en-GB"/>
        </w:rPr>
        <w:t>ing social media platforms to showcase the hotel’s culture, values, and mission can be an effective way to attract potential employees. Additionally, offering referral bonuses to current employees can be an effective way to increase the applicant pool. According to a survey conducted by SHRM, 81% of employers use social media to recruit potential employees (Maurer, 2018). Hilton and Marriott hotels both offer attractive strategies to employees. Hilton's strategies include providing competitive benefits such as health insurance, 401(k) plans, discounts on travel, and tuition assistance. They also offer career development opportunities, flexible work schedules, and job training programs. Marriott's strategies include providing competitive wages and benefits, career advancement and training opportunities, team-building activities, and wellness programs. They also offer employee recognition programs, flexible work schedules, and rewards for</w:t>
      </w:r>
      <w:r>
        <w:rPr>
          <w:rFonts w:ascii="Arial" w:eastAsia="Arial" w:hAnsi="Arial" w:cs="Arial"/>
          <w:sz w:val="24"/>
          <w:szCs w:val="24"/>
          <w:lang w:eastAsia="en-GB"/>
        </w:rPr>
        <w:t xml:space="preserve"> </w:t>
      </w:r>
      <w:r w:rsidRPr="00E305D5">
        <w:rPr>
          <w:rFonts w:ascii="Arial" w:eastAsia="Arial" w:hAnsi="Arial" w:cs="Arial"/>
          <w:sz w:val="24"/>
          <w:szCs w:val="24"/>
          <w:lang w:eastAsia="en-GB"/>
        </w:rPr>
        <w:t xml:space="preserve">outstanding performance. Both companies also offer flexible work from home </w:t>
      </w:r>
      <w:r w:rsidR="00E305D5" w:rsidRPr="00E305D5">
        <w:rPr>
          <w:rFonts w:ascii="Arial" w:eastAsia="Arial" w:hAnsi="Arial" w:cs="Arial"/>
          <w:sz w:val="24"/>
          <w:szCs w:val="24"/>
          <w:lang w:eastAsia="en-GB"/>
        </w:rPr>
        <w:t>options and</w:t>
      </w:r>
      <w:r w:rsidRPr="00E305D5">
        <w:rPr>
          <w:rFonts w:ascii="Arial" w:eastAsia="Arial" w:hAnsi="Arial" w:cs="Arial"/>
          <w:sz w:val="24"/>
          <w:szCs w:val="24"/>
          <w:lang w:eastAsia="en-GB"/>
        </w:rPr>
        <w:t xml:space="preserve"> provide employees with a supportive work environment. Both companies recognize the importance of employee satisfaction and strive to provide employees with the tools and resources they need to succeed.</w:t>
      </w:r>
    </w:p>
    <w:p w14:paraId="476136E8" w14:textId="2CF36C29" w:rsidR="00BB0882" w:rsidRPr="00BB0882" w:rsidRDefault="00BB0882" w:rsidP="0083385E">
      <w:pPr>
        <w:spacing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 xml:space="preserve">Establishing relationships with local universities and colleges to create internship programs can be a great way to recruit potential employees. Additionally, using job </w:t>
      </w:r>
      <w:r w:rsidRPr="00BB0882">
        <w:rPr>
          <w:rFonts w:ascii="Arial" w:eastAsia="Arial" w:hAnsi="Arial" w:cs="Arial"/>
          <w:sz w:val="24"/>
          <w:szCs w:val="24"/>
          <w:lang w:eastAsia="en-GB"/>
        </w:rPr>
        <w:lastRenderedPageBreak/>
        <w:t>boards and job fairs can be effective in reaching a larger pool of applicants. According to the Calvello, job fairs are the most popular method of recruitment, used by 78% of employers (Calvello, 2020). Hilton and Marriott employ different recruitment strategies. Hilton focuses on a combination of online and offline recruitment methods, such as job fairs and networking events. Marriott</w:t>
      </w:r>
      <w:r w:rsidR="00D42242">
        <w:rPr>
          <w:rFonts w:ascii="Arial" w:eastAsia="Arial" w:hAnsi="Arial" w:cs="Arial"/>
          <w:sz w:val="24"/>
          <w:szCs w:val="24"/>
          <w:lang w:eastAsia="en-GB"/>
        </w:rPr>
        <w:t xml:space="preserve"> </w:t>
      </w:r>
      <w:r w:rsidRPr="00BB0882">
        <w:rPr>
          <w:rFonts w:ascii="Arial" w:eastAsia="Arial" w:hAnsi="Arial" w:cs="Arial"/>
          <w:sz w:val="24"/>
          <w:szCs w:val="24"/>
          <w:lang w:eastAsia="en-GB"/>
        </w:rPr>
        <w:t>focuses heavily on online methods, such as job boards and social media platforms. Both companies also offer comprehensive onboarding and training programs to help new hires adjust to their roles.</w:t>
      </w:r>
    </w:p>
    <w:p w14:paraId="331CED01" w14:textId="6DE06CEF" w:rsidR="0038257C" w:rsidRDefault="00BB0882" w:rsidP="0083385E">
      <w:pPr>
        <w:spacing w:after="0"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Establishing a comprehensive onboarding program that includes training, orientation, and mentoring can be an effective way to ensure that new employees are properly acclimated to the hotel’s culture and values. Additionally, providing new employees with a clear understanding of their job duties and expectations can help to ensure that they are successful in their role. According to a survey conducted by SHRM, 83% of employers believe that onboarding programs are important for employee retention. Hilton and Marriott are two of the top hospitality companies in the world. Their employee onboarding strategies differ in some key areas. Hilton focuses on personali</w:t>
      </w:r>
      <w:r w:rsidR="00BA0456">
        <w:rPr>
          <w:rFonts w:ascii="Arial" w:eastAsia="Arial" w:hAnsi="Arial" w:cs="Arial"/>
          <w:sz w:val="24"/>
          <w:szCs w:val="24"/>
          <w:lang w:eastAsia="en-GB"/>
        </w:rPr>
        <w:t>s</w:t>
      </w:r>
      <w:r w:rsidRPr="00BB0882">
        <w:rPr>
          <w:rFonts w:ascii="Arial" w:eastAsia="Arial" w:hAnsi="Arial" w:cs="Arial"/>
          <w:sz w:val="24"/>
          <w:szCs w:val="24"/>
          <w:lang w:eastAsia="en-GB"/>
        </w:rPr>
        <w:t>ing the onboarding experience for each employee, offering individuali</w:t>
      </w:r>
      <w:r w:rsidR="00C10537">
        <w:rPr>
          <w:rFonts w:ascii="Arial" w:eastAsia="Arial" w:hAnsi="Arial" w:cs="Arial"/>
          <w:sz w:val="24"/>
          <w:szCs w:val="24"/>
          <w:lang w:eastAsia="en-GB"/>
        </w:rPr>
        <w:t>s</w:t>
      </w:r>
      <w:r w:rsidRPr="00BB0882">
        <w:rPr>
          <w:rFonts w:ascii="Arial" w:eastAsia="Arial" w:hAnsi="Arial" w:cs="Arial"/>
          <w:sz w:val="24"/>
          <w:szCs w:val="24"/>
          <w:lang w:eastAsia="en-GB"/>
        </w:rPr>
        <w:t>ed training plans and resources to ensure employees are able to quickly become productive and knowledgeable about the organi</w:t>
      </w:r>
      <w:r w:rsidR="00847D22">
        <w:rPr>
          <w:rFonts w:ascii="Arial" w:eastAsia="Arial" w:hAnsi="Arial" w:cs="Arial"/>
          <w:sz w:val="24"/>
          <w:szCs w:val="24"/>
          <w:lang w:eastAsia="en-GB"/>
        </w:rPr>
        <w:t>s</w:t>
      </w:r>
      <w:r w:rsidRPr="00BB0882">
        <w:rPr>
          <w:rFonts w:ascii="Arial" w:eastAsia="Arial" w:hAnsi="Arial" w:cs="Arial"/>
          <w:sz w:val="24"/>
          <w:szCs w:val="24"/>
          <w:lang w:eastAsia="en-GB"/>
        </w:rPr>
        <w:t>ation. Marriott</w:t>
      </w:r>
      <w:r w:rsidR="00957618">
        <w:rPr>
          <w:rFonts w:ascii="Arial" w:eastAsia="Arial" w:hAnsi="Arial" w:cs="Arial"/>
          <w:sz w:val="24"/>
          <w:szCs w:val="24"/>
          <w:lang w:eastAsia="en-GB"/>
        </w:rPr>
        <w:t xml:space="preserve"> </w:t>
      </w:r>
      <w:r w:rsidRPr="00BB0882">
        <w:rPr>
          <w:rFonts w:ascii="Arial" w:eastAsia="Arial" w:hAnsi="Arial" w:cs="Arial"/>
          <w:sz w:val="24"/>
          <w:szCs w:val="24"/>
          <w:lang w:eastAsia="en-GB"/>
        </w:rPr>
        <w:t>utili</w:t>
      </w:r>
      <w:r w:rsidR="000411F1">
        <w:rPr>
          <w:rFonts w:ascii="Arial" w:eastAsia="Arial" w:hAnsi="Arial" w:cs="Arial"/>
          <w:sz w:val="24"/>
          <w:szCs w:val="24"/>
          <w:lang w:eastAsia="en-GB"/>
        </w:rPr>
        <w:t>s</w:t>
      </w:r>
      <w:r w:rsidRPr="00BB0882">
        <w:rPr>
          <w:rFonts w:ascii="Arial" w:eastAsia="Arial" w:hAnsi="Arial" w:cs="Arial"/>
          <w:sz w:val="24"/>
          <w:szCs w:val="24"/>
          <w:lang w:eastAsia="en-GB"/>
        </w:rPr>
        <w:t>es a more standardi</w:t>
      </w:r>
      <w:r w:rsidR="000411F1">
        <w:rPr>
          <w:rFonts w:ascii="Arial" w:eastAsia="Arial" w:hAnsi="Arial" w:cs="Arial"/>
          <w:sz w:val="24"/>
          <w:szCs w:val="24"/>
          <w:lang w:eastAsia="en-GB"/>
        </w:rPr>
        <w:t>s</w:t>
      </w:r>
      <w:r w:rsidRPr="00BB0882">
        <w:rPr>
          <w:rFonts w:ascii="Arial" w:eastAsia="Arial" w:hAnsi="Arial" w:cs="Arial"/>
          <w:sz w:val="24"/>
          <w:szCs w:val="24"/>
          <w:lang w:eastAsia="en-GB"/>
        </w:rPr>
        <w:t>ed approach to onboarding, providing employees with an overview of the organi</w:t>
      </w:r>
      <w:r w:rsidR="002F15A0">
        <w:rPr>
          <w:rFonts w:ascii="Arial" w:eastAsia="Arial" w:hAnsi="Arial" w:cs="Arial"/>
          <w:sz w:val="24"/>
          <w:szCs w:val="24"/>
          <w:lang w:eastAsia="en-GB"/>
        </w:rPr>
        <w:t>s</w:t>
      </w:r>
      <w:r w:rsidRPr="00BB0882">
        <w:rPr>
          <w:rFonts w:ascii="Arial" w:eastAsia="Arial" w:hAnsi="Arial" w:cs="Arial"/>
          <w:sz w:val="24"/>
          <w:szCs w:val="24"/>
          <w:lang w:eastAsia="en-GB"/>
        </w:rPr>
        <w:t>ation and its culture and offering more generic training plans</w:t>
      </w:r>
      <w:r w:rsidR="00D42242">
        <w:rPr>
          <w:rFonts w:ascii="Arial" w:eastAsia="Arial" w:hAnsi="Arial" w:cs="Arial"/>
          <w:sz w:val="24"/>
          <w:szCs w:val="24"/>
          <w:lang w:eastAsia="en-GB"/>
        </w:rPr>
        <w:t>.</w:t>
      </w:r>
    </w:p>
    <w:p w14:paraId="53BDAD1A" w14:textId="77777777" w:rsidR="00A820CA" w:rsidRDefault="00BB0882" w:rsidP="0083385E">
      <w:pPr>
        <w:spacing w:line="360" w:lineRule="auto"/>
        <w:jc w:val="both"/>
        <w:rPr>
          <w:rFonts w:ascii="Arial" w:eastAsia="Arial" w:hAnsi="Arial" w:cs="Arial"/>
          <w:sz w:val="24"/>
          <w:szCs w:val="24"/>
          <w:lang w:eastAsia="en-GB"/>
        </w:rPr>
      </w:pPr>
      <w:r w:rsidRPr="00BB0882">
        <w:rPr>
          <w:rFonts w:ascii="Arial" w:eastAsia="Arial" w:hAnsi="Arial" w:cs="Arial"/>
          <w:sz w:val="24"/>
          <w:szCs w:val="24"/>
          <w:lang w:eastAsia="en-GB"/>
        </w:rPr>
        <w:t>Offering employees opportunities for professional development can be an effective way to ensure that they are engaged and motivated. This can include offering tuition reimbursement for employees who wish to pursue higher education, as well as providing on-the-job training and mentoring programs. According to a survey conducted by SHRM, 83% of employers believe that professional development is important for</w:t>
      </w:r>
      <w:r w:rsidR="00E305D5">
        <w:rPr>
          <w:rFonts w:ascii="Arial" w:eastAsia="Arial" w:hAnsi="Arial" w:cs="Arial"/>
          <w:sz w:val="24"/>
          <w:szCs w:val="24"/>
          <w:lang w:eastAsia="en-GB"/>
        </w:rPr>
        <w:t xml:space="preserve"> </w:t>
      </w:r>
      <w:r w:rsidR="00E305D5" w:rsidRPr="00E305D5">
        <w:rPr>
          <w:rFonts w:ascii="Arial" w:eastAsia="Arial" w:hAnsi="Arial" w:cs="Arial"/>
          <w:sz w:val="24"/>
          <w:szCs w:val="24"/>
          <w:lang w:eastAsia="en-GB"/>
        </w:rPr>
        <w:t>employee engagement (Vance, 2020). Hilton and Marriott employ similar employee development strategies, such as investing in leadership and management skills, providing training opportunities, and offering career development programs. Both companies emphasi</w:t>
      </w:r>
      <w:r w:rsidR="00937FE8">
        <w:rPr>
          <w:rFonts w:ascii="Arial" w:eastAsia="Arial" w:hAnsi="Arial" w:cs="Arial"/>
          <w:sz w:val="24"/>
          <w:szCs w:val="24"/>
          <w:lang w:eastAsia="en-GB"/>
        </w:rPr>
        <w:t>s</w:t>
      </w:r>
      <w:r w:rsidR="00E305D5" w:rsidRPr="00E305D5">
        <w:rPr>
          <w:rFonts w:ascii="Arial" w:eastAsia="Arial" w:hAnsi="Arial" w:cs="Arial"/>
          <w:sz w:val="24"/>
          <w:szCs w:val="24"/>
          <w:lang w:eastAsia="en-GB"/>
        </w:rPr>
        <w:t>e the importance of developing a positive work environment and providing employees with the skills and knowledge they need to succeed. Additionally, both companies prioriti</w:t>
      </w:r>
      <w:r w:rsidR="009F52EF">
        <w:rPr>
          <w:rFonts w:ascii="Arial" w:eastAsia="Arial" w:hAnsi="Arial" w:cs="Arial"/>
          <w:sz w:val="24"/>
          <w:szCs w:val="24"/>
          <w:lang w:eastAsia="en-GB"/>
        </w:rPr>
        <w:t>s</w:t>
      </w:r>
      <w:r w:rsidR="00E305D5" w:rsidRPr="00E305D5">
        <w:rPr>
          <w:rFonts w:ascii="Arial" w:eastAsia="Arial" w:hAnsi="Arial" w:cs="Arial"/>
          <w:sz w:val="24"/>
          <w:szCs w:val="24"/>
          <w:lang w:eastAsia="en-GB"/>
        </w:rPr>
        <w:t>e employee engagement and satisfaction by offering competitive wages, benefits, and recognition programs.</w:t>
      </w:r>
    </w:p>
    <w:p w14:paraId="69AFF083" w14:textId="4FC1AAAE" w:rsidR="009F6623" w:rsidRDefault="00E305D5" w:rsidP="0083385E">
      <w:pPr>
        <w:spacing w:line="360" w:lineRule="auto"/>
        <w:jc w:val="both"/>
        <w:rPr>
          <w:rFonts w:ascii="Arial" w:eastAsia="Arial" w:hAnsi="Arial" w:cs="Arial"/>
          <w:sz w:val="24"/>
          <w:szCs w:val="24"/>
          <w:lang w:eastAsia="en-GB"/>
        </w:rPr>
      </w:pPr>
      <w:r w:rsidRPr="00E305D5">
        <w:rPr>
          <w:rFonts w:ascii="Arial" w:eastAsia="Arial" w:hAnsi="Arial" w:cs="Arial"/>
          <w:sz w:val="24"/>
          <w:szCs w:val="24"/>
          <w:lang w:eastAsia="en-GB"/>
        </w:rPr>
        <w:lastRenderedPageBreak/>
        <w:t>Establishing a rewards and recognition program can be an effective way to ensure that employees are engaged and motivated. This can include offering bonuses for employees who meet certain performance goals, as well as providing recognition for employees who go above and beyond in their roles. According to a survey conducted by SHRM, 79% of employers believe that rewards and recognition programs are important for employee engagement (Vance, 2020). Hilton and Marriott have similar employee retention strategies, including competitive salaries, flexible work schedules, and generous benefits packages. Both companies also provide employee development opportunities, such as training, mentorship, and career growth, in order to create a positive work environment and attract and retain talented employees. Additionally, both companies emphasi</w:t>
      </w:r>
      <w:r w:rsidR="009B00D8">
        <w:rPr>
          <w:rFonts w:ascii="Arial" w:eastAsia="Arial" w:hAnsi="Arial" w:cs="Arial"/>
          <w:sz w:val="24"/>
          <w:szCs w:val="24"/>
          <w:lang w:eastAsia="en-GB"/>
        </w:rPr>
        <w:t>s</w:t>
      </w:r>
      <w:r w:rsidRPr="00E305D5">
        <w:rPr>
          <w:rFonts w:ascii="Arial" w:eastAsia="Arial" w:hAnsi="Arial" w:cs="Arial"/>
          <w:sz w:val="24"/>
          <w:szCs w:val="24"/>
          <w:lang w:eastAsia="en-GB"/>
        </w:rPr>
        <w:t>e the importance of recognition and appreciation for their employees.</w:t>
      </w:r>
    </w:p>
    <w:p w14:paraId="41A8C1AA" w14:textId="77777777" w:rsidR="009A4368" w:rsidRDefault="00E305D5" w:rsidP="0083385E">
      <w:pPr>
        <w:spacing w:line="360" w:lineRule="auto"/>
        <w:jc w:val="both"/>
        <w:rPr>
          <w:rFonts w:ascii="Arial" w:eastAsia="Arial" w:hAnsi="Arial" w:cs="Arial"/>
          <w:sz w:val="24"/>
          <w:szCs w:val="24"/>
          <w:lang w:eastAsia="en-GB"/>
        </w:rPr>
      </w:pPr>
      <w:r w:rsidRPr="00E305D5">
        <w:rPr>
          <w:rFonts w:ascii="Arial" w:eastAsia="Arial" w:hAnsi="Arial" w:cs="Arial"/>
          <w:sz w:val="24"/>
          <w:szCs w:val="24"/>
          <w:lang w:eastAsia="en-GB"/>
        </w:rPr>
        <w:t xml:space="preserve">Establishing an exit interview process can be an effective way to ensure that departing employees have a positive experience with the hotel. This can include conducting interviews with departing employees to gain insight into their experience, as well as providing them with resources and support to help them transition to their next role. According to a survey conducted by SHRM, 82% of employers believe that exit interviews are important for employee retention (Vance, 2020). </w:t>
      </w:r>
      <w:r w:rsidRPr="00E305D5">
        <w:rPr>
          <w:rFonts w:ascii="Arial" w:eastAsia="Arial" w:hAnsi="Arial" w:cs="Arial"/>
          <w:sz w:val="24"/>
          <w:szCs w:val="24"/>
          <w:lang w:val="en" w:eastAsia="en-GB"/>
        </w:rPr>
        <w:br/>
        <w:t>Hilton and Marriott have different approaches to employee separation strategies. Hilton focuses on providing outplacement services, such as career counseling, job search assistance, and resume building. Marriott's approach is more focused on providing employees with assistance in finding other employment opportunities, such as job fairs and job postings. Both companies also provide severance packages and financial assistance to departing employees.</w:t>
      </w:r>
    </w:p>
    <w:p w14:paraId="4BD457F7" w14:textId="191E7CDC" w:rsidR="00E305D5" w:rsidRDefault="00E305D5" w:rsidP="0083385E">
      <w:pPr>
        <w:spacing w:line="360" w:lineRule="auto"/>
        <w:jc w:val="both"/>
        <w:rPr>
          <w:rFonts w:ascii="Arial" w:eastAsia="Arial" w:hAnsi="Arial" w:cs="Arial"/>
          <w:sz w:val="24"/>
          <w:szCs w:val="24"/>
          <w:lang w:eastAsia="en-GB"/>
        </w:rPr>
      </w:pPr>
      <w:r w:rsidRPr="00E305D5">
        <w:rPr>
          <w:rFonts w:ascii="Arial" w:eastAsia="Arial" w:hAnsi="Arial" w:cs="Arial"/>
          <w:sz w:val="24"/>
          <w:szCs w:val="24"/>
          <w:lang w:eastAsia="en-GB"/>
        </w:rPr>
        <w:t>An extensive framework for comprehending and measuring employee engagement is the AON Hewitt Employee Engagement Model. It is predicated on the idea that employee engagement is a major factor in determining how well an organisation performs and succeeds. The model consists of three components: engagement drivers, engagement outcomes, and engagement strategies (Pawar, 2018).</w:t>
      </w:r>
    </w:p>
    <w:p w14:paraId="2C3F6B29" w14:textId="65348731" w:rsidR="00E305D5" w:rsidRDefault="00E305D5" w:rsidP="0083385E">
      <w:pPr>
        <w:spacing w:after="0" w:line="360" w:lineRule="auto"/>
        <w:jc w:val="both"/>
        <w:rPr>
          <w:rFonts w:ascii="Arial" w:eastAsia="Arial" w:hAnsi="Arial" w:cs="Arial"/>
          <w:sz w:val="24"/>
          <w:szCs w:val="24"/>
          <w:lang w:eastAsia="en-GB"/>
        </w:rPr>
      </w:pPr>
      <w:r w:rsidRPr="00E305D5">
        <w:rPr>
          <w:rFonts w:ascii="Arial" w:eastAsia="Arial" w:hAnsi="Arial" w:cs="Arial"/>
          <w:sz w:val="24"/>
          <w:szCs w:val="24"/>
          <w:lang w:eastAsia="en-GB"/>
        </w:rPr>
        <w:t>The fundamental elements that affect employee engagement are known as engagement drivers.</w:t>
      </w:r>
      <w:r w:rsidR="00562298">
        <w:rPr>
          <w:rFonts w:ascii="Arial" w:eastAsia="Arial" w:hAnsi="Arial" w:cs="Arial"/>
          <w:sz w:val="24"/>
          <w:szCs w:val="24"/>
          <w:lang w:eastAsia="en-GB"/>
        </w:rPr>
        <w:t xml:space="preserve"> </w:t>
      </w:r>
      <w:r w:rsidRPr="00E305D5">
        <w:rPr>
          <w:rFonts w:ascii="Arial" w:eastAsia="Arial" w:hAnsi="Arial" w:cs="Arial"/>
          <w:sz w:val="24"/>
          <w:szCs w:val="24"/>
          <w:lang w:eastAsia="en-GB"/>
        </w:rPr>
        <w:t>These include elements like work-life balance,</w:t>
      </w:r>
      <w:r w:rsidR="00F4018B">
        <w:rPr>
          <w:rFonts w:ascii="Arial" w:eastAsia="Arial" w:hAnsi="Arial" w:cs="Arial"/>
          <w:sz w:val="24"/>
          <w:szCs w:val="24"/>
          <w:lang w:eastAsia="en-GB"/>
        </w:rPr>
        <w:t xml:space="preserve"> </w:t>
      </w:r>
      <w:r w:rsidRPr="00E305D5">
        <w:rPr>
          <w:rFonts w:ascii="Arial" w:eastAsia="Arial" w:hAnsi="Arial" w:cs="Arial"/>
          <w:sz w:val="24"/>
          <w:szCs w:val="24"/>
          <w:lang w:eastAsia="en-GB"/>
        </w:rPr>
        <w:t>career advancement, recognition, and job satisfaction.</w:t>
      </w:r>
      <w:r>
        <w:rPr>
          <w:rFonts w:ascii="Arial" w:eastAsia="Arial" w:hAnsi="Arial" w:cs="Arial"/>
          <w:sz w:val="24"/>
          <w:szCs w:val="24"/>
          <w:lang w:eastAsia="en-GB"/>
        </w:rPr>
        <w:t xml:space="preserve"> </w:t>
      </w:r>
      <w:r w:rsidRPr="00E305D5">
        <w:rPr>
          <w:rFonts w:ascii="Arial" w:eastAsia="Arial" w:hAnsi="Arial" w:cs="Arial"/>
          <w:sz w:val="24"/>
          <w:szCs w:val="24"/>
          <w:lang w:eastAsia="en-GB"/>
        </w:rPr>
        <w:t xml:space="preserve">Large hotel employees are likely to be </w:t>
      </w:r>
      <w:r w:rsidRPr="00E305D5">
        <w:rPr>
          <w:rFonts w:ascii="Arial" w:eastAsia="Arial" w:hAnsi="Arial" w:cs="Arial"/>
          <w:sz w:val="24"/>
          <w:szCs w:val="24"/>
          <w:lang w:eastAsia="en-GB"/>
        </w:rPr>
        <w:lastRenderedPageBreak/>
        <w:t>motivated by job satisfaction, job security, work-life balance, recognition, and career development. Job satisfaction can be increased by providing meaningful work and creating a positive work environment. Job security can be increased by offering competitive compensation and benefits. Offering flexible working hours and providing opportunities for career advancement can help with work-life balance.</w:t>
      </w:r>
      <w:r w:rsidR="009F6623">
        <w:rPr>
          <w:rFonts w:ascii="Arial" w:eastAsia="Arial" w:hAnsi="Arial" w:cs="Arial"/>
          <w:sz w:val="24"/>
          <w:szCs w:val="24"/>
          <w:lang w:eastAsia="en-GB"/>
        </w:rPr>
        <w:t xml:space="preserve"> </w:t>
      </w:r>
      <w:r w:rsidRPr="00E305D5">
        <w:rPr>
          <w:rFonts w:ascii="Arial" w:eastAsia="Arial" w:hAnsi="Arial" w:cs="Arial"/>
          <w:sz w:val="24"/>
          <w:szCs w:val="24"/>
          <w:lang w:eastAsia="en-GB"/>
        </w:rPr>
        <w:t>Giving praise for excellent work and recognising employees for their efforts will enhance recognition.</w:t>
      </w:r>
    </w:p>
    <w:p w14:paraId="4147CD28" w14:textId="77777777" w:rsidR="00562298" w:rsidRDefault="00562298" w:rsidP="0083385E">
      <w:pPr>
        <w:spacing w:after="0" w:line="360" w:lineRule="auto"/>
        <w:jc w:val="both"/>
        <w:rPr>
          <w:rFonts w:ascii="Arial" w:eastAsia="Arial" w:hAnsi="Arial" w:cs="Arial"/>
          <w:sz w:val="24"/>
          <w:szCs w:val="24"/>
          <w:lang w:eastAsia="en-GB"/>
        </w:rPr>
      </w:pPr>
    </w:p>
    <w:p w14:paraId="321504CC" w14:textId="7FF48BBC" w:rsidR="00111ED5" w:rsidRDefault="00E305D5" w:rsidP="0083385E">
      <w:pPr>
        <w:spacing w:after="0" w:line="360" w:lineRule="auto"/>
        <w:jc w:val="both"/>
        <w:rPr>
          <w:rFonts w:ascii="Arial" w:eastAsia="Arial" w:hAnsi="Arial" w:cs="Arial"/>
          <w:sz w:val="24"/>
          <w:szCs w:val="24"/>
          <w:lang w:eastAsia="en-GB"/>
        </w:rPr>
      </w:pPr>
      <w:r w:rsidRPr="00E305D5">
        <w:rPr>
          <w:rFonts w:ascii="Arial" w:eastAsia="Arial" w:hAnsi="Arial" w:cs="Arial"/>
          <w:sz w:val="24"/>
          <w:szCs w:val="24"/>
          <w:lang w:eastAsia="en-GB"/>
        </w:rPr>
        <w:t>Employee involvement produces the engagement outcomes. These include increased productivity, improved customer service, increased employee retention, and improved organi</w:t>
      </w:r>
      <w:r w:rsidR="00F3715A">
        <w:rPr>
          <w:rFonts w:ascii="Arial" w:eastAsia="Arial" w:hAnsi="Arial" w:cs="Arial"/>
          <w:sz w:val="24"/>
          <w:szCs w:val="24"/>
          <w:lang w:eastAsia="en-GB"/>
        </w:rPr>
        <w:t>s</w:t>
      </w:r>
      <w:r w:rsidRPr="00E305D5">
        <w:rPr>
          <w:rFonts w:ascii="Arial" w:eastAsia="Arial" w:hAnsi="Arial" w:cs="Arial"/>
          <w:sz w:val="24"/>
          <w:szCs w:val="24"/>
          <w:lang w:eastAsia="en-GB"/>
        </w:rPr>
        <w:t>ational performance. The engagement outcomes for large hotel employees are likely to be increased productivity, improved customer service, increased employee retention, and improved organi</w:t>
      </w:r>
      <w:r w:rsidR="00025D11">
        <w:rPr>
          <w:rFonts w:ascii="Arial" w:eastAsia="Arial" w:hAnsi="Arial" w:cs="Arial"/>
          <w:sz w:val="24"/>
          <w:szCs w:val="24"/>
          <w:lang w:eastAsia="en-GB"/>
        </w:rPr>
        <w:t>s</w:t>
      </w:r>
      <w:r w:rsidRPr="00E305D5">
        <w:rPr>
          <w:rFonts w:ascii="Arial" w:eastAsia="Arial" w:hAnsi="Arial" w:cs="Arial"/>
          <w:sz w:val="24"/>
          <w:szCs w:val="24"/>
          <w:lang w:eastAsia="en-GB"/>
        </w:rPr>
        <w:t>ational performance. Increased productivity can be achieved by providing meaningful work and creating a positive work environment. Improved customer service can be achieved by providing recognition for good performance and rewarding employees for their efforts. Offering competitive pay and benefits as well as possibilities for professional advancement can increase employee retention. Improved organi</w:t>
      </w:r>
      <w:r w:rsidR="00791012">
        <w:rPr>
          <w:rFonts w:ascii="Arial" w:eastAsia="Arial" w:hAnsi="Arial" w:cs="Arial"/>
          <w:sz w:val="24"/>
          <w:szCs w:val="24"/>
          <w:lang w:eastAsia="en-GB"/>
        </w:rPr>
        <w:t>s</w:t>
      </w:r>
      <w:r w:rsidRPr="00E305D5">
        <w:rPr>
          <w:rFonts w:ascii="Arial" w:eastAsia="Arial" w:hAnsi="Arial" w:cs="Arial"/>
          <w:sz w:val="24"/>
          <w:szCs w:val="24"/>
          <w:lang w:eastAsia="en-GB"/>
        </w:rPr>
        <w:t>ational performance can be achieved by providing meaningful work and creating a positive work environment.</w:t>
      </w:r>
      <w:r w:rsidR="00902C5B">
        <w:rPr>
          <w:rFonts w:ascii="Arial" w:eastAsia="Arial" w:hAnsi="Arial" w:cs="Arial"/>
          <w:sz w:val="24"/>
          <w:szCs w:val="24"/>
          <w:lang w:eastAsia="en-GB"/>
        </w:rPr>
        <w:t xml:space="preserve"> </w:t>
      </w:r>
      <w:r w:rsidRPr="00E305D5">
        <w:rPr>
          <w:rFonts w:ascii="Arial" w:eastAsia="Arial" w:hAnsi="Arial" w:cs="Arial"/>
          <w:sz w:val="24"/>
          <w:szCs w:val="24"/>
          <w:lang w:eastAsia="en-GB"/>
        </w:rPr>
        <w:t>The engagement strategies are the actions that organi</w:t>
      </w:r>
      <w:r w:rsidR="005218E8">
        <w:rPr>
          <w:rFonts w:ascii="Arial" w:eastAsia="Arial" w:hAnsi="Arial" w:cs="Arial"/>
          <w:sz w:val="24"/>
          <w:szCs w:val="24"/>
          <w:lang w:eastAsia="en-GB"/>
        </w:rPr>
        <w:t>s</w:t>
      </w:r>
      <w:r w:rsidRPr="00E305D5">
        <w:rPr>
          <w:rFonts w:ascii="Arial" w:eastAsia="Arial" w:hAnsi="Arial" w:cs="Arial"/>
          <w:sz w:val="24"/>
          <w:szCs w:val="24"/>
          <w:lang w:eastAsia="en-GB"/>
        </w:rPr>
        <w:t>ations can take to increase employee engagement. Among them are offering meaningful work, fostering a positive work atmosphere, giving competitive pay and benefits, and affording chances for career advancement (Hohmann, 2021).</w:t>
      </w:r>
      <w:r w:rsidR="00111ED5">
        <w:rPr>
          <w:rFonts w:ascii="Arial" w:eastAsia="Arial" w:hAnsi="Arial" w:cs="Arial"/>
          <w:sz w:val="24"/>
          <w:szCs w:val="24"/>
          <w:lang w:eastAsia="en-GB"/>
        </w:rPr>
        <w:t xml:space="preserve"> </w:t>
      </w:r>
    </w:p>
    <w:p w14:paraId="5F7E1A82" w14:textId="43864729" w:rsidR="00E305D5" w:rsidRPr="00E305D5" w:rsidRDefault="00E305D5" w:rsidP="0083385E">
      <w:pPr>
        <w:spacing w:after="0" w:line="360" w:lineRule="auto"/>
        <w:jc w:val="both"/>
        <w:rPr>
          <w:rFonts w:ascii="Arial" w:eastAsia="Arial" w:hAnsi="Arial" w:cs="Arial"/>
          <w:sz w:val="24"/>
          <w:szCs w:val="24"/>
          <w:lang w:eastAsia="en-GB"/>
        </w:rPr>
      </w:pPr>
      <w:r w:rsidRPr="00E305D5">
        <w:rPr>
          <w:rFonts w:ascii="Arial" w:eastAsia="Arial" w:hAnsi="Arial" w:cs="Arial"/>
          <w:sz w:val="24"/>
          <w:szCs w:val="24"/>
          <w:lang w:eastAsia="en-GB"/>
        </w:rPr>
        <w:t>Application of AON Hewitt Employee Engagement Model to Large Hotel Employees</w:t>
      </w:r>
      <w:r w:rsidR="00634697">
        <w:rPr>
          <w:rFonts w:ascii="Arial" w:eastAsia="Arial" w:hAnsi="Arial" w:cs="Arial"/>
          <w:sz w:val="24"/>
          <w:szCs w:val="24"/>
          <w:lang w:eastAsia="en-GB"/>
        </w:rPr>
        <w:t xml:space="preserve"> </w:t>
      </w:r>
      <w:r w:rsidRPr="00E305D5">
        <w:rPr>
          <w:rFonts w:ascii="Arial" w:eastAsia="Arial" w:hAnsi="Arial" w:cs="Arial"/>
          <w:sz w:val="24"/>
          <w:szCs w:val="24"/>
          <w:lang w:eastAsia="en-GB"/>
        </w:rPr>
        <w:t xml:space="preserve">Large hotel employees are a unique group of employees that require a tailored approach to employee engagement. </w:t>
      </w:r>
      <w:r w:rsidR="002C10AE">
        <w:rPr>
          <w:rFonts w:ascii="Arial" w:eastAsia="Arial" w:hAnsi="Arial" w:cs="Arial"/>
          <w:sz w:val="24"/>
          <w:szCs w:val="24"/>
          <w:lang w:eastAsia="en-GB"/>
        </w:rPr>
        <w:t xml:space="preserve">The </w:t>
      </w:r>
      <w:r w:rsidR="002C10AE" w:rsidRPr="002C10AE">
        <w:rPr>
          <w:rFonts w:ascii="Arial" w:eastAsia="Arial" w:hAnsi="Arial" w:cs="Arial"/>
          <w:sz w:val="24"/>
          <w:szCs w:val="24"/>
          <w:lang w:eastAsia="en-GB"/>
        </w:rPr>
        <w:t>AON Hewitt Employee Engagement Model can be applied to large hotel employees in order to increase engagement and improve organisational performance (Bhuvanaiah and Raya, 2014).</w:t>
      </w:r>
      <w:r w:rsidRPr="00E305D5">
        <w:rPr>
          <w:rFonts w:ascii="Arial" w:eastAsia="Arial" w:hAnsi="Arial" w:cs="Arial"/>
          <w:iCs/>
          <w:sz w:val="24"/>
          <w:szCs w:val="24"/>
          <w:lang w:eastAsia="en-GB"/>
        </w:rPr>
        <w:t xml:space="preserve"> </w:t>
      </w:r>
      <w:r w:rsidRPr="00E305D5">
        <w:rPr>
          <w:rFonts w:ascii="Arial" w:eastAsia="Arial" w:hAnsi="Arial" w:cs="Arial"/>
          <w:sz w:val="24"/>
          <w:szCs w:val="24"/>
          <w:lang w:eastAsia="en-GB"/>
        </w:rPr>
        <w:t xml:space="preserve">The key components of engagement initiatives for large hotels should be meaningful work, a positive work environment, competitive pay and benefits, and possibilities for career advancement. Offering tough assignments and giving employees the tools and support they need to succeed are two ways to create meaningful work. A positive work environment can be created by fostering a culture of respect and appreciation and providing employees with the tools and resources they need to succeed. Competitive compensation and benefits can be offered by providing competitive salaries and offering a comprehensive </w:t>
      </w:r>
      <w:r w:rsidRPr="00E305D5">
        <w:rPr>
          <w:rFonts w:ascii="Arial" w:eastAsia="Arial" w:hAnsi="Arial" w:cs="Arial"/>
          <w:sz w:val="24"/>
          <w:szCs w:val="24"/>
          <w:lang w:eastAsia="en-GB"/>
        </w:rPr>
        <w:lastRenderedPageBreak/>
        <w:t>benefits package. Opportunities for career development can be provided by offering training and development programs and providing employees with the opportunity to advance within the organi</w:t>
      </w:r>
      <w:r w:rsidR="0006288C">
        <w:rPr>
          <w:rFonts w:ascii="Arial" w:eastAsia="Arial" w:hAnsi="Arial" w:cs="Arial"/>
          <w:sz w:val="24"/>
          <w:szCs w:val="24"/>
          <w:lang w:eastAsia="en-GB"/>
        </w:rPr>
        <w:t>s</w:t>
      </w:r>
      <w:r w:rsidRPr="00E305D5">
        <w:rPr>
          <w:rFonts w:ascii="Arial" w:eastAsia="Arial" w:hAnsi="Arial" w:cs="Arial"/>
          <w:sz w:val="24"/>
          <w:szCs w:val="24"/>
          <w:lang w:eastAsia="en-GB"/>
        </w:rPr>
        <w:t>ation.</w:t>
      </w:r>
    </w:p>
    <w:p w14:paraId="3C2D8283" w14:textId="58E60A1A" w:rsidR="00E305D5" w:rsidRPr="00E305D5" w:rsidRDefault="008F5D7A" w:rsidP="0083385E">
      <w:pPr>
        <w:spacing w:after="0" w:line="360" w:lineRule="auto"/>
        <w:jc w:val="both"/>
        <w:rPr>
          <w:rFonts w:ascii="Arial" w:eastAsia="Arial" w:hAnsi="Arial" w:cs="Arial"/>
          <w:sz w:val="24"/>
          <w:szCs w:val="24"/>
          <w:lang w:eastAsia="en-GB"/>
        </w:rPr>
      </w:pPr>
      <w:r w:rsidRPr="008F5D7A">
        <w:rPr>
          <w:rFonts w:ascii="Arial" w:eastAsia="Arial" w:hAnsi="Arial" w:cs="Arial"/>
          <w:sz w:val="24"/>
          <w:szCs w:val="24"/>
          <w:lang w:eastAsia="en-GB"/>
        </w:rPr>
        <w:t>In conclusion, the</w:t>
      </w:r>
      <w:r w:rsidR="00E305D5" w:rsidRPr="00E305D5">
        <w:rPr>
          <w:rFonts w:ascii="Arial" w:eastAsia="Arial" w:hAnsi="Arial" w:cs="Arial"/>
          <w:sz w:val="24"/>
          <w:szCs w:val="24"/>
          <w:lang w:eastAsia="en-GB"/>
        </w:rPr>
        <w:t xml:space="preserve"> human resource department of a large hotel must employ a variety of strategies to engage employees throughout the employee lifecycle. These strategies should include recruitment and selection, onboarding, training and development, performance management, and recognition and rewards. By implementing these strategies, the human resource department can ensure that employees are engaged and motivated throughout their time with the company, leading to increased job satisfaction, productivity, and loyalty. Ultimately, the human resource department plays a critical role in creating a positive and productive work environment for all employees.</w:t>
      </w:r>
    </w:p>
    <w:p w14:paraId="007D0616" w14:textId="034C5695" w:rsidR="00BB0882" w:rsidRPr="00EF641C" w:rsidRDefault="00BB0882" w:rsidP="0083385E">
      <w:pPr>
        <w:spacing w:after="0" w:line="360" w:lineRule="auto"/>
        <w:jc w:val="both"/>
        <w:rPr>
          <w:rFonts w:ascii="Arial" w:eastAsia="Arial" w:hAnsi="Arial" w:cs="Arial"/>
          <w:sz w:val="24"/>
          <w:szCs w:val="24"/>
          <w:lang w:eastAsia="en-GB"/>
        </w:rPr>
      </w:pPr>
    </w:p>
    <w:p w14:paraId="08C8597C" w14:textId="0E869663" w:rsidR="00EF641C" w:rsidRDefault="00EF641C" w:rsidP="00EF641C">
      <w:pPr>
        <w:jc w:val="center"/>
        <w:rPr>
          <w:rFonts w:ascii="Arial" w:hAnsi="Arial" w:cs="Arial"/>
          <w:b/>
          <w:bCs/>
          <w:sz w:val="40"/>
          <w:szCs w:val="40"/>
        </w:rPr>
      </w:pPr>
    </w:p>
    <w:p w14:paraId="5C440843" w14:textId="38FDEA4D" w:rsidR="00AB5E18" w:rsidRDefault="00AB5E18" w:rsidP="00EF641C">
      <w:pPr>
        <w:jc w:val="center"/>
        <w:rPr>
          <w:rFonts w:ascii="Arial" w:hAnsi="Arial" w:cs="Arial"/>
          <w:b/>
          <w:bCs/>
          <w:sz w:val="40"/>
          <w:szCs w:val="40"/>
        </w:rPr>
      </w:pPr>
    </w:p>
    <w:p w14:paraId="00125E66" w14:textId="5BBC1B09" w:rsidR="00AB5E18" w:rsidRDefault="00AB5E18" w:rsidP="00EF641C">
      <w:pPr>
        <w:jc w:val="center"/>
        <w:rPr>
          <w:rFonts w:ascii="Arial" w:hAnsi="Arial" w:cs="Arial"/>
          <w:b/>
          <w:bCs/>
          <w:sz w:val="40"/>
          <w:szCs w:val="40"/>
        </w:rPr>
      </w:pPr>
    </w:p>
    <w:p w14:paraId="5A661A03" w14:textId="1A00C23A" w:rsidR="00AB5E18" w:rsidRDefault="00AB5E18" w:rsidP="00EF641C">
      <w:pPr>
        <w:jc w:val="center"/>
        <w:rPr>
          <w:rFonts w:ascii="Arial" w:hAnsi="Arial" w:cs="Arial"/>
          <w:b/>
          <w:bCs/>
          <w:sz w:val="40"/>
          <w:szCs w:val="40"/>
        </w:rPr>
      </w:pPr>
    </w:p>
    <w:p w14:paraId="2A27FC72" w14:textId="5B0C5EEE" w:rsidR="00AB5E18" w:rsidRDefault="00AB5E18" w:rsidP="00EF641C">
      <w:pPr>
        <w:jc w:val="center"/>
        <w:rPr>
          <w:rFonts w:ascii="Arial" w:hAnsi="Arial" w:cs="Arial"/>
          <w:b/>
          <w:bCs/>
          <w:sz w:val="40"/>
          <w:szCs w:val="40"/>
        </w:rPr>
      </w:pPr>
    </w:p>
    <w:p w14:paraId="04A2AF2D" w14:textId="7026F53C" w:rsidR="00AB5E18" w:rsidRDefault="00AB5E18" w:rsidP="00EF641C">
      <w:pPr>
        <w:jc w:val="center"/>
        <w:rPr>
          <w:rFonts w:ascii="Arial" w:hAnsi="Arial" w:cs="Arial"/>
          <w:b/>
          <w:bCs/>
          <w:sz w:val="40"/>
          <w:szCs w:val="40"/>
        </w:rPr>
      </w:pPr>
    </w:p>
    <w:p w14:paraId="2452EAE6" w14:textId="77777777" w:rsidR="002E5A18" w:rsidRDefault="002E5A18" w:rsidP="00AB5E18">
      <w:pPr>
        <w:spacing w:after="0" w:line="360" w:lineRule="auto"/>
        <w:jc w:val="both"/>
        <w:rPr>
          <w:rFonts w:ascii="Arial" w:hAnsi="Arial" w:cs="Arial"/>
          <w:b/>
          <w:bCs/>
          <w:sz w:val="40"/>
          <w:szCs w:val="40"/>
        </w:rPr>
      </w:pPr>
    </w:p>
    <w:p w14:paraId="7A9B1549" w14:textId="77777777" w:rsidR="001A16DB" w:rsidRDefault="001A16DB" w:rsidP="00AB5E18">
      <w:pPr>
        <w:spacing w:after="0" w:line="360" w:lineRule="auto"/>
        <w:jc w:val="both"/>
        <w:rPr>
          <w:rFonts w:ascii="Arial" w:eastAsia="Arial" w:hAnsi="Arial" w:cs="Arial"/>
          <w:b/>
          <w:sz w:val="28"/>
          <w:szCs w:val="28"/>
          <w:lang w:eastAsia="en-GB"/>
        </w:rPr>
      </w:pPr>
    </w:p>
    <w:p w14:paraId="6D1E3F32" w14:textId="77777777" w:rsidR="001A16DB" w:rsidRDefault="001A16DB" w:rsidP="00AB5E18">
      <w:pPr>
        <w:spacing w:after="0" w:line="360" w:lineRule="auto"/>
        <w:jc w:val="both"/>
        <w:rPr>
          <w:rFonts w:ascii="Arial" w:eastAsia="Arial" w:hAnsi="Arial" w:cs="Arial"/>
          <w:b/>
          <w:sz w:val="28"/>
          <w:szCs w:val="28"/>
          <w:lang w:eastAsia="en-GB"/>
        </w:rPr>
      </w:pPr>
    </w:p>
    <w:p w14:paraId="79D47AE5" w14:textId="77777777" w:rsidR="001A16DB" w:rsidRDefault="001A16DB" w:rsidP="00AB5E18">
      <w:pPr>
        <w:spacing w:after="0" w:line="360" w:lineRule="auto"/>
        <w:jc w:val="both"/>
        <w:rPr>
          <w:rFonts w:ascii="Arial" w:eastAsia="Arial" w:hAnsi="Arial" w:cs="Arial"/>
          <w:b/>
          <w:sz w:val="28"/>
          <w:szCs w:val="28"/>
          <w:lang w:eastAsia="en-GB"/>
        </w:rPr>
      </w:pPr>
    </w:p>
    <w:p w14:paraId="1E23635D" w14:textId="77777777" w:rsidR="009C74D3" w:rsidRDefault="009C74D3" w:rsidP="00AB5E18">
      <w:pPr>
        <w:spacing w:after="0" w:line="360" w:lineRule="auto"/>
        <w:jc w:val="both"/>
        <w:rPr>
          <w:rFonts w:ascii="Arial" w:eastAsia="Arial" w:hAnsi="Arial" w:cs="Arial"/>
          <w:b/>
          <w:sz w:val="28"/>
          <w:szCs w:val="28"/>
          <w:lang w:eastAsia="en-GB"/>
        </w:rPr>
      </w:pPr>
    </w:p>
    <w:p w14:paraId="109BF995" w14:textId="77777777" w:rsidR="009C74D3" w:rsidRDefault="009C74D3" w:rsidP="00AB5E18">
      <w:pPr>
        <w:spacing w:after="0" w:line="360" w:lineRule="auto"/>
        <w:jc w:val="both"/>
        <w:rPr>
          <w:rFonts w:ascii="Arial" w:eastAsia="Arial" w:hAnsi="Arial" w:cs="Arial"/>
          <w:b/>
          <w:sz w:val="28"/>
          <w:szCs w:val="28"/>
          <w:lang w:eastAsia="en-GB"/>
        </w:rPr>
      </w:pPr>
    </w:p>
    <w:p w14:paraId="3F505443" w14:textId="77777777" w:rsidR="00C1384F" w:rsidRDefault="00C1384F" w:rsidP="00AB5E18">
      <w:pPr>
        <w:spacing w:after="0" w:line="360" w:lineRule="auto"/>
        <w:jc w:val="both"/>
        <w:rPr>
          <w:rFonts w:ascii="Arial" w:eastAsia="Arial" w:hAnsi="Arial" w:cs="Arial"/>
          <w:b/>
          <w:sz w:val="28"/>
          <w:szCs w:val="28"/>
          <w:lang w:eastAsia="en-GB"/>
        </w:rPr>
      </w:pPr>
    </w:p>
    <w:p w14:paraId="0641962F" w14:textId="77777777" w:rsidR="00C1384F" w:rsidRDefault="00C1384F" w:rsidP="00AB5E18">
      <w:pPr>
        <w:spacing w:after="0" w:line="360" w:lineRule="auto"/>
        <w:jc w:val="both"/>
        <w:rPr>
          <w:rFonts w:ascii="Arial" w:eastAsia="Arial" w:hAnsi="Arial" w:cs="Arial"/>
          <w:b/>
          <w:sz w:val="28"/>
          <w:szCs w:val="28"/>
          <w:lang w:eastAsia="en-GB"/>
        </w:rPr>
      </w:pPr>
    </w:p>
    <w:p w14:paraId="1D548F31" w14:textId="77777777" w:rsidR="00C1384F" w:rsidRDefault="00C1384F" w:rsidP="00AB5E18">
      <w:pPr>
        <w:spacing w:after="0" w:line="360" w:lineRule="auto"/>
        <w:jc w:val="both"/>
        <w:rPr>
          <w:rFonts w:ascii="Arial" w:eastAsia="Arial" w:hAnsi="Arial" w:cs="Arial"/>
          <w:b/>
          <w:sz w:val="28"/>
          <w:szCs w:val="28"/>
          <w:lang w:eastAsia="en-GB"/>
        </w:rPr>
      </w:pPr>
    </w:p>
    <w:p w14:paraId="5C683012" w14:textId="1D2B331D" w:rsidR="00AB5E18" w:rsidRPr="00AB5E18" w:rsidRDefault="00AB5E18" w:rsidP="00AB5E18">
      <w:pPr>
        <w:spacing w:after="0" w:line="360" w:lineRule="auto"/>
        <w:jc w:val="both"/>
        <w:rPr>
          <w:rFonts w:ascii="Arial" w:eastAsia="Arial" w:hAnsi="Arial" w:cs="Arial"/>
          <w:b/>
          <w:sz w:val="28"/>
          <w:szCs w:val="28"/>
          <w:lang w:eastAsia="en-GB"/>
        </w:rPr>
      </w:pPr>
      <w:r w:rsidRPr="00AB5E18">
        <w:rPr>
          <w:rFonts w:ascii="Arial" w:eastAsia="Arial" w:hAnsi="Arial" w:cs="Arial"/>
          <w:b/>
          <w:sz w:val="28"/>
          <w:szCs w:val="28"/>
          <w:lang w:eastAsia="en-GB"/>
        </w:rPr>
        <w:lastRenderedPageBreak/>
        <w:t>References</w:t>
      </w:r>
    </w:p>
    <w:p w14:paraId="24090F69" w14:textId="1FC64FF9"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ADP (2022) HRM: </w:t>
      </w:r>
      <w:r w:rsidRPr="002F7D45">
        <w:rPr>
          <w:rFonts w:ascii="Arial" w:eastAsia="Arial" w:hAnsi="Arial" w:cs="Arial"/>
          <w:i/>
          <w:iCs/>
          <w:sz w:val="24"/>
          <w:szCs w:val="24"/>
          <w:lang w:eastAsia="en-GB"/>
        </w:rPr>
        <w:t>What is human resource management?</w:t>
      </w:r>
      <w:r w:rsidRPr="00AB5E18">
        <w:rPr>
          <w:rFonts w:ascii="Arial" w:eastAsia="Arial" w:hAnsi="Arial" w:cs="Arial"/>
          <w:sz w:val="24"/>
          <w:szCs w:val="24"/>
          <w:lang w:eastAsia="en-GB"/>
        </w:rPr>
        <w:t xml:space="preserve"> ADP. ADP. Available at: </w:t>
      </w:r>
      <w:hyperlink r:id="rId5" w:history="1">
        <w:r w:rsidR="00E32F68" w:rsidRPr="00E3292C">
          <w:rPr>
            <w:rStyle w:val="Hyperlink"/>
            <w:rFonts w:ascii="Arial" w:eastAsia="Arial" w:hAnsi="Arial" w:cs="Arial"/>
            <w:sz w:val="24"/>
            <w:szCs w:val="24"/>
            <w:lang w:eastAsia="en-GB"/>
          </w:rPr>
          <w:t>https://www.adp.com/resources/articles-and-insights/articles/h/human-resource-management.aspx</w:t>
        </w:r>
      </w:hyperlink>
      <w:r w:rsidR="00E32F68">
        <w:rPr>
          <w:rFonts w:ascii="Arial" w:eastAsia="Arial" w:hAnsi="Arial" w:cs="Arial"/>
          <w:sz w:val="24"/>
          <w:szCs w:val="24"/>
          <w:lang w:eastAsia="en-GB"/>
        </w:rPr>
        <w:t xml:space="preserve"> </w:t>
      </w:r>
      <w:r w:rsidR="00F6165F">
        <w:rPr>
          <w:rFonts w:ascii="Arial" w:eastAsia="Arial" w:hAnsi="Arial" w:cs="Arial"/>
          <w:sz w:val="24"/>
          <w:szCs w:val="24"/>
          <w:lang w:eastAsia="en-GB"/>
        </w:rPr>
        <w:t>[</w:t>
      </w:r>
      <w:r w:rsidRPr="00AB5E18">
        <w:rPr>
          <w:rFonts w:ascii="Arial" w:eastAsia="Arial" w:hAnsi="Arial" w:cs="Arial"/>
          <w:sz w:val="24"/>
          <w:szCs w:val="24"/>
          <w:lang w:eastAsia="en-GB"/>
        </w:rPr>
        <w:t xml:space="preserve">Accessed: </w:t>
      </w:r>
      <w:r w:rsidR="00F6165F">
        <w:rPr>
          <w:rFonts w:ascii="Arial" w:eastAsia="Arial" w:hAnsi="Arial" w:cs="Arial"/>
          <w:sz w:val="24"/>
          <w:szCs w:val="24"/>
          <w:lang w:eastAsia="en-GB"/>
        </w:rPr>
        <w:t xml:space="preserve">02 </w:t>
      </w:r>
      <w:r w:rsidRPr="00AB5E18">
        <w:rPr>
          <w:rFonts w:ascii="Arial" w:eastAsia="Arial" w:hAnsi="Arial" w:cs="Arial"/>
          <w:sz w:val="24"/>
          <w:szCs w:val="24"/>
          <w:lang w:eastAsia="en-GB"/>
        </w:rPr>
        <w:t>February</w:t>
      </w:r>
      <w:r w:rsidR="00F6165F">
        <w:rPr>
          <w:rFonts w:ascii="Arial" w:eastAsia="Arial" w:hAnsi="Arial" w:cs="Arial"/>
          <w:sz w:val="24"/>
          <w:szCs w:val="24"/>
          <w:lang w:eastAsia="en-GB"/>
        </w:rPr>
        <w:t xml:space="preserve"> </w:t>
      </w:r>
      <w:r w:rsidRPr="00AB5E18">
        <w:rPr>
          <w:rFonts w:ascii="Arial" w:eastAsia="Arial" w:hAnsi="Arial" w:cs="Arial"/>
          <w:sz w:val="24"/>
          <w:szCs w:val="24"/>
          <w:lang w:eastAsia="en-GB"/>
        </w:rPr>
        <w:t>2023</w:t>
      </w:r>
      <w:r w:rsidR="00F6165F">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0AA10611" w14:textId="628A9C2E"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Beheshti, N. (2022) </w:t>
      </w:r>
      <w:r w:rsidRPr="00CA111D">
        <w:rPr>
          <w:rFonts w:ascii="Arial" w:eastAsia="Arial" w:hAnsi="Arial" w:cs="Arial"/>
          <w:i/>
          <w:iCs/>
          <w:sz w:val="24"/>
          <w:szCs w:val="24"/>
          <w:lang w:eastAsia="en-GB"/>
        </w:rPr>
        <w:t>10 timely statistics about the connection between employee engagement and Wellness, Forbes. Forbes Magazine.</w:t>
      </w:r>
      <w:r w:rsidRPr="00AB5E18">
        <w:rPr>
          <w:rFonts w:ascii="Arial" w:eastAsia="Arial" w:hAnsi="Arial" w:cs="Arial"/>
          <w:sz w:val="24"/>
          <w:szCs w:val="24"/>
          <w:lang w:eastAsia="en-GB"/>
        </w:rPr>
        <w:t xml:space="preserve"> Available at: </w:t>
      </w:r>
      <w:hyperlink r:id="rId6" w:history="1">
        <w:r w:rsidR="00074EA6" w:rsidRPr="00E3292C">
          <w:rPr>
            <w:rStyle w:val="Hyperlink"/>
            <w:rFonts w:ascii="Arial" w:eastAsia="Arial" w:hAnsi="Arial" w:cs="Arial"/>
            <w:sz w:val="24"/>
            <w:szCs w:val="24"/>
            <w:lang w:eastAsia="en-GB"/>
          </w:rPr>
          <w:t>https://www.forbes.com/sites/nazbeheshti/2019/01/16/10-timely-statistics-about-the-connection-between-employee-engagement-and-wellness/?sh=6757021622a0</w:t>
        </w:r>
      </w:hyperlink>
      <w:r w:rsidR="00074EA6">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 </w:t>
      </w:r>
      <w:r w:rsidR="00074EA6">
        <w:rPr>
          <w:rFonts w:ascii="Arial" w:eastAsia="Arial" w:hAnsi="Arial" w:cs="Arial"/>
          <w:sz w:val="24"/>
          <w:szCs w:val="24"/>
          <w:lang w:eastAsia="en-GB"/>
        </w:rPr>
        <w:t>[</w:t>
      </w:r>
      <w:r w:rsidRPr="00AB5E18">
        <w:rPr>
          <w:rFonts w:ascii="Arial" w:eastAsia="Arial" w:hAnsi="Arial" w:cs="Arial"/>
          <w:sz w:val="24"/>
          <w:szCs w:val="24"/>
          <w:lang w:eastAsia="en-GB"/>
        </w:rPr>
        <w:t xml:space="preserve">Accessed: </w:t>
      </w:r>
      <w:r w:rsidR="002F7D45">
        <w:rPr>
          <w:rFonts w:ascii="Arial" w:eastAsia="Arial" w:hAnsi="Arial" w:cs="Arial"/>
          <w:sz w:val="24"/>
          <w:szCs w:val="24"/>
          <w:lang w:eastAsia="en-GB"/>
        </w:rPr>
        <w:t xml:space="preserve">02 </w:t>
      </w:r>
      <w:r w:rsidRPr="00AB5E18">
        <w:rPr>
          <w:rFonts w:ascii="Arial" w:eastAsia="Arial" w:hAnsi="Arial" w:cs="Arial"/>
          <w:sz w:val="24"/>
          <w:szCs w:val="24"/>
          <w:lang w:eastAsia="en-GB"/>
        </w:rPr>
        <w:t>February 2023</w:t>
      </w:r>
      <w:r w:rsidR="00074EA6">
        <w:rPr>
          <w:rFonts w:ascii="Arial" w:eastAsia="Arial" w:hAnsi="Arial" w:cs="Arial"/>
          <w:sz w:val="24"/>
          <w:szCs w:val="24"/>
          <w:lang w:eastAsia="en-GB"/>
        </w:rPr>
        <w:t>].</w:t>
      </w:r>
    </w:p>
    <w:p w14:paraId="5E726243"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Bhuvanaiah, T. and Raya, R.P., (2014). </w:t>
      </w:r>
      <w:r w:rsidRPr="00AB5E18">
        <w:rPr>
          <w:rFonts w:ascii="Arial" w:eastAsia="Arial" w:hAnsi="Arial" w:cs="Arial"/>
          <w:i/>
          <w:sz w:val="24"/>
          <w:szCs w:val="24"/>
          <w:lang w:eastAsia="en-GB"/>
        </w:rPr>
        <w:t>Employee engagement: Key to organizational success</w:t>
      </w:r>
      <w:r w:rsidRPr="00AB5E18">
        <w:rPr>
          <w:rFonts w:ascii="Arial" w:eastAsia="Arial" w:hAnsi="Arial" w:cs="Arial"/>
          <w:sz w:val="24"/>
          <w:szCs w:val="24"/>
          <w:lang w:eastAsia="en-GB"/>
        </w:rPr>
        <w:t>. SCMS journal of Indian Management, 11(4), p.61.</w:t>
      </w:r>
    </w:p>
    <w:p w14:paraId="653084FF" w14:textId="7DC1C909"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Calvello, M. (2020) </w:t>
      </w:r>
      <w:r w:rsidRPr="00527748">
        <w:rPr>
          <w:rFonts w:ascii="Arial" w:eastAsia="Arial" w:hAnsi="Arial" w:cs="Arial"/>
          <w:i/>
          <w:iCs/>
          <w:sz w:val="24"/>
          <w:szCs w:val="24"/>
          <w:lang w:eastAsia="en-GB"/>
        </w:rPr>
        <w:t>62 recruitment statistics every HR professional needs to know - G2.</w:t>
      </w:r>
      <w:r w:rsidRPr="00AB5E18">
        <w:rPr>
          <w:rFonts w:ascii="Arial" w:eastAsia="Arial" w:hAnsi="Arial" w:cs="Arial"/>
          <w:sz w:val="24"/>
          <w:szCs w:val="24"/>
          <w:lang w:eastAsia="en-GB"/>
        </w:rPr>
        <w:t xml:space="preserve"> Available at: </w:t>
      </w:r>
      <w:hyperlink r:id="rId7" w:history="1">
        <w:r w:rsidR="00E93C1D" w:rsidRPr="00E3292C">
          <w:rPr>
            <w:rStyle w:val="Hyperlink"/>
            <w:rFonts w:ascii="Arial" w:eastAsia="Arial" w:hAnsi="Arial" w:cs="Arial"/>
            <w:sz w:val="24"/>
            <w:szCs w:val="24"/>
            <w:lang w:eastAsia="en-GB"/>
          </w:rPr>
          <w:t>https://www.g2.com/articles/recruitment-statistics</w:t>
        </w:r>
      </w:hyperlink>
      <w:r w:rsidR="00E93C1D">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Accessed: </w:t>
      </w:r>
      <w:r w:rsidR="00527748">
        <w:rPr>
          <w:rFonts w:ascii="Arial" w:eastAsia="Arial" w:hAnsi="Arial" w:cs="Arial"/>
          <w:sz w:val="24"/>
          <w:szCs w:val="24"/>
          <w:lang w:eastAsia="en-GB"/>
        </w:rPr>
        <w:t xml:space="preserve">02 </w:t>
      </w:r>
      <w:r w:rsidRPr="00AB5E18">
        <w:rPr>
          <w:rFonts w:ascii="Arial" w:eastAsia="Arial" w:hAnsi="Arial" w:cs="Arial"/>
          <w:sz w:val="24"/>
          <w:szCs w:val="24"/>
          <w:lang w:eastAsia="en-GB"/>
        </w:rPr>
        <w:t>February 2023</w:t>
      </w:r>
      <w:r w:rsidR="00527748">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116B109E" w14:textId="77777777" w:rsidR="00AB5E18" w:rsidRPr="00AB5E18" w:rsidRDefault="00AB5E18" w:rsidP="00AB5E18">
      <w:pPr>
        <w:spacing w:after="0" w:line="360" w:lineRule="auto"/>
        <w:jc w:val="both"/>
        <w:rPr>
          <w:rFonts w:ascii="Arial" w:eastAsia="Arial" w:hAnsi="Arial" w:cs="Arial"/>
          <w:sz w:val="24"/>
          <w:szCs w:val="24"/>
          <w:lang w:eastAsia="en-GB"/>
        </w:rPr>
      </w:pPr>
      <w:proofErr w:type="spellStart"/>
      <w:r w:rsidRPr="00AB5E18">
        <w:rPr>
          <w:rFonts w:ascii="Arial" w:eastAsia="Arial" w:hAnsi="Arial" w:cs="Arial"/>
          <w:sz w:val="24"/>
          <w:szCs w:val="24"/>
          <w:lang w:eastAsia="en-GB"/>
        </w:rPr>
        <w:t>Guchait</w:t>
      </w:r>
      <w:proofErr w:type="spellEnd"/>
      <w:r w:rsidRPr="00AB5E18">
        <w:rPr>
          <w:rFonts w:ascii="Arial" w:eastAsia="Arial" w:hAnsi="Arial" w:cs="Arial"/>
          <w:sz w:val="24"/>
          <w:szCs w:val="24"/>
          <w:lang w:eastAsia="en-GB"/>
        </w:rPr>
        <w:t xml:space="preserve">, P., (2016). </w:t>
      </w:r>
      <w:r w:rsidRPr="00AB5E18">
        <w:rPr>
          <w:rFonts w:ascii="Arial" w:eastAsia="Arial" w:hAnsi="Arial" w:cs="Arial"/>
          <w:i/>
          <w:sz w:val="24"/>
          <w:szCs w:val="24"/>
          <w:lang w:eastAsia="en-GB"/>
        </w:rPr>
        <w:t xml:space="preserve">The mediating effect of team engagement between team cognitions and team outcomes in service-management teams. </w:t>
      </w:r>
      <w:r w:rsidRPr="00AB5E18">
        <w:rPr>
          <w:rFonts w:ascii="Arial" w:eastAsia="Arial" w:hAnsi="Arial" w:cs="Arial"/>
          <w:sz w:val="24"/>
          <w:szCs w:val="24"/>
          <w:lang w:eastAsia="en-GB"/>
        </w:rPr>
        <w:t>Journal of Hospitality &amp; Tourism Research, 40(2), pp.139-161.</w:t>
      </w:r>
    </w:p>
    <w:p w14:paraId="5369390A" w14:textId="77777777" w:rsidR="00AB5E18" w:rsidRPr="00AB5E18" w:rsidRDefault="00AB5E18" w:rsidP="00AB5E18">
      <w:pPr>
        <w:spacing w:after="0" w:line="360" w:lineRule="auto"/>
        <w:jc w:val="both"/>
        <w:rPr>
          <w:rFonts w:ascii="Arial" w:eastAsia="Arial" w:hAnsi="Arial" w:cs="Arial"/>
          <w:sz w:val="24"/>
          <w:szCs w:val="24"/>
          <w:lang w:eastAsia="en-GB"/>
        </w:rPr>
      </w:pPr>
      <w:proofErr w:type="spellStart"/>
      <w:r w:rsidRPr="00AB5E18">
        <w:rPr>
          <w:rFonts w:ascii="Arial" w:eastAsia="Arial" w:hAnsi="Arial" w:cs="Arial"/>
          <w:sz w:val="24"/>
          <w:szCs w:val="24"/>
          <w:lang w:eastAsia="en-GB"/>
        </w:rPr>
        <w:t>Haitao</w:t>
      </w:r>
      <w:proofErr w:type="spellEnd"/>
      <w:r w:rsidRPr="00AB5E18">
        <w:rPr>
          <w:rFonts w:ascii="Arial" w:eastAsia="Arial" w:hAnsi="Arial" w:cs="Arial"/>
          <w:sz w:val="24"/>
          <w:szCs w:val="24"/>
          <w:lang w:eastAsia="en-GB"/>
        </w:rPr>
        <w:t xml:space="preserve">, N., (2021). </w:t>
      </w:r>
      <w:r w:rsidRPr="00AB5E18">
        <w:rPr>
          <w:rFonts w:ascii="Arial" w:eastAsia="Arial" w:hAnsi="Arial" w:cs="Arial"/>
          <w:i/>
          <w:sz w:val="24"/>
          <w:szCs w:val="24"/>
          <w:lang w:eastAsia="en-GB"/>
        </w:rPr>
        <w:t>Relationship of Communication Skills, Experience and Motivation to Career Planning (Literature Study of Human Resource Management)</w:t>
      </w:r>
      <w:r w:rsidRPr="00AB5E18">
        <w:rPr>
          <w:rFonts w:ascii="Arial" w:eastAsia="Arial" w:hAnsi="Arial" w:cs="Arial"/>
          <w:sz w:val="24"/>
          <w:szCs w:val="24"/>
          <w:lang w:eastAsia="en-GB"/>
        </w:rPr>
        <w:t>. Journal of Law, Politic and Humanities, 1(2), pp.98-108.</w:t>
      </w:r>
    </w:p>
    <w:p w14:paraId="06BE24F4" w14:textId="497F4BD4"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Harter, J. (2022) </w:t>
      </w:r>
      <w:r w:rsidRPr="00A44CAA">
        <w:rPr>
          <w:rFonts w:ascii="Arial" w:eastAsia="Arial" w:hAnsi="Arial" w:cs="Arial"/>
          <w:i/>
          <w:iCs/>
          <w:sz w:val="24"/>
          <w:szCs w:val="24"/>
          <w:lang w:eastAsia="en-GB"/>
        </w:rPr>
        <w:t>Employee engagement vs. employee satisfaction and organizational culture,</w:t>
      </w:r>
      <w:r w:rsidRPr="00AB5E18">
        <w:rPr>
          <w:rFonts w:ascii="Arial" w:eastAsia="Arial" w:hAnsi="Arial" w:cs="Arial"/>
          <w:sz w:val="24"/>
          <w:szCs w:val="24"/>
          <w:lang w:eastAsia="en-GB"/>
        </w:rPr>
        <w:t xml:space="preserve"> Gallup.com. Gallup. Available at: </w:t>
      </w:r>
      <w:hyperlink r:id="rId8" w:history="1">
        <w:r w:rsidR="00A44CAA" w:rsidRPr="00E3292C">
          <w:rPr>
            <w:rStyle w:val="Hyperlink"/>
            <w:rFonts w:ascii="Arial" w:eastAsia="Arial" w:hAnsi="Arial" w:cs="Arial"/>
            <w:sz w:val="24"/>
            <w:szCs w:val="24"/>
            <w:lang w:eastAsia="en-GB"/>
          </w:rPr>
          <w:t>https://www.gallup.com/workplace/236366/right-culture-not-employee-satisfaction.aspx</w:t>
        </w:r>
      </w:hyperlink>
      <w:r w:rsidR="00A44CAA">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 </w:t>
      </w:r>
      <w:r w:rsidR="004B4B8B">
        <w:rPr>
          <w:rFonts w:ascii="Arial" w:eastAsia="Arial" w:hAnsi="Arial" w:cs="Arial"/>
          <w:sz w:val="24"/>
          <w:szCs w:val="24"/>
          <w:lang w:eastAsia="en-GB"/>
        </w:rPr>
        <w:t>[</w:t>
      </w:r>
      <w:r w:rsidRPr="00AB5E18">
        <w:rPr>
          <w:rFonts w:ascii="Arial" w:eastAsia="Arial" w:hAnsi="Arial" w:cs="Arial"/>
          <w:sz w:val="24"/>
          <w:szCs w:val="24"/>
          <w:lang w:eastAsia="en-GB"/>
        </w:rPr>
        <w:t xml:space="preserve">Accessed: </w:t>
      </w:r>
      <w:r w:rsidR="004B4B8B">
        <w:rPr>
          <w:rFonts w:ascii="Arial" w:eastAsia="Arial" w:hAnsi="Arial" w:cs="Arial"/>
          <w:sz w:val="24"/>
          <w:szCs w:val="24"/>
          <w:lang w:eastAsia="en-GB"/>
        </w:rPr>
        <w:t xml:space="preserve">02 </w:t>
      </w:r>
      <w:r w:rsidRPr="00AB5E18">
        <w:rPr>
          <w:rFonts w:ascii="Arial" w:eastAsia="Arial" w:hAnsi="Arial" w:cs="Arial"/>
          <w:sz w:val="24"/>
          <w:szCs w:val="24"/>
          <w:lang w:eastAsia="en-GB"/>
        </w:rPr>
        <w:t>February 2023</w:t>
      </w:r>
      <w:r w:rsidR="004B4B8B">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479C62D5" w14:textId="275E51BC"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Hohmann, C. (2021) </w:t>
      </w:r>
      <w:r w:rsidRPr="008C23B0">
        <w:rPr>
          <w:rFonts w:ascii="Arial" w:eastAsia="Arial" w:hAnsi="Arial" w:cs="Arial"/>
          <w:i/>
          <w:iCs/>
          <w:sz w:val="24"/>
          <w:szCs w:val="24"/>
          <w:lang w:eastAsia="en-GB"/>
        </w:rPr>
        <w:t>Aon Hewitt's employee engagement model,</w:t>
      </w:r>
      <w:r w:rsidRPr="00AB5E18">
        <w:rPr>
          <w:rFonts w:ascii="Arial" w:eastAsia="Arial" w:hAnsi="Arial" w:cs="Arial"/>
          <w:sz w:val="24"/>
          <w:szCs w:val="24"/>
          <w:lang w:eastAsia="en-GB"/>
        </w:rPr>
        <w:t xml:space="preserve"> Chris HOHMANN. Available at: </w:t>
      </w:r>
      <w:hyperlink r:id="rId9" w:history="1">
        <w:r w:rsidR="008C23B0" w:rsidRPr="00E3292C">
          <w:rPr>
            <w:rStyle w:val="Hyperlink"/>
            <w:rFonts w:ascii="Arial" w:eastAsia="Arial" w:hAnsi="Arial" w:cs="Arial"/>
            <w:sz w:val="24"/>
            <w:szCs w:val="24"/>
            <w:lang w:eastAsia="en-GB"/>
          </w:rPr>
          <w:t>https://hohmannchris.wordpress.com/2014/08/02/aon-hewitts-employee-engagement-model/</w:t>
        </w:r>
      </w:hyperlink>
      <w:r w:rsidR="008C23B0">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 </w:t>
      </w:r>
      <w:r w:rsidR="008C23B0">
        <w:rPr>
          <w:rFonts w:ascii="Arial" w:eastAsia="Arial" w:hAnsi="Arial" w:cs="Arial"/>
          <w:sz w:val="24"/>
          <w:szCs w:val="24"/>
          <w:lang w:eastAsia="en-GB"/>
        </w:rPr>
        <w:t>[</w:t>
      </w:r>
      <w:r w:rsidRPr="00AB5E18">
        <w:rPr>
          <w:rFonts w:ascii="Arial" w:eastAsia="Arial" w:hAnsi="Arial" w:cs="Arial"/>
          <w:sz w:val="24"/>
          <w:szCs w:val="24"/>
          <w:lang w:eastAsia="en-GB"/>
        </w:rPr>
        <w:t xml:space="preserve">Accessed: </w:t>
      </w:r>
      <w:r w:rsidR="00AB6437">
        <w:rPr>
          <w:rFonts w:ascii="Arial" w:eastAsia="Arial" w:hAnsi="Arial" w:cs="Arial"/>
          <w:sz w:val="24"/>
          <w:szCs w:val="24"/>
          <w:lang w:eastAsia="en-GB"/>
        </w:rPr>
        <w:t xml:space="preserve">05 </w:t>
      </w:r>
      <w:r w:rsidRPr="00AB5E18">
        <w:rPr>
          <w:rFonts w:ascii="Arial" w:eastAsia="Arial" w:hAnsi="Arial" w:cs="Arial"/>
          <w:sz w:val="24"/>
          <w:szCs w:val="24"/>
          <w:lang w:eastAsia="en-GB"/>
        </w:rPr>
        <w:t>February 2023</w:t>
      </w:r>
      <w:r w:rsidR="00AB6437">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55885613" w14:textId="1BD4000D"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HR University (2022) </w:t>
      </w:r>
      <w:r w:rsidRPr="00502059">
        <w:rPr>
          <w:rFonts w:ascii="Arial" w:eastAsia="Arial" w:hAnsi="Arial" w:cs="Arial"/>
          <w:i/>
          <w:iCs/>
          <w:sz w:val="24"/>
          <w:szCs w:val="24"/>
          <w:lang w:eastAsia="en-GB"/>
        </w:rPr>
        <w:t>What is employee feedback?,</w:t>
      </w:r>
      <w:r w:rsidRPr="00AB5E18">
        <w:rPr>
          <w:rFonts w:ascii="Arial" w:eastAsia="Arial" w:hAnsi="Arial" w:cs="Arial"/>
          <w:sz w:val="24"/>
          <w:szCs w:val="24"/>
          <w:lang w:eastAsia="en-GB"/>
        </w:rPr>
        <w:t xml:space="preserve"> HR University. HR University. Available at: </w:t>
      </w:r>
      <w:hyperlink r:id="rId10" w:history="1">
        <w:r w:rsidR="00502059" w:rsidRPr="00E3292C">
          <w:rPr>
            <w:rStyle w:val="Hyperlink"/>
            <w:rFonts w:ascii="Arial" w:eastAsia="Arial" w:hAnsi="Arial" w:cs="Arial"/>
            <w:sz w:val="24"/>
            <w:szCs w:val="24"/>
            <w:lang w:eastAsia="en-GB"/>
          </w:rPr>
          <w:t>https://hr.university/shrm/employee-feedback/</w:t>
        </w:r>
      </w:hyperlink>
      <w:r w:rsidR="00502059">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Accessed: </w:t>
      </w:r>
      <w:r w:rsidR="00502059">
        <w:rPr>
          <w:rFonts w:ascii="Arial" w:eastAsia="Arial" w:hAnsi="Arial" w:cs="Arial"/>
          <w:sz w:val="24"/>
          <w:szCs w:val="24"/>
          <w:lang w:eastAsia="en-GB"/>
        </w:rPr>
        <w:t xml:space="preserve">03 </w:t>
      </w:r>
      <w:r w:rsidRPr="00AB5E18">
        <w:rPr>
          <w:rFonts w:ascii="Arial" w:eastAsia="Arial" w:hAnsi="Arial" w:cs="Arial"/>
          <w:sz w:val="24"/>
          <w:szCs w:val="24"/>
          <w:lang w:eastAsia="en-GB"/>
        </w:rPr>
        <w:t>February 2023</w:t>
      </w:r>
      <w:r w:rsidR="00502059">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6A5B08CB"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Hsieh, Y.H. and Chen, H.M., (2011). </w:t>
      </w:r>
      <w:r w:rsidRPr="00AB5E18">
        <w:rPr>
          <w:rFonts w:ascii="Arial" w:eastAsia="Arial" w:hAnsi="Arial" w:cs="Arial"/>
          <w:i/>
          <w:sz w:val="24"/>
          <w:szCs w:val="24"/>
          <w:lang w:eastAsia="en-GB"/>
        </w:rPr>
        <w:t>Strategic fit among Business Competitive Strategy, Human Resource Strategy, and Reward System.</w:t>
      </w:r>
      <w:r w:rsidRPr="00AB5E18">
        <w:rPr>
          <w:rFonts w:ascii="Arial" w:eastAsia="Arial" w:hAnsi="Arial" w:cs="Arial"/>
          <w:sz w:val="24"/>
          <w:szCs w:val="24"/>
          <w:lang w:eastAsia="en-GB"/>
        </w:rPr>
        <w:t xml:space="preserve"> Academy of Strategic Management Journal, 10(2).</w:t>
      </w:r>
    </w:p>
    <w:p w14:paraId="416D312F"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lastRenderedPageBreak/>
        <w:t xml:space="preserve">Kim, Y.J., Kim, W.G., Choi, H.M. and </w:t>
      </w:r>
      <w:proofErr w:type="spellStart"/>
      <w:r w:rsidRPr="00AB5E18">
        <w:rPr>
          <w:rFonts w:ascii="Arial" w:eastAsia="Arial" w:hAnsi="Arial" w:cs="Arial"/>
          <w:sz w:val="24"/>
          <w:szCs w:val="24"/>
          <w:lang w:eastAsia="en-GB"/>
        </w:rPr>
        <w:t>Phetvaroon</w:t>
      </w:r>
      <w:proofErr w:type="spellEnd"/>
      <w:r w:rsidRPr="00AB5E18">
        <w:rPr>
          <w:rFonts w:ascii="Arial" w:eastAsia="Arial" w:hAnsi="Arial" w:cs="Arial"/>
          <w:sz w:val="24"/>
          <w:szCs w:val="24"/>
          <w:lang w:eastAsia="en-GB"/>
        </w:rPr>
        <w:t xml:space="preserve">, K., (2019). </w:t>
      </w:r>
      <w:r w:rsidRPr="00AB5E18">
        <w:rPr>
          <w:rFonts w:ascii="Arial" w:eastAsia="Arial" w:hAnsi="Arial" w:cs="Arial"/>
          <w:i/>
          <w:sz w:val="24"/>
          <w:szCs w:val="24"/>
          <w:lang w:eastAsia="en-GB"/>
        </w:rPr>
        <w:t xml:space="preserve">The effect of green human resource management on hotel employees’ eco-friendly </w:t>
      </w:r>
      <w:proofErr w:type="spellStart"/>
      <w:r w:rsidRPr="00AB5E18">
        <w:rPr>
          <w:rFonts w:ascii="Arial" w:eastAsia="Arial" w:hAnsi="Arial" w:cs="Arial"/>
          <w:i/>
          <w:sz w:val="24"/>
          <w:szCs w:val="24"/>
          <w:lang w:eastAsia="en-GB"/>
        </w:rPr>
        <w:t>behavior</w:t>
      </w:r>
      <w:proofErr w:type="spellEnd"/>
      <w:r w:rsidRPr="00AB5E18">
        <w:rPr>
          <w:rFonts w:ascii="Arial" w:eastAsia="Arial" w:hAnsi="Arial" w:cs="Arial"/>
          <w:i/>
          <w:sz w:val="24"/>
          <w:szCs w:val="24"/>
          <w:lang w:eastAsia="en-GB"/>
        </w:rPr>
        <w:t xml:space="preserve"> and environmental performance.</w:t>
      </w:r>
      <w:r w:rsidRPr="00AB5E18">
        <w:rPr>
          <w:rFonts w:ascii="Arial" w:eastAsia="Arial" w:hAnsi="Arial" w:cs="Arial"/>
          <w:sz w:val="24"/>
          <w:szCs w:val="24"/>
          <w:lang w:eastAsia="en-GB"/>
        </w:rPr>
        <w:t xml:space="preserve"> International Journal of Hospitality Management, 76, pp.83-93.</w:t>
      </w:r>
    </w:p>
    <w:p w14:paraId="15049EF6" w14:textId="175B1A7C"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Maurer, R. (2018) Survey: </w:t>
      </w:r>
      <w:r w:rsidRPr="00F24C08">
        <w:rPr>
          <w:rFonts w:ascii="Arial" w:eastAsia="Arial" w:hAnsi="Arial" w:cs="Arial"/>
          <w:i/>
          <w:iCs/>
          <w:sz w:val="24"/>
          <w:szCs w:val="24"/>
          <w:lang w:eastAsia="en-GB"/>
        </w:rPr>
        <w:t>Employers using social media to find passive candidates,</w:t>
      </w:r>
      <w:r w:rsidRPr="00AB5E18">
        <w:rPr>
          <w:rFonts w:ascii="Arial" w:eastAsia="Arial" w:hAnsi="Arial" w:cs="Arial"/>
          <w:sz w:val="24"/>
          <w:szCs w:val="24"/>
          <w:lang w:eastAsia="en-GB"/>
        </w:rPr>
        <w:t xml:space="preserve"> SHRM. SHRM. Available at: </w:t>
      </w:r>
      <w:hyperlink r:id="rId11" w:history="1">
        <w:r w:rsidR="00886AB0" w:rsidRPr="00E3292C">
          <w:rPr>
            <w:rStyle w:val="Hyperlink"/>
            <w:rFonts w:ascii="Arial" w:eastAsia="Arial" w:hAnsi="Arial" w:cs="Arial"/>
            <w:sz w:val="24"/>
            <w:szCs w:val="24"/>
            <w:lang w:eastAsia="en-GB"/>
          </w:rPr>
          <w:t>https://www.shrm.org/resourcesandtools/hr-topics/talent-acquisition/pages/using-social-media-find-passive-candidates.aspx</w:t>
        </w:r>
      </w:hyperlink>
      <w:r w:rsidR="00886AB0">
        <w:rPr>
          <w:rFonts w:ascii="Arial" w:eastAsia="Arial" w:hAnsi="Arial" w:cs="Arial"/>
          <w:sz w:val="24"/>
          <w:szCs w:val="24"/>
          <w:lang w:eastAsia="en-GB"/>
        </w:rPr>
        <w:t xml:space="preserve"> [</w:t>
      </w:r>
      <w:r w:rsidRPr="00AB5E18">
        <w:rPr>
          <w:rFonts w:ascii="Arial" w:eastAsia="Arial" w:hAnsi="Arial" w:cs="Arial"/>
          <w:sz w:val="24"/>
          <w:szCs w:val="24"/>
          <w:lang w:eastAsia="en-GB"/>
        </w:rPr>
        <w:t>Accessed:</w:t>
      </w:r>
      <w:r w:rsidR="00C90BCA">
        <w:rPr>
          <w:rFonts w:ascii="Arial" w:eastAsia="Arial" w:hAnsi="Arial" w:cs="Arial"/>
          <w:sz w:val="24"/>
          <w:szCs w:val="24"/>
          <w:lang w:eastAsia="en-GB"/>
        </w:rPr>
        <w:t xml:space="preserve"> 03</w:t>
      </w:r>
      <w:r w:rsidRPr="00AB5E18">
        <w:rPr>
          <w:rFonts w:ascii="Arial" w:eastAsia="Arial" w:hAnsi="Arial" w:cs="Arial"/>
          <w:sz w:val="24"/>
          <w:szCs w:val="24"/>
          <w:lang w:eastAsia="en-GB"/>
        </w:rPr>
        <w:t xml:space="preserve"> February 2023</w:t>
      </w:r>
      <w:r w:rsidR="00F24C08">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6D52F066"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Paauwe, J. and Boon, C., (2018). Strategic HRM: A critical review. Human resource management, pp.49-73.</w:t>
      </w:r>
    </w:p>
    <w:p w14:paraId="21DD5944"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Pawar, A., (2018).</w:t>
      </w:r>
      <w:r w:rsidRPr="00AB5E18">
        <w:rPr>
          <w:rFonts w:ascii="Arial" w:eastAsia="Arial" w:hAnsi="Arial" w:cs="Arial"/>
          <w:i/>
          <w:sz w:val="24"/>
          <w:szCs w:val="24"/>
          <w:lang w:eastAsia="en-GB"/>
        </w:rPr>
        <w:t xml:space="preserve"> A study on analysis of supportable employee engagement model in McDonald.</w:t>
      </w:r>
      <w:r w:rsidRPr="00AB5E18">
        <w:rPr>
          <w:rFonts w:ascii="Arial" w:eastAsia="Arial" w:hAnsi="Arial" w:cs="Arial"/>
          <w:sz w:val="24"/>
          <w:szCs w:val="24"/>
          <w:lang w:eastAsia="en-GB"/>
        </w:rPr>
        <w:t xml:space="preserve"> International Journal of Information, Business and Management, 10(1), pp.172-181.</w:t>
      </w:r>
    </w:p>
    <w:p w14:paraId="43B641DF"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Podgorodnichenko, N., Edgar, F. and McAndrew, I., (2020).</w:t>
      </w:r>
      <w:r w:rsidRPr="00AB5E18">
        <w:rPr>
          <w:rFonts w:ascii="Arial" w:eastAsia="Arial" w:hAnsi="Arial" w:cs="Arial"/>
          <w:i/>
          <w:sz w:val="24"/>
          <w:szCs w:val="24"/>
          <w:lang w:eastAsia="en-GB"/>
        </w:rPr>
        <w:t xml:space="preserve"> The role of HRM in developing sustainable organizations: Contemporary challenges and contradictions.</w:t>
      </w:r>
      <w:r w:rsidRPr="00AB5E18">
        <w:rPr>
          <w:rFonts w:ascii="Arial" w:eastAsia="Arial" w:hAnsi="Arial" w:cs="Arial"/>
          <w:sz w:val="24"/>
          <w:szCs w:val="24"/>
          <w:lang w:eastAsia="en-GB"/>
        </w:rPr>
        <w:t xml:space="preserve"> Human Resource Management Review, 30(3), p.100685. </w:t>
      </w:r>
    </w:p>
    <w:p w14:paraId="4209DC62" w14:textId="77777777"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Shields, J., Brown, M., Kaine, S., Dolle-Samuel, C., North-Samardzic, A., McLean, P., Johns, R., O'Leary, P., Plimmer, G. and Robinson, J., (2015). </w:t>
      </w:r>
      <w:r w:rsidRPr="00AB5E18">
        <w:rPr>
          <w:rFonts w:ascii="Arial" w:eastAsia="Arial" w:hAnsi="Arial" w:cs="Arial"/>
          <w:i/>
          <w:sz w:val="24"/>
          <w:szCs w:val="24"/>
          <w:lang w:eastAsia="en-GB"/>
        </w:rPr>
        <w:t>Managing employee performance &amp; reward: Concepts, practices, strategies.</w:t>
      </w:r>
      <w:r w:rsidRPr="00AB5E18">
        <w:rPr>
          <w:rFonts w:ascii="Arial" w:eastAsia="Arial" w:hAnsi="Arial" w:cs="Arial"/>
          <w:sz w:val="24"/>
          <w:szCs w:val="24"/>
          <w:lang w:eastAsia="en-GB"/>
        </w:rPr>
        <w:t xml:space="preserve"> Cambridge University Press.</w:t>
      </w:r>
    </w:p>
    <w:p w14:paraId="0F586350" w14:textId="44023722"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Shrm (2022) Screening by means of pre-employment testing, SHRM. SHRM. Available at: </w:t>
      </w:r>
      <w:hyperlink r:id="rId12" w:history="1">
        <w:r w:rsidR="007E16B9" w:rsidRPr="00E3292C">
          <w:rPr>
            <w:rStyle w:val="Hyperlink"/>
            <w:rFonts w:ascii="Arial" w:eastAsia="Arial" w:hAnsi="Arial" w:cs="Arial"/>
            <w:sz w:val="24"/>
            <w:szCs w:val="24"/>
            <w:lang w:eastAsia="en-GB"/>
          </w:rPr>
          <w:t>https://shrm.org/ResourcesAndTools/tools-and-samples/toolkits/Pages/screeningbymeansofpreemploymenttesting.aspx</w:t>
        </w:r>
      </w:hyperlink>
      <w:r w:rsidR="007E16B9">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Accessed: </w:t>
      </w:r>
      <w:r w:rsidR="00C27C10">
        <w:rPr>
          <w:rFonts w:ascii="Arial" w:eastAsia="Arial" w:hAnsi="Arial" w:cs="Arial"/>
          <w:sz w:val="24"/>
          <w:szCs w:val="24"/>
          <w:lang w:eastAsia="en-GB"/>
        </w:rPr>
        <w:t xml:space="preserve">02 </w:t>
      </w:r>
      <w:r w:rsidRPr="00AB5E18">
        <w:rPr>
          <w:rFonts w:ascii="Arial" w:eastAsia="Arial" w:hAnsi="Arial" w:cs="Arial"/>
          <w:sz w:val="24"/>
          <w:szCs w:val="24"/>
          <w:lang w:eastAsia="en-GB"/>
        </w:rPr>
        <w:t>February 2023</w:t>
      </w:r>
      <w:r w:rsidR="004B012C">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4CE6A105" w14:textId="77777777" w:rsidR="00AB5E18" w:rsidRPr="00AB5E18" w:rsidRDefault="00AB5E18" w:rsidP="00AB5E18">
      <w:pPr>
        <w:spacing w:after="0" w:line="360" w:lineRule="auto"/>
        <w:jc w:val="both"/>
        <w:rPr>
          <w:rFonts w:ascii="Arial" w:eastAsia="Arial" w:hAnsi="Arial" w:cs="Arial"/>
          <w:sz w:val="24"/>
          <w:szCs w:val="24"/>
          <w:lang w:eastAsia="en-GB"/>
        </w:rPr>
      </w:pPr>
      <w:proofErr w:type="spellStart"/>
      <w:r w:rsidRPr="00AB5E18">
        <w:rPr>
          <w:rFonts w:ascii="Arial" w:eastAsia="Arial" w:hAnsi="Arial" w:cs="Arial"/>
          <w:sz w:val="24"/>
          <w:szCs w:val="24"/>
          <w:lang w:eastAsia="en-GB"/>
        </w:rPr>
        <w:t>Tsaur</w:t>
      </w:r>
      <w:proofErr w:type="spellEnd"/>
      <w:r w:rsidRPr="00AB5E18">
        <w:rPr>
          <w:rFonts w:ascii="Arial" w:eastAsia="Arial" w:hAnsi="Arial" w:cs="Arial"/>
          <w:sz w:val="24"/>
          <w:szCs w:val="24"/>
          <w:lang w:eastAsia="en-GB"/>
        </w:rPr>
        <w:t xml:space="preserve">, S.H. and Lin, Y.C., (2014). </w:t>
      </w:r>
      <w:r w:rsidRPr="00AB5E18">
        <w:rPr>
          <w:rFonts w:ascii="Arial" w:eastAsia="Arial" w:hAnsi="Arial" w:cs="Arial"/>
          <w:i/>
          <w:sz w:val="24"/>
          <w:szCs w:val="24"/>
          <w:lang w:eastAsia="en-GB"/>
        </w:rPr>
        <w:t xml:space="preserve">Promoting service quality in tourist hotels: the role of HRM practices and service </w:t>
      </w:r>
      <w:proofErr w:type="spellStart"/>
      <w:r w:rsidRPr="00AB5E18">
        <w:rPr>
          <w:rFonts w:ascii="Arial" w:eastAsia="Arial" w:hAnsi="Arial" w:cs="Arial"/>
          <w:i/>
          <w:sz w:val="24"/>
          <w:szCs w:val="24"/>
          <w:lang w:eastAsia="en-GB"/>
        </w:rPr>
        <w:t>behavior</w:t>
      </w:r>
      <w:proofErr w:type="spellEnd"/>
      <w:r w:rsidRPr="00AB5E18">
        <w:rPr>
          <w:rFonts w:ascii="Arial" w:eastAsia="Arial" w:hAnsi="Arial" w:cs="Arial"/>
          <w:i/>
          <w:sz w:val="24"/>
          <w:szCs w:val="24"/>
          <w:lang w:eastAsia="en-GB"/>
        </w:rPr>
        <w:t>.</w:t>
      </w:r>
      <w:r w:rsidRPr="00AB5E18">
        <w:rPr>
          <w:rFonts w:ascii="Arial" w:eastAsia="Arial" w:hAnsi="Arial" w:cs="Arial"/>
          <w:sz w:val="24"/>
          <w:szCs w:val="24"/>
          <w:lang w:eastAsia="en-GB"/>
        </w:rPr>
        <w:t xml:space="preserve"> Tourism management, 25(4), pp.471-481.</w:t>
      </w:r>
    </w:p>
    <w:p w14:paraId="46BC160E" w14:textId="72574499" w:rsidR="00AB5E18" w:rsidRPr="00AB5E18" w:rsidRDefault="00AB5E18" w:rsidP="00AB5E18">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Vance, R.J. (2020) </w:t>
      </w:r>
      <w:r w:rsidRPr="003311B7">
        <w:rPr>
          <w:rFonts w:ascii="Arial" w:eastAsia="Arial" w:hAnsi="Arial" w:cs="Arial"/>
          <w:i/>
          <w:iCs/>
          <w:sz w:val="24"/>
          <w:szCs w:val="24"/>
          <w:lang w:eastAsia="en-GB"/>
        </w:rPr>
        <w:t>Employee engagement and commitment</w:t>
      </w:r>
      <w:r w:rsidRPr="00AB5E18">
        <w:rPr>
          <w:rFonts w:ascii="Arial" w:eastAsia="Arial" w:hAnsi="Arial" w:cs="Arial"/>
          <w:sz w:val="24"/>
          <w:szCs w:val="24"/>
          <w:lang w:eastAsia="en-GB"/>
        </w:rPr>
        <w:t xml:space="preserve"> - Society for Human Resource Management, SHRM. SHRM. Available at: </w:t>
      </w:r>
      <w:hyperlink r:id="rId13" w:history="1">
        <w:r w:rsidR="003311B7" w:rsidRPr="00E3292C">
          <w:rPr>
            <w:rStyle w:val="Hyperlink"/>
            <w:rFonts w:ascii="Arial" w:eastAsia="Arial" w:hAnsi="Arial" w:cs="Arial"/>
            <w:sz w:val="24"/>
            <w:szCs w:val="24"/>
            <w:lang w:eastAsia="en-GB"/>
          </w:rPr>
          <w:t>https://www.shrm.org/hr-today/trends-and-forecasting/special-reports-and-expert-views/Documents/Employee-Engagement-Commitment.pdf</w:t>
        </w:r>
      </w:hyperlink>
      <w:r w:rsidR="003311B7">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Accessed: </w:t>
      </w:r>
      <w:r w:rsidR="00070ED1">
        <w:rPr>
          <w:rFonts w:ascii="Arial" w:eastAsia="Arial" w:hAnsi="Arial" w:cs="Arial"/>
          <w:sz w:val="24"/>
          <w:szCs w:val="24"/>
          <w:lang w:eastAsia="en-GB"/>
        </w:rPr>
        <w:t xml:space="preserve">04 </w:t>
      </w:r>
      <w:r w:rsidRPr="00AB5E18">
        <w:rPr>
          <w:rFonts w:ascii="Arial" w:eastAsia="Arial" w:hAnsi="Arial" w:cs="Arial"/>
          <w:sz w:val="24"/>
          <w:szCs w:val="24"/>
          <w:lang w:eastAsia="en-GB"/>
        </w:rPr>
        <w:t>February 2023</w:t>
      </w:r>
      <w:r w:rsidR="003311B7">
        <w:rPr>
          <w:rFonts w:ascii="Arial" w:eastAsia="Arial" w:hAnsi="Arial" w:cs="Arial"/>
          <w:sz w:val="24"/>
          <w:szCs w:val="24"/>
          <w:lang w:eastAsia="en-GB"/>
        </w:rPr>
        <w:t>]</w:t>
      </w:r>
      <w:r w:rsidRPr="00AB5E18">
        <w:rPr>
          <w:rFonts w:ascii="Arial" w:eastAsia="Arial" w:hAnsi="Arial" w:cs="Arial"/>
          <w:sz w:val="24"/>
          <w:szCs w:val="24"/>
          <w:lang w:eastAsia="en-GB"/>
        </w:rPr>
        <w:t xml:space="preserve">. </w:t>
      </w:r>
    </w:p>
    <w:p w14:paraId="32A2C14A" w14:textId="76BABA56" w:rsidR="00AB5E18" w:rsidRPr="00417631" w:rsidRDefault="00AB5E18" w:rsidP="00417631">
      <w:pPr>
        <w:spacing w:after="0" w:line="360" w:lineRule="auto"/>
        <w:jc w:val="both"/>
        <w:rPr>
          <w:rFonts w:ascii="Arial" w:eastAsia="Arial" w:hAnsi="Arial" w:cs="Arial"/>
          <w:sz w:val="24"/>
          <w:szCs w:val="24"/>
          <w:lang w:eastAsia="en-GB"/>
        </w:rPr>
      </w:pPr>
      <w:r w:rsidRPr="00AB5E18">
        <w:rPr>
          <w:rFonts w:ascii="Arial" w:eastAsia="Arial" w:hAnsi="Arial" w:cs="Arial"/>
          <w:sz w:val="24"/>
          <w:szCs w:val="24"/>
          <w:lang w:eastAsia="en-GB"/>
        </w:rPr>
        <w:t xml:space="preserve">Verlinden, N. (2023) </w:t>
      </w:r>
      <w:r w:rsidRPr="003869FD">
        <w:rPr>
          <w:rFonts w:ascii="Arial" w:eastAsia="Arial" w:hAnsi="Arial" w:cs="Arial"/>
          <w:i/>
          <w:iCs/>
          <w:sz w:val="24"/>
          <w:szCs w:val="24"/>
          <w:lang w:eastAsia="en-GB"/>
        </w:rPr>
        <w:t>Employee life cycle:</w:t>
      </w:r>
      <w:r w:rsidRPr="00AB5E18">
        <w:rPr>
          <w:rFonts w:ascii="Arial" w:eastAsia="Arial" w:hAnsi="Arial" w:cs="Arial"/>
          <w:sz w:val="24"/>
          <w:szCs w:val="24"/>
          <w:lang w:eastAsia="en-GB"/>
        </w:rPr>
        <w:t xml:space="preserve"> The Ultimate Guide for HR, AIHR. AIHR. Available at: </w:t>
      </w:r>
      <w:hyperlink r:id="rId14" w:history="1">
        <w:r w:rsidR="00BE3B17" w:rsidRPr="00E3292C">
          <w:rPr>
            <w:rStyle w:val="Hyperlink"/>
            <w:rFonts w:ascii="Arial" w:eastAsia="Arial" w:hAnsi="Arial" w:cs="Arial"/>
            <w:sz w:val="24"/>
            <w:szCs w:val="24"/>
            <w:lang w:eastAsia="en-GB"/>
          </w:rPr>
          <w:t>https://www.aihr.com/blog/employee-life-cycle/</w:t>
        </w:r>
      </w:hyperlink>
      <w:r w:rsidR="00BE3B17">
        <w:rPr>
          <w:rFonts w:ascii="Arial" w:eastAsia="Arial" w:hAnsi="Arial" w:cs="Arial"/>
          <w:sz w:val="24"/>
          <w:szCs w:val="24"/>
          <w:lang w:eastAsia="en-GB"/>
        </w:rPr>
        <w:t xml:space="preserve"> [</w:t>
      </w:r>
      <w:r w:rsidRPr="00AB5E18">
        <w:rPr>
          <w:rFonts w:ascii="Arial" w:eastAsia="Arial" w:hAnsi="Arial" w:cs="Arial"/>
          <w:sz w:val="24"/>
          <w:szCs w:val="24"/>
          <w:lang w:eastAsia="en-GB"/>
        </w:rPr>
        <w:t xml:space="preserve">Accessed: </w:t>
      </w:r>
      <w:r w:rsidR="003869FD">
        <w:rPr>
          <w:rFonts w:ascii="Arial" w:eastAsia="Arial" w:hAnsi="Arial" w:cs="Arial"/>
          <w:sz w:val="24"/>
          <w:szCs w:val="24"/>
          <w:lang w:eastAsia="en-GB"/>
        </w:rPr>
        <w:t xml:space="preserve">02 </w:t>
      </w:r>
      <w:r w:rsidRPr="00AB5E18">
        <w:rPr>
          <w:rFonts w:ascii="Arial" w:eastAsia="Arial" w:hAnsi="Arial" w:cs="Arial"/>
          <w:sz w:val="24"/>
          <w:szCs w:val="24"/>
          <w:lang w:eastAsia="en-GB"/>
        </w:rPr>
        <w:t>February 2023</w:t>
      </w:r>
      <w:r w:rsidR="00EE50C3">
        <w:rPr>
          <w:rFonts w:ascii="Arial" w:eastAsia="Arial" w:hAnsi="Arial" w:cs="Arial"/>
          <w:sz w:val="24"/>
          <w:szCs w:val="24"/>
          <w:lang w:eastAsia="en-GB"/>
        </w:rPr>
        <w:t>]</w:t>
      </w:r>
      <w:r w:rsidRPr="00AB5E18">
        <w:rPr>
          <w:rFonts w:ascii="Arial" w:eastAsia="Arial" w:hAnsi="Arial" w:cs="Arial"/>
          <w:sz w:val="24"/>
          <w:szCs w:val="24"/>
          <w:lang w:eastAsia="en-GB"/>
        </w:rPr>
        <w:t>.</w:t>
      </w:r>
    </w:p>
    <w:sectPr w:rsidR="00AB5E18" w:rsidRPr="004176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41C"/>
    <w:rsid w:val="00023F83"/>
    <w:rsid w:val="00025D11"/>
    <w:rsid w:val="000411F1"/>
    <w:rsid w:val="000432B1"/>
    <w:rsid w:val="0006288C"/>
    <w:rsid w:val="00070424"/>
    <w:rsid w:val="00070ED1"/>
    <w:rsid w:val="00074EA6"/>
    <w:rsid w:val="00076FAF"/>
    <w:rsid w:val="000C3EAF"/>
    <w:rsid w:val="00111ED5"/>
    <w:rsid w:val="001A16DB"/>
    <w:rsid w:val="0022368B"/>
    <w:rsid w:val="00237C5A"/>
    <w:rsid w:val="0025319B"/>
    <w:rsid w:val="00266BD0"/>
    <w:rsid w:val="002C10AE"/>
    <w:rsid w:val="002E5A18"/>
    <w:rsid w:val="002F15A0"/>
    <w:rsid w:val="002F7D45"/>
    <w:rsid w:val="003311B7"/>
    <w:rsid w:val="0033489A"/>
    <w:rsid w:val="00334D60"/>
    <w:rsid w:val="00334F3E"/>
    <w:rsid w:val="0038257C"/>
    <w:rsid w:val="00382D38"/>
    <w:rsid w:val="003869FD"/>
    <w:rsid w:val="00387B80"/>
    <w:rsid w:val="003D3CCC"/>
    <w:rsid w:val="00417631"/>
    <w:rsid w:val="0049404B"/>
    <w:rsid w:val="00495919"/>
    <w:rsid w:val="004B012C"/>
    <w:rsid w:val="004B4B8B"/>
    <w:rsid w:val="00502059"/>
    <w:rsid w:val="005032C7"/>
    <w:rsid w:val="005218E8"/>
    <w:rsid w:val="00527748"/>
    <w:rsid w:val="00545004"/>
    <w:rsid w:val="00562298"/>
    <w:rsid w:val="00587E96"/>
    <w:rsid w:val="00594D3B"/>
    <w:rsid w:val="005F4A53"/>
    <w:rsid w:val="005F4F75"/>
    <w:rsid w:val="00634697"/>
    <w:rsid w:val="006870F5"/>
    <w:rsid w:val="006A0B6D"/>
    <w:rsid w:val="006A1D67"/>
    <w:rsid w:val="00791012"/>
    <w:rsid w:val="007C7D05"/>
    <w:rsid w:val="007D2AD9"/>
    <w:rsid w:val="007E16B9"/>
    <w:rsid w:val="0083385E"/>
    <w:rsid w:val="008463B3"/>
    <w:rsid w:val="00847D22"/>
    <w:rsid w:val="00886AB0"/>
    <w:rsid w:val="008C23B0"/>
    <w:rsid w:val="008E68BD"/>
    <w:rsid w:val="008F5D7A"/>
    <w:rsid w:val="00902C5B"/>
    <w:rsid w:val="00927E98"/>
    <w:rsid w:val="00937FE8"/>
    <w:rsid w:val="00957618"/>
    <w:rsid w:val="00984018"/>
    <w:rsid w:val="00992CDA"/>
    <w:rsid w:val="00994875"/>
    <w:rsid w:val="00997782"/>
    <w:rsid w:val="009A4368"/>
    <w:rsid w:val="009B00D8"/>
    <w:rsid w:val="009C2E9A"/>
    <w:rsid w:val="009C74D3"/>
    <w:rsid w:val="009F52EF"/>
    <w:rsid w:val="009F6623"/>
    <w:rsid w:val="00A4320E"/>
    <w:rsid w:val="00A44CAA"/>
    <w:rsid w:val="00A820CA"/>
    <w:rsid w:val="00AB5E18"/>
    <w:rsid w:val="00AB6437"/>
    <w:rsid w:val="00AE2D2A"/>
    <w:rsid w:val="00BA0456"/>
    <w:rsid w:val="00BB0882"/>
    <w:rsid w:val="00BE3B17"/>
    <w:rsid w:val="00BF0E86"/>
    <w:rsid w:val="00C10537"/>
    <w:rsid w:val="00C1384F"/>
    <w:rsid w:val="00C27C10"/>
    <w:rsid w:val="00C64574"/>
    <w:rsid w:val="00C90BCA"/>
    <w:rsid w:val="00CA111D"/>
    <w:rsid w:val="00CB6DBE"/>
    <w:rsid w:val="00D22AE5"/>
    <w:rsid w:val="00D4122F"/>
    <w:rsid w:val="00D42242"/>
    <w:rsid w:val="00D87646"/>
    <w:rsid w:val="00D90279"/>
    <w:rsid w:val="00D96DAC"/>
    <w:rsid w:val="00DD43BB"/>
    <w:rsid w:val="00E219FB"/>
    <w:rsid w:val="00E23191"/>
    <w:rsid w:val="00E305D5"/>
    <w:rsid w:val="00E32F68"/>
    <w:rsid w:val="00E41621"/>
    <w:rsid w:val="00E5214C"/>
    <w:rsid w:val="00E93C1D"/>
    <w:rsid w:val="00EE42FB"/>
    <w:rsid w:val="00EE50C3"/>
    <w:rsid w:val="00EF4BA3"/>
    <w:rsid w:val="00EF641C"/>
    <w:rsid w:val="00EF703B"/>
    <w:rsid w:val="00F24C08"/>
    <w:rsid w:val="00F3715A"/>
    <w:rsid w:val="00F4018B"/>
    <w:rsid w:val="00F46645"/>
    <w:rsid w:val="00F6165F"/>
    <w:rsid w:val="00F811C0"/>
    <w:rsid w:val="00F90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B1016"/>
  <w15:chartTrackingRefBased/>
  <w15:docId w15:val="{0ED4302E-40C4-404E-BFBE-81DF0F34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2F68"/>
    <w:rPr>
      <w:color w:val="0563C1" w:themeColor="hyperlink"/>
      <w:u w:val="single"/>
    </w:rPr>
  </w:style>
  <w:style w:type="character" w:styleId="UnresolvedMention">
    <w:name w:val="Unresolved Mention"/>
    <w:basedOn w:val="DefaultParagraphFont"/>
    <w:uiPriority w:val="99"/>
    <w:semiHidden/>
    <w:unhideWhenUsed/>
    <w:rsid w:val="00E32F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llup.com/workplace/236366/right-culture-not-employee-satisfaction.aspx" TargetMode="External"/><Relationship Id="rId13" Type="http://schemas.openxmlformats.org/officeDocument/2006/relationships/hyperlink" Target="https://www.shrm.org/hr-today/trends-and-forecasting/special-reports-and-expert-views/Documents/Employee-Engagement-Commitment.pdf" TargetMode="External"/><Relationship Id="rId3" Type="http://schemas.openxmlformats.org/officeDocument/2006/relationships/settings" Target="settings.xml"/><Relationship Id="rId7" Type="http://schemas.openxmlformats.org/officeDocument/2006/relationships/hyperlink" Target="https://www.g2.com/articles/recruitment-statistics" TargetMode="External"/><Relationship Id="rId12" Type="http://schemas.openxmlformats.org/officeDocument/2006/relationships/hyperlink" Target="https://shrm.org/ResourcesAndTools/tools-and-samples/toolkits/Pages/screeningbymeansofpreemploymenttesting.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orbes.com/sites/nazbeheshti/2019/01/16/10-timely-statistics-about-the-connection-between-employee-engagement-and-wellness/?sh=6757021622a0" TargetMode="External"/><Relationship Id="rId11" Type="http://schemas.openxmlformats.org/officeDocument/2006/relationships/hyperlink" Target="https://www.shrm.org/resourcesandtools/hr-topics/talent-acquisition/pages/using-social-media-find-passive-candidates.aspx" TargetMode="External"/><Relationship Id="rId5" Type="http://schemas.openxmlformats.org/officeDocument/2006/relationships/hyperlink" Target="https://www.adp.com/resources/articles-and-insights/articles/h/human-resource-management.aspx" TargetMode="External"/><Relationship Id="rId15" Type="http://schemas.openxmlformats.org/officeDocument/2006/relationships/fontTable" Target="fontTable.xml"/><Relationship Id="rId10" Type="http://schemas.openxmlformats.org/officeDocument/2006/relationships/hyperlink" Target="https://hr.university/shrm/employee-feedback/" TargetMode="External"/><Relationship Id="rId4" Type="http://schemas.openxmlformats.org/officeDocument/2006/relationships/webSettings" Target="webSettings.xml"/><Relationship Id="rId9" Type="http://schemas.openxmlformats.org/officeDocument/2006/relationships/hyperlink" Target="https://hohmannchris.wordpress.com/2014/08/02/aon-hewitts-employee-engagement-model/" TargetMode="External"/><Relationship Id="rId14" Type="http://schemas.openxmlformats.org/officeDocument/2006/relationships/hyperlink" Target="https://www.aihr.com/blog/employee-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03542-BD56-4F79-8C6D-E7CF56430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10</Pages>
  <Words>3274</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Jewel Ahmed (2117693)</dc:creator>
  <cp:keywords/>
  <dc:description/>
  <cp:lastModifiedBy>Md Jewel Ahmed (2117693)</cp:lastModifiedBy>
  <cp:revision>109</cp:revision>
  <dcterms:created xsi:type="dcterms:W3CDTF">2023-02-04T18:43:00Z</dcterms:created>
  <dcterms:modified xsi:type="dcterms:W3CDTF">2023-02-10T23:47:00Z</dcterms:modified>
</cp:coreProperties>
</file>