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CFA8B" w14:textId="6FCBF5A2" w:rsidR="003915A6" w:rsidRPr="00CF6C44" w:rsidRDefault="00BF5E01" w:rsidP="00BC1B95">
      <w:pPr>
        <w:spacing w:line="360" w:lineRule="auto"/>
        <w:jc w:val="center"/>
        <w:rPr>
          <w:rFonts w:ascii="Arial" w:hAnsi="Arial" w:cs="Arial"/>
          <w:sz w:val="28"/>
          <w:szCs w:val="28"/>
        </w:rPr>
      </w:pPr>
      <w:r w:rsidRPr="00CF6C44">
        <w:rPr>
          <w:rFonts w:ascii="Arial" w:hAnsi="Arial" w:cs="Arial"/>
          <w:sz w:val="28"/>
          <w:szCs w:val="28"/>
        </w:rPr>
        <w:t xml:space="preserve">Name: Shazia </w:t>
      </w:r>
      <w:r w:rsidR="00B036FC" w:rsidRPr="00CF6C44">
        <w:rPr>
          <w:rFonts w:ascii="Arial" w:hAnsi="Arial" w:cs="Arial"/>
          <w:sz w:val="28"/>
          <w:szCs w:val="28"/>
        </w:rPr>
        <w:t>Kausar</w:t>
      </w:r>
    </w:p>
    <w:p w14:paraId="23D22DBC" w14:textId="6FD5847F" w:rsidR="00B036FC" w:rsidRPr="00CF6C44" w:rsidRDefault="00B036FC" w:rsidP="00BC1B95">
      <w:pPr>
        <w:spacing w:line="360" w:lineRule="auto"/>
        <w:jc w:val="center"/>
        <w:rPr>
          <w:rFonts w:ascii="Arial" w:hAnsi="Arial" w:cs="Arial"/>
          <w:sz w:val="28"/>
          <w:szCs w:val="28"/>
        </w:rPr>
      </w:pPr>
      <w:r w:rsidRPr="00CF6C44">
        <w:rPr>
          <w:rFonts w:ascii="Arial" w:hAnsi="Arial" w:cs="Arial"/>
          <w:sz w:val="28"/>
          <w:szCs w:val="28"/>
        </w:rPr>
        <w:t>Student Number: 2512942</w:t>
      </w:r>
    </w:p>
    <w:p w14:paraId="7BF7D97F" w14:textId="267C0096" w:rsidR="00C136A5" w:rsidRPr="00CF6C44" w:rsidRDefault="00C136A5" w:rsidP="00BC1B95">
      <w:pPr>
        <w:spacing w:line="360" w:lineRule="auto"/>
        <w:jc w:val="center"/>
        <w:rPr>
          <w:rFonts w:ascii="Arial" w:hAnsi="Arial" w:cs="Arial"/>
          <w:sz w:val="28"/>
          <w:szCs w:val="28"/>
        </w:rPr>
      </w:pPr>
      <w:r w:rsidRPr="00CF6C44">
        <w:rPr>
          <w:rFonts w:ascii="Arial" w:hAnsi="Arial" w:cs="Arial"/>
          <w:sz w:val="28"/>
          <w:szCs w:val="28"/>
        </w:rPr>
        <w:t>Module: Principles of Health and Social Care Practice</w:t>
      </w:r>
    </w:p>
    <w:p w14:paraId="76648DD6" w14:textId="1E345979" w:rsidR="00C136A5" w:rsidRPr="00CF6C44" w:rsidRDefault="009546F6" w:rsidP="00BC1B95">
      <w:pPr>
        <w:spacing w:line="360" w:lineRule="auto"/>
        <w:jc w:val="center"/>
        <w:rPr>
          <w:rFonts w:ascii="Arial" w:hAnsi="Arial" w:cs="Arial"/>
          <w:sz w:val="28"/>
          <w:szCs w:val="28"/>
        </w:rPr>
      </w:pPr>
      <w:r w:rsidRPr="00CF6C44">
        <w:rPr>
          <w:rFonts w:ascii="Arial" w:hAnsi="Arial" w:cs="Arial"/>
          <w:sz w:val="28"/>
          <w:szCs w:val="28"/>
        </w:rPr>
        <w:t>Module Code: BMHP5016</w:t>
      </w:r>
    </w:p>
    <w:p w14:paraId="51F7FAD7" w14:textId="5FB87C3A" w:rsidR="00CF646C" w:rsidRPr="00CF6C44" w:rsidRDefault="00CF646C" w:rsidP="00BC1B95">
      <w:pPr>
        <w:spacing w:line="360" w:lineRule="auto"/>
        <w:jc w:val="center"/>
        <w:rPr>
          <w:rFonts w:ascii="Arial" w:hAnsi="Arial" w:cs="Arial"/>
          <w:sz w:val="28"/>
          <w:szCs w:val="28"/>
        </w:rPr>
      </w:pPr>
      <w:r w:rsidRPr="00CF6C44">
        <w:rPr>
          <w:rFonts w:ascii="Arial" w:hAnsi="Arial" w:cs="Arial"/>
          <w:sz w:val="28"/>
          <w:szCs w:val="28"/>
        </w:rPr>
        <w:t xml:space="preserve">Assignment 1: </w:t>
      </w:r>
      <w:r w:rsidR="002D7D72" w:rsidRPr="00CF6C44">
        <w:rPr>
          <w:rFonts w:ascii="Arial" w:hAnsi="Arial" w:cs="Arial"/>
          <w:sz w:val="28"/>
          <w:szCs w:val="28"/>
        </w:rPr>
        <w:t>Reflective Report</w:t>
      </w:r>
    </w:p>
    <w:p w14:paraId="03FB3949" w14:textId="56F683C9" w:rsidR="002D7D72" w:rsidRPr="00CF6C44" w:rsidRDefault="002D7D72" w:rsidP="00BC1B95">
      <w:pPr>
        <w:spacing w:line="360" w:lineRule="auto"/>
        <w:jc w:val="center"/>
        <w:rPr>
          <w:rFonts w:ascii="Arial" w:hAnsi="Arial" w:cs="Arial"/>
          <w:sz w:val="28"/>
          <w:szCs w:val="28"/>
        </w:rPr>
      </w:pPr>
      <w:r w:rsidRPr="00CF6C44">
        <w:rPr>
          <w:rFonts w:ascii="Arial" w:hAnsi="Arial" w:cs="Arial"/>
          <w:sz w:val="28"/>
          <w:szCs w:val="28"/>
        </w:rPr>
        <w:t>Lecturer: K</w:t>
      </w:r>
      <w:r w:rsidR="00E42DF0" w:rsidRPr="00CF6C44">
        <w:rPr>
          <w:rFonts w:ascii="Arial" w:hAnsi="Arial" w:cs="Arial"/>
          <w:sz w:val="28"/>
          <w:szCs w:val="28"/>
        </w:rPr>
        <w:t>ennedy Obohwemu</w:t>
      </w:r>
    </w:p>
    <w:p w14:paraId="06B5FEB1" w14:textId="77777777" w:rsidR="00B036FC" w:rsidRPr="00CF6C44" w:rsidRDefault="00B036FC" w:rsidP="00BC1B95">
      <w:pPr>
        <w:spacing w:line="360" w:lineRule="auto"/>
        <w:jc w:val="center"/>
        <w:rPr>
          <w:rFonts w:ascii="Arial" w:hAnsi="Arial" w:cs="Arial"/>
          <w:sz w:val="28"/>
          <w:szCs w:val="28"/>
        </w:rPr>
      </w:pPr>
    </w:p>
    <w:p w14:paraId="21B19DDC" w14:textId="77777777" w:rsidR="003915A6" w:rsidRPr="00BC1B95" w:rsidRDefault="003915A6" w:rsidP="00BC1B95">
      <w:pPr>
        <w:spacing w:line="360" w:lineRule="auto"/>
        <w:rPr>
          <w:rFonts w:ascii="Arial" w:hAnsi="Arial" w:cs="Arial"/>
          <w:b/>
          <w:bCs/>
          <w:sz w:val="22"/>
          <w:szCs w:val="22"/>
        </w:rPr>
      </w:pPr>
      <w:r w:rsidRPr="00BC1B95">
        <w:rPr>
          <w:rFonts w:ascii="Arial" w:hAnsi="Arial" w:cs="Arial"/>
          <w:b/>
          <w:bCs/>
          <w:sz w:val="22"/>
          <w:szCs w:val="22"/>
        </w:rPr>
        <w:br w:type="page"/>
      </w:r>
    </w:p>
    <w:sdt>
      <w:sdtPr>
        <w:rPr>
          <w:rFonts w:asciiTheme="minorHAnsi" w:eastAsiaTheme="minorHAnsi" w:hAnsiTheme="minorHAnsi" w:cstheme="minorBidi"/>
          <w:color w:val="auto"/>
          <w:kern w:val="2"/>
          <w:sz w:val="24"/>
          <w:szCs w:val="24"/>
          <w:lang w:val="en-GB"/>
          <w14:ligatures w14:val="standardContextual"/>
        </w:rPr>
        <w:id w:val="-37511513"/>
        <w:docPartObj>
          <w:docPartGallery w:val="Table of Contents"/>
          <w:docPartUnique/>
        </w:docPartObj>
      </w:sdtPr>
      <w:sdtEndPr>
        <w:rPr>
          <w:b/>
          <w:bCs/>
          <w:noProof/>
        </w:rPr>
      </w:sdtEndPr>
      <w:sdtContent>
        <w:p w14:paraId="587A21A8" w14:textId="2A68506F" w:rsidR="00892EA7" w:rsidRPr="00E925F7" w:rsidRDefault="00892EA7">
          <w:pPr>
            <w:pStyle w:val="TOCHeading"/>
            <w:rPr>
              <w:rFonts w:ascii="Arial" w:hAnsi="Arial" w:cs="Arial"/>
              <w:color w:val="auto"/>
            </w:rPr>
          </w:pPr>
          <w:r w:rsidRPr="00E925F7">
            <w:rPr>
              <w:rFonts w:ascii="Arial" w:hAnsi="Arial" w:cs="Arial"/>
              <w:color w:val="auto"/>
            </w:rPr>
            <w:t>Table of Contents</w:t>
          </w:r>
        </w:p>
        <w:p w14:paraId="4D5F9F38" w14:textId="77777777" w:rsidR="00E925F7" w:rsidRPr="00E925F7" w:rsidRDefault="00E925F7" w:rsidP="00E925F7">
          <w:pPr>
            <w:rPr>
              <w:lang w:val="en-US"/>
            </w:rPr>
          </w:pPr>
        </w:p>
        <w:p w14:paraId="0124237F" w14:textId="78F1C3F7" w:rsidR="00E925F7" w:rsidRDefault="00892EA7">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1610473" w:history="1">
            <w:r w:rsidR="00E925F7" w:rsidRPr="002E1B29">
              <w:rPr>
                <w:rStyle w:val="Hyperlink"/>
                <w:rFonts w:ascii="Arial" w:hAnsi="Arial" w:cs="Arial"/>
                <w:noProof/>
              </w:rPr>
              <w:t>Introduction</w:t>
            </w:r>
            <w:r w:rsidR="00E925F7">
              <w:rPr>
                <w:noProof/>
                <w:webHidden/>
              </w:rPr>
              <w:tab/>
            </w:r>
            <w:r w:rsidR="00E925F7">
              <w:rPr>
                <w:noProof/>
                <w:webHidden/>
              </w:rPr>
              <w:fldChar w:fldCharType="begin"/>
            </w:r>
            <w:r w:rsidR="00E925F7">
              <w:rPr>
                <w:noProof/>
                <w:webHidden/>
              </w:rPr>
              <w:instrText xml:space="preserve"> PAGEREF _Toc241610473 \h </w:instrText>
            </w:r>
            <w:r w:rsidR="00E925F7">
              <w:rPr>
                <w:noProof/>
                <w:webHidden/>
              </w:rPr>
            </w:r>
            <w:r w:rsidR="00E925F7">
              <w:rPr>
                <w:noProof/>
                <w:webHidden/>
              </w:rPr>
              <w:fldChar w:fldCharType="separate"/>
            </w:r>
            <w:r w:rsidR="00E925F7">
              <w:rPr>
                <w:noProof/>
                <w:webHidden/>
              </w:rPr>
              <w:t>3</w:t>
            </w:r>
            <w:r w:rsidR="00E925F7">
              <w:rPr>
                <w:noProof/>
                <w:webHidden/>
              </w:rPr>
              <w:fldChar w:fldCharType="end"/>
            </w:r>
          </w:hyperlink>
        </w:p>
        <w:p w14:paraId="62726AD1" w14:textId="569FCB21" w:rsidR="00E925F7" w:rsidRDefault="00E925F7">
          <w:pPr>
            <w:pStyle w:val="TOC3"/>
            <w:tabs>
              <w:tab w:val="right" w:leader="dot" w:pos="9016"/>
            </w:tabs>
            <w:rPr>
              <w:rFonts w:eastAsiaTheme="minorEastAsia"/>
              <w:noProof/>
              <w:lang w:eastAsia="en-GB"/>
            </w:rPr>
          </w:pPr>
          <w:hyperlink w:anchor="_Toc241610474" w:history="1">
            <w:r w:rsidRPr="002E1B29">
              <w:rPr>
                <w:rStyle w:val="Hyperlink"/>
                <w:rFonts w:ascii="Arial" w:hAnsi="Arial" w:cs="Arial"/>
                <w:noProof/>
              </w:rPr>
              <w:t>Reflection on the Importance of Principles</w:t>
            </w:r>
            <w:r>
              <w:rPr>
                <w:noProof/>
                <w:webHidden/>
              </w:rPr>
              <w:tab/>
            </w:r>
            <w:r>
              <w:rPr>
                <w:noProof/>
                <w:webHidden/>
              </w:rPr>
              <w:fldChar w:fldCharType="begin"/>
            </w:r>
            <w:r>
              <w:rPr>
                <w:noProof/>
                <w:webHidden/>
              </w:rPr>
              <w:instrText xml:space="preserve"> PAGEREF _Toc241610474 \h </w:instrText>
            </w:r>
            <w:r>
              <w:rPr>
                <w:noProof/>
                <w:webHidden/>
              </w:rPr>
            </w:r>
            <w:r>
              <w:rPr>
                <w:noProof/>
                <w:webHidden/>
              </w:rPr>
              <w:fldChar w:fldCharType="separate"/>
            </w:r>
            <w:r>
              <w:rPr>
                <w:noProof/>
                <w:webHidden/>
              </w:rPr>
              <w:t>3</w:t>
            </w:r>
            <w:r>
              <w:rPr>
                <w:noProof/>
                <w:webHidden/>
              </w:rPr>
              <w:fldChar w:fldCharType="end"/>
            </w:r>
          </w:hyperlink>
        </w:p>
        <w:p w14:paraId="5A78D028" w14:textId="04E446A9" w:rsidR="00E925F7" w:rsidRDefault="00E925F7">
          <w:pPr>
            <w:pStyle w:val="TOC3"/>
            <w:tabs>
              <w:tab w:val="right" w:leader="dot" w:pos="9016"/>
            </w:tabs>
            <w:rPr>
              <w:rFonts w:eastAsiaTheme="minorEastAsia"/>
              <w:noProof/>
              <w:lang w:eastAsia="en-GB"/>
            </w:rPr>
          </w:pPr>
          <w:hyperlink w:anchor="_Toc241610475" w:history="1">
            <w:r w:rsidRPr="002E1B29">
              <w:rPr>
                <w:rStyle w:val="Hyperlink"/>
                <w:rFonts w:ascii="Arial" w:hAnsi="Arial" w:cs="Arial"/>
                <w:noProof/>
              </w:rPr>
              <w:t>Practical Example in Practice</w:t>
            </w:r>
            <w:r>
              <w:rPr>
                <w:noProof/>
                <w:webHidden/>
              </w:rPr>
              <w:tab/>
            </w:r>
            <w:r>
              <w:rPr>
                <w:noProof/>
                <w:webHidden/>
              </w:rPr>
              <w:fldChar w:fldCharType="begin"/>
            </w:r>
            <w:r>
              <w:rPr>
                <w:noProof/>
                <w:webHidden/>
              </w:rPr>
              <w:instrText xml:space="preserve"> PAGEREF _Toc241610475 \h </w:instrText>
            </w:r>
            <w:r>
              <w:rPr>
                <w:noProof/>
                <w:webHidden/>
              </w:rPr>
            </w:r>
            <w:r>
              <w:rPr>
                <w:noProof/>
                <w:webHidden/>
              </w:rPr>
              <w:fldChar w:fldCharType="separate"/>
            </w:r>
            <w:r>
              <w:rPr>
                <w:noProof/>
                <w:webHidden/>
              </w:rPr>
              <w:t>5</w:t>
            </w:r>
            <w:r>
              <w:rPr>
                <w:noProof/>
                <w:webHidden/>
              </w:rPr>
              <w:fldChar w:fldCharType="end"/>
            </w:r>
          </w:hyperlink>
        </w:p>
        <w:p w14:paraId="67D679FA" w14:textId="336FBBD8" w:rsidR="00E925F7" w:rsidRDefault="00E925F7">
          <w:pPr>
            <w:pStyle w:val="TOC3"/>
            <w:tabs>
              <w:tab w:val="right" w:leader="dot" w:pos="9016"/>
            </w:tabs>
            <w:rPr>
              <w:rFonts w:eastAsiaTheme="minorEastAsia"/>
              <w:noProof/>
              <w:lang w:eastAsia="en-GB"/>
            </w:rPr>
          </w:pPr>
          <w:hyperlink w:anchor="_Toc241610476" w:history="1">
            <w:r w:rsidRPr="002E1B29">
              <w:rPr>
                <w:rStyle w:val="Hyperlink"/>
                <w:rFonts w:ascii="Arial" w:hAnsi="Arial" w:cs="Arial"/>
                <w:noProof/>
              </w:rPr>
              <w:t>Self-Reflection</w:t>
            </w:r>
            <w:r>
              <w:rPr>
                <w:noProof/>
                <w:webHidden/>
              </w:rPr>
              <w:tab/>
            </w:r>
            <w:r>
              <w:rPr>
                <w:noProof/>
                <w:webHidden/>
              </w:rPr>
              <w:fldChar w:fldCharType="begin"/>
            </w:r>
            <w:r>
              <w:rPr>
                <w:noProof/>
                <w:webHidden/>
              </w:rPr>
              <w:instrText xml:space="preserve"> PAGEREF _Toc241610476 \h </w:instrText>
            </w:r>
            <w:r>
              <w:rPr>
                <w:noProof/>
                <w:webHidden/>
              </w:rPr>
            </w:r>
            <w:r>
              <w:rPr>
                <w:noProof/>
                <w:webHidden/>
              </w:rPr>
              <w:fldChar w:fldCharType="separate"/>
            </w:r>
            <w:r>
              <w:rPr>
                <w:noProof/>
                <w:webHidden/>
              </w:rPr>
              <w:t>6</w:t>
            </w:r>
            <w:r>
              <w:rPr>
                <w:noProof/>
                <w:webHidden/>
              </w:rPr>
              <w:fldChar w:fldCharType="end"/>
            </w:r>
          </w:hyperlink>
        </w:p>
        <w:p w14:paraId="2A1257CB" w14:textId="1303F161" w:rsidR="00E925F7" w:rsidRDefault="00E925F7">
          <w:pPr>
            <w:pStyle w:val="TOC3"/>
            <w:tabs>
              <w:tab w:val="right" w:leader="dot" w:pos="9016"/>
            </w:tabs>
            <w:rPr>
              <w:rFonts w:eastAsiaTheme="minorEastAsia"/>
              <w:noProof/>
              <w:lang w:eastAsia="en-GB"/>
            </w:rPr>
          </w:pPr>
          <w:hyperlink w:anchor="_Toc241610477" w:history="1">
            <w:r w:rsidRPr="002E1B2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_Toc241610477 \h </w:instrText>
            </w:r>
            <w:r>
              <w:rPr>
                <w:noProof/>
                <w:webHidden/>
              </w:rPr>
            </w:r>
            <w:r>
              <w:rPr>
                <w:noProof/>
                <w:webHidden/>
              </w:rPr>
              <w:fldChar w:fldCharType="separate"/>
            </w:r>
            <w:r>
              <w:rPr>
                <w:noProof/>
                <w:webHidden/>
              </w:rPr>
              <w:t>8</w:t>
            </w:r>
            <w:r>
              <w:rPr>
                <w:noProof/>
                <w:webHidden/>
              </w:rPr>
              <w:fldChar w:fldCharType="end"/>
            </w:r>
          </w:hyperlink>
        </w:p>
        <w:p w14:paraId="1CBED6C6" w14:textId="2476091A" w:rsidR="00E925F7" w:rsidRDefault="00E925F7">
          <w:pPr>
            <w:pStyle w:val="TOC3"/>
            <w:tabs>
              <w:tab w:val="right" w:leader="dot" w:pos="9016"/>
            </w:tabs>
            <w:rPr>
              <w:rFonts w:eastAsiaTheme="minorEastAsia"/>
              <w:noProof/>
              <w:lang w:eastAsia="en-GB"/>
            </w:rPr>
          </w:pPr>
          <w:hyperlink w:anchor="_Toc241610478" w:history="1">
            <w:r w:rsidRPr="002E1B2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_Toc241610478 \h </w:instrText>
            </w:r>
            <w:r>
              <w:rPr>
                <w:noProof/>
                <w:webHidden/>
              </w:rPr>
            </w:r>
            <w:r>
              <w:rPr>
                <w:noProof/>
                <w:webHidden/>
              </w:rPr>
              <w:fldChar w:fldCharType="separate"/>
            </w:r>
            <w:r>
              <w:rPr>
                <w:noProof/>
                <w:webHidden/>
              </w:rPr>
              <w:t>9</w:t>
            </w:r>
            <w:r>
              <w:rPr>
                <w:noProof/>
                <w:webHidden/>
              </w:rPr>
              <w:fldChar w:fldCharType="end"/>
            </w:r>
          </w:hyperlink>
        </w:p>
        <w:p w14:paraId="606A1D92" w14:textId="60421D1B" w:rsidR="00892EA7" w:rsidRDefault="00892EA7">
          <w:r>
            <w:rPr>
              <w:b/>
              <w:bCs/>
              <w:noProof/>
            </w:rPr>
            <w:fldChar w:fldCharType="end"/>
          </w:r>
        </w:p>
      </w:sdtContent>
    </w:sdt>
    <w:p w14:paraId="48F6EE1C" w14:textId="77777777" w:rsidR="003915A6" w:rsidRPr="00BC1B95" w:rsidRDefault="003915A6" w:rsidP="00BC1B95">
      <w:pPr>
        <w:spacing w:line="360" w:lineRule="auto"/>
        <w:rPr>
          <w:rFonts w:ascii="Arial" w:hAnsi="Arial" w:cs="Arial"/>
          <w:b/>
          <w:bCs/>
          <w:sz w:val="22"/>
          <w:szCs w:val="22"/>
        </w:rPr>
      </w:pPr>
    </w:p>
    <w:p w14:paraId="7B0A7AE6" w14:textId="7E55A798" w:rsidR="00E925F7" w:rsidRPr="00781DB7" w:rsidRDefault="003915A6" w:rsidP="00E6565F">
      <w:pPr>
        <w:spacing w:line="360" w:lineRule="auto"/>
        <w:jc w:val="center"/>
        <w:rPr>
          <w:rFonts w:ascii="Arial" w:hAnsi="Arial" w:cs="Arial"/>
          <w:b/>
          <w:bCs/>
          <w:sz w:val="32"/>
          <w:szCs w:val="32"/>
        </w:rPr>
      </w:pPr>
      <w:r w:rsidRPr="00781DB7">
        <w:rPr>
          <w:rFonts w:ascii="Arial" w:hAnsi="Arial" w:cs="Arial"/>
          <w:b/>
          <w:bCs/>
          <w:sz w:val="32"/>
          <w:szCs w:val="32"/>
        </w:rPr>
        <w:br w:type="page"/>
      </w:r>
      <w:r w:rsidR="009E22F7" w:rsidRPr="00781DB7">
        <w:rPr>
          <w:rFonts w:ascii="Arial" w:hAnsi="Arial" w:cs="Arial"/>
          <w:b/>
          <w:bCs/>
          <w:sz w:val="32"/>
          <w:szCs w:val="32"/>
        </w:rPr>
        <w:lastRenderedPageBreak/>
        <w:t>Principles of Health and Social Care Practice</w:t>
      </w:r>
    </w:p>
    <w:p w14:paraId="0A2D31C2" w14:textId="77777777" w:rsidR="009E22F7" w:rsidRPr="00781DB7" w:rsidRDefault="009E22F7" w:rsidP="00ED770B">
      <w:pPr>
        <w:pStyle w:val="Heading3"/>
        <w:spacing w:line="360" w:lineRule="auto"/>
        <w:rPr>
          <w:rFonts w:ascii="Arial" w:hAnsi="Arial" w:cs="Arial"/>
          <w:color w:val="auto"/>
        </w:rPr>
      </w:pPr>
      <w:bookmarkStart w:id="0" w:name="_Toc241610473"/>
      <w:r w:rsidRPr="00781DB7">
        <w:rPr>
          <w:rFonts w:ascii="Arial" w:hAnsi="Arial" w:cs="Arial"/>
          <w:color w:val="auto"/>
        </w:rPr>
        <w:t>Introduction</w:t>
      </w:r>
      <w:bookmarkEnd w:id="0"/>
    </w:p>
    <w:p w14:paraId="49BF933B" w14:textId="542C0E3A" w:rsidR="0095751E" w:rsidRPr="00ED770B" w:rsidRDefault="0095751E" w:rsidP="00ED770B">
      <w:pPr>
        <w:spacing w:line="360" w:lineRule="auto"/>
        <w:rPr>
          <w:rFonts w:ascii="Arial" w:hAnsi="Arial" w:cs="Arial"/>
          <w:sz w:val="22"/>
          <w:szCs w:val="22"/>
        </w:rPr>
      </w:pPr>
      <w:r w:rsidRPr="00ED770B">
        <w:rPr>
          <w:rFonts w:ascii="Arial" w:hAnsi="Arial" w:cs="Arial"/>
          <w:sz w:val="22"/>
          <w:szCs w:val="22"/>
        </w:rPr>
        <w:t xml:space="preserve">Health and social care practice is based on principles that promote safe, respectful and effective support. Three important principles are person-centred care, partnership working and ethical practice (Skills for Care, 2026; Beauchamp and Childress, 2019). Person-centred care recognises </w:t>
      </w:r>
      <w:r w:rsidR="0040593D" w:rsidRPr="00ED770B">
        <w:rPr>
          <w:rFonts w:ascii="Arial" w:hAnsi="Arial" w:cs="Arial"/>
          <w:sz w:val="22"/>
          <w:szCs w:val="22"/>
        </w:rPr>
        <w:t>everyone</w:t>
      </w:r>
      <w:r w:rsidRPr="00ED770B">
        <w:rPr>
          <w:rFonts w:ascii="Arial" w:hAnsi="Arial" w:cs="Arial"/>
          <w:sz w:val="22"/>
          <w:szCs w:val="22"/>
        </w:rPr>
        <w:t xml:space="preserve"> as unique and involves them in decisions about their care (NICE, 2018). Partnership working brings professionals, individuals and families together to meet care needs (Health and Care Act, 2022), while ethical practice supports respect for rights, dignity, choice and wellbeing (</w:t>
      </w:r>
      <w:r w:rsidR="0081070B" w:rsidRPr="00ED770B">
        <w:rPr>
          <w:rFonts w:ascii="Arial" w:hAnsi="Arial" w:cs="Arial"/>
          <w:sz w:val="22"/>
          <w:szCs w:val="22"/>
        </w:rPr>
        <w:t>GOV.UK</w:t>
      </w:r>
      <w:r w:rsidRPr="00ED770B">
        <w:rPr>
          <w:rFonts w:ascii="Arial" w:hAnsi="Arial" w:cs="Arial"/>
          <w:sz w:val="22"/>
          <w:szCs w:val="22"/>
        </w:rPr>
        <w:t>, 2014).</w:t>
      </w:r>
    </w:p>
    <w:p w14:paraId="5580242F" w14:textId="5BE5DBD7" w:rsidR="0095751E" w:rsidRPr="00ED770B" w:rsidRDefault="0095751E" w:rsidP="00ED770B">
      <w:pPr>
        <w:spacing w:line="360" w:lineRule="auto"/>
        <w:rPr>
          <w:rFonts w:ascii="Arial" w:hAnsi="Arial" w:cs="Arial"/>
          <w:sz w:val="22"/>
          <w:szCs w:val="22"/>
        </w:rPr>
      </w:pPr>
      <w:r w:rsidRPr="00ED770B">
        <w:rPr>
          <w:rFonts w:ascii="Arial" w:hAnsi="Arial" w:cs="Arial"/>
          <w:sz w:val="22"/>
          <w:szCs w:val="22"/>
        </w:rPr>
        <w:t>Alzheimer’s Society (2026) estimates that nearly one million people in the UK are living with dementia, and this number is projected to increase to 1.4 million by 2040. The financial impact is also significant, with the cost of dementia in the UK forecast to increase from £42 billion in 2024 to £90 billion by 2040 (</w:t>
      </w:r>
      <w:r w:rsidR="00493B5E">
        <w:rPr>
          <w:rFonts w:ascii="Arial" w:hAnsi="Arial" w:cs="Arial"/>
          <w:sz w:val="22"/>
          <w:szCs w:val="22"/>
        </w:rPr>
        <w:t xml:space="preserve">GOV.UK, 2014; </w:t>
      </w:r>
      <w:r w:rsidRPr="00ED770B">
        <w:rPr>
          <w:rFonts w:ascii="Arial" w:hAnsi="Arial" w:cs="Arial"/>
          <w:sz w:val="22"/>
          <w:szCs w:val="22"/>
        </w:rPr>
        <w:t>Alzheimer’s Society, 2026). These figures demonstrate the increasing need for health and social care services to provide appropriate, coordinated and person-centred support.</w:t>
      </w:r>
    </w:p>
    <w:p w14:paraId="2FF9128A" w14:textId="77777777" w:rsidR="0095751E" w:rsidRPr="00ED770B" w:rsidRDefault="0095751E" w:rsidP="00ED770B">
      <w:pPr>
        <w:spacing w:line="360" w:lineRule="auto"/>
        <w:rPr>
          <w:rFonts w:ascii="Arial" w:hAnsi="Arial" w:cs="Arial"/>
          <w:sz w:val="22"/>
          <w:szCs w:val="22"/>
        </w:rPr>
      </w:pPr>
      <w:r w:rsidRPr="00ED770B">
        <w:rPr>
          <w:rFonts w:ascii="Arial" w:hAnsi="Arial" w:cs="Arial"/>
          <w:sz w:val="22"/>
          <w:szCs w:val="22"/>
        </w:rPr>
        <w:t>This report examines these principles using relevant theory, legislation, professional guidance and evidence. It applies them to the case of Mrs Smith, an 85-year-old woman with advanced dementia who experiences difficulties with memory, communication and basic self-care. It also reflects on their application to professional practice, including strengths, areas for improvement and future development (Gibbs, 1988; Skills for Care, 2026).</w:t>
      </w:r>
    </w:p>
    <w:p w14:paraId="7023D29B" w14:textId="77777777" w:rsidR="00897619" w:rsidRPr="00ED770B" w:rsidRDefault="00897619" w:rsidP="00ED770B">
      <w:pPr>
        <w:spacing w:line="360" w:lineRule="auto"/>
        <w:rPr>
          <w:rFonts w:ascii="Arial" w:hAnsi="Arial" w:cs="Arial"/>
          <w:sz w:val="22"/>
          <w:szCs w:val="22"/>
        </w:rPr>
      </w:pPr>
    </w:p>
    <w:p w14:paraId="1946DAA4" w14:textId="5AE71AFA" w:rsidR="009E22F7" w:rsidRPr="00781DB7" w:rsidRDefault="009E22F7" w:rsidP="00ED770B">
      <w:pPr>
        <w:pStyle w:val="Heading3"/>
        <w:spacing w:line="360" w:lineRule="auto"/>
        <w:rPr>
          <w:rFonts w:ascii="Arial" w:hAnsi="Arial" w:cs="Arial"/>
          <w:color w:val="auto"/>
        </w:rPr>
      </w:pPr>
      <w:bookmarkStart w:id="1" w:name="_Toc241610474"/>
      <w:r w:rsidRPr="00781DB7">
        <w:rPr>
          <w:rFonts w:ascii="Arial" w:hAnsi="Arial" w:cs="Arial"/>
          <w:color w:val="auto"/>
        </w:rPr>
        <w:t>Reflection on the Importance of Principles</w:t>
      </w:r>
      <w:bookmarkEnd w:id="1"/>
    </w:p>
    <w:p w14:paraId="4E3E735C" w14:textId="6D9C8EC9"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Person-centred care, partnership working and ethical practice are central to high-quality health and social care. These principles help professionals respect individuals, respond to their needs and protect their rights (</w:t>
      </w:r>
      <w:r w:rsidR="006C2A71" w:rsidRPr="00ED770B">
        <w:rPr>
          <w:rFonts w:ascii="Arial" w:hAnsi="Arial" w:cs="Arial"/>
          <w:sz w:val="22"/>
          <w:szCs w:val="22"/>
        </w:rPr>
        <w:t>GOV.UK</w:t>
      </w:r>
      <w:r w:rsidRPr="00ED770B">
        <w:rPr>
          <w:rFonts w:ascii="Arial" w:hAnsi="Arial" w:cs="Arial"/>
          <w:sz w:val="22"/>
          <w:szCs w:val="22"/>
        </w:rPr>
        <w:t>, 2014; NICE, 2018). Effective care involves more than completing practical tasks</w:t>
      </w:r>
      <w:r w:rsidR="00D305A7" w:rsidRPr="00ED770B">
        <w:rPr>
          <w:rFonts w:ascii="Arial" w:hAnsi="Arial" w:cs="Arial"/>
          <w:sz w:val="22"/>
          <w:szCs w:val="22"/>
        </w:rPr>
        <w:t>,</w:t>
      </w:r>
      <w:r w:rsidRPr="00ED770B">
        <w:rPr>
          <w:rFonts w:ascii="Arial" w:hAnsi="Arial" w:cs="Arial"/>
          <w:sz w:val="22"/>
          <w:szCs w:val="22"/>
        </w:rPr>
        <w:t xml:space="preserve"> it requires professionals to consider physical, emotional, social and psychological wellbeing (Maslow, 1943).</w:t>
      </w:r>
    </w:p>
    <w:p w14:paraId="4CDC6996" w14:textId="0F9A5EEC" w:rsidR="009E22F7" w:rsidRPr="00ED770B" w:rsidRDefault="00493B5E" w:rsidP="00ED770B">
      <w:pPr>
        <w:spacing w:line="360" w:lineRule="auto"/>
        <w:rPr>
          <w:rFonts w:ascii="Arial" w:hAnsi="Arial" w:cs="Arial"/>
          <w:sz w:val="22"/>
          <w:szCs w:val="22"/>
        </w:rPr>
      </w:pPr>
      <w:r>
        <w:rPr>
          <w:rFonts w:ascii="Arial" w:hAnsi="Arial" w:cs="Arial"/>
          <w:sz w:val="22"/>
          <w:szCs w:val="22"/>
        </w:rPr>
        <w:t xml:space="preserve">According to </w:t>
      </w:r>
      <w:r w:rsidR="005B4AB5">
        <w:rPr>
          <w:rFonts w:ascii="Arial" w:hAnsi="Arial" w:cs="Arial"/>
          <w:sz w:val="22"/>
          <w:szCs w:val="22"/>
        </w:rPr>
        <w:t xml:space="preserve">Dening and </w:t>
      </w:r>
      <w:r>
        <w:rPr>
          <w:rFonts w:ascii="Arial" w:hAnsi="Arial" w:cs="Arial"/>
          <w:sz w:val="22"/>
          <w:szCs w:val="22"/>
        </w:rPr>
        <w:t>Pepper (2023), p</w:t>
      </w:r>
      <w:r w:rsidR="009E22F7" w:rsidRPr="00ED770B">
        <w:rPr>
          <w:rFonts w:ascii="Arial" w:hAnsi="Arial" w:cs="Arial"/>
          <w:sz w:val="22"/>
          <w:szCs w:val="22"/>
        </w:rPr>
        <w:t>erson-centred care means treating everyone as a unique person rather than focusing only on their illness, disability or care needs. It involves considering preferences, values, beliefs, relationships, experiences and choices when planning and providing care. Maslow (1943)</w:t>
      </w:r>
      <w:r>
        <w:rPr>
          <w:rFonts w:ascii="Arial" w:hAnsi="Arial" w:cs="Arial"/>
          <w:sz w:val="22"/>
          <w:szCs w:val="22"/>
        </w:rPr>
        <w:t xml:space="preserve"> </w:t>
      </w:r>
      <w:r w:rsidR="009E22F7" w:rsidRPr="00ED770B">
        <w:rPr>
          <w:rFonts w:ascii="Arial" w:hAnsi="Arial" w:cs="Arial"/>
          <w:sz w:val="22"/>
          <w:szCs w:val="22"/>
        </w:rPr>
        <w:t xml:space="preserve">hierarchy of needs also supports this approach because it identifies physiological and safety needs alongside belonging, esteem and self-actualisation. Therefore, meeting basic physical needs alone may not provide high-quality </w:t>
      </w:r>
      <w:r w:rsidR="009E22F7" w:rsidRPr="00ED770B">
        <w:rPr>
          <w:rFonts w:ascii="Arial" w:hAnsi="Arial" w:cs="Arial"/>
          <w:sz w:val="22"/>
          <w:szCs w:val="22"/>
        </w:rPr>
        <w:lastRenderedPageBreak/>
        <w:t>care if emotional and social needs are ignored (Maslow, 1943; NICE, 2018). A benefit of person-centred care is that it can promote dignity, independence and wellbeing. However, challenges can occur when an individual’s choices create potential risks. Professionals therefore need to balance independence and choice with their responsibility to provide safe care (Mental Capacity Act, 2005).</w:t>
      </w:r>
    </w:p>
    <w:p w14:paraId="3ECB7F2D" w14:textId="10B4D5C7"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Partnership working involves professionals, services, individuals and, where appropriate, families working together to meet a person’s needs. Health and social care often involve different professionals, such as nurses, social workers, care workers, GPs and occupational therapists (NICE, 2018). Effective partnership working can improve communication, reduce duplication and support coordinated care.</w:t>
      </w:r>
      <w:r w:rsidR="00B43D00" w:rsidRPr="00ED770B">
        <w:rPr>
          <w:rFonts w:ascii="Arial" w:hAnsi="Arial" w:cs="Arial"/>
          <w:sz w:val="22"/>
          <w:szCs w:val="22"/>
        </w:rPr>
        <w:t xml:space="preserve"> </w:t>
      </w:r>
      <w:r w:rsidRPr="00ED770B">
        <w:rPr>
          <w:rFonts w:ascii="Arial" w:hAnsi="Arial" w:cs="Arial"/>
          <w:sz w:val="22"/>
          <w:szCs w:val="22"/>
        </w:rPr>
        <w:t>Health and Care Act (2022)</w:t>
      </w:r>
      <w:r w:rsidR="00251C53">
        <w:rPr>
          <w:rFonts w:ascii="Arial" w:hAnsi="Arial" w:cs="Arial"/>
          <w:sz w:val="22"/>
          <w:szCs w:val="22"/>
        </w:rPr>
        <w:t xml:space="preserve"> </w:t>
      </w:r>
      <w:r w:rsidRPr="00ED770B">
        <w:rPr>
          <w:rFonts w:ascii="Arial" w:hAnsi="Arial" w:cs="Arial"/>
          <w:sz w:val="22"/>
          <w:szCs w:val="22"/>
        </w:rPr>
        <w:t>supports greater integration between health and social care services in England. However, partnership working can be challenging when professionals have different opinions, responsibilities or priorities. Effective communication and information sharing are therefore essential to ensure that the individual remains at the centre of decisions (Skills for Care, 2026).</w:t>
      </w:r>
    </w:p>
    <w:p w14:paraId="1FDAB977" w14:textId="6B442D7A"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Ethical practice involves making decisions that respect people's rights, dignity and wellbeing (Beauchamp and Childress, 2019). The principles of autonomy, beneficence, non-maleficence and justice can support professionals when dealing with difficult decisions. The Mental Capacity Act (2005)</w:t>
      </w:r>
      <w:r w:rsidR="00CB2ED3" w:rsidRPr="00ED770B">
        <w:rPr>
          <w:rFonts w:ascii="Arial" w:hAnsi="Arial" w:cs="Arial"/>
          <w:sz w:val="22"/>
          <w:szCs w:val="22"/>
        </w:rPr>
        <w:t xml:space="preserve"> </w:t>
      </w:r>
      <w:r w:rsidRPr="00ED770B">
        <w:rPr>
          <w:rFonts w:ascii="Arial" w:hAnsi="Arial" w:cs="Arial"/>
          <w:sz w:val="22"/>
          <w:szCs w:val="22"/>
        </w:rPr>
        <w:t xml:space="preserve">is particularly relevant when supporting adults who may have difficulty making decisions. It requires individuals to be presumed to have capacity and supported to make their own decisions wherever possible. Where a person lacks capacity for a specific decision, professionals must act in their best interests and consider the least restrictive option </w:t>
      </w:r>
      <w:r w:rsidR="00DA44F7" w:rsidRPr="00ED770B">
        <w:rPr>
          <w:rFonts w:ascii="Arial" w:hAnsi="Arial" w:cs="Arial"/>
          <w:sz w:val="22"/>
          <w:szCs w:val="22"/>
        </w:rPr>
        <w:t>(Department for Constitutional Affairs, 2007)</w:t>
      </w:r>
      <w:r w:rsidRPr="00ED770B">
        <w:rPr>
          <w:rFonts w:ascii="Arial" w:hAnsi="Arial" w:cs="Arial"/>
          <w:sz w:val="22"/>
          <w:szCs w:val="22"/>
        </w:rPr>
        <w:t>. This demonstrates the importance of balancing individual choice with protection from harm.</w:t>
      </w:r>
    </w:p>
    <w:p w14:paraId="2509D516" w14:textId="3C860E6B"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 xml:space="preserve">The </w:t>
      </w:r>
      <w:r w:rsidR="006C2A71" w:rsidRPr="00ED770B">
        <w:rPr>
          <w:rFonts w:ascii="Arial" w:hAnsi="Arial" w:cs="Arial"/>
          <w:sz w:val="22"/>
          <w:szCs w:val="22"/>
        </w:rPr>
        <w:t>GOV.UK</w:t>
      </w:r>
      <w:r w:rsidRPr="00ED770B">
        <w:rPr>
          <w:rFonts w:ascii="Arial" w:hAnsi="Arial" w:cs="Arial"/>
          <w:sz w:val="22"/>
          <w:szCs w:val="22"/>
        </w:rPr>
        <w:t xml:space="preserve"> 2014 also places wellbeing at the centre of adult social care, including dignity, physical and mental wellbeing, relationships and control over day-to-day life (</w:t>
      </w:r>
      <w:r w:rsidR="006C2A71" w:rsidRPr="00ED770B">
        <w:rPr>
          <w:rFonts w:ascii="Arial" w:hAnsi="Arial" w:cs="Arial"/>
          <w:sz w:val="22"/>
          <w:szCs w:val="22"/>
        </w:rPr>
        <w:t>GOV.UK</w:t>
      </w:r>
      <w:r w:rsidRPr="00ED770B">
        <w:rPr>
          <w:rFonts w:ascii="Arial" w:hAnsi="Arial" w:cs="Arial"/>
          <w:sz w:val="22"/>
          <w:szCs w:val="22"/>
        </w:rPr>
        <w:t>, 2014). These principles are connected; person-centred care keeps the individual at the centre, partnership working brings together appropriate knowledge and skills, and ethical practice supports responsible decision-making (Health and Care Act, 2022). Professionals must continually reflect on their practice and use evidence, legislation and professional guidance to improve the quality and safety of care (Department of Health and Social Care, 2025).</w:t>
      </w:r>
    </w:p>
    <w:p w14:paraId="05407214" w14:textId="7334500D"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These principles are most effective when applied together rather than separately</w:t>
      </w:r>
      <w:r w:rsidR="00EF3E50" w:rsidRPr="00ED770B">
        <w:rPr>
          <w:rFonts w:ascii="Arial" w:hAnsi="Arial" w:cs="Arial"/>
          <w:sz w:val="22"/>
          <w:szCs w:val="22"/>
        </w:rPr>
        <w:t xml:space="preserve"> </w:t>
      </w:r>
      <w:r w:rsidR="005B4AB5">
        <w:rPr>
          <w:rFonts w:ascii="Arial" w:hAnsi="Arial" w:cs="Arial"/>
          <w:sz w:val="22"/>
          <w:szCs w:val="22"/>
        </w:rPr>
        <w:t xml:space="preserve">(Dening and </w:t>
      </w:r>
      <w:r w:rsidR="00EF3E50" w:rsidRPr="00ED770B">
        <w:rPr>
          <w:rFonts w:ascii="Arial" w:hAnsi="Arial" w:cs="Arial"/>
          <w:sz w:val="22"/>
          <w:szCs w:val="22"/>
        </w:rPr>
        <w:t>Pepper, 2023)</w:t>
      </w:r>
      <w:r w:rsidRPr="00ED770B">
        <w:rPr>
          <w:rFonts w:ascii="Arial" w:hAnsi="Arial" w:cs="Arial"/>
          <w:sz w:val="22"/>
          <w:szCs w:val="22"/>
        </w:rPr>
        <w:t xml:space="preserve">. For example, a person-centred approach may identify an individual’s preferences, while partnership working ensures that relevant professionals communicate </w:t>
      </w:r>
      <w:r w:rsidRPr="00ED770B">
        <w:rPr>
          <w:rFonts w:ascii="Arial" w:hAnsi="Arial" w:cs="Arial"/>
          <w:sz w:val="22"/>
          <w:szCs w:val="22"/>
        </w:rPr>
        <w:lastRenderedPageBreak/>
        <w:t xml:space="preserve">these preferences, and ethical practice ensures that decisions respect the person’s rights (NICE, 2018). </w:t>
      </w:r>
    </w:p>
    <w:p w14:paraId="14652EE1" w14:textId="1B889E9C" w:rsidR="009E22F7" w:rsidRPr="00781DB7" w:rsidRDefault="009E22F7" w:rsidP="00ED770B">
      <w:pPr>
        <w:pStyle w:val="Heading3"/>
        <w:spacing w:line="360" w:lineRule="auto"/>
        <w:rPr>
          <w:rFonts w:ascii="Arial" w:hAnsi="Arial" w:cs="Arial"/>
          <w:color w:val="auto"/>
        </w:rPr>
      </w:pPr>
      <w:bookmarkStart w:id="2" w:name="_Toc241610475"/>
      <w:r w:rsidRPr="00781DB7">
        <w:rPr>
          <w:rFonts w:ascii="Arial" w:hAnsi="Arial" w:cs="Arial"/>
          <w:color w:val="auto"/>
        </w:rPr>
        <w:t>Practical Example in Practice</w:t>
      </w:r>
      <w:bookmarkEnd w:id="2"/>
    </w:p>
    <w:p w14:paraId="08C41767" w14:textId="0B13F701"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The case study of Mrs Smith, an 85-year-old woman with advanced dementia who experiences difficulties with memory, communication and basic self-care, demonstrates how person-centred care, partnership working and ethical practice can be applied in a health and social care setting (NICE, 2018). These principles can help protect Mrs Smith’s dignity, promote her wellbeing and ensure that her individual needs remain central to the care provided (</w:t>
      </w:r>
      <w:r w:rsidR="00E76401" w:rsidRPr="00ED770B">
        <w:rPr>
          <w:rFonts w:ascii="Arial" w:hAnsi="Arial" w:cs="Arial"/>
          <w:sz w:val="22"/>
          <w:szCs w:val="22"/>
        </w:rPr>
        <w:t>GOV.UK</w:t>
      </w:r>
      <w:r w:rsidRPr="00ED770B">
        <w:rPr>
          <w:rFonts w:ascii="Arial" w:hAnsi="Arial" w:cs="Arial"/>
          <w:sz w:val="22"/>
          <w:szCs w:val="22"/>
        </w:rPr>
        <w:t>, 2014).</w:t>
      </w:r>
    </w:p>
    <w:p w14:paraId="65C27D98" w14:textId="38EFE541"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Person-centred care could be demonstrated by finding out about Mrs Smith’s life history, preferences, routines, relationships and interests (Riachi, 201</w:t>
      </w:r>
      <w:r w:rsidR="005B645B" w:rsidRPr="00ED770B">
        <w:rPr>
          <w:rFonts w:ascii="Arial" w:hAnsi="Arial" w:cs="Arial"/>
          <w:sz w:val="22"/>
          <w:szCs w:val="22"/>
        </w:rPr>
        <w:t>7</w:t>
      </w:r>
      <w:r w:rsidRPr="00ED770B">
        <w:rPr>
          <w:rFonts w:ascii="Arial" w:hAnsi="Arial" w:cs="Arial"/>
          <w:sz w:val="22"/>
          <w:szCs w:val="22"/>
        </w:rPr>
        <w:t xml:space="preserve">). Staff could use this information when planning her daily care, including her preferred food, activities and personal care routines. </w:t>
      </w:r>
      <w:r w:rsidR="005B4AB5">
        <w:rPr>
          <w:rFonts w:ascii="Arial" w:hAnsi="Arial" w:cs="Arial"/>
          <w:sz w:val="22"/>
          <w:szCs w:val="22"/>
        </w:rPr>
        <w:t>Dening and</w:t>
      </w:r>
      <w:r w:rsidR="004D603E" w:rsidRPr="00ED770B">
        <w:rPr>
          <w:rFonts w:ascii="Arial" w:hAnsi="Arial" w:cs="Arial"/>
          <w:sz w:val="22"/>
          <w:szCs w:val="22"/>
        </w:rPr>
        <w:t xml:space="preserve"> Pepper (2023)</w:t>
      </w:r>
      <w:r w:rsidRPr="00ED770B">
        <w:rPr>
          <w:rFonts w:ascii="Arial" w:hAnsi="Arial" w:cs="Arial"/>
          <w:sz w:val="22"/>
          <w:szCs w:val="22"/>
        </w:rPr>
        <w:t xml:space="preserve"> recommend involving people living with dementia in decisions about their care and adapting communication when necessary. The C</w:t>
      </w:r>
      <w:r w:rsidR="0018768B" w:rsidRPr="00ED770B">
        <w:rPr>
          <w:rFonts w:ascii="Arial" w:hAnsi="Arial" w:cs="Arial"/>
          <w:sz w:val="22"/>
          <w:szCs w:val="22"/>
        </w:rPr>
        <w:t xml:space="preserve">are Quality </w:t>
      </w:r>
      <w:r w:rsidR="008A14E5" w:rsidRPr="00ED770B">
        <w:rPr>
          <w:rFonts w:ascii="Arial" w:hAnsi="Arial" w:cs="Arial"/>
          <w:sz w:val="22"/>
          <w:szCs w:val="22"/>
        </w:rPr>
        <w:t>C</w:t>
      </w:r>
      <w:r w:rsidR="0018768B" w:rsidRPr="00ED770B">
        <w:rPr>
          <w:rFonts w:ascii="Arial" w:hAnsi="Arial" w:cs="Arial"/>
          <w:sz w:val="22"/>
          <w:szCs w:val="22"/>
        </w:rPr>
        <w:t>ommission</w:t>
      </w:r>
      <w:r w:rsidRPr="00ED770B">
        <w:rPr>
          <w:rFonts w:ascii="Arial" w:hAnsi="Arial" w:cs="Arial"/>
          <w:sz w:val="22"/>
          <w:szCs w:val="22"/>
        </w:rPr>
        <w:t xml:space="preserve"> (202</w:t>
      </w:r>
      <w:r w:rsidR="008A14E5" w:rsidRPr="00ED770B">
        <w:rPr>
          <w:rFonts w:ascii="Arial" w:hAnsi="Arial" w:cs="Arial"/>
          <w:sz w:val="22"/>
          <w:szCs w:val="22"/>
        </w:rPr>
        <w:t>4</w:t>
      </w:r>
      <w:r w:rsidRPr="00ED770B">
        <w:rPr>
          <w:rFonts w:ascii="Arial" w:hAnsi="Arial" w:cs="Arial"/>
          <w:sz w:val="22"/>
          <w:szCs w:val="22"/>
        </w:rPr>
        <w:t>) also states that care should be tailored to an individual’s needs and preferences and that people should be treated with dignity and respect. This could help Mrs Smith feel respected and maintain as much independence as possible.</w:t>
      </w:r>
    </w:p>
    <w:p w14:paraId="71590C61" w14:textId="7C133757"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 xml:space="preserve">Staff could use simple language, maintain eye contact, allow additional time for responses and observe non-verbal communication. NICE (2018) recommends using additional or modified communication methods where required and considering individual circumstances. Research by Alsawy et al. (2017) also identifies communication difficulties as an important issue for people living with dementia. A challenge may arise if Mrs Smith refuses support or becomes distressed. Staff should consider whether she has capacity for the specific decision and explore the reasons for her response (Mental Capacity Act, 2005; </w:t>
      </w:r>
      <w:r w:rsidR="00A520FC" w:rsidRPr="00ED770B">
        <w:rPr>
          <w:rFonts w:ascii="Arial" w:hAnsi="Arial" w:cs="Arial"/>
          <w:sz w:val="22"/>
          <w:szCs w:val="22"/>
        </w:rPr>
        <w:t>Department for Constitutional Affairs</w:t>
      </w:r>
      <w:r w:rsidRPr="00ED770B">
        <w:rPr>
          <w:rFonts w:ascii="Arial" w:hAnsi="Arial" w:cs="Arial"/>
          <w:sz w:val="22"/>
          <w:szCs w:val="22"/>
        </w:rPr>
        <w:t>, 2007).</w:t>
      </w:r>
    </w:p>
    <w:p w14:paraId="003CCF1E" w14:textId="1E6AE5FB"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Partnership working would involve Mrs Smith, care workers, nurses, GPs, social workers, occupational therapists and, where appropriate, family members or carers (NICE, 2018).  The Health and Care Act (2022)</w:t>
      </w:r>
      <w:r w:rsidR="005E77CE">
        <w:rPr>
          <w:rFonts w:ascii="Arial" w:hAnsi="Arial" w:cs="Arial"/>
          <w:sz w:val="22"/>
          <w:szCs w:val="22"/>
        </w:rPr>
        <w:t xml:space="preserve"> also</w:t>
      </w:r>
      <w:r w:rsidRPr="00ED770B">
        <w:rPr>
          <w:rFonts w:ascii="Arial" w:hAnsi="Arial" w:cs="Arial"/>
          <w:sz w:val="22"/>
          <w:szCs w:val="22"/>
        </w:rPr>
        <w:t xml:space="preserve"> supports greater integration between health and social care services in England. Effective information sharing could help professionals identify changes in Mrs Smith’s health, behaviour or care needs and respond consistently (Skills for Care, 2026).</w:t>
      </w:r>
    </w:p>
    <w:p w14:paraId="37E25856" w14:textId="77777777"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 xml:space="preserve">However, partnership working can be challenging when professionals or family members have different views about Mrs Smith’s care. This can be addressed through clear </w:t>
      </w:r>
      <w:r w:rsidRPr="00ED770B">
        <w:rPr>
          <w:rFonts w:ascii="Arial" w:hAnsi="Arial" w:cs="Arial"/>
          <w:sz w:val="22"/>
          <w:szCs w:val="22"/>
        </w:rPr>
        <w:lastRenderedPageBreak/>
        <w:t>communication, accurate record keeping, appropriate information sharing and keeping Mrs Smith’s needs and rights at the centre of discussions (Health and Care Act, 2022).</w:t>
      </w:r>
    </w:p>
    <w:p w14:paraId="0163BC0E" w14:textId="7D9578D1"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 xml:space="preserve">Ethical practice is particularly important because Mrs Smith may have difficulty making some decisions. The Mental Capacity Act (2005) requires capacity to be considered for a specific decision and individuals to be supported to make their own decisions wherever possible. If Mrs Smith lacks capacity for a particular decision, professionals must act in her best interests and consider the least restrictive option </w:t>
      </w:r>
      <w:r w:rsidR="00DA44F7" w:rsidRPr="00ED770B">
        <w:rPr>
          <w:rFonts w:ascii="Arial" w:hAnsi="Arial" w:cs="Arial"/>
          <w:sz w:val="22"/>
          <w:szCs w:val="22"/>
        </w:rPr>
        <w:t>(Department for Constitutional Affairs, 2007)</w:t>
      </w:r>
      <w:r w:rsidRPr="00ED770B">
        <w:rPr>
          <w:rFonts w:ascii="Arial" w:hAnsi="Arial" w:cs="Arial"/>
          <w:sz w:val="22"/>
          <w:szCs w:val="22"/>
        </w:rPr>
        <w:t>. This helps balance autonomy, safety and wellbeing rather than removing Mrs Smith’s choices because of her diagnosis (Beauchamp and Childress, 2019).</w:t>
      </w:r>
    </w:p>
    <w:p w14:paraId="6A321AA8" w14:textId="7B8F8666"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There may be challenges when applying these principles in practice. Mrs Smith may become distressed, refuse care or find it difficult to communicate her wishes because of her dementia (Riachi, 201</w:t>
      </w:r>
      <w:r w:rsidR="005B645B" w:rsidRPr="00ED770B">
        <w:rPr>
          <w:rFonts w:ascii="Arial" w:hAnsi="Arial" w:cs="Arial"/>
          <w:sz w:val="22"/>
          <w:szCs w:val="22"/>
        </w:rPr>
        <w:t>7</w:t>
      </w:r>
      <w:r w:rsidRPr="00ED770B">
        <w:rPr>
          <w:rFonts w:ascii="Arial" w:hAnsi="Arial" w:cs="Arial"/>
          <w:sz w:val="22"/>
          <w:szCs w:val="22"/>
        </w:rPr>
        <w:t>). Professionals can overcome this by using person-centred communication, allowing additional time, identifying possible causes of distress and assessing capacity for the specific decision (NICE, 2018; Alsawy et al., 2017). Partnership working may also be affected by disagreements between professionals or family members. This can be managed through respectful communication, sharing relevant information, discussing different views and following agreed care plans and professional guidance (Department of Health and Social Care, 2025).</w:t>
      </w:r>
    </w:p>
    <w:p w14:paraId="1F359A5E" w14:textId="42105FB3" w:rsidR="009E22F7" w:rsidRPr="00CF6C44" w:rsidRDefault="009E22F7" w:rsidP="00ED770B">
      <w:pPr>
        <w:pStyle w:val="Heading3"/>
        <w:spacing w:line="360" w:lineRule="auto"/>
        <w:rPr>
          <w:rFonts w:ascii="Arial" w:hAnsi="Arial" w:cs="Arial"/>
          <w:color w:val="auto"/>
        </w:rPr>
      </w:pPr>
      <w:bookmarkStart w:id="3" w:name="_Toc241610476"/>
      <w:r w:rsidRPr="00CF6C44">
        <w:rPr>
          <w:rFonts w:ascii="Arial" w:hAnsi="Arial" w:cs="Arial"/>
          <w:color w:val="auto"/>
        </w:rPr>
        <w:t>Self-Reflection</w:t>
      </w:r>
      <w:bookmarkEnd w:id="3"/>
    </w:p>
    <w:p w14:paraId="1AB698E9" w14:textId="1869B32C" w:rsidR="00E9201C" w:rsidRPr="00ED770B" w:rsidRDefault="009F4EC5" w:rsidP="00ED770B">
      <w:pPr>
        <w:spacing w:line="360" w:lineRule="auto"/>
        <w:rPr>
          <w:rFonts w:ascii="Arial" w:hAnsi="Arial" w:cs="Arial"/>
          <w:sz w:val="22"/>
          <w:szCs w:val="22"/>
        </w:rPr>
      </w:pPr>
      <w:r>
        <w:rPr>
          <w:noProof/>
        </w:rPr>
        <mc:AlternateContent>
          <mc:Choice Requires="wps">
            <w:drawing>
              <wp:anchor distT="0" distB="0" distL="114300" distR="114300" simplePos="0" relativeHeight="251660288" behindDoc="1" locked="0" layoutInCell="1" allowOverlap="1" wp14:anchorId="5A0260DB" wp14:editId="2A0B5B74">
                <wp:simplePos x="0" y="0"/>
                <wp:positionH relativeFrom="margin">
                  <wp:align>right</wp:align>
                </wp:positionH>
                <wp:positionV relativeFrom="paragraph">
                  <wp:posOffset>2185471</wp:posOffset>
                </wp:positionV>
                <wp:extent cx="2139950" cy="635"/>
                <wp:effectExtent l="0" t="0" r="0" b="0"/>
                <wp:wrapTight wrapText="bothSides">
                  <wp:wrapPolygon edited="0">
                    <wp:start x="0" y="0"/>
                    <wp:lineTo x="0" y="20282"/>
                    <wp:lineTo x="21344" y="20282"/>
                    <wp:lineTo x="21344" y="0"/>
                    <wp:lineTo x="0" y="0"/>
                  </wp:wrapPolygon>
                </wp:wrapTight>
                <wp:docPr id="163582558" name="Text Box 1"/>
                <wp:cNvGraphicFramePr/>
                <a:graphic xmlns:a="http://schemas.openxmlformats.org/drawingml/2006/main">
                  <a:graphicData uri="http://schemas.microsoft.com/office/word/2010/wordprocessingShape">
                    <wps:wsp>
                      <wps:cNvSpPr txBox="1"/>
                      <wps:spPr>
                        <a:xfrm>
                          <a:off x="0" y="0"/>
                          <a:ext cx="2139950" cy="635"/>
                        </a:xfrm>
                        <a:prstGeom prst="rect">
                          <a:avLst/>
                        </a:prstGeom>
                        <a:solidFill>
                          <a:prstClr val="white"/>
                        </a:solidFill>
                        <a:ln>
                          <a:noFill/>
                        </a:ln>
                      </wps:spPr>
                      <wps:txbx>
                        <w:txbxContent>
                          <w:p w14:paraId="0D99A3CF" w14:textId="5FC69291" w:rsidR="00EC5E6D" w:rsidRPr="00AA57B8" w:rsidRDefault="00EC5E6D" w:rsidP="00AA57B8">
                            <w:pPr>
                              <w:pStyle w:val="Caption"/>
                              <w:jc w:val="center"/>
                              <w:rPr>
                                <w:rFonts w:ascii="Arial" w:hAnsi="Arial" w:cs="Arial"/>
                                <w:i w:val="0"/>
                                <w:iCs w:val="0"/>
                                <w:sz w:val="22"/>
                                <w:szCs w:val="22"/>
                              </w:rPr>
                            </w:pPr>
                            <w:r w:rsidRPr="00AA57B8">
                              <w:rPr>
                                <w:i w:val="0"/>
                                <w:iCs w:val="0"/>
                              </w:rPr>
                              <w:t xml:space="preserve">Gibbs' Reflective Cycle </w:t>
                            </w:r>
                            <w:r w:rsidR="0076399E">
                              <w:rPr>
                                <w:i w:val="0"/>
                                <w:iCs w:val="0"/>
                              </w:rPr>
                              <w:t xml:space="preserve">                                     </w:t>
                            </w:r>
                            <w:proofErr w:type="gramStart"/>
                            <w:r w:rsidR="0076399E">
                              <w:rPr>
                                <w:i w:val="0"/>
                                <w:iCs w:val="0"/>
                              </w:rPr>
                              <w:t xml:space="preserve">   </w:t>
                            </w:r>
                            <w:r w:rsidRPr="00AA57B8">
                              <w:rPr>
                                <w:i w:val="0"/>
                                <w:iCs w:val="0"/>
                              </w:rPr>
                              <w:t>(</w:t>
                            </w:r>
                            <w:proofErr w:type="gramEnd"/>
                            <w:r w:rsidR="0076399E">
                              <w:rPr>
                                <w:i w:val="0"/>
                                <w:iCs w:val="0"/>
                              </w:rPr>
                              <w:t xml:space="preserve">The </w:t>
                            </w:r>
                            <w:r w:rsidR="004C55A3" w:rsidRPr="00AA57B8">
                              <w:rPr>
                                <w:i w:val="0"/>
                                <w:iCs w:val="0"/>
                              </w:rPr>
                              <w:t xml:space="preserve">University of </w:t>
                            </w:r>
                            <w:r w:rsidR="00AA57B8" w:rsidRPr="00AA57B8">
                              <w:rPr>
                                <w:i w:val="0"/>
                                <w:iCs w:val="0"/>
                              </w:rPr>
                              <w:t>Edinburgh,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0260DB" id="_x0000_t202" coordsize="21600,21600" o:spt="202" path="m,l,21600r21600,l21600,xe">
                <v:stroke joinstyle="miter"/>
                <v:path gradientshapeok="t" o:connecttype="rect"/>
              </v:shapetype>
              <v:shape id="Text Box 1" o:spid="_x0000_s1026" type="#_x0000_t202" style="position:absolute;margin-left:117.3pt;margin-top:172.1pt;width:168.5pt;height:.05pt;z-index:-2516561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7apFQIAADgEAAAOAAAAZHJzL2Uyb0RvYy54bWysU8Fu2zAMvQ/YPwi6L05StFiNOEWWIsOA&#10;oC2QDj0rshQbkEWNUmJ3Xz9KtpOu22nYRaZF6lF872lx1zWGnRT6GmzBZ5MpZ8pKKGt7KPj3582n&#10;z5z5IGwpDFhV8Ffl+d3y44dF63I1hwpMqZARiPV56wpeheDyLPOyUo3wE3DKUlIDNiLQLx6yEkVL&#10;6I3J5tPpTdYClg5BKu9p975P8mXC11rJ8Ki1V4GZgtPdQloxrfu4ZsuFyA8oXFXL4RriH27RiNpS&#10;0zPUvQiCHbH+A6qpJYIHHSYSmgy0rqVKM9A0s+m7aXaVcCrNQuR4d6bJ/z9Y+XDauSdkofsCHQkY&#10;CWmdzz1txnk6jU380k0Z5YnC1zNtqgtM0uZ8dnV7e00pSbmbq+u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N4t6194AAAAIAQAADwAAAGRycy9kb3ducmV2LnhtbEyPwU7DMBBE70j8g7VIXBB1&#10;qKNShThVVcEBLlVDL725sRsH4nVkO234exYucNyZ0eybcjW5np1NiJ1HCQ+zDJjBxusOWwn795f7&#10;JbCYFGrVezQSvkyEVXV9VapC+wvuzLlOLaMSjIWSYFMaCs5jY41TceYHg+SdfHAq0RlaroO6ULnr&#10;+TzLFtypDumDVYPZWNN81qOTsM0PW3s3np7f1rkIr/txs/hoaylvb6b1E7BkpvQXhh98QoeKmI5+&#10;RB1ZL4GGJAkiz+fAyBbikZTjryKAVyX/P6D6BgAA//8DAFBLAQItABQABgAIAAAAIQC2gziS/gAA&#10;AOEBAAATAAAAAAAAAAAAAAAAAAAAAABbQ29udGVudF9UeXBlc10ueG1sUEsBAi0AFAAGAAgAAAAh&#10;ADj9If/WAAAAlAEAAAsAAAAAAAAAAAAAAAAALwEAAF9yZWxzLy5yZWxzUEsBAi0AFAAGAAgAAAAh&#10;ALrjtqkVAgAAOAQAAA4AAAAAAAAAAAAAAAAALgIAAGRycy9lMm9Eb2MueG1sUEsBAi0AFAAGAAgA&#10;AAAhADeLetfeAAAACAEAAA8AAAAAAAAAAAAAAAAAbwQAAGRycy9kb3ducmV2LnhtbFBLBQYAAAAA&#10;BAAEAPMAAAB6BQAAAAA=&#10;" stroked="f">
                <v:textbox style="mso-fit-shape-to-text:t" inset="0,0,0,0">
                  <w:txbxContent>
                    <w:p w14:paraId="0D99A3CF" w14:textId="5FC69291" w:rsidR="00EC5E6D" w:rsidRPr="00AA57B8" w:rsidRDefault="00EC5E6D" w:rsidP="00AA57B8">
                      <w:pPr>
                        <w:pStyle w:val="Caption"/>
                        <w:jc w:val="center"/>
                        <w:rPr>
                          <w:rFonts w:ascii="Arial" w:hAnsi="Arial" w:cs="Arial"/>
                          <w:i w:val="0"/>
                          <w:iCs w:val="0"/>
                          <w:sz w:val="22"/>
                          <w:szCs w:val="22"/>
                        </w:rPr>
                      </w:pPr>
                      <w:r w:rsidRPr="00AA57B8">
                        <w:rPr>
                          <w:i w:val="0"/>
                          <w:iCs w:val="0"/>
                        </w:rPr>
                        <w:t xml:space="preserve">Gibbs' Reflective Cycle </w:t>
                      </w:r>
                      <w:r w:rsidR="0076399E">
                        <w:rPr>
                          <w:i w:val="0"/>
                          <w:iCs w:val="0"/>
                        </w:rPr>
                        <w:t xml:space="preserve">                                     </w:t>
                      </w:r>
                      <w:proofErr w:type="gramStart"/>
                      <w:r w:rsidR="0076399E">
                        <w:rPr>
                          <w:i w:val="0"/>
                          <w:iCs w:val="0"/>
                        </w:rPr>
                        <w:t xml:space="preserve">   </w:t>
                      </w:r>
                      <w:r w:rsidRPr="00AA57B8">
                        <w:rPr>
                          <w:i w:val="0"/>
                          <w:iCs w:val="0"/>
                        </w:rPr>
                        <w:t>(</w:t>
                      </w:r>
                      <w:proofErr w:type="gramEnd"/>
                      <w:r w:rsidR="0076399E">
                        <w:rPr>
                          <w:i w:val="0"/>
                          <w:iCs w:val="0"/>
                        </w:rPr>
                        <w:t xml:space="preserve">The </w:t>
                      </w:r>
                      <w:r w:rsidR="004C55A3" w:rsidRPr="00AA57B8">
                        <w:rPr>
                          <w:i w:val="0"/>
                          <w:iCs w:val="0"/>
                        </w:rPr>
                        <w:t xml:space="preserve">University of </w:t>
                      </w:r>
                      <w:r w:rsidR="00AA57B8" w:rsidRPr="00AA57B8">
                        <w:rPr>
                          <w:i w:val="0"/>
                          <w:iCs w:val="0"/>
                        </w:rPr>
                        <w:t>Edinburgh, 2024)</w:t>
                      </w:r>
                    </w:p>
                  </w:txbxContent>
                </v:textbox>
                <w10:wrap type="tight" anchorx="margin"/>
              </v:shape>
            </w:pict>
          </mc:Fallback>
        </mc:AlternateContent>
      </w:r>
      <w:r w:rsidRPr="00E9201C">
        <w:rPr>
          <w:rFonts w:ascii="Arial" w:hAnsi="Arial" w:cs="Arial"/>
          <w:sz w:val="22"/>
          <w:szCs w:val="22"/>
        </w:rPr>
        <w:drawing>
          <wp:anchor distT="0" distB="0" distL="114300" distR="114300" simplePos="0" relativeHeight="251661312" behindDoc="1" locked="0" layoutInCell="1" allowOverlap="1" wp14:anchorId="0A22FEBC" wp14:editId="29E91E91">
            <wp:simplePos x="0" y="0"/>
            <wp:positionH relativeFrom="margin">
              <wp:align>right</wp:align>
            </wp:positionH>
            <wp:positionV relativeFrom="paragraph">
              <wp:posOffset>4505</wp:posOffset>
            </wp:positionV>
            <wp:extent cx="2139315" cy="2179320"/>
            <wp:effectExtent l="0" t="0" r="0" b="0"/>
            <wp:wrapTight wrapText="bothSides">
              <wp:wrapPolygon edited="0">
                <wp:start x="0" y="0"/>
                <wp:lineTo x="0" y="21336"/>
                <wp:lineTo x="21350" y="21336"/>
                <wp:lineTo x="21350" y="0"/>
                <wp:lineTo x="0" y="0"/>
              </wp:wrapPolygon>
            </wp:wrapTight>
            <wp:docPr id="20378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222" name=""/>
                    <pic:cNvPicPr/>
                  </pic:nvPicPr>
                  <pic:blipFill rotWithShape="1">
                    <a:blip r:embed="rId7">
                      <a:extLst>
                        <a:ext uri="{28A0092B-C50C-407E-A947-70E740481C1C}">
                          <a14:useLocalDpi xmlns:a14="http://schemas.microsoft.com/office/drawing/2010/main" val="0"/>
                        </a:ext>
                      </a:extLst>
                    </a:blip>
                    <a:srcRect b="10119"/>
                    <a:stretch>
                      <a:fillRect/>
                    </a:stretch>
                  </pic:blipFill>
                  <pic:spPr bwMode="auto">
                    <a:xfrm>
                      <a:off x="0" y="0"/>
                      <a:ext cx="2139315" cy="2179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22F7" w:rsidRPr="00ED770B">
        <w:rPr>
          <w:rFonts w:ascii="Arial" w:hAnsi="Arial" w:cs="Arial"/>
          <w:sz w:val="22"/>
          <w:szCs w:val="22"/>
        </w:rPr>
        <w:t>Reflecting on my practice has helped me understand how person-centred care, partnership working and ethical practice influence my responsibilities in health and social care. I need to respect individual choices, protect dignity, communicate effectively and work with others to provide safe care (</w:t>
      </w:r>
      <w:r w:rsidR="00E76401" w:rsidRPr="00ED770B">
        <w:rPr>
          <w:rFonts w:ascii="Arial" w:hAnsi="Arial" w:cs="Arial"/>
          <w:sz w:val="22"/>
          <w:szCs w:val="22"/>
        </w:rPr>
        <w:t>GOV.UK</w:t>
      </w:r>
      <w:r w:rsidR="009E22F7" w:rsidRPr="00ED770B">
        <w:rPr>
          <w:rFonts w:ascii="Arial" w:hAnsi="Arial" w:cs="Arial"/>
          <w:sz w:val="22"/>
          <w:szCs w:val="22"/>
        </w:rPr>
        <w:t>, 2014; NICE, 2018). I have used Gibbs’ (1988) reflective cycle, which includes description, feelings, evaluation, analysis, conclusion and action plan, to reflect on my work-based experience.</w:t>
      </w:r>
    </w:p>
    <w:p w14:paraId="6918C84D" w14:textId="54D2072A" w:rsidR="009E22F7" w:rsidRPr="00CF6C44" w:rsidRDefault="009E22F7" w:rsidP="00ED770B">
      <w:pPr>
        <w:pStyle w:val="Heading4"/>
        <w:spacing w:line="360" w:lineRule="auto"/>
        <w:rPr>
          <w:rFonts w:ascii="Arial" w:hAnsi="Arial" w:cs="Arial"/>
          <w:i w:val="0"/>
          <w:iCs w:val="0"/>
          <w:color w:val="auto"/>
        </w:rPr>
      </w:pPr>
      <w:r w:rsidRPr="00CF6C44">
        <w:rPr>
          <w:rFonts w:ascii="Arial" w:hAnsi="Arial" w:cs="Arial"/>
          <w:i w:val="0"/>
          <w:iCs w:val="0"/>
          <w:color w:val="auto"/>
        </w:rPr>
        <w:t>Description</w:t>
      </w:r>
    </w:p>
    <w:p w14:paraId="76C923DC" w14:textId="365437D0"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 xml:space="preserve">During my work-based experience, I supported an individual who became distressed and found it difficult to communicate what was wrong. I remained calm, listened carefully and gave the individual time to respond. I also observed their body language and tone of voice and provided reassurance. This demonstrated person-centred practice because I focused on </w:t>
      </w:r>
      <w:r w:rsidRPr="00ED770B">
        <w:rPr>
          <w:rFonts w:ascii="Arial" w:hAnsi="Arial" w:cs="Arial"/>
          <w:sz w:val="22"/>
          <w:szCs w:val="22"/>
        </w:rPr>
        <w:lastRenderedPageBreak/>
        <w:t>the individual’s needs rather than simply completing a task (NICE, 2018). I also understood that I should seek support from a colleague if the distress continued or there were concerns about safety (Skills for Care, 2026).</w:t>
      </w:r>
    </w:p>
    <w:p w14:paraId="1D71B2B9" w14:textId="77777777" w:rsidR="009E22F7" w:rsidRPr="00CF6C44" w:rsidRDefault="009E22F7" w:rsidP="00ED770B">
      <w:pPr>
        <w:pStyle w:val="Heading4"/>
        <w:spacing w:line="360" w:lineRule="auto"/>
        <w:rPr>
          <w:rFonts w:ascii="Arial" w:hAnsi="Arial" w:cs="Arial"/>
          <w:i w:val="0"/>
          <w:iCs w:val="0"/>
          <w:color w:val="auto"/>
        </w:rPr>
      </w:pPr>
      <w:r w:rsidRPr="00CF6C44">
        <w:rPr>
          <w:rFonts w:ascii="Arial" w:hAnsi="Arial" w:cs="Arial"/>
          <w:i w:val="0"/>
          <w:iCs w:val="0"/>
          <w:color w:val="auto"/>
        </w:rPr>
        <w:t>Feelings</w:t>
      </w:r>
    </w:p>
    <w:p w14:paraId="2DE22A2A" w14:textId="4C23EFEA"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I felt concerned because I wanted to make sure the individual was safe and understood their needs. I initially felt unsure about the best response because I did not want to increase their distress. However, I became more confident when I realised that remaining calm and patient could help the individual feel respected. Gibbs (1988)</w:t>
      </w:r>
      <w:r w:rsidR="0047533D" w:rsidRPr="00ED770B">
        <w:rPr>
          <w:rFonts w:ascii="Arial" w:hAnsi="Arial" w:cs="Arial"/>
          <w:sz w:val="22"/>
          <w:szCs w:val="22"/>
        </w:rPr>
        <w:t xml:space="preserve"> </w:t>
      </w:r>
      <w:r w:rsidRPr="00ED770B">
        <w:rPr>
          <w:rFonts w:ascii="Arial" w:hAnsi="Arial" w:cs="Arial"/>
          <w:sz w:val="22"/>
          <w:szCs w:val="22"/>
        </w:rPr>
        <w:t>identifies feelings as an important part of reflection because they can influence professional responses.</w:t>
      </w:r>
    </w:p>
    <w:p w14:paraId="5878679F" w14:textId="77777777" w:rsidR="009E22F7" w:rsidRPr="00CF6C44" w:rsidRDefault="009E22F7" w:rsidP="00ED770B">
      <w:pPr>
        <w:pStyle w:val="Heading4"/>
        <w:spacing w:line="360" w:lineRule="auto"/>
        <w:rPr>
          <w:rFonts w:ascii="Arial" w:hAnsi="Arial" w:cs="Arial"/>
          <w:i w:val="0"/>
          <w:iCs w:val="0"/>
          <w:color w:val="auto"/>
        </w:rPr>
      </w:pPr>
      <w:r w:rsidRPr="00CF6C44">
        <w:rPr>
          <w:rFonts w:ascii="Arial" w:hAnsi="Arial" w:cs="Arial"/>
          <w:i w:val="0"/>
          <w:iCs w:val="0"/>
          <w:color w:val="auto"/>
        </w:rPr>
        <w:t>Evaluation</w:t>
      </w:r>
    </w:p>
    <w:p w14:paraId="1E2C1ADA" w14:textId="370B6B74"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A positive aspect was that I remained patient and used both verbal and non-verbal communication. NICE (2018) recommends adapting communication to individual needs, while Alsawy et al. (2017) found that communication difficulties can affect relationships and everyday activities for people living with dementia. However, I recognised that I need greater confidence in identifying possible causes of distress and knowing when to seek additional support.</w:t>
      </w:r>
    </w:p>
    <w:p w14:paraId="1D0ED9BD" w14:textId="77777777" w:rsidR="009E22F7" w:rsidRPr="00CF6C44" w:rsidRDefault="009E22F7" w:rsidP="00ED770B">
      <w:pPr>
        <w:pStyle w:val="Heading4"/>
        <w:spacing w:line="360" w:lineRule="auto"/>
        <w:rPr>
          <w:rFonts w:ascii="Arial" w:hAnsi="Arial" w:cs="Arial"/>
          <w:i w:val="0"/>
          <w:iCs w:val="0"/>
          <w:color w:val="auto"/>
        </w:rPr>
      </w:pPr>
      <w:r w:rsidRPr="00CF6C44">
        <w:rPr>
          <w:rFonts w:ascii="Arial" w:hAnsi="Arial" w:cs="Arial"/>
          <w:i w:val="0"/>
          <w:iCs w:val="0"/>
          <w:color w:val="auto"/>
        </w:rPr>
        <w:t>Analysis</w:t>
      </w:r>
    </w:p>
    <w:p w14:paraId="5DC3F882" w14:textId="3F9C1098"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 xml:space="preserve">This experience helped me understand that distress may indicate an unmet physical, emotional or social need. Professionals should therefore avoid assumptions and consider individual circumstances and communication needs (NICE, 2018). Person-centred communication can help individuals feel respected and understood </w:t>
      </w:r>
      <w:r w:rsidR="00E8424B">
        <w:rPr>
          <w:rFonts w:ascii="Arial" w:hAnsi="Arial" w:cs="Arial"/>
          <w:sz w:val="22"/>
          <w:szCs w:val="22"/>
        </w:rPr>
        <w:t>(Dening and</w:t>
      </w:r>
      <w:r w:rsidR="004D603E" w:rsidRPr="00ED770B">
        <w:rPr>
          <w:rFonts w:ascii="Arial" w:hAnsi="Arial" w:cs="Arial"/>
          <w:sz w:val="22"/>
          <w:szCs w:val="22"/>
        </w:rPr>
        <w:t xml:space="preserve"> Pepper</w:t>
      </w:r>
      <w:r w:rsidRPr="00ED770B">
        <w:rPr>
          <w:rFonts w:ascii="Arial" w:hAnsi="Arial" w:cs="Arial"/>
          <w:sz w:val="22"/>
          <w:szCs w:val="22"/>
        </w:rPr>
        <w:t>, 2023; Riachi, 201</w:t>
      </w:r>
      <w:r w:rsidR="00957FD1" w:rsidRPr="00ED770B">
        <w:rPr>
          <w:rFonts w:ascii="Arial" w:hAnsi="Arial" w:cs="Arial"/>
          <w:sz w:val="22"/>
          <w:szCs w:val="22"/>
        </w:rPr>
        <w:t>7</w:t>
      </w:r>
      <w:r w:rsidRPr="00ED770B">
        <w:rPr>
          <w:rFonts w:ascii="Arial" w:hAnsi="Arial" w:cs="Arial"/>
          <w:sz w:val="22"/>
          <w:szCs w:val="22"/>
        </w:rPr>
        <w:t>). The situation also demonstrated the importance of partnership working.</w:t>
      </w:r>
      <w:r w:rsidR="005E77CE">
        <w:rPr>
          <w:rFonts w:ascii="Arial" w:hAnsi="Arial" w:cs="Arial"/>
          <w:sz w:val="22"/>
          <w:szCs w:val="22"/>
        </w:rPr>
        <w:t xml:space="preserve"> </w:t>
      </w:r>
      <w:r w:rsidR="005E77CE" w:rsidRPr="00ED770B">
        <w:rPr>
          <w:rFonts w:ascii="Arial" w:hAnsi="Arial" w:cs="Arial"/>
          <w:sz w:val="22"/>
          <w:szCs w:val="22"/>
        </w:rPr>
        <w:t>The Skills for Care Code of Conduct expects workers to communicate effectively, work with colleagues and recognise the limits of their competence (Skills for Care, 2026)</w:t>
      </w:r>
      <w:r w:rsidR="00997CFD">
        <w:rPr>
          <w:rFonts w:ascii="Arial" w:hAnsi="Arial" w:cs="Arial"/>
          <w:sz w:val="22"/>
          <w:szCs w:val="22"/>
        </w:rPr>
        <w:t>, so</w:t>
      </w:r>
      <w:r w:rsidRPr="00ED770B">
        <w:rPr>
          <w:rFonts w:ascii="Arial" w:hAnsi="Arial" w:cs="Arial"/>
          <w:sz w:val="22"/>
          <w:szCs w:val="22"/>
        </w:rPr>
        <w:t xml:space="preserve"> I would need to communicate my concerns to colleagues and seek appropriate support. </w:t>
      </w:r>
    </w:p>
    <w:p w14:paraId="42216CB1" w14:textId="77777777" w:rsidR="009E22F7" w:rsidRPr="00CF6C44" w:rsidRDefault="009E22F7" w:rsidP="00ED770B">
      <w:pPr>
        <w:pStyle w:val="Heading4"/>
        <w:spacing w:line="360" w:lineRule="auto"/>
        <w:rPr>
          <w:rFonts w:ascii="Arial" w:hAnsi="Arial" w:cs="Arial"/>
          <w:i w:val="0"/>
          <w:iCs w:val="0"/>
          <w:color w:val="auto"/>
        </w:rPr>
      </w:pPr>
      <w:r w:rsidRPr="00CF6C44">
        <w:rPr>
          <w:rFonts w:ascii="Arial" w:hAnsi="Arial" w:cs="Arial"/>
          <w:i w:val="0"/>
          <w:iCs w:val="0"/>
          <w:color w:val="auto"/>
        </w:rPr>
        <w:t>Ethical Practice</w:t>
      </w:r>
    </w:p>
    <w:p w14:paraId="1753977F" w14:textId="012F4F8E"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 xml:space="preserve">Ethical practice is also important because I need to respect people’s choices, dignity, privacy and rights while considering their safety. The Mental Capacity Act </w:t>
      </w:r>
      <w:r w:rsidR="005E77CE">
        <w:rPr>
          <w:rFonts w:ascii="Arial" w:hAnsi="Arial" w:cs="Arial"/>
          <w:sz w:val="22"/>
          <w:szCs w:val="22"/>
        </w:rPr>
        <w:t>(</w:t>
      </w:r>
      <w:r w:rsidRPr="00ED770B">
        <w:rPr>
          <w:rFonts w:ascii="Arial" w:hAnsi="Arial" w:cs="Arial"/>
          <w:sz w:val="22"/>
          <w:szCs w:val="22"/>
        </w:rPr>
        <w:t>2005</w:t>
      </w:r>
      <w:r w:rsidR="005E77CE">
        <w:rPr>
          <w:rFonts w:ascii="Arial" w:hAnsi="Arial" w:cs="Arial"/>
          <w:sz w:val="22"/>
          <w:szCs w:val="22"/>
        </w:rPr>
        <w:t>)</w:t>
      </w:r>
      <w:r w:rsidRPr="00ED770B">
        <w:rPr>
          <w:rFonts w:ascii="Arial" w:hAnsi="Arial" w:cs="Arial"/>
          <w:sz w:val="22"/>
          <w:szCs w:val="22"/>
        </w:rPr>
        <w:t xml:space="preserve"> requires people to be presumed to have capacity and supported to make their own decisions wherever possible. If a person lacks capacity for a specific decision, professionals must act in their best interests and consider the least restrictive option (Mental Capacity Act, 2005; </w:t>
      </w:r>
      <w:r w:rsidR="00A520FC" w:rsidRPr="00ED770B">
        <w:rPr>
          <w:rFonts w:ascii="Arial" w:hAnsi="Arial" w:cs="Arial"/>
          <w:sz w:val="22"/>
          <w:szCs w:val="22"/>
        </w:rPr>
        <w:t xml:space="preserve">Department for Constitutional Affairs, </w:t>
      </w:r>
      <w:r w:rsidRPr="00ED770B">
        <w:rPr>
          <w:rFonts w:ascii="Arial" w:hAnsi="Arial" w:cs="Arial"/>
          <w:sz w:val="22"/>
          <w:szCs w:val="22"/>
        </w:rPr>
        <w:t xml:space="preserve">2007). For example, if someone refused personal care, I should not automatically assume they lack capacity. I would consider whether they </w:t>
      </w:r>
      <w:r w:rsidRPr="00ED770B">
        <w:rPr>
          <w:rFonts w:ascii="Arial" w:hAnsi="Arial" w:cs="Arial"/>
          <w:sz w:val="22"/>
          <w:szCs w:val="22"/>
        </w:rPr>
        <w:lastRenderedPageBreak/>
        <w:t>understood the decision, whether I had communicated appropriately and whether another approach could support them.</w:t>
      </w:r>
    </w:p>
    <w:p w14:paraId="7CE7AAC4" w14:textId="77777777" w:rsidR="009E22F7" w:rsidRPr="00CF6C44" w:rsidRDefault="009E22F7" w:rsidP="00ED770B">
      <w:pPr>
        <w:pStyle w:val="Heading4"/>
        <w:spacing w:line="360" w:lineRule="auto"/>
        <w:rPr>
          <w:rFonts w:ascii="Arial" w:hAnsi="Arial" w:cs="Arial"/>
          <w:i w:val="0"/>
          <w:iCs w:val="0"/>
          <w:color w:val="auto"/>
        </w:rPr>
      </w:pPr>
      <w:r w:rsidRPr="00CF6C44">
        <w:rPr>
          <w:rFonts w:ascii="Arial" w:hAnsi="Arial" w:cs="Arial"/>
          <w:i w:val="0"/>
          <w:iCs w:val="0"/>
          <w:color w:val="auto"/>
        </w:rPr>
        <w:t>Conclusion</w:t>
      </w:r>
    </w:p>
    <w:p w14:paraId="5E8F13EB" w14:textId="77777777"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I identified patience, active listening and observing non-verbal communication as strengths in my practice. I also recognised that I need to improve my confidence in identifying causes of distress and knowing when to seek support. Gibbs’ (1988) model helped me understand what went well and what I could improve. This experience showed me that effective communication, ethical practice and partnership working are closely connected.</w:t>
      </w:r>
    </w:p>
    <w:p w14:paraId="31FBFBCF" w14:textId="77777777" w:rsidR="009E22F7" w:rsidRPr="00CF6C44" w:rsidRDefault="009E22F7" w:rsidP="00ED770B">
      <w:pPr>
        <w:pStyle w:val="Heading4"/>
        <w:spacing w:line="360" w:lineRule="auto"/>
        <w:rPr>
          <w:rFonts w:ascii="Arial" w:hAnsi="Arial" w:cs="Arial"/>
          <w:i w:val="0"/>
          <w:iCs w:val="0"/>
          <w:color w:val="auto"/>
        </w:rPr>
      </w:pPr>
      <w:r w:rsidRPr="00CF6C44">
        <w:rPr>
          <w:rFonts w:ascii="Arial" w:hAnsi="Arial" w:cs="Arial"/>
          <w:i w:val="0"/>
          <w:iCs w:val="0"/>
          <w:color w:val="auto"/>
        </w:rPr>
        <w:t>Action Plan</w:t>
      </w:r>
    </w:p>
    <w:p w14:paraId="2AF7FB15" w14:textId="2930C634"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Over the next six months, I plan to complete training in communication, dementia awareness, safeguarding and the Mental Capacity Act. I will also ask experienced colleagues for feedback and use Gibbs’ (1988) cycle to reflect on challenging situations. When supporting someone who becomes distressed, I will remain calm, allow time for communication, consider possible causes and seek support when necessary. This will help develop my confidence and competence while maintaining individuals’ dignity, rights, safety and wellbeing (</w:t>
      </w:r>
      <w:r w:rsidR="00E76401" w:rsidRPr="00ED770B">
        <w:rPr>
          <w:rFonts w:ascii="Arial" w:hAnsi="Arial" w:cs="Arial"/>
          <w:sz w:val="22"/>
          <w:szCs w:val="22"/>
        </w:rPr>
        <w:t>GOV.UK</w:t>
      </w:r>
      <w:r w:rsidRPr="00ED770B">
        <w:rPr>
          <w:rFonts w:ascii="Arial" w:hAnsi="Arial" w:cs="Arial"/>
          <w:sz w:val="22"/>
          <w:szCs w:val="22"/>
        </w:rPr>
        <w:t>, 2014; Skills for Care, 2026).</w:t>
      </w:r>
    </w:p>
    <w:p w14:paraId="06682807" w14:textId="77777777" w:rsidR="009E22F7" w:rsidRPr="00CF6C44" w:rsidRDefault="009E22F7" w:rsidP="00ED770B">
      <w:pPr>
        <w:pStyle w:val="Heading3"/>
        <w:spacing w:line="360" w:lineRule="auto"/>
        <w:rPr>
          <w:rFonts w:ascii="Arial" w:hAnsi="Arial" w:cs="Arial"/>
          <w:color w:val="auto"/>
        </w:rPr>
      </w:pPr>
      <w:bookmarkStart w:id="4" w:name="_Toc241610477"/>
      <w:r w:rsidRPr="00CF6C44">
        <w:rPr>
          <w:rFonts w:ascii="Arial" w:hAnsi="Arial" w:cs="Arial"/>
          <w:color w:val="auto"/>
        </w:rPr>
        <w:t>Conclusion</w:t>
      </w:r>
      <w:bookmarkEnd w:id="4"/>
    </w:p>
    <w:p w14:paraId="64D44E63" w14:textId="77777777"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Person-centred care, partnership working and ethical practice are essential for providing safe, respectful and effective health and social care. The case study of Mrs Smith demonstrates how these principles can support dignity, independence, wellbeing and individual choice. The reflection also highlights the importance of effective communication, teamwork, understanding legislation and continuing professional development. Applying these principles in practice can help professionals respond to individual needs while maintaining safety, rights and quality of care.</w:t>
      </w:r>
    </w:p>
    <w:p w14:paraId="3FD00E7F" w14:textId="74D80B0A" w:rsidR="009E22F7" w:rsidRPr="00ED770B" w:rsidRDefault="009E22F7" w:rsidP="00ED770B">
      <w:pPr>
        <w:spacing w:line="360" w:lineRule="auto"/>
        <w:rPr>
          <w:rFonts w:ascii="Arial" w:hAnsi="Arial" w:cs="Arial"/>
          <w:sz w:val="22"/>
          <w:szCs w:val="22"/>
        </w:rPr>
      </w:pPr>
      <w:r w:rsidRPr="00ED770B">
        <w:rPr>
          <w:rFonts w:ascii="Arial" w:hAnsi="Arial" w:cs="Arial"/>
          <w:sz w:val="22"/>
          <w:szCs w:val="22"/>
        </w:rPr>
        <w:t>These principles are closely connected and should be applied together rather than in isolation. Effective practice requires professionals to balance individual choice with safety, communicate with other professionals and make ethical decisions based on legislation and professional guidance.</w:t>
      </w:r>
    </w:p>
    <w:p w14:paraId="22E7D953" w14:textId="77777777" w:rsidR="00482A36" w:rsidRDefault="009E22F7" w:rsidP="00482A36">
      <w:pPr>
        <w:spacing w:line="360" w:lineRule="auto"/>
        <w:rPr>
          <w:rFonts w:ascii="Arial" w:hAnsi="Arial" w:cs="Arial"/>
          <w:sz w:val="22"/>
          <w:szCs w:val="22"/>
        </w:rPr>
      </w:pPr>
      <w:r w:rsidRPr="00ED770B">
        <w:rPr>
          <w:rFonts w:ascii="Arial" w:hAnsi="Arial" w:cs="Arial"/>
          <w:sz w:val="22"/>
          <w:szCs w:val="22"/>
        </w:rPr>
        <w:t>Ultimately, high-quality care depends on professionals putting the individual at the centre of decisions while working collaboratively with others. Using legislation, evidence and professional guidance can help ensure that care remains safe, fair and appropriate. Ongoing reflection and learning will also support continuous improvement in professional practice and contribute to better outcomes for individua</w:t>
      </w:r>
      <w:r w:rsidR="00482A36">
        <w:rPr>
          <w:rFonts w:ascii="Arial" w:hAnsi="Arial" w:cs="Arial"/>
          <w:sz w:val="22"/>
          <w:szCs w:val="22"/>
        </w:rPr>
        <w:t>ls.</w:t>
      </w:r>
      <w:bookmarkStart w:id="5" w:name="_Toc241610478"/>
    </w:p>
    <w:p w14:paraId="570C2CEF" w14:textId="4D6E7E15" w:rsidR="009E22F7" w:rsidRPr="00482A36" w:rsidRDefault="009E22F7" w:rsidP="00482A36">
      <w:pPr>
        <w:spacing w:line="360" w:lineRule="auto"/>
        <w:rPr>
          <w:rFonts w:ascii="Arial" w:hAnsi="Arial" w:cs="Arial"/>
          <w:sz w:val="22"/>
          <w:szCs w:val="22"/>
        </w:rPr>
      </w:pPr>
      <w:r w:rsidRPr="00CF6C44">
        <w:rPr>
          <w:rFonts w:ascii="Arial" w:hAnsi="Arial" w:cs="Arial"/>
          <w:u w:val="single"/>
        </w:rPr>
        <w:lastRenderedPageBreak/>
        <w:t>References</w:t>
      </w:r>
      <w:bookmarkEnd w:id="5"/>
    </w:p>
    <w:p w14:paraId="115314E0" w14:textId="77777777" w:rsidR="003D45B0" w:rsidRPr="00BC1B95" w:rsidRDefault="00E552A7" w:rsidP="00BC1B95">
      <w:pPr>
        <w:spacing w:line="360" w:lineRule="auto"/>
        <w:rPr>
          <w:rFonts w:ascii="Arial" w:hAnsi="Arial" w:cs="Arial"/>
          <w:sz w:val="22"/>
          <w:szCs w:val="22"/>
        </w:rPr>
      </w:pPr>
      <w:r w:rsidRPr="00BC1B95">
        <w:rPr>
          <w:rFonts w:ascii="Arial" w:hAnsi="Arial" w:cs="Arial"/>
          <w:sz w:val="22"/>
          <w:szCs w:val="22"/>
        </w:rPr>
        <w:t>Alsawy, S., Mansell, W., McEvoy, P. and Tai, S. (2017). ‘What is good communication for people living with dementia? A mixed-methods systematic review’</w:t>
      </w:r>
      <w:r w:rsidR="00A87B25" w:rsidRPr="00BC1B95">
        <w:rPr>
          <w:rFonts w:ascii="Arial" w:hAnsi="Arial" w:cs="Arial"/>
          <w:sz w:val="22"/>
          <w:szCs w:val="22"/>
        </w:rPr>
        <w:t>.</w:t>
      </w:r>
      <w:r w:rsidRPr="00BC1B95">
        <w:rPr>
          <w:rFonts w:ascii="Arial" w:hAnsi="Arial" w:cs="Arial"/>
          <w:sz w:val="22"/>
          <w:szCs w:val="22"/>
        </w:rPr>
        <w:t xml:space="preserve"> </w:t>
      </w:r>
      <w:r w:rsidRPr="00BC1B95">
        <w:rPr>
          <w:rFonts w:ascii="Arial" w:hAnsi="Arial" w:cs="Arial"/>
          <w:i/>
          <w:iCs/>
          <w:sz w:val="22"/>
          <w:szCs w:val="22"/>
        </w:rPr>
        <w:t>International Psychogeriatrics</w:t>
      </w:r>
      <w:r w:rsidRPr="00BC1B95">
        <w:rPr>
          <w:rFonts w:ascii="Arial" w:hAnsi="Arial" w:cs="Arial"/>
          <w:sz w:val="22"/>
          <w:szCs w:val="22"/>
        </w:rPr>
        <w:t>, [online] 29(11), pp.1785–1800. doi:10.1017/s1041610217001429.</w:t>
      </w:r>
      <w:r w:rsidR="00A87B25" w:rsidRPr="00BC1B95">
        <w:rPr>
          <w:rFonts w:ascii="Arial" w:hAnsi="Arial" w:cs="Arial"/>
          <w:sz w:val="22"/>
          <w:szCs w:val="22"/>
        </w:rPr>
        <w:t xml:space="preserve"> (Accessed: </w:t>
      </w:r>
      <w:r w:rsidR="00D521E8" w:rsidRPr="00BC1B95">
        <w:rPr>
          <w:rFonts w:ascii="Arial" w:hAnsi="Arial" w:cs="Arial"/>
          <w:sz w:val="22"/>
          <w:szCs w:val="22"/>
        </w:rPr>
        <w:t>20 Sept. 2026).</w:t>
      </w:r>
    </w:p>
    <w:p w14:paraId="626E1BCF" w14:textId="77777777" w:rsidR="000F750D" w:rsidRPr="00BC1B95" w:rsidRDefault="000F750D" w:rsidP="00BC1B95">
      <w:pPr>
        <w:spacing w:line="360" w:lineRule="auto"/>
        <w:rPr>
          <w:rFonts w:ascii="Arial" w:hAnsi="Arial" w:cs="Arial"/>
          <w:sz w:val="22"/>
          <w:szCs w:val="22"/>
        </w:rPr>
      </w:pPr>
    </w:p>
    <w:p w14:paraId="071ED777" w14:textId="66AA5E4A" w:rsidR="00757517" w:rsidRDefault="00011AE0" w:rsidP="00BC1B95">
      <w:pPr>
        <w:spacing w:line="360" w:lineRule="auto"/>
        <w:rPr>
          <w:rFonts w:ascii="Arial" w:hAnsi="Arial" w:cs="Arial"/>
          <w:sz w:val="22"/>
          <w:szCs w:val="22"/>
        </w:rPr>
      </w:pPr>
      <w:r w:rsidRPr="00BC1B95">
        <w:rPr>
          <w:rFonts w:ascii="Arial" w:hAnsi="Arial" w:cs="Arial"/>
          <w:sz w:val="22"/>
          <w:szCs w:val="22"/>
        </w:rPr>
        <w:t xml:space="preserve">Alzheimer’s Society. (2026). </w:t>
      </w:r>
      <w:r w:rsidRPr="00BC1B95">
        <w:rPr>
          <w:rFonts w:ascii="Arial" w:hAnsi="Arial" w:cs="Arial"/>
          <w:i/>
          <w:iCs/>
          <w:sz w:val="22"/>
          <w:szCs w:val="22"/>
        </w:rPr>
        <w:t>Unlocking the door to dementia diagnosis and treatments</w:t>
      </w:r>
      <w:r w:rsidRPr="00BC1B95">
        <w:rPr>
          <w:rFonts w:ascii="Arial" w:hAnsi="Arial" w:cs="Arial"/>
          <w:sz w:val="22"/>
          <w:szCs w:val="22"/>
        </w:rPr>
        <w:t>.</w:t>
      </w:r>
      <w:r w:rsidR="001B3662" w:rsidRPr="00BC1B95">
        <w:rPr>
          <w:rFonts w:ascii="Arial" w:hAnsi="Arial" w:cs="Arial"/>
          <w:sz w:val="22"/>
          <w:szCs w:val="22"/>
        </w:rPr>
        <w:t xml:space="preserve"> </w:t>
      </w:r>
      <w:r w:rsidRPr="00BC1B95">
        <w:rPr>
          <w:rFonts w:ascii="Arial" w:hAnsi="Arial" w:cs="Arial"/>
          <w:sz w:val="22"/>
          <w:szCs w:val="22"/>
        </w:rPr>
        <w:t xml:space="preserve">Available at: </w:t>
      </w:r>
      <w:hyperlink r:id="rId8" w:history="1">
        <w:r w:rsidRPr="00BC1B95">
          <w:rPr>
            <w:rStyle w:val="Hyperlink"/>
            <w:rFonts w:ascii="Arial" w:hAnsi="Arial" w:cs="Arial"/>
            <w:sz w:val="22"/>
            <w:szCs w:val="22"/>
          </w:rPr>
          <w:t>https://www.alzheimers.org.uk/what-we-do/policy-and-influencing/unlocking-door-dementia-diagnosis-treatments</w:t>
        </w:r>
      </w:hyperlink>
      <w:r w:rsidRPr="00BC1B95">
        <w:rPr>
          <w:rFonts w:ascii="Arial" w:hAnsi="Arial" w:cs="Arial"/>
          <w:sz w:val="22"/>
          <w:szCs w:val="22"/>
        </w:rPr>
        <w:t xml:space="preserve"> </w:t>
      </w:r>
      <w:r w:rsidR="001B3662" w:rsidRPr="00BC1B95">
        <w:rPr>
          <w:rFonts w:ascii="Arial" w:hAnsi="Arial" w:cs="Arial"/>
          <w:sz w:val="22"/>
          <w:szCs w:val="22"/>
        </w:rPr>
        <w:t>(</w:t>
      </w:r>
      <w:r w:rsidRPr="00BC1B95">
        <w:rPr>
          <w:rFonts w:ascii="Arial" w:hAnsi="Arial" w:cs="Arial"/>
          <w:sz w:val="22"/>
          <w:szCs w:val="22"/>
        </w:rPr>
        <w:t>Accessed 2</w:t>
      </w:r>
      <w:r w:rsidR="001B3662" w:rsidRPr="00BC1B95">
        <w:rPr>
          <w:rFonts w:ascii="Arial" w:hAnsi="Arial" w:cs="Arial"/>
          <w:sz w:val="22"/>
          <w:szCs w:val="22"/>
        </w:rPr>
        <w:t>1</w:t>
      </w:r>
      <w:r w:rsidRPr="00BC1B95">
        <w:rPr>
          <w:rFonts w:ascii="Arial" w:hAnsi="Arial" w:cs="Arial"/>
          <w:sz w:val="22"/>
          <w:szCs w:val="22"/>
        </w:rPr>
        <w:t xml:space="preserve"> Sept. 2026</w:t>
      </w:r>
      <w:r w:rsidR="001B3662" w:rsidRPr="00BC1B95">
        <w:rPr>
          <w:rFonts w:ascii="Arial" w:hAnsi="Arial" w:cs="Arial"/>
          <w:sz w:val="22"/>
          <w:szCs w:val="22"/>
        </w:rPr>
        <w:t>)</w:t>
      </w:r>
      <w:r w:rsidRPr="00BC1B95">
        <w:rPr>
          <w:rFonts w:ascii="Arial" w:hAnsi="Arial" w:cs="Arial"/>
          <w:sz w:val="22"/>
          <w:szCs w:val="22"/>
        </w:rPr>
        <w:t>.</w:t>
      </w:r>
    </w:p>
    <w:p w14:paraId="081CEC6E" w14:textId="77777777" w:rsidR="00E97601" w:rsidRPr="00BC1B95" w:rsidRDefault="00E97601" w:rsidP="00BC1B95">
      <w:pPr>
        <w:spacing w:line="360" w:lineRule="auto"/>
        <w:rPr>
          <w:rFonts w:ascii="Arial" w:hAnsi="Arial" w:cs="Arial"/>
          <w:sz w:val="22"/>
          <w:szCs w:val="22"/>
        </w:rPr>
      </w:pPr>
    </w:p>
    <w:p w14:paraId="308B4E46" w14:textId="0A6C533F" w:rsidR="003836DF" w:rsidRPr="00BC1B95" w:rsidRDefault="003836DF" w:rsidP="00BC1B95">
      <w:pPr>
        <w:spacing w:line="360" w:lineRule="auto"/>
        <w:rPr>
          <w:rFonts w:ascii="Arial" w:hAnsi="Arial" w:cs="Arial"/>
          <w:sz w:val="22"/>
          <w:szCs w:val="22"/>
        </w:rPr>
      </w:pPr>
      <w:r w:rsidRPr="00BC1B95">
        <w:rPr>
          <w:rFonts w:ascii="Arial" w:hAnsi="Arial" w:cs="Arial"/>
          <w:sz w:val="22"/>
          <w:szCs w:val="22"/>
        </w:rPr>
        <w:t xml:space="preserve">Beauchamp, T.L. and Childress, J.F. (2019). </w:t>
      </w:r>
      <w:r w:rsidRPr="00BC1B95">
        <w:rPr>
          <w:rFonts w:ascii="Arial" w:hAnsi="Arial" w:cs="Arial"/>
          <w:i/>
          <w:iCs/>
          <w:sz w:val="22"/>
          <w:szCs w:val="22"/>
        </w:rPr>
        <w:t>Principles of Biomedical Ethics</w:t>
      </w:r>
      <w:r w:rsidRPr="00BC1B95">
        <w:rPr>
          <w:rFonts w:ascii="Arial" w:hAnsi="Arial" w:cs="Arial"/>
          <w:sz w:val="22"/>
          <w:szCs w:val="22"/>
        </w:rPr>
        <w:t>. 8th edn. New York Etc: Oxford University Press.</w:t>
      </w:r>
    </w:p>
    <w:p w14:paraId="4EFAC4DA" w14:textId="77777777" w:rsidR="00295546" w:rsidRPr="00BC1B95" w:rsidRDefault="00295546" w:rsidP="00BC1B95">
      <w:pPr>
        <w:spacing w:line="360" w:lineRule="auto"/>
        <w:rPr>
          <w:rFonts w:ascii="Arial" w:hAnsi="Arial" w:cs="Arial"/>
          <w:sz w:val="22"/>
          <w:szCs w:val="22"/>
        </w:rPr>
      </w:pPr>
    </w:p>
    <w:p w14:paraId="48096F77" w14:textId="0A7CFB8A" w:rsidR="00263313" w:rsidRDefault="00263313" w:rsidP="00BC1B95">
      <w:pPr>
        <w:spacing w:line="360" w:lineRule="auto"/>
        <w:rPr>
          <w:rFonts w:ascii="Arial" w:hAnsi="Arial" w:cs="Arial"/>
          <w:sz w:val="22"/>
          <w:szCs w:val="22"/>
        </w:rPr>
      </w:pPr>
      <w:r w:rsidRPr="00BC1B95">
        <w:rPr>
          <w:rFonts w:ascii="Arial" w:hAnsi="Arial" w:cs="Arial"/>
          <w:sz w:val="22"/>
          <w:szCs w:val="22"/>
        </w:rPr>
        <w:t xml:space="preserve">Care Quality Commission (2024). </w:t>
      </w:r>
      <w:r w:rsidRPr="00BC1B95">
        <w:rPr>
          <w:rFonts w:ascii="Arial" w:hAnsi="Arial" w:cs="Arial"/>
          <w:i/>
          <w:iCs/>
          <w:sz w:val="22"/>
          <w:szCs w:val="22"/>
        </w:rPr>
        <w:t>The fundamental standards - care quality commission</w:t>
      </w:r>
      <w:r w:rsidRPr="00BC1B95">
        <w:rPr>
          <w:rFonts w:ascii="Arial" w:hAnsi="Arial" w:cs="Arial"/>
          <w:sz w:val="22"/>
          <w:szCs w:val="22"/>
        </w:rPr>
        <w:t xml:space="preserve">. Available at: </w:t>
      </w:r>
      <w:hyperlink r:id="rId9" w:history="1">
        <w:r w:rsidRPr="00BC1B95">
          <w:rPr>
            <w:rStyle w:val="Hyperlink"/>
            <w:rFonts w:ascii="Arial" w:hAnsi="Arial" w:cs="Arial"/>
            <w:sz w:val="22"/>
            <w:szCs w:val="22"/>
          </w:rPr>
          <w:t>https://www.cqc.org.uk/about-us/fundamental-standards</w:t>
        </w:r>
      </w:hyperlink>
      <w:r w:rsidRPr="00BC1B95">
        <w:rPr>
          <w:rFonts w:ascii="Arial" w:hAnsi="Arial" w:cs="Arial"/>
          <w:sz w:val="22"/>
          <w:szCs w:val="22"/>
        </w:rPr>
        <w:t xml:space="preserve"> </w:t>
      </w:r>
      <w:r w:rsidR="008A14E5" w:rsidRPr="00BC1B95">
        <w:rPr>
          <w:rFonts w:ascii="Arial" w:hAnsi="Arial" w:cs="Arial"/>
          <w:sz w:val="22"/>
          <w:szCs w:val="22"/>
        </w:rPr>
        <w:t>(</w:t>
      </w:r>
      <w:r w:rsidRPr="00BC1B95">
        <w:rPr>
          <w:rFonts w:ascii="Arial" w:hAnsi="Arial" w:cs="Arial"/>
          <w:sz w:val="22"/>
          <w:szCs w:val="22"/>
        </w:rPr>
        <w:t>Accessed 29 Sept. 2026</w:t>
      </w:r>
      <w:r w:rsidR="008A14E5" w:rsidRPr="00BC1B95">
        <w:rPr>
          <w:rFonts w:ascii="Arial" w:hAnsi="Arial" w:cs="Arial"/>
          <w:sz w:val="22"/>
          <w:szCs w:val="22"/>
        </w:rPr>
        <w:t>)</w:t>
      </w:r>
      <w:r w:rsidRPr="00BC1B95">
        <w:rPr>
          <w:rFonts w:ascii="Arial" w:hAnsi="Arial" w:cs="Arial"/>
          <w:sz w:val="22"/>
          <w:szCs w:val="22"/>
        </w:rPr>
        <w:t>.</w:t>
      </w:r>
    </w:p>
    <w:p w14:paraId="18AE21D3" w14:textId="77777777" w:rsidR="00E97601" w:rsidRDefault="00E97601" w:rsidP="00BC1B95">
      <w:pPr>
        <w:spacing w:line="360" w:lineRule="auto"/>
        <w:rPr>
          <w:rFonts w:ascii="Arial" w:hAnsi="Arial" w:cs="Arial"/>
          <w:sz w:val="22"/>
          <w:szCs w:val="22"/>
        </w:rPr>
      </w:pPr>
    </w:p>
    <w:p w14:paraId="1EF059B2" w14:textId="7E51B056" w:rsidR="00E97601" w:rsidRPr="00BC1B95" w:rsidRDefault="00E97601" w:rsidP="00BC1B95">
      <w:pPr>
        <w:spacing w:line="360" w:lineRule="auto"/>
        <w:rPr>
          <w:rFonts w:ascii="Arial" w:hAnsi="Arial" w:cs="Arial"/>
          <w:sz w:val="22"/>
          <w:szCs w:val="22"/>
        </w:rPr>
      </w:pPr>
      <w:r>
        <w:rPr>
          <w:rFonts w:ascii="Arial" w:hAnsi="Arial" w:cs="Arial"/>
          <w:sz w:val="22"/>
          <w:szCs w:val="22"/>
        </w:rPr>
        <w:t xml:space="preserve">Dening, H.K. and </w:t>
      </w:r>
      <w:r w:rsidRPr="00BC1B95">
        <w:rPr>
          <w:rFonts w:ascii="Arial" w:hAnsi="Arial" w:cs="Arial"/>
          <w:sz w:val="22"/>
          <w:szCs w:val="22"/>
        </w:rPr>
        <w:t>Pepper,</w:t>
      </w:r>
      <w:r>
        <w:rPr>
          <w:rFonts w:ascii="Arial" w:hAnsi="Arial" w:cs="Arial"/>
          <w:sz w:val="22"/>
          <w:szCs w:val="22"/>
        </w:rPr>
        <w:t xml:space="preserve"> A.</w:t>
      </w:r>
      <w:r w:rsidRPr="00BC1B95">
        <w:rPr>
          <w:rFonts w:ascii="Arial" w:hAnsi="Arial" w:cs="Arial"/>
          <w:sz w:val="22"/>
          <w:szCs w:val="22"/>
        </w:rPr>
        <w:t xml:space="preserve"> (2023). </w:t>
      </w:r>
      <w:r w:rsidRPr="00BC1B95">
        <w:rPr>
          <w:rFonts w:ascii="Arial" w:hAnsi="Arial" w:cs="Arial"/>
          <w:i/>
          <w:iCs/>
          <w:sz w:val="22"/>
          <w:szCs w:val="22"/>
        </w:rPr>
        <w:t>Person-centred communication with people with dementia</w:t>
      </w:r>
      <w:r w:rsidRPr="00BC1B95">
        <w:rPr>
          <w:rFonts w:ascii="Arial" w:hAnsi="Arial" w:cs="Arial"/>
          <w:sz w:val="22"/>
          <w:szCs w:val="22"/>
        </w:rPr>
        <w:t xml:space="preserve">. [online] journals.rcni.com. Available at: </w:t>
      </w:r>
      <w:hyperlink r:id="rId10" w:history="1">
        <w:r w:rsidR="005B4AB5" w:rsidRPr="002F73CB">
          <w:rPr>
            <w:rStyle w:val="Hyperlink"/>
            <w:rFonts w:ascii="Arial" w:hAnsi="Arial" w:cs="Arial"/>
            <w:sz w:val="22"/>
            <w:szCs w:val="22"/>
          </w:rPr>
          <w:t>https://journal</w:t>
        </w:r>
        <w:r w:rsidR="005B4AB5" w:rsidRPr="002F73CB">
          <w:rPr>
            <w:rStyle w:val="Hyperlink"/>
            <w:rFonts w:ascii="Arial" w:hAnsi="Arial" w:cs="Arial"/>
            <w:sz w:val="22"/>
            <w:szCs w:val="22"/>
          </w:rPr>
          <w:t>s</w:t>
        </w:r>
        <w:r w:rsidR="005B4AB5" w:rsidRPr="002F73CB">
          <w:rPr>
            <w:rStyle w:val="Hyperlink"/>
            <w:rFonts w:ascii="Arial" w:hAnsi="Arial" w:cs="Arial"/>
            <w:sz w:val="22"/>
            <w:szCs w:val="22"/>
          </w:rPr>
          <w:t>.rcni.com/nursing-older-people/evidence-and-practice/personcentred-communication-with-people-with-dementia-nop.2023.e1430/a</w:t>
        </w:r>
        <w:r w:rsidR="005B4AB5" w:rsidRPr="002F73CB">
          <w:rPr>
            <w:rStyle w:val="Hyperlink"/>
            <w:rFonts w:ascii="Arial" w:hAnsi="Arial" w:cs="Arial"/>
            <w:sz w:val="22"/>
            <w:szCs w:val="22"/>
          </w:rPr>
          <w:t>b</w:t>
        </w:r>
        <w:r w:rsidR="005B4AB5" w:rsidRPr="002F73CB">
          <w:rPr>
            <w:rStyle w:val="Hyperlink"/>
            <w:rFonts w:ascii="Arial" w:hAnsi="Arial" w:cs="Arial"/>
            <w:sz w:val="22"/>
            <w:szCs w:val="22"/>
          </w:rPr>
          <w:t>s</w:t>
        </w:r>
      </w:hyperlink>
      <w:r w:rsidR="005B4AB5">
        <w:t xml:space="preserve"> </w:t>
      </w:r>
      <w:r>
        <w:t xml:space="preserve"> </w:t>
      </w:r>
      <w:r w:rsidRPr="00BC1B95">
        <w:rPr>
          <w:rFonts w:ascii="Arial" w:hAnsi="Arial" w:cs="Arial"/>
          <w:sz w:val="22"/>
          <w:szCs w:val="22"/>
        </w:rPr>
        <w:t>(Accessed 29 Sept. 2026).</w:t>
      </w:r>
    </w:p>
    <w:p w14:paraId="468350B2" w14:textId="77777777" w:rsidR="008A0218" w:rsidRPr="00BC1B95" w:rsidRDefault="008A0218" w:rsidP="00BC1B95">
      <w:pPr>
        <w:spacing w:line="360" w:lineRule="auto"/>
        <w:rPr>
          <w:rFonts w:ascii="Arial" w:hAnsi="Arial" w:cs="Arial"/>
          <w:sz w:val="22"/>
          <w:szCs w:val="22"/>
        </w:rPr>
      </w:pPr>
    </w:p>
    <w:p w14:paraId="594247BE" w14:textId="6043F68F" w:rsidR="008A0218" w:rsidRPr="00BC1B95" w:rsidRDefault="008A0218" w:rsidP="00BC1B95">
      <w:pPr>
        <w:spacing w:line="360" w:lineRule="auto"/>
        <w:rPr>
          <w:rFonts w:ascii="Arial" w:hAnsi="Arial" w:cs="Arial"/>
          <w:sz w:val="22"/>
          <w:szCs w:val="22"/>
        </w:rPr>
      </w:pPr>
      <w:r w:rsidRPr="00BC1B95">
        <w:rPr>
          <w:rFonts w:ascii="Arial" w:hAnsi="Arial" w:cs="Arial"/>
          <w:sz w:val="22"/>
          <w:szCs w:val="22"/>
        </w:rPr>
        <w:t xml:space="preserve">Department for Constitutional Affairs (2007). </w:t>
      </w:r>
      <w:r w:rsidRPr="00BC1B95">
        <w:rPr>
          <w:rFonts w:ascii="Arial" w:hAnsi="Arial" w:cs="Arial"/>
          <w:i/>
          <w:iCs/>
          <w:sz w:val="22"/>
          <w:szCs w:val="22"/>
        </w:rPr>
        <w:t>Code of Practice Mental Capacity Act 2005</w:t>
      </w:r>
      <w:r w:rsidRPr="00BC1B95">
        <w:rPr>
          <w:rFonts w:ascii="Arial" w:hAnsi="Arial" w:cs="Arial"/>
          <w:sz w:val="22"/>
          <w:szCs w:val="22"/>
        </w:rPr>
        <w:t xml:space="preserve">. [online] </w:t>
      </w:r>
      <w:r w:rsidRPr="00BC1B95">
        <w:rPr>
          <w:rFonts w:ascii="Arial" w:hAnsi="Arial" w:cs="Arial"/>
          <w:i/>
          <w:iCs/>
          <w:sz w:val="22"/>
          <w:szCs w:val="22"/>
        </w:rPr>
        <w:t>Gov.uk</w:t>
      </w:r>
      <w:r w:rsidRPr="00BC1B95">
        <w:rPr>
          <w:rFonts w:ascii="Arial" w:hAnsi="Arial" w:cs="Arial"/>
          <w:sz w:val="22"/>
          <w:szCs w:val="22"/>
        </w:rPr>
        <w:t xml:space="preserve">. Available at: </w:t>
      </w:r>
      <w:hyperlink r:id="rId11" w:history="1">
        <w:r w:rsidRPr="00BC1B95">
          <w:rPr>
            <w:rStyle w:val="Hyperlink"/>
            <w:rFonts w:ascii="Arial" w:hAnsi="Arial" w:cs="Arial"/>
            <w:sz w:val="22"/>
            <w:szCs w:val="22"/>
          </w:rPr>
          <w:t>https://assets.publishing.service.gov.uk/media/5f6cc6138fa8f541f6763295/Mental-capacity-act-code-of-practice.pdf</w:t>
        </w:r>
      </w:hyperlink>
      <w:r w:rsidRPr="00BC1B95">
        <w:rPr>
          <w:rFonts w:ascii="Arial" w:hAnsi="Arial" w:cs="Arial"/>
          <w:sz w:val="22"/>
          <w:szCs w:val="22"/>
        </w:rPr>
        <w:t xml:space="preserve"> (Accessed</w:t>
      </w:r>
      <w:r w:rsidR="0076399E">
        <w:rPr>
          <w:rFonts w:ascii="Arial" w:hAnsi="Arial" w:cs="Arial"/>
          <w:sz w:val="22"/>
          <w:szCs w:val="22"/>
        </w:rPr>
        <w:t xml:space="preserve"> </w:t>
      </w:r>
      <w:r w:rsidRPr="00BC1B95">
        <w:rPr>
          <w:rFonts w:ascii="Arial" w:hAnsi="Arial" w:cs="Arial"/>
          <w:sz w:val="22"/>
          <w:szCs w:val="22"/>
        </w:rPr>
        <w:t>19 Sept. 2026).</w:t>
      </w:r>
    </w:p>
    <w:p w14:paraId="571EF24D" w14:textId="77777777" w:rsidR="008A0218" w:rsidRPr="00BC1B95" w:rsidRDefault="008A0218" w:rsidP="00BC1B95">
      <w:pPr>
        <w:spacing w:line="360" w:lineRule="auto"/>
        <w:rPr>
          <w:rFonts w:ascii="Arial" w:hAnsi="Arial" w:cs="Arial"/>
          <w:sz w:val="22"/>
          <w:szCs w:val="22"/>
        </w:rPr>
      </w:pPr>
    </w:p>
    <w:p w14:paraId="3EF39E27" w14:textId="237DD599" w:rsidR="006D390A" w:rsidRPr="00BC1B95" w:rsidRDefault="006D390A" w:rsidP="00BC1B95">
      <w:pPr>
        <w:spacing w:line="360" w:lineRule="auto"/>
        <w:rPr>
          <w:rFonts w:ascii="Arial" w:hAnsi="Arial" w:cs="Arial"/>
          <w:sz w:val="22"/>
          <w:szCs w:val="22"/>
        </w:rPr>
      </w:pPr>
      <w:r w:rsidRPr="00BC1B95">
        <w:rPr>
          <w:rFonts w:ascii="Arial" w:hAnsi="Arial" w:cs="Arial"/>
          <w:sz w:val="22"/>
          <w:szCs w:val="22"/>
        </w:rPr>
        <w:t xml:space="preserve">Department of Health &amp; Social Care (2025). </w:t>
      </w:r>
      <w:r w:rsidRPr="00BC1B95">
        <w:rPr>
          <w:rFonts w:ascii="Arial" w:hAnsi="Arial" w:cs="Arial"/>
          <w:i/>
          <w:iCs/>
          <w:sz w:val="22"/>
          <w:szCs w:val="22"/>
        </w:rPr>
        <w:t>Care and support statutory guidance</w:t>
      </w:r>
      <w:r w:rsidRPr="00BC1B95">
        <w:rPr>
          <w:rFonts w:ascii="Arial" w:hAnsi="Arial" w:cs="Arial"/>
          <w:sz w:val="22"/>
          <w:szCs w:val="22"/>
        </w:rPr>
        <w:t xml:space="preserve">. Available at: </w:t>
      </w:r>
      <w:hyperlink r:id="rId12" w:history="1">
        <w:r w:rsidRPr="00BC1B95">
          <w:rPr>
            <w:rStyle w:val="Hyperlink"/>
            <w:rFonts w:ascii="Arial" w:hAnsi="Arial" w:cs="Arial"/>
            <w:sz w:val="22"/>
            <w:szCs w:val="22"/>
          </w:rPr>
          <w:t>https://www.gov.uk/government/publications/care-act-statutory-guidance/care-and-support-statutory-guidance</w:t>
        </w:r>
      </w:hyperlink>
      <w:r w:rsidRPr="00BC1B95">
        <w:rPr>
          <w:rFonts w:ascii="Arial" w:hAnsi="Arial" w:cs="Arial"/>
          <w:sz w:val="22"/>
          <w:szCs w:val="22"/>
        </w:rPr>
        <w:t xml:space="preserve"> (Accessed</w:t>
      </w:r>
      <w:r w:rsidR="0076399E">
        <w:rPr>
          <w:rFonts w:ascii="Arial" w:hAnsi="Arial" w:cs="Arial"/>
          <w:sz w:val="22"/>
          <w:szCs w:val="22"/>
        </w:rPr>
        <w:t xml:space="preserve"> </w:t>
      </w:r>
      <w:r w:rsidRPr="00BC1B95">
        <w:rPr>
          <w:rFonts w:ascii="Arial" w:hAnsi="Arial" w:cs="Arial"/>
          <w:sz w:val="22"/>
          <w:szCs w:val="22"/>
        </w:rPr>
        <w:t>25 Sept. 2026).</w:t>
      </w:r>
    </w:p>
    <w:p w14:paraId="6BBCA42F" w14:textId="77777777" w:rsidR="006D390A" w:rsidRPr="00BC1B95" w:rsidRDefault="006D390A" w:rsidP="00BC1B95">
      <w:pPr>
        <w:spacing w:line="360" w:lineRule="auto"/>
        <w:rPr>
          <w:rFonts w:ascii="Arial" w:hAnsi="Arial" w:cs="Arial"/>
          <w:sz w:val="22"/>
          <w:szCs w:val="22"/>
        </w:rPr>
      </w:pPr>
    </w:p>
    <w:p w14:paraId="7620B912" w14:textId="540D77DC" w:rsidR="00A54F21" w:rsidRPr="00BC1B95" w:rsidRDefault="00A54F21" w:rsidP="00BC1B95">
      <w:pPr>
        <w:spacing w:line="360" w:lineRule="auto"/>
        <w:rPr>
          <w:rFonts w:ascii="Arial" w:hAnsi="Arial" w:cs="Arial"/>
          <w:sz w:val="22"/>
          <w:szCs w:val="22"/>
        </w:rPr>
      </w:pPr>
      <w:r w:rsidRPr="00BC1B95">
        <w:rPr>
          <w:rFonts w:ascii="Arial" w:hAnsi="Arial" w:cs="Arial"/>
          <w:sz w:val="22"/>
          <w:szCs w:val="22"/>
        </w:rPr>
        <w:lastRenderedPageBreak/>
        <w:t xml:space="preserve">GOV.UK (2014). </w:t>
      </w:r>
      <w:r w:rsidRPr="00BC1B95">
        <w:rPr>
          <w:rFonts w:ascii="Arial" w:hAnsi="Arial" w:cs="Arial"/>
          <w:i/>
          <w:iCs/>
          <w:sz w:val="22"/>
          <w:szCs w:val="22"/>
        </w:rPr>
        <w:t>Care act 2014</w:t>
      </w:r>
      <w:r w:rsidRPr="00BC1B95">
        <w:rPr>
          <w:rFonts w:ascii="Arial" w:hAnsi="Arial" w:cs="Arial"/>
          <w:sz w:val="22"/>
          <w:szCs w:val="22"/>
        </w:rPr>
        <w:t xml:space="preserve">. [online] Legislation.gov.uk. Available at: </w:t>
      </w:r>
      <w:hyperlink r:id="rId13" w:history="1">
        <w:r w:rsidRPr="00BC1B95">
          <w:rPr>
            <w:rStyle w:val="Hyperlink"/>
            <w:rFonts w:ascii="Arial" w:hAnsi="Arial" w:cs="Arial"/>
            <w:sz w:val="22"/>
            <w:szCs w:val="22"/>
          </w:rPr>
          <w:t>https://www.legislation.gov.uk/ukpga/2014/23/section/1/enacted</w:t>
        </w:r>
      </w:hyperlink>
      <w:r w:rsidRPr="00BC1B95">
        <w:rPr>
          <w:rFonts w:ascii="Arial" w:hAnsi="Arial" w:cs="Arial"/>
          <w:sz w:val="22"/>
          <w:szCs w:val="22"/>
        </w:rPr>
        <w:t xml:space="preserve"> (Accessed 23 Sept. 2026).</w:t>
      </w:r>
    </w:p>
    <w:p w14:paraId="16D6E5DD" w14:textId="77777777" w:rsidR="0035174E" w:rsidRPr="00BC1B95" w:rsidRDefault="0035174E" w:rsidP="00BC1B95">
      <w:pPr>
        <w:spacing w:line="360" w:lineRule="auto"/>
        <w:rPr>
          <w:rFonts w:ascii="Arial" w:hAnsi="Arial" w:cs="Arial"/>
          <w:sz w:val="22"/>
          <w:szCs w:val="22"/>
        </w:rPr>
      </w:pPr>
    </w:p>
    <w:p w14:paraId="420A3557" w14:textId="77777777" w:rsidR="00217BA5" w:rsidRDefault="0035174E" w:rsidP="00BC1B95">
      <w:pPr>
        <w:spacing w:line="360" w:lineRule="auto"/>
        <w:rPr>
          <w:rFonts w:ascii="Arial" w:hAnsi="Arial" w:cs="Arial"/>
          <w:sz w:val="22"/>
          <w:szCs w:val="22"/>
        </w:rPr>
      </w:pPr>
      <w:r w:rsidRPr="00BC1B95">
        <w:rPr>
          <w:rFonts w:ascii="Arial" w:hAnsi="Arial" w:cs="Arial"/>
          <w:sz w:val="22"/>
          <w:szCs w:val="22"/>
        </w:rPr>
        <w:t xml:space="preserve">Gibbs, G. (1988). Learning by doing: A guide to teaching and learning methods. </w:t>
      </w:r>
      <w:r w:rsidRPr="00BC1B95">
        <w:rPr>
          <w:rFonts w:ascii="Arial" w:hAnsi="Arial" w:cs="Arial"/>
          <w:i/>
          <w:iCs/>
          <w:sz w:val="22"/>
          <w:szCs w:val="22"/>
        </w:rPr>
        <w:t>Programmed Learning &amp; Educational Technology</w:t>
      </w:r>
      <w:r w:rsidRPr="00BC1B95">
        <w:rPr>
          <w:rFonts w:ascii="Arial" w:hAnsi="Arial" w:cs="Arial"/>
          <w:sz w:val="22"/>
          <w:szCs w:val="22"/>
        </w:rPr>
        <w:t>, 25(2).</w:t>
      </w:r>
    </w:p>
    <w:p w14:paraId="70E7A0B7" w14:textId="77777777" w:rsidR="00BC1B95" w:rsidRPr="00BC1B95" w:rsidRDefault="00BC1B95" w:rsidP="00BC1B95">
      <w:pPr>
        <w:spacing w:line="360" w:lineRule="auto"/>
        <w:rPr>
          <w:rFonts w:ascii="Arial" w:hAnsi="Arial" w:cs="Arial"/>
          <w:sz w:val="22"/>
          <w:szCs w:val="22"/>
        </w:rPr>
      </w:pPr>
    </w:p>
    <w:p w14:paraId="760C8B0A" w14:textId="56960367" w:rsidR="009E22F7" w:rsidRPr="00BC1B95" w:rsidRDefault="009E22F7" w:rsidP="00BC1B95">
      <w:pPr>
        <w:spacing w:line="360" w:lineRule="auto"/>
        <w:rPr>
          <w:rFonts w:ascii="Arial" w:hAnsi="Arial" w:cs="Arial"/>
          <w:sz w:val="22"/>
          <w:szCs w:val="22"/>
        </w:rPr>
      </w:pPr>
      <w:r w:rsidRPr="00BC1B95">
        <w:rPr>
          <w:rFonts w:ascii="Arial" w:hAnsi="Arial" w:cs="Arial"/>
          <w:sz w:val="22"/>
          <w:szCs w:val="22"/>
        </w:rPr>
        <w:t>Health and Care Act 2022 (2022)</w:t>
      </w:r>
      <w:r w:rsidR="00CD036C" w:rsidRPr="00BC1B95">
        <w:rPr>
          <w:rFonts w:ascii="Arial" w:hAnsi="Arial" w:cs="Arial"/>
          <w:sz w:val="22"/>
          <w:szCs w:val="22"/>
        </w:rPr>
        <w:t>.</w:t>
      </w:r>
      <w:r w:rsidRPr="00BC1B95">
        <w:rPr>
          <w:rFonts w:ascii="Arial" w:hAnsi="Arial" w:cs="Arial"/>
          <w:sz w:val="22"/>
          <w:szCs w:val="22"/>
        </w:rPr>
        <w:t xml:space="preserve"> </w:t>
      </w:r>
      <w:r w:rsidRPr="00BC1B95">
        <w:rPr>
          <w:rFonts w:ascii="Arial" w:hAnsi="Arial" w:cs="Arial"/>
          <w:i/>
          <w:iCs/>
          <w:sz w:val="22"/>
          <w:szCs w:val="22"/>
        </w:rPr>
        <w:t>Health and Care Act 2022</w:t>
      </w:r>
      <w:r w:rsidRPr="00BC1B95">
        <w:rPr>
          <w:rFonts w:ascii="Arial" w:hAnsi="Arial" w:cs="Arial"/>
          <w:sz w:val="22"/>
          <w:szCs w:val="22"/>
        </w:rPr>
        <w:t xml:space="preserve">. Available at: </w:t>
      </w:r>
      <w:hyperlink r:id="rId14" w:history="1">
        <w:r w:rsidRPr="00BC1B95">
          <w:rPr>
            <w:rStyle w:val="Hyperlink"/>
            <w:rFonts w:ascii="Arial" w:hAnsi="Arial" w:cs="Arial"/>
            <w:sz w:val="22"/>
            <w:szCs w:val="22"/>
          </w:rPr>
          <w:t>https://www.legislation.gov.uk/ukpga/2022/31/pdfs/ukpga_20220031_en.pdf</w:t>
        </w:r>
      </w:hyperlink>
      <w:r w:rsidRPr="00BC1B95">
        <w:rPr>
          <w:rFonts w:ascii="Arial" w:hAnsi="Arial" w:cs="Arial"/>
          <w:sz w:val="22"/>
          <w:szCs w:val="22"/>
        </w:rPr>
        <w:t xml:space="preserve"> (Accessed</w:t>
      </w:r>
      <w:r w:rsidR="00361BD7">
        <w:rPr>
          <w:rFonts w:ascii="Arial" w:hAnsi="Arial" w:cs="Arial"/>
          <w:sz w:val="22"/>
          <w:szCs w:val="22"/>
        </w:rPr>
        <w:t xml:space="preserve"> </w:t>
      </w:r>
      <w:r w:rsidRPr="00BC1B95">
        <w:rPr>
          <w:rFonts w:ascii="Arial" w:hAnsi="Arial" w:cs="Arial"/>
          <w:sz w:val="22"/>
          <w:szCs w:val="22"/>
        </w:rPr>
        <w:t>2</w:t>
      </w:r>
      <w:r w:rsidR="008803DB" w:rsidRPr="00BC1B95">
        <w:rPr>
          <w:rFonts w:ascii="Arial" w:hAnsi="Arial" w:cs="Arial"/>
          <w:sz w:val="22"/>
          <w:szCs w:val="22"/>
        </w:rPr>
        <w:t>0</w:t>
      </w:r>
      <w:r w:rsidRPr="00BC1B95">
        <w:rPr>
          <w:rFonts w:ascii="Arial" w:hAnsi="Arial" w:cs="Arial"/>
          <w:sz w:val="22"/>
          <w:szCs w:val="22"/>
        </w:rPr>
        <w:t xml:space="preserve"> Sept</w:t>
      </w:r>
      <w:r w:rsidR="00CD036C" w:rsidRPr="00BC1B95">
        <w:rPr>
          <w:rFonts w:ascii="Arial" w:hAnsi="Arial" w:cs="Arial"/>
          <w:sz w:val="22"/>
          <w:szCs w:val="22"/>
        </w:rPr>
        <w:t>.</w:t>
      </w:r>
      <w:r w:rsidRPr="00BC1B95">
        <w:rPr>
          <w:rFonts w:ascii="Arial" w:hAnsi="Arial" w:cs="Arial"/>
          <w:sz w:val="22"/>
          <w:szCs w:val="22"/>
        </w:rPr>
        <w:t xml:space="preserve"> 2026).</w:t>
      </w:r>
    </w:p>
    <w:p w14:paraId="2EED6CB0" w14:textId="77777777" w:rsidR="00CD036C" w:rsidRPr="00BC1B95" w:rsidRDefault="00CD036C" w:rsidP="00BC1B95">
      <w:pPr>
        <w:spacing w:line="360" w:lineRule="auto"/>
        <w:rPr>
          <w:rFonts w:ascii="Arial" w:hAnsi="Arial" w:cs="Arial"/>
          <w:sz w:val="22"/>
          <w:szCs w:val="22"/>
        </w:rPr>
      </w:pPr>
    </w:p>
    <w:p w14:paraId="050DDF27" w14:textId="62D09000" w:rsidR="00513E1A" w:rsidRDefault="00513E1A" w:rsidP="00BC1B95">
      <w:pPr>
        <w:spacing w:line="360" w:lineRule="auto"/>
        <w:rPr>
          <w:rFonts w:ascii="Arial" w:hAnsi="Arial" w:cs="Arial"/>
          <w:sz w:val="22"/>
          <w:szCs w:val="22"/>
        </w:rPr>
      </w:pPr>
      <w:r w:rsidRPr="00BC1B95">
        <w:rPr>
          <w:rFonts w:ascii="Arial" w:hAnsi="Arial" w:cs="Arial"/>
          <w:sz w:val="22"/>
          <w:szCs w:val="22"/>
        </w:rPr>
        <w:t xml:space="preserve">Maslow, A.H. (1943). A theory of human motivation. </w:t>
      </w:r>
      <w:r w:rsidRPr="00BC1B95">
        <w:rPr>
          <w:rFonts w:ascii="Arial" w:hAnsi="Arial" w:cs="Arial"/>
          <w:i/>
          <w:iCs/>
          <w:sz w:val="22"/>
          <w:szCs w:val="22"/>
        </w:rPr>
        <w:t>Psychological Review</w:t>
      </w:r>
      <w:r w:rsidRPr="00BC1B95">
        <w:rPr>
          <w:rFonts w:ascii="Arial" w:hAnsi="Arial" w:cs="Arial"/>
          <w:sz w:val="22"/>
          <w:szCs w:val="22"/>
        </w:rPr>
        <w:t xml:space="preserve">, 50(4), pp.370–396. </w:t>
      </w:r>
      <w:r w:rsidR="0011563F" w:rsidRPr="00BC1B95">
        <w:rPr>
          <w:rFonts w:ascii="Arial" w:hAnsi="Arial" w:cs="Arial"/>
          <w:sz w:val="22"/>
          <w:szCs w:val="22"/>
        </w:rPr>
        <w:t>Doi</w:t>
      </w:r>
      <w:r w:rsidR="004A26E4" w:rsidRPr="00BC1B95">
        <w:rPr>
          <w:rFonts w:ascii="Arial" w:hAnsi="Arial" w:cs="Arial"/>
          <w:sz w:val="22"/>
          <w:szCs w:val="22"/>
        </w:rPr>
        <w:t>:</w:t>
      </w:r>
      <w:r w:rsidR="0011563F" w:rsidRPr="00BC1B95">
        <w:rPr>
          <w:rFonts w:ascii="Arial" w:hAnsi="Arial" w:cs="Arial"/>
          <w:sz w:val="22"/>
          <w:szCs w:val="22"/>
        </w:rPr>
        <w:t xml:space="preserve"> </w:t>
      </w:r>
      <w:hyperlink r:id="rId15" w:history="1">
        <w:r w:rsidR="0011563F" w:rsidRPr="00BC1B95">
          <w:rPr>
            <w:rStyle w:val="Hyperlink"/>
            <w:rFonts w:ascii="Arial" w:hAnsi="Arial" w:cs="Arial"/>
            <w:sz w:val="22"/>
            <w:szCs w:val="22"/>
          </w:rPr>
          <w:t>https://doi.org/10.1037/h0054346</w:t>
        </w:r>
      </w:hyperlink>
      <w:r w:rsidR="0011563F" w:rsidRPr="00BC1B95">
        <w:rPr>
          <w:rFonts w:ascii="Arial" w:hAnsi="Arial" w:cs="Arial"/>
          <w:sz w:val="22"/>
          <w:szCs w:val="22"/>
        </w:rPr>
        <w:t xml:space="preserve"> (Accessed</w:t>
      </w:r>
      <w:r w:rsidR="00361BD7">
        <w:rPr>
          <w:rFonts w:ascii="Arial" w:hAnsi="Arial" w:cs="Arial"/>
          <w:sz w:val="22"/>
          <w:szCs w:val="22"/>
        </w:rPr>
        <w:t xml:space="preserve"> </w:t>
      </w:r>
      <w:r w:rsidR="008803DB" w:rsidRPr="00BC1B95">
        <w:rPr>
          <w:rFonts w:ascii="Arial" w:hAnsi="Arial" w:cs="Arial"/>
          <w:sz w:val="22"/>
          <w:szCs w:val="22"/>
        </w:rPr>
        <w:t>26 Sept. 2026).</w:t>
      </w:r>
    </w:p>
    <w:p w14:paraId="47E468E1" w14:textId="77777777" w:rsidR="00E656C8" w:rsidRDefault="00E656C8" w:rsidP="00BC1B95">
      <w:pPr>
        <w:spacing w:line="360" w:lineRule="auto"/>
        <w:rPr>
          <w:rFonts w:ascii="Arial" w:hAnsi="Arial" w:cs="Arial"/>
          <w:sz w:val="22"/>
          <w:szCs w:val="22"/>
        </w:rPr>
      </w:pPr>
    </w:p>
    <w:p w14:paraId="0F63B7EF" w14:textId="0204E589" w:rsidR="00E656C8" w:rsidRPr="00BC1B95" w:rsidRDefault="00E656C8" w:rsidP="00BC1B95">
      <w:pPr>
        <w:spacing w:line="360" w:lineRule="auto"/>
        <w:rPr>
          <w:rFonts w:ascii="Arial" w:hAnsi="Arial" w:cs="Arial"/>
          <w:sz w:val="22"/>
          <w:szCs w:val="22"/>
        </w:rPr>
      </w:pPr>
      <w:r w:rsidRPr="00BC1B95">
        <w:rPr>
          <w:rFonts w:ascii="Arial" w:hAnsi="Arial" w:cs="Arial"/>
          <w:sz w:val="22"/>
          <w:szCs w:val="22"/>
        </w:rPr>
        <w:t>Mental Capacity Act (2005).</w:t>
      </w:r>
      <w:r>
        <w:rPr>
          <w:rFonts w:ascii="Arial" w:hAnsi="Arial" w:cs="Arial"/>
          <w:sz w:val="22"/>
          <w:szCs w:val="22"/>
        </w:rPr>
        <w:t xml:space="preserve"> </w:t>
      </w:r>
      <w:r w:rsidRPr="00BC1B95">
        <w:rPr>
          <w:rFonts w:ascii="Arial" w:hAnsi="Arial" w:cs="Arial"/>
          <w:i/>
          <w:iCs/>
          <w:sz w:val="22"/>
          <w:szCs w:val="22"/>
        </w:rPr>
        <w:t>Mental capacity act 2005</w:t>
      </w:r>
      <w:r w:rsidRPr="00BC1B95">
        <w:rPr>
          <w:rFonts w:ascii="Arial" w:hAnsi="Arial" w:cs="Arial"/>
          <w:sz w:val="22"/>
          <w:szCs w:val="22"/>
        </w:rPr>
        <w:t xml:space="preserve">. [online] Legislation.gov.uk. Available at: </w:t>
      </w:r>
      <w:hyperlink r:id="rId16" w:history="1">
        <w:r w:rsidRPr="00BC1B95">
          <w:rPr>
            <w:rStyle w:val="Hyperlink"/>
            <w:rFonts w:ascii="Arial" w:hAnsi="Arial" w:cs="Arial"/>
            <w:sz w:val="22"/>
            <w:szCs w:val="22"/>
          </w:rPr>
          <w:t>https://www.legislation.gov.uk/ukpga/2005/9</w:t>
        </w:r>
      </w:hyperlink>
      <w:r w:rsidRPr="00BC1B95">
        <w:rPr>
          <w:rFonts w:ascii="Arial" w:hAnsi="Arial" w:cs="Arial"/>
          <w:sz w:val="22"/>
          <w:szCs w:val="22"/>
        </w:rPr>
        <w:t xml:space="preserve"> (Accessed 27 Sept. 2026).</w:t>
      </w:r>
    </w:p>
    <w:p w14:paraId="41A46422" w14:textId="77777777" w:rsidR="00070EFE" w:rsidRPr="00BC1B95" w:rsidRDefault="00070EFE" w:rsidP="00BC1B95">
      <w:pPr>
        <w:spacing w:line="360" w:lineRule="auto"/>
        <w:rPr>
          <w:rFonts w:ascii="Arial" w:hAnsi="Arial" w:cs="Arial"/>
          <w:sz w:val="22"/>
          <w:szCs w:val="22"/>
        </w:rPr>
      </w:pPr>
    </w:p>
    <w:p w14:paraId="2DE47DC0" w14:textId="43F9A61B" w:rsidR="00A520FC" w:rsidRPr="00BC1B95" w:rsidRDefault="009E1C49" w:rsidP="00BC1B95">
      <w:pPr>
        <w:spacing w:line="360" w:lineRule="auto"/>
        <w:rPr>
          <w:rFonts w:ascii="Arial" w:hAnsi="Arial" w:cs="Arial"/>
          <w:sz w:val="22"/>
          <w:szCs w:val="22"/>
        </w:rPr>
      </w:pPr>
      <w:r w:rsidRPr="00BC1B95">
        <w:rPr>
          <w:rFonts w:ascii="Arial" w:hAnsi="Arial" w:cs="Arial"/>
          <w:sz w:val="22"/>
          <w:szCs w:val="22"/>
        </w:rPr>
        <w:t xml:space="preserve">NICE (2018). </w:t>
      </w:r>
      <w:r w:rsidRPr="00BC1B95">
        <w:rPr>
          <w:rFonts w:ascii="Arial" w:hAnsi="Arial" w:cs="Arial"/>
          <w:i/>
          <w:iCs/>
          <w:sz w:val="22"/>
          <w:szCs w:val="22"/>
        </w:rPr>
        <w:t>Dementia: Assessment, management and support for people living with dementia and their carers | guidance | NICE</w:t>
      </w:r>
      <w:r w:rsidRPr="00BC1B95">
        <w:rPr>
          <w:rFonts w:ascii="Arial" w:hAnsi="Arial" w:cs="Arial"/>
          <w:sz w:val="22"/>
          <w:szCs w:val="22"/>
        </w:rPr>
        <w:t xml:space="preserve">. [online] Nice.org.uk. Available at: </w:t>
      </w:r>
      <w:hyperlink r:id="rId17" w:history="1">
        <w:r w:rsidRPr="00BC1B95">
          <w:rPr>
            <w:rStyle w:val="Hyperlink"/>
            <w:rFonts w:ascii="Arial" w:hAnsi="Arial" w:cs="Arial"/>
            <w:sz w:val="22"/>
            <w:szCs w:val="22"/>
          </w:rPr>
          <w:t>https://www.nice.org.uk/guidance/ng97</w:t>
        </w:r>
      </w:hyperlink>
      <w:r w:rsidRPr="00BC1B95">
        <w:rPr>
          <w:rFonts w:ascii="Arial" w:hAnsi="Arial" w:cs="Arial"/>
          <w:sz w:val="22"/>
          <w:szCs w:val="22"/>
        </w:rPr>
        <w:t xml:space="preserve"> </w:t>
      </w:r>
      <w:r w:rsidR="00C814AA" w:rsidRPr="00BC1B95">
        <w:rPr>
          <w:rFonts w:ascii="Arial" w:hAnsi="Arial" w:cs="Arial"/>
          <w:sz w:val="22"/>
          <w:szCs w:val="22"/>
        </w:rPr>
        <w:t>(</w:t>
      </w:r>
      <w:r w:rsidRPr="00BC1B95">
        <w:rPr>
          <w:rFonts w:ascii="Arial" w:hAnsi="Arial" w:cs="Arial"/>
          <w:sz w:val="22"/>
          <w:szCs w:val="22"/>
        </w:rPr>
        <w:t>Accessed</w:t>
      </w:r>
      <w:r w:rsidR="00AF37D6" w:rsidRPr="00BC1B95">
        <w:rPr>
          <w:rFonts w:ascii="Arial" w:hAnsi="Arial" w:cs="Arial"/>
          <w:sz w:val="22"/>
          <w:szCs w:val="22"/>
        </w:rPr>
        <w:t xml:space="preserve"> </w:t>
      </w:r>
      <w:r w:rsidRPr="00BC1B95">
        <w:rPr>
          <w:rFonts w:ascii="Arial" w:hAnsi="Arial" w:cs="Arial"/>
          <w:sz w:val="22"/>
          <w:szCs w:val="22"/>
        </w:rPr>
        <w:t>2</w:t>
      </w:r>
      <w:r w:rsidR="00AF5BCD" w:rsidRPr="00BC1B95">
        <w:rPr>
          <w:rFonts w:ascii="Arial" w:hAnsi="Arial" w:cs="Arial"/>
          <w:sz w:val="22"/>
          <w:szCs w:val="22"/>
        </w:rPr>
        <w:t>2</w:t>
      </w:r>
      <w:r w:rsidRPr="00BC1B95">
        <w:rPr>
          <w:rFonts w:ascii="Arial" w:hAnsi="Arial" w:cs="Arial"/>
          <w:sz w:val="22"/>
          <w:szCs w:val="22"/>
        </w:rPr>
        <w:t xml:space="preserve"> Sept. 2026</w:t>
      </w:r>
      <w:r w:rsidR="00C814AA" w:rsidRPr="00BC1B95">
        <w:rPr>
          <w:rFonts w:ascii="Arial" w:hAnsi="Arial" w:cs="Arial"/>
          <w:sz w:val="22"/>
          <w:szCs w:val="22"/>
        </w:rPr>
        <w:t>)</w:t>
      </w:r>
      <w:r w:rsidRPr="00BC1B95">
        <w:rPr>
          <w:rFonts w:ascii="Arial" w:hAnsi="Arial" w:cs="Arial"/>
          <w:sz w:val="22"/>
          <w:szCs w:val="22"/>
        </w:rPr>
        <w:t>.</w:t>
      </w:r>
    </w:p>
    <w:p w14:paraId="0FF3A0C9" w14:textId="72CA1CCA" w:rsidR="00AA0522" w:rsidRPr="00BC1B95" w:rsidRDefault="00AA0522" w:rsidP="00BC1B95">
      <w:pPr>
        <w:spacing w:line="360" w:lineRule="auto"/>
        <w:rPr>
          <w:rFonts w:ascii="Arial" w:hAnsi="Arial" w:cs="Arial"/>
          <w:sz w:val="22"/>
          <w:szCs w:val="22"/>
        </w:rPr>
      </w:pPr>
    </w:p>
    <w:p w14:paraId="078B5235" w14:textId="2ABA3114" w:rsidR="00225604" w:rsidRPr="00BC1B95" w:rsidRDefault="00225604" w:rsidP="00BC1B95">
      <w:pPr>
        <w:spacing w:line="360" w:lineRule="auto"/>
        <w:rPr>
          <w:rFonts w:ascii="Arial" w:hAnsi="Arial" w:cs="Arial"/>
          <w:sz w:val="22"/>
          <w:szCs w:val="22"/>
        </w:rPr>
      </w:pPr>
      <w:r w:rsidRPr="00BC1B95">
        <w:rPr>
          <w:rFonts w:ascii="Arial" w:hAnsi="Arial" w:cs="Arial"/>
          <w:sz w:val="22"/>
          <w:szCs w:val="22"/>
        </w:rPr>
        <w:t xml:space="preserve">Riachi, R. (2017). </w:t>
      </w:r>
      <w:r w:rsidR="00957FD1" w:rsidRPr="00BC1B95">
        <w:rPr>
          <w:rFonts w:ascii="Arial" w:hAnsi="Arial" w:cs="Arial"/>
          <w:sz w:val="22"/>
          <w:szCs w:val="22"/>
        </w:rPr>
        <w:t>‘</w:t>
      </w:r>
      <w:r w:rsidRPr="00BC1B95">
        <w:rPr>
          <w:rFonts w:ascii="Arial" w:hAnsi="Arial" w:cs="Arial"/>
          <w:sz w:val="22"/>
          <w:szCs w:val="22"/>
        </w:rPr>
        <w:t>Person-centred communication in dementia care: A qualitative study of the use of the SPECAL® method by CARE workers in the UK</w:t>
      </w:r>
      <w:r w:rsidR="00957FD1" w:rsidRPr="00BC1B95">
        <w:rPr>
          <w:rFonts w:ascii="Arial" w:hAnsi="Arial" w:cs="Arial"/>
          <w:sz w:val="22"/>
          <w:szCs w:val="22"/>
        </w:rPr>
        <w:t>’</w:t>
      </w:r>
      <w:r w:rsidR="00B82872" w:rsidRPr="00BC1B95">
        <w:rPr>
          <w:rFonts w:ascii="Arial" w:hAnsi="Arial" w:cs="Arial"/>
          <w:sz w:val="22"/>
          <w:szCs w:val="22"/>
        </w:rPr>
        <w:t>,</w:t>
      </w:r>
      <w:r w:rsidRPr="00BC1B95">
        <w:rPr>
          <w:rFonts w:ascii="Arial" w:hAnsi="Arial" w:cs="Arial"/>
          <w:sz w:val="22"/>
          <w:szCs w:val="22"/>
        </w:rPr>
        <w:t xml:space="preserve"> </w:t>
      </w:r>
      <w:r w:rsidRPr="00BC1B95">
        <w:rPr>
          <w:rFonts w:ascii="Arial" w:hAnsi="Arial" w:cs="Arial"/>
          <w:i/>
          <w:iCs/>
          <w:sz w:val="22"/>
          <w:szCs w:val="22"/>
        </w:rPr>
        <w:t>Journal of Social Work Practice</w:t>
      </w:r>
      <w:r w:rsidRPr="00BC1B95">
        <w:rPr>
          <w:rFonts w:ascii="Arial" w:hAnsi="Arial" w:cs="Arial"/>
          <w:sz w:val="22"/>
          <w:szCs w:val="22"/>
        </w:rPr>
        <w:t xml:space="preserve">, 32(3), pp.1–19. doi:10.1080/02650533.2017.1381948. </w:t>
      </w:r>
      <w:r w:rsidR="00BD2A1A" w:rsidRPr="00BC1B95">
        <w:rPr>
          <w:rFonts w:ascii="Arial" w:hAnsi="Arial" w:cs="Arial"/>
          <w:sz w:val="22"/>
          <w:szCs w:val="22"/>
        </w:rPr>
        <w:t>(Accessed 29 Sept. 2026).</w:t>
      </w:r>
    </w:p>
    <w:p w14:paraId="6B235340" w14:textId="77777777" w:rsidR="00225604" w:rsidRPr="00BC1B95" w:rsidRDefault="00225604" w:rsidP="00BC1B95">
      <w:pPr>
        <w:spacing w:line="360" w:lineRule="auto"/>
        <w:rPr>
          <w:rFonts w:ascii="Arial" w:hAnsi="Arial" w:cs="Arial"/>
          <w:sz w:val="22"/>
          <w:szCs w:val="22"/>
        </w:rPr>
      </w:pPr>
    </w:p>
    <w:p w14:paraId="46DA4BDE" w14:textId="7B8DA5EC" w:rsidR="006C1AA2" w:rsidRDefault="009E22F7" w:rsidP="00BC1B95">
      <w:pPr>
        <w:spacing w:line="360" w:lineRule="auto"/>
        <w:rPr>
          <w:rFonts w:ascii="Arial" w:hAnsi="Arial" w:cs="Arial"/>
          <w:sz w:val="22"/>
          <w:szCs w:val="22"/>
        </w:rPr>
      </w:pPr>
      <w:r w:rsidRPr="00BC1B95">
        <w:rPr>
          <w:rFonts w:ascii="Arial" w:hAnsi="Arial" w:cs="Arial"/>
          <w:sz w:val="22"/>
          <w:szCs w:val="22"/>
        </w:rPr>
        <w:t>Skills for Care (2026)</w:t>
      </w:r>
      <w:r w:rsidR="00554745" w:rsidRPr="00BC1B95">
        <w:rPr>
          <w:rFonts w:ascii="Arial" w:hAnsi="Arial" w:cs="Arial"/>
          <w:sz w:val="22"/>
          <w:szCs w:val="22"/>
        </w:rPr>
        <w:t>.</w:t>
      </w:r>
      <w:r w:rsidRPr="00BC1B95">
        <w:rPr>
          <w:rFonts w:ascii="Arial" w:hAnsi="Arial" w:cs="Arial"/>
          <w:sz w:val="22"/>
          <w:szCs w:val="22"/>
        </w:rPr>
        <w:t xml:space="preserve"> </w:t>
      </w:r>
      <w:r w:rsidRPr="00BC1B95">
        <w:rPr>
          <w:rFonts w:ascii="Arial" w:hAnsi="Arial" w:cs="Arial"/>
          <w:i/>
          <w:iCs/>
          <w:sz w:val="22"/>
          <w:szCs w:val="22"/>
        </w:rPr>
        <w:t>Code of Conduct</w:t>
      </w:r>
      <w:r w:rsidRPr="00BC1B95">
        <w:rPr>
          <w:rFonts w:ascii="Arial" w:hAnsi="Arial" w:cs="Arial"/>
          <w:sz w:val="22"/>
          <w:szCs w:val="22"/>
        </w:rPr>
        <w:t xml:space="preserve">. Available at: </w:t>
      </w:r>
      <w:hyperlink r:id="rId18" w:history="1">
        <w:r w:rsidRPr="00BC1B95">
          <w:rPr>
            <w:rStyle w:val="Hyperlink"/>
            <w:rFonts w:ascii="Arial" w:hAnsi="Arial" w:cs="Arial"/>
            <w:sz w:val="22"/>
            <w:szCs w:val="22"/>
          </w:rPr>
          <w:t>https://www.skillsforcare.org.uk/Support-for-leaders-and-managers/Managing-people/Code-of-Conduct.aspx</w:t>
        </w:r>
      </w:hyperlink>
      <w:r w:rsidRPr="00BC1B95">
        <w:rPr>
          <w:rFonts w:ascii="Arial" w:hAnsi="Arial" w:cs="Arial"/>
          <w:sz w:val="22"/>
          <w:szCs w:val="22"/>
        </w:rPr>
        <w:t xml:space="preserve"> (Accessed</w:t>
      </w:r>
      <w:r w:rsidR="00554745" w:rsidRPr="00BC1B95">
        <w:rPr>
          <w:rFonts w:ascii="Arial" w:hAnsi="Arial" w:cs="Arial"/>
          <w:sz w:val="22"/>
          <w:szCs w:val="22"/>
        </w:rPr>
        <w:t xml:space="preserve"> 30</w:t>
      </w:r>
      <w:r w:rsidRPr="00BC1B95">
        <w:rPr>
          <w:rFonts w:ascii="Arial" w:hAnsi="Arial" w:cs="Arial"/>
          <w:sz w:val="22"/>
          <w:szCs w:val="22"/>
        </w:rPr>
        <w:t xml:space="preserve"> Sept</w:t>
      </w:r>
      <w:r w:rsidR="00554745" w:rsidRPr="00BC1B95">
        <w:rPr>
          <w:rFonts w:ascii="Arial" w:hAnsi="Arial" w:cs="Arial"/>
          <w:sz w:val="22"/>
          <w:szCs w:val="22"/>
        </w:rPr>
        <w:t>.</w:t>
      </w:r>
      <w:r w:rsidRPr="00BC1B95">
        <w:rPr>
          <w:rFonts w:ascii="Arial" w:hAnsi="Arial" w:cs="Arial"/>
          <w:sz w:val="22"/>
          <w:szCs w:val="22"/>
        </w:rPr>
        <w:t xml:space="preserve"> 2026).</w:t>
      </w:r>
    </w:p>
    <w:p w14:paraId="5930A397" w14:textId="77777777" w:rsidR="00E656C8" w:rsidRDefault="00E656C8" w:rsidP="00BC1B95">
      <w:pPr>
        <w:spacing w:line="360" w:lineRule="auto"/>
        <w:rPr>
          <w:rFonts w:ascii="Arial" w:hAnsi="Arial" w:cs="Arial"/>
          <w:sz w:val="22"/>
          <w:szCs w:val="22"/>
        </w:rPr>
      </w:pPr>
    </w:p>
    <w:p w14:paraId="5B2839BD" w14:textId="1D4E1211" w:rsidR="00361BD7" w:rsidRPr="00361BD7" w:rsidRDefault="00361BD7" w:rsidP="00361BD7">
      <w:pPr>
        <w:spacing w:line="360" w:lineRule="auto"/>
        <w:rPr>
          <w:rFonts w:ascii="Arial" w:hAnsi="Arial" w:cs="Arial"/>
          <w:sz w:val="22"/>
          <w:szCs w:val="22"/>
        </w:rPr>
      </w:pPr>
      <w:r w:rsidRPr="00361BD7">
        <w:rPr>
          <w:rFonts w:ascii="Arial" w:hAnsi="Arial" w:cs="Arial"/>
          <w:sz w:val="22"/>
          <w:szCs w:val="22"/>
        </w:rPr>
        <w:lastRenderedPageBreak/>
        <w:t xml:space="preserve">The University of Edinburgh (2024). </w:t>
      </w:r>
      <w:r w:rsidRPr="00361BD7">
        <w:rPr>
          <w:rFonts w:ascii="Arial" w:hAnsi="Arial" w:cs="Arial"/>
          <w:i/>
          <w:iCs/>
          <w:sz w:val="22"/>
          <w:szCs w:val="22"/>
        </w:rPr>
        <w:t>Gibbs’ reflective cycle</w:t>
      </w:r>
      <w:r w:rsidRPr="00361BD7">
        <w:rPr>
          <w:rFonts w:ascii="Arial" w:hAnsi="Arial" w:cs="Arial"/>
          <w:sz w:val="22"/>
          <w:szCs w:val="22"/>
        </w:rPr>
        <w:t xml:space="preserve">. Available at: </w:t>
      </w:r>
      <w:hyperlink r:id="rId19" w:history="1">
        <w:r w:rsidRPr="002F73CB">
          <w:rPr>
            <w:rStyle w:val="Hyperlink"/>
            <w:rFonts w:ascii="Arial" w:hAnsi="Arial" w:cs="Arial"/>
            <w:sz w:val="22"/>
            <w:szCs w:val="22"/>
          </w:rPr>
          <w:t>https://reflection.ed.ac.uk/reflectors-toolkit/reflecting-on-experience/gibbs-reflective-cycle</w:t>
        </w:r>
      </w:hyperlink>
      <w:r>
        <w:rPr>
          <w:rFonts w:ascii="Arial" w:hAnsi="Arial" w:cs="Arial"/>
          <w:sz w:val="22"/>
          <w:szCs w:val="22"/>
        </w:rPr>
        <w:t xml:space="preserve"> </w:t>
      </w:r>
      <w:r w:rsidRPr="00361BD7">
        <w:rPr>
          <w:rFonts w:ascii="Arial" w:hAnsi="Arial" w:cs="Arial"/>
          <w:sz w:val="22"/>
          <w:szCs w:val="22"/>
        </w:rPr>
        <w:t xml:space="preserve"> </w:t>
      </w:r>
      <w:r>
        <w:rPr>
          <w:rFonts w:ascii="Arial" w:hAnsi="Arial" w:cs="Arial"/>
          <w:sz w:val="22"/>
          <w:szCs w:val="22"/>
        </w:rPr>
        <w:t>(</w:t>
      </w:r>
      <w:r w:rsidRPr="00361BD7">
        <w:rPr>
          <w:rFonts w:ascii="Arial" w:hAnsi="Arial" w:cs="Arial"/>
          <w:sz w:val="22"/>
          <w:szCs w:val="22"/>
        </w:rPr>
        <w:t>Accessed 4 Oct. 2026</w:t>
      </w:r>
      <w:r>
        <w:rPr>
          <w:rFonts w:ascii="Arial" w:hAnsi="Arial" w:cs="Arial"/>
          <w:sz w:val="22"/>
          <w:szCs w:val="22"/>
        </w:rPr>
        <w:t>)</w:t>
      </w:r>
      <w:r w:rsidRPr="00361BD7">
        <w:rPr>
          <w:rFonts w:ascii="Arial" w:hAnsi="Arial" w:cs="Arial"/>
          <w:sz w:val="22"/>
          <w:szCs w:val="22"/>
        </w:rPr>
        <w:t>.</w:t>
      </w:r>
    </w:p>
    <w:p w14:paraId="71EB9038" w14:textId="77777777" w:rsidR="00361BD7" w:rsidRPr="00BC1B95" w:rsidRDefault="00361BD7" w:rsidP="00BC1B95">
      <w:pPr>
        <w:spacing w:line="360" w:lineRule="auto"/>
        <w:rPr>
          <w:rFonts w:ascii="Arial" w:hAnsi="Arial" w:cs="Arial"/>
          <w:sz w:val="22"/>
          <w:szCs w:val="22"/>
        </w:rPr>
      </w:pPr>
    </w:p>
    <w:p w14:paraId="662B70FF" w14:textId="4B8ACE27" w:rsidR="00707C9F" w:rsidRPr="00B75180" w:rsidRDefault="00707C9F">
      <w:pPr>
        <w:rPr>
          <w:rFonts w:ascii="Arial" w:hAnsi="Arial" w:cs="Arial"/>
          <w:sz w:val="22"/>
          <w:szCs w:val="22"/>
        </w:rPr>
      </w:pPr>
    </w:p>
    <w:sectPr w:rsidR="00707C9F" w:rsidRPr="00B7518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CA1D0" w14:textId="77777777" w:rsidR="0037498A" w:rsidRDefault="0037498A" w:rsidP="0065307E">
      <w:pPr>
        <w:spacing w:after="0" w:line="240" w:lineRule="auto"/>
      </w:pPr>
      <w:r>
        <w:separator/>
      </w:r>
    </w:p>
  </w:endnote>
  <w:endnote w:type="continuationSeparator" w:id="0">
    <w:p w14:paraId="15DE3BDE" w14:textId="77777777" w:rsidR="0037498A" w:rsidRDefault="0037498A" w:rsidP="00653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137484"/>
      <w:docPartObj>
        <w:docPartGallery w:val="Page Numbers (Bottom of Page)"/>
        <w:docPartUnique/>
      </w:docPartObj>
    </w:sdtPr>
    <w:sdtEndPr>
      <w:rPr>
        <w:noProof/>
      </w:rPr>
    </w:sdtEndPr>
    <w:sdtContent>
      <w:p w14:paraId="32E1A3D1" w14:textId="2F3CFDAF" w:rsidR="0065307E" w:rsidRDefault="006530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CCC324" w14:textId="77777777" w:rsidR="0065307E" w:rsidRDefault="00653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632C6" w14:textId="77777777" w:rsidR="0037498A" w:rsidRDefault="0037498A" w:rsidP="0065307E">
      <w:pPr>
        <w:spacing w:after="0" w:line="240" w:lineRule="auto"/>
      </w:pPr>
      <w:r>
        <w:separator/>
      </w:r>
    </w:p>
  </w:footnote>
  <w:footnote w:type="continuationSeparator" w:id="0">
    <w:p w14:paraId="50707B41" w14:textId="77777777" w:rsidR="0037498A" w:rsidRDefault="0037498A" w:rsidP="006530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7F"/>
    <w:rsid w:val="00001320"/>
    <w:rsid w:val="0000191D"/>
    <w:rsid w:val="00011AE0"/>
    <w:rsid w:val="00013FB4"/>
    <w:rsid w:val="000174E3"/>
    <w:rsid w:val="000238D1"/>
    <w:rsid w:val="00031EF4"/>
    <w:rsid w:val="00033E19"/>
    <w:rsid w:val="000345B8"/>
    <w:rsid w:val="00041587"/>
    <w:rsid w:val="00051E96"/>
    <w:rsid w:val="000636D2"/>
    <w:rsid w:val="00063FE6"/>
    <w:rsid w:val="00065ABB"/>
    <w:rsid w:val="00066973"/>
    <w:rsid w:val="00070EFE"/>
    <w:rsid w:val="00073339"/>
    <w:rsid w:val="00083A5E"/>
    <w:rsid w:val="00095DEE"/>
    <w:rsid w:val="000B29AC"/>
    <w:rsid w:val="000B52C5"/>
    <w:rsid w:val="000D3A74"/>
    <w:rsid w:val="000D5453"/>
    <w:rsid w:val="000D60B0"/>
    <w:rsid w:val="000D718E"/>
    <w:rsid w:val="000E1126"/>
    <w:rsid w:val="000F26AE"/>
    <w:rsid w:val="000F644F"/>
    <w:rsid w:val="000F750D"/>
    <w:rsid w:val="001004E4"/>
    <w:rsid w:val="00106EE5"/>
    <w:rsid w:val="00107449"/>
    <w:rsid w:val="00113A98"/>
    <w:rsid w:val="0011563F"/>
    <w:rsid w:val="00127144"/>
    <w:rsid w:val="00130AD6"/>
    <w:rsid w:val="00133628"/>
    <w:rsid w:val="001342F5"/>
    <w:rsid w:val="00134CBD"/>
    <w:rsid w:val="00147F14"/>
    <w:rsid w:val="00150CFC"/>
    <w:rsid w:val="001576E9"/>
    <w:rsid w:val="001719F9"/>
    <w:rsid w:val="00186330"/>
    <w:rsid w:val="0018768B"/>
    <w:rsid w:val="00194097"/>
    <w:rsid w:val="001A2CCC"/>
    <w:rsid w:val="001A7F90"/>
    <w:rsid w:val="001B3662"/>
    <w:rsid w:val="001B6133"/>
    <w:rsid w:val="001C652B"/>
    <w:rsid w:val="001D0FFC"/>
    <w:rsid w:val="001D1225"/>
    <w:rsid w:val="001E0429"/>
    <w:rsid w:val="001E17F3"/>
    <w:rsid w:val="001E2478"/>
    <w:rsid w:val="001E7D4E"/>
    <w:rsid w:val="001F20AF"/>
    <w:rsid w:val="001F29A1"/>
    <w:rsid w:val="001F34A7"/>
    <w:rsid w:val="001F3C7B"/>
    <w:rsid w:val="00203B01"/>
    <w:rsid w:val="002047E5"/>
    <w:rsid w:val="002075D6"/>
    <w:rsid w:val="00210022"/>
    <w:rsid w:val="00212AAE"/>
    <w:rsid w:val="00215FA5"/>
    <w:rsid w:val="002165DB"/>
    <w:rsid w:val="00217BA5"/>
    <w:rsid w:val="00221B85"/>
    <w:rsid w:val="00223C00"/>
    <w:rsid w:val="00225604"/>
    <w:rsid w:val="0022656B"/>
    <w:rsid w:val="00233E09"/>
    <w:rsid w:val="002348D5"/>
    <w:rsid w:val="002368A7"/>
    <w:rsid w:val="0024157D"/>
    <w:rsid w:val="00251C53"/>
    <w:rsid w:val="00254C30"/>
    <w:rsid w:val="00263313"/>
    <w:rsid w:val="00273EF8"/>
    <w:rsid w:val="0028240B"/>
    <w:rsid w:val="002934FB"/>
    <w:rsid w:val="00295546"/>
    <w:rsid w:val="00297BA4"/>
    <w:rsid w:val="002A5B52"/>
    <w:rsid w:val="002B42ED"/>
    <w:rsid w:val="002B7EC6"/>
    <w:rsid w:val="002C2BA4"/>
    <w:rsid w:val="002C74F0"/>
    <w:rsid w:val="002C7CBE"/>
    <w:rsid w:val="002D4B6C"/>
    <w:rsid w:val="002D7D72"/>
    <w:rsid w:val="002E257E"/>
    <w:rsid w:val="002E3EDF"/>
    <w:rsid w:val="002E611F"/>
    <w:rsid w:val="002E7CF4"/>
    <w:rsid w:val="002F4771"/>
    <w:rsid w:val="002F5999"/>
    <w:rsid w:val="0031051A"/>
    <w:rsid w:val="00315ACD"/>
    <w:rsid w:val="003209C4"/>
    <w:rsid w:val="00321A4D"/>
    <w:rsid w:val="00342C96"/>
    <w:rsid w:val="00343BE5"/>
    <w:rsid w:val="00346519"/>
    <w:rsid w:val="0035174E"/>
    <w:rsid w:val="00356926"/>
    <w:rsid w:val="00361BD7"/>
    <w:rsid w:val="00370795"/>
    <w:rsid w:val="0037498A"/>
    <w:rsid w:val="00377F66"/>
    <w:rsid w:val="003826E4"/>
    <w:rsid w:val="003836DF"/>
    <w:rsid w:val="003915A6"/>
    <w:rsid w:val="003917C6"/>
    <w:rsid w:val="003926EF"/>
    <w:rsid w:val="003A07A9"/>
    <w:rsid w:val="003C1B4C"/>
    <w:rsid w:val="003C391F"/>
    <w:rsid w:val="003D45B0"/>
    <w:rsid w:val="003D47C4"/>
    <w:rsid w:val="003D6229"/>
    <w:rsid w:val="003E0F77"/>
    <w:rsid w:val="003F2E9D"/>
    <w:rsid w:val="003F36F1"/>
    <w:rsid w:val="00404D3F"/>
    <w:rsid w:val="0040593D"/>
    <w:rsid w:val="004122DE"/>
    <w:rsid w:val="004167A3"/>
    <w:rsid w:val="00423F38"/>
    <w:rsid w:val="00433EDE"/>
    <w:rsid w:val="00447D9D"/>
    <w:rsid w:val="00460C30"/>
    <w:rsid w:val="00464F6D"/>
    <w:rsid w:val="0047533D"/>
    <w:rsid w:val="00476DD0"/>
    <w:rsid w:val="00482A36"/>
    <w:rsid w:val="00483044"/>
    <w:rsid w:val="00493B5E"/>
    <w:rsid w:val="004A26E4"/>
    <w:rsid w:val="004A32CA"/>
    <w:rsid w:val="004A4EAA"/>
    <w:rsid w:val="004B6731"/>
    <w:rsid w:val="004C55A3"/>
    <w:rsid w:val="004D23AC"/>
    <w:rsid w:val="004D603E"/>
    <w:rsid w:val="004D6AD0"/>
    <w:rsid w:val="004E6BE0"/>
    <w:rsid w:val="004F2703"/>
    <w:rsid w:val="00513E1A"/>
    <w:rsid w:val="0052213E"/>
    <w:rsid w:val="00525CAC"/>
    <w:rsid w:val="00527385"/>
    <w:rsid w:val="00534F54"/>
    <w:rsid w:val="005532FF"/>
    <w:rsid w:val="00554745"/>
    <w:rsid w:val="00556EBA"/>
    <w:rsid w:val="00570575"/>
    <w:rsid w:val="00571CD8"/>
    <w:rsid w:val="005847A1"/>
    <w:rsid w:val="00590BC0"/>
    <w:rsid w:val="0059184C"/>
    <w:rsid w:val="005A02FD"/>
    <w:rsid w:val="005A3277"/>
    <w:rsid w:val="005B299D"/>
    <w:rsid w:val="005B4AB5"/>
    <w:rsid w:val="005B645B"/>
    <w:rsid w:val="005C0E5B"/>
    <w:rsid w:val="005D2F81"/>
    <w:rsid w:val="005D736A"/>
    <w:rsid w:val="005D7A9F"/>
    <w:rsid w:val="005E77CE"/>
    <w:rsid w:val="006003E6"/>
    <w:rsid w:val="00607242"/>
    <w:rsid w:val="00617AB7"/>
    <w:rsid w:val="00627312"/>
    <w:rsid w:val="006367EE"/>
    <w:rsid w:val="00646BCC"/>
    <w:rsid w:val="00650A5E"/>
    <w:rsid w:val="0065207F"/>
    <w:rsid w:val="0065307E"/>
    <w:rsid w:val="00653904"/>
    <w:rsid w:val="00673F64"/>
    <w:rsid w:val="0067441E"/>
    <w:rsid w:val="00684924"/>
    <w:rsid w:val="0068768A"/>
    <w:rsid w:val="00690819"/>
    <w:rsid w:val="0069613E"/>
    <w:rsid w:val="0069745F"/>
    <w:rsid w:val="006B47E0"/>
    <w:rsid w:val="006C1AA2"/>
    <w:rsid w:val="006C2A71"/>
    <w:rsid w:val="006C451B"/>
    <w:rsid w:val="006C59E5"/>
    <w:rsid w:val="006C76A2"/>
    <w:rsid w:val="006D390A"/>
    <w:rsid w:val="006D5C81"/>
    <w:rsid w:val="006E7E7C"/>
    <w:rsid w:val="006F22E6"/>
    <w:rsid w:val="006F4A44"/>
    <w:rsid w:val="006F689B"/>
    <w:rsid w:val="006F74F1"/>
    <w:rsid w:val="007003C2"/>
    <w:rsid w:val="00702AE9"/>
    <w:rsid w:val="00705559"/>
    <w:rsid w:val="00707C9F"/>
    <w:rsid w:val="00710C21"/>
    <w:rsid w:val="00711281"/>
    <w:rsid w:val="007147FF"/>
    <w:rsid w:val="00722741"/>
    <w:rsid w:val="00725B41"/>
    <w:rsid w:val="00745F90"/>
    <w:rsid w:val="00746C0F"/>
    <w:rsid w:val="0075436E"/>
    <w:rsid w:val="00757517"/>
    <w:rsid w:val="0076399E"/>
    <w:rsid w:val="007676ED"/>
    <w:rsid w:val="00773073"/>
    <w:rsid w:val="0077345B"/>
    <w:rsid w:val="00781609"/>
    <w:rsid w:val="00781DB7"/>
    <w:rsid w:val="00791500"/>
    <w:rsid w:val="007A5DE9"/>
    <w:rsid w:val="007A7D10"/>
    <w:rsid w:val="007B05EF"/>
    <w:rsid w:val="007B1060"/>
    <w:rsid w:val="007C2D00"/>
    <w:rsid w:val="007D54F2"/>
    <w:rsid w:val="007D6692"/>
    <w:rsid w:val="007F4BC8"/>
    <w:rsid w:val="00804A51"/>
    <w:rsid w:val="0081070B"/>
    <w:rsid w:val="0082220E"/>
    <w:rsid w:val="00826A52"/>
    <w:rsid w:val="00834B9B"/>
    <w:rsid w:val="0083590D"/>
    <w:rsid w:val="00843348"/>
    <w:rsid w:val="00844F18"/>
    <w:rsid w:val="00852977"/>
    <w:rsid w:val="00870A06"/>
    <w:rsid w:val="0087581D"/>
    <w:rsid w:val="0087695C"/>
    <w:rsid w:val="008803DB"/>
    <w:rsid w:val="00883A9E"/>
    <w:rsid w:val="00892EA7"/>
    <w:rsid w:val="00897619"/>
    <w:rsid w:val="008A0218"/>
    <w:rsid w:val="008A14E5"/>
    <w:rsid w:val="008A3A69"/>
    <w:rsid w:val="008F52E9"/>
    <w:rsid w:val="008F62C5"/>
    <w:rsid w:val="0090509B"/>
    <w:rsid w:val="009050CD"/>
    <w:rsid w:val="00911E9C"/>
    <w:rsid w:val="00914515"/>
    <w:rsid w:val="00914832"/>
    <w:rsid w:val="00924070"/>
    <w:rsid w:val="009339E3"/>
    <w:rsid w:val="0093727A"/>
    <w:rsid w:val="00940ADC"/>
    <w:rsid w:val="00941CAD"/>
    <w:rsid w:val="00942560"/>
    <w:rsid w:val="00946368"/>
    <w:rsid w:val="00952A13"/>
    <w:rsid w:val="0095404A"/>
    <w:rsid w:val="009546F6"/>
    <w:rsid w:val="0095751E"/>
    <w:rsid w:val="00957FD1"/>
    <w:rsid w:val="009607C6"/>
    <w:rsid w:val="00961327"/>
    <w:rsid w:val="00972C2F"/>
    <w:rsid w:val="00974E79"/>
    <w:rsid w:val="009753C1"/>
    <w:rsid w:val="00996A70"/>
    <w:rsid w:val="00997CFD"/>
    <w:rsid w:val="009A1904"/>
    <w:rsid w:val="009A1F46"/>
    <w:rsid w:val="009B67E0"/>
    <w:rsid w:val="009E1C49"/>
    <w:rsid w:val="009E22F7"/>
    <w:rsid w:val="009F4EC5"/>
    <w:rsid w:val="009F7A3D"/>
    <w:rsid w:val="00A10D9F"/>
    <w:rsid w:val="00A33DF8"/>
    <w:rsid w:val="00A353FE"/>
    <w:rsid w:val="00A520FC"/>
    <w:rsid w:val="00A548BA"/>
    <w:rsid w:val="00A54F21"/>
    <w:rsid w:val="00A57F3D"/>
    <w:rsid w:val="00A673FC"/>
    <w:rsid w:val="00A71A3F"/>
    <w:rsid w:val="00A7502D"/>
    <w:rsid w:val="00A827F2"/>
    <w:rsid w:val="00A87B25"/>
    <w:rsid w:val="00A94214"/>
    <w:rsid w:val="00AA0522"/>
    <w:rsid w:val="00AA50D1"/>
    <w:rsid w:val="00AA57B8"/>
    <w:rsid w:val="00AA631C"/>
    <w:rsid w:val="00AA7E35"/>
    <w:rsid w:val="00AB5B04"/>
    <w:rsid w:val="00AB71CC"/>
    <w:rsid w:val="00AB7BE4"/>
    <w:rsid w:val="00AC0247"/>
    <w:rsid w:val="00AC3C7D"/>
    <w:rsid w:val="00AC598A"/>
    <w:rsid w:val="00AC6E8B"/>
    <w:rsid w:val="00AD0E5B"/>
    <w:rsid w:val="00AE3BB3"/>
    <w:rsid w:val="00AF11DF"/>
    <w:rsid w:val="00AF15AB"/>
    <w:rsid w:val="00AF37D6"/>
    <w:rsid w:val="00AF3C79"/>
    <w:rsid w:val="00AF5BCD"/>
    <w:rsid w:val="00B036FC"/>
    <w:rsid w:val="00B05B66"/>
    <w:rsid w:val="00B071D0"/>
    <w:rsid w:val="00B12D1A"/>
    <w:rsid w:val="00B27DE1"/>
    <w:rsid w:val="00B27E1D"/>
    <w:rsid w:val="00B356C7"/>
    <w:rsid w:val="00B43D00"/>
    <w:rsid w:val="00B60383"/>
    <w:rsid w:val="00B6305D"/>
    <w:rsid w:val="00B662A9"/>
    <w:rsid w:val="00B663E6"/>
    <w:rsid w:val="00B75180"/>
    <w:rsid w:val="00B7535A"/>
    <w:rsid w:val="00B82872"/>
    <w:rsid w:val="00B91B93"/>
    <w:rsid w:val="00BB13DE"/>
    <w:rsid w:val="00BB4761"/>
    <w:rsid w:val="00BB6166"/>
    <w:rsid w:val="00BC1B95"/>
    <w:rsid w:val="00BC7F11"/>
    <w:rsid w:val="00BD0C64"/>
    <w:rsid w:val="00BD2A1A"/>
    <w:rsid w:val="00BD53AE"/>
    <w:rsid w:val="00BD70A2"/>
    <w:rsid w:val="00BE3F3D"/>
    <w:rsid w:val="00BE4181"/>
    <w:rsid w:val="00BE61DF"/>
    <w:rsid w:val="00BF2420"/>
    <w:rsid w:val="00BF4624"/>
    <w:rsid w:val="00BF5E01"/>
    <w:rsid w:val="00C01DBA"/>
    <w:rsid w:val="00C03850"/>
    <w:rsid w:val="00C03A53"/>
    <w:rsid w:val="00C136A5"/>
    <w:rsid w:val="00C166D6"/>
    <w:rsid w:val="00C248F1"/>
    <w:rsid w:val="00C348D8"/>
    <w:rsid w:val="00C37FE6"/>
    <w:rsid w:val="00C649F8"/>
    <w:rsid w:val="00C73771"/>
    <w:rsid w:val="00C7653E"/>
    <w:rsid w:val="00C80482"/>
    <w:rsid w:val="00C814AA"/>
    <w:rsid w:val="00CA7A02"/>
    <w:rsid w:val="00CB2ED3"/>
    <w:rsid w:val="00CD036C"/>
    <w:rsid w:val="00CD1065"/>
    <w:rsid w:val="00CD178E"/>
    <w:rsid w:val="00CE399E"/>
    <w:rsid w:val="00CE668A"/>
    <w:rsid w:val="00CF5379"/>
    <w:rsid w:val="00CF646C"/>
    <w:rsid w:val="00CF6C44"/>
    <w:rsid w:val="00D01E16"/>
    <w:rsid w:val="00D07176"/>
    <w:rsid w:val="00D1113C"/>
    <w:rsid w:val="00D145BE"/>
    <w:rsid w:val="00D218F7"/>
    <w:rsid w:val="00D3034B"/>
    <w:rsid w:val="00D305A7"/>
    <w:rsid w:val="00D36081"/>
    <w:rsid w:val="00D521E8"/>
    <w:rsid w:val="00D5582C"/>
    <w:rsid w:val="00D723D8"/>
    <w:rsid w:val="00D7446E"/>
    <w:rsid w:val="00D74C7B"/>
    <w:rsid w:val="00D80919"/>
    <w:rsid w:val="00D87514"/>
    <w:rsid w:val="00D87CC0"/>
    <w:rsid w:val="00D96912"/>
    <w:rsid w:val="00DA31FD"/>
    <w:rsid w:val="00DA44F7"/>
    <w:rsid w:val="00DD1D07"/>
    <w:rsid w:val="00DD4BFB"/>
    <w:rsid w:val="00DF6BA5"/>
    <w:rsid w:val="00E077F3"/>
    <w:rsid w:val="00E153AF"/>
    <w:rsid w:val="00E20033"/>
    <w:rsid w:val="00E245AC"/>
    <w:rsid w:val="00E3105A"/>
    <w:rsid w:val="00E311BC"/>
    <w:rsid w:val="00E425C2"/>
    <w:rsid w:val="00E42DF0"/>
    <w:rsid w:val="00E45C22"/>
    <w:rsid w:val="00E504EB"/>
    <w:rsid w:val="00E5199C"/>
    <w:rsid w:val="00E552A7"/>
    <w:rsid w:val="00E65067"/>
    <w:rsid w:val="00E6565F"/>
    <w:rsid w:val="00E656C8"/>
    <w:rsid w:val="00E662FA"/>
    <w:rsid w:val="00E66CF0"/>
    <w:rsid w:val="00E71C48"/>
    <w:rsid w:val="00E76401"/>
    <w:rsid w:val="00E84065"/>
    <w:rsid w:val="00E8424B"/>
    <w:rsid w:val="00E8776C"/>
    <w:rsid w:val="00E9201C"/>
    <w:rsid w:val="00E925F7"/>
    <w:rsid w:val="00E92F3D"/>
    <w:rsid w:val="00E95273"/>
    <w:rsid w:val="00E95604"/>
    <w:rsid w:val="00E97601"/>
    <w:rsid w:val="00E97D6E"/>
    <w:rsid w:val="00EA45F9"/>
    <w:rsid w:val="00EA66E5"/>
    <w:rsid w:val="00EC125B"/>
    <w:rsid w:val="00EC5E6D"/>
    <w:rsid w:val="00EC6996"/>
    <w:rsid w:val="00ED49F1"/>
    <w:rsid w:val="00ED5D09"/>
    <w:rsid w:val="00ED770B"/>
    <w:rsid w:val="00EE4184"/>
    <w:rsid w:val="00EF0915"/>
    <w:rsid w:val="00EF3E50"/>
    <w:rsid w:val="00EF50DB"/>
    <w:rsid w:val="00EF6E00"/>
    <w:rsid w:val="00EF7886"/>
    <w:rsid w:val="00F041A2"/>
    <w:rsid w:val="00F23AB8"/>
    <w:rsid w:val="00F30093"/>
    <w:rsid w:val="00F30AFF"/>
    <w:rsid w:val="00F37B03"/>
    <w:rsid w:val="00F52124"/>
    <w:rsid w:val="00F62F72"/>
    <w:rsid w:val="00F64A56"/>
    <w:rsid w:val="00F70486"/>
    <w:rsid w:val="00F720E0"/>
    <w:rsid w:val="00F7344E"/>
    <w:rsid w:val="00F83187"/>
    <w:rsid w:val="00F9292B"/>
    <w:rsid w:val="00FA2C17"/>
    <w:rsid w:val="00FC788A"/>
    <w:rsid w:val="00FE0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7ED29"/>
  <w15:chartTrackingRefBased/>
  <w15:docId w15:val="{EB2D2D4A-A420-40B9-9DE9-C17A89AF3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2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2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52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2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2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52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07F"/>
    <w:rPr>
      <w:rFonts w:eastAsiaTheme="majorEastAsia" w:cstheme="majorBidi"/>
      <w:color w:val="272727" w:themeColor="text1" w:themeTint="D8"/>
    </w:rPr>
  </w:style>
  <w:style w:type="paragraph" w:styleId="Title">
    <w:name w:val="Title"/>
    <w:basedOn w:val="Normal"/>
    <w:next w:val="Normal"/>
    <w:link w:val="TitleChar"/>
    <w:uiPriority w:val="10"/>
    <w:qFormat/>
    <w:rsid w:val="00652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07F"/>
    <w:pPr>
      <w:spacing w:before="160"/>
      <w:jc w:val="center"/>
    </w:pPr>
    <w:rPr>
      <w:i/>
      <w:iCs/>
      <w:color w:val="404040" w:themeColor="text1" w:themeTint="BF"/>
    </w:rPr>
  </w:style>
  <w:style w:type="character" w:customStyle="1" w:styleId="QuoteChar">
    <w:name w:val="Quote Char"/>
    <w:basedOn w:val="DefaultParagraphFont"/>
    <w:link w:val="Quote"/>
    <w:uiPriority w:val="29"/>
    <w:rsid w:val="0065207F"/>
    <w:rPr>
      <w:i/>
      <w:iCs/>
      <w:color w:val="404040" w:themeColor="text1" w:themeTint="BF"/>
    </w:rPr>
  </w:style>
  <w:style w:type="paragraph" w:styleId="ListParagraph">
    <w:name w:val="List Paragraph"/>
    <w:basedOn w:val="Normal"/>
    <w:uiPriority w:val="34"/>
    <w:qFormat/>
    <w:rsid w:val="0065207F"/>
    <w:pPr>
      <w:ind w:left="720"/>
      <w:contextualSpacing/>
    </w:pPr>
  </w:style>
  <w:style w:type="character" w:styleId="IntenseEmphasis">
    <w:name w:val="Intense Emphasis"/>
    <w:basedOn w:val="DefaultParagraphFont"/>
    <w:uiPriority w:val="21"/>
    <w:qFormat/>
    <w:rsid w:val="0065207F"/>
    <w:rPr>
      <w:i/>
      <w:iCs/>
      <w:color w:val="0F4761" w:themeColor="accent1" w:themeShade="BF"/>
    </w:rPr>
  </w:style>
  <w:style w:type="paragraph" w:styleId="IntenseQuote">
    <w:name w:val="Intense Quote"/>
    <w:basedOn w:val="Normal"/>
    <w:next w:val="Normal"/>
    <w:link w:val="IntenseQuoteChar"/>
    <w:uiPriority w:val="30"/>
    <w:qFormat/>
    <w:rsid w:val="00652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07F"/>
    <w:rPr>
      <w:i/>
      <w:iCs/>
      <w:color w:val="0F4761" w:themeColor="accent1" w:themeShade="BF"/>
    </w:rPr>
  </w:style>
  <w:style w:type="character" w:styleId="IntenseReference">
    <w:name w:val="Intense Reference"/>
    <w:basedOn w:val="DefaultParagraphFont"/>
    <w:uiPriority w:val="32"/>
    <w:qFormat/>
    <w:rsid w:val="0065207F"/>
    <w:rPr>
      <w:b/>
      <w:bCs/>
      <w:smallCaps/>
      <w:color w:val="0F4761" w:themeColor="accent1" w:themeShade="BF"/>
      <w:spacing w:val="5"/>
    </w:rPr>
  </w:style>
  <w:style w:type="character" w:styleId="Hyperlink">
    <w:name w:val="Hyperlink"/>
    <w:basedOn w:val="DefaultParagraphFont"/>
    <w:uiPriority w:val="99"/>
    <w:unhideWhenUsed/>
    <w:rsid w:val="0065207F"/>
    <w:rPr>
      <w:color w:val="467886" w:themeColor="hyperlink"/>
      <w:u w:val="single"/>
    </w:rPr>
  </w:style>
  <w:style w:type="character" w:styleId="UnresolvedMention">
    <w:name w:val="Unresolved Mention"/>
    <w:basedOn w:val="DefaultParagraphFont"/>
    <w:uiPriority w:val="99"/>
    <w:semiHidden/>
    <w:unhideWhenUsed/>
    <w:rsid w:val="0065207F"/>
    <w:rPr>
      <w:color w:val="605E5C"/>
      <w:shd w:val="clear" w:color="auto" w:fill="E1DFDD"/>
    </w:rPr>
  </w:style>
  <w:style w:type="character" w:styleId="FollowedHyperlink">
    <w:name w:val="FollowedHyperlink"/>
    <w:basedOn w:val="DefaultParagraphFont"/>
    <w:uiPriority w:val="99"/>
    <w:semiHidden/>
    <w:unhideWhenUsed/>
    <w:rsid w:val="00066973"/>
    <w:rPr>
      <w:color w:val="96607D" w:themeColor="followedHyperlink"/>
      <w:u w:val="single"/>
    </w:rPr>
  </w:style>
  <w:style w:type="paragraph" w:styleId="NormalWeb">
    <w:name w:val="Normal (Web)"/>
    <w:basedOn w:val="Normal"/>
    <w:uiPriority w:val="99"/>
    <w:semiHidden/>
    <w:unhideWhenUsed/>
    <w:rsid w:val="00A10D9F"/>
    <w:rPr>
      <w:rFonts w:ascii="Times New Roman" w:hAnsi="Times New Roman" w:cs="Times New Roman"/>
    </w:rPr>
  </w:style>
  <w:style w:type="paragraph" w:styleId="Header">
    <w:name w:val="header"/>
    <w:basedOn w:val="Normal"/>
    <w:link w:val="HeaderChar"/>
    <w:uiPriority w:val="99"/>
    <w:unhideWhenUsed/>
    <w:rsid w:val="00653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07E"/>
  </w:style>
  <w:style w:type="paragraph" w:styleId="Footer">
    <w:name w:val="footer"/>
    <w:basedOn w:val="Normal"/>
    <w:link w:val="FooterChar"/>
    <w:uiPriority w:val="99"/>
    <w:unhideWhenUsed/>
    <w:rsid w:val="00653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07E"/>
  </w:style>
  <w:style w:type="paragraph" w:styleId="TOCHeading">
    <w:name w:val="TOC Heading"/>
    <w:basedOn w:val="Heading1"/>
    <w:next w:val="Normal"/>
    <w:uiPriority w:val="39"/>
    <w:unhideWhenUsed/>
    <w:qFormat/>
    <w:rsid w:val="00892EA7"/>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924070"/>
    <w:pPr>
      <w:spacing w:after="100"/>
      <w:ind w:left="480"/>
    </w:pPr>
  </w:style>
  <w:style w:type="paragraph" w:styleId="TOC4">
    <w:name w:val="toc 4"/>
    <w:basedOn w:val="Normal"/>
    <w:next w:val="Normal"/>
    <w:autoRedefine/>
    <w:uiPriority w:val="39"/>
    <w:unhideWhenUsed/>
    <w:rsid w:val="00924070"/>
    <w:pPr>
      <w:spacing w:after="100"/>
      <w:ind w:left="720"/>
    </w:pPr>
  </w:style>
  <w:style w:type="paragraph" w:styleId="Caption">
    <w:name w:val="caption"/>
    <w:basedOn w:val="Normal"/>
    <w:next w:val="Normal"/>
    <w:uiPriority w:val="35"/>
    <w:unhideWhenUsed/>
    <w:qFormat/>
    <w:rsid w:val="00EC5E6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what-we-do/policy-and-influencing/unlocking-door-dementia-diagnosis-treatments%20" TargetMode="External"/><Relationship Id="rId13" Type="http://schemas.openxmlformats.org/officeDocument/2006/relationships/hyperlink" Target="https://www.legislation.gov.uk/ukpga/2014/23/section/1/enacted%20" TargetMode="External"/><Relationship Id="rId18" Type="http://schemas.openxmlformats.org/officeDocument/2006/relationships/hyperlink" Target="https://www.skillsforcare.org.uk/Support-for-leaders-and-managers/Managing-people/Code-of-Conduct.asp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publications/care-act-statutory-guidance/care-and-support-statutory-guidance" TargetMode="External"/><Relationship Id="rId17" Type="http://schemas.openxmlformats.org/officeDocument/2006/relationships/hyperlink" Target="https://www.nice.org.uk/guidance/ng97%20" TargetMode="External"/><Relationship Id="rId2" Type="http://schemas.openxmlformats.org/officeDocument/2006/relationships/styles" Target="styles.xml"/><Relationship Id="rId16" Type="http://schemas.openxmlformats.org/officeDocument/2006/relationships/hyperlink" Target="https://www.legislation.gov.uk/ukpga/2005/9%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media/5f6cc6138fa8f541f6763295/Mental-capacity-act-code-of-practice.pdf%20" TargetMode="External"/><Relationship Id="rId5" Type="http://schemas.openxmlformats.org/officeDocument/2006/relationships/footnotes" Target="footnotes.xml"/><Relationship Id="rId15" Type="http://schemas.openxmlformats.org/officeDocument/2006/relationships/hyperlink" Target="https://doi.org/10.1037/h0054346" TargetMode="External"/><Relationship Id="rId10" Type="http://schemas.openxmlformats.org/officeDocument/2006/relationships/hyperlink" Target="https://journals.rcni.com/nursing-older-people/evidence-and-practice/personcentred-communication-with-people-with-dementia-nop.2023.e1430/abs" TargetMode="External"/><Relationship Id="rId19" Type="http://schemas.openxmlformats.org/officeDocument/2006/relationships/hyperlink" Target="https://reflection.ed.ac.uk/reflectors-toolkit/reflecting-on-experience/gibbs-reflective-cycle" TargetMode="External"/><Relationship Id="rId4" Type="http://schemas.openxmlformats.org/officeDocument/2006/relationships/webSettings" Target="webSettings.xml"/><Relationship Id="rId9" Type="http://schemas.openxmlformats.org/officeDocument/2006/relationships/hyperlink" Target="https://www.cqc.org.uk/about-us/fundamental-standards%20" TargetMode="External"/><Relationship Id="rId14" Type="http://schemas.openxmlformats.org/officeDocument/2006/relationships/hyperlink" Target="https://www.legislation.gov.uk/ukpga/2022/31/pdfs/ukpga_20220031_e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23F7A-7D19-47CE-8083-3D63D7E66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11</Pages>
  <Words>3062</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 Kausar (2512942)</dc:creator>
  <cp:keywords/>
  <dc:description/>
  <cp:lastModifiedBy>Shazia Kausar (2512942)</cp:lastModifiedBy>
  <cp:revision>98</cp:revision>
  <dcterms:created xsi:type="dcterms:W3CDTF">2026-09-29T11:26:00Z</dcterms:created>
  <dcterms:modified xsi:type="dcterms:W3CDTF">2026-10-04T13:18:00Z</dcterms:modified>
</cp:coreProperties>
</file>