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header1.xml" ContentType="application/vnd.openxmlformats-officedocument.wordprocessingml.header+xml"/>
  <Override PartName="/customXml/itemProps1.xml" ContentType="application/vnd.openxmlformats-officedocument.customXmlProperties+xml"/>
  <Override PartName="/word/numbering.xml" ContentType="application/vnd.openxmlformats-officedocument.wordprocessingml.numbering+xml"/>
  <Override PartName="/word/footer2.xml" ContentType="application/vnd.openxmlformats-officedocument.wordprocessingml.footer+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14:paraId="504FBEF5">
      <w:pPr>
        <w:pStyle w:val="style0"/>
        <w:spacing w:before="240" w:after="120" w:lineRule="auto" w:line="360"/>
        <w:jc w:val="center"/>
        <w:rPr>
          <w:rFonts w:ascii="Times New Roman" w:cs="Times New Roman" w:hAnsi="Times New Roman"/>
          <w:color w:val="auto"/>
        </w:rPr>
      </w:pPr>
      <w:r>
        <w:rPr>
          <w:rFonts w:ascii="Times New Roman" w:cs="Times New Roman" w:hAnsi="Times New Roman"/>
          <w:noProof/>
          <w:color w:val="auto"/>
        </w:rPr>
        <w:drawing>
          <wp:inline distL="0" distT="0" distB="0" distR="0">
            <wp:extent cx="2857500" cy="1000125"/>
            <wp:effectExtent l="0" t="0" r="0" b="0"/>
            <wp:docPr id="1026"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2857500" cy="1000125"/>
                    </a:xfrm>
                    <a:prstGeom prst="rect"/>
                  </pic:spPr>
                </pic:pic>
              </a:graphicData>
            </a:graphic>
          </wp:inline>
        </w:drawing>
      </w:r>
    </w:p>
    <w:p w14:paraId="0A508D09">
      <w:pPr>
        <w:pStyle w:val="style0"/>
        <w:spacing w:after="60" w:lineRule="auto" w:line="360"/>
        <w:jc w:val="center"/>
        <w:rPr>
          <w:rFonts w:ascii="Times New Roman" w:cs="Times New Roman" w:hAnsi="Times New Roman"/>
          <w:color w:val="auto"/>
        </w:rPr>
      </w:pPr>
      <w:r>
        <w:rPr>
          <w:rFonts w:ascii="Times New Roman" w:cs="Times New Roman" w:hAnsi="Times New Roman"/>
          <w:color w:val="auto"/>
        </w:rPr>
        <w:t>Master of Business Administration (MBA)</w:t>
      </w:r>
    </w:p>
    <w:p w14:paraId="4F3F587A">
      <w:pPr>
        <w:pStyle w:val="style0"/>
        <w:spacing w:after="460" w:lineRule="auto" w:line="360"/>
        <w:jc w:val="center"/>
        <w:rPr>
          <w:rFonts w:ascii="Times New Roman" w:cs="Times New Roman" w:hAnsi="Times New Roman"/>
          <w:color w:val="auto"/>
        </w:rPr>
      </w:pPr>
      <w:r>
        <w:rPr>
          <w:rFonts w:ascii="Times New Roman" w:cs="Times New Roman" w:hAnsi="Times New Roman"/>
          <w:color w:val="auto"/>
        </w:rPr>
        <w:t>Module: International Business Concepts (LCMB7034)</w:t>
      </w:r>
    </w:p>
    <w:p w14:paraId="4C3221BA">
      <w:pPr>
        <w:pStyle w:val="style0"/>
        <w:spacing w:after="100" w:lineRule="auto" w:line="360"/>
        <w:jc w:val="center"/>
        <w:rPr>
          <w:rFonts w:ascii="Times New Roman" w:cs="Times New Roman" w:hAnsi="Times New Roman"/>
          <w:color w:val="auto"/>
        </w:rPr>
      </w:pPr>
      <w:r>
        <w:rPr>
          <w:rFonts w:ascii="Times New Roman" w:cs="Times New Roman" w:hAnsi="Times New Roman"/>
          <w:b/>
          <w:bCs/>
          <w:color w:val="auto"/>
          <w:spacing w:val="40"/>
        </w:rPr>
        <w:t>ASSESSED REPORT</w:t>
      </w:r>
    </w:p>
    <w:p w14:paraId="3A44BB81">
      <w:pPr>
        <w:pStyle w:val="style0"/>
        <w:spacing w:after="40" w:lineRule="auto" w:line="360"/>
        <w:jc w:val="center"/>
        <w:rPr>
          <w:rFonts w:ascii="Times New Roman" w:cs="Times New Roman" w:hAnsi="Times New Roman"/>
          <w:color w:val="auto"/>
        </w:rPr>
      </w:pPr>
      <w:r>
        <w:rPr>
          <w:rFonts w:ascii="Times New Roman" w:cs="Times New Roman" w:hAnsi="Times New Roman"/>
          <w:b/>
          <w:bCs/>
          <w:color w:val="auto"/>
        </w:rPr>
        <w:t>Evaluating International Market Entry:</w:t>
      </w:r>
    </w:p>
    <w:p w14:paraId="79DA2305">
      <w:pPr>
        <w:pStyle w:val="style0"/>
        <w:spacing w:after="460" w:lineRule="auto" w:line="360"/>
        <w:jc w:val="center"/>
        <w:rPr>
          <w:rFonts w:ascii="Times New Roman" w:cs="Times New Roman" w:hAnsi="Times New Roman"/>
          <w:color w:val="auto"/>
        </w:rPr>
      </w:pPr>
      <w:r>
        <w:rPr>
          <w:rFonts w:ascii="Times New Roman" w:cs="Times New Roman" w:hAnsi="Times New Roman"/>
          <w:b/>
          <w:bCs/>
          <w:color w:val="auto"/>
        </w:rPr>
        <w:t>A Critical Analysis of Netflix, Inc. and the Prospect of Entry into Mainland China</w:t>
      </w:r>
    </w:p>
    <w:tbl>
      <w:tblPr>
        <w:tblW w:w="9000"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4A0" w:firstRow="1" w:lastRow="0" w:firstColumn="1" w:lastColumn="0" w:noHBand="0" w:noVBand="1"/>
      </w:tblPr>
      <w:tblGrid>
        <w:gridCol w:w="3200"/>
        <w:gridCol w:w="5800"/>
      </w:tblGrid>
      <w:tr w14:paraId="742D8E61">
        <w:trPr>
          <w:jc w:val="center"/>
        </w:trPr>
        <w:tc>
          <w:tcPr>
            <w:tcW w:w="3200" w:type="dxa"/>
            <w:tcBorders/>
            <w:shd w:val="clear" w:color="auto" w:fill="f2f2f2"/>
            <w:tcMar>
              <w:top w:w="60" w:type="dxa"/>
              <w:left w:w="90" w:type="dxa"/>
              <w:bottom w:w="60" w:type="dxa"/>
              <w:right w:w="90" w:type="dxa"/>
            </w:tcMar>
          </w:tcPr>
          <w:p w14:paraId="407E6AE1">
            <w:pPr>
              <w:pStyle w:val="style0"/>
              <w:spacing w:after="20" w:lineRule="auto" w:line="360"/>
              <w:jc w:val="both"/>
              <w:rPr>
                <w:rFonts w:ascii="Times New Roman" w:cs="Times New Roman" w:hAnsi="Times New Roman"/>
                <w:color w:val="auto"/>
              </w:rPr>
            </w:pPr>
            <w:r>
              <w:rPr>
                <w:rFonts w:ascii="Times New Roman" w:cs="Times New Roman" w:hAnsi="Times New Roman"/>
                <w:b/>
                <w:bCs/>
                <w:color w:val="auto"/>
              </w:rPr>
              <w:t>Student name</w:t>
            </w:r>
          </w:p>
        </w:tc>
        <w:tc>
          <w:tcPr>
            <w:tcW w:w="5800" w:type="dxa"/>
            <w:tcBorders/>
            <w:tcMar>
              <w:top w:w="60" w:type="dxa"/>
              <w:left w:w="90" w:type="dxa"/>
              <w:bottom w:w="60" w:type="dxa"/>
              <w:right w:w="90" w:type="dxa"/>
            </w:tcMar>
          </w:tcPr>
          <w:p w14:paraId="4CD72183">
            <w:pPr>
              <w:pStyle w:val="style0"/>
              <w:spacing w:after="20" w:lineRule="auto" w:line="360"/>
              <w:jc w:val="both"/>
              <w:rPr>
                <w:rFonts w:ascii="Times New Roman" w:cs="Times New Roman" w:hAnsi="Times New Roman"/>
                <w:color w:val="auto"/>
              </w:rPr>
            </w:pPr>
            <w:r>
              <w:rPr>
                <w:rFonts w:ascii="Times New Roman" w:cs="Times New Roman" w:hAnsi="Times New Roman"/>
                <w:color w:val="auto"/>
              </w:rPr>
              <w:t xml:space="preserve">Uttam </w:t>
            </w:r>
            <w:r>
              <w:rPr>
                <w:rFonts w:ascii="Times New Roman" w:cs="Times New Roman" w:hAnsi="Times New Roman"/>
                <w:color w:val="auto"/>
              </w:rPr>
              <w:t>Devshibhai</w:t>
            </w:r>
            <w:r>
              <w:rPr>
                <w:rFonts w:ascii="Times New Roman" w:cs="Times New Roman" w:hAnsi="Times New Roman"/>
                <w:color w:val="auto"/>
              </w:rPr>
              <w:t xml:space="preserve"> </w:t>
            </w:r>
            <w:r>
              <w:rPr>
                <w:rFonts w:ascii="Times New Roman" w:cs="Times New Roman" w:hAnsi="Times New Roman"/>
                <w:color w:val="auto"/>
              </w:rPr>
              <w:t>Vaghamashi</w:t>
            </w:r>
          </w:p>
        </w:tc>
      </w:tr>
      <w:tr w14:paraId="522B3107">
        <w:tblPrEx/>
        <w:trPr>
          <w:jc w:val="center"/>
        </w:trPr>
        <w:tc>
          <w:tcPr>
            <w:tcW w:w="3200" w:type="dxa"/>
            <w:tcBorders/>
            <w:shd w:val="clear" w:color="auto" w:fill="f2f2f2"/>
            <w:tcMar>
              <w:top w:w="60" w:type="dxa"/>
              <w:left w:w="90" w:type="dxa"/>
              <w:bottom w:w="60" w:type="dxa"/>
              <w:right w:w="90" w:type="dxa"/>
            </w:tcMar>
          </w:tcPr>
          <w:p w14:paraId="12BC1FBE">
            <w:pPr>
              <w:pStyle w:val="style0"/>
              <w:spacing w:after="20" w:lineRule="auto" w:line="360"/>
              <w:jc w:val="both"/>
              <w:rPr>
                <w:rFonts w:ascii="Times New Roman" w:cs="Times New Roman" w:hAnsi="Times New Roman"/>
                <w:color w:val="auto"/>
              </w:rPr>
            </w:pPr>
            <w:r>
              <w:rPr>
                <w:rFonts w:ascii="Times New Roman" w:cs="Times New Roman" w:hAnsi="Times New Roman"/>
                <w:b/>
                <w:bCs/>
                <w:color w:val="auto"/>
              </w:rPr>
              <w:t>Student ID number</w:t>
            </w:r>
          </w:p>
        </w:tc>
        <w:tc>
          <w:tcPr>
            <w:tcW w:w="5800" w:type="dxa"/>
            <w:tcBorders/>
            <w:tcMar>
              <w:top w:w="60" w:type="dxa"/>
              <w:left w:w="90" w:type="dxa"/>
              <w:bottom w:w="60" w:type="dxa"/>
              <w:right w:w="90" w:type="dxa"/>
            </w:tcMar>
          </w:tcPr>
          <w:p w14:paraId="561A8347">
            <w:pPr>
              <w:pStyle w:val="style0"/>
              <w:spacing w:after="20" w:lineRule="auto" w:line="360"/>
              <w:jc w:val="both"/>
              <w:rPr>
                <w:rFonts w:ascii="Times New Roman" w:cs="Times New Roman" w:hAnsi="Times New Roman"/>
                <w:color w:val="auto"/>
              </w:rPr>
            </w:pPr>
            <w:r>
              <w:rPr>
                <w:rFonts w:ascii="Times New Roman" w:cs="Times New Roman" w:hAnsi="Times New Roman"/>
                <w:color w:val="auto"/>
              </w:rPr>
              <w:t>2520138</w:t>
            </w:r>
          </w:p>
        </w:tc>
      </w:tr>
      <w:tr w14:paraId="14A3EF9E">
        <w:tblPrEx/>
        <w:trPr>
          <w:jc w:val="center"/>
        </w:trPr>
        <w:tc>
          <w:tcPr>
            <w:tcW w:w="3200" w:type="dxa"/>
            <w:tcBorders/>
            <w:shd w:val="clear" w:color="auto" w:fill="f2f2f2"/>
            <w:tcMar>
              <w:top w:w="60" w:type="dxa"/>
              <w:left w:w="90" w:type="dxa"/>
              <w:bottom w:w="60" w:type="dxa"/>
              <w:right w:w="90" w:type="dxa"/>
            </w:tcMar>
          </w:tcPr>
          <w:p w14:paraId="5E04CB82">
            <w:pPr>
              <w:pStyle w:val="style0"/>
              <w:spacing w:after="20" w:lineRule="auto" w:line="360"/>
              <w:jc w:val="both"/>
              <w:rPr>
                <w:rFonts w:ascii="Times New Roman" w:cs="Times New Roman" w:hAnsi="Times New Roman"/>
                <w:color w:val="auto"/>
              </w:rPr>
            </w:pPr>
            <w:r>
              <w:rPr>
                <w:rFonts w:ascii="Times New Roman" w:cs="Times New Roman" w:hAnsi="Times New Roman"/>
                <w:b/>
                <w:bCs/>
                <w:color w:val="auto"/>
              </w:rPr>
              <w:t>Programme</w:t>
            </w:r>
          </w:p>
        </w:tc>
        <w:tc>
          <w:tcPr>
            <w:tcW w:w="5800" w:type="dxa"/>
            <w:tcBorders/>
            <w:tcMar>
              <w:top w:w="60" w:type="dxa"/>
              <w:left w:w="90" w:type="dxa"/>
              <w:bottom w:w="60" w:type="dxa"/>
              <w:right w:w="90" w:type="dxa"/>
            </w:tcMar>
          </w:tcPr>
          <w:p w14:paraId="79001EA1">
            <w:pPr>
              <w:pStyle w:val="style0"/>
              <w:spacing w:after="20" w:lineRule="auto" w:line="360"/>
              <w:jc w:val="both"/>
              <w:rPr>
                <w:rFonts w:ascii="Times New Roman" w:cs="Times New Roman" w:hAnsi="Times New Roman"/>
                <w:color w:val="auto"/>
              </w:rPr>
            </w:pPr>
            <w:r>
              <w:rPr>
                <w:rFonts w:ascii="Times New Roman" w:cs="Times New Roman" w:hAnsi="Times New Roman"/>
                <w:color w:val="auto"/>
              </w:rPr>
              <w:t>Master of Business Administration</w:t>
            </w:r>
          </w:p>
        </w:tc>
      </w:tr>
      <w:tr w14:paraId="28F490A6">
        <w:tblPrEx/>
        <w:trPr>
          <w:jc w:val="center"/>
        </w:trPr>
        <w:tc>
          <w:tcPr>
            <w:tcW w:w="3200" w:type="dxa"/>
            <w:tcBorders/>
            <w:shd w:val="clear" w:color="auto" w:fill="f2f2f2"/>
            <w:tcMar>
              <w:top w:w="60" w:type="dxa"/>
              <w:left w:w="90" w:type="dxa"/>
              <w:bottom w:w="60" w:type="dxa"/>
              <w:right w:w="90" w:type="dxa"/>
            </w:tcMar>
          </w:tcPr>
          <w:p w14:paraId="702C2DE1">
            <w:pPr>
              <w:pStyle w:val="style0"/>
              <w:spacing w:after="20" w:lineRule="auto" w:line="360"/>
              <w:jc w:val="both"/>
              <w:rPr>
                <w:rFonts w:ascii="Times New Roman" w:cs="Times New Roman" w:hAnsi="Times New Roman"/>
                <w:color w:val="auto"/>
              </w:rPr>
            </w:pPr>
            <w:r>
              <w:rPr>
                <w:rFonts w:ascii="Times New Roman" w:cs="Times New Roman" w:hAnsi="Times New Roman"/>
                <w:b/>
                <w:bCs/>
                <w:color w:val="auto"/>
              </w:rPr>
              <w:t>Module / Code</w:t>
            </w:r>
          </w:p>
        </w:tc>
        <w:tc>
          <w:tcPr>
            <w:tcW w:w="5800" w:type="dxa"/>
            <w:tcBorders/>
            <w:tcMar>
              <w:top w:w="60" w:type="dxa"/>
              <w:left w:w="90" w:type="dxa"/>
              <w:bottom w:w="60" w:type="dxa"/>
              <w:right w:w="90" w:type="dxa"/>
            </w:tcMar>
          </w:tcPr>
          <w:p w14:paraId="69E8F464">
            <w:pPr>
              <w:pStyle w:val="style0"/>
              <w:spacing w:after="20" w:lineRule="auto" w:line="360"/>
              <w:jc w:val="both"/>
              <w:rPr>
                <w:rFonts w:ascii="Times New Roman" w:cs="Times New Roman" w:hAnsi="Times New Roman"/>
                <w:color w:val="auto"/>
              </w:rPr>
            </w:pPr>
            <w:r>
              <w:rPr>
                <w:rFonts w:ascii="Times New Roman" w:cs="Times New Roman" w:hAnsi="Times New Roman"/>
                <w:color w:val="auto"/>
              </w:rPr>
              <w:t>International Business Concepts (LCMB7034)</w:t>
            </w:r>
          </w:p>
        </w:tc>
      </w:tr>
      <w:tr w14:paraId="35443345">
        <w:tblPrEx/>
        <w:trPr>
          <w:jc w:val="center"/>
        </w:trPr>
        <w:tc>
          <w:tcPr>
            <w:tcW w:w="3200" w:type="dxa"/>
            <w:tcBorders/>
            <w:shd w:val="clear" w:color="auto" w:fill="f2f2f2"/>
            <w:tcMar>
              <w:top w:w="60" w:type="dxa"/>
              <w:left w:w="90" w:type="dxa"/>
              <w:bottom w:w="60" w:type="dxa"/>
              <w:right w:w="90" w:type="dxa"/>
            </w:tcMar>
          </w:tcPr>
          <w:p w14:paraId="495DEE7F">
            <w:pPr>
              <w:pStyle w:val="style0"/>
              <w:spacing w:after="20" w:lineRule="auto" w:line="360"/>
              <w:jc w:val="both"/>
              <w:rPr>
                <w:rFonts w:ascii="Times New Roman" w:cs="Times New Roman" w:hAnsi="Times New Roman"/>
                <w:color w:val="auto"/>
              </w:rPr>
            </w:pPr>
            <w:r>
              <w:rPr>
                <w:rFonts w:ascii="Times New Roman" w:cs="Times New Roman" w:hAnsi="Times New Roman"/>
                <w:b/>
                <w:bCs/>
                <w:color w:val="auto"/>
              </w:rPr>
              <w:t>Lecturer</w:t>
            </w:r>
          </w:p>
        </w:tc>
        <w:tc>
          <w:tcPr>
            <w:tcW w:w="5800" w:type="dxa"/>
            <w:tcBorders/>
            <w:tcMar>
              <w:top w:w="60" w:type="dxa"/>
              <w:left w:w="90" w:type="dxa"/>
              <w:bottom w:w="60" w:type="dxa"/>
              <w:right w:w="90" w:type="dxa"/>
            </w:tcMar>
          </w:tcPr>
          <w:p w14:paraId="33934ED6">
            <w:pPr>
              <w:pStyle w:val="style0"/>
              <w:spacing w:after="20" w:lineRule="auto" w:line="360"/>
              <w:jc w:val="both"/>
              <w:rPr>
                <w:rFonts w:ascii="Times New Roman" w:cs="Times New Roman" w:hAnsi="Times New Roman"/>
                <w:color w:val="auto"/>
              </w:rPr>
            </w:pPr>
            <w:r>
              <w:rPr>
                <w:rFonts w:ascii="Times New Roman" w:cs="Times New Roman" w:hAnsi="Times New Roman"/>
                <w:color w:val="auto"/>
              </w:rPr>
              <w:t>Charles Oham</w:t>
            </w:r>
          </w:p>
        </w:tc>
      </w:tr>
      <w:tr w14:paraId="479E14C8">
        <w:tblPrEx/>
        <w:trPr>
          <w:jc w:val="center"/>
        </w:trPr>
        <w:tc>
          <w:tcPr>
            <w:tcW w:w="3200" w:type="dxa"/>
            <w:tcBorders/>
            <w:shd w:val="clear" w:color="auto" w:fill="f2f2f2"/>
            <w:tcMar>
              <w:top w:w="60" w:type="dxa"/>
              <w:left w:w="90" w:type="dxa"/>
              <w:bottom w:w="60" w:type="dxa"/>
              <w:right w:w="90" w:type="dxa"/>
            </w:tcMar>
          </w:tcPr>
          <w:p w14:paraId="146FBB81">
            <w:pPr>
              <w:pStyle w:val="style0"/>
              <w:spacing w:after="20" w:lineRule="auto" w:line="360"/>
              <w:jc w:val="both"/>
              <w:rPr>
                <w:rFonts w:ascii="Times New Roman" w:cs="Times New Roman" w:hAnsi="Times New Roman"/>
                <w:color w:val="auto"/>
              </w:rPr>
            </w:pPr>
            <w:r>
              <w:rPr>
                <w:rFonts w:ascii="Times New Roman" w:cs="Times New Roman" w:hAnsi="Times New Roman"/>
                <w:b/>
                <w:bCs/>
                <w:color w:val="auto"/>
              </w:rPr>
              <w:t>Assignment title</w:t>
            </w:r>
          </w:p>
        </w:tc>
        <w:tc>
          <w:tcPr>
            <w:tcW w:w="5800" w:type="dxa"/>
            <w:tcBorders/>
            <w:tcMar>
              <w:top w:w="60" w:type="dxa"/>
              <w:left w:w="90" w:type="dxa"/>
              <w:bottom w:w="60" w:type="dxa"/>
              <w:right w:w="90" w:type="dxa"/>
            </w:tcMar>
          </w:tcPr>
          <w:p w14:paraId="1D790ABF">
            <w:pPr>
              <w:pStyle w:val="style0"/>
              <w:spacing w:after="20" w:lineRule="auto" w:line="360"/>
              <w:jc w:val="both"/>
              <w:rPr>
                <w:rFonts w:ascii="Times New Roman" w:cs="Times New Roman" w:hAnsi="Times New Roman"/>
                <w:color w:val="auto"/>
              </w:rPr>
            </w:pPr>
            <w:r>
              <w:rPr>
                <w:rFonts w:ascii="Times New Roman" w:cs="Times New Roman" w:hAnsi="Times New Roman"/>
                <w:color w:val="auto"/>
              </w:rPr>
              <w:t>Report</w:t>
            </w:r>
          </w:p>
        </w:tc>
      </w:tr>
      <w:tr w14:paraId="4EB4224B">
        <w:tblPrEx/>
        <w:trPr>
          <w:jc w:val="center"/>
        </w:trPr>
        <w:tc>
          <w:tcPr>
            <w:tcW w:w="3200" w:type="dxa"/>
            <w:tcBorders/>
            <w:shd w:val="clear" w:color="auto" w:fill="f2f2f2"/>
            <w:tcMar>
              <w:top w:w="60" w:type="dxa"/>
              <w:left w:w="90" w:type="dxa"/>
              <w:bottom w:w="60" w:type="dxa"/>
              <w:right w:w="90" w:type="dxa"/>
            </w:tcMar>
          </w:tcPr>
          <w:p w14:paraId="16901CDE">
            <w:pPr>
              <w:pStyle w:val="style0"/>
              <w:spacing w:after="20" w:lineRule="auto" w:line="360"/>
              <w:jc w:val="both"/>
              <w:rPr>
                <w:rFonts w:ascii="Times New Roman" w:cs="Times New Roman" w:hAnsi="Times New Roman"/>
                <w:color w:val="auto"/>
              </w:rPr>
            </w:pPr>
            <w:r>
              <w:rPr>
                <w:rFonts w:ascii="Times New Roman" w:cs="Times New Roman" w:hAnsi="Times New Roman"/>
                <w:b/>
                <w:bCs/>
                <w:color w:val="auto"/>
              </w:rPr>
              <w:t>Word count</w:t>
            </w:r>
          </w:p>
        </w:tc>
        <w:tc>
          <w:tcPr>
            <w:tcW w:w="5800" w:type="dxa"/>
            <w:tcBorders/>
            <w:tcMar>
              <w:top w:w="60" w:type="dxa"/>
              <w:left w:w="90" w:type="dxa"/>
              <w:bottom w:w="60" w:type="dxa"/>
              <w:right w:w="90" w:type="dxa"/>
            </w:tcMar>
          </w:tcPr>
          <w:p w14:paraId="31B02CD1">
            <w:pPr>
              <w:pStyle w:val="style0"/>
              <w:spacing w:after="20" w:lineRule="auto" w:line="360"/>
              <w:jc w:val="both"/>
              <w:rPr>
                <w:rFonts w:ascii="Times New Roman" w:cs="Times New Roman" w:hAnsi="Times New Roman"/>
                <w:color w:val="auto"/>
              </w:rPr>
            </w:pPr>
            <w:r>
              <w:rPr>
                <w:rFonts w:ascii="Times New Roman" w:cs="Times New Roman" w:hAnsi="Times New Roman"/>
                <w:color w:val="auto"/>
              </w:rPr>
              <w:t>5000</w:t>
            </w:r>
          </w:p>
        </w:tc>
      </w:tr>
      <w:tr w14:paraId="248C43A1">
        <w:tblPrEx/>
        <w:trPr>
          <w:jc w:val="center"/>
        </w:trPr>
        <w:tc>
          <w:tcPr>
            <w:tcW w:w="3200" w:type="dxa"/>
            <w:tcBorders/>
            <w:shd w:val="clear" w:color="auto" w:fill="f2f2f2"/>
            <w:tcMar>
              <w:top w:w="60" w:type="dxa"/>
              <w:left w:w="90" w:type="dxa"/>
              <w:bottom w:w="60" w:type="dxa"/>
              <w:right w:w="90" w:type="dxa"/>
            </w:tcMar>
          </w:tcPr>
          <w:p w14:paraId="6F948550">
            <w:pPr>
              <w:pStyle w:val="style0"/>
              <w:spacing w:after="20" w:lineRule="auto" w:line="360"/>
              <w:jc w:val="both"/>
              <w:rPr>
                <w:rFonts w:ascii="Times New Roman" w:cs="Times New Roman" w:hAnsi="Times New Roman"/>
                <w:color w:val="auto"/>
              </w:rPr>
            </w:pPr>
            <w:r>
              <w:rPr>
                <w:rFonts w:ascii="Times New Roman" w:cs="Times New Roman" w:hAnsi="Times New Roman"/>
                <w:b/>
                <w:bCs/>
                <w:color w:val="auto"/>
              </w:rPr>
              <w:t>Submission date</w:t>
            </w:r>
          </w:p>
        </w:tc>
        <w:tc>
          <w:tcPr>
            <w:tcW w:w="5800" w:type="dxa"/>
            <w:tcBorders/>
            <w:tcMar>
              <w:top w:w="60" w:type="dxa"/>
              <w:left w:w="90" w:type="dxa"/>
              <w:bottom w:w="60" w:type="dxa"/>
              <w:right w:w="90" w:type="dxa"/>
            </w:tcMar>
          </w:tcPr>
          <w:p w14:paraId="2FCB47BF">
            <w:pPr>
              <w:pStyle w:val="style0"/>
              <w:spacing w:after="20" w:lineRule="auto" w:line="360"/>
              <w:jc w:val="both"/>
              <w:rPr>
                <w:rFonts w:ascii="Times New Roman" w:cs="Times New Roman" w:hAnsi="Times New Roman"/>
                <w:color w:val="auto"/>
              </w:rPr>
            </w:pPr>
            <w:r>
              <w:rPr>
                <w:rFonts w:ascii="Times New Roman" w:cs="Times New Roman" w:hAnsi="Times New Roman"/>
                <w:color w:val="auto"/>
              </w:rPr>
              <w:t>14 August 2026</w:t>
            </w:r>
          </w:p>
        </w:tc>
      </w:tr>
    </w:tbl>
    <w:p w14:paraId="340B37C7">
      <w:pPr>
        <w:pStyle w:val="style0"/>
        <w:spacing w:lineRule="auto" w:line="360"/>
        <w:jc w:val="both"/>
        <w:rPr>
          <w:rFonts w:ascii="Times New Roman" w:cs="Times New Roman" w:hAnsi="Times New Roman"/>
          <w:color w:val="auto"/>
        </w:rPr>
        <w:sectPr>
          <w:pgSz w:w="11906" w:h="16838" w:orient="portrait"/>
          <w:pgMar w:top="1440" w:right="1440" w:bottom="1440" w:left="1440" w:header="708" w:footer="708" w:gutter="0"/>
          <w:pgBorders w:zOrder="front" w:display="allPages" w:offsetFrom="page">
            <w:top w:val="single" w:sz="4" w:space="24" w:color="auto"/>
            <w:left w:val="single" w:sz="4" w:space="24" w:color="auto"/>
            <w:bottom w:val="single" w:sz="4" w:space="24" w:color="auto"/>
            <w:right w:val="single" w:sz="4" w:space="24" w:color="auto"/>
          </w:pgBorders>
          <w:cols w:space="720"/>
          <w:docGrid w:linePitch="360"/>
        </w:sectPr>
      </w:pPr>
    </w:p>
    <w:p w14:paraId="2D67A14A">
      <w:pPr>
        <w:pStyle w:val="style266"/>
        <w:numPr>
          <w:ilvl w:val="0"/>
          <w:numId w:val="0"/>
        </w:numPr>
        <w:spacing w:lineRule="auto" w:line="360"/>
        <w:ind w:left="432" w:hanging="432"/>
        <w:jc w:val="both"/>
        <w:rPr>
          <w:rFonts w:ascii="Times New Roman" w:cs="Times New Roman" w:hAnsi="Times New Roman"/>
          <w:b/>
          <w:bCs/>
          <w:color w:val="auto"/>
          <w:sz w:val="24"/>
          <w:szCs w:val="24"/>
        </w:rPr>
      </w:pPr>
      <w:r>
        <w:rPr>
          <w:rFonts w:ascii="Times New Roman" w:cs="Times New Roman" w:hAnsi="Times New Roman"/>
          <w:b/>
          <w:bCs/>
          <w:color w:val="auto"/>
          <w:sz w:val="24"/>
          <w:szCs w:val="24"/>
        </w:rPr>
        <w:t>Table of Contents</w:t>
      </w:r>
    </w:p>
    <w:p w14:paraId="32440C87">
      <w:pPr>
        <w:pStyle w:val="style19"/>
        <w:tabs>
          <w:tab w:val="left" w:leader="none" w:pos="480"/>
          <w:tab w:val="right" w:leader="dot" w:pos="9016"/>
        </w:tabs>
        <w:spacing w:lineRule="auto" w:line="360"/>
        <w:jc w:val="both"/>
        <w:rPr>
          <w:rFonts w:ascii="Times New Roman" w:cs="Times New Roman" w:eastAsia="宋体" w:hAnsi="Times New Roman"/>
          <w:noProof/>
          <w:color w:val="auto"/>
          <w:kern w:val="2"/>
          <w14:ligatures xmlns:w14="http://schemas.microsoft.com/office/word/2010/wordml" w14:val="standardContextual"/>
        </w:rPr>
      </w:pPr>
      <w:r>
        <w:rPr>
          <w:rFonts w:ascii="Times New Roman" w:cs="Times New Roman" w:hAnsi="Times New Roman"/>
        </w:rPr>
        <w:fldChar w:fldCharType="begin"/>
      </w:r>
      <w:r>
        <w:rPr>
          <w:rFonts w:ascii="Times New Roman" w:cs="Times New Roman" w:hAnsi="Times New Roman"/>
        </w:rPr>
        <w:instrText xml:space="preserve"> TOC \o "1-3" \h \z \u </w:instrText>
      </w:r>
      <w:r>
        <w:rPr>
          <w:rFonts w:ascii="Times New Roman" w:cs="Times New Roman" w:hAnsi="Times New Roman"/>
        </w:rPr>
        <w:fldChar w:fldCharType="separate"/>
      </w:r>
      <w:r>
        <w:rPr/>
        <w:fldChar w:fldCharType="begin"/>
      </w:r>
      <w:r>
        <w:instrText xml:space="preserve"> HYPERLINK \l "_Toc237565427" </w:instrText>
      </w:r>
      <w:r>
        <w:rPr/>
        <w:fldChar w:fldCharType="separate"/>
      </w:r>
      <w:r>
        <w:rPr>
          <w:rStyle w:val="style85"/>
          <w:rFonts w:ascii="Times New Roman" w:cs="Times New Roman" w:hAnsi="Times New Roman"/>
          <w:noProof/>
        </w:rPr>
        <w:t>1</w:t>
      </w:r>
      <w:r>
        <w:rPr>
          <w:rFonts w:ascii="Times New Roman" w:cs="Times New Roman" w:eastAsia="宋体" w:hAnsi="Times New Roman"/>
          <w:noProof/>
          <w:color w:val="auto"/>
          <w:kern w:val="2"/>
          <w14:ligatures xmlns:w14="http://schemas.microsoft.com/office/word/2010/wordml" w14:val="standardContextual"/>
        </w:rPr>
        <w:tab/>
      </w:r>
      <w:r>
        <w:rPr>
          <w:rStyle w:val="style85"/>
          <w:rFonts w:ascii="Times New Roman" w:cs="Times New Roman" w:hAnsi="Times New Roman"/>
          <w:noProof/>
        </w:rPr>
        <w:t>Section 1: Market Entry Analysis – Netflix, Inc. into Mainland China</w:t>
      </w:r>
      <w:r>
        <w:rPr>
          <w:rFonts w:ascii="Times New Roman" w:cs="Times New Roman" w:hAnsi="Times New Roman"/>
          <w:noProof/>
          <w:webHidden/>
        </w:rPr>
        <w:tab/>
      </w:r>
      <w:r>
        <w:rPr>
          <w:rFonts w:ascii="Times New Roman" w:cs="Times New Roman" w:hAnsi="Times New Roman"/>
          <w:noProof/>
          <w:webHidden/>
        </w:rPr>
        <w:fldChar w:fldCharType="begin"/>
      </w:r>
      <w:r>
        <w:rPr>
          <w:rFonts w:ascii="Times New Roman" w:cs="Times New Roman" w:hAnsi="Times New Roman"/>
          <w:noProof/>
          <w:webHidden/>
        </w:rPr>
        <w:instrText xml:space="preserve"> PAGEREF _Toc237565427 \h </w:instrText>
      </w:r>
      <w:r>
        <w:rPr>
          <w:rFonts w:ascii="Times New Roman" w:cs="Times New Roman" w:hAnsi="Times New Roman"/>
          <w:noProof/>
          <w:webHidden/>
        </w:rPr>
        <w:fldChar w:fldCharType="separate"/>
      </w:r>
      <w:r>
        <w:rPr>
          <w:rFonts w:ascii="Times New Roman" w:cs="Times New Roman" w:hAnsi="Times New Roman"/>
          <w:noProof/>
          <w:webHidden/>
        </w:rPr>
        <w:t>2</w:t>
      </w:r>
      <w:r>
        <w:rPr>
          <w:rFonts w:ascii="Times New Roman" w:cs="Times New Roman" w:hAnsi="Times New Roman"/>
          <w:noProof/>
          <w:webHidden/>
        </w:rPr>
        <w:fldChar w:fldCharType="end"/>
      </w:r>
      <w:r>
        <w:rPr/>
        <w:fldChar w:fldCharType="end"/>
      </w:r>
    </w:p>
    <w:p w14:paraId="77A163FE">
      <w:pPr>
        <w:pStyle w:val="style20"/>
        <w:tabs>
          <w:tab w:val="left" w:leader="none" w:pos="960"/>
          <w:tab w:val="right" w:leader="dot" w:pos="9016"/>
        </w:tabs>
        <w:spacing w:lineRule="auto" w:line="360"/>
        <w:jc w:val="both"/>
        <w:rPr>
          <w:rFonts w:ascii="Times New Roman" w:cs="Times New Roman" w:eastAsia="宋体" w:hAnsi="Times New Roman"/>
          <w:noProof/>
          <w:color w:val="auto"/>
          <w:kern w:val="2"/>
          <w14:ligatures xmlns:w14="http://schemas.microsoft.com/office/word/2010/wordml" w14:val="standardContextual"/>
        </w:rPr>
      </w:pPr>
      <w:r>
        <w:rPr/>
        <w:fldChar w:fldCharType="begin"/>
      </w:r>
      <w:r>
        <w:instrText xml:space="preserve"> HYPERLINK \l "_Toc237565428" </w:instrText>
      </w:r>
      <w:r>
        <w:rPr/>
        <w:fldChar w:fldCharType="separate"/>
      </w:r>
      <w:r>
        <w:rPr>
          <w:rStyle w:val="style85"/>
          <w:rFonts w:ascii="Times New Roman" w:cs="Times New Roman" w:hAnsi="Times New Roman"/>
          <w:noProof/>
        </w:rPr>
        <w:t>1.1</w:t>
      </w:r>
      <w:r>
        <w:rPr>
          <w:rFonts w:ascii="Times New Roman" w:cs="Times New Roman" w:eastAsia="宋体" w:hAnsi="Times New Roman"/>
          <w:noProof/>
          <w:color w:val="auto"/>
          <w:kern w:val="2"/>
          <w14:ligatures xmlns:w14="http://schemas.microsoft.com/office/word/2010/wordml" w14:val="standardContextual"/>
        </w:rPr>
        <w:tab/>
      </w:r>
      <w:r>
        <w:rPr>
          <w:rStyle w:val="style85"/>
          <w:rFonts w:ascii="Times New Roman" w:cs="Times New Roman" w:hAnsi="Times New Roman"/>
          <w:noProof/>
        </w:rPr>
        <w:t>Introduction</w:t>
      </w:r>
      <w:r>
        <w:rPr>
          <w:rFonts w:ascii="Times New Roman" w:cs="Times New Roman" w:hAnsi="Times New Roman"/>
          <w:noProof/>
          <w:webHidden/>
        </w:rPr>
        <w:tab/>
      </w:r>
      <w:r>
        <w:rPr>
          <w:rFonts w:ascii="Times New Roman" w:cs="Times New Roman" w:hAnsi="Times New Roman"/>
          <w:noProof/>
          <w:webHidden/>
        </w:rPr>
        <w:fldChar w:fldCharType="begin"/>
      </w:r>
      <w:r>
        <w:rPr>
          <w:rFonts w:ascii="Times New Roman" w:cs="Times New Roman" w:hAnsi="Times New Roman"/>
          <w:noProof/>
          <w:webHidden/>
        </w:rPr>
        <w:instrText xml:space="preserve"> PAGEREF _Toc237565428 \h </w:instrText>
      </w:r>
      <w:r>
        <w:rPr>
          <w:rFonts w:ascii="Times New Roman" w:cs="Times New Roman" w:hAnsi="Times New Roman"/>
          <w:noProof/>
          <w:webHidden/>
        </w:rPr>
        <w:fldChar w:fldCharType="separate"/>
      </w:r>
      <w:r>
        <w:rPr>
          <w:rFonts w:ascii="Times New Roman" w:cs="Times New Roman" w:hAnsi="Times New Roman"/>
          <w:noProof/>
          <w:webHidden/>
        </w:rPr>
        <w:t>2</w:t>
      </w:r>
      <w:r>
        <w:rPr>
          <w:rFonts w:ascii="Times New Roman" w:cs="Times New Roman" w:hAnsi="Times New Roman"/>
          <w:noProof/>
          <w:webHidden/>
        </w:rPr>
        <w:fldChar w:fldCharType="end"/>
      </w:r>
      <w:r>
        <w:rPr/>
        <w:fldChar w:fldCharType="end"/>
      </w:r>
    </w:p>
    <w:p w14:paraId="0585F605">
      <w:pPr>
        <w:pStyle w:val="style20"/>
        <w:tabs>
          <w:tab w:val="left" w:leader="none" w:pos="960"/>
          <w:tab w:val="right" w:leader="dot" w:pos="9016"/>
        </w:tabs>
        <w:spacing w:lineRule="auto" w:line="360"/>
        <w:jc w:val="both"/>
        <w:rPr>
          <w:rFonts w:ascii="Times New Roman" w:cs="Times New Roman" w:eastAsia="宋体" w:hAnsi="Times New Roman"/>
          <w:noProof/>
          <w:color w:val="auto"/>
          <w:kern w:val="2"/>
          <w14:ligatures xmlns:w14="http://schemas.microsoft.com/office/word/2010/wordml" w14:val="standardContextual"/>
        </w:rPr>
      </w:pPr>
      <w:r>
        <w:rPr/>
        <w:fldChar w:fldCharType="begin"/>
      </w:r>
      <w:r>
        <w:instrText xml:space="preserve"> HYPERLINK \l "_Toc237565429" </w:instrText>
      </w:r>
      <w:r>
        <w:rPr/>
        <w:fldChar w:fldCharType="separate"/>
      </w:r>
      <w:r>
        <w:rPr>
          <w:rStyle w:val="style85"/>
          <w:rFonts w:ascii="Times New Roman" w:cs="Times New Roman" w:hAnsi="Times New Roman"/>
          <w:noProof/>
        </w:rPr>
        <w:t>1.2</w:t>
      </w:r>
      <w:r>
        <w:rPr>
          <w:rFonts w:ascii="Times New Roman" w:cs="Times New Roman" w:eastAsia="宋体" w:hAnsi="Times New Roman"/>
          <w:noProof/>
          <w:color w:val="auto"/>
          <w:kern w:val="2"/>
          <w14:ligatures xmlns:w14="http://schemas.microsoft.com/office/word/2010/wordml" w14:val="standardContextual"/>
        </w:rPr>
        <w:tab/>
      </w:r>
      <w:r>
        <w:rPr>
          <w:rStyle w:val="style85"/>
          <w:rFonts w:ascii="Times New Roman" w:cs="Times New Roman" w:hAnsi="Times New Roman"/>
          <w:noProof/>
        </w:rPr>
        <w:t>Organisational classification and global strategy.</w:t>
      </w:r>
      <w:r>
        <w:rPr>
          <w:rFonts w:ascii="Times New Roman" w:cs="Times New Roman" w:hAnsi="Times New Roman"/>
          <w:noProof/>
          <w:webHidden/>
        </w:rPr>
        <w:tab/>
      </w:r>
      <w:r>
        <w:rPr>
          <w:rFonts w:ascii="Times New Roman" w:cs="Times New Roman" w:hAnsi="Times New Roman"/>
          <w:noProof/>
          <w:webHidden/>
        </w:rPr>
        <w:fldChar w:fldCharType="begin"/>
      </w:r>
      <w:r>
        <w:rPr>
          <w:rFonts w:ascii="Times New Roman" w:cs="Times New Roman" w:hAnsi="Times New Roman"/>
          <w:noProof/>
          <w:webHidden/>
        </w:rPr>
        <w:instrText xml:space="preserve"> PAGEREF _Toc237565429 \h </w:instrText>
      </w:r>
      <w:r>
        <w:rPr>
          <w:rFonts w:ascii="Times New Roman" w:cs="Times New Roman" w:hAnsi="Times New Roman"/>
          <w:noProof/>
          <w:webHidden/>
        </w:rPr>
        <w:fldChar w:fldCharType="separate"/>
      </w:r>
      <w:r>
        <w:rPr>
          <w:rFonts w:ascii="Times New Roman" w:cs="Times New Roman" w:hAnsi="Times New Roman"/>
          <w:noProof/>
          <w:webHidden/>
        </w:rPr>
        <w:t>2</w:t>
      </w:r>
      <w:r>
        <w:rPr>
          <w:rFonts w:ascii="Times New Roman" w:cs="Times New Roman" w:hAnsi="Times New Roman"/>
          <w:noProof/>
          <w:webHidden/>
        </w:rPr>
        <w:fldChar w:fldCharType="end"/>
      </w:r>
      <w:r>
        <w:rPr/>
        <w:fldChar w:fldCharType="end"/>
      </w:r>
    </w:p>
    <w:p w14:paraId="7F3BE345">
      <w:pPr>
        <w:pStyle w:val="style21"/>
        <w:tabs>
          <w:tab w:val="left" w:leader="none" w:pos="1440"/>
          <w:tab w:val="right" w:leader="dot" w:pos="9016"/>
        </w:tabs>
        <w:spacing w:lineRule="auto" w:line="360"/>
        <w:jc w:val="both"/>
        <w:rPr>
          <w:rFonts w:ascii="Times New Roman" w:cs="Times New Roman" w:eastAsia="宋体" w:hAnsi="Times New Roman"/>
          <w:noProof/>
          <w:color w:val="auto"/>
          <w:kern w:val="2"/>
          <w14:ligatures xmlns:w14="http://schemas.microsoft.com/office/word/2010/wordml" w14:val="standardContextual"/>
        </w:rPr>
      </w:pPr>
      <w:r>
        <w:rPr/>
        <w:fldChar w:fldCharType="begin"/>
      </w:r>
      <w:r>
        <w:instrText xml:space="preserve"> HYPERLINK \l "_Toc237565430" </w:instrText>
      </w:r>
      <w:r>
        <w:rPr/>
        <w:fldChar w:fldCharType="separate"/>
      </w:r>
      <w:r>
        <w:rPr>
          <w:rStyle w:val="style85"/>
          <w:rFonts w:ascii="Times New Roman" w:cs="Times New Roman" w:hAnsi="Times New Roman"/>
          <w:noProof/>
        </w:rPr>
        <w:t>1.2.1</w:t>
      </w:r>
      <w:r>
        <w:rPr>
          <w:rFonts w:ascii="Times New Roman" w:cs="Times New Roman" w:eastAsia="宋体" w:hAnsi="Times New Roman"/>
          <w:noProof/>
          <w:color w:val="auto"/>
          <w:kern w:val="2"/>
          <w14:ligatures xmlns:w14="http://schemas.microsoft.com/office/word/2010/wordml" w14:val="standardContextual"/>
        </w:rPr>
        <w:tab/>
      </w:r>
      <w:r>
        <w:rPr>
          <w:rStyle w:val="style85"/>
          <w:rFonts w:ascii="Times New Roman" w:cs="Times New Roman" w:hAnsi="Times New Roman"/>
          <w:noProof/>
        </w:rPr>
        <w:t>Strategic categorisation (Bartlett &amp; Ghoshal, 1989)</w:t>
      </w:r>
      <w:r>
        <w:rPr>
          <w:rFonts w:ascii="Times New Roman" w:cs="Times New Roman" w:hAnsi="Times New Roman"/>
          <w:noProof/>
          <w:webHidden/>
        </w:rPr>
        <w:tab/>
      </w:r>
      <w:r>
        <w:rPr>
          <w:rFonts w:ascii="Times New Roman" w:cs="Times New Roman" w:hAnsi="Times New Roman"/>
          <w:noProof/>
          <w:webHidden/>
        </w:rPr>
        <w:fldChar w:fldCharType="begin"/>
      </w:r>
      <w:r>
        <w:rPr>
          <w:rFonts w:ascii="Times New Roman" w:cs="Times New Roman" w:hAnsi="Times New Roman"/>
          <w:noProof/>
          <w:webHidden/>
        </w:rPr>
        <w:instrText xml:space="preserve"> PAGEREF _Toc237565430 \h </w:instrText>
      </w:r>
      <w:r>
        <w:rPr>
          <w:rFonts w:ascii="Times New Roman" w:cs="Times New Roman" w:hAnsi="Times New Roman"/>
          <w:noProof/>
          <w:webHidden/>
        </w:rPr>
        <w:fldChar w:fldCharType="separate"/>
      </w:r>
      <w:r>
        <w:rPr>
          <w:rFonts w:ascii="Times New Roman" w:cs="Times New Roman" w:hAnsi="Times New Roman"/>
          <w:noProof/>
          <w:webHidden/>
        </w:rPr>
        <w:t>2</w:t>
      </w:r>
      <w:r>
        <w:rPr>
          <w:rFonts w:ascii="Times New Roman" w:cs="Times New Roman" w:hAnsi="Times New Roman"/>
          <w:noProof/>
          <w:webHidden/>
        </w:rPr>
        <w:fldChar w:fldCharType="end"/>
      </w:r>
      <w:r>
        <w:rPr/>
        <w:fldChar w:fldCharType="end"/>
      </w:r>
    </w:p>
    <w:p w14:paraId="378ADCE1">
      <w:pPr>
        <w:pStyle w:val="style21"/>
        <w:tabs>
          <w:tab w:val="left" w:leader="none" w:pos="1440"/>
          <w:tab w:val="right" w:leader="dot" w:pos="9016"/>
        </w:tabs>
        <w:spacing w:lineRule="auto" w:line="360"/>
        <w:jc w:val="both"/>
        <w:rPr>
          <w:rFonts w:ascii="Times New Roman" w:cs="Times New Roman" w:eastAsia="宋体" w:hAnsi="Times New Roman"/>
          <w:noProof/>
          <w:color w:val="auto"/>
          <w:kern w:val="2"/>
          <w14:ligatures xmlns:w14="http://schemas.microsoft.com/office/word/2010/wordml" w14:val="standardContextual"/>
        </w:rPr>
      </w:pPr>
      <w:r>
        <w:rPr/>
        <w:fldChar w:fldCharType="begin"/>
      </w:r>
      <w:r>
        <w:instrText xml:space="preserve"> HYPERLINK \l "_Toc237565431" </w:instrText>
      </w:r>
      <w:r>
        <w:rPr/>
        <w:fldChar w:fldCharType="separate"/>
      </w:r>
      <w:r>
        <w:rPr>
          <w:rStyle w:val="style85"/>
          <w:rFonts w:ascii="Times New Roman" w:cs="Times New Roman" w:hAnsi="Times New Roman"/>
          <w:noProof/>
        </w:rPr>
        <w:t>1.2.2</w:t>
      </w:r>
      <w:r>
        <w:rPr>
          <w:rFonts w:ascii="Times New Roman" w:cs="Times New Roman" w:eastAsia="宋体" w:hAnsi="Times New Roman"/>
          <w:noProof/>
          <w:color w:val="auto"/>
          <w:kern w:val="2"/>
          <w14:ligatures xmlns:w14="http://schemas.microsoft.com/office/word/2010/wordml" w14:val="standardContextual"/>
        </w:rPr>
        <w:tab/>
      </w:r>
      <w:r>
        <w:rPr>
          <w:rStyle w:val="style85"/>
          <w:rFonts w:ascii="Times New Roman" w:cs="Times New Roman" w:hAnsi="Times New Roman"/>
          <w:noProof/>
        </w:rPr>
        <w:t>Global configuration and competitive advantage</w:t>
      </w:r>
      <w:r>
        <w:rPr>
          <w:rFonts w:ascii="Times New Roman" w:cs="Times New Roman" w:hAnsi="Times New Roman"/>
          <w:noProof/>
          <w:webHidden/>
        </w:rPr>
        <w:tab/>
      </w:r>
      <w:r>
        <w:rPr>
          <w:rFonts w:ascii="Times New Roman" w:cs="Times New Roman" w:hAnsi="Times New Roman"/>
          <w:noProof/>
          <w:webHidden/>
        </w:rPr>
        <w:fldChar w:fldCharType="begin"/>
      </w:r>
      <w:r>
        <w:rPr>
          <w:rFonts w:ascii="Times New Roman" w:cs="Times New Roman" w:hAnsi="Times New Roman"/>
          <w:noProof/>
          <w:webHidden/>
        </w:rPr>
        <w:instrText xml:space="preserve"> PAGEREF _Toc237565431 \h </w:instrText>
      </w:r>
      <w:r>
        <w:rPr>
          <w:rFonts w:ascii="Times New Roman" w:cs="Times New Roman" w:hAnsi="Times New Roman"/>
          <w:noProof/>
          <w:webHidden/>
        </w:rPr>
        <w:fldChar w:fldCharType="separate"/>
      </w:r>
      <w:r>
        <w:rPr>
          <w:rFonts w:ascii="Times New Roman" w:cs="Times New Roman" w:hAnsi="Times New Roman"/>
          <w:noProof/>
          <w:webHidden/>
        </w:rPr>
        <w:t>3</w:t>
      </w:r>
      <w:r>
        <w:rPr>
          <w:rFonts w:ascii="Times New Roman" w:cs="Times New Roman" w:hAnsi="Times New Roman"/>
          <w:noProof/>
          <w:webHidden/>
        </w:rPr>
        <w:fldChar w:fldCharType="end"/>
      </w:r>
      <w:r>
        <w:rPr/>
        <w:fldChar w:fldCharType="end"/>
      </w:r>
    </w:p>
    <w:p w14:paraId="654885AB">
      <w:pPr>
        <w:pStyle w:val="style20"/>
        <w:tabs>
          <w:tab w:val="left" w:leader="none" w:pos="960"/>
          <w:tab w:val="right" w:leader="dot" w:pos="9016"/>
        </w:tabs>
        <w:spacing w:lineRule="auto" w:line="360"/>
        <w:jc w:val="both"/>
        <w:rPr>
          <w:rFonts w:ascii="Times New Roman" w:cs="Times New Roman" w:eastAsia="宋体" w:hAnsi="Times New Roman"/>
          <w:noProof/>
          <w:color w:val="auto"/>
          <w:kern w:val="2"/>
          <w14:ligatures xmlns:w14="http://schemas.microsoft.com/office/word/2010/wordml" w14:val="standardContextual"/>
        </w:rPr>
      </w:pPr>
      <w:r>
        <w:rPr/>
        <w:fldChar w:fldCharType="begin"/>
      </w:r>
      <w:r>
        <w:instrText xml:space="preserve"> HYPERLINK \l "_Toc237565432" </w:instrText>
      </w:r>
      <w:r>
        <w:rPr/>
        <w:fldChar w:fldCharType="separate"/>
      </w:r>
      <w:r>
        <w:rPr>
          <w:rStyle w:val="style85"/>
          <w:rFonts w:ascii="Times New Roman" w:cs="Times New Roman" w:hAnsi="Times New Roman"/>
          <w:noProof/>
        </w:rPr>
        <w:t>1.3</w:t>
      </w:r>
      <w:r>
        <w:rPr>
          <w:rFonts w:ascii="Times New Roman" w:cs="Times New Roman" w:eastAsia="宋体" w:hAnsi="Times New Roman"/>
          <w:noProof/>
          <w:color w:val="auto"/>
          <w:kern w:val="2"/>
          <w14:ligatures xmlns:w14="http://schemas.microsoft.com/office/word/2010/wordml" w14:val="standardContextual"/>
        </w:rPr>
        <w:tab/>
      </w:r>
      <w:r>
        <w:rPr>
          <w:rStyle w:val="style85"/>
          <w:rFonts w:ascii="Times New Roman" w:cs="Times New Roman" w:hAnsi="Times New Roman"/>
          <w:noProof/>
        </w:rPr>
        <w:t>Macro-Environmental Appraisal and Market Attractiveness</w:t>
      </w:r>
      <w:r>
        <w:rPr>
          <w:rFonts w:ascii="Times New Roman" w:cs="Times New Roman" w:hAnsi="Times New Roman"/>
          <w:noProof/>
          <w:webHidden/>
        </w:rPr>
        <w:tab/>
      </w:r>
      <w:r>
        <w:rPr>
          <w:rFonts w:ascii="Times New Roman" w:cs="Times New Roman" w:hAnsi="Times New Roman"/>
          <w:noProof/>
          <w:webHidden/>
        </w:rPr>
        <w:fldChar w:fldCharType="begin"/>
      </w:r>
      <w:r>
        <w:rPr>
          <w:rFonts w:ascii="Times New Roman" w:cs="Times New Roman" w:hAnsi="Times New Roman"/>
          <w:noProof/>
          <w:webHidden/>
        </w:rPr>
        <w:instrText xml:space="preserve"> PAGEREF _Toc237565432 \h </w:instrText>
      </w:r>
      <w:r>
        <w:rPr>
          <w:rFonts w:ascii="Times New Roman" w:cs="Times New Roman" w:hAnsi="Times New Roman"/>
          <w:noProof/>
          <w:webHidden/>
        </w:rPr>
        <w:fldChar w:fldCharType="separate"/>
      </w:r>
      <w:r>
        <w:rPr>
          <w:rFonts w:ascii="Times New Roman" w:cs="Times New Roman" w:hAnsi="Times New Roman"/>
          <w:noProof/>
          <w:webHidden/>
        </w:rPr>
        <w:t>4</w:t>
      </w:r>
      <w:r>
        <w:rPr>
          <w:rFonts w:ascii="Times New Roman" w:cs="Times New Roman" w:hAnsi="Times New Roman"/>
          <w:noProof/>
          <w:webHidden/>
        </w:rPr>
        <w:fldChar w:fldCharType="end"/>
      </w:r>
      <w:r>
        <w:rPr/>
        <w:fldChar w:fldCharType="end"/>
      </w:r>
    </w:p>
    <w:p w14:paraId="2A3CDA79">
      <w:pPr>
        <w:pStyle w:val="style21"/>
        <w:tabs>
          <w:tab w:val="left" w:leader="none" w:pos="1440"/>
          <w:tab w:val="right" w:leader="dot" w:pos="9016"/>
        </w:tabs>
        <w:spacing w:lineRule="auto" w:line="360"/>
        <w:jc w:val="both"/>
        <w:rPr>
          <w:rFonts w:ascii="Times New Roman" w:cs="Times New Roman" w:eastAsia="宋体" w:hAnsi="Times New Roman"/>
          <w:noProof/>
          <w:color w:val="auto"/>
          <w:kern w:val="2"/>
          <w14:ligatures xmlns:w14="http://schemas.microsoft.com/office/word/2010/wordml" w14:val="standardContextual"/>
        </w:rPr>
      </w:pPr>
      <w:r>
        <w:rPr/>
        <w:fldChar w:fldCharType="begin"/>
      </w:r>
      <w:r>
        <w:instrText xml:space="preserve"> HYPERLINK \l "_Toc237565433" </w:instrText>
      </w:r>
      <w:r>
        <w:rPr/>
        <w:fldChar w:fldCharType="separate"/>
      </w:r>
      <w:r>
        <w:rPr>
          <w:rStyle w:val="style85"/>
          <w:rFonts w:ascii="Times New Roman" w:cs="Times New Roman" w:hAnsi="Times New Roman"/>
          <w:noProof/>
        </w:rPr>
        <w:t>1.3.1</w:t>
      </w:r>
      <w:r>
        <w:rPr>
          <w:rFonts w:ascii="Times New Roman" w:cs="Times New Roman" w:eastAsia="宋体" w:hAnsi="Times New Roman"/>
          <w:noProof/>
          <w:color w:val="auto"/>
          <w:kern w:val="2"/>
          <w14:ligatures xmlns:w14="http://schemas.microsoft.com/office/word/2010/wordml" w14:val="standardContextual"/>
        </w:rPr>
        <w:tab/>
      </w:r>
      <w:r>
        <w:rPr>
          <w:rStyle w:val="style85"/>
          <w:rFonts w:ascii="Times New Roman" w:cs="Times New Roman" w:hAnsi="Times New Roman"/>
          <w:noProof/>
        </w:rPr>
        <w:t>Political and legal environment</w:t>
      </w:r>
      <w:r>
        <w:rPr>
          <w:rFonts w:ascii="Times New Roman" w:cs="Times New Roman" w:hAnsi="Times New Roman"/>
          <w:noProof/>
          <w:webHidden/>
        </w:rPr>
        <w:tab/>
      </w:r>
      <w:r>
        <w:rPr>
          <w:rFonts w:ascii="Times New Roman" w:cs="Times New Roman" w:hAnsi="Times New Roman"/>
          <w:noProof/>
          <w:webHidden/>
        </w:rPr>
        <w:fldChar w:fldCharType="begin"/>
      </w:r>
      <w:r>
        <w:rPr>
          <w:rFonts w:ascii="Times New Roman" w:cs="Times New Roman" w:hAnsi="Times New Roman"/>
          <w:noProof/>
          <w:webHidden/>
        </w:rPr>
        <w:instrText xml:space="preserve"> PAGEREF _Toc237565433 \h </w:instrText>
      </w:r>
      <w:r>
        <w:rPr>
          <w:rFonts w:ascii="Times New Roman" w:cs="Times New Roman" w:hAnsi="Times New Roman"/>
          <w:noProof/>
          <w:webHidden/>
        </w:rPr>
        <w:fldChar w:fldCharType="separate"/>
      </w:r>
      <w:r>
        <w:rPr>
          <w:rFonts w:ascii="Times New Roman" w:cs="Times New Roman" w:hAnsi="Times New Roman"/>
          <w:noProof/>
          <w:webHidden/>
        </w:rPr>
        <w:t>4</w:t>
      </w:r>
      <w:r>
        <w:rPr>
          <w:rFonts w:ascii="Times New Roman" w:cs="Times New Roman" w:hAnsi="Times New Roman"/>
          <w:noProof/>
          <w:webHidden/>
        </w:rPr>
        <w:fldChar w:fldCharType="end"/>
      </w:r>
      <w:r>
        <w:rPr/>
        <w:fldChar w:fldCharType="end"/>
      </w:r>
    </w:p>
    <w:p w14:paraId="7B961644">
      <w:pPr>
        <w:pStyle w:val="style21"/>
        <w:tabs>
          <w:tab w:val="left" w:leader="none" w:pos="1440"/>
          <w:tab w:val="right" w:leader="dot" w:pos="9016"/>
        </w:tabs>
        <w:spacing w:lineRule="auto" w:line="360"/>
        <w:jc w:val="both"/>
        <w:rPr>
          <w:rFonts w:ascii="Times New Roman" w:cs="Times New Roman" w:eastAsia="宋体" w:hAnsi="Times New Roman"/>
          <w:noProof/>
          <w:color w:val="auto"/>
          <w:kern w:val="2"/>
          <w14:ligatures xmlns:w14="http://schemas.microsoft.com/office/word/2010/wordml" w14:val="standardContextual"/>
        </w:rPr>
      </w:pPr>
      <w:r>
        <w:rPr/>
        <w:fldChar w:fldCharType="begin"/>
      </w:r>
      <w:r>
        <w:instrText xml:space="preserve"> HYPERLINK \l "_Toc237565434" </w:instrText>
      </w:r>
      <w:r>
        <w:rPr/>
        <w:fldChar w:fldCharType="separate"/>
      </w:r>
      <w:r>
        <w:rPr>
          <w:rStyle w:val="style85"/>
          <w:rFonts w:ascii="Times New Roman" w:cs="Times New Roman" w:hAnsi="Times New Roman"/>
          <w:noProof/>
        </w:rPr>
        <w:t>1.3.2</w:t>
      </w:r>
      <w:r>
        <w:rPr>
          <w:rFonts w:ascii="Times New Roman" w:cs="Times New Roman" w:eastAsia="宋体" w:hAnsi="Times New Roman"/>
          <w:noProof/>
          <w:color w:val="auto"/>
          <w:kern w:val="2"/>
          <w14:ligatures xmlns:w14="http://schemas.microsoft.com/office/word/2010/wordml" w14:val="standardContextual"/>
        </w:rPr>
        <w:tab/>
      </w:r>
      <w:r>
        <w:rPr>
          <w:rStyle w:val="style85"/>
          <w:rFonts w:ascii="Times New Roman" w:cs="Times New Roman" w:hAnsi="Times New Roman"/>
          <w:noProof/>
        </w:rPr>
        <w:t>Economic environment and competitive structure</w:t>
      </w:r>
      <w:r>
        <w:rPr>
          <w:rFonts w:ascii="Times New Roman" w:cs="Times New Roman" w:hAnsi="Times New Roman"/>
          <w:noProof/>
          <w:webHidden/>
        </w:rPr>
        <w:tab/>
      </w:r>
      <w:r>
        <w:rPr>
          <w:rFonts w:ascii="Times New Roman" w:cs="Times New Roman" w:hAnsi="Times New Roman"/>
          <w:noProof/>
          <w:webHidden/>
        </w:rPr>
        <w:fldChar w:fldCharType="begin"/>
      </w:r>
      <w:r>
        <w:rPr>
          <w:rFonts w:ascii="Times New Roman" w:cs="Times New Roman" w:hAnsi="Times New Roman"/>
          <w:noProof/>
          <w:webHidden/>
        </w:rPr>
        <w:instrText xml:space="preserve"> PAGEREF _Toc237565434 \h </w:instrText>
      </w:r>
      <w:r>
        <w:rPr>
          <w:rFonts w:ascii="Times New Roman" w:cs="Times New Roman" w:hAnsi="Times New Roman"/>
          <w:noProof/>
          <w:webHidden/>
        </w:rPr>
        <w:fldChar w:fldCharType="separate"/>
      </w:r>
      <w:r>
        <w:rPr>
          <w:rFonts w:ascii="Times New Roman" w:cs="Times New Roman" w:hAnsi="Times New Roman"/>
          <w:noProof/>
          <w:webHidden/>
        </w:rPr>
        <w:t>5</w:t>
      </w:r>
      <w:r>
        <w:rPr>
          <w:rFonts w:ascii="Times New Roman" w:cs="Times New Roman" w:hAnsi="Times New Roman"/>
          <w:noProof/>
          <w:webHidden/>
        </w:rPr>
        <w:fldChar w:fldCharType="end"/>
      </w:r>
      <w:r>
        <w:rPr/>
        <w:fldChar w:fldCharType="end"/>
      </w:r>
    </w:p>
    <w:p w14:paraId="47E12564">
      <w:pPr>
        <w:pStyle w:val="style21"/>
        <w:tabs>
          <w:tab w:val="left" w:leader="none" w:pos="1440"/>
          <w:tab w:val="right" w:leader="dot" w:pos="9016"/>
        </w:tabs>
        <w:spacing w:lineRule="auto" w:line="360"/>
        <w:jc w:val="both"/>
        <w:rPr>
          <w:rFonts w:ascii="Times New Roman" w:cs="Times New Roman" w:eastAsia="宋体" w:hAnsi="Times New Roman"/>
          <w:noProof/>
          <w:color w:val="auto"/>
          <w:kern w:val="2"/>
          <w14:ligatures xmlns:w14="http://schemas.microsoft.com/office/word/2010/wordml" w14:val="standardContextual"/>
        </w:rPr>
      </w:pPr>
      <w:r>
        <w:rPr/>
        <w:fldChar w:fldCharType="begin"/>
      </w:r>
      <w:r>
        <w:instrText xml:space="preserve"> HYPERLINK \l "_Toc237565435" </w:instrText>
      </w:r>
      <w:r>
        <w:rPr/>
        <w:fldChar w:fldCharType="separate"/>
      </w:r>
      <w:r>
        <w:rPr>
          <w:rStyle w:val="style85"/>
          <w:rFonts w:ascii="Times New Roman" w:cs="Times New Roman" w:hAnsi="Times New Roman"/>
          <w:noProof/>
        </w:rPr>
        <w:t>1.3.3</w:t>
      </w:r>
      <w:r>
        <w:rPr>
          <w:rFonts w:ascii="Times New Roman" w:cs="Times New Roman" w:eastAsia="宋体" w:hAnsi="Times New Roman"/>
          <w:noProof/>
          <w:color w:val="auto"/>
          <w:kern w:val="2"/>
          <w14:ligatures xmlns:w14="http://schemas.microsoft.com/office/word/2010/wordml" w14:val="standardContextual"/>
        </w:rPr>
        <w:tab/>
      </w:r>
      <w:r>
        <w:rPr>
          <w:rStyle w:val="style85"/>
          <w:rFonts w:ascii="Times New Roman" w:cs="Times New Roman" w:hAnsi="Times New Roman"/>
          <w:noProof/>
        </w:rPr>
        <w:t>Cultural environment</w:t>
      </w:r>
      <w:r>
        <w:rPr>
          <w:rFonts w:ascii="Times New Roman" w:cs="Times New Roman" w:hAnsi="Times New Roman"/>
          <w:noProof/>
          <w:webHidden/>
        </w:rPr>
        <w:tab/>
      </w:r>
      <w:r>
        <w:rPr>
          <w:rFonts w:ascii="Times New Roman" w:cs="Times New Roman" w:hAnsi="Times New Roman"/>
          <w:noProof/>
          <w:webHidden/>
        </w:rPr>
        <w:fldChar w:fldCharType="begin"/>
      </w:r>
      <w:r>
        <w:rPr>
          <w:rFonts w:ascii="Times New Roman" w:cs="Times New Roman" w:hAnsi="Times New Roman"/>
          <w:noProof/>
          <w:webHidden/>
        </w:rPr>
        <w:instrText xml:space="preserve"> PAGEREF _Toc237565435 \h </w:instrText>
      </w:r>
      <w:r>
        <w:rPr>
          <w:rFonts w:ascii="Times New Roman" w:cs="Times New Roman" w:hAnsi="Times New Roman"/>
          <w:noProof/>
          <w:webHidden/>
        </w:rPr>
        <w:fldChar w:fldCharType="separate"/>
      </w:r>
      <w:r>
        <w:rPr>
          <w:rFonts w:ascii="Times New Roman" w:cs="Times New Roman" w:hAnsi="Times New Roman"/>
          <w:noProof/>
          <w:webHidden/>
        </w:rPr>
        <w:t>7</w:t>
      </w:r>
      <w:r>
        <w:rPr>
          <w:rFonts w:ascii="Times New Roman" w:cs="Times New Roman" w:hAnsi="Times New Roman"/>
          <w:noProof/>
          <w:webHidden/>
        </w:rPr>
        <w:fldChar w:fldCharType="end"/>
      </w:r>
      <w:r>
        <w:rPr/>
        <w:fldChar w:fldCharType="end"/>
      </w:r>
    </w:p>
    <w:p w14:paraId="23643C61">
      <w:pPr>
        <w:pStyle w:val="style21"/>
        <w:tabs>
          <w:tab w:val="left" w:leader="none" w:pos="1440"/>
          <w:tab w:val="right" w:leader="dot" w:pos="9016"/>
        </w:tabs>
        <w:spacing w:lineRule="auto" w:line="360"/>
        <w:jc w:val="both"/>
        <w:rPr>
          <w:rFonts w:ascii="Times New Roman" w:cs="Times New Roman" w:eastAsia="宋体" w:hAnsi="Times New Roman"/>
          <w:noProof/>
          <w:color w:val="auto"/>
          <w:kern w:val="2"/>
          <w14:ligatures xmlns:w14="http://schemas.microsoft.com/office/word/2010/wordml" w14:val="standardContextual"/>
        </w:rPr>
      </w:pPr>
      <w:r>
        <w:rPr/>
        <w:fldChar w:fldCharType="begin"/>
      </w:r>
      <w:r>
        <w:instrText xml:space="preserve"> HYPERLINK \l "_Toc237565436" </w:instrText>
      </w:r>
      <w:r>
        <w:rPr/>
        <w:fldChar w:fldCharType="separate"/>
      </w:r>
      <w:r>
        <w:rPr>
          <w:rStyle w:val="style85"/>
          <w:rFonts w:ascii="Times New Roman" w:cs="Times New Roman" w:hAnsi="Times New Roman"/>
          <w:noProof/>
        </w:rPr>
        <w:t>1.3.4</w:t>
      </w:r>
      <w:r>
        <w:rPr>
          <w:rFonts w:ascii="Times New Roman" w:cs="Times New Roman" w:eastAsia="宋体" w:hAnsi="Times New Roman"/>
          <w:noProof/>
          <w:color w:val="auto"/>
          <w:kern w:val="2"/>
          <w14:ligatures xmlns:w14="http://schemas.microsoft.com/office/word/2010/wordml" w14:val="standardContextual"/>
        </w:rPr>
        <w:tab/>
      </w:r>
      <w:r>
        <w:rPr>
          <w:rStyle w:val="style85"/>
          <w:rFonts w:ascii="Times New Roman" w:cs="Times New Roman" w:hAnsi="Times New Roman"/>
          <w:noProof/>
        </w:rPr>
        <w:t>Synthesis of macro-environmental factors</w:t>
      </w:r>
      <w:r>
        <w:rPr>
          <w:rFonts w:ascii="Times New Roman" w:cs="Times New Roman" w:hAnsi="Times New Roman"/>
          <w:noProof/>
          <w:webHidden/>
        </w:rPr>
        <w:tab/>
      </w:r>
      <w:r>
        <w:rPr>
          <w:rFonts w:ascii="Times New Roman" w:cs="Times New Roman" w:hAnsi="Times New Roman"/>
          <w:noProof/>
          <w:webHidden/>
        </w:rPr>
        <w:fldChar w:fldCharType="begin"/>
      </w:r>
      <w:r>
        <w:rPr>
          <w:rFonts w:ascii="Times New Roman" w:cs="Times New Roman" w:hAnsi="Times New Roman"/>
          <w:noProof/>
          <w:webHidden/>
        </w:rPr>
        <w:instrText xml:space="preserve"> PAGEREF _Toc237565436 \h </w:instrText>
      </w:r>
      <w:r>
        <w:rPr>
          <w:rFonts w:ascii="Times New Roman" w:cs="Times New Roman" w:hAnsi="Times New Roman"/>
          <w:noProof/>
          <w:webHidden/>
        </w:rPr>
        <w:fldChar w:fldCharType="separate"/>
      </w:r>
      <w:r>
        <w:rPr>
          <w:rFonts w:ascii="Times New Roman" w:cs="Times New Roman" w:hAnsi="Times New Roman"/>
          <w:noProof/>
          <w:webHidden/>
        </w:rPr>
        <w:t>8</w:t>
      </w:r>
      <w:r>
        <w:rPr>
          <w:rFonts w:ascii="Times New Roman" w:cs="Times New Roman" w:hAnsi="Times New Roman"/>
          <w:noProof/>
          <w:webHidden/>
        </w:rPr>
        <w:fldChar w:fldCharType="end"/>
      </w:r>
      <w:r>
        <w:rPr/>
        <w:fldChar w:fldCharType="end"/>
      </w:r>
    </w:p>
    <w:p w14:paraId="576D20EA">
      <w:pPr>
        <w:pStyle w:val="style21"/>
        <w:tabs>
          <w:tab w:val="left" w:leader="none" w:pos="1440"/>
          <w:tab w:val="right" w:leader="dot" w:pos="9016"/>
        </w:tabs>
        <w:spacing w:lineRule="auto" w:line="360"/>
        <w:jc w:val="both"/>
        <w:rPr>
          <w:rFonts w:ascii="Times New Roman" w:cs="Times New Roman" w:eastAsia="宋体" w:hAnsi="Times New Roman"/>
          <w:noProof/>
          <w:color w:val="auto"/>
          <w:kern w:val="2"/>
          <w14:ligatures xmlns:w14="http://schemas.microsoft.com/office/word/2010/wordml" w14:val="standardContextual"/>
        </w:rPr>
      </w:pPr>
      <w:r>
        <w:rPr/>
        <w:fldChar w:fldCharType="begin"/>
      </w:r>
      <w:r>
        <w:instrText xml:space="preserve"> HYPERLINK \l "_Toc237565437" </w:instrText>
      </w:r>
      <w:r>
        <w:rPr/>
        <w:fldChar w:fldCharType="separate"/>
      </w:r>
      <w:r>
        <w:rPr>
          <w:rStyle w:val="style85"/>
          <w:rFonts w:ascii="Times New Roman" w:cs="Times New Roman" w:hAnsi="Times New Roman"/>
          <w:noProof/>
        </w:rPr>
        <w:t>1.3.5</w:t>
      </w:r>
      <w:r>
        <w:rPr>
          <w:rFonts w:ascii="Times New Roman" w:cs="Times New Roman" w:eastAsia="宋体" w:hAnsi="Times New Roman"/>
          <w:noProof/>
          <w:color w:val="auto"/>
          <w:kern w:val="2"/>
          <w14:ligatures xmlns:w14="http://schemas.microsoft.com/office/word/2010/wordml" w14:val="standardContextual"/>
        </w:rPr>
        <w:tab/>
      </w:r>
      <w:r>
        <w:rPr>
          <w:rStyle w:val="style85"/>
          <w:rFonts w:ascii="Times New Roman" w:cs="Times New Roman" w:hAnsi="Times New Roman"/>
          <w:noProof/>
        </w:rPr>
        <w:t>Market entry through Dunning’s eclectic (OLI) paradigm</w:t>
      </w:r>
      <w:r>
        <w:rPr>
          <w:rFonts w:ascii="Times New Roman" w:cs="Times New Roman" w:hAnsi="Times New Roman"/>
          <w:noProof/>
          <w:webHidden/>
        </w:rPr>
        <w:tab/>
      </w:r>
      <w:r>
        <w:rPr>
          <w:rFonts w:ascii="Times New Roman" w:cs="Times New Roman" w:hAnsi="Times New Roman"/>
          <w:noProof/>
          <w:webHidden/>
        </w:rPr>
        <w:fldChar w:fldCharType="begin"/>
      </w:r>
      <w:r>
        <w:rPr>
          <w:rFonts w:ascii="Times New Roman" w:cs="Times New Roman" w:hAnsi="Times New Roman"/>
          <w:noProof/>
          <w:webHidden/>
        </w:rPr>
        <w:instrText xml:space="preserve"> PAGEREF _Toc237565437 \h </w:instrText>
      </w:r>
      <w:r>
        <w:rPr>
          <w:rFonts w:ascii="Times New Roman" w:cs="Times New Roman" w:hAnsi="Times New Roman"/>
          <w:noProof/>
          <w:webHidden/>
        </w:rPr>
        <w:fldChar w:fldCharType="separate"/>
      </w:r>
      <w:r>
        <w:rPr>
          <w:rFonts w:ascii="Times New Roman" w:cs="Times New Roman" w:hAnsi="Times New Roman"/>
          <w:noProof/>
          <w:webHidden/>
        </w:rPr>
        <w:t>8</w:t>
      </w:r>
      <w:r>
        <w:rPr>
          <w:rFonts w:ascii="Times New Roman" w:cs="Times New Roman" w:hAnsi="Times New Roman"/>
          <w:noProof/>
          <w:webHidden/>
        </w:rPr>
        <w:fldChar w:fldCharType="end"/>
      </w:r>
      <w:r>
        <w:rPr/>
        <w:fldChar w:fldCharType="end"/>
      </w:r>
    </w:p>
    <w:p w14:paraId="10949C62">
      <w:pPr>
        <w:pStyle w:val="style20"/>
        <w:tabs>
          <w:tab w:val="left" w:leader="none" w:pos="960"/>
          <w:tab w:val="right" w:leader="dot" w:pos="9016"/>
        </w:tabs>
        <w:spacing w:lineRule="auto" w:line="360"/>
        <w:jc w:val="both"/>
        <w:rPr>
          <w:rFonts w:ascii="Times New Roman" w:cs="Times New Roman" w:eastAsia="宋体" w:hAnsi="Times New Roman"/>
          <w:noProof/>
          <w:color w:val="auto"/>
          <w:kern w:val="2"/>
          <w14:ligatures xmlns:w14="http://schemas.microsoft.com/office/word/2010/wordml" w14:val="standardContextual"/>
        </w:rPr>
      </w:pPr>
      <w:r>
        <w:rPr/>
        <w:fldChar w:fldCharType="begin"/>
      </w:r>
      <w:r>
        <w:instrText xml:space="preserve"> HYPERLINK \l "_Toc237565438" </w:instrText>
      </w:r>
      <w:r>
        <w:rPr/>
        <w:fldChar w:fldCharType="separate"/>
      </w:r>
      <w:r>
        <w:rPr>
          <w:rStyle w:val="style85"/>
          <w:rFonts w:ascii="Times New Roman" w:cs="Times New Roman" w:hAnsi="Times New Roman"/>
          <w:noProof/>
        </w:rPr>
        <w:t>1.4</w:t>
      </w:r>
      <w:r>
        <w:rPr>
          <w:rFonts w:ascii="Times New Roman" w:cs="Times New Roman" w:eastAsia="宋体" w:hAnsi="Times New Roman"/>
          <w:noProof/>
          <w:color w:val="auto"/>
          <w:kern w:val="2"/>
          <w14:ligatures xmlns:w14="http://schemas.microsoft.com/office/word/2010/wordml" w14:val="standardContextual"/>
        </w:rPr>
        <w:tab/>
      </w:r>
      <w:r>
        <w:rPr>
          <w:rStyle w:val="style85"/>
          <w:rFonts w:ascii="Times New Roman" w:cs="Times New Roman" w:hAnsi="Times New Roman"/>
          <w:noProof/>
        </w:rPr>
        <w:t>Entry-Mode Strategy and Strategic Synthesis</w:t>
      </w:r>
      <w:r>
        <w:rPr>
          <w:rFonts w:ascii="Times New Roman" w:cs="Times New Roman" w:hAnsi="Times New Roman"/>
          <w:noProof/>
          <w:webHidden/>
        </w:rPr>
        <w:tab/>
      </w:r>
      <w:r>
        <w:rPr>
          <w:rFonts w:ascii="Times New Roman" w:cs="Times New Roman" w:hAnsi="Times New Roman"/>
          <w:noProof/>
          <w:webHidden/>
        </w:rPr>
        <w:fldChar w:fldCharType="begin"/>
      </w:r>
      <w:r>
        <w:rPr>
          <w:rFonts w:ascii="Times New Roman" w:cs="Times New Roman" w:hAnsi="Times New Roman"/>
          <w:noProof/>
          <w:webHidden/>
        </w:rPr>
        <w:instrText xml:space="preserve"> PAGEREF _Toc237565438 \h </w:instrText>
      </w:r>
      <w:r>
        <w:rPr>
          <w:rFonts w:ascii="Times New Roman" w:cs="Times New Roman" w:hAnsi="Times New Roman"/>
          <w:noProof/>
          <w:webHidden/>
        </w:rPr>
        <w:fldChar w:fldCharType="separate"/>
      </w:r>
      <w:r>
        <w:rPr>
          <w:rFonts w:ascii="Times New Roman" w:cs="Times New Roman" w:hAnsi="Times New Roman"/>
          <w:noProof/>
          <w:webHidden/>
        </w:rPr>
        <w:t>10</w:t>
      </w:r>
      <w:r>
        <w:rPr>
          <w:rFonts w:ascii="Times New Roman" w:cs="Times New Roman" w:hAnsi="Times New Roman"/>
          <w:noProof/>
          <w:webHidden/>
        </w:rPr>
        <w:fldChar w:fldCharType="end"/>
      </w:r>
      <w:r>
        <w:rPr/>
        <w:fldChar w:fldCharType="end"/>
      </w:r>
    </w:p>
    <w:p w14:paraId="30401A3E">
      <w:pPr>
        <w:pStyle w:val="style21"/>
        <w:tabs>
          <w:tab w:val="left" w:leader="none" w:pos="1440"/>
          <w:tab w:val="right" w:leader="dot" w:pos="9016"/>
        </w:tabs>
        <w:spacing w:lineRule="auto" w:line="360"/>
        <w:jc w:val="both"/>
        <w:rPr>
          <w:rFonts w:ascii="Times New Roman" w:cs="Times New Roman" w:eastAsia="宋体" w:hAnsi="Times New Roman"/>
          <w:noProof/>
          <w:color w:val="auto"/>
          <w:kern w:val="2"/>
          <w14:ligatures xmlns:w14="http://schemas.microsoft.com/office/word/2010/wordml" w14:val="standardContextual"/>
        </w:rPr>
      </w:pPr>
      <w:r>
        <w:rPr/>
        <w:fldChar w:fldCharType="begin"/>
      </w:r>
      <w:r>
        <w:instrText xml:space="preserve"> HYPERLINK \l "_Toc237565439" </w:instrText>
      </w:r>
      <w:r>
        <w:rPr/>
        <w:fldChar w:fldCharType="separate"/>
      </w:r>
      <w:r>
        <w:rPr>
          <w:rStyle w:val="style85"/>
          <w:rFonts w:ascii="Times New Roman" w:cs="Times New Roman" w:hAnsi="Times New Roman"/>
          <w:noProof/>
        </w:rPr>
        <w:t>1.4.1</w:t>
      </w:r>
      <w:r>
        <w:rPr>
          <w:rFonts w:ascii="Times New Roman" w:cs="Times New Roman" w:eastAsia="宋体" w:hAnsi="Times New Roman"/>
          <w:noProof/>
          <w:color w:val="auto"/>
          <w:kern w:val="2"/>
          <w14:ligatures xmlns:w14="http://schemas.microsoft.com/office/word/2010/wordml" w14:val="standardContextual"/>
        </w:rPr>
        <w:tab/>
      </w:r>
      <w:r>
        <w:rPr>
          <w:rStyle w:val="style85"/>
          <w:rFonts w:ascii="Times New Roman" w:cs="Times New Roman" w:hAnsi="Times New Roman"/>
          <w:noProof/>
        </w:rPr>
        <w:t>Historical pattern recognition</w:t>
      </w:r>
      <w:r>
        <w:rPr>
          <w:rFonts w:ascii="Times New Roman" w:cs="Times New Roman" w:hAnsi="Times New Roman"/>
          <w:noProof/>
          <w:webHidden/>
        </w:rPr>
        <w:tab/>
      </w:r>
      <w:r>
        <w:rPr>
          <w:rFonts w:ascii="Times New Roman" w:cs="Times New Roman" w:hAnsi="Times New Roman"/>
          <w:noProof/>
          <w:webHidden/>
        </w:rPr>
        <w:fldChar w:fldCharType="begin"/>
      </w:r>
      <w:r>
        <w:rPr>
          <w:rFonts w:ascii="Times New Roman" w:cs="Times New Roman" w:hAnsi="Times New Roman"/>
          <w:noProof/>
          <w:webHidden/>
        </w:rPr>
        <w:instrText xml:space="preserve"> PAGEREF _Toc237565439 \h </w:instrText>
      </w:r>
      <w:r>
        <w:rPr>
          <w:rFonts w:ascii="Times New Roman" w:cs="Times New Roman" w:hAnsi="Times New Roman"/>
          <w:noProof/>
          <w:webHidden/>
        </w:rPr>
        <w:fldChar w:fldCharType="separate"/>
      </w:r>
      <w:r>
        <w:rPr>
          <w:rFonts w:ascii="Times New Roman" w:cs="Times New Roman" w:hAnsi="Times New Roman"/>
          <w:noProof/>
          <w:webHidden/>
        </w:rPr>
        <w:t>10</w:t>
      </w:r>
      <w:r>
        <w:rPr>
          <w:rFonts w:ascii="Times New Roman" w:cs="Times New Roman" w:hAnsi="Times New Roman"/>
          <w:noProof/>
          <w:webHidden/>
        </w:rPr>
        <w:fldChar w:fldCharType="end"/>
      </w:r>
      <w:r>
        <w:rPr/>
        <w:fldChar w:fldCharType="end"/>
      </w:r>
    </w:p>
    <w:p w14:paraId="263B90AB">
      <w:pPr>
        <w:pStyle w:val="style21"/>
        <w:tabs>
          <w:tab w:val="left" w:leader="none" w:pos="1440"/>
          <w:tab w:val="right" w:leader="dot" w:pos="9016"/>
        </w:tabs>
        <w:spacing w:lineRule="auto" w:line="360"/>
        <w:jc w:val="both"/>
        <w:rPr>
          <w:rFonts w:ascii="Times New Roman" w:cs="Times New Roman" w:eastAsia="宋体" w:hAnsi="Times New Roman"/>
          <w:noProof/>
          <w:color w:val="auto"/>
          <w:kern w:val="2"/>
          <w14:ligatures xmlns:w14="http://schemas.microsoft.com/office/word/2010/wordml" w14:val="standardContextual"/>
        </w:rPr>
      </w:pPr>
      <w:r>
        <w:rPr/>
        <w:fldChar w:fldCharType="begin"/>
      </w:r>
      <w:r>
        <w:instrText xml:space="preserve"> HYPERLINK \l "_Toc237565440" </w:instrText>
      </w:r>
      <w:r>
        <w:rPr/>
        <w:fldChar w:fldCharType="separate"/>
      </w:r>
      <w:r>
        <w:rPr>
          <w:rStyle w:val="style85"/>
          <w:rFonts w:ascii="Times New Roman" w:cs="Times New Roman" w:hAnsi="Times New Roman"/>
          <w:noProof/>
        </w:rPr>
        <w:t>1.4.2</w:t>
      </w:r>
      <w:r>
        <w:rPr>
          <w:rFonts w:ascii="Times New Roman" w:cs="Times New Roman" w:eastAsia="宋体" w:hAnsi="Times New Roman"/>
          <w:noProof/>
          <w:color w:val="auto"/>
          <w:kern w:val="2"/>
          <w14:ligatures xmlns:w14="http://schemas.microsoft.com/office/word/2010/wordml" w14:val="standardContextual"/>
        </w:rPr>
        <w:tab/>
      </w:r>
      <w:r>
        <w:rPr>
          <w:rStyle w:val="style85"/>
          <w:rFonts w:ascii="Times New Roman" w:cs="Times New Roman" w:hAnsi="Times New Roman"/>
          <w:noProof/>
        </w:rPr>
        <w:t>Strategic fit and justification</w:t>
      </w:r>
      <w:r>
        <w:rPr>
          <w:rFonts w:ascii="Times New Roman" w:cs="Times New Roman" w:hAnsi="Times New Roman"/>
          <w:noProof/>
          <w:webHidden/>
        </w:rPr>
        <w:tab/>
      </w:r>
      <w:r>
        <w:rPr>
          <w:rFonts w:ascii="Times New Roman" w:cs="Times New Roman" w:hAnsi="Times New Roman"/>
          <w:noProof/>
          <w:webHidden/>
        </w:rPr>
        <w:fldChar w:fldCharType="begin"/>
      </w:r>
      <w:r>
        <w:rPr>
          <w:rFonts w:ascii="Times New Roman" w:cs="Times New Roman" w:hAnsi="Times New Roman"/>
          <w:noProof/>
          <w:webHidden/>
        </w:rPr>
        <w:instrText xml:space="preserve"> PAGEREF _Toc237565440 \h </w:instrText>
      </w:r>
      <w:r>
        <w:rPr>
          <w:rFonts w:ascii="Times New Roman" w:cs="Times New Roman" w:hAnsi="Times New Roman"/>
          <w:noProof/>
          <w:webHidden/>
        </w:rPr>
        <w:fldChar w:fldCharType="separate"/>
      </w:r>
      <w:r>
        <w:rPr>
          <w:rFonts w:ascii="Times New Roman" w:cs="Times New Roman" w:hAnsi="Times New Roman"/>
          <w:noProof/>
          <w:webHidden/>
        </w:rPr>
        <w:t>11</w:t>
      </w:r>
      <w:r>
        <w:rPr>
          <w:rFonts w:ascii="Times New Roman" w:cs="Times New Roman" w:hAnsi="Times New Roman"/>
          <w:noProof/>
          <w:webHidden/>
        </w:rPr>
        <w:fldChar w:fldCharType="end"/>
      </w:r>
      <w:r>
        <w:rPr/>
        <w:fldChar w:fldCharType="end"/>
      </w:r>
    </w:p>
    <w:p w14:paraId="5629C949">
      <w:pPr>
        <w:pStyle w:val="style20"/>
        <w:tabs>
          <w:tab w:val="left" w:leader="none" w:pos="960"/>
          <w:tab w:val="right" w:leader="dot" w:pos="9016"/>
        </w:tabs>
        <w:spacing w:lineRule="auto" w:line="360"/>
        <w:jc w:val="both"/>
        <w:rPr>
          <w:rFonts w:ascii="Times New Roman" w:cs="Times New Roman" w:eastAsia="宋体" w:hAnsi="Times New Roman"/>
          <w:noProof/>
          <w:color w:val="auto"/>
          <w:kern w:val="2"/>
          <w14:ligatures xmlns:w14="http://schemas.microsoft.com/office/word/2010/wordml" w14:val="standardContextual"/>
        </w:rPr>
      </w:pPr>
      <w:r>
        <w:rPr/>
        <w:fldChar w:fldCharType="begin"/>
      </w:r>
      <w:r>
        <w:instrText xml:space="preserve"> HYPERLINK \l "_Toc237565441" </w:instrText>
      </w:r>
      <w:r>
        <w:rPr/>
        <w:fldChar w:fldCharType="separate"/>
      </w:r>
      <w:r>
        <w:rPr>
          <w:rStyle w:val="style85"/>
          <w:rFonts w:ascii="Times New Roman" w:cs="Times New Roman" w:hAnsi="Times New Roman"/>
          <w:noProof/>
        </w:rPr>
        <w:t>1.5</w:t>
      </w:r>
      <w:r>
        <w:rPr>
          <w:rFonts w:ascii="Times New Roman" w:cs="Times New Roman" w:eastAsia="宋体" w:hAnsi="Times New Roman"/>
          <w:noProof/>
          <w:color w:val="auto"/>
          <w:kern w:val="2"/>
          <w14:ligatures xmlns:w14="http://schemas.microsoft.com/office/word/2010/wordml" w14:val="standardContextual"/>
        </w:rPr>
        <w:tab/>
      </w:r>
      <w:r>
        <w:rPr>
          <w:rStyle w:val="style85"/>
          <w:rFonts w:ascii="Times New Roman" w:cs="Times New Roman" w:hAnsi="Times New Roman"/>
          <w:noProof/>
        </w:rPr>
        <w:t>Conclusion and recommendations</w:t>
      </w:r>
      <w:r>
        <w:rPr>
          <w:rFonts w:ascii="Times New Roman" w:cs="Times New Roman" w:hAnsi="Times New Roman"/>
          <w:noProof/>
          <w:webHidden/>
        </w:rPr>
        <w:tab/>
      </w:r>
      <w:r>
        <w:rPr>
          <w:rFonts w:ascii="Times New Roman" w:cs="Times New Roman" w:hAnsi="Times New Roman"/>
          <w:noProof/>
          <w:webHidden/>
        </w:rPr>
        <w:fldChar w:fldCharType="begin"/>
      </w:r>
      <w:r>
        <w:rPr>
          <w:rFonts w:ascii="Times New Roman" w:cs="Times New Roman" w:hAnsi="Times New Roman"/>
          <w:noProof/>
          <w:webHidden/>
        </w:rPr>
        <w:instrText xml:space="preserve"> PAGEREF _Toc237565441 \h </w:instrText>
      </w:r>
      <w:r>
        <w:rPr>
          <w:rFonts w:ascii="Times New Roman" w:cs="Times New Roman" w:hAnsi="Times New Roman"/>
          <w:noProof/>
          <w:webHidden/>
        </w:rPr>
        <w:fldChar w:fldCharType="separate"/>
      </w:r>
      <w:r>
        <w:rPr>
          <w:rFonts w:ascii="Times New Roman" w:cs="Times New Roman" w:hAnsi="Times New Roman"/>
          <w:noProof/>
          <w:webHidden/>
        </w:rPr>
        <w:t>13</w:t>
      </w:r>
      <w:r>
        <w:rPr>
          <w:rFonts w:ascii="Times New Roman" w:cs="Times New Roman" w:hAnsi="Times New Roman"/>
          <w:noProof/>
          <w:webHidden/>
        </w:rPr>
        <w:fldChar w:fldCharType="end"/>
      </w:r>
      <w:r>
        <w:rPr/>
        <w:fldChar w:fldCharType="end"/>
      </w:r>
    </w:p>
    <w:p w14:paraId="1C1BD535">
      <w:pPr>
        <w:pStyle w:val="style19"/>
        <w:tabs>
          <w:tab w:val="left" w:leader="none" w:pos="480"/>
          <w:tab w:val="right" w:leader="dot" w:pos="9016"/>
        </w:tabs>
        <w:spacing w:lineRule="auto" w:line="360"/>
        <w:jc w:val="both"/>
        <w:rPr>
          <w:rFonts w:ascii="Times New Roman" w:cs="Times New Roman" w:eastAsia="宋体" w:hAnsi="Times New Roman"/>
          <w:noProof/>
          <w:color w:val="auto"/>
          <w:kern w:val="2"/>
          <w14:ligatures xmlns:w14="http://schemas.microsoft.com/office/word/2010/wordml" w14:val="standardContextual"/>
        </w:rPr>
      </w:pPr>
      <w:r>
        <w:rPr/>
        <w:fldChar w:fldCharType="begin"/>
      </w:r>
      <w:r>
        <w:instrText xml:space="preserve"> HYPERLINK \l "_Toc237565442" </w:instrText>
      </w:r>
      <w:r>
        <w:rPr/>
        <w:fldChar w:fldCharType="separate"/>
      </w:r>
      <w:r>
        <w:rPr>
          <w:rStyle w:val="style85"/>
          <w:rFonts w:ascii="Times New Roman" w:cs="Times New Roman" w:hAnsi="Times New Roman"/>
          <w:noProof/>
        </w:rPr>
        <w:t>2</w:t>
      </w:r>
      <w:r>
        <w:rPr>
          <w:rFonts w:ascii="Times New Roman" w:cs="Times New Roman" w:eastAsia="宋体" w:hAnsi="Times New Roman"/>
          <w:noProof/>
          <w:color w:val="auto"/>
          <w:kern w:val="2"/>
          <w14:ligatures xmlns:w14="http://schemas.microsoft.com/office/word/2010/wordml" w14:val="standardContextual"/>
        </w:rPr>
        <w:tab/>
      </w:r>
      <w:r>
        <w:rPr>
          <w:rStyle w:val="style85"/>
          <w:rFonts w:ascii="Times New Roman" w:cs="Times New Roman" w:hAnsi="Times New Roman"/>
          <w:noProof/>
        </w:rPr>
        <w:t>Section 2: Reflective Account (Gibbs’ Reflective Cycle)</w:t>
      </w:r>
      <w:r>
        <w:rPr>
          <w:rFonts w:ascii="Times New Roman" w:cs="Times New Roman" w:hAnsi="Times New Roman"/>
          <w:noProof/>
          <w:webHidden/>
        </w:rPr>
        <w:tab/>
      </w:r>
      <w:r>
        <w:rPr>
          <w:rFonts w:ascii="Times New Roman" w:cs="Times New Roman" w:hAnsi="Times New Roman"/>
          <w:noProof/>
          <w:webHidden/>
        </w:rPr>
        <w:fldChar w:fldCharType="begin"/>
      </w:r>
      <w:r>
        <w:rPr>
          <w:rFonts w:ascii="Times New Roman" w:cs="Times New Roman" w:hAnsi="Times New Roman"/>
          <w:noProof/>
          <w:webHidden/>
        </w:rPr>
        <w:instrText xml:space="preserve"> PAGEREF _Toc237565442 \h </w:instrText>
      </w:r>
      <w:r>
        <w:rPr>
          <w:rFonts w:ascii="Times New Roman" w:cs="Times New Roman" w:hAnsi="Times New Roman"/>
          <w:noProof/>
          <w:webHidden/>
        </w:rPr>
        <w:fldChar w:fldCharType="separate"/>
      </w:r>
      <w:r>
        <w:rPr>
          <w:rFonts w:ascii="Times New Roman" w:cs="Times New Roman" w:hAnsi="Times New Roman"/>
          <w:noProof/>
          <w:webHidden/>
        </w:rPr>
        <w:t>15</w:t>
      </w:r>
      <w:r>
        <w:rPr>
          <w:rFonts w:ascii="Times New Roman" w:cs="Times New Roman" w:hAnsi="Times New Roman"/>
          <w:noProof/>
          <w:webHidden/>
        </w:rPr>
        <w:fldChar w:fldCharType="end"/>
      </w:r>
      <w:r>
        <w:rPr/>
        <w:fldChar w:fldCharType="end"/>
      </w:r>
    </w:p>
    <w:p w14:paraId="72CF0401">
      <w:pPr>
        <w:pStyle w:val="style21"/>
        <w:tabs>
          <w:tab w:val="left" w:leader="none" w:pos="1440"/>
          <w:tab w:val="right" w:leader="dot" w:pos="9016"/>
        </w:tabs>
        <w:spacing w:lineRule="auto" w:line="360"/>
        <w:jc w:val="both"/>
        <w:rPr>
          <w:rFonts w:ascii="Times New Roman" w:cs="Times New Roman" w:eastAsia="宋体" w:hAnsi="Times New Roman"/>
          <w:noProof/>
          <w:color w:val="auto"/>
          <w:kern w:val="2"/>
          <w14:ligatures xmlns:w14="http://schemas.microsoft.com/office/word/2010/wordml" w14:val="standardContextual"/>
        </w:rPr>
      </w:pPr>
      <w:r>
        <w:rPr/>
        <w:fldChar w:fldCharType="begin"/>
      </w:r>
      <w:r>
        <w:instrText xml:space="preserve"> HYPERLINK \l "_Toc237565443" </w:instrText>
      </w:r>
      <w:r>
        <w:rPr/>
        <w:fldChar w:fldCharType="separate"/>
      </w:r>
      <w:r>
        <w:rPr>
          <w:rStyle w:val="style85"/>
          <w:rFonts w:ascii="Times New Roman" w:cs="Times New Roman" w:hAnsi="Times New Roman"/>
          <w:noProof/>
        </w:rPr>
        <w:t>2.1.1</w:t>
      </w:r>
      <w:r>
        <w:rPr>
          <w:rFonts w:ascii="Times New Roman" w:cs="Times New Roman" w:eastAsia="宋体" w:hAnsi="Times New Roman"/>
          <w:noProof/>
          <w:color w:val="auto"/>
          <w:kern w:val="2"/>
          <w14:ligatures xmlns:w14="http://schemas.microsoft.com/office/word/2010/wordml" w14:val="standardContextual"/>
        </w:rPr>
        <w:tab/>
      </w:r>
      <w:r>
        <w:rPr>
          <w:rStyle w:val="style85"/>
          <w:rFonts w:ascii="Times New Roman" w:cs="Times New Roman" w:hAnsi="Times New Roman"/>
          <w:noProof/>
        </w:rPr>
        <w:t>Description</w:t>
      </w:r>
      <w:r>
        <w:rPr>
          <w:rFonts w:ascii="Times New Roman" w:cs="Times New Roman" w:hAnsi="Times New Roman"/>
          <w:noProof/>
          <w:webHidden/>
        </w:rPr>
        <w:tab/>
      </w:r>
      <w:r>
        <w:rPr>
          <w:rFonts w:ascii="Times New Roman" w:cs="Times New Roman" w:hAnsi="Times New Roman"/>
          <w:noProof/>
          <w:webHidden/>
        </w:rPr>
        <w:fldChar w:fldCharType="begin"/>
      </w:r>
      <w:r>
        <w:rPr>
          <w:rFonts w:ascii="Times New Roman" w:cs="Times New Roman" w:hAnsi="Times New Roman"/>
          <w:noProof/>
          <w:webHidden/>
        </w:rPr>
        <w:instrText xml:space="preserve"> PAGEREF _Toc237565443 \h </w:instrText>
      </w:r>
      <w:r>
        <w:rPr>
          <w:rFonts w:ascii="Times New Roman" w:cs="Times New Roman" w:hAnsi="Times New Roman"/>
          <w:noProof/>
          <w:webHidden/>
        </w:rPr>
        <w:fldChar w:fldCharType="separate"/>
      </w:r>
      <w:r>
        <w:rPr>
          <w:rFonts w:ascii="Times New Roman" w:cs="Times New Roman" w:hAnsi="Times New Roman"/>
          <w:noProof/>
          <w:webHidden/>
        </w:rPr>
        <w:t>15</w:t>
      </w:r>
      <w:r>
        <w:rPr>
          <w:rFonts w:ascii="Times New Roman" w:cs="Times New Roman" w:hAnsi="Times New Roman"/>
          <w:noProof/>
          <w:webHidden/>
        </w:rPr>
        <w:fldChar w:fldCharType="end"/>
      </w:r>
      <w:r>
        <w:rPr/>
        <w:fldChar w:fldCharType="end"/>
      </w:r>
    </w:p>
    <w:p w14:paraId="0AD98B95">
      <w:pPr>
        <w:pStyle w:val="style21"/>
        <w:tabs>
          <w:tab w:val="left" w:leader="none" w:pos="1440"/>
          <w:tab w:val="right" w:leader="dot" w:pos="9016"/>
        </w:tabs>
        <w:spacing w:lineRule="auto" w:line="360"/>
        <w:jc w:val="both"/>
        <w:rPr>
          <w:rFonts w:ascii="Times New Roman" w:cs="Times New Roman" w:eastAsia="宋体" w:hAnsi="Times New Roman"/>
          <w:noProof/>
          <w:color w:val="auto"/>
          <w:kern w:val="2"/>
          <w14:ligatures xmlns:w14="http://schemas.microsoft.com/office/word/2010/wordml" w14:val="standardContextual"/>
        </w:rPr>
      </w:pPr>
      <w:r>
        <w:rPr/>
        <w:fldChar w:fldCharType="begin"/>
      </w:r>
      <w:r>
        <w:instrText xml:space="preserve"> HYPERLINK \l "_Toc237565444" </w:instrText>
      </w:r>
      <w:r>
        <w:rPr/>
        <w:fldChar w:fldCharType="separate"/>
      </w:r>
      <w:r>
        <w:rPr>
          <w:rStyle w:val="style85"/>
          <w:rFonts w:ascii="Times New Roman" w:cs="Times New Roman" w:hAnsi="Times New Roman"/>
          <w:noProof/>
        </w:rPr>
        <w:t>2.1.2</w:t>
      </w:r>
      <w:r>
        <w:rPr>
          <w:rFonts w:ascii="Times New Roman" w:cs="Times New Roman" w:eastAsia="宋体" w:hAnsi="Times New Roman"/>
          <w:noProof/>
          <w:color w:val="auto"/>
          <w:kern w:val="2"/>
          <w14:ligatures xmlns:w14="http://schemas.microsoft.com/office/word/2010/wordml" w14:val="standardContextual"/>
        </w:rPr>
        <w:tab/>
      </w:r>
      <w:r>
        <w:rPr>
          <w:rStyle w:val="style85"/>
          <w:rFonts w:ascii="Times New Roman" w:cs="Times New Roman" w:hAnsi="Times New Roman"/>
          <w:noProof/>
        </w:rPr>
        <w:t>Feelings</w:t>
      </w:r>
      <w:r>
        <w:rPr>
          <w:rFonts w:ascii="Times New Roman" w:cs="Times New Roman" w:hAnsi="Times New Roman"/>
          <w:noProof/>
          <w:webHidden/>
        </w:rPr>
        <w:tab/>
      </w:r>
      <w:r>
        <w:rPr>
          <w:rFonts w:ascii="Times New Roman" w:cs="Times New Roman" w:hAnsi="Times New Roman"/>
          <w:noProof/>
          <w:webHidden/>
        </w:rPr>
        <w:fldChar w:fldCharType="begin"/>
      </w:r>
      <w:r>
        <w:rPr>
          <w:rFonts w:ascii="Times New Roman" w:cs="Times New Roman" w:hAnsi="Times New Roman"/>
          <w:noProof/>
          <w:webHidden/>
        </w:rPr>
        <w:instrText xml:space="preserve"> PAGEREF _Toc237565444 \h </w:instrText>
      </w:r>
      <w:r>
        <w:rPr>
          <w:rFonts w:ascii="Times New Roman" w:cs="Times New Roman" w:hAnsi="Times New Roman"/>
          <w:noProof/>
          <w:webHidden/>
        </w:rPr>
        <w:fldChar w:fldCharType="separate"/>
      </w:r>
      <w:r>
        <w:rPr>
          <w:rFonts w:ascii="Times New Roman" w:cs="Times New Roman" w:hAnsi="Times New Roman"/>
          <w:noProof/>
          <w:webHidden/>
        </w:rPr>
        <w:t>16</w:t>
      </w:r>
      <w:r>
        <w:rPr>
          <w:rFonts w:ascii="Times New Roman" w:cs="Times New Roman" w:hAnsi="Times New Roman"/>
          <w:noProof/>
          <w:webHidden/>
        </w:rPr>
        <w:fldChar w:fldCharType="end"/>
      </w:r>
      <w:r>
        <w:rPr/>
        <w:fldChar w:fldCharType="end"/>
      </w:r>
    </w:p>
    <w:p w14:paraId="56CC9849">
      <w:pPr>
        <w:pStyle w:val="style21"/>
        <w:tabs>
          <w:tab w:val="left" w:leader="none" w:pos="1440"/>
          <w:tab w:val="right" w:leader="dot" w:pos="9016"/>
        </w:tabs>
        <w:spacing w:lineRule="auto" w:line="360"/>
        <w:jc w:val="both"/>
        <w:rPr>
          <w:rFonts w:ascii="Times New Roman" w:cs="Times New Roman" w:eastAsia="宋体" w:hAnsi="Times New Roman"/>
          <w:noProof/>
          <w:color w:val="auto"/>
          <w:kern w:val="2"/>
          <w14:ligatures xmlns:w14="http://schemas.microsoft.com/office/word/2010/wordml" w14:val="standardContextual"/>
        </w:rPr>
      </w:pPr>
      <w:r>
        <w:rPr/>
        <w:fldChar w:fldCharType="begin"/>
      </w:r>
      <w:r>
        <w:instrText xml:space="preserve"> HYPERLINK \l "_Toc237565445" </w:instrText>
      </w:r>
      <w:r>
        <w:rPr/>
        <w:fldChar w:fldCharType="separate"/>
      </w:r>
      <w:r>
        <w:rPr>
          <w:rStyle w:val="style85"/>
          <w:rFonts w:ascii="Times New Roman" w:cs="Times New Roman" w:hAnsi="Times New Roman"/>
          <w:noProof/>
        </w:rPr>
        <w:t>2.1.3</w:t>
      </w:r>
      <w:r>
        <w:rPr>
          <w:rFonts w:ascii="Times New Roman" w:cs="Times New Roman" w:eastAsia="宋体" w:hAnsi="Times New Roman"/>
          <w:noProof/>
          <w:color w:val="auto"/>
          <w:kern w:val="2"/>
          <w14:ligatures xmlns:w14="http://schemas.microsoft.com/office/word/2010/wordml" w14:val="standardContextual"/>
        </w:rPr>
        <w:tab/>
      </w:r>
      <w:r>
        <w:rPr>
          <w:rStyle w:val="style85"/>
          <w:rFonts w:ascii="Times New Roman" w:cs="Times New Roman" w:hAnsi="Times New Roman"/>
          <w:noProof/>
        </w:rPr>
        <w:t>Evaluation</w:t>
      </w:r>
      <w:r>
        <w:rPr>
          <w:rFonts w:ascii="Times New Roman" w:cs="Times New Roman" w:hAnsi="Times New Roman"/>
          <w:noProof/>
          <w:webHidden/>
        </w:rPr>
        <w:tab/>
      </w:r>
      <w:r>
        <w:rPr>
          <w:rFonts w:ascii="Times New Roman" w:cs="Times New Roman" w:hAnsi="Times New Roman"/>
          <w:noProof/>
          <w:webHidden/>
        </w:rPr>
        <w:fldChar w:fldCharType="begin"/>
      </w:r>
      <w:r>
        <w:rPr>
          <w:rFonts w:ascii="Times New Roman" w:cs="Times New Roman" w:hAnsi="Times New Roman"/>
          <w:noProof/>
          <w:webHidden/>
        </w:rPr>
        <w:instrText xml:space="preserve"> PAGEREF _Toc237565445 \h </w:instrText>
      </w:r>
      <w:r>
        <w:rPr>
          <w:rFonts w:ascii="Times New Roman" w:cs="Times New Roman" w:hAnsi="Times New Roman"/>
          <w:noProof/>
          <w:webHidden/>
        </w:rPr>
        <w:fldChar w:fldCharType="separate"/>
      </w:r>
      <w:r>
        <w:rPr>
          <w:rFonts w:ascii="Times New Roman" w:cs="Times New Roman" w:hAnsi="Times New Roman"/>
          <w:noProof/>
          <w:webHidden/>
        </w:rPr>
        <w:t>16</w:t>
      </w:r>
      <w:r>
        <w:rPr>
          <w:rFonts w:ascii="Times New Roman" w:cs="Times New Roman" w:hAnsi="Times New Roman"/>
          <w:noProof/>
          <w:webHidden/>
        </w:rPr>
        <w:fldChar w:fldCharType="end"/>
      </w:r>
      <w:r>
        <w:rPr/>
        <w:fldChar w:fldCharType="end"/>
      </w:r>
    </w:p>
    <w:p w14:paraId="01FB1B77">
      <w:pPr>
        <w:pStyle w:val="style21"/>
        <w:tabs>
          <w:tab w:val="left" w:leader="none" w:pos="1440"/>
          <w:tab w:val="right" w:leader="dot" w:pos="9016"/>
        </w:tabs>
        <w:spacing w:lineRule="auto" w:line="360"/>
        <w:jc w:val="both"/>
        <w:rPr>
          <w:rFonts w:ascii="Times New Roman" w:cs="Times New Roman" w:eastAsia="宋体" w:hAnsi="Times New Roman"/>
          <w:noProof/>
          <w:color w:val="auto"/>
          <w:kern w:val="2"/>
          <w14:ligatures xmlns:w14="http://schemas.microsoft.com/office/word/2010/wordml" w14:val="standardContextual"/>
        </w:rPr>
      </w:pPr>
      <w:r>
        <w:rPr/>
        <w:fldChar w:fldCharType="begin"/>
      </w:r>
      <w:r>
        <w:instrText xml:space="preserve"> HYPERLINK \l "_Toc237565446" </w:instrText>
      </w:r>
      <w:r>
        <w:rPr/>
        <w:fldChar w:fldCharType="separate"/>
      </w:r>
      <w:r>
        <w:rPr>
          <w:rStyle w:val="style85"/>
          <w:rFonts w:ascii="Times New Roman" w:cs="Times New Roman" w:hAnsi="Times New Roman"/>
          <w:noProof/>
        </w:rPr>
        <w:t>2.1.4</w:t>
      </w:r>
      <w:r>
        <w:rPr>
          <w:rFonts w:ascii="Times New Roman" w:cs="Times New Roman" w:eastAsia="宋体" w:hAnsi="Times New Roman"/>
          <w:noProof/>
          <w:color w:val="auto"/>
          <w:kern w:val="2"/>
          <w14:ligatures xmlns:w14="http://schemas.microsoft.com/office/word/2010/wordml" w14:val="standardContextual"/>
        </w:rPr>
        <w:tab/>
      </w:r>
      <w:r>
        <w:rPr>
          <w:rStyle w:val="style85"/>
          <w:rFonts w:ascii="Times New Roman" w:cs="Times New Roman" w:hAnsi="Times New Roman"/>
          <w:noProof/>
        </w:rPr>
        <w:t>Analysis</w:t>
      </w:r>
      <w:r>
        <w:rPr>
          <w:rFonts w:ascii="Times New Roman" w:cs="Times New Roman" w:hAnsi="Times New Roman"/>
          <w:noProof/>
          <w:webHidden/>
        </w:rPr>
        <w:tab/>
      </w:r>
      <w:r>
        <w:rPr>
          <w:rFonts w:ascii="Times New Roman" w:cs="Times New Roman" w:hAnsi="Times New Roman"/>
          <w:noProof/>
          <w:webHidden/>
        </w:rPr>
        <w:fldChar w:fldCharType="begin"/>
      </w:r>
      <w:r>
        <w:rPr>
          <w:rFonts w:ascii="Times New Roman" w:cs="Times New Roman" w:hAnsi="Times New Roman"/>
          <w:noProof/>
          <w:webHidden/>
        </w:rPr>
        <w:instrText xml:space="preserve"> PAGEREF _Toc237565446 \h </w:instrText>
      </w:r>
      <w:r>
        <w:rPr>
          <w:rFonts w:ascii="Times New Roman" w:cs="Times New Roman" w:hAnsi="Times New Roman"/>
          <w:noProof/>
          <w:webHidden/>
        </w:rPr>
        <w:fldChar w:fldCharType="separate"/>
      </w:r>
      <w:r>
        <w:rPr>
          <w:rFonts w:ascii="Times New Roman" w:cs="Times New Roman" w:hAnsi="Times New Roman"/>
          <w:noProof/>
          <w:webHidden/>
        </w:rPr>
        <w:t>16</w:t>
      </w:r>
      <w:r>
        <w:rPr>
          <w:rFonts w:ascii="Times New Roman" w:cs="Times New Roman" w:hAnsi="Times New Roman"/>
          <w:noProof/>
          <w:webHidden/>
        </w:rPr>
        <w:fldChar w:fldCharType="end"/>
      </w:r>
      <w:r>
        <w:rPr/>
        <w:fldChar w:fldCharType="end"/>
      </w:r>
    </w:p>
    <w:p w14:paraId="195949C6">
      <w:pPr>
        <w:pStyle w:val="style21"/>
        <w:tabs>
          <w:tab w:val="left" w:leader="none" w:pos="1440"/>
          <w:tab w:val="right" w:leader="dot" w:pos="9016"/>
        </w:tabs>
        <w:spacing w:lineRule="auto" w:line="360"/>
        <w:jc w:val="both"/>
        <w:rPr>
          <w:rFonts w:ascii="Times New Roman" w:cs="Times New Roman" w:eastAsia="宋体" w:hAnsi="Times New Roman"/>
          <w:noProof/>
          <w:color w:val="auto"/>
          <w:kern w:val="2"/>
          <w14:ligatures xmlns:w14="http://schemas.microsoft.com/office/word/2010/wordml" w14:val="standardContextual"/>
        </w:rPr>
      </w:pPr>
      <w:r>
        <w:rPr/>
        <w:fldChar w:fldCharType="begin"/>
      </w:r>
      <w:r>
        <w:instrText xml:space="preserve"> HYPERLINK \l "_Toc237565447" </w:instrText>
      </w:r>
      <w:r>
        <w:rPr/>
        <w:fldChar w:fldCharType="separate"/>
      </w:r>
      <w:r>
        <w:rPr>
          <w:rStyle w:val="style85"/>
          <w:rFonts w:ascii="Times New Roman" w:cs="Times New Roman" w:hAnsi="Times New Roman"/>
          <w:noProof/>
        </w:rPr>
        <w:t>2.1.5</w:t>
      </w:r>
      <w:r>
        <w:rPr>
          <w:rFonts w:ascii="Times New Roman" w:cs="Times New Roman" w:eastAsia="宋体" w:hAnsi="Times New Roman"/>
          <w:noProof/>
          <w:color w:val="auto"/>
          <w:kern w:val="2"/>
          <w14:ligatures xmlns:w14="http://schemas.microsoft.com/office/word/2010/wordml" w14:val="standardContextual"/>
        </w:rPr>
        <w:tab/>
      </w:r>
      <w:r>
        <w:rPr>
          <w:rStyle w:val="style85"/>
          <w:rFonts w:ascii="Times New Roman" w:cs="Times New Roman" w:hAnsi="Times New Roman"/>
          <w:noProof/>
        </w:rPr>
        <w:t>Conclusion</w:t>
      </w:r>
      <w:r>
        <w:rPr>
          <w:rFonts w:ascii="Times New Roman" w:cs="Times New Roman" w:hAnsi="Times New Roman"/>
          <w:noProof/>
          <w:webHidden/>
        </w:rPr>
        <w:tab/>
      </w:r>
      <w:r>
        <w:rPr>
          <w:rFonts w:ascii="Times New Roman" w:cs="Times New Roman" w:hAnsi="Times New Roman"/>
          <w:noProof/>
          <w:webHidden/>
        </w:rPr>
        <w:fldChar w:fldCharType="begin"/>
      </w:r>
      <w:r>
        <w:rPr>
          <w:rFonts w:ascii="Times New Roman" w:cs="Times New Roman" w:hAnsi="Times New Roman"/>
          <w:noProof/>
          <w:webHidden/>
        </w:rPr>
        <w:instrText xml:space="preserve"> PAGEREF _Toc237565447 \h </w:instrText>
      </w:r>
      <w:r>
        <w:rPr>
          <w:rFonts w:ascii="Times New Roman" w:cs="Times New Roman" w:hAnsi="Times New Roman"/>
          <w:noProof/>
          <w:webHidden/>
        </w:rPr>
        <w:fldChar w:fldCharType="separate"/>
      </w:r>
      <w:r>
        <w:rPr>
          <w:rFonts w:ascii="Times New Roman" w:cs="Times New Roman" w:hAnsi="Times New Roman"/>
          <w:noProof/>
          <w:webHidden/>
        </w:rPr>
        <w:t>17</w:t>
      </w:r>
      <w:r>
        <w:rPr>
          <w:rFonts w:ascii="Times New Roman" w:cs="Times New Roman" w:hAnsi="Times New Roman"/>
          <w:noProof/>
          <w:webHidden/>
        </w:rPr>
        <w:fldChar w:fldCharType="end"/>
      </w:r>
      <w:r>
        <w:rPr/>
        <w:fldChar w:fldCharType="end"/>
      </w:r>
    </w:p>
    <w:p w14:paraId="116FE47C">
      <w:pPr>
        <w:pStyle w:val="style21"/>
        <w:tabs>
          <w:tab w:val="left" w:leader="none" w:pos="1440"/>
          <w:tab w:val="right" w:leader="dot" w:pos="9016"/>
        </w:tabs>
        <w:spacing w:lineRule="auto" w:line="360"/>
        <w:jc w:val="both"/>
        <w:rPr>
          <w:rFonts w:ascii="Times New Roman" w:cs="Times New Roman" w:eastAsia="宋体" w:hAnsi="Times New Roman"/>
          <w:noProof/>
          <w:color w:val="auto"/>
          <w:kern w:val="2"/>
          <w14:ligatures xmlns:w14="http://schemas.microsoft.com/office/word/2010/wordml" w14:val="standardContextual"/>
        </w:rPr>
      </w:pPr>
      <w:r>
        <w:rPr/>
        <w:fldChar w:fldCharType="begin"/>
      </w:r>
      <w:r>
        <w:instrText xml:space="preserve"> HYPERLINK \l "_Toc237565448" </w:instrText>
      </w:r>
      <w:r>
        <w:rPr/>
        <w:fldChar w:fldCharType="separate"/>
      </w:r>
      <w:r>
        <w:rPr>
          <w:rStyle w:val="style85"/>
          <w:rFonts w:ascii="Times New Roman" w:cs="Times New Roman" w:hAnsi="Times New Roman"/>
          <w:noProof/>
        </w:rPr>
        <w:t>2.1.6</w:t>
      </w:r>
      <w:r>
        <w:rPr>
          <w:rFonts w:ascii="Times New Roman" w:cs="Times New Roman" w:eastAsia="宋体" w:hAnsi="Times New Roman"/>
          <w:noProof/>
          <w:color w:val="auto"/>
          <w:kern w:val="2"/>
          <w14:ligatures xmlns:w14="http://schemas.microsoft.com/office/word/2010/wordml" w14:val="standardContextual"/>
        </w:rPr>
        <w:tab/>
      </w:r>
      <w:r>
        <w:rPr>
          <w:rStyle w:val="style85"/>
          <w:rFonts w:ascii="Times New Roman" w:cs="Times New Roman" w:hAnsi="Times New Roman"/>
          <w:noProof/>
        </w:rPr>
        <w:t>Action Plan</w:t>
      </w:r>
      <w:r>
        <w:rPr>
          <w:rFonts w:ascii="Times New Roman" w:cs="Times New Roman" w:hAnsi="Times New Roman"/>
          <w:noProof/>
          <w:webHidden/>
        </w:rPr>
        <w:tab/>
      </w:r>
      <w:r>
        <w:rPr>
          <w:rFonts w:ascii="Times New Roman" w:cs="Times New Roman" w:hAnsi="Times New Roman"/>
          <w:noProof/>
          <w:webHidden/>
        </w:rPr>
        <w:fldChar w:fldCharType="begin"/>
      </w:r>
      <w:r>
        <w:rPr>
          <w:rFonts w:ascii="Times New Roman" w:cs="Times New Roman" w:hAnsi="Times New Roman"/>
          <w:noProof/>
          <w:webHidden/>
        </w:rPr>
        <w:instrText xml:space="preserve"> PAGEREF _Toc237565448 \h </w:instrText>
      </w:r>
      <w:r>
        <w:rPr>
          <w:rFonts w:ascii="Times New Roman" w:cs="Times New Roman" w:hAnsi="Times New Roman"/>
          <w:noProof/>
          <w:webHidden/>
        </w:rPr>
        <w:fldChar w:fldCharType="separate"/>
      </w:r>
      <w:r>
        <w:rPr>
          <w:rFonts w:ascii="Times New Roman" w:cs="Times New Roman" w:hAnsi="Times New Roman"/>
          <w:noProof/>
          <w:webHidden/>
        </w:rPr>
        <w:t>17</w:t>
      </w:r>
      <w:r>
        <w:rPr>
          <w:rFonts w:ascii="Times New Roman" w:cs="Times New Roman" w:hAnsi="Times New Roman"/>
          <w:noProof/>
          <w:webHidden/>
        </w:rPr>
        <w:fldChar w:fldCharType="end"/>
      </w:r>
      <w:r>
        <w:rPr/>
        <w:fldChar w:fldCharType="end"/>
      </w:r>
    </w:p>
    <w:p w14:paraId="0C9D3255">
      <w:pPr>
        <w:pStyle w:val="style19"/>
        <w:tabs>
          <w:tab w:val="left" w:leader="none" w:pos="480"/>
          <w:tab w:val="right" w:leader="dot" w:pos="9016"/>
        </w:tabs>
        <w:spacing w:lineRule="auto" w:line="360"/>
        <w:jc w:val="both"/>
        <w:rPr>
          <w:rFonts w:ascii="Times New Roman" w:cs="Times New Roman" w:eastAsia="宋体" w:hAnsi="Times New Roman"/>
          <w:noProof/>
          <w:color w:val="auto"/>
          <w:kern w:val="2"/>
          <w14:ligatures xmlns:w14="http://schemas.microsoft.com/office/word/2010/wordml" w14:val="standardContextual"/>
        </w:rPr>
      </w:pPr>
      <w:r>
        <w:rPr/>
        <w:fldChar w:fldCharType="begin"/>
      </w:r>
      <w:r>
        <w:instrText xml:space="preserve"> HYPERLINK \l "_Toc237565449" </w:instrText>
      </w:r>
      <w:r>
        <w:rPr/>
        <w:fldChar w:fldCharType="separate"/>
      </w:r>
      <w:r>
        <w:rPr>
          <w:rStyle w:val="style85"/>
          <w:rFonts w:ascii="Times New Roman" w:cs="Times New Roman" w:hAnsi="Times New Roman"/>
          <w:noProof/>
        </w:rPr>
        <w:t>3</w:t>
      </w:r>
      <w:r>
        <w:rPr>
          <w:rFonts w:ascii="Times New Roman" w:cs="Times New Roman" w:eastAsia="宋体" w:hAnsi="Times New Roman"/>
          <w:noProof/>
          <w:color w:val="auto"/>
          <w:kern w:val="2"/>
          <w14:ligatures xmlns:w14="http://schemas.microsoft.com/office/word/2010/wordml" w14:val="standardContextual"/>
        </w:rPr>
        <w:tab/>
      </w:r>
      <w:r>
        <w:rPr>
          <w:rStyle w:val="style85"/>
          <w:rFonts w:ascii="Times New Roman" w:cs="Times New Roman" w:hAnsi="Times New Roman"/>
          <w:noProof/>
        </w:rPr>
        <w:t>References</w:t>
      </w:r>
      <w:r>
        <w:rPr>
          <w:rFonts w:ascii="Times New Roman" w:cs="Times New Roman" w:hAnsi="Times New Roman"/>
          <w:noProof/>
          <w:webHidden/>
        </w:rPr>
        <w:tab/>
      </w:r>
      <w:r>
        <w:rPr>
          <w:rFonts w:ascii="Times New Roman" w:cs="Times New Roman" w:hAnsi="Times New Roman"/>
          <w:noProof/>
          <w:webHidden/>
        </w:rPr>
        <w:fldChar w:fldCharType="begin"/>
      </w:r>
      <w:r>
        <w:rPr>
          <w:rFonts w:ascii="Times New Roman" w:cs="Times New Roman" w:hAnsi="Times New Roman"/>
          <w:noProof/>
          <w:webHidden/>
        </w:rPr>
        <w:instrText xml:space="preserve"> PAGEREF _Toc237565449 \h </w:instrText>
      </w:r>
      <w:r>
        <w:rPr>
          <w:rFonts w:ascii="Times New Roman" w:cs="Times New Roman" w:hAnsi="Times New Roman"/>
          <w:noProof/>
          <w:webHidden/>
        </w:rPr>
        <w:fldChar w:fldCharType="separate"/>
      </w:r>
      <w:r>
        <w:rPr>
          <w:rFonts w:ascii="Times New Roman" w:cs="Times New Roman" w:hAnsi="Times New Roman"/>
          <w:noProof/>
          <w:webHidden/>
        </w:rPr>
        <w:t>19</w:t>
      </w:r>
      <w:r>
        <w:rPr>
          <w:rFonts w:ascii="Times New Roman" w:cs="Times New Roman" w:hAnsi="Times New Roman"/>
          <w:noProof/>
          <w:webHidden/>
        </w:rPr>
        <w:fldChar w:fldCharType="end"/>
      </w:r>
      <w:r>
        <w:rPr/>
        <w:fldChar w:fldCharType="end"/>
      </w:r>
    </w:p>
    <w:p w14:paraId="2DBC7E92">
      <w:pPr>
        <w:pStyle w:val="style0"/>
        <w:spacing w:lineRule="auto" w:line="360"/>
        <w:jc w:val="both"/>
        <w:rPr>
          <w:rFonts w:ascii="Times New Roman" w:cs="Times New Roman" w:hAnsi="Times New Roman"/>
        </w:rPr>
      </w:pPr>
      <w:r>
        <w:rPr>
          <w:rFonts w:ascii="Times New Roman" w:cs="Times New Roman" w:hAnsi="Times New Roman"/>
          <w:b/>
          <w:bCs/>
          <w:noProof/>
        </w:rPr>
        <w:fldChar w:fldCharType="end"/>
      </w:r>
    </w:p>
    <w:p w14:paraId="33506395">
      <w:pPr>
        <w:pStyle w:val="style0"/>
        <w:spacing w:lineRule="auto" w:line="360"/>
        <w:jc w:val="both"/>
        <w:rPr>
          <w:rFonts w:ascii="Times New Roman" w:cs="Times New Roman" w:hAnsi="Times New Roman"/>
          <w:color w:val="auto"/>
        </w:rPr>
      </w:pPr>
      <w:r>
        <w:rPr>
          <w:rFonts w:ascii="Times New Roman" w:cs="Times New Roman" w:hAnsi="Times New Roman"/>
          <w:color w:val="auto"/>
        </w:rPr>
        <w:br w:type="page"/>
      </w:r>
    </w:p>
    <w:bookmarkStart w:id="0" w:name="_Toc237565427"/>
    <w:p w14:paraId="2E091BFA">
      <w:pPr>
        <w:pStyle w:val="style1"/>
        <w:rPr/>
      </w:pPr>
      <w:r>
        <w:t>Section 1: Market Entry Analysis – Netflix, Inc. into Mainland China</w:t>
      </w:r>
      <w:bookmarkEnd w:id="0"/>
    </w:p>
    <w:bookmarkStart w:id="1" w:name="_Toc237565428"/>
    <w:p w14:paraId="2E831F49">
      <w:pPr>
        <w:pStyle w:val="style2"/>
        <w:rPr/>
      </w:pPr>
      <w:r>
        <w:t>Introduction</w:t>
      </w:r>
      <w:bookmarkEnd w:id="1"/>
    </w:p>
    <w:p w14:paraId="775408B6">
      <w:pPr>
        <w:pStyle w:val="style0"/>
        <w:spacing w:before="120" w:after="60" w:lineRule="auto" w:line="360"/>
        <w:jc w:val="both"/>
        <w:rPr>
          <w:rFonts w:ascii="Times New Roman" w:cs="Times New Roman" w:hAnsi="Times New Roman"/>
          <w:color w:val="auto"/>
        </w:rPr>
      </w:pPr>
      <w:r>
        <w:rPr>
          <w:rFonts w:ascii="Times New Roman" w:cs="Times New Roman" w:hAnsi="Times New Roman"/>
          <w:color w:val="auto"/>
        </w:rPr>
        <w:t>One of the most important that a multinational corporation (MNC) can make is whether and how to enter a new national market in an industry that is becoming increasingly global. The report assesses the potential for Netflix, Inc. to enter the world's largest online-video market, mainland China, as well as North Korea and Syria, one of the few countries that Netflix has not had a direct presence in. There are no known plans for Netflix to have a subsidiary, production facility, or subscription service in mainland China as of June 2026; the only time it has had any presence is indirectly in a content-licensing agreement with local streaming service iQIYI, which was limited and brief (Onyusheva and Baker, 2021). This is a case of great analytical interest, given the otherwise very rich market of more than a billion connected consumers and a host environment that is very restrictive.</w:t>
      </w:r>
    </w:p>
    <w:p w14:paraId="6DDF1C1C">
      <w:pPr>
        <w:pStyle w:val="style0"/>
        <w:spacing w:before="120" w:after="60" w:lineRule="auto" w:line="360"/>
        <w:jc w:val="both"/>
        <w:rPr>
          <w:rFonts w:ascii="Times New Roman" w:cs="Times New Roman" w:hAnsi="Times New Roman"/>
          <w:color w:val="auto"/>
        </w:rPr>
      </w:pPr>
      <w:r>
        <w:rPr>
          <w:rFonts w:ascii="Times New Roman" w:cs="Times New Roman" w:hAnsi="Times New Roman"/>
          <w:color w:val="auto"/>
        </w:rPr>
        <w:t>The analysis is divided into three steps. Firstly, it categorises Netflix's international strategy according to the integration–responsiveness framework of Bartlett and Ghoshal (1989) and evaluates the global configuration of Netflix. Second, it conducts a targeted macro-environmental analysis by focusing on the political, economic, legal and cultural elements most relevant to a digital-content company and then combines them, using John Dunning's eclectic (OLI) model. Third, it assesses Netflix's historically successful approach to market entry, its viability in China and suggests a recommendation using evidence.</w:t>
      </w:r>
    </w:p>
    <w:bookmarkStart w:id="2" w:name="_Toc237565429"/>
    <w:p w14:paraId="234650E4">
      <w:pPr>
        <w:pStyle w:val="style2"/>
        <w:rPr/>
      </w:pPr>
      <w:r>
        <w:t>Organisational</w:t>
      </w:r>
      <w:r>
        <w:t xml:space="preserve"> classification and global strategy.</w:t>
      </w:r>
      <w:bookmarkEnd w:id="2"/>
    </w:p>
    <w:bookmarkStart w:id="3" w:name="_Toc237565430"/>
    <w:p w14:paraId="5B99F1E6">
      <w:pPr>
        <w:pStyle w:val="style3"/>
        <w:rPr/>
      </w:pPr>
      <w:r>
        <w:t xml:space="preserve">Strategic </w:t>
      </w:r>
      <w:r>
        <w:t>categorisation</w:t>
      </w:r>
      <w:r>
        <w:t xml:space="preserve"> (Bartlett &amp; Ghoshal, 1989)</w:t>
      </w:r>
      <w:bookmarkEnd w:id="3"/>
    </w:p>
    <w:p w14:paraId="3BE1F1CD">
      <w:pPr>
        <w:pStyle w:val="style0"/>
        <w:spacing w:before="120" w:after="60" w:lineRule="auto" w:line="360"/>
        <w:jc w:val="both"/>
        <w:rPr>
          <w:rFonts w:ascii="Times New Roman" w:cs="Times New Roman" w:hAnsi="Times New Roman"/>
          <w:color w:val="auto"/>
        </w:rPr>
      </w:pPr>
      <w:r>
        <w:rPr>
          <w:rFonts w:ascii="Times New Roman" w:cs="Times New Roman" w:hAnsi="Times New Roman"/>
          <w:color w:val="auto"/>
        </w:rPr>
        <w:t>Bartlett and Ghoshal (1989) suggest that MNCs are subject to two dual pressures: global integration (in order to make use of scale economies and standardisation) and local responsiveness (to meet the national tastes and regulation). The resulting matrix (Figure 1) gives rise to four archetypes – international, global, multidomestic and transnational. The Netflix story should be interpreted as a systematic shift to the transnational square. The technological backbone – a single global streaming platform, a proprietary recommendation algorithm, and a content-management system – offer significant integration advantages as one infrastructure is able to operate in 190-plus territories at low marginal cost (Onyusheva and Baker, 2021; Cui, 2024).</w:t>
      </w:r>
    </w:p>
    <w:p w14:paraId="660618DE">
      <w:pPr>
        <w:pStyle w:val="style0"/>
        <w:spacing w:before="120" w:after="60" w:lineRule="auto" w:line="360"/>
        <w:jc w:val="center"/>
        <w:rPr>
          <w:rFonts w:ascii="Times New Roman" w:cs="Times New Roman" w:hAnsi="Times New Roman"/>
          <w:color w:val="auto"/>
        </w:rPr>
      </w:pPr>
      <w:r>
        <w:rPr>
          <w:rFonts w:ascii="Times New Roman" w:cs="Times New Roman" w:hAnsi="Times New Roman"/>
          <w:noProof/>
          <w:color w:val="auto"/>
        </w:rPr>
        <w:drawing>
          <wp:inline distL="0" distT="0" distB="0" distR="0">
            <wp:extent cx="3643630" cy="3200388"/>
            <wp:effectExtent l="0" t="0" r="0" b="635"/>
            <wp:docPr id="1027" name="Picture 1" descr="AQA | Teaching guide: Bartlett and Ghoshal's international, multi-domestic,  transnational and global strategies (for last exams in 2024)"/>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3" cstate="print"/>
                    <a:srcRect l="0" t="0" r="0" b="0"/>
                    <a:stretch/>
                  </pic:blipFill>
                  <pic:spPr>
                    <a:xfrm rot="0">
                      <a:off x="0" y="0"/>
                      <a:ext cx="3643630" cy="3200388"/>
                    </a:xfrm>
                    <a:prstGeom prst="rect"/>
                    <a:ln>
                      <a:noFill/>
                    </a:ln>
                  </pic:spPr>
                </pic:pic>
              </a:graphicData>
            </a:graphic>
          </wp:inline>
        </w:drawing>
      </w:r>
    </w:p>
    <w:p w14:paraId="12F4DCDC">
      <w:pPr>
        <w:pStyle w:val="style0"/>
        <w:spacing w:after="200" w:lineRule="auto" w:line="360"/>
        <w:jc w:val="center"/>
        <w:rPr>
          <w:rFonts w:ascii="Times New Roman" w:cs="Times New Roman" w:hAnsi="Times New Roman"/>
          <w:color w:val="auto"/>
        </w:rPr>
      </w:pPr>
      <w:r>
        <w:rPr>
          <w:rFonts w:ascii="Times New Roman" w:cs="Times New Roman" w:hAnsi="Times New Roman"/>
          <w:i/>
          <w:iCs/>
          <w:color w:val="auto"/>
        </w:rPr>
        <w:t>Figure 1: Bartlett &amp; Ghoshal integration–responsiveness framework, showing Netflix’s transnational positioning. Source: Bartlett and Ghoshal (1989).</w:t>
      </w:r>
    </w:p>
    <w:p w14:paraId="56C9A017">
      <w:pPr>
        <w:pStyle w:val="style0"/>
        <w:spacing w:before="120" w:after="60" w:lineRule="auto" w:line="360"/>
        <w:jc w:val="both"/>
        <w:rPr>
          <w:rFonts w:ascii="Times New Roman" w:cs="Times New Roman" w:hAnsi="Times New Roman"/>
          <w:color w:val="auto"/>
        </w:rPr>
      </w:pPr>
      <w:r>
        <w:rPr>
          <w:rFonts w:ascii="Times New Roman" w:cs="Times New Roman" w:hAnsi="Times New Roman"/>
          <w:color w:val="auto"/>
        </w:rPr>
        <w:t>Simultaneously, the firm has intensified its local responsiveness. It has been remarkable, since around 2016, the investment of local-language original films that strike a chord with the local audience and go international, such as Money Heist (Spain), Squid Game (South Korea) and Lupin (France), which Cui (2024) calls ‘glocal’ content leverage. The ability to use global learning and yet have local relevance is the most important characteristic of the transnational form (Bartlett and Ghoshal, 1989). Most importantly, the transnational approach also implies that the company will be able to maintain its own platform and own data and content, which is precisely what China does not want to give.</w:t>
      </w:r>
    </w:p>
    <w:bookmarkStart w:id="4" w:name="_Toc237565431"/>
    <w:p w14:paraId="100F66BA">
      <w:pPr>
        <w:pStyle w:val="style3"/>
        <w:rPr/>
      </w:pPr>
      <w:r>
        <w:t>Global configuration and competitive advantage</w:t>
      </w:r>
      <w:bookmarkEnd w:id="4"/>
    </w:p>
    <w:p w14:paraId="039588F5">
      <w:pPr>
        <w:pStyle w:val="style0"/>
        <w:spacing w:lineRule="auto" w:line="360"/>
        <w:jc w:val="both"/>
        <w:rPr>
          <w:rFonts w:ascii="Times New Roman" w:cs="Times New Roman" w:hAnsi="Times New Roman"/>
        </w:rPr>
      </w:pPr>
      <w:r>
        <w:rPr>
          <w:rFonts w:ascii="Times New Roman" w:cs="Times New Roman" w:hAnsi="Times New Roman"/>
        </w:rPr>
        <w:t xml:space="preserve">Netflix is a transnational media firm that leverages scale, original content, data-based </w:t>
      </w:r>
      <w:r>
        <w:rPr>
          <w:rFonts w:ascii="Times New Roman" w:cs="Times New Roman" w:hAnsi="Times New Roman"/>
        </w:rPr>
        <w:t>personalisation</w:t>
      </w:r>
      <w:r>
        <w:rPr>
          <w:rFonts w:ascii="Times New Roman" w:cs="Times New Roman" w:hAnsi="Times New Roman"/>
        </w:rPr>
        <w:t xml:space="preserve"> and a mass market of subscribers to win over customers. Netflix, Inc. (2026) reported a paid membership of over 325 million and an annual revenue of US$45.2 billion at the end of 2025, a 16% increase from the previous year-on-year. It has a content budget estimated to be US$18 billion, bolstering its exclusive intellectual property, while </w:t>
      </w:r>
      <w:r>
        <w:rPr>
          <w:rFonts w:ascii="Times New Roman" w:cs="Times New Roman" w:hAnsi="Times New Roman"/>
        </w:rPr>
        <w:t>personalisation</w:t>
      </w:r>
      <w:r>
        <w:rPr>
          <w:rFonts w:ascii="Times New Roman" w:cs="Times New Roman" w:hAnsi="Times New Roman"/>
        </w:rPr>
        <w:t xml:space="preserve"> helps to increase engagement and decrease churn (</w:t>
      </w:r>
      <w:r>
        <w:rPr>
          <w:rFonts w:ascii="Times New Roman" w:cs="Times New Roman" w:hAnsi="Times New Roman"/>
        </w:rPr>
        <w:t>Onyusheva</w:t>
      </w:r>
      <w:r>
        <w:rPr>
          <w:rFonts w:ascii="Times New Roman" w:cs="Times New Roman" w:hAnsi="Times New Roman"/>
        </w:rPr>
        <w:t xml:space="preserve"> and Baker, 2021). This forms a vicious cycle where the revenue from subscribers is leveraged to invest in more content (Cui, 2024).</w:t>
      </w:r>
    </w:p>
    <w:p w14:paraId="4423AF9E">
      <w:pPr>
        <w:pStyle w:val="style0"/>
        <w:spacing w:lineRule="auto" w:line="360"/>
        <w:jc w:val="both"/>
        <w:rPr>
          <w:rFonts w:ascii="Times New Roman" w:cs="Times New Roman" w:hAnsi="Times New Roman"/>
        </w:rPr>
      </w:pPr>
      <w:r>
        <w:rPr>
          <w:rFonts w:ascii="Times New Roman" w:cs="Times New Roman" w:hAnsi="Times New Roman"/>
        </w:rPr>
        <w:t>But Netflix is still stronger of course, in high-yielding, mature markets, whilst Asia-Pacific does bring in significantly lower revenues per member. Growth will increasingly be tied to Asian markets, however, and China is becoming an increasingly strategic market in spite of the challenges. Netflix, Inc. has also recently diversified its business models with its advertising-supported tier, which earned more than US$1.5 billion in 2025.</w:t>
      </w:r>
    </w:p>
    <w:p w14:paraId="51CC0872">
      <w:pPr>
        <w:pStyle w:val="style0"/>
        <w:spacing w:lineRule="auto" w:line="360"/>
        <w:jc w:val="both"/>
        <w:rPr>
          <w:rFonts w:ascii="Times New Roman" w:cs="Times New Roman" w:hAnsi="Times New Roman"/>
          <w:i/>
        </w:rPr>
      </w:pPr>
      <w:r>
        <w:rPr>
          <w:rFonts w:ascii="Times New Roman" w:cs="Times New Roman" w:hAnsi="Times New Roman"/>
        </w:rPr>
        <w:t xml:space="preserve">However, there is a structural problem with China. Netflix's flywheel is dependent on user data, control of the platform, direct consumer relationships and billing. Such advantages are curbed due to the regulatory regulations in China and powerful platforms at home like iQIYI, Tencent Video and Youku. </w:t>
      </w:r>
      <w:r>
        <w:rPr>
          <w:rFonts w:ascii="Times New Roman" w:cs="Times New Roman" w:hAnsi="Times New Roman"/>
        </w:rPr>
        <w:t>So</w:t>
      </w:r>
      <w:r>
        <w:rPr>
          <w:rFonts w:ascii="Times New Roman" w:cs="Times New Roman" w:hAnsi="Times New Roman"/>
        </w:rPr>
        <w:t xml:space="preserve"> the question is not really about China's size as a market, but whether it is possible for Netflix to run and </w:t>
      </w:r>
      <w:r>
        <w:rPr>
          <w:rFonts w:ascii="Times New Roman" w:cs="Times New Roman" w:hAnsi="Times New Roman"/>
        </w:rPr>
        <w:t>monetise</w:t>
      </w:r>
      <w:r>
        <w:rPr>
          <w:rFonts w:ascii="Times New Roman" w:cs="Times New Roman" w:hAnsi="Times New Roman"/>
        </w:rPr>
        <w:t xml:space="preserve"> the business model, that is their key competitive advantage, in the country.</w:t>
      </w:r>
    </w:p>
    <w:bookmarkStart w:id="5" w:name="_Toc237565432"/>
    <w:p w14:paraId="3A4C6DDB">
      <w:pPr>
        <w:pStyle w:val="style2"/>
        <w:rPr/>
      </w:pPr>
      <w:r>
        <w:t>Macro-Environmental Appraisal and Market Attractiveness</w:t>
      </w:r>
      <w:bookmarkEnd w:id="5"/>
    </w:p>
    <w:p w14:paraId="211F2C20">
      <w:pPr>
        <w:pStyle w:val="style0"/>
        <w:spacing w:before="120" w:after="60" w:lineRule="auto" w:line="360"/>
        <w:jc w:val="both"/>
        <w:rPr>
          <w:rFonts w:ascii="Times New Roman" w:cs="Times New Roman" w:hAnsi="Times New Roman"/>
          <w:color w:val="auto"/>
        </w:rPr>
      </w:pPr>
      <w:r>
        <w:rPr>
          <w:rFonts w:ascii="Times New Roman" w:cs="Times New Roman" w:hAnsi="Times New Roman"/>
          <w:color w:val="auto"/>
        </w:rPr>
        <w:t>This section is not meant to provide a descriptive overview of all the political-legal, economic and competitive aspects of the market and of the cultural factors that drive content demand, but rather to highlight the political-legal and economic aspects of the market and the cultural determinants of content demand specifically of a foreign digital-content provider. A full PESTEL analysis would wash out the analysis because of the differences in how the streaming industry is affected by factors such as exchange rates volatility or physical infrastructure; factors such as content regulation, censorship, data governance and competitive intensity have a more pronounced effect on the streaming industry. This list of factors below is therefore intentionally industry specific, and consistent with the requirements of the assessment to focus on a factor that has the greatest impact on the firm's strategy. They are first analysed separately and subsequently analysed jointly using an integrative logic from Environmental analysis to an entry-mode decision: Dunning's OLI paradigm.</w:t>
      </w:r>
    </w:p>
    <w:bookmarkStart w:id="6" w:name="_Toc237565433"/>
    <w:p w14:paraId="43EC78A1">
      <w:pPr>
        <w:pStyle w:val="style3"/>
        <w:rPr/>
      </w:pPr>
      <w:r>
        <w:t>Political and legal environment</w:t>
      </w:r>
      <w:bookmarkEnd w:id="6"/>
    </w:p>
    <w:p w14:paraId="0704A8F5">
      <w:pPr>
        <w:pStyle w:val="style0"/>
        <w:spacing w:lineRule="auto" w:line="360"/>
        <w:jc w:val="both"/>
        <w:rPr>
          <w:rFonts w:ascii="Times New Roman" w:cs="Times New Roman" w:hAnsi="Times New Roman"/>
        </w:rPr>
      </w:pPr>
      <w:r>
        <w:rPr>
          <w:rFonts w:ascii="Times New Roman" w:cs="Times New Roman" w:hAnsi="Times New Roman"/>
        </w:rPr>
        <w:t xml:space="preserve">One of the biggest challenges to Netflix's market entry in China is the country's political-legal environment. Online AV services are licensed and subject to state censorship and restrictions on imports. The 30% rule on foreign programmes was implemented in 2014 as a measure to boost domestic production and cut down on the foreign influence of culture, which directly contradicts Netflix's international content model, which has a vast </w:t>
      </w:r>
      <w:r>
        <w:rPr>
          <w:rFonts w:ascii="Times New Roman" w:cs="Times New Roman" w:hAnsi="Times New Roman"/>
        </w:rPr>
        <w:t>amount</w:t>
      </w:r>
      <w:r>
        <w:rPr>
          <w:rFonts w:ascii="Times New Roman" w:cs="Times New Roman" w:hAnsi="Times New Roman"/>
        </w:rPr>
        <w:t xml:space="preserve"> of foreign programmes (Rui, 2017). Licensing, censorship and territorial restrictions also provide a means </w:t>
      </w:r>
      <w:r>
        <w:rPr>
          <w:rFonts w:ascii="Times New Roman" w:cs="Times New Roman" w:hAnsi="Times New Roman"/>
        </w:rPr>
        <w:t>for the Chinese state to keep control of online video distribution, making it more challenging for foreign platforms than domestic ones like iQIYI (Zhao, 2018).</w:t>
      </w:r>
    </w:p>
    <w:p w14:paraId="348D8D93">
      <w:pPr>
        <w:pStyle w:val="style0"/>
        <w:spacing w:lineRule="auto" w:line="360"/>
        <w:jc w:val="both"/>
        <w:rPr>
          <w:rFonts w:ascii="Times New Roman" w:cs="Times New Roman" w:hAnsi="Times New Roman"/>
        </w:rPr>
      </w:pPr>
      <w:r>
        <w:rPr>
          <w:rFonts w:ascii="Times New Roman" w:cs="Times New Roman" w:hAnsi="Times New Roman"/>
        </w:rPr>
        <w:t xml:space="preserve">There are additional hurdles such as data </w:t>
      </w:r>
      <w:r>
        <w:rPr>
          <w:rFonts w:ascii="Times New Roman" w:cs="Times New Roman" w:hAnsi="Times New Roman"/>
        </w:rPr>
        <w:t>localisation</w:t>
      </w:r>
      <w:r>
        <w:rPr>
          <w:rFonts w:ascii="Times New Roman" w:cs="Times New Roman" w:hAnsi="Times New Roman"/>
        </w:rPr>
        <w:t xml:space="preserve"> and cybersecurity regulations. Netflix's cross-border data practices and globally-integrated data infrastructure could clash with the need to store user data within China and provide it to authorities as required by law. Further, the conflict between the U.S. and China makes U.S. technology and media companies more subject to regulatory uncertainty. Netflix's initial strategy was to settle on licensing deals (TechCrunch, 2017) rather than going head-to-head with China.</w:t>
      </w:r>
    </w:p>
    <w:p w14:paraId="72BEBDE1">
      <w:pPr>
        <w:pStyle w:val="style0"/>
        <w:spacing w:lineRule="auto" w:line="360"/>
        <w:jc w:val="both"/>
        <w:rPr>
          <w:rFonts w:ascii="Times New Roman" w:cs="Times New Roman" w:hAnsi="Times New Roman"/>
          <w:i/>
        </w:rPr>
      </w:pPr>
      <w:r>
        <w:rPr>
          <w:rFonts w:ascii="Times New Roman" w:cs="Times New Roman" w:hAnsi="Times New Roman"/>
        </w:rPr>
        <w:t>These limitations are significant institutional barriers between China's state-controlled media system and Netflix's US operations. The literature on the liability of foreignness suggests that the higher the level of institutional differences, the more difficult it will be for foreign firms to adapt and the more uncertain the situation will be for them (Hymer, 1976; Zaheer, 1995; Kostova and Zaheer, 1999). This results in a less desirable choice of high-commitment entry modes in China, and a preference for lower commitment partnerships or licensing agreements (Meyer et al., 2009).</w:t>
      </w:r>
    </w:p>
    <w:bookmarkStart w:id="7" w:name="_Toc237565434"/>
    <w:p w14:paraId="3F7081BF">
      <w:pPr>
        <w:pStyle w:val="style3"/>
        <w:rPr/>
      </w:pPr>
      <w:r>
        <w:t>Economic environment and competitive structure</w:t>
      </w:r>
      <w:bookmarkEnd w:id="7"/>
    </w:p>
    <w:p w14:paraId="5A2E6429">
      <w:pPr>
        <w:pStyle w:val="style0"/>
        <w:spacing w:before="120" w:after="60" w:lineRule="auto" w:line="360"/>
        <w:jc w:val="both"/>
        <w:rPr>
          <w:rFonts w:ascii="Times New Roman" w:cs="Times New Roman" w:hAnsi="Times New Roman"/>
          <w:color w:val="auto"/>
        </w:rPr>
      </w:pPr>
      <w:r>
        <w:rPr>
          <w:rFonts w:ascii="Times New Roman" w:cs="Times New Roman" w:hAnsi="Times New Roman"/>
          <w:color w:val="auto"/>
        </w:rPr>
        <w:t xml:space="preserve">In a purely economic sense, China is enormously tempting, but in the real world is extremely combative. There are over 1bn internet users in the market and a large and rapidly expanding subscription video-on-demand (SVOD) market. But three longstanding competitors control the majority of the long-form video market – Youku (Alibaba), Tencent Video and iQIYI (Baidu) – with a combined slice of the pie that is overwhelming (Figure 2). These platforms had a total of 443 million, 422 million and 413 million monthly active users as of September 2024 (Statista, 2026) while Netflix had none in the </w:t>
      </w:r>
      <w:r>
        <w:rPr>
          <w:rFonts w:ascii="Times New Roman" w:cs="Times New Roman" w:hAnsi="Times New Roman"/>
          <w:color w:val="auto"/>
        </w:rPr>
        <w:t>Mainland</w:t>
      </w:r>
      <w:r>
        <w:rPr>
          <w:rFonts w:ascii="Times New Roman" w:cs="Times New Roman" w:hAnsi="Times New Roman"/>
          <w:color w:val="auto"/>
        </w:rPr>
        <w:t>.</w:t>
      </w:r>
    </w:p>
    <w:p w14:paraId="775B888C">
      <w:pPr>
        <w:pStyle w:val="style0"/>
        <w:spacing w:before="120" w:after="60" w:lineRule="auto" w:line="360"/>
        <w:jc w:val="center"/>
        <w:rPr>
          <w:rFonts w:ascii="Times New Roman" w:cs="Times New Roman" w:hAnsi="Times New Roman"/>
          <w:color w:val="auto"/>
        </w:rPr>
      </w:pPr>
      <w:r>
        <w:rPr>
          <w:rFonts w:ascii="Times New Roman" w:cs="Times New Roman" w:hAnsi="Times New Roman"/>
          <w:noProof/>
          <w:color w:val="auto"/>
        </w:rPr>
        <w:drawing>
          <wp:inline distL="0" distT="0" distB="0" distR="0">
            <wp:extent cx="5731510" cy="2785110"/>
            <wp:effectExtent l="0" t="0" r="2540" b="0"/>
            <wp:docPr id="1028" name="Picture 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4" cstate="print"/>
                    <a:srcRect l="0" t="12665" r="0" b="0"/>
                    <a:stretch/>
                  </pic:blipFill>
                  <pic:spPr>
                    <a:xfrm rot="0">
                      <a:off x="0" y="0"/>
                      <a:ext cx="5731510" cy="2785110"/>
                    </a:xfrm>
                    <a:prstGeom prst="rect"/>
                    <a:ln>
                      <a:noFill/>
                    </a:ln>
                  </pic:spPr>
                </pic:pic>
              </a:graphicData>
            </a:graphic>
          </wp:inline>
        </w:drawing>
      </w:r>
    </w:p>
    <w:p w14:paraId="40C568B0">
      <w:pPr>
        <w:pStyle w:val="style0"/>
        <w:spacing w:before="120" w:after="60" w:lineRule="auto" w:line="360"/>
        <w:jc w:val="center"/>
        <w:rPr>
          <w:rFonts w:ascii="Times New Roman" w:cs="Times New Roman" w:hAnsi="Times New Roman"/>
          <w:color w:val="auto"/>
        </w:rPr>
      </w:pPr>
    </w:p>
    <w:p w14:paraId="704E0213">
      <w:pPr>
        <w:pStyle w:val="style0"/>
        <w:spacing w:after="200" w:lineRule="auto" w:line="360"/>
        <w:jc w:val="center"/>
        <w:rPr>
          <w:rFonts w:ascii="Times New Roman" w:cs="Times New Roman" w:hAnsi="Times New Roman"/>
          <w:color w:val="auto"/>
        </w:rPr>
      </w:pPr>
      <w:r>
        <w:rPr>
          <w:rFonts w:ascii="Times New Roman" w:cs="Times New Roman" w:hAnsi="Times New Roman"/>
          <w:i/>
          <w:iCs/>
          <w:color w:val="auto"/>
        </w:rPr>
        <w:t>Figure 2: Leading long-form video apps in China by monthly active users (September 2024), against Netflix’s absent mainland presence. Source: Statista (2026).</w:t>
      </w:r>
    </w:p>
    <w:p w14:paraId="7BB28072">
      <w:pPr>
        <w:pStyle w:val="style0"/>
        <w:spacing w:after="160" w:lineRule="auto" w:line="360"/>
        <w:jc w:val="both"/>
        <w:rPr>
          <w:rFonts w:ascii="Times New Roman" w:cs="Times New Roman" w:hAnsi="Times New Roman"/>
          <w:color w:val="auto"/>
        </w:rPr>
      </w:pPr>
      <w:r>
        <w:rPr>
          <w:rFonts w:ascii="Times New Roman" w:cs="Times New Roman" w:hAnsi="Times New Roman"/>
          <w:color w:val="auto"/>
        </w:rPr>
        <w:t>They have significant political and locational advantages; they have vast Chinese-language libraries, payment systems, ties with the regulator and – importantly – foreign competition. However, iQIYI is often referred to as ‘the Netflix of China' and reached a total revenue of RMB 31.9 billion (US$4.5 billion) during fiscal 2023 (China Daily, 2024). Other advantages of late entry would be the consumer switching costs that would be faced and the low price point in the Chinese SVOD market – squeezing the ARPU that Netflix could reasonably expect to achieve. The two main factors that might limit its growth against established content giants like Tencent Video and iQIYI (Chen, 2022) are relatively high subscription fees and censorship restrictions.</w:t>
      </w:r>
    </w:p>
    <w:p w14:paraId="09F684D6">
      <w:pPr>
        <w:pStyle w:val="style0"/>
        <w:spacing w:after="160" w:lineRule="auto" w:line="360"/>
        <w:jc w:val="both"/>
        <w:rPr>
          <w:rFonts w:ascii="Times New Roman" w:cs="Times New Roman" w:hAnsi="Times New Roman"/>
          <w:color w:val="auto"/>
        </w:rPr>
      </w:pPr>
      <w:r>
        <w:rPr>
          <w:rFonts w:ascii="Times New Roman" w:cs="Times New Roman" w:hAnsi="Times New Roman"/>
          <w:color w:val="auto"/>
        </w:rPr>
        <w:t xml:space="preserve">The Chinese SVOD market from an industrial-economics point of view shows characteristics of an oligopoly with high barrier to entry. Content-acquisition costs are high, network effects work in favour of the biggest catalogues, and the three incumbents are supported by the world's largest tech giants – the Chinese companies Alibaba, Tencent and Baidu respectively – which provide them with complementary payment, distribution and data assets a single foreign player could not replicate. Porter's classic theory on entry barriers is directly applicable: When incumbents have all three of the above – economies of scale, product differentiation, capital requirements or regulatory advantages – then the act of retaliation and the cost of overcoming the barriers makes any entry less attractive unless the entrant provides a value proposition that </w:t>
      </w:r>
      <w:r>
        <w:rPr>
          <w:rFonts w:ascii="Times New Roman" w:cs="Times New Roman" w:hAnsi="Times New Roman"/>
          <w:color w:val="auto"/>
        </w:rPr>
        <w:t>is clearly better.Transaction-cost reasoning reaches the same conclusion: where the host environment raises the cost and hazard of high-control modes, the efficient choice shifts towards lower-commitment arrangements that trade some control for reduced resource exposure (Anderson and Gatignon, 1986; Hill, Hwang and Kim, 1990). The one thing that might make it worth investing in the foreign-content quota is the one thing that it restricts: Netflix's differentiator: premium Western originals.</w:t>
      </w:r>
    </w:p>
    <w:p w14:paraId="5152BD1D">
      <w:pPr>
        <w:pStyle w:val="style0"/>
        <w:spacing w:after="160" w:lineRule="auto" w:line="360"/>
        <w:jc w:val="both"/>
        <w:rPr>
          <w:rFonts w:ascii="Times New Roman" w:cs="Times New Roman" w:hAnsi="Times New Roman"/>
          <w:color w:val="auto"/>
        </w:rPr>
      </w:pPr>
      <w:r>
        <w:rPr>
          <w:rFonts w:ascii="Times New Roman" w:cs="Times New Roman" w:hAnsi="Times New Roman"/>
          <w:color w:val="auto"/>
        </w:rPr>
        <w:t>The opportunity cost of the economy also needs to be taken into account. Netflix has limited capital and managerial resources to go global on a bet on China, which it would be better off making in markets it can reach directly than in the Asia-Pacific region, where it would be able to own the entire customer experience. If a disciplined economic analysis is conducted, however, it is not just the appeal of the Chinese market per se which is considered, but the comparative return of the same resources being put to use in other markets – which further undermines the case for being aggressive in market entry.</w:t>
      </w:r>
    </w:p>
    <w:bookmarkStart w:id="8" w:name="_Toc237565435"/>
    <w:p w14:paraId="6E2DE44A">
      <w:pPr>
        <w:pStyle w:val="style3"/>
        <w:rPr/>
      </w:pPr>
      <w:r>
        <w:t>Cultural environment</w:t>
      </w:r>
      <w:bookmarkEnd w:id="8"/>
    </w:p>
    <w:p w14:paraId="719BD428">
      <w:pPr>
        <w:pStyle w:val="style0"/>
        <w:spacing w:after="160" w:lineRule="auto" w:line="360"/>
        <w:jc w:val="both"/>
        <w:rPr>
          <w:rFonts w:ascii="Times New Roman" w:cs="Times New Roman" w:hAnsi="Times New Roman"/>
          <w:color w:val="auto"/>
        </w:rPr>
      </w:pPr>
      <w:r>
        <w:rPr>
          <w:rFonts w:ascii="Times New Roman" w:cs="Times New Roman" w:hAnsi="Times New Roman"/>
          <w:color w:val="auto"/>
        </w:rPr>
        <w:t xml:space="preserve">Additionally, the contents of the demand picture are influenced by cultural distance. China has a </w:t>
      </w:r>
      <w:r>
        <w:rPr>
          <w:rFonts w:ascii="Times New Roman" w:cs="Times New Roman" w:hAnsi="Times New Roman"/>
          <w:color w:val="auto"/>
        </w:rPr>
        <w:t>high power</w:t>
      </w:r>
      <w:r>
        <w:rPr>
          <w:rFonts w:ascii="Times New Roman" w:cs="Times New Roman" w:hAnsi="Times New Roman"/>
          <w:color w:val="auto"/>
        </w:rPr>
        <w:t xml:space="preserve"> distance score (around 80) and a high long-term orientation score, and a low individualism score, which means that it is a collectivist society, hierarchical and future-oriented (The Culture Factor Group, 2023). In practical terms, that means that consumers are more likely to prefer the local production industry’s output, for the kinds of genres in which they specialise – historical epics, romance, ‘C-drama’ type serials – versus the Western-centric catalogue that forms the foundation of Netflix's brand. Cultural sensitivity is, of course, politically charged as well: Netflix's interpretation of 3 Body Problem (2024) faced domestic backlash for its depiction of China, showing how content that has garnered international acclaim can cause reputational and regulatory tensions at home (Cloudwards, 2026). Cultural adaptation is thus not just a marketing convenience, but a requirement for regulatory acceptance.</w:t>
      </w:r>
    </w:p>
    <w:p w14:paraId="0226E451">
      <w:pPr>
        <w:pStyle w:val="style0"/>
        <w:spacing w:after="160" w:lineRule="auto" w:line="360"/>
        <w:jc w:val="both"/>
        <w:rPr>
          <w:rFonts w:ascii="Times New Roman" w:cs="Times New Roman" w:hAnsi="Times New Roman"/>
          <w:color w:val="auto"/>
        </w:rPr>
      </w:pPr>
      <w:r>
        <w:rPr>
          <w:rFonts w:ascii="Times New Roman" w:cs="Times New Roman" w:hAnsi="Times New Roman"/>
          <w:color w:val="auto"/>
        </w:rPr>
        <w:t xml:space="preserve">The interpretation of Hofstede's national scores, however, should be treated with a degree of caution because it is a more critical reading. The framework has been criticized for its over-generalization of the Chinese nature due to the cultural homogeneity within a country as large and diverse as China and for taking a survey conducted years ago. China’s middle class, which is substantial and cosmopolitan, has proven to have very good taste for foreign content; Korean and Japanese dramas are still popular, and pre-regulation popularity of the licensed Western </w:t>
      </w:r>
      <w:r>
        <w:rPr>
          <w:rFonts w:ascii="Times New Roman" w:cs="Times New Roman" w:hAnsi="Times New Roman"/>
          <w:color w:val="auto"/>
        </w:rPr>
        <w:t>series has been proved. Indeed, empirical research of Netflix's national libraries reveals that the company's library is not exclusively Western, and that streaming is starting to alter the transnational media flows that it had not yet replaced (Lotz, Eklund and Soroka, 2022).Complementary analysis of Netflix’s geographies shows that although United States content remains dominant, the service operates as a genuinely multinational one whose catalogue and commissioning are regionally differentiated, underlining that the barrier in China is political rather than a simple absence of consumer appetite for a globally sourced library (Lotz, 2021). Then the obstacle to Netflix's content is not so much a wholesale rejection of culture as the political 'mediation' of cultural exchange: it is the state—not the consumer—that is the first gatekeeper. The implication is that Netflix's content might have some legs if it could get past the regulatory red tape – and that further supports the notion that it's not going to abandon the market entirely, but that it needs to have a licensee who can head through that “filter.” The above conclusion with regard to the mode of entry is corroborated by the cultural analysis. The substantial cultural distance between the United States and China reinforces this, since firms entering culturally distant markets tend to favour shared-control or contractual modes over wholly-owned entry in order to limit exposure to unfamiliar norms and heightened uncertainty (Kogut and Singh, 1988).</w:t>
      </w:r>
    </w:p>
    <w:bookmarkStart w:id="9" w:name="_Toc237565436"/>
    <w:p w14:paraId="2911AC8D">
      <w:pPr>
        <w:pStyle w:val="style3"/>
        <w:rPr/>
      </w:pPr>
      <w:r>
        <w:t>Synthesis of macro-environmental factors</w:t>
      </w:r>
      <w:bookmarkEnd w:id="9"/>
    </w:p>
    <w:p w14:paraId="26156EC0">
      <w:pPr>
        <w:pStyle w:val="style0"/>
        <w:spacing w:after="160" w:lineRule="auto" w:line="360"/>
        <w:jc w:val="both"/>
        <w:rPr>
          <w:rFonts w:ascii="Times New Roman" w:cs="Times New Roman" w:hAnsi="Times New Roman"/>
          <w:color w:val="auto"/>
        </w:rPr>
      </w:pPr>
      <w:r>
        <w:rPr>
          <w:rFonts w:ascii="Times New Roman" w:cs="Times New Roman" w:hAnsi="Times New Roman"/>
          <w:color w:val="auto"/>
        </w:rPr>
        <w:t>Table 1 combines the appraisal and rates each of the factors on its attractiveness for a foreign digital content entrant.</w:t>
      </w:r>
    </w:p>
    <w:tbl>
      <w:tblPr>
        <w:tblStyle w:val="style4102"/>
        <w:tblW w:w="9000" w:type="dxa"/>
        <w:tblLook w:val="04A0" w:firstRow="1" w:lastRow="0" w:firstColumn="1" w:lastColumn="0" w:noHBand="0" w:noVBand="1"/>
      </w:tblPr>
      <w:tblGrid>
        <w:gridCol w:w="2000"/>
        <w:gridCol w:w="5000"/>
        <w:gridCol w:w="2000"/>
      </w:tblGrid>
      <w:tr w14:paraId="5988BF0D">
        <w:trPr/>
        <w:tc>
          <w:tcPr>
            <w:tcW w:w="2000" w:type="dxa"/>
            <w:tcBorders/>
          </w:tcPr>
          <w:p w14:paraId="1F4677D8">
            <w:pPr>
              <w:pStyle w:val="style0"/>
              <w:spacing w:after="20" w:lineRule="auto" w:line="360"/>
              <w:jc w:val="both"/>
              <w:rPr>
                <w:rFonts w:ascii="Times New Roman" w:cs="Times New Roman" w:hAnsi="Times New Roman"/>
                <w:color w:val="auto"/>
              </w:rPr>
            </w:pPr>
            <w:r>
              <w:rPr>
                <w:rFonts w:ascii="Times New Roman" w:cs="Times New Roman" w:hAnsi="Times New Roman"/>
                <w:color w:val="auto"/>
              </w:rPr>
              <w:t>Dimension</w:t>
            </w:r>
          </w:p>
        </w:tc>
        <w:tc>
          <w:tcPr>
            <w:tcW w:w="5000" w:type="dxa"/>
            <w:tcBorders/>
          </w:tcPr>
          <w:p w14:paraId="6D7066DE">
            <w:pPr>
              <w:pStyle w:val="style0"/>
              <w:spacing w:after="20" w:lineRule="auto" w:line="360"/>
              <w:jc w:val="both"/>
              <w:rPr>
                <w:rFonts w:ascii="Times New Roman" w:cs="Times New Roman" w:hAnsi="Times New Roman"/>
                <w:color w:val="auto"/>
              </w:rPr>
            </w:pPr>
            <w:r>
              <w:rPr>
                <w:rFonts w:ascii="Times New Roman" w:cs="Times New Roman" w:hAnsi="Times New Roman"/>
                <w:color w:val="auto"/>
              </w:rPr>
              <w:t>Key factors for a digital-content MNC</w:t>
            </w:r>
          </w:p>
        </w:tc>
        <w:tc>
          <w:tcPr>
            <w:tcW w:w="2000" w:type="dxa"/>
            <w:tcBorders/>
          </w:tcPr>
          <w:p w14:paraId="0C2744D8">
            <w:pPr>
              <w:pStyle w:val="style0"/>
              <w:spacing w:after="20" w:lineRule="auto" w:line="360"/>
              <w:jc w:val="both"/>
              <w:rPr>
                <w:rFonts w:ascii="Times New Roman" w:cs="Times New Roman" w:hAnsi="Times New Roman"/>
                <w:color w:val="auto"/>
              </w:rPr>
            </w:pPr>
            <w:r>
              <w:rPr>
                <w:rFonts w:ascii="Times New Roman" w:cs="Times New Roman" w:hAnsi="Times New Roman"/>
                <w:color w:val="auto"/>
              </w:rPr>
              <w:t>Attractiveness</w:t>
            </w:r>
          </w:p>
        </w:tc>
      </w:tr>
      <w:tr w14:paraId="4617C131">
        <w:tblPrEx/>
        <w:trPr/>
        <w:tc>
          <w:tcPr>
            <w:tcW w:w="2000" w:type="dxa"/>
            <w:tcBorders/>
          </w:tcPr>
          <w:p w14:paraId="6E16327B">
            <w:pPr>
              <w:pStyle w:val="style0"/>
              <w:spacing w:after="20" w:lineRule="auto" w:line="360"/>
              <w:jc w:val="both"/>
              <w:rPr>
                <w:rFonts w:ascii="Times New Roman" w:cs="Times New Roman" w:hAnsi="Times New Roman"/>
                <w:color w:val="auto"/>
              </w:rPr>
            </w:pPr>
            <w:r>
              <w:rPr>
                <w:rFonts w:ascii="Times New Roman" w:cs="Times New Roman" w:hAnsi="Times New Roman"/>
                <w:color w:val="auto"/>
              </w:rPr>
              <w:t>Political</w:t>
            </w:r>
          </w:p>
        </w:tc>
        <w:tc>
          <w:tcPr>
            <w:tcW w:w="5000" w:type="dxa"/>
            <w:tcBorders/>
          </w:tcPr>
          <w:p w14:paraId="649B93F0">
            <w:pPr>
              <w:pStyle w:val="style0"/>
              <w:spacing w:after="20" w:lineRule="auto" w:line="360"/>
              <w:jc w:val="both"/>
              <w:rPr>
                <w:rFonts w:ascii="Times New Roman" w:cs="Times New Roman" w:hAnsi="Times New Roman"/>
                <w:color w:val="auto"/>
              </w:rPr>
            </w:pPr>
            <w:r>
              <w:rPr>
                <w:rFonts w:ascii="Times New Roman" w:cs="Times New Roman" w:hAnsi="Times New Roman"/>
                <w:color w:val="auto"/>
              </w:rPr>
              <w:t>Multi-licence regime; censorship review; state protection of incumbents; US–China friction</w:t>
            </w:r>
          </w:p>
        </w:tc>
        <w:tc>
          <w:tcPr>
            <w:tcW w:w="2000" w:type="dxa"/>
            <w:tcBorders/>
          </w:tcPr>
          <w:p w14:paraId="3F8756BF">
            <w:pPr>
              <w:pStyle w:val="style0"/>
              <w:spacing w:after="20" w:lineRule="auto" w:line="360"/>
              <w:jc w:val="both"/>
              <w:rPr>
                <w:rFonts w:ascii="Times New Roman" w:cs="Times New Roman" w:hAnsi="Times New Roman"/>
                <w:color w:val="auto"/>
              </w:rPr>
            </w:pPr>
            <w:r>
              <w:rPr>
                <w:rFonts w:ascii="Times New Roman" w:cs="Times New Roman" w:hAnsi="Times New Roman"/>
                <w:b/>
                <w:bCs/>
                <w:color w:val="auto"/>
              </w:rPr>
              <w:t>Low</w:t>
            </w:r>
          </w:p>
        </w:tc>
      </w:tr>
      <w:tr w14:paraId="4A391F20">
        <w:tblPrEx/>
        <w:trPr/>
        <w:tc>
          <w:tcPr>
            <w:tcW w:w="2000" w:type="dxa"/>
            <w:tcBorders/>
          </w:tcPr>
          <w:p w14:paraId="185B4C8B">
            <w:pPr>
              <w:pStyle w:val="style0"/>
              <w:spacing w:after="20" w:lineRule="auto" w:line="360"/>
              <w:jc w:val="both"/>
              <w:rPr>
                <w:rFonts w:ascii="Times New Roman" w:cs="Times New Roman" w:hAnsi="Times New Roman"/>
                <w:color w:val="auto"/>
              </w:rPr>
            </w:pPr>
            <w:r>
              <w:rPr>
                <w:rFonts w:ascii="Times New Roman" w:cs="Times New Roman" w:hAnsi="Times New Roman"/>
                <w:color w:val="auto"/>
              </w:rPr>
              <w:t>Economic</w:t>
            </w:r>
          </w:p>
        </w:tc>
        <w:tc>
          <w:tcPr>
            <w:tcW w:w="5000" w:type="dxa"/>
            <w:tcBorders/>
          </w:tcPr>
          <w:p w14:paraId="01943EE0">
            <w:pPr>
              <w:pStyle w:val="style0"/>
              <w:spacing w:after="20" w:lineRule="auto" w:line="360"/>
              <w:jc w:val="both"/>
              <w:rPr>
                <w:rFonts w:ascii="Times New Roman" w:cs="Times New Roman" w:hAnsi="Times New Roman"/>
                <w:color w:val="auto"/>
              </w:rPr>
            </w:pPr>
            <w:r>
              <w:rPr>
                <w:rFonts w:ascii="Times New Roman" w:cs="Times New Roman" w:hAnsi="Times New Roman"/>
                <w:color w:val="auto"/>
              </w:rPr>
              <w:t>Vast user base and SVOD demand, but saturated, low-ARPU and dominated by three incumbents</w:t>
            </w:r>
          </w:p>
        </w:tc>
        <w:tc>
          <w:tcPr>
            <w:tcW w:w="2000" w:type="dxa"/>
            <w:tcBorders/>
          </w:tcPr>
          <w:p w14:paraId="2F3CCAB4">
            <w:pPr>
              <w:pStyle w:val="style0"/>
              <w:spacing w:after="20" w:lineRule="auto" w:line="360"/>
              <w:jc w:val="both"/>
              <w:rPr>
                <w:rFonts w:ascii="Times New Roman" w:cs="Times New Roman" w:hAnsi="Times New Roman"/>
                <w:color w:val="auto"/>
              </w:rPr>
            </w:pPr>
            <w:r>
              <w:rPr>
                <w:rFonts w:ascii="Times New Roman" w:cs="Times New Roman" w:hAnsi="Times New Roman"/>
                <w:b/>
                <w:bCs/>
                <w:color w:val="auto"/>
              </w:rPr>
              <w:t>Mixed</w:t>
            </w:r>
          </w:p>
        </w:tc>
      </w:tr>
      <w:tr w14:paraId="58609F15">
        <w:tblPrEx/>
        <w:trPr/>
        <w:tc>
          <w:tcPr>
            <w:tcW w:w="2000" w:type="dxa"/>
            <w:tcBorders/>
          </w:tcPr>
          <w:p w14:paraId="0C6BFBC3">
            <w:pPr>
              <w:pStyle w:val="style0"/>
              <w:spacing w:after="20" w:lineRule="auto" w:line="360"/>
              <w:jc w:val="both"/>
              <w:rPr>
                <w:rFonts w:ascii="Times New Roman" w:cs="Times New Roman" w:hAnsi="Times New Roman"/>
                <w:color w:val="auto"/>
              </w:rPr>
            </w:pPr>
            <w:r>
              <w:rPr>
                <w:rFonts w:ascii="Times New Roman" w:cs="Times New Roman" w:hAnsi="Times New Roman"/>
                <w:color w:val="auto"/>
              </w:rPr>
              <w:t>Legal</w:t>
            </w:r>
          </w:p>
        </w:tc>
        <w:tc>
          <w:tcPr>
            <w:tcW w:w="5000" w:type="dxa"/>
            <w:tcBorders/>
          </w:tcPr>
          <w:p w14:paraId="25A61DA4">
            <w:pPr>
              <w:pStyle w:val="style0"/>
              <w:spacing w:after="20" w:lineRule="auto" w:line="360"/>
              <w:jc w:val="both"/>
              <w:rPr>
                <w:rFonts w:ascii="Times New Roman" w:cs="Times New Roman" w:hAnsi="Times New Roman"/>
                <w:color w:val="auto"/>
              </w:rPr>
            </w:pPr>
            <w:r>
              <w:rPr>
                <w:rFonts w:ascii="Times New Roman" w:cs="Times New Roman" w:hAnsi="Times New Roman"/>
                <w:color w:val="auto"/>
              </w:rPr>
              <w:t>30% foreign-content quota; data-localisation and cybersecurity requirements</w:t>
            </w:r>
          </w:p>
        </w:tc>
        <w:tc>
          <w:tcPr>
            <w:tcW w:w="2000" w:type="dxa"/>
            <w:tcBorders/>
          </w:tcPr>
          <w:p w14:paraId="70CBE016">
            <w:pPr>
              <w:pStyle w:val="style0"/>
              <w:spacing w:after="20" w:lineRule="auto" w:line="360"/>
              <w:jc w:val="both"/>
              <w:rPr>
                <w:rFonts w:ascii="Times New Roman" w:cs="Times New Roman" w:hAnsi="Times New Roman"/>
                <w:color w:val="auto"/>
              </w:rPr>
            </w:pPr>
            <w:r>
              <w:rPr>
                <w:rFonts w:ascii="Times New Roman" w:cs="Times New Roman" w:hAnsi="Times New Roman"/>
                <w:b/>
                <w:bCs/>
                <w:color w:val="auto"/>
              </w:rPr>
              <w:t>Low</w:t>
            </w:r>
          </w:p>
        </w:tc>
      </w:tr>
      <w:tr w14:paraId="73D5C7F1">
        <w:tblPrEx/>
        <w:trPr/>
        <w:tc>
          <w:tcPr>
            <w:tcW w:w="2000" w:type="dxa"/>
            <w:tcBorders/>
          </w:tcPr>
          <w:p w14:paraId="0DC3C279">
            <w:pPr>
              <w:pStyle w:val="style0"/>
              <w:spacing w:after="20" w:lineRule="auto" w:line="360"/>
              <w:jc w:val="both"/>
              <w:rPr>
                <w:rFonts w:ascii="Times New Roman" w:cs="Times New Roman" w:hAnsi="Times New Roman"/>
                <w:color w:val="auto"/>
              </w:rPr>
            </w:pPr>
            <w:r>
              <w:rPr>
                <w:rFonts w:ascii="Times New Roman" w:cs="Times New Roman" w:hAnsi="Times New Roman"/>
                <w:color w:val="auto"/>
              </w:rPr>
              <w:t>Cultural</w:t>
            </w:r>
          </w:p>
        </w:tc>
        <w:tc>
          <w:tcPr>
            <w:tcW w:w="5000" w:type="dxa"/>
            <w:tcBorders/>
          </w:tcPr>
          <w:p w14:paraId="2A084744">
            <w:pPr>
              <w:pStyle w:val="style0"/>
              <w:spacing w:after="20" w:lineRule="auto" w:line="360"/>
              <w:jc w:val="both"/>
              <w:rPr>
                <w:rFonts w:ascii="Times New Roman" w:cs="Times New Roman" w:hAnsi="Times New Roman"/>
                <w:color w:val="auto"/>
              </w:rPr>
            </w:pPr>
            <w:r>
              <w:rPr>
                <w:rFonts w:ascii="Times New Roman" w:cs="Times New Roman" w:hAnsi="Times New Roman"/>
                <w:color w:val="auto"/>
              </w:rPr>
              <w:t>High power distance, collectivism and long-term orientation; strong preference for local genres</w:t>
            </w:r>
          </w:p>
        </w:tc>
        <w:tc>
          <w:tcPr>
            <w:tcW w:w="2000" w:type="dxa"/>
            <w:tcBorders/>
          </w:tcPr>
          <w:p w14:paraId="1AA2D518">
            <w:pPr>
              <w:pStyle w:val="style0"/>
              <w:spacing w:after="20" w:lineRule="auto" w:line="360"/>
              <w:jc w:val="both"/>
              <w:rPr>
                <w:rFonts w:ascii="Times New Roman" w:cs="Times New Roman" w:hAnsi="Times New Roman"/>
                <w:color w:val="auto"/>
              </w:rPr>
            </w:pPr>
            <w:r>
              <w:rPr>
                <w:rFonts w:ascii="Times New Roman" w:cs="Times New Roman" w:hAnsi="Times New Roman"/>
                <w:b/>
                <w:bCs/>
                <w:color w:val="auto"/>
              </w:rPr>
              <w:t>Low–Mixed</w:t>
            </w:r>
          </w:p>
        </w:tc>
      </w:tr>
    </w:tbl>
    <w:p w14:paraId="6B645AAA">
      <w:pPr>
        <w:pStyle w:val="style0"/>
        <w:spacing w:after="200" w:lineRule="auto" w:line="360"/>
        <w:jc w:val="center"/>
        <w:rPr>
          <w:rFonts w:ascii="Times New Roman" w:cs="Times New Roman" w:hAnsi="Times New Roman"/>
          <w:color w:val="auto"/>
        </w:rPr>
      </w:pPr>
      <w:r>
        <w:rPr>
          <w:rFonts w:ascii="Times New Roman" w:cs="Times New Roman" w:hAnsi="Times New Roman"/>
          <w:i/>
          <w:iCs/>
          <w:color w:val="auto"/>
        </w:rPr>
        <w:t>Table 1: Macro-environmental attractiveness of mainland China for a foreign digital-content entrant.</w:t>
      </w:r>
    </w:p>
    <w:bookmarkStart w:id="10" w:name="_Toc237565437"/>
    <w:p w14:paraId="03F71E2D">
      <w:pPr>
        <w:pStyle w:val="style3"/>
        <w:spacing w:lineRule="auto" w:line="360"/>
        <w:jc w:val="both"/>
        <w:rPr>
          <w:rFonts w:cs="Times New Roman"/>
        </w:rPr>
      </w:pPr>
      <w:r>
        <w:rPr>
          <w:rFonts w:cs="Times New Roman"/>
        </w:rPr>
        <w:t>Market entry through Dunning’s eclectic (OLI) paradigm</w:t>
      </w:r>
      <w:bookmarkEnd w:id="10"/>
    </w:p>
    <w:p w14:paraId="3A4D65E9">
      <w:pPr>
        <w:pStyle w:val="style0"/>
        <w:spacing w:before="120" w:after="60" w:lineRule="auto" w:line="360"/>
        <w:jc w:val="both"/>
        <w:rPr>
          <w:rFonts w:ascii="Times New Roman" w:cs="Times New Roman" w:hAnsi="Times New Roman"/>
          <w:color w:val="auto"/>
        </w:rPr>
      </w:pPr>
      <w:r>
        <w:rPr>
          <w:rFonts w:ascii="Times New Roman" w:cs="Times New Roman" w:hAnsi="Times New Roman"/>
          <w:color w:val="auto"/>
        </w:rPr>
        <w:t>According to Dunning's eclectic paradigm, profitable foreign direct investment (FDI) depends on the three advantages simultaneously: ownership (O) – advantages from the production use of firm-specific assets; location (L) – advantages arising from the location of production, such as those in the host country making production abroad worthwhile; and internalisation (I) – advantage derived from the production use of firm-specific assets that are not possible to exploit in the market, e.g., through licensing (Dunning, 2001). Wholly-owned FDI is the best mode when all three are present, and the other two modes are more appropriate when one of the three is missing. To the Netflix-China case, the use of the ‘tripod' is applied in Figure 3.</w:t>
      </w:r>
    </w:p>
    <w:p w14:paraId="464B7303">
      <w:pPr>
        <w:pStyle w:val="style0"/>
        <w:spacing w:before="120" w:after="60" w:lineRule="auto" w:line="360"/>
        <w:jc w:val="center"/>
        <w:rPr>
          <w:rFonts w:ascii="Times New Roman" w:cs="Times New Roman" w:hAnsi="Times New Roman"/>
          <w:color w:val="auto"/>
        </w:rPr>
      </w:pPr>
      <w:r>
        <w:rPr>
          <w:rFonts w:ascii="Times New Roman" w:cs="Times New Roman" w:hAnsi="Times New Roman"/>
          <w:noProof/>
          <w:color w:val="auto"/>
        </w:rPr>
        <w:drawing>
          <wp:inline distL="0" distT="0" distB="0" distR="0">
            <wp:extent cx="6053346" cy="3596640"/>
            <wp:effectExtent l="0" t="0" r="5080" b="3810"/>
            <wp:docPr id="1029" name="Picture 1099542993"/>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Picture 1099542993"/>
                    <pic:cNvPicPr/>
                  </pic:nvPicPr>
                  <pic:blipFill>
                    <a:blip r:embed="rId5" cstate="print"/>
                    <a:srcRect l="0" t="8827" r="0" b="0"/>
                    <a:stretch/>
                  </pic:blipFill>
                  <pic:spPr>
                    <a:xfrm rot="0">
                      <a:off x="0" y="0"/>
                      <a:ext cx="6053346" cy="3596640"/>
                    </a:xfrm>
                    <a:prstGeom prst="rect"/>
                    <a:ln>
                      <a:noFill/>
                    </a:ln>
                  </pic:spPr>
                </pic:pic>
              </a:graphicData>
            </a:graphic>
          </wp:inline>
        </w:drawing>
      </w:r>
    </w:p>
    <w:p w14:paraId="57880BFC">
      <w:pPr>
        <w:pStyle w:val="style0"/>
        <w:spacing w:after="200" w:lineRule="auto" w:line="360"/>
        <w:jc w:val="center"/>
        <w:rPr>
          <w:rFonts w:ascii="Times New Roman" w:cs="Times New Roman" w:hAnsi="Times New Roman"/>
          <w:color w:val="auto"/>
        </w:rPr>
      </w:pPr>
      <w:r>
        <w:rPr>
          <w:rFonts w:ascii="Times New Roman" w:cs="Times New Roman" w:hAnsi="Times New Roman"/>
          <w:i/>
          <w:iCs/>
          <w:color w:val="auto"/>
        </w:rPr>
        <w:t>Figure 3: Dunning’s OLI paradigm applied to Netflix’s prospective China entry. Source: Dunning (2001).</w:t>
      </w:r>
    </w:p>
    <w:p w14:paraId="1940B0D8">
      <w:pPr>
        <w:pStyle w:val="style0"/>
        <w:spacing w:before="120" w:after="60" w:lineRule="auto" w:line="360"/>
        <w:jc w:val="both"/>
        <w:rPr>
          <w:rFonts w:ascii="Times New Roman" w:cs="Times New Roman" w:hAnsi="Times New Roman"/>
          <w:color w:val="auto"/>
        </w:rPr>
      </w:pPr>
    </w:p>
    <w:p w14:paraId="61CD1054">
      <w:pPr>
        <w:pStyle w:val="style0"/>
        <w:spacing w:before="120" w:after="60" w:lineRule="auto" w:line="360"/>
        <w:jc w:val="both"/>
        <w:rPr>
          <w:rFonts w:ascii="Times New Roman" w:cs="Times New Roman" w:hAnsi="Times New Roman"/>
          <w:color w:val="auto"/>
        </w:rPr>
      </w:pPr>
      <w:r>
        <w:rPr>
          <w:rFonts w:ascii="Times New Roman" w:cs="Times New Roman" w:hAnsi="Times New Roman"/>
          <w:color w:val="auto"/>
        </w:rPr>
        <w:t xml:space="preserve">It would be interesting to place Netflix's motivation into the typology of drivers of FDI as outlined by Dunning. Dunning made a classification of market seeking, efficiency seeking, resource seeking and strategic-asset seeking investment (Dunning, 2001). Netflix's desire to enter the Chinese market is in no way an efficiency-seeking or a resource-seeking one; it's a market-seeking one, because the market is so large. This is important because market-seeking FDI is particularly sensitive to the host government's policy; the value of the location is entirely dependent on the fact that it can serve the local market, and a governmental policy that denies </w:t>
      </w:r>
      <w:r>
        <w:rPr>
          <w:rFonts w:ascii="Times New Roman" w:cs="Times New Roman" w:hAnsi="Times New Roman"/>
          <w:color w:val="auto"/>
        </w:rPr>
        <w:t>access to the local market hits right at the rationale of the investment. This is precisely the trend of the following sub-analysis.</w:t>
      </w:r>
    </w:p>
    <w:p w14:paraId="12F859C2">
      <w:pPr>
        <w:pStyle w:val="style0"/>
        <w:spacing w:before="120" w:after="60" w:lineRule="auto" w:line="360"/>
        <w:jc w:val="both"/>
        <w:rPr>
          <w:rFonts w:ascii="Times New Roman" w:cs="Times New Roman" w:hAnsi="Times New Roman"/>
          <w:color w:val="auto"/>
        </w:rPr>
      </w:pPr>
      <w:r>
        <w:rPr>
          <w:rFonts w:ascii="Times New Roman" w:cs="Times New Roman" w:hAnsi="Times New Roman"/>
          <w:b/>
          <w:bCs/>
          <w:color w:val="auto"/>
        </w:rPr>
        <w:t>Ownership</w:t>
      </w:r>
      <w:r>
        <w:rPr>
          <w:rFonts w:ascii="Times New Roman" w:cs="Times New Roman" w:hAnsi="Times New Roman"/>
          <w:color w:val="auto"/>
        </w:rPr>
        <w:t>. Netflix has significant O-advantages: a worldwide recognized brand, 325-million subscribers, an algorithm that provides the best recommendations and an extensive and exclusive library of original content (Netflix, Inc 2026; Onyusheva and Baker 2021). These are exactly the ownership benefits Dunning (2001) noted that are prerequisites for internationalisation as a function of transactions and assets. But in China they are somewhat muted by the company's relatively small booklet compared to iQIYI and Tencent Video, and the lack of the ability to build up its own viewing data, which is its most important ownership asset, in China, where it is not a direct player. In other words, some of the advantages of Netflix ownership are built into the direct model of operation, and are not readily transferable to a presence in the form of a license.</w:t>
      </w:r>
    </w:p>
    <w:p w14:paraId="5C9828E3">
      <w:pPr>
        <w:pStyle w:val="style0"/>
        <w:spacing w:before="120" w:after="60" w:lineRule="auto" w:line="360"/>
        <w:jc w:val="both"/>
        <w:rPr>
          <w:rFonts w:ascii="Times New Roman" w:cs="Times New Roman" w:hAnsi="Times New Roman"/>
          <w:color w:val="auto"/>
        </w:rPr>
      </w:pPr>
      <w:r>
        <w:rPr>
          <w:rFonts w:ascii="Times New Roman" w:cs="Times New Roman" w:hAnsi="Times New Roman"/>
          <w:b/>
          <w:bCs/>
          <w:color w:val="auto"/>
        </w:rPr>
        <w:t>Location.</w:t>
      </w:r>
      <w:r>
        <w:rPr>
          <w:rFonts w:ascii="Times New Roman" w:cs="Times New Roman" w:hAnsi="Times New Roman"/>
          <w:color w:val="auto"/>
        </w:rPr>
        <w:t xml:space="preserve"> The L-advantages offered by China can seem very attractive when viewed from the perspective of market size, but are effectively eliminated through policy. The 30% local content rule, the licensing and censorship system, data-localisation policies and the deep-rooted duopoly-plus make this place look like a good one to have, but it is not, for a foreign-controlled platform (Rui, 2017; Statista, 2026). This is Dunning's institutional explanation of location, which gained more and more emphasis in later re-statements, which outweighs the raw economic attractiveness.</w:t>
      </w:r>
    </w:p>
    <w:p w14:paraId="6CE4D51F">
      <w:pPr>
        <w:pStyle w:val="style0"/>
        <w:spacing w:before="120" w:after="60" w:lineRule="auto" w:line="360"/>
        <w:jc w:val="both"/>
        <w:rPr>
          <w:rFonts w:ascii="Times New Roman" w:cs="Times New Roman" w:hAnsi="Times New Roman"/>
          <w:color w:val="auto"/>
        </w:rPr>
      </w:pPr>
      <w:r>
        <w:rPr>
          <w:rFonts w:ascii="Times New Roman" w:cs="Times New Roman" w:hAnsi="Times New Roman"/>
          <w:b/>
          <w:bCs/>
          <w:color w:val="auto"/>
        </w:rPr>
        <w:t>Internalisation.</w:t>
      </w:r>
      <w:r>
        <w:rPr>
          <w:rFonts w:ascii="Times New Roman" w:cs="Times New Roman" w:hAnsi="Times New Roman"/>
          <w:color w:val="auto"/>
        </w:rPr>
        <w:t xml:space="preserve"> In this is the ultimate limitation. Netflix's strategy is to capture value for itself by holding onto its own DTC relationship and data, and to guard against threats to its creative control and proprietary information. However, Chinese law actually restricts foreign equity control over an online-streaming platform, which means that the I-advantage can't be exercised. If a firm has O-advantages but not L- or I-advantages, then Dunning's logic would suggest that they would move away from FDI and toward the non-equity contractual mode – in this case, the licensing of content to a compliant local partner. The OLI synthesis thus unambiguously moves away from complete ownership. This mirrors the eclectic entry-mode logic that where ownership advantages are strong but location and internalisation advantages are weak or blocked, firms should exploit their assets through non-equity contractual modes rather than foreign direct investment (Hill, Hwang and Kim, 1990; Kim and Hwang, 1992).</w:t>
      </w:r>
    </w:p>
    <w:bookmarkStart w:id="11" w:name="_Toc237565438"/>
    <w:p w14:paraId="545CCA1D">
      <w:pPr>
        <w:pStyle w:val="style2"/>
        <w:rPr/>
      </w:pPr>
      <w:r>
        <w:t>Entry-Mode Strategy and Strategic Synthesis</w:t>
      </w:r>
      <w:bookmarkEnd w:id="11"/>
    </w:p>
    <w:bookmarkStart w:id="12" w:name="_Toc237565439"/>
    <w:p w14:paraId="06C2A816">
      <w:pPr>
        <w:pStyle w:val="style3"/>
        <w:rPr/>
      </w:pPr>
      <w:r>
        <w:t>Historical pattern recognition</w:t>
      </w:r>
      <w:bookmarkEnd w:id="12"/>
    </w:p>
    <w:p w14:paraId="74B6F688">
      <w:pPr>
        <w:pStyle w:val="style0"/>
        <w:spacing w:before="120" w:after="60" w:lineRule="auto" w:line="360"/>
        <w:jc w:val="both"/>
        <w:rPr>
          <w:rFonts w:ascii="Times New Roman" w:cs="Times New Roman" w:hAnsi="Times New Roman"/>
          <w:color w:val="auto"/>
        </w:rPr>
      </w:pPr>
      <w:r>
        <w:rPr>
          <w:rFonts w:ascii="Times New Roman" w:cs="Times New Roman" w:hAnsi="Times New Roman"/>
          <w:color w:val="auto"/>
        </w:rPr>
        <w:t>Netflix's most successful historical approach has been in the form of direct-to-consumer market entry with a wholly owned brand in the form of a single global platform: first, it launched its own streaming service in the first country it could access (geographically and culturally close Canada in 2010) before rolling out on a phased basis to Latin America and some Western European countries, and finally by a near-simultaneous ‘big bang' in a number of additional 130 countries in 2016 (Onyusheva and Baker, 2021). This mode is used to maximize control and to get the entire customer relationship, its data. Most importantly, Netflix in the two markets where there was no direct entry (and China foremost) settled for a non-equity content-licensing deal, agreeing to distribute a limited number of originals to iQIYI (iQIYI, 2017), a company that is highly influential in China. This was explicitly ‘modest in scope' and did not become a lasting presence.</w:t>
      </w:r>
    </w:p>
    <w:p w14:paraId="2A1CB57F">
      <w:pPr>
        <w:pStyle w:val="style0"/>
        <w:spacing w:before="120" w:after="60" w:lineRule="auto" w:line="360"/>
        <w:jc w:val="both"/>
        <w:rPr>
          <w:rFonts w:ascii="Times New Roman" w:cs="Times New Roman" w:hAnsi="Times New Roman"/>
          <w:color w:val="auto"/>
        </w:rPr>
      </w:pPr>
      <w:r>
        <w:rPr>
          <w:rFonts w:ascii="Times New Roman" w:cs="Times New Roman" w:hAnsi="Times New Roman"/>
          <w:color w:val="auto"/>
        </w:rPr>
        <w:t xml:space="preserve">This historical trend suggests that the typical firm has a definite preference for high-control equity entry, but when institutions make it difficult or impossible to do so, the firm will show marked practicality. It is also logical that it expanded gradually and in a step-by-step manner first to markets in lower psychic distance, as is suggested by the Uppsala model of incremental internationalisation, which suggests that firms develop knowledge and allocate resources incrementally as they learn in a step-by-step manner (Johanson and Vahlne, 2009; Onyusheva and Baker, 2021).The model originates in the observation that firms typically begin in markets of lower psychic distance and deepen commitment only as market knowledge accumulates, which helps explain both Netflix’s phased global rollout and its reluctance to commit heavily to institutionally distant China (Johanson and Vahlne, 1977). Outside of that, the Chinese market is the biggest exception: the psychic and institutional divide is so wide and the entry hurdles are so high that Netflix's </w:t>
      </w:r>
      <w:r>
        <w:rPr>
          <w:rFonts w:ascii="Times New Roman" w:cs="Times New Roman" w:hAnsi="Times New Roman"/>
          <w:color w:val="auto"/>
        </w:rPr>
        <w:t>amount</w:t>
      </w:r>
      <w:r>
        <w:rPr>
          <w:rFonts w:ascii="Times New Roman" w:cs="Times New Roman" w:hAnsi="Times New Roman"/>
          <w:color w:val="auto"/>
        </w:rPr>
        <w:t xml:space="preserve"> of resources has been enough only to secure the lightest toehold, if any, on the market. The historical record thus shows actual empirical evidence that the firm's preferred approach does not resonate in China, and also that it preferred a licensing approach over an investment approach in similar situations.</w:t>
      </w:r>
    </w:p>
    <w:bookmarkStart w:id="13" w:name="_Toc237565440"/>
    <w:p w14:paraId="2A6B86CE">
      <w:pPr>
        <w:pStyle w:val="style3"/>
        <w:rPr/>
      </w:pPr>
      <w:r>
        <w:t>Strategic fit and justification</w:t>
      </w:r>
      <w:bookmarkEnd w:id="13"/>
    </w:p>
    <w:p w14:paraId="7A1F531E">
      <w:pPr>
        <w:pStyle w:val="style0"/>
        <w:spacing w:before="120" w:after="60" w:lineRule="auto" w:line="360"/>
        <w:jc w:val="both"/>
        <w:rPr>
          <w:rFonts w:ascii="Times New Roman" w:cs="Times New Roman" w:hAnsi="Times New Roman"/>
          <w:color w:val="auto"/>
        </w:rPr>
      </w:pPr>
      <w:r>
        <w:rPr>
          <w:rFonts w:ascii="Times New Roman" w:cs="Times New Roman" w:hAnsi="Times New Roman"/>
          <w:color w:val="auto"/>
        </w:rPr>
        <w:t xml:space="preserve">A central question is whether a wholly-owned form of history is suitable for China. On the evidence, no. In direct entry, it requires the very same freedoms that China does not offer: an independent platform, an unabridged catalogue and control of user data. The principal categories of risk must be considered in a comprehensive justification. Political risk is high: content approval is at the discretion of the authorities and can be affected by the political climate of the moment; and as the House of Cards model suggests, it is always possible to </w:t>
      </w:r>
      <w:r>
        <w:rPr>
          <w:rFonts w:ascii="Times New Roman" w:cs="Times New Roman" w:hAnsi="Times New Roman"/>
          <w:color w:val="auto"/>
        </w:rPr>
        <w:t>reverse decisions at the drop of a hat (Reuters, 2017). The Chinese SVOD market is highly competitive because of the low ARPU and the high content-acquisition costs to compete, thus raising the financial risk. Data-localisation requirements and the need to establish or partner infrastructure, payment systems, and comply with censorship are operational risk factors. Against these, the control that comes with a "whole ownership" is in large parts illusory in China, as the state effectively controls the levers – licensing, content approval and data – on which ownership rests.</w:t>
      </w:r>
    </w:p>
    <w:p w14:paraId="1EC48E47">
      <w:pPr>
        <w:pStyle w:val="style0"/>
        <w:spacing w:before="120" w:after="60" w:lineRule="auto" w:line="360"/>
        <w:jc w:val="both"/>
        <w:rPr>
          <w:rFonts w:ascii="Times New Roman" w:cs="Times New Roman" w:hAnsi="Times New Roman"/>
          <w:color w:val="auto"/>
        </w:rPr>
      </w:pPr>
      <w:r>
        <w:rPr>
          <w:rFonts w:ascii="Times New Roman" w:cs="Times New Roman" w:hAnsi="Times New Roman"/>
          <w:color w:val="auto"/>
        </w:rPr>
        <w:t>The principal modes are evaluated against the control, political-legal risk, and strategic fit continuum in Table 2, and the control–commitment–risk continuum is presented graphically in Figure 4. The two together make it clear why the mode of response that maximises control is also the mode that maximises risk and commitment in return to the least assured host in this particular host environment. It is in line with empirical findings that firms tend to move away from high-commitment equity modes and to high-commitment contractual modes as host-market distance increases (Moalla and Mayrhofer, 2020). Comparative evidence from streaming specifically supports this: rather than entering national markets through wholly-owned platforms, Netflix has repeatedly established itself through collaborations with local pay-television and over-the-top operators, using partnership as the mechanism for accessing national audiences (Wayne and Castro, 2021).</w:t>
      </w:r>
    </w:p>
    <w:p w14:paraId="7592EE51">
      <w:pPr>
        <w:pStyle w:val="style0"/>
        <w:spacing w:before="120" w:after="60" w:lineRule="auto" w:line="360"/>
        <w:jc w:val="center"/>
        <w:rPr>
          <w:rFonts w:ascii="Times New Roman" w:cs="Times New Roman" w:hAnsi="Times New Roman"/>
          <w:color w:val="auto"/>
        </w:rPr>
      </w:pPr>
      <w:r>
        <w:rPr>
          <w:rFonts w:ascii="Times New Roman" w:cs="Times New Roman" w:hAnsi="Times New Roman"/>
          <w:noProof/>
          <w:color w:val="auto"/>
        </w:rPr>
        <w:drawing>
          <wp:inline distL="0" distT="0" distB="0" distR="0">
            <wp:extent cx="4238625" cy="2266950"/>
            <wp:effectExtent l="0" t="0" r="9525" b="0"/>
            <wp:docPr id="1030" name="Picture 197182228"/>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Picture 197182228"/>
                    <pic:cNvPicPr/>
                  </pic:nvPicPr>
                  <pic:blipFill>
                    <a:blip r:embed="rId6" cstate="print"/>
                    <a:srcRect l="0" t="6299" r="0" b="0"/>
                    <a:stretch/>
                  </pic:blipFill>
                  <pic:spPr>
                    <a:xfrm rot="0">
                      <a:off x="0" y="0"/>
                      <a:ext cx="4238625" cy="2266950"/>
                    </a:xfrm>
                    <a:prstGeom prst="rect"/>
                    <a:ln>
                      <a:noFill/>
                    </a:ln>
                  </pic:spPr>
                </pic:pic>
              </a:graphicData>
            </a:graphic>
          </wp:inline>
        </w:drawing>
      </w:r>
    </w:p>
    <w:p w14:paraId="20CD7FEE">
      <w:pPr>
        <w:pStyle w:val="style0"/>
        <w:spacing w:after="200" w:lineRule="auto" w:line="360"/>
        <w:jc w:val="center"/>
        <w:rPr>
          <w:rFonts w:ascii="Times New Roman" w:cs="Times New Roman" w:hAnsi="Times New Roman"/>
          <w:color w:val="auto"/>
        </w:rPr>
      </w:pPr>
      <w:r>
        <w:rPr>
          <w:rFonts w:ascii="Times New Roman" w:cs="Times New Roman" w:hAnsi="Times New Roman"/>
          <w:i/>
          <w:iCs/>
          <w:color w:val="auto"/>
        </w:rPr>
        <w:t>Figure 4: Entry-mode continuum – control, resource commitment and risk trade-offs.</w:t>
      </w:r>
    </w:p>
    <w:tbl>
      <w:tblPr>
        <w:tblStyle w:val="style4102"/>
        <w:tblW w:w="9000" w:type="dxa"/>
        <w:tblLook w:val="04A0" w:firstRow="1" w:lastRow="0" w:firstColumn="1" w:lastColumn="0" w:noHBand="0" w:noVBand="1"/>
      </w:tblPr>
      <w:tblGrid>
        <w:gridCol w:w="1900"/>
        <w:gridCol w:w="1500"/>
        <w:gridCol w:w="2100"/>
        <w:gridCol w:w="3500"/>
      </w:tblGrid>
      <w:tr w14:paraId="03EFC626">
        <w:trPr/>
        <w:tc>
          <w:tcPr>
            <w:tcW w:w="1900" w:type="dxa"/>
            <w:tcBorders/>
          </w:tcPr>
          <w:p w14:paraId="06B19386">
            <w:pPr>
              <w:pStyle w:val="style0"/>
              <w:spacing w:after="20" w:lineRule="auto" w:line="360"/>
              <w:jc w:val="both"/>
              <w:rPr>
                <w:rFonts w:ascii="Times New Roman" w:cs="Times New Roman" w:hAnsi="Times New Roman"/>
                <w:color w:val="auto"/>
              </w:rPr>
            </w:pPr>
            <w:r>
              <w:rPr>
                <w:rFonts w:ascii="Times New Roman" w:cs="Times New Roman" w:hAnsi="Times New Roman"/>
                <w:color w:val="auto"/>
              </w:rPr>
              <w:t>Entry mode</w:t>
            </w:r>
          </w:p>
        </w:tc>
        <w:tc>
          <w:tcPr>
            <w:tcW w:w="1500" w:type="dxa"/>
            <w:tcBorders/>
          </w:tcPr>
          <w:p w14:paraId="657528C9">
            <w:pPr>
              <w:pStyle w:val="style0"/>
              <w:spacing w:after="20" w:lineRule="auto" w:line="360"/>
              <w:jc w:val="both"/>
              <w:rPr>
                <w:rFonts w:ascii="Times New Roman" w:cs="Times New Roman" w:hAnsi="Times New Roman"/>
                <w:color w:val="auto"/>
              </w:rPr>
            </w:pPr>
            <w:r>
              <w:rPr>
                <w:rFonts w:ascii="Times New Roman" w:cs="Times New Roman" w:hAnsi="Times New Roman"/>
                <w:color w:val="auto"/>
              </w:rPr>
              <w:t>Control</w:t>
            </w:r>
          </w:p>
        </w:tc>
        <w:tc>
          <w:tcPr>
            <w:tcW w:w="2100" w:type="dxa"/>
            <w:tcBorders/>
          </w:tcPr>
          <w:p w14:paraId="5AAA8E32">
            <w:pPr>
              <w:pStyle w:val="style0"/>
              <w:spacing w:after="20" w:lineRule="auto" w:line="360"/>
              <w:jc w:val="both"/>
              <w:rPr>
                <w:rFonts w:ascii="Times New Roman" w:cs="Times New Roman" w:hAnsi="Times New Roman"/>
                <w:color w:val="auto"/>
              </w:rPr>
            </w:pPr>
            <w:r>
              <w:rPr>
                <w:rFonts w:ascii="Times New Roman" w:cs="Times New Roman" w:hAnsi="Times New Roman"/>
                <w:color w:val="auto"/>
              </w:rPr>
              <w:t>Political / legal risk</w:t>
            </w:r>
          </w:p>
        </w:tc>
        <w:tc>
          <w:tcPr>
            <w:tcW w:w="3500" w:type="dxa"/>
            <w:tcBorders/>
          </w:tcPr>
          <w:p w14:paraId="5C1DF293">
            <w:pPr>
              <w:pStyle w:val="style0"/>
              <w:spacing w:after="20" w:lineRule="auto" w:line="360"/>
              <w:jc w:val="both"/>
              <w:rPr>
                <w:rFonts w:ascii="Times New Roman" w:cs="Times New Roman" w:hAnsi="Times New Roman"/>
                <w:color w:val="auto"/>
              </w:rPr>
            </w:pPr>
            <w:r>
              <w:rPr>
                <w:rFonts w:ascii="Times New Roman" w:cs="Times New Roman" w:hAnsi="Times New Roman"/>
                <w:color w:val="auto"/>
              </w:rPr>
              <w:t>Strategic fit for China</w:t>
            </w:r>
          </w:p>
        </w:tc>
      </w:tr>
      <w:tr w14:paraId="4296DFC4">
        <w:tblPrEx/>
        <w:trPr/>
        <w:tc>
          <w:tcPr>
            <w:tcW w:w="1900" w:type="dxa"/>
            <w:tcBorders/>
          </w:tcPr>
          <w:p w14:paraId="209163FE">
            <w:pPr>
              <w:pStyle w:val="style0"/>
              <w:spacing w:after="20" w:lineRule="auto" w:line="360"/>
              <w:jc w:val="both"/>
              <w:rPr>
                <w:rFonts w:ascii="Times New Roman" w:cs="Times New Roman" w:hAnsi="Times New Roman"/>
                <w:color w:val="auto"/>
              </w:rPr>
            </w:pPr>
            <w:r>
              <w:rPr>
                <w:rFonts w:ascii="Times New Roman" w:cs="Times New Roman" w:hAnsi="Times New Roman"/>
                <w:color w:val="auto"/>
              </w:rPr>
              <w:t>Wholly-owned FDI</w:t>
            </w:r>
          </w:p>
        </w:tc>
        <w:tc>
          <w:tcPr>
            <w:tcW w:w="1500" w:type="dxa"/>
            <w:tcBorders/>
          </w:tcPr>
          <w:p w14:paraId="04B5C5FE">
            <w:pPr>
              <w:pStyle w:val="style0"/>
              <w:spacing w:after="20" w:lineRule="auto" w:line="360"/>
              <w:jc w:val="both"/>
              <w:rPr>
                <w:rFonts w:ascii="Times New Roman" w:cs="Times New Roman" w:hAnsi="Times New Roman"/>
                <w:color w:val="auto"/>
              </w:rPr>
            </w:pPr>
            <w:r>
              <w:rPr>
                <w:rFonts w:ascii="Times New Roman" w:cs="Times New Roman" w:hAnsi="Times New Roman"/>
                <w:color w:val="auto"/>
              </w:rPr>
              <w:t>Very high</w:t>
            </w:r>
          </w:p>
        </w:tc>
        <w:tc>
          <w:tcPr>
            <w:tcW w:w="2100" w:type="dxa"/>
            <w:tcBorders/>
          </w:tcPr>
          <w:p w14:paraId="4C795606">
            <w:pPr>
              <w:pStyle w:val="style0"/>
              <w:spacing w:after="20" w:lineRule="auto" w:line="360"/>
              <w:jc w:val="both"/>
              <w:rPr>
                <w:rFonts w:ascii="Times New Roman" w:cs="Times New Roman" w:hAnsi="Times New Roman"/>
                <w:color w:val="auto"/>
              </w:rPr>
            </w:pPr>
            <w:r>
              <w:rPr>
                <w:rFonts w:ascii="Times New Roman" w:cs="Times New Roman" w:hAnsi="Times New Roman"/>
                <w:color w:val="auto"/>
              </w:rPr>
              <w:t>Prohibitive</w:t>
            </w:r>
          </w:p>
        </w:tc>
        <w:tc>
          <w:tcPr>
            <w:tcW w:w="3500" w:type="dxa"/>
            <w:tcBorders/>
          </w:tcPr>
          <w:p w14:paraId="65E5F939">
            <w:pPr>
              <w:pStyle w:val="style0"/>
              <w:spacing w:after="20" w:lineRule="auto" w:line="360"/>
              <w:jc w:val="both"/>
              <w:rPr>
                <w:rFonts w:ascii="Times New Roman" w:cs="Times New Roman" w:hAnsi="Times New Roman"/>
                <w:color w:val="auto"/>
              </w:rPr>
            </w:pPr>
            <w:r>
              <w:rPr>
                <w:rFonts w:ascii="Times New Roman" w:cs="Times New Roman" w:hAnsi="Times New Roman"/>
                <w:color w:val="auto"/>
              </w:rPr>
              <w:t>Not viable – foreign equity control of streaming effectively barred</w:t>
            </w:r>
          </w:p>
        </w:tc>
      </w:tr>
      <w:tr w14:paraId="2D15DD00">
        <w:tblPrEx/>
        <w:trPr/>
        <w:tc>
          <w:tcPr>
            <w:tcW w:w="1900" w:type="dxa"/>
            <w:tcBorders/>
          </w:tcPr>
          <w:p w14:paraId="311336CC">
            <w:pPr>
              <w:pStyle w:val="style0"/>
              <w:spacing w:after="20" w:lineRule="auto" w:line="360"/>
              <w:jc w:val="both"/>
              <w:rPr>
                <w:rFonts w:ascii="Times New Roman" w:cs="Times New Roman" w:hAnsi="Times New Roman"/>
                <w:color w:val="auto"/>
              </w:rPr>
            </w:pPr>
            <w:r>
              <w:rPr>
                <w:rFonts w:ascii="Times New Roman" w:cs="Times New Roman" w:hAnsi="Times New Roman"/>
                <w:color w:val="auto"/>
              </w:rPr>
              <w:t>Joint venture</w:t>
            </w:r>
          </w:p>
        </w:tc>
        <w:tc>
          <w:tcPr>
            <w:tcW w:w="1500" w:type="dxa"/>
            <w:tcBorders/>
          </w:tcPr>
          <w:p w14:paraId="492A0CB8">
            <w:pPr>
              <w:pStyle w:val="style0"/>
              <w:spacing w:after="20" w:lineRule="auto" w:line="360"/>
              <w:jc w:val="both"/>
              <w:rPr>
                <w:rFonts w:ascii="Times New Roman" w:cs="Times New Roman" w:hAnsi="Times New Roman"/>
                <w:color w:val="auto"/>
              </w:rPr>
            </w:pPr>
            <w:r>
              <w:rPr>
                <w:rFonts w:ascii="Times New Roman" w:cs="Times New Roman" w:hAnsi="Times New Roman"/>
                <w:color w:val="auto"/>
              </w:rPr>
              <w:t>Medium</w:t>
            </w:r>
          </w:p>
        </w:tc>
        <w:tc>
          <w:tcPr>
            <w:tcW w:w="2100" w:type="dxa"/>
            <w:tcBorders/>
          </w:tcPr>
          <w:p w14:paraId="6D36DC29">
            <w:pPr>
              <w:pStyle w:val="style0"/>
              <w:spacing w:after="20" w:lineRule="auto" w:line="360"/>
              <w:jc w:val="both"/>
              <w:rPr>
                <w:rFonts w:ascii="Times New Roman" w:cs="Times New Roman" w:hAnsi="Times New Roman"/>
                <w:color w:val="auto"/>
              </w:rPr>
            </w:pPr>
            <w:r>
              <w:rPr>
                <w:rFonts w:ascii="Times New Roman" w:cs="Times New Roman" w:hAnsi="Times New Roman"/>
                <w:color w:val="auto"/>
              </w:rPr>
              <w:t>High</w:t>
            </w:r>
          </w:p>
        </w:tc>
        <w:tc>
          <w:tcPr>
            <w:tcW w:w="3500" w:type="dxa"/>
            <w:tcBorders/>
          </w:tcPr>
          <w:p w14:paraId="6CA9119E">
            <w:pPr>
              <w:pStyle w:val="style0"/>
              <w:spacing w:after="20" w:lineRule="auto" w:line="360"/>
              <w:jc w:val="both"/>
              <w:rPr>
                <w:rFonts w:ascii="Times New Roman" w:cs="Times New Roman" w:hAnsi="Times New Roman"/>
                <w:color w:val="auto"/>
              </w:rPr>
            </w:pPr>
            <w:r>
              <w:rPr>
                <w:rFonts w:ascii="Times New Roman" w:cs="Times New Roman" w:hAnsi="Times New Roman"/>
                <w:color w:val="auto"/>
              </w:rPr>
              <w:t>Constrained – quota, censorship and data rules still bind; control diluted</w:t>
            </w:r>
          </w:p>
        </w:tc>
      </w:tr>
      <w:tr w14:paraId="6935A1F3">
        <w:tblPrEx/>
        <w:trPr/>
        <w:tc>
          <w:tcPr>
            <w:tcW w:w="1900" w:type="dxa"/>
            <w:tcBorders/>
          </w:tcPr>
          <w:p w14:paraId="3ACC138E">
            <w:pPr>
              <w:pStyle w:val="style0"/>
              <w:spacing w:after="20" w:lineRule="auto" w:line="360"/>
              <w:jc w:val="both"/>
              <w:rPr>
                <w:rFonts w:ascii="Times New Roman" w:cs="Times New Roman" w:hAnsi="Times New Roman"/>
                <w:color w:val="auto"/>
              </w:rPr>
            </w:pPr>
            <w:r>
              <w:rPr>
                <w:rFonts w:ascii="Times New Roman" w:cs="Times New Roman" w:hAnsi="Times New Roman"/>
                <w:color w:val="auto"/>
              </w:rPr>
              <w:t>Content licensing</w:t>
            </w:r>
          </w:p>
        </w:tc>
        <w:tc>
          <w:tcPr>
            <w:tcW w:w="1500" w:type="dxa"/>
            <w:tcBorders/>
          </w:tcPr>
          <w:p w14:paraId="4216FE29">
            <w:pPr>
              <w:pStyle w:val="style0"/>
              <w:spacing w:after="20" w:lineRule="auto" w:line="360"/>
              <w:jc w:val="both"/>
              <w:rPr>
                <w:rFonts w:ascii="Times New Roman" w:cs="Times New Roman" w:hAnsi="Times New Roman"/>
                <w:color w:val="auto"/>
              </w:rPr>
            </w:pPr>
            <w:r>
              <w:rPr>
                <w:rFonts w:ascii="Times New Roman" w:cs="Times New Roman" w:hAnsi="Times New Roman"/>
                <w:color w:val="auto"/>
              </w:rPr>
              <w:t>Low</w:t>
            </w:r>
          </w:p>
        </w:tc>
        <w:tc>
          <w:tcPr>
            <w:tcW w:w="2100" w:type="dxa"/>
            <w:tcBorders/>
          </w:tcPr>
          <w:p w14:paraId="072140FE">
            <w:pPr>
              <w:pStyle w:val="style0"/>
              <w:spacing w:after="20" w:lineRule="auto" w:line="360"/>
              <w:jc w:val="both"/>
              <w:rPr>
                <w:rFonts w:ascii="Times New Roman" w:cs="Times New Roman" w:hAnsi="Times New Roman"/>
                <w:color w:val="auto"/>
              </w:rPr>
            </w:pPr>
            <w:r>
              <w:rPr>
                <w:rFonts w:ascii="Times New Roman" w:cs="Times New Roman" w:hAnsi="Times New Roman"/>
                <w:color w:val="auto"/>
              </w:rPr>
              <w:t>Lower (partner bears compliance)</w:t>
            </w:r>
          </w:p>
        </w:tc>
        <w:tc>
          <w:tcPr>
            <w:tcW w:w="3500" w:type="dxa"/>
            <w:tcBorders/>
          </w:tcPr>
          <w:p w14:paraId="21C6F870">
            <w:pPr>
              <w:pStyle w:val="style0"/>
              <w:spacing w:after="20" w:lineRule="auto" w:line="360"/>
              <w:jc w:val="both"/>
              <w:rPr>
                <w:rFonts w:ascii="Times New Roman" w:cs="Times New Roman" w:hAnsi="Times New Roman"/>
                <w:color w:val="auto"/>
              </w:rPr>
            </w:pPr>
            <w:r>
              <w:rPr>
                <w:rFonts w:ascii="Times New Roman" w:cs="Times New Roman" w:hAnsi="Times New Roman"/>
                <w:color w:val="auto"/>
              </w:rPr>
              <w:t>Viable – monetises IP while local partner absorbs regulatory burden</w:t>
            </w:r>
          </w:p>
        </w:tc>
      </w:tr>
    </w:tbl>
    <w:p w14:paraId="4992C922">
      <w:pPr>
        <w:pStyle w:val="style0"/>
        <w:spacing w:after="200" w:lineRule="auto" w:line="360"/>
        <w:jc w:val="center"/>
        <w:rPr>
          <w:rFonts w:ascii="Times New Roman" w:cs="Times New Roman" w:hAnsi="Times New Roman"/>
          <w:color w:val="auto"/>
        </w:rPr>
      </w:pPr>
      <w:r>
        <w:rPr>
          <w:rFonts w:ascii="Times New Roman" w:cs="Times New Roman" w:hAnsi="Times New Roman"/>
          <w:i/>
          <w:iCs/>
          <w:color w:val="auto"/>
        </w:rPr>
        <w:t>Table 2: Comparative evaluation of entry modes for Netflix in mainland China.</w:t>
      </w:r>
    </w:p>
    <w:p w14:paraId="1F3AFFBC">
      <w:pPr>
        <w:pStyle w:val="style0"/>
        <w:spacing w:before="120" w:after="60" w:lineRule="auto" w:line="360"/>
        <w:jc w:val="both"/>
        <w:rPr>
          <w:rFonts w:ascii="Times New Roman" w:cs="Times New Roman" w:hAnsi="Times New Roman"/>
          <w:color w:val="auto"/>
        </w:rPr>
      </w:pPr>
      <w:r>
        <w:rPr>
          <w:rFonts w:ascii="Times New Roman" w:cs="Times New Roman" w:hAnsi="Times New Roman"/>
          <w:color w:val="auto"/>
        </w:rPr>
        <w:t>Considering these trade-offs, the only available way is a non-equity content-licensing mode, which aligns Netflix's goals with host constraints. It demands hardly any resource investment, presents the company with a small political and financial risk (the local partner has to deal with compliance and censorship), and lets Netflix still profit from its possession advantage: content in the biggest market in the world. The downside is significant loss of control: Netflix gives up the first-party platform and its associated behavioural data, the brand-building value of relationship with customers. However, as the OLI synthesis demonstrates, the quest to hold on to that control through FDI is just impossible under existing policy. A staged approach – deepening licensing partnerships while watching and waiting for the regulatory regime to loosen up – gives the foreign content industry some flexibility and avoids sunk capital in a market that can, as history has proven, expel foreign content on a whim (Reuters, 2017).</w:t>
      </w:r>
    </w:p>
    <w:p w14:paraId="357195BB">
      <w:pPr>
        <w:pStyle w:val="style0"/>
        <w:spacing w:before="120" w:after="60" w:lineRule="auto" w:line="360"/>
        <w:jc w:val="both"/>
        <w:rPr>
          <w:rFonts w:ascii="Times New Roman" w:cs="Times New Roman" w:hAnsi="Times New Roman"/>
          <w:color w:val="auto"/>
        </w:rPr>
      </w:pPr>
      <w:r>
        <w:rPr>
          <w:rFonts w:ascii="Times New Roman" w:cs="Times New Roman" w:hAnsi="Times New Roman"/>
          <w:color w:val="auto"/>
        </w:rPr>
        <w:t>It's important to test this conclusion against the opposite idea that a joint venture (JV) could be used to “manage the circle,” by bringing Netflix's content to a local partner's network. But after a detailed examination, it's clear the JV route is less strong than licensing in this instance. A JV still has to meet the foreign content quota, censorship and data requirements; it weakens Netflix's hand, opens it up to partner selection risk, technology and brand leakage risk, and the known governance issues of cross-cultural JVs. It invests much more capital and management time than it does to license, because the constraints are limiting, whether it is a licensed venture or otherwise. Licensing therefore dominates the JV option on a risk adjusted basis, but a minority JV should be a contingency should the regulatory environment become more liberal – recommendations which capture this.</w:t>
      </w:r>
    </w:p>
    <w:p w14:paraId="6189F6E1">
      <w:pPr>
        <w:pStyle w:val="style2"/>
        <w:rPr/>
      </w:pPr>
      <w:r>
        <w:t xml:space="preserve"> </w:t>
      </w:r>
      <w:bookmarkStart w:id="14" w:name="_Toc237565441"/>
      <w:r>
        <w:t>Conclusion and recommendations</w:t>
      </w:r>
      <w:bookmarkEnd w:id="14"/>
    </w:p>
    <w:p w14:paraId="04D10EAD">
      <w:pPr>
        <w:pStyle w:val="style0"/>
        <w:spacing w:before="120" w:after="60" w:lineRule="auto" w:line="360"/>
        <w:jc w:val="both"/>
        <w:rPr>
          <w:rFonts w:ascii="Times New Roman" w:cs="Times New Roman" w:hAnsi="Times New Roman"/>
          <w:color w:val="auto"/>
        </w:rPr>
      </w:pPr>
      <w:r>
        <w:rPr>
          <w:rFonts w:ascii="Times New Roman" w:cs="Times New Roman" w:hAnsi="Times New Roman"/>
          <w:color w:val="auto"/>
        </w:rPr>
        <w:t xml:space="preserve">The analysis is clear and though it is cautious, it provides a recommendation. Netflix should not try to go head-to-head with a 100% stake in the Mainland China market. Political and legal influences like the foreign content quota, censorship, data localization and protection of incumbents are the macro environment factors that offset the market's indisputable economic </w:t>
      </w:r>
      <w:r>
        <w:rPr>
          <w:rFonts w:ascii="Times New Roman" w:cs="Times New Roman" w:hAnsi="Times New Roman"/>
          <w:color w:val="auto"/>
        </w:rPr>
        <w:t>scale, while cultural distance further dampens the demand for the market's core catalogue. By the Dunning's paradigm, Netflix has powerful location/factor ownership advantage, but no location and internalisation advantage and so the OLI ‘tripod' is not complete; FDI is sub-optimal.</w:t>
      </w:r>
    </w:p>
    <w:p w14:paraId="632CBCC4">
      <w:pPr>
        <w:pStyle w:val="style0"/>
        <w:spacing w:before="120" w:after="60" w:lineRule="auto" w:line="360"/>
        <w:jc w:val="both"/>
        <w:rPr>
          <w:rFonts w:ascii="Times New Roman" w:cs="Times New Roman" w:hAnsi="Times New Roman"/>
          <w:color w:val="auto"/>
        </w:rPr>
      </w:pPr>
      <w:r>
        <w:rPr>
          <w:rFonts w:ascii="Times New Roman" w:cs="Times New Roman" w:hAnsi="Times New Roman"/>
          <w:color w:val="auto"/>
        </w:rPr>
        <w:t>There are three concrete suggestions below. First, Netflix should keep going and expand, selectively, its content-licensing deals with a compliant local platform, and not look at China as a customer base, but as an IP-monetisation opportunity. Second, it should invest in pan-Asian and Chinese-language original content, and be able to sell it in its 190-plus markets and, if allowed, into China, cultivating cultural proximity and a catalogue that might meet the quota quota were to be relaxed. Third, it should not lose its strategic optionality, meaning that it should keep maintaining the regulatory dialogue and be prepared to switch mode of entry (for instance, to become a minority joint venture) if liberalisation takes place. This stance transforms a lost market for Netflix into a stream of revenue and long-term positioning, which aligns with Netflix's global strategy and its own experience.</w:t>
      </w:r>
    </w:p>
    <w:p w14:paraId="465294B4">
      <w:pPr>
        <w:pStyle w:val="style0"/>
        <w:spacing w:before="120" w:after="60" w:lineRule="auto" w:line="360"/>
        <w:jc w:val="both"/>
        <w:rPr>
          <w:rFonts w:ascii="Times New Roman" w:cs="Times New Roman" w:hAnsi="Times New Roman"/>
          <w:color w:val="auto"/>
        </w:rPr>
      </w:pPr>
      <w:r>
        <w:rPr>
          <w:rFonts w:ascii="Times New Roman" w:cs="Times New Roman" w:hAnsi="Times New Roman"/>
          <w:color w:val="auto"/>
        </w:rPr>
        <w:t> </w:t>
      </w:r>
    </w:p>
    <w:p w14:paraId="480AA77E">
      <w:pPr>
        <w:pStyle w:val="style0"/>
        <w:spacing w:before="120" w:after="60" w:lineRule="auto" w:line="360"/>
        <w:jc w:val="both"/>
        <w:rPr>
          <w:rFonts w:ascii="Times New Roman" w:cs="Times New Roman" w:hAnsi="Times New Roman"/>
          <w:color w:val="auto"/>
        </w:rPr>
      </w:pPr>
    </w:p>
    <w:p w14:paraId="18349850">
      <w:pPr>
        <w:pStyle w:val="style0"/>
        <w:spacing w:before="120" w:after="60" w:lineRule="auto" w:line="360"/>
        <w:jc w:val="both"/>
        <w:rPr>
          <w:rFonts w:ascii="Times New Roman" w:cs="Times New Roman" w:hAnsi="Times New Roman"/>
          <w:color w:val="auto"/>
        </w:rPr>
      </w:pPr>
    </w:p>
    <w:p w14:paraId="5E743CFF">
      <w:pPr>
        <w:pStyle w:val="style0"/>
        <w:spacing w:before="120" w:after="60" w:lineRule="auto" w:line="360"/>
        <w:jc w:val="both"/>
        <w:rPr>
          <w:rFonts w:ascii="Times New Roman" w:cs="Times New Roman" w:hAnsi="Times New Roman"/>
          <w:color w:val="auto"/>
        </w:rPr>
      </w:pPr>
    </w:p>
    <w:p w14:paraId="51164969">
      <w:pPr>
        <w:pStyle w:val="style0"/>
        <w:spacing w:before="120" w:after="60" w:lineRule="auto" w:line="360"/>
        <w:jc w:val="both"/>
        <w:rPr>
          <w:rFonts w:ascii="Times New Roman" w:cs="Times New Roman" w:hAnsi="Times New Roman"/>
          <w:color w:val="auto"/>
        </w:rPr>
      </w:pPr>
    </w:p>
    <w:p w14:paraId="498416CB">
      <w:pPr>
        <w:pStyle w:val="style0"/>
        <w:spacing w:before="120" w:after="60" w:lineRule="auto" w:line="360"/>
        <w:jc w:val="both"/>
        <w:rPr>
          <w:rFonts w:ascii="Times New Roman" w:cs="Times New Roman" w:hAnsi="Times New Roman"/>
          <w:color w:val="auto"/>
        </w:rPr>
      </w:pPr>
    </w:p>
    <w:p w14:paraId="0F096C47">
      <w:pPr>
        <w:pStyle w:val="style0"/>
        <w:spacing w:before="120" w:after="60" w:lineRule="auto" w:line="360"/>
        <w:jc w:val="both"/>
        <w:rPr>
          <w:rFonts w:ascii="Times New Roman" w:cs="Times New Roman" w:hAnsi="Times New Roman"/>
          <w:color w:val="auto"/>
        </w:rPr>
      </w:pPr>
    </w:p>
    <w:p w14:paraId="407B114A">
      <w:pPr>
        <w:pStyle w:val="style0"/>
        <w:spacing w:before="120" w:after="60" w:lineRule="auto" w:line="360"/>
        <w:jc w:val="both"/>
        <w:rPr>
          <w:rFonts w:ascii="Times New Roman" w:cs="Times New Roman" w:hAnsi="Times New Roman"/>
          <w:color w:val="auto"/>
        </w:rPr>
      </w:pPr>
    </w:p>
    <w:p w14:paraId="2D460142">
      <w:pPr>
        <w:pStyle w:val="style0"/>
        <w:spacing w:before="120" w:after="60" w:lineRule="auto" w:line="360"/>
        <w:jc w:val="both"/>
        <w:rPr>
          <w:rFonts w:ascii="Times New Roman" w:cs="Times New Roman" w:hAnsi="Times New Roman"/>
          <w:color w:val="auto"/>
        </w:rPr>
      </w:pPr>
    </w:p>
    <w:p w14:paraId="496D7569">
      <w:pPr>
        <w:pStyle w:val="style0"/>
        <w:spacing w:before="120" w:after="60" w:lineRule="auto" w:line="360"/>
        <w:jc w:val="both"/>
        <w:rPr>
          <w:rFonts w:ascii="Times New Roman" w:cs="Times New Roman" w:hAnsi="Times New Roman"/>
          <w:color w:val="auto"/>
        </w:rPr>
      </w:pPr>
    </w:p>
    <w:p w14:paraId="7665F7CC">
      <w:pPr>
        <w:pStyle w:val="style0"/>
        <w:spacing w:before="120" w:after="60" w:lineRule="auto" w:line="360"/>
        <w:jc w:val="both"/>
        <w:rPr>
          <w:rFonts w:ascii="Times New Roman" w:cs="Times New Roman" w:hAnsi="Times New Roman"/>
          <w:color w:val="auto"/>
        </w:rPr>
      </w:pPr>
    </w:p>
    <w:p w14:paraId="793EF995">
      <w:pPr>
        <w:pStyle w:val="style0"/>
        <w:spacing w:before="120" w:after="60" w:lineRule="auto" w:line="360"/>
        <w:jc w:val="both"/>
        <w:rPr>
          <w:rFonts w:ascii="Times New Roman" w:cs="Times New Roman" w:hAnsi="Times New Roman"/>
          <w:color w:val="auto"/>
        </w:rPr>
      </w:pPr>
    </w:p>
    <w:p w14:paraId="28F61E5C">
      <w:pPr>
        <w:pStyle w:val="style0"/>
        <w:spacing w:before="120" w:after="60" w:lineRule="auto" w:line="360"/>
        <w:jc w:val="both"/>
        <w:rPr>
          <w:rFonts w:ascii="Times New Roman" w:cs="Times New Roman" w:hAnsi="Times New Roman"/>
          <w:color w:val="auto"/>
        </w:rPr>
      </w:pPr>
    </w:p>
    <w:p w14:paraId="24BEBF04">
      <w:pPr>
        <w:pStyle w:val="style0"/>
        <w:spacing w:before="120" w:after="60" w:lineRule="auto" w:line="360"/>
        <w:jc w:val="both"/>
        <w:rPr>
          <w:rFonts w:ascii="Times New Roman" w:cs="Times New Roman" w:hAnsi="Times New Roman"/>
          <w:color w:val="auto"/>
        </w:rPr>
      </w:pPr>
    </w:p>
    <w:bookmarkStart w:id="15" w:name="_Toc237565442"/>
    <w:p w14:paraId="691F8DA3">
      <w:pPr>
        <w:pStyle w:val="style1"/>
        <w:rPr/>
      </w:pPr>
      <w:r>
        <w:t>Section 2: Reflective Account (Gibbs’ Reflective Cycle)</w:t>
      </w:r>
      <w:bookmarkEnd w:id="15"/>
    </w:p>
    <w:p w14:paraId="7A8994A8">
      <w:pPr>
        <w:pStyle w:val="style0"/>
        <w:spacing w:before="120" w:after="60" w:lineRule="auto" w:line="360"/>
        <w:jc w:val="both"/>
        <w:rPr>
          <w:rFonts w:ascii="Times New Roman" w:cs="Times New Roman" w:hAnsi="Times New Roman"/>
          <w:color w:val="auto"/>
        </w:rPr>
      </w:pPr>
      <w:r>
        <w:rPr>
          <w:rFonts w:ascii="Times New Roman" w:cs="Times New Roman" w:hAnsi="Times New Roman"/>
          <w:color w:val="auto"/>
        </w:rPr>
        <w:t>In this reflection, Gibbs' (1988) six stage cycle of description – feelings – evaluation – analysis – conclusion – action plan (Figure 5) is used to analyse how Section 1 was researched and prepared. Gibbs' model has been found suitable for this task because the model's structure from experience to forward planning allows for critical awareness instead of narration (University of Edinburgh, 2020).</w:t>
      </w:r>
    </w:p>
    <w:p w14:paraId="0B18E732">
      <w:pPr>
        <w:pStyle w:val="style0"/>
        <w:spacing w:before="120" w:after="60" w:lineRule="auto" w:line="360"/>
        <w:jc w:val="center"/>
        <w:rPr>
          <w:rFonts w:ascii="Times New Roman" w:cs="Times New Roman" w:hAnsi="Times New Roman"/>
          <w:color w:val="auto"/>
        </w:rPr>
      </w:pPr>
      <w:r>
        <w:rPr>
          <w:rFonts w:ascii="Times New Roman" w:cs="Times New Roman" w:hAnsi="Times New Roman"/>
          <w:noProof/>
          <w:color w:val="auto"/>
        </w:rPr>
        <w:drawing>
          <wp:inline distL="0" distT="0" distB="0" distR="0">
            <wp:extent cx="3406139" cy="3406139"/>
            <wp:effectExtent l="0" t="0" r="3810" b="3810"/>
            <wp:docPr id="1031" name="Picture 2" descr="Gibbs' Reflective Cycle: A 6-Step Framework for Growth | Anubha Dubey  posted on the topic | LinkedIn"/>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 name="Picture 2"/>
                    <pic:cNvPicPr/>
                  </pic:nvPicPr>
                  <pic:blipFill>
                    <a:blip r:embed="rId7" cstate="print"/>
                    <a:srcRect l="0" t="0" r="0" b="0"/>
                    <a:stretch/>
                  </pic:blipFill>
                  <pic:spPr>
                    <a:xfrm rot="0">
                      <a:off x="0" y="0"/>
                      <a:ext cx="3406139" cy="3406139"/>
                    </a:xfrm>
                    <a:prstGeom prst="rect"/>
                    <a:ln>
                      <a:noFill/>
                    </a:ln>
                  </pic:spPr>
                </pic:pic>
              </a:graphicData>
            </a:graphic>
          </wp:inline>
        </w:drawing>
      </w:r>
    </w:p>
    <w:p w14:paraId="556A2DDF">
      <w:pPr>
        <w:pStyle w:val="style0"/>
        <w:spacing w:after="200" w:lineRule="auto" w:line="360"/>
        <w:jc w:val="center"/>
        <w:rPr>
          <w:rFonts w:ascii="Times New Roman" w:cs="Times New Roman" w:hAnsi="Times New Roman"/>
          <w:color w:val="auto"/>
        </w:rPr>
      </w:pPr>
      <w:r>
        <w:rPr>
          <w:rFonts w:ascii="Times New Roman" w:cs="Times New Roman" w:hAnsi="Times New Roman"/>
          <w:i/>
          <w:iCs/>
          <w:color w:val="auto"/>
        </w:rPr>
        <w:t>Figure 5: Gibbs’ Reflective Cycle. Source: Gibbs (1988).</w:t>
      </w:r>
    </w:p>
    <w:bookmarkStart w:id="16" w:name="_Toc237565443"/>
    <w:p w14:paraId="656EB381">
      <w:pPr>
        <w:pStyle w:val="style3"/>
        <w:spacing w:lineRule="auto" w:line="360"/>
        <w:jc w:val="both"/>
        <w:rPr>
          <w:rFonts w:cs="Times New Roman"/>
        </w:rPr>
      </w:pPr>
      <w:r>
        <w:rPr>
          <w:rFonts w:cs="Times New Roman"/>
        </w:rPr>
        <w:t>Description</w:t>
      </w:r>
      <w:bookmarkEnd w:id="16"/>
    </w:p>
    <w:p w14:paraId="62E9407D">
      <w:pPr>
        <w:pStyle w:val="style0"/>
        <w:spacing w:lineRule="auto" w:line="360"/>
        <w:jc w:val="both"/>
        <w:rPr>
          <w:rFonts w:ascii="Times New Roman" w:cs="Times New Roman" w:hAnsi="Times New Roman"/>
          <w:color w:val="auto"/>
        </w:rPr>
      </w:pPr>
      <w:r>
        <w:rPr>
          <w:rFonts w:ascii="Times New Roman" w:cs="Times New Roman" w:hAnsi="Times New Roman"/>
          <w:color w:val="auto"/>
        </w:rPr>
        <w:t xml:space="preserve">My task was to choose a global company and a country in which they have no major business interests and to critically discuss the strategic, environmental and entry mode aspects of a potential market entry. Netflix and mainland China was my choice because it was a truly analytical puzzle: a highly capable company that is missing from the world's biggest online-video market. I followed many steps on my process. I first did a preliminary analysis of the company's global strategy and verified that the company has no direct operating business in China from the existing sources. Next, I collected information about the Chinese context, including regulatory, competitive and cultural factors, and two theories, the integration – responsiveness matrix of Bartlett and Ghoshal, and the OLI paradigm of Dunning were adopted to structure the analysis. Lastly, I created comparative tables and figures, analysed and </w:t>
      </w:r>
      <w:r>
        <w:rPr>
          <w:rFonts w:ascii="Times New Roman" w:cs="Times New Roman" w:hAnsi="Times New Roman"/>
          <w:color w:val="auto"/>
        </w:rPr>
        <w:t>compared these, and reached a recommendation based on the evidence. I did my best to go back to a credible source to check each factual claim and not assume or remember them.</w:t>
      </w:r>
    </w:p>
    <w:bookmarkStart w:id="17" w:name="_Toc237565444"/>
    <w:p w14:paraId="295BF971">
      <w:pPr>
        <w:pStyle w:val="style3"/>
        <w:rPr/>
      </w:pPr>
      <w:r>
        <w:t>Feelings</w:t>
      </w:r>
      <w:bookmarkEnd w:id="17"/>
    </w:p>
    <w:p w14:paraId="487D2B75">
      <w:pPr>
        <w:pStyle w:val="style0"/>
        <w:spacing w:lineRule="auto" w:line="360"/>
        <w:jc w:val="both"/>
        <w:rPr>
          <w:rFonts w:ascii="Times New Roman" w:cs="Times New Roman" w:hAnsi="Times New Roman"/>
          <w:color w:val="auto"/>
        </w:rPr>
      </w:pPr>
      <w:r>
        <w:rPr>
          <w:rFonts w:ascii="Times New Roman" w:cs="Times New Roman" w:hAnsi="Times New Roman"/>
          <w:color w:val="auto"/>
        </w:rPr>
        <w:t xml:space="preserve">At </w:t>
      </w:r>
      <w:r>
        <w:rPr>
          <w:rFonts w:ascii="Times New Roman" w:cs="Times New Roman" w:hAnsi="Times New Roman"/>
          <w:color w:val="auto"/>
        </w:rPr>
        <w:t>first</w:t>
      </w:r>
      <w:r>
        <w:rPr>
          <w:rFonts w:ascii="Times New Roman" w:cs="Times New Roman" w:hAnsi="Times New Roman"/>
          <w:color w:val="auto"/>
        </w:rPr>
        <w:t xml:space="preserve"> I thought I was in the right place, Netflix is a brand I know and it's said to be unavailable in China. That sense of confidence, however, was pushed aside by a productive unease as I went along. However, knowing that Netflix isn't available in China didn't tell me much when it came to an understanding of China's situation, and knowing that it isn't available in China doesn't tell me what a rigorous, theory-based answer would look like. At first, it was frustrating to deal with the barrage of conflicting information on the web, most of which is the commercial blog by the same name which I am skeptical of. But I eventually found myself in control and able to find peer reviewed and authoritative material, and it was gratifying.</w:t>
      </w:r>
    </w:p>
    <w:bookmarkStart w:id="18" w:name="_Toc237565445"/>
    <w:p w14:paraId="04F90551">
      <w:pPr>
        <w:pStyle w:val="style3"/>
        <w:rPr/>
      </w:pPr>
      <w:r>
        <w:t>Evaluation</w:t>
      </w:r>
      <w:bookmarkEnd w:id="18"/>
    </w:p>
    <w:p w14:paraId="604DB7C9">
      <w:pPr>
        <w:pStyle w:val="style0"/>
        <w:spacing w:lineRule="auto" w:line="360"/>
        <w:jc w:val="both"/>
        <w:rPr>
          <w:rFonts w:ascii="Times New Roman" w:cs="Times New Roman" w:hAnsi="Times New Roman"/>
          <w:color w:val="auto"/>
        </w:rPr>
      </w:pPr>
      <w:r>
        <w:rPr>
          <w:rFonts w:ascii="Times New Roman" w:cs="Times New Roman" w:hAnsi="Times New Roman"/>
          <w:color w:val="auto"/>
        </w:rPr>
        <w:t>Overall</w:t>
      </w:r>
      <w:r>
        <w:rPr>
          <w:rFonts w:ascii="Times New Roman" w:cs="Times New Roman" w:hAnsi="Times New Roman"/>
          <w:color w:val="auto"/>
        </w:rPr>
        <w:t xml:space="preserve"> it was a positive and informative experience. The structure which helped was to have a framework-led structure, in that the analysis was anchored in the works of Bartlett and Ghoshal (1989) and Dunning (2001) and thus the report did not turn into a description. It was useful to be able to create my own figures and comparative tables in order to get my mind in a more logical frame of mind, and to make my reasoning more explicit instead of implicitly. What wasn't going quite as well at first was the source discipline; I started with websites that were readily available and were not credible, like marketing pages on VPN vendors, and then pivoted to academic journals, primary corporate filings, and trusted data providers. This is reflective of one of the evaluation criteria that are highlighted by the assessment itself: careful assessment of the credibility of the sources. I knew my first sources weren't very strong, and I wanted to replace them, so that was a good learning experience about self-correction.</w:t>
      </w:r>
    </w:p>
    <w:bookmarkStart w:id="19" w:name="_Toc237565446"/>
    <w:p w14:paraId="20907F2D">
      <w:pPr>
        <w:pStyle w:val="style3"/>
        <w:rPr/>
      </w:pPr>
      <w:r>
        <w:t>Analysis</w:t>
      </w:r>
      <w:bookmarkEnd w:id="19"/>
    </w:p>
    <w:p w14:paraId="626B9D10">
      <w:pPr>
        <w:pStyle w:val="style0"/>
        <w:spacing w:lineRule="auto" w:line="360"/>
        <w:jc w:val="both"/>
        <w:rPr>
          <w:rFonts w:ascii="Times New Roman" w:cs="Times New Roman" w:hAnsi="Times New Roman"/>
          <w:color w:val="auto"/>
        </w:rPr>
      </w:pPr>
      <w:r>
        <w:rPr>
          <w:rFonts w:ascii="Times New Roman" w:cs="Times New Roman" w:hAnsi="Times New Roman"/>
          <w:color w:val="auto"/>
        </w:rPr>
        <w:t>Looking back, the main issue was to understand the difference between market attractiveness and market accessibility, which the module highlighted during the course of the macro-environmental analysis and entry modes. There was an economic appeal to China, but it is not that accessible to a foreign-controlled platform, so the intellectual pivot was seeing that. The OLI paradigm was particularly useful here as it provided me with a vocabulary for explaining why a firm with a very strong capability can be excluded from a particular market in this instance, because it encompasses the value of separation of ownership, location and internalisation.</w:t>
      </w:r>
    </w:p>
    <w:p w14:paraId="55756619">
      <w:pPr>
        <w:pStyle w:val="style0"/>
        <w:spacing w:lineRule="auto" w:line="360"/>
        <w:jc w:val="both"/>
        <w:rPr>
          <w:rFonts w:ascii="Times New Roman" w:cs="Times New Roman" w:hAnsi="Times New Roman"/>
          <w:color w:val="auto"/>
        </w:rPr>
      </w:pPr>
      <w:r>
        <w:rPr>
          <w:rFonts w:ascii="Times New Roman" w:cs="Times New Roman" w:hAnsi="Times New Roman"/>
          <w:color w:val="auto"/>
        </w:rPr>
        <w:t>The lectures and readings in the module provided me with clear insights into ways of thinking. When addressing the typology of Bartlett and Ghoshal, I realized that there were two pressures I wasn't balancing: the global and the responsive. I didn't want to make the mistake of thinking that a strong global firm can just open a branch overseas, because integration and responsiveness are at odds and competing pressures. The seminar discussions about the nature of institutional distance and the liability of ‘foreignness’ provided me with the conceptual framework to claim that the barriers faced by China are different in kind from the normal ones encountered in trade. The case studies I discussed in class of western tech companies not allowed in China gave me some good comparison points and made me feel that my conclusion was not too idiosyncratic. Accessing credible data (from Netflix's SEC filings and Statista) imparted to me a much stronger sense of assurance in an argument, and is something that I now consider essential in professional analysis, because fabricated or questionable data is common in web content.</w:t>
      </w:r>
    </w:p>
    <w:bookmarkStart w:id="20" w:name="_Toc237565447"/>
    <w:p w14:paraId="13DAAD85">
      <w:pPr>
        <w:pStyle w:val="style3"/>
        <w:rPr/>
      </w:pPr>
      <w:r>
        <w:t>Conclusion</w:t>
      </w:r>
      <w:bookmarkEnd w:id="20"/>
    </w:p>
    <w:p w14:paraId="473F7207">
      <w:pPr>
        <w:pStyle w:val="style0"/>
        <w:spacing w:lineRule="auto" w:line="360"/>
        <w:jc w:val="both"/>
        <w:rPr>
          <w:rFonts w:ascii="Times New Roman" w:cs="Times New Roman" w:hAnsi="Times New Roman"/>
          <w:color w:val="auto"/>
        </w:rPr>
      </w:pPr>
      <w:r>
        <w:rPr>
          <w:rFonts w:ascii="Times New Roman" w:cs="Times New Roman" w:hAnsi="Times New Roman"/>
          <w:color w:val="auto"/>
        </w:rPr>
        <w:t>I believe that as the rigor of international-business analysis increases, two things must also be taken seriously: theory must be used judiciously and not as an ornament; and all sources of information must be questioned about their credibility and currency. If I had gone by intuition and by the easy websites, I would have come up with a description rather than an explanation of what was causing Netflix to be excluded. The frameworks elevated a common news story into a sound strategic decision. I also learned that it's possible to take a strong analytical stance that says what a firm can't do and suggests a degree of restraint that is more compelling than recommending bold action for its own sake.</w:t>
      </w:r>
    </w:p>
    <w:bookmarkStart w:id="21" w:name="_Toc237565448"/>
    <w:p w14:paraId="68063E8C">
      <w:pPr>
        <w:pStyle w:val="style3"/>
        <w:rPr/>
      </w:pPr>
      <w:r>
        <w:t>Action Plan</w:t>
      </w:r>
      <w:bookmarkEnd w:id="21"/>
    </w:p>
    <w:p w14:paraId="529A700D">
      <w:pPr>
        <w:pStyle w:val="style0"/>
        <w:spacing w:lineRule="auto" w:line="360"/>
        <w:jc w:val="both"/>
        <w:rPr>
          <w:rFonts w:ascii="Times New Roman" w:cs="Times New Roman" w:hAnsi="Times New Roman"/>
          <w:color w:val="auto"/>
        </w:rPr>
      </w:pPr>
      <w:r>
        <w:rPr>
          <w:rFonts w:ascii="Times New Roman" w:cs="Times New Roman" w:hAnsi="Times New Roman"/>
          <w:color w:val="auto"/>
        </w:rPr>
        <w:t xml:space="preserve">For the next evaluation I will make three specific changes. I'll start my search process by first looking for academic databases (Google Scholar), then looking for primary filings, and then looking at recognized data providers, not looking at any general web source until I have already recorded full details of the citations to ensure that I don't end up having to reconstruct them at the last minute, to keep my references accurate. Secondly, I will choose and apply my analysis tools in advance, rather than having my analysis tools develop as I collect data; I wasted some time in this assessment in collecting material before I had determined what I was going to do with it in terms of analysis. Third, I will produce visual artefacts – matrices, comparative tables and synthesis diagrams – earlier in the process, as I discovered that making these worked out my thinking and revealed gaps in my evidence that the prose alone had not revealed. Together, </w:t>
      </w:r>
      <w:r>
        <w:rPr>
          <w:rFonts w:ascii="Times New Roman" w:cs="Times New Roman" w:hAnsi="Times New Roman"/>
          <w:color w:val="auto"/>
        </w:rPr>
        <w:t>these habits should make my analytical depth and presentation of work to a professional level better, and should mirror the independent learning, and self-directed learning, required at postgraduate level. More generally, the evaluation has changed the way I approach international-business problems: I now automatically ask myself what the firm can do and what the host environment will allow, and I no longer see theory as a "nice to have," but as a means of disciplined reasoning (a stance I hope to take in my profession).</w:t>
      </w:r>
      <w:r>
        <w:rPr>
          <w:rFonts w:ascii="Times New Roman" w:cs="Times New Roman" w:hAnsi="Times New Roman"/>
          <w:color w:val="auto"/>
        </w:rPr>
        <w:br w:type="page"/>
      </w:r>
    </w:p>
    <w:bookmarkStart w:id="22" w:name="_Toc237565449"/>
    <w:p w14:paraId="09C991D8">
      <w:pPr>
        <w:pStyle w:val="style1"/>
        <w:rPr/>
      </w:pPr>
      <w:r>
        <w:t>References</w:t>
      </w:r>
      <w:bookmarkEnd w:id="22"/>
    </w:p>
    <w:p w14:paraId="14ECCD42">
      <w:pPr>
        <w:pStyle w:val="style0"/>
        <w:spacing w:after="140" w:lineRule="auto" w:line="360"/>
        <w:ind w:left="720" w:hanging="720"/>
        <w:rPr>
          <w:rFonts w:ascii="Times New Roman" w:cs="Times New Roman" w:hAnsi="Times New Roman"/>
          <w:color w:val="auto"/>
        </w:rPr>
      </w:pPr>
      <w:r>
        <w:rPr>
          <w:rFonts w:ascii="Times New Roman" w:cs="Times New Roman" w:hAnsi="Times New Roman"/>
          <w:color w:val="auto"/>
        </w:rPr>
        <w:t>Anderson, E. and Gatignon, H. (1986) ‘Modes of foreign entry: a transaction cost analysis and propositions’, Journal of International Business Studies, 17(3), pp. 1–26. doi:10.1057/palgrave.jibs.8490432.</w:t>
      </w:r>
    </w:p>
    <w:p w14:paraId="5B8B22E2">
      <w:pPr>
        <w:pStyle w:val="style0"/>
        <w:spacing w:after="140" w:lineRule="auto" w:line="360"/>
        <w:ind w:left="720" w:hanging="720"/>
        <w:rPr>
          <w:rFonts w:ascii="Times New Roman" w:cs="Times New Roman" w:hAnsi="Times New Roman"/>
          <w:color w:val="auto"/>
        </w:rPr>
      </w:pPr>
      <w:r>
        <w:rPr>
          <w:rFonts w:ascii="Times New Roman" w:cs="Times New Roman" w:hAnsi="Times New Roman"/>
          <w:color w:val="auto"/>
        </w:rPr>
        <w:t>Bartlett, C.A. and Ghoshal, S. (1989) Managing across borders: the transnational solution. Boston, MA: Harvard Business School Press.</w:t>
      </w:r>
    </w:p>
    <w:p w14:paraId="03C62401">
      <w:pPr>
        <w:pStyle w:val="style0"/>
        <w:spacing w:after="140" w:lineRule="auto" w:line="360"/>
        <w:ind w:left="720" w:hanging="720"/>
        <w:rPr>
          <w:rFonts w:ascii="Times New Roman" w:cs="Times New Roman" w:hAnsi="Times New Roman"/>
          <w:color w:val="auto"/>
        </w:rPr>
      </w:pPr>
      <w:r>
        <w:rPr>
          <w:rFonts w:ascii="Times New Roman" w:cs="Times New Roman" w:hAnsi="Times New Roman"/>
          <w:color w:val="auto"/>
        </w:rPr>
        <w:t>Chen, Z. (2022) ‘Analysis of foreign video streaming service entering the Chinese market: the case of Netflix’, Proceedings of the 2022 3rd International Conference on Mental Health, Education and Human Development (MHEHD 2022). Paris: Atlantis Press, pp. 1385–1391.</w:t>
      </w:r>
    </w:p>
    <w:p w14:paraId="635FDD0E">
      <w:pPr>
        <w:pStyle w:val="style0"/>
        <w:spacing w:after="140" w:lineRule="auto" w:line="360"/>
        <w:ind w:left="720" w:hanging="720"/>
        <w:rPr>
          <w:rFonts w:ascii="Times New Roman" w:cs="Times New Roman" w:hAnsi="Times New Roman"/>
          <w:color w:val="auto"/>
        </w:rPr>
      </w:pPr>
      <w:r>
        <w:rPr>
          <w:rFonts w:ascii="Times New Roman" w:cs="Times New Roman" w:hAnsi="Times New Roman"/>
          <w:color w:val="auto"/>
        </w:rPr>
        <w:t>China Daily (2024) Dive into China’s growing streaming industry. Available at: https://ex.chinadaily.com.cn/exchange/partners/70/rss/channel/www/columns/y38633/stories/WS65ea9e53a31082fc043bb813.html (Accessed: 4 August 2026).</w:t>
      </w:r>
    </w:p>
    <w:p w14:paraId="6FB03FBE">
      <w:pPr>
        <w:pStyle w:val="style0"/>
        <w:spacing w:after="140" w:lineRule="auto" w:line="360"/>
        <w:ind w:left="720" w:hanging="720"/>
        <w:rPr>
          <w:rFonts w:ascii="Times New Roman" w:cs="Times New Roman" w:hAnsi="Times New Roman"/>
          <w:color w:val="auto"/>
        </w:rPr>
      </w:pPr>
      <w:r>
        <w:rPr>
          <w:rFonts w:ascii="Times New Roman" w:cs="Times New Roman" w:hAnsi="Times New Roman"/>
          <w:color w:val="auto"/>
        </w:rPr>
        <w:t>Cloudwards (2026) How to watch Netflix in China: VPNs for streaming. Available at: https://www.cloudwards.net/netflix-china/ (Accessed: 4 August 2026).</w:t>
      </w:r>
    </w:p>
    <w:p w14:paraId="578A5E2C">
      <w:pPr>
        <w:pStyle w:val="style0"/>
        <w:spacing w:after="140" w:lineRule="auto" w:line="360"/>
        <w:ind w:left="720" w:hanging="720"/>
        <w:rPr>
          <w:rFonts w:ascii="Times New Roman" w:cs="Times New Roman" w:hAnsi="Times New Roman"/>
          <w:color w:val="auto"/>
        </w:rPr>
      </w:pPr>
      <w:r>
        <w:rPr>
          <w:rFonts w:ascii="Times New Roman" w:cs="Times New Roman" w:hAnsi="Times New Roman"/>
          <w:color w:val="auto"/>
        </w:rPr>
        <w:t>Cui, Y. (2024) ‘Research on Netflix’s expansion and competitive strategies in the global markets’, Highlights in Business, Economics and Management, 41, pp. 107–114. doi:10.54097/4nyc7106.</w:t>
      </w:r>
    </w:p>
    <w:p w14:paraId="724BAB74">
      <w:pPr>
        <w:pStyle w:val="style0"/>
        <w:spacing w:after="140" w:lineRule="auto" w:line="360"/>
        <w:ind w:left="720" w:hanging="720"/>
        <w:rPr>
          <w:rFonts w:ascii="Times New Roman" w:cs="Times New Roman" w:hAnsi="Times New Roman"/>
          <w:color w:val="auto"/>
        </w:rPr>
      </w:pPr>
      <w:r>
        <w:rPr>
          <w:rFonts w:ascii="Times New Roman" w:cs="Times New Roman" w:hAnsi="Times New Roman"/>
          <w:color w:val="auto"/>
        </w:rPr>
        <w:t>Dunning, J.H. (2001) ‘The eclectic (OLI) paradigm of international production: past, present and future’, International Journal of the Economics of Business, 8(2), pp. 173–190. doi:10.1080/13571510110051441.</w:t>
      </w:r>
    </w:p>
    <w:p w14:paraId="5BFD6970">
      <w:pPr>
        <w:pStyle w:val="style0"/>
        <w:spacing w:after="140" w:lineRule="auto" w:line="360"/>
        <w:ind w:left="720" w:hanging="720"/>
        <w:rPr>
          <w:rFonts w:ascii="Times New Roman" w:cs="Times New Roman" w:hAnsi="Times New Roman"/>
          <w:color w:val="auto"/>
        </w:rPr>
      </w:pPr>
      <w:r>
        <w:rPr>
          <w:rFonts w:ascii="Times New Roman" w:cs="Times New Roman" w:hAnsi="Times New Roman"/>
          <w:color w:val="auto"/>
        </w:rPr>
        <w:t>Gibbs, G. (1988) Learning by doing: a guide to teaching and learning methods. Oxford: Further Education Unit, Oxford Polytechnic.</w:t>
      </w:r>
    </w:p>
    <w:p w14:paraId="23C2E7E6">
      <w:pPr>
        <w:pStyle w:val="style0"/>
        <w:spacing w:after="140" w:lineRule="auto" w:line="360"/>
        <w:ind w:left="720" w:hanging="720"/>
        <w:rPr>
          <w:rFonts w:ascii="Times New Roman" w:cs="Times New Roman" w:hAnsi="Times New Roman"/>
          <w:color w:val="auto"/>
        </w:rPr>
      </w:pPr>
      <w:r>
        <w:rPr>
          <w:rFonts w:ascii="Times New Roman" w:cs="Times New Roman" w:hAnsi="Times New Roman"/>
          <w:color w:val="auto"/>
        </w:rPr>
        <w:t>Hill, C.W.L., Hwang, P. and Kim, W.C. (1990) ‘An eclectic theory of the choice of international entry mode’, Strategic Management Journal, 11(2), pp. 117–128. doi:10.1002/smj.4250110204.</w:t>
      </w:r>
    </w:p>
    <w:p w14:paraId="07471FDA">
      <w:pPr>
        <w:pStyle w:val="style0"/>
        <w:spacing w:after="140" w:lineRule="auto" w:line="360"/>
        <w:ind w:left="720" w:hanging="720"/>
        <w:rPr>
          <w:rFonts w:ascii="Times New Roman" w:cs="Times New Roman" w:hAnsi="Times New Roman"/>
          <w:color w:val="auto"/>
        </w:rPr>
      </w:pPr>
      <w:r>
        <w:rPr>
          <w:rFonts w:ascii="Times New Roman" w:cs="Times New Roman" w:hAnsi="Times New Roman"/>
          <w:color w:val="auto"/>
        </w:rPr>
        <w:t>Hymer, S.H. (1976) The international operations of national firms: a study of direct foreign investment. Cambridge, MA: MIT Press.</w:t>
      </w:r>
    </w:p>
    <w:p w14:paraId="4E9D91A3">
      <w:pPr>
        <w:pStyle w:val="style0"/>
        <w:spacing w:after="140" w:lineRule="auto" w:line="360"/>
        <w:ind w:left="720" w:hanging="720"/>
        <w:rPr>
          <w:rFonts w:ascii="Times New Roman" w:cs="Times New Roman" w:hAnsi="Times New Roman"/>
          <w:color w:val="auto"/>
        </w:rPr>
      </w:pPr>
      <w:r>
        <w:rPr>
          <w:rFonts w:ascii="Times New Roman" w:cs="Times New Roman" w:hAnsi="Times New Roman"/>
          <w:color w:val="auto"/>
        </w:rPr>
        <w:t xml:space="preserve">iQIYI (2017) iQIYI and Netflix sign licensing agreement. 28 April. Available at: https://www.prnewswire.com/news-releases/iqiyi-and-netflix-sign-licensing-agreement-300447788.html (Accessed: </w:t>
      </w:r>
      <w:r>
        <w:rPr>
          <w:rFonts w:ascii="Times New Roman" w:cs="Times New Roman" w:hAnsi="Times New Roman"/>
          <w:color w:val="auto"/>
        </w:rPr>
        <w:t>7</w:t>
      </w:r>
      <w:r>
        <w:rPr>
          <w:rFonts w:ascii="Times New Roman" w:cs="Times New Roman" w:hAnsi="Times New Roman"/>
          <w:color w:val="auto"/>
        </w:rPr>
        <w:t xml:space="preserve"> August 2026).</w:t>
      </w:r>
    </w:p>
    <w:p w14:paraId="0DE8F0D6">
      <w:pPr>
        <w:pStyle w:val="style0"/>
        <w:spacing w:after="140" w:lineRule="auto" w:line="360"/>
        <w:ind w:left="720" w:hanging="720"/>
        <w:rPr>
          <w:rFonts w:ascii="Times New Roman" w:cs="Times New Roman" w:hAnsi="Times New Roman"/>
          <w:color w:val="auto"/>
        </w:rPr>
      </w:pPr>
      <w:r>
        <w:rPr>
          <w:rFonts w:ascii="Times New Roman" w:cs="Times New Roman" w:hAnsi="Times New Roman"/>
          <w:color w:val="auto"/>
        </w:rPr>
        <w:t>Johanson, J. and Vahlne, J.-E. (1977) ‘The internationalization process of the firm—a model of knowledge development and increasing foreign market commitments’, Journal of International Business Studies, 8(1), pp. 23–32. doi:10.1057/palgrave.jibs.8490676.</w:t>
      </w:r>
    </w:p>
    <w:p w14:paraId="3C6BF452">
      <w:pPr>
        <w:pStyle w:val="style0"/>
        <w:spacing w:after="140" w:lineRule="auto" w:line="360"/>
        <w:ind w:left="720" w:hanging="720"/>
        <w:rPr>
          <w:rFonts w:ascii="Times New Roman" w:cs="Times New Roman" w:hAnsi="Times New Roman"/>
          <w:color w:val="auto"/>
        </w:rPr>
      </w:pPr>
      <w:r>
        <w:rPr>
          <w:rFonts w:ascii="Times New Roman" w:cs="Times New Roman" w:hAnsi="Times New Roman"/>
          <w:color w:val="auto"/>
        </w:rPr>
        <w:t>Johanson, J. and Vahlne, J.-E. (2009) ‘The Uppsala internationalization process model revisited: from liability of foreignness to liability of outsidership’, Journal of International Business Studies, 40(9), pp. 1411–1431. doi:10.1057/jibs.2009.24.</w:t>
      </w:r>
    </w:p>
    <w:p w14:paraId="1488B892">
      <w:pPr>
        <w:pStyle w:val="style0"/>
        <w:spacing w:after="140" w:lineRule="auto" w:line="360"/>
        <w:ind w:left="720" w:hanging="720"/>
        <w:rPr>
          <w:rFonts w:ascii="Times New Roman" w:cs="Times New Roman" w:hAnsi="Times New Roman"/>
          <w:color w:val="auto"/>
        </w:rPr>
      </w:pPr>
      <w:r>
        <w:rPr>
          <w:rFonts w:ascii="Times New Roman" w:cs="Times New Roman" w:hAnsi="Times New Roman"/>
          <w:color w:val="auto"/>
        </w:rPr>
        <w:t>Kim, W.C. and Hwang, P. (1992) ‘Global strategy and multinationals’ entry mode choice’, Journal of International Business Studies, 23(1), pp. 29–53. doi:10.1057/palgrave.jibs.8490258.</w:t>
      </w:r>
    </w:p>
    <w:p w14:paraId="5C1D7727">
      <w:pPr>
        <w:pStyle w:val="style0"/>
        <w:spacing w:after="140" w:lineRule="auto" w:line="360"/>
        <w:ind w:left="720" w:hanging="720"/>
        <w:rPr>
          <w:rFonts w:ascii="Times New Roman" w:cs="Times New Roman" w:hAnsi="Times New Roman"/>
          <w:color w:val="auto"/>
        </w:rPr>
      </w:pPr>
      <w:r>
        <w:rPr>
          <w:rFonts w:ascii="Times New Roman" w:cs="Times New Roman" w:hAnsi="Times New Roman"/>
          <w:color w:val="auto"/>
        </w:rPr>
        <w:t>Kogut, B. and Singh, H. (1988) ‘The effect of national culture on the choice of entry mode’, Journal of International Business Studies, 19(3), pp. 411–432. doi:10.1057/palgrave.jibs.8490394.</w:t>
      </w:r>
    </w:p>
    <w:p w14:paraId="71710342">
      <w:pPr>
        <w:pStyle w:val="style0"/>
        <w:spacing w:after="140" w:lineRule="auto" w:line="360"/>
        <w:ind w:left="720" w:hanging="720"/>
        <w:rPr>
          <w:rFonts w:ascii="Times New Roman" w:cs="Times New Roman" w:hAnsi="Times New Roman"/>
          <w:color w:val="auto"/>
        </w:rPr>
      </w:pPr>
      <w:r>
        <w:rPr>
          <w:rFonts w:ascii="Times New Roman" w:cs="Times New Roman" w:hAnsi="Times New Roman"/>
          <w:color w:val="auto"/>
        </w:rPr>
        <w:t>Kostova, T. and Zaheer, S. (1999) ‘Organizational legitimacy under conditions of complexity: the case of the multinational enterprise’, Academy of Management Review, 24(1), pp. 64–81. doi:10.5465/amr.1999.1580441.</w:t>
      </w:r>
    </w:p>
    <w:p w14:paraId="1796F0FE">
      <w:pPr>
        <w:pStyle w:val="style0"/>
        <w:spacing w:after="140" w:lineRule="auto" w:line="360"/>
        <w:ind w:left="720" w:hanging="720"/>
        <w:rPr>
          <w:rFonts w:ascii="Times New Roman" w:cs="Times New Roman" w:hAnsi="Times New Roman"/>
          <w:color w:val="auto"/>
        </w:rPr>
      </w:pPr>
      <w:r>
        <w:rPr>
          <w:rFonts w:ascii="Times New Roman" w:cs="Times New Roman" w:hAnsi="Times New Roman"/>
          <w:color w:val="auto"/>
        </w:rPr>
        <w:t>Lotz, A.D. (2021) ‘In between the global and the local: mapping the geographies of Netflix as a multinational service’, International Journal of Cultural Studies, 24(2), pp. 195–215. doi:10.1177/1367877920953166.</w:t>
      </w:r>
    </w:p>
    <w:p w14:paraId="14A7F70D">
      <w:pPr>
        <w:pStyle w:val="style0"/>
        <w:spacing w:after="140" w:lineRule="auto" w:line="360"/>
        <w:ind w:left="720" w:hanging="720"/>
        <w:rPr>
          <w:rFonts w:ascii="Times New Roman" w:cs="Times New Roman" w:hAnsi="Times New Roman"/>
          <w:color w:val="auto"/>
        </w:rPr>
      </w:pPr>
      <w:r>
        <w:rPr>
          <w:rFonts w:ascii="Times New Roman" w:cs="Times New Roman" w:hAnsi="Times New Roman"/>
          <w:color w:val="auto"/>
        </w:rPr>
        <w:t>Lotz, A.D., Eklund, O. and Soroka, S. (2022) ‘Netflix, library analysis, and globalization: rethinking mass media flows’, Journal of Communication, 72(4), pp. 511–521. doi:10.1093/joc/jqac020.</w:t>
      </w:r>
    </w:p>
    <w:p w14:paraId="0ABD58BC">
      <w:pPr>
        <w:pStyle w:val="style0"/>
        <w:spacing w:after="140" w:lineRule="auto" w:line="360"/>
        <w:ind w:left="720" w:hanging="720"/>
        <w:rPr>
          <w:rFonts w:ascii="Times New Roman" w:cs="Times New Roman" w:hAnsi="Times New Roman"/>
          <w:color w:val="auto"/>
        </w:rPr>
      </w:pPr>
      <w:r>
        <w:rPr>
          <w:rFonts w:ascii="Times New Roman" w:cs="Times New Roman" w:hAnsi="Times New Roman"/>
          <w:color w:val="auto"/>
        </w:rPr>
        <w:t>Meyer, K.E., Estrin, S., Bhaumik, S.K. and Peng, M.W. (2009) ‘Institutions, resources, and entry strategies in emerging economies’, Strategic Management Journal, 30(1), pp. 61–80. doi:10.1002/smj.720.</w:t>
      </w:r>
    </w:p>
    <w:p w14:paraId="1D01E1D1">
      <w:pPr>
        <w:pStyle w:val="style0"/>
        <w:spacing w:after="140" w:lineRule="auto" w:line="360"/>
        <w:ind w:left="720" w:hanging="720"/>
        <w:rPr>
          <w:rFonts w:ascii="Times New Roman" w:cs="Times New Roman" w:hAnsi="Times New Roman"/>
          <w:color w:val="auto"/>
        </w:rPr>
      </w:pPr>
      <w:r>
        <w:rPr>
          <w:rFonts w:ascii="Times New Roman" w:cs="Times New Roman" w:hAnsi="Times New Roman"/>
          <w:color w:val="auto"/>
        </w:rPr>
        <w:t>Moalla, E. and Mayrhofer, U. (2020) ‘How does distance affect market entry mode choice? Evidence from French companies’, European Management Journal, 38(1), pp. 135–145. doi:10.1016/j.emj.2019.08.003.</w:t>
      </w:r>
    </w:p>
    <w:p w14:paraId="6C40C745">
      <w:pPr>
        <w:pStyle w:val="style0"/>
        <w:spacing w:after="140" w:lineRule="auto" w:line="360"/>
        <w:ind w:left="720" w:hanging="720"/>
        <w:rPr>
          <w:rFonts w:ascii="Times New Roman" w:cs="Times New Roman" w:hAnsi="Times New Roman"/>
          <w:color w:val="auto"/>
        </w:rPr>
      </w:pPr>
      <w:r>
        <w:rPr>
          <w:rFonts w:ascii="Times New Roman" w:cs="Times New Roman" w:hAnsi="Times New Roman"/>
          <w:color w:val="auto"/>
        </w:rPr>
        <w:t xml:space="preserve">Netflix, Inc. (2026) Fourth quarter 2025 shareholder letter (Form 8-K). Los Gatos, CA: Netflix, Inc. Available at: https://www.sec.gov/cgi-bin/browse-edgar?action=getcompany&amp;CIK=0001065280 (Accessed: </w:t>
      </w:r>
      <w:r>
        <w:rPr>
          <w:rFonts w:ascii="Times New Roman" w:cs="Times New Roman" w:hAnsi="Times New Roman"/>
          <w:color w:val="auto"/>
        </w:rPr>
        <w:t>7</w:t>
      </w:r>
      <w:r>
        <w:rPr>
          <w:rFonts w:ascii="Times New Roman" w:cs="Times New Roman" w:hAnsi="Times New Roman"/>
          <w:color w:val="auto"/>
        </w:rPr>
        <w:t xml:space="preserve"> August 2026).</w:t>
      </w:r>
    </w:p>
    <w:p w14:paraId="0C2992B0">
      <w:pPr>
        <w:pStyle w:val="style0"/>
        <w:spacing w:after="140" w:lineRule="auto" w:line="360"/>
        <w:ind w:left="720" w:hanging="720"/>
        <w:rPr>
          <w:rFonts w:ascii="Times New Roman" w:cs="Times New Roman" w:hAnsi="Times New Roman"/>
          <w:color w:val="auto"/>
        </w:rPr>
      </w:pPr>
      <w:r>
        <w:rPr>
          <w:rFonts w:ascii="Times New Roman" w:cs="Times New Roman" w:hAnsi="Times New Roman"/>
          <w:color w:val="auto"/>
        </w:rPr>
        <w:t>Onyusheva, I. and Baker, A.S. (2021) ‘Netflix: a case study on international business strategy development’, The EUrASEANs: Journal on Global Socio-Economic Dynamics, 6(31), pp. 40–52.</w:t>
      </w:r>
    </w:p>
    <w:p w14:paraId="31ED1DB7">
      <w:pPr>
        <w:pStyle w:val="style0"/>
        <w:spacing w:after="140" w:lineRule="auto" w:line="360"/>
        <w:ind w:left="720" w:hanging="720"/>
        <w:rPr>
          <w:rFonts w:ascii="Times New Roman" w:cs="Times New Roman" w:hAnsi="Times New Roman"/>
          <w:color w:val="auto"/>
        </w:rPr>
      </w:pPr>
      <w:r>
        <w:rPr>
          <w:rFonts w:ascii="Times New Roman" w:cs="Times New Roman" w:hAnsi="Times New Roman"/>
          <w:color w:val="auto"/>
        </w:rPr>
        <w:t xml:space="preserve">Reuters (2017) Netflix clinches big licensing deal in China. 25 April. Available at: https://fortune.com/2017/04/25/netflix-licensing-deal-iqiyi/ (Accessed: </w:t>
      </w:r>
      <w:r>
        <w:rPr>
          <w:rFonts w:ascii="Times New Roman" w:cs="Times New Roman" w:hAnsi="Times New Roman"/>
          <w:color w:val="auto"/>
        </w:rPr>
        <w:t>9</w:t>
      </w:r>
      <w:r>
        <w:rPr>
          <w:rFonts w:ascii="Times New Roman" w:cs="Times New Roman" w:hAnsi="Times New Roman"/>
          <w:color w:val="auto"/>
        </w:rPr>
        <w:t xml:space="preserve"> August 2026).</w:t>
      </w:r>
    </w:p>
    <w:p w14:paraId="7099BCA9">
      <w:pPr>
        <w:pStyle w:val="style0"/>
        <w:spacing w:after="140" w:lineRule="auto" w:line="360"/>
        <w:ind w:left="720" w:hanging="720"/>
        <w:rPr>
          <w:rFonts w:ascii="Times New Roman" w:cs="Times New Roman" w:hAnsi="Times New Roman"/>
          <w:color w:val="auto"/>
        </w:rPr>
      </w:pPr>
      <w:r>
        <w:rPr>
          <w:rFonts w:ascii="Times New Roman" w:cs="Times New Roman" w:hAnsi="Times New Roman"/>
          <w:color w:val="auto"/>
        </w:rPr>
        <w:t xml:space="preserve">Rui, G. (2017) Netflix will license original content to China’s iQiyi. FilmTake. Available at: https://www.filmtake.com/streaming/netflix-will-license-original-content-chinas-iqiyi/ (Accessed: </w:t>
      </w:r>
      <w:r>
        <w:rPr>
          <w:rFonts w:ascii="Times New Roman" w:cs="Times New Roman" w:hAnsi="Times New Roman"/>
          <w:color w:val="auto"/>
        </w:rPr>
        <w:t>8</w:t>
      </w:r>
      <w:r>
        <w:rPr>
          <w:rFonts w:ascii="Times New Roman" w:cs="Times New Roman" w:hAnsi="Times New Roman"/>
          <w:color w:val="auto"/>
        </w:rPr>
        <w:t xml:space="preserve"> August 2026).</w:t>
      </w:r>
    </w:p>
    <w:p w14:paraId="54E78EA9">
      <w:pPr>
        <w:pStyle w:val="style0"/>
        <w:spacing w:after="140" w:lineRule="auto" w:line="360"/>
        <w:ind w:left="720" w:hanging="720"/>
        <w:rPr>
          <w:rFonts w:ascii="Times New Roman" w:cs="Times New Roman" w:hAnsi="Times New Roman"/>
          <w:color w:val="auto"/>
        </w:rPr>
      </w:pPr>
      <w:r>
        <w:rPr>
          <w:rFonts w:ascii="Times New Roman" w:cs="Times New Roman" w:hAnsi="Times New Roman"/>
          <w:color w:val="auto"/>
        </w:rPr>
        <w:t xml:space="preserve">Statista (2026) China: monthly active users of leading online video apps 2024. Available at: https://www.statista.com/statistics/910676/china-monthly-active-users-leading-online-video-apps/ (Accessed: </w:t>
      </w:r>
      <w:r>
        <w:rPr>
          <w:rFonts w:ascii="Times New Roman" w:cs="Times New Roman" w:hAnsi="Times New Roman"/>
          <w:color w:val="auto"/>
        </w:rPr>
        <w:t>7</w:t>
      </w:r>
      <w:r>
        <w:rPr>
          <w:rFonts w:ascii="Times New Roman" w:cs="Times New Roman" w:hAnsi="Times New Roman"/>
          <w:color w:val="auto"/>
        </w:rPr>
        <w:t xml:space="preserve"> August 2026).</w:t>
      </w:r>
    </w:p>
    <w:p w14:paraId="5258DF8E">
      <w:pPr>
        <w:pStyle w:val="style0"/>
        <w:spacing w:after="140" w:lineRule="auto" w:line="360"/>
        <w:ind w:left="720" w:hanging="720"/>
        <w:rPr>
          <w:rFonts w:ascii="Times New Roman" w:cs="Times New Roman" w:hAnsi="Times New Roman"/>
          <w:color w:val="auto"/>
        </w:rPr>
      </w:pPr>
      <w:r>
        <w:rPr>
          <w:rFonts w:ascii="Times New Roman" w:cs="Times New Roman" w:hAnsi="Times New Roman"/>
          <w:color w:val="auto"/>
        </w:rPr>
        <w:t>TechCrunch (2017) Netflix enters China via licensing deal with top video streaming service iQiyi. 25 April. Available at: https://techcrunch.com/2017/04/25/netflix-china-iqiyi/ (Accessed: 4 August 2026).</w:t>
      </w:r>
    </w:p>
    <w:p w14:paraId="36853596">
      <w:pPr>
        <w:pStyle w:val="style0"/>
        <w:spacing w:after="140" w:lineRule="auto" w:line="360"/>
        <w:ind w:left="720" w:hanging="720"/>
        <w:rPr>
          <w:rFonts w:ascii="Times New Roman" w:cs="Times New Roman" w:hAnsi="Times New Roman"/>
          <w:color w:val="auto"/>
        </w:rPr>
      </w:pPr>
      <w:r>
        <w:rPr>
          <w:rFonts w:ascii="Times New Roman" w:cs="Times New Roman" w:hAnsi="Times New Roman"/>
          <w:color w:val="auto"/>
        </w:rPr>
        <w:t xml:space="preserve">The Culture Factor Group (2023) Country comparison tool: China (Hofstede’s cultural dimensions). Available at: https://www.hofstede-insights.com/country-comparison-tool (Accessed: </w:t>
      </w:r>
      <w:r>
        <w:rPr>
          <w:rFonts w:ascii="Times New Roman" w:cs="Times New Roman" w:hAnsi="Times New Roman"/>
          <w:color w:val="auto"/>
        </w:rPr>
        <w:t>9</w:t>
      </w:r>
      <w:r>
        <w:rPr>
          <w:rFonts w:ascii="Times New Roman" w:cs="Times New Roman" w:hAnsi="Times New Roman"/>
          <w:color w:val="auto"/>
        </w:rPr>
        <w:t xml:space="preserve"> August 2026).</w:t>
      </w:r>
    </w:p>
    <w:p w14:paraId="2F657DA8">
      <w:pPr>
        <w:pStyle w:val="style0"/>
        <w:spacing w:after="140" w:lineRule="auto" w:line="360"/>
        <w:ind w:left="720" w:hanging="720"/>
        <w:rPr>
          <w:rFonts w:ascii="Times New Roman" w:cs="Times New Roman" w:hAnsi="Times New Roman"/>
          <w:color w:val="auto"/>
        </w:rPr>
      </w:pPr>
      <w:r>
        <w:rPr>
          <w:rFonts w:ascii="Times New Roman" w:cs="Times New Roman" w:hAnsi="Times New Roman"/>
          <w:color w:val="auto"/>
        </w:rPr>
        <w:t xml:space="preserve">University of Edinburgh (2020) Gibbs’ reflective cycle. Reflection Toolkit. Available at: https://www.ed.ac.uk/reflection/reflectors-toolkit/reflecting-on-experience/gibbs-reflective-cycle (Accessed: </w:t>
      </w:r>
      <w:r>
        <w:rPr>
          <w:rFonts w:ascii="Times New Roman" w:cs="Times New Roman" w:hAnsi="Times New Roman"/>
          <w:color w:val="auto"/>
        </w:rPr>
        <w:t>9</w:t>
      </w:r>
      <w:r>
        <w:rPr>
          <w:rFonts w:ascii="Times New Roman" w:cs="Times New Roman" w:hAnsi="Times New Roman"/>
          <w:color w:val="auto"/>
        </w:rPr>
        <w:t xml:space="preserve"> August 2026).</w:t>
      </w:r>
    </w:p>
    <w:p w14:paraId="6392586A">
      <w:pPr>
        <w:pStyle w:val="style0"/>
        <w:spacing w:after="140" w:lineRule="auto" w:line="360"/>
        <w:ind w:left="720" w:hanging="720"/>
        <w:rPr>
          <w:rFonts w:ascii="Times New Roman" w:cs="Times New Roman" w:hAnsi="Times New Roman"/>
          <w:color w:val="auto"/>
        </w:rPr>
      </w:pPr>
      <w:r>
        <w:rPr>
          <w:rFonts w:ascii="Times New Roman" w:cs="Times New Roman" w:hAnsi="Times New Roman"/>
          <w:color w:val="auto"/>
        </w:rPr>
        <w:t>Wayne, M.L. and Castro, D. (2021) ‘SVOD global expansion in cross-national comparative perspective: Netflix in Israel and Spain’, Television &amp; New Media, 22(8), pp. 896–913. doi:10.1177/1527476420926496.</w:t>
      </w:r>
    </w:p>
    <w:p w14:paraId="0056D82B">
      <w:pPr>
        <w:pStyle w:val="style0"/>
        <w:spacing w:after="140" w:lineRule="auto" w:line="360"/>
        <w:ind w:left="720" w:hanging="720"/>
        <w:rPr>
          <w:rFonts w:ascii="Times New Roman" w:cs="Times New Roman" w:hAnsi="Times New Roman"/>
          <w:color w:val="auto"/>
        </w:rPr>
      </w:pPr>
      <w:r>
        <w:rPr>
          <w:rFonts w:ascii="Times New Roman" w:cs="Times New Roman" w:hAnsi="Times New Roman"/>
          <w:color w:val="auto"/>
        </w:rPr>
        <w:t>Zaheer, S. (1995) ‘Overcoming the liability of foreignness’, Academy of Management Journal, 38(2), pp. 341–363. doi:10.2307/256683.</w:t>
      </w:r>
    </w:p>
    <w:p w14:paraId="1EAF8E30">
      <w:pPr>
        <w:pStyle w:val="style0"/>
        <w:spacing w:after="140" w:lineRule="auto" w:line="360"/>
        <w:ind w:left="720" w:hanging="720"/>
        <w:rPr>
          <w:rFonts w:ascii="Times New Roman" w:cs="Times New Roman" w:hAnsi="Times New Roman"/>
          <w:color w:val="auto"/>
        </w:rPr>
      </w:pPr>
      <w:r>
        <w:rPr>
          <w:rFonts w:ascii="Times New Roman" w:cs="Times New Roman" w:hAnsi="Times New Roman"/>
          <w:color w:val="auto"/>
        </w:rPr>
        <w:t>Zhao, E.J. (2018) ‘Negotiating state and copyright territorialities in overseas expansion: the case of China’s online video streaming platforms’, Media Industries Journal, 5(1), pp. 106–121. doi:10.3998/mij.15031809.0005.107.</w:t>
      </w:r>
    </w:p>
    <w:sectPr>
      <w:headerReference w:type="default" r:id="rId8"/>
      <w:footerReference w:type="default" r:id="rId9"/>
      <w:pgSz w:w="11906" w:h="16838" w:orient="portrait"/>
      <w:pgMar w:top="1440" w:right="1440" w:bottom="1440" w:left="1440" w:header="708" w:footer="708" w:gutter="0"/>
      <w:pgBorders w:zOrder="front" w:display="allPages" w:offsetFrom="page">
        <w:top w:val="single" w:sz="4" w:space="24" w:color="auto"/>
        <w:left w:val="single" w:sz="4" w:space="24" w:color="auto"/>
        <w:bottom w:val="single" w:sz="4" w:space="24" w:color="auto"/>
        <w:right w:val="single" w:sz="4" w:space="24" w:color="auto"/>
      </w:pgBorders>
      <w:pgNumType w:start="1"/>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altName w:val="Arial"/>
    <w:panose1 w:val="020b0604020002020204"/>
    <w:charset w:val="00"/>
    <w:family w:val="swiss"/>
    <w:pitch w:val="variable"/>
    <w:sig w:usb0="E0002EFF" w:usb1="C000785B" w:usb2="00000009" w:usb3="00000000" w:csb0="000001FF" w:csb1="00000000"/>
  </w:font>
  <w:font w:name="Times New Roman">
    <w:altName w:val="Times New Roman"/>
    <w:panose1 w:val="02020603050004020304"/>
    <w:charset w:val="00"/>
    <w:family w:val="roman"/>
    <w:pitch w:val="variable"/>
    <w:sig w:usb0="E0002EFF" w:usb1="C000785B" w:usb2="00000009" w:usb3="00000000" w:csb0="000001FF" w:csb1="00000000"/>
  </w:font>
  <w:font w:name="Aptos Display">
    <w:altName w:val="Aptos Display"/>
    <w:panose1 w:val="020b0004020002020204"/>
    <w:charset w:val="00"/>
    <w:family w:val="swiss"/>
    <w:pitch w:val="variable"/>
    <w:sig w:usb0="20000287" w:usb1="00000003" w:usb2="00000000" w:usb3="00000000" w:csb0="0000019F" w:csb1="00000000"/>
  </w:font>
  <w:font w:name="Aptos">
    <w:altName w:val="Aptos"/>
    <w:panose1 w:val="020b0004020002020204"/>
    <w:charset w:val="00"/>
    <w:family w:val="swiss"/>
    <w:pitch w:val="variable"/>
    <w:sig w:usb0="20000287" w:usb1="00000003" w:usb2="00000000" w:usb3="00000000" w:csb0="0000019F" w:csb1="00000000"/>
  </w:font>
</w:fonts>
</file>

<file path=word/footer2.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68911D92">
    <w:pPr>
      <w:pStyle w:val="style0"/>
      <w:jc w:val="center"/>
      <w:rPr/>
    </w:pPr>
    <w:r>
      <w:rPr>
        <w:color w:val="595959"/>
        <w:sz w:val="16"/>
        <w:szCs w:val="16"/>
      </w:rPr>
      <w:t xml:space="preserve">Page </w:t>
    </w:r>
    <w:r>
      <w:rPr>
        <w:color w:val="595959"/>
        <w:sz w:val="16"/>
        <w:szCs w:val="16"/>
      </w:rPr>
      <w:fldChar w:fldCharType="begin"/>
    </w:r>
    <w:r>
      <w:rPr>
        <w:color w:val="595959"/>
        <w:sz w:val="16"/>
        <w:szCs w:val="16"/>
      </w:rPr>
      <w:instrText>PAGE</w:instrText>
    </w:r>
    <w:r>
      <w:rPr>
        <w:color w:val="595959"/>
        <w:sz w:val="16"/>
        <w:szCs w:val="16"/>
      </w:rPr>
      <w:fldChar w:fldCharType="separate"/>
    </w:r>
    <w:r>
      <w:rPr>
        <w:noProof/>
        <w:color w:val="595959"/>
        <w:sz w:val="16"/>
        <w:szCs w:val="16"/>
      </w:rPr>
      <w:t>1</w:t>
    </w:r>
    <w:r>
      <w:rPr>
        <w:color w:val="595959"/>
        <w:sz w:val="16"/>
        <w:szCs w:val="16"/>
      </w:rPr>
      <w:fldChar w:fldCharType="end"/>
    </w:r>
    <w:r>
      <w:rPr>
        <w:color w:val="595959"/>
        <w:sz w:val="16"/>
        <w:szCs w:val="16"/>
      </w:rPr>
      <w:t xml:space="preserve"> of </w:t>
    </w:r>
    <w:r>
      <w:rPr>
        <w:color w:val="595959"/>
        <w:sz w:val="16"/>
        <w:szCs w:val="16"/>
      </w:rPr>
      <w:fldChar w:fldCharType="begin"/>
    </w:r>
    <w:r>
      <w:rPr>
        <w:color w:val="595959"/>
        <w:sz w:val="16"/>
        <w:szCs w:val="16"/>
      </w:rPr>
      <w:instrText>NUMPAGES</w:instrText>
    </w:r>
    <w:r>
      <w:rPr>
        <w:color w:val="595959"/>
        <w:sz w:val="16"/>
        <w:szCs w:val="16"/>
      </w:rPr>
      <w:fldChar w:fldCharType="separate"/>
    </w:r>
    <w:r>
      <w:rPr>
        <w:noProof/>
        <w:color w:val="595959"/>
        <w:sz w:val="16"/>
        <w:szCs w:val="16"/>
      </w:rPr>
      <w:t>3</w:t>
    </w:r>
    <w:r>
      <w:rPr>
        <w:color w:val="595959"/>
        <w:sz w:val="16"/>
        <w:szCs w:val="16"/>
      </w:rPr>
      <w:fldChar w:fldCharType="end"/>
    </w:r>
  </w:p>
</w:ftr>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1E04756C">
    <w:pPr>
      <w:pStyle w:val="style0"/>
      <w:jc w:val="righ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04090025"/>
    <w:lvl w:ilvl="0">
      <w:start w:val="1"/>
      <w:numFmt w:val="decimal"/>
      <w:pStyle w:val="style1"/>
      <w:lvlText w:val="%1"/>
      <w:lvlJc w:val="left"/>
      <w:pPr>
        <w:ind w:left="432" w:hanging="432"/>
      </w:pPr>
    </w:lvl>
    <w:lvl w:ilvl="1">
      <w:start w:val="1"/>
      <w:numFmt w:val="decimal"/>
      <w:pStyle w:val="style2"/>
      <w:lvlText w:val="%1.%2"/>
      <w:lvlJc w:val="left"/>
      <w:pPr>
        <w:ind w:left="576" w:hanging="576"/>
      </w:pPr>
    </w:lvl>
    <w:lvl w:ilvl="2">
      <w:start w:val="1"/>
      <w:numFmt w:val="decimal"/>
      <w:pStyle w:val="style3"/>
      <w:lvlText w:val="%1.%2.%3"/>
      <w:lvlJc w:val="left"/>
      <w:pPr>
        <w:ind w:left="720" w:hanging="720"/>
      </w:pPr>
    </w:lvl>
    <w:lvl w:ilvl="3">
      <w:start w:val="1"/>
      <w:numFmt w:val="decimal"/>
      <w:pStyle w:val="style4"/>
      <w:lvlText w:val="%1.%2.%3.%4"/>
      <w:lvlJc w:val="left"/>
      <w:pPr>
        <w:ind w:left="864" w:hanging="864"/>
      </w:pPr>
    </w:lvl>
    <w:lvl w:ilvl="4">
      <w:start w:val="1"/>
      <w:numFmt w:val="decimal"/>
      <w:pStyle w:val="style5"/>
      <w:lvlText w:val="%1.%2.%3.%4.%5"/>
      <w:lvlJc w:val="left"/>
      <w:pPr>
        <w:ind w:left="1008" w:hanging="1008"/>
      </w:pPr>
    </w:lvl>
    <w:lvl w:ilvl="5">
      <w:start w:val="1"/>
      <w:numFmt w:val="decimal"/>
      <w:pStyle w:val="style6"/>
      <w:lvlText w:val="%1.%2.%3.%4.%5.%6"/>
      <w:lvlJc w:val="left"/>
      <w:pPr>
        <w:ind w:left="1152" w:hanging="1152"/>
      </w:pPr>
    </w:lvl>
    <w:lvl w:ilvl="6">
      <w:start w:val="1"/>
      <w:numFmt w:val="decimal"/>
      <w:pStyle w:val="style7"/>
      <w:lvlText w:val="%1.%2.%3.%4.%5.%6.%7"/>
      <w:lvlJc w:val="left"/>
      <w:pPr>
        <w:ind w:left="1296" w:hanging="1296"/>
      </w:pPr>
    </w:lvl>
    <w:lvl w:ilvl="7">
      <w:start w:val="1"/>
      <w:numFmt w:val="decimal"/>
      <w:pStyle w:val="style8"/>
      <w:lvlText w:val="%1.%2.%3.%4.%5.%6.%7.%8"/>
      <w:lvlJc w:val="left"/>
      <w:pPr>
        <w:ind w:left="1440" w:hanging="1440"/>
      </w:pPr>
    </w:lvl>
    <w:lvl w:ilvl="8">
      <w:start w:val="1"/>
      <w:numFmt w:val="decimal"/>
      <w:pStyle w:val="style9"/>
      <w:lvlText w:val="%1.%2.%3.%4.%5.%6.%7.%8.%9"/>
      <w:lvlJc w:val="left"/>
      <w:pPr>
        <w:ind w:left="1584" w:hanging="1584"/>
      </w:pPr>
    </w:lvl>
  </w:abstractNum>
  <w:abstractNum w:abstractNumId="1">
    <w:nsid w:val="00000001"/>
    <w:multiLevelType w:val="hybridMultilevel"/>
    <w:tmpl w:val="815295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0000002"/>
    <w:multiLevelType w:val="hybridMultilevel"/>
    <w:tmpl w:val="1046B60C"/>
    <w:lvl w:ilvl="0" w:tplc="A1FA9FF4">
      <w:start w:val="1"/>
      <w:numFmt w:val="bullet"/>
      <w:lvlText w:val="●"/>
      <w:lvlJc w:val="left"/>
      <w:pPr>
        <w:ind w:left="720" w:hanging="360"/>
      </w:pPr>
    </w:lvl>
    <w:lvl w:ilvl="1" w:tplc="BC2A1B54">
      <w:start w:val="1"/>
      <w:numFmt w:val="bullet"/>
      <w:lvlText w:val="○"/>
      <w:lvlJc w:val="left"/>
      <w:pPr>
        <w:ind w:left="1440" w:hanging="360"/>
      </w:pPr>
    </w:lvl>
    <w:lvl w:ilvl="2" w:tplc="B17C7CD8">
      <w:start w:val="1"/>
      <w:numFmt w:val="bullet"/>
      <w:lvlText w:val="■"/>
      <w:lvlJc w:val="left"/>
      <w:pPr>
        <w:ind w:left="2160" w:hanging="360"/>
      </w:pPr>
    </w:lvl>
    <w:lvl w:ilvl="3" w:tplc="F0188C60">
      <w:start w:val="1"/>
      <w:numFmt w:val="bullet"/>
      <w:lvlText w:val="●"/>
      <w:lvlJc w:val="left"/>
      <w:pPr>
        <w:ind w:left="2880" w:hanging="360"/>
      </w:pPr>
    </w:lvl>
    <w:lvl w:ilvl="4" w:tplc="C3623C78">
      <w:start w:val="1"/>
      <w:numFmt w:val="bullet"/>
      <w:lvlText w:val="○"/>
      <w:lvlJc w:val="left"/>
      <w:pPr>
        <w:ind w:left="3600" w:hanging="360"/>
      </w:pPr>
    </w:lvl>
    <w:lvl w:ilvl="5" w:tplc="2F8A05C0">
      <w:start w:val="1"/>
      <w:numFmt w:val="bullet"/>
      <w:lvlText w:val="■"/>
      <w:lvlJc w:val="left"/>
      <w:pPr>
        <w:ind w:left="4320" w:hanging="360"/>
      </w:pPr>
    </w:lvl>
    <w:lvl w:ilvl="6" w:tplc="DB201850">
      <w:start w:val="1"/>
      <w:numFmt w:val="bullet"/>
      <w:lvlText w:val="●"/>
      <w:lvlJc w:val="left"/>
      <w:pPr>
        <w:ind w:left="5040" w:hanging="360"/>
      </w:pPr>
    </w:lvl>
    <w:lvl w:ilvl="7" w:tplc="1E82E5E6">
      <w:start w:val="1"/>
      <w:numFmt w:val="bullet"/>
      <w:lvlText w:val="●"/>
      <w:lvlJc w:val="left"/>
      <w:pPr>
        <w:ind w:left="5760" w:hanging="360"/>
      </w:pPr>
    </w:lvl>
    <w:lvl w:ilvl="8" w:tplc="468A6A7A">
      <w:start w:val="1"/>
      <w:numFmt w:val="bullet"/>
      <w:lvlText w:val="●"/>
      <w:lvlJc w:val="left"/>
      <w:pPr>
        <w:ind w:left="6480" w:hanging="360"/>
      </w:pPr>
    </w:lvl>
  </w:abstractNum>
  <w:abstractNum w:abstractNumId="3">
    <w:nsid w:val="00000003"/>
    <w:multiLevelType w:val="hybridMultilevel"/>
    <w:tmpl w:val="D5944270"/>
    <w:lvl w:ilvl="0" w:tplc="342AB08A">
      <w:start w:val="1"/>
      <w:numFmt w:val="bullet"/>
      <w:lvlText w:val="•"/>
      <w:lvlJc w:val="left"/>
      <w:pPr>
        <w:ind w:left="460" w:hanging="260"/>
      </w:pPr>
    </w:lvl>
    <w:lvl w:ilvl="1" w:tplc="15FE3486">
      <w:start w:val="1"/>
      <w:numFmt w:val="decimal"/>
      <w:lvlText w:val=""/>
      <w:lvlJc w:val="left"/>
      <w:pPr/>
    </w:lvl>
    <w:lvl w:ilvl="2" w:tplc="4F5E2986">
      <w:start w:val="1"/>
      <w:numFmt w:val="decimal"/>
      <w:lvlText w:val=""/>
      <w:lvlJc w:val="left"/>
      <w:pPr/>
    </w:lvl>
    <w:lvl w:ilvl="3" w:tplc="58DA226E">
      <w:start w:val="1"/>
      <w:numFmt w:val="decimal"/>
      <w:lvlText w:val=""/>
      <w:lvlJc w:val="left"/>
      <w:pPr/>
    </w:lvl>
    <w:lvl w:ilvl="4" w:tplc="185CEAD8">
      <w:start w:val="1"/>
      <w:numFmt w:val="decimal"/>
      <w:lvlText w:val=""/>
      <w:lvlJc w:val="left"/>
      <w:pPr/>
    </w:lvl>
    <w:lvl w:ilvl="5" w:tplc="F5D224E8">
      <w:start w:val="1"/>
      <w:numFmt w:val="decimal"/>
      <w:lvlText w:val=""/>
      <w:lvlJc w:val="left"/>
      <w:pPr/>
    </w:lvl>
    <w:lvl w:ilvl="6" w:tplc="5240B72C">
      <w:start w:val="1"/>
      <w:numFmt w:val="decimal"/>
      <w:lvlText w:val=""/>
      <w:lvlJc w:val="left"/>
      <w:pPr/>
    </w:lvl>
    <w:lvl w:ilvl="7" w:tplc="B67406B0">
      <w:start w:val="1"/>
      <w:numFmt w:val="decimal"/>
      <w:lvlText w:val=""/>
      <w:lvlJc w:val="left"/>
      <w:pPr/>
    </w:lvl>
    <w:lvl w:ilvl="8" w:tplc="F1A86DC8">
      <w:start w:val="1"/>
      <w:numFmt w:val="decimal"/>
      <w:lvlText w:val=""/>
      <w:lvlJc w:val="left"/>
      <w:pPr/>
    </w:lvl>
  </w:abstractNum>
  <w:num w:numId="1">
    <w:abstractNumId w:val="0"/>
  </w:num>
  <w:num w:numId="2">
    <w:abstractNumId w:val="2"/>
    <w:lvlOverride w:ilvl="0">
      <w:startOverride w:val="1"/>
    </w:lvlOverride>
  </w:num>
  <w:num w:numId="3">
    <w:abstractNumId w:val="1"/>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39"/>
  <w:removePersonalInformation/>
  <w:removeDateAndTime/>
  <w:displayBackgroundShape/>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Arial" w:cs="Arial" w:eastAsia="Arial" w:hAnsi="Arial"/>
        <w:color w:val="221f1f"/>
        <w:sz w:val="24"/>
        <w:szCs w:val="24"/>
        <w:lang w:val="en-US" w:bidi="ar-SA" w:eastAsia="en-US"/>
      </w:rPr>
    </w:rPrDefault>
    <w:pPrDefault>
      <w:pPr/>
    </w:pPrDefault>
  </w:docDefaults>
  <w:style w:type="paragraph" w:default="1" w:styleId="style0">
    <w:name w:val="Normal"/>
    <w:next w:val="style0"/>
    <w:qFormat/>
    <w:pPr/>
  </w:style>
  <w:style w:type="paragraph" w:styleId="style1">
    <w:name w:val="heading 1"/>
    <w:next w:val="style1"/>
    <w:qFormat/>
    <w:uiPriority w:val="9"/>
    <w:pPr>
      <w:numPr>
        <w:ilvl w:val="0"/>
        <w:numId w:val="1"/>
      </w:numPr>
      <w:spacing w:before="320" w:after="160"/>
      <w:outlineLvl w:val="0"/>
    </w:pPr>
    <w:rPr>
      <w:rFonts w:ascii="Times New Roman" w:hAnsi="Times New Roman"/>
      <w:b/>
      <w:bCs/>
      <w:color w:val="auto"/>
      <w:sz w:val="28"/>
      <w:szCs w:val="30"/>
    </w:rPr>
  </w:style>
  <w:style w:type="paragraph" w:styleId="style2">
    <w:name w:val="heading 2"/>
    <w:next w:val="style2"/>
    <w:qFormat/>
    <w:uiPriority w:val="9"/>
    <w:pPr>
      <w:numPr>
        <w:ilvl w:val="1"/>
        <w:numId w:val="1"/>
      </w:numPr>
      <w:spacing w:before="260" w:after="140"/>
      <w:outlineLvl w:val="1"/>
    </w:pPr>
    <w:rPr>
      <w:rFonts w:ascii="Times New Roman" w:hAnsi="Times New Roman"/>
      <w:b/>
      <w:bCs/>
      <w:color w:val="auto"/>
      <w:szCs w:val="26"/>
    </w:rPr>
  </w:style>
  <w:style w:type="paragraph" w:styleId="style3">
    <w:name w:val="heading 3"/>
    <w:next w:val="style3"/>
    <w:qFormat/>
    <w:uiPriority w:val="9"/>
    <w:pPr>
      <w:numPr>
        <w:ilvl w:val="2"/>
        <w:numId w:val="1"/>
      </w:numPr>
      <w:spacing w:before="200" w:after="120"/>
      <w:outlineLvl w:val="2"/>
    </w:pPr>
    <w:rPr>
      <w:rFonts w:ascii="Times New Roman" w:hAnsi="Times New Roman"/>
      <w:b/>
      <w:bCs/>
      <w:i/>
      <w:color w:val="auto"/>
    </w:rPr>
  </w:style>
  <w:style w:type="paragraph" w:styleId="style4">
    <w:name w:val="heading 4"/>
    <w:next w:val="style4"/>
    <w:qFormat/>
    <w:uiPriority w:val="9"/>
    <w:pPr>
      <w:numPr>
        <w:ilvl w:val="3"/>
        <w:numId w:val="1"/>
      </w:numPr>
      <w:outlineLvl w:val="3"/>
    </w:pPr>
    <w:rPr>
      <w:i/>
      <w:iCs/>
      <w:color w:val="2e74b5"/>
    </w:rPr>
  </w:style>
  <w:style w:type="paragraph" w:styleId="style5">
    <w:name w:val="heading 5"/>
    <w:next w:val="style5"/>
    <w:qFormat/>
    <w:uiPriority w:val="9"/>
    <w:pPr>
      <w:numPr>
        <w:ilvl w:val="4"/>
        <w:numId w:val="1"/>
      </w:numPr>
      <w:outlineLvl w:val="4"/>
    </w:pPr>
    <w:rPr>
      <w:color w:val="2e74b5"/>
    </w:rPr>
  </w:style>
  <w:style w:type="paragraph" w:styleId="style6">
    <w:name w:val="heading 6"/>
    <w:next w:val="style6"/>
    <w:qFormat/>
    <w:uiPriority w:val="9"/>
    <w:pPr>
      <w:numPr>
        <w:ilvl w:val="5"/>
        <w:numId w:val="1"/>
      </w:numPr>
      <w:outlineLvl w:val="5"/>
    </w:pPr>
    <w:rPr>
      <w:color w:val="1f4d78"/>
    </w:rPr>
  </w:style>
  <w:style w:type="paragraph" w:styleId="style7">
    <w:name w:val="heading 7"/>
    <w:basedOn w:val="style0"/>
    <w:next w:val="style0"/>
    <w:link w:val="style4103"/>
    <w:qFormat/>
    <w:uiPriority w:val="9"/>
    <w:pPr>
      <w:keepNext/>
      <w:keepLines/>
      <w:numPr>
        <w:ilvl w:val="6"/>
        <w:numId w:val="1"/>
      </w:numPr>
      <w:spacing w:before="40"/>
      <w:outlineLvl w:val="6"/>
    </w:pPr>
    <w:rPr>
      <w:rFonts w:ascii="Aptos Display" w:cs="宋体" w:eastAsia="宋体" w:hAnsi="Aptos Display"/>
      <w:i/>
      <w:iCs/>
      <w:color w:val="0a2f40"/>
    </w:rPr>
  </w:style>
  <w:style w:type="paragraph" w:styleId="style8">
    <w:name w:val="heading 8"/>
    <w:basedOn w:val="style0"/>
    <w:next w:val="style0"/>
    <w:link w:val="style4104"/>
    <w:qFormat/>
    <w:uiPriority w:val="9"/>
    <w:pPr>
      <w:keepNext/>
      <w:keepLines/>
      <w:numPr>
        <w:ilvl w:val="7"/>
        <w:numId w:val="1"/>
      </w:numPr>
      <w:spacing w:before="40"/>
      <w:outlineLvl w:val="7"/>
    </w:pPr>
    <w:rPr>
      <w:rFonts w:ascii="Aptos Display" w:cs="宋体" w:eastAsia="宋体" w:hAnsi="Aptos Display"/>
      <w:color w:val="272727"/>
      <w:sz w:val="21"/>
      <w:szCs w:val="21"/>
    </w:rPr>
  </w:style>
  <w:style w:type="paragraph" w:styleId="style9">
    <w:name w:val="heading 9"/>
    <w:basedOn w:val="style0"/>
    <w:next w:val="style0"/>
    <w:link w:val="style4105"/>
    <w:qFormat/>
    <w:uiPriority w:val="9"/>
    <w:pPr>
      <w:keepNext/>
      <w:keepLines/>
      <w:numPr>
        <w:ilvl w:val="8"/>
        <w:numId w:val="1"/>
      </w:numPr>
      <w:spacing w:before="40"/>
      <w:outlineLvl w:val="8"/>
    </w:pPr>
    <w:rPr>
      <w:rFonts w:ascii="Aptos Display" w:cs="宋体" w:eastAsia="宋体" w:hAnsi="Aptos Display"/>
      <w:i/>
      <w:iCs/>
      <w:color w:val="272727"/>
      <w:sz w:val="21"/>
      <w:szCs w:val="21"/>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62">
    <w:name w:val="Title"/>
    <w:next w:val="style62"/>
    <w:qFormat/>
    <w:uiPriority w:val="10"/>
    <w:pPr/>
    <w:rPr>
      <w:sz w:val="56"/>
      <w:szCs w:val="56"/>
    </w:rPr>
  </w:style>
  <w:style w:type="paragraph" w:customStyle="1" w:styleId="style4097">
    <w:name w:val="Strong1"/>
    <w:next w:val="style4097"/>
    <w:qFormat/>
    <w:pPr/>
    <w:rPr>
      <w:b/>
      <w:bCs/>
    </w:rPr>
  </w:style>
  <w:style w:type="paragraph" w:styleId="style179">
    <w:name w:val="List Paragraph"/>
    <w:next w:val="style179"/>
    <w:qFormat/>
    <w:pPr/>
  </w:style>
  <w:style w:type="character" w:styleId="style85">
    <w:name w:val="Hyperlink"/>
    <w:next w:val="style85"/>
    <w:uiPriority w:val="99"/>
    <w:rPr>
      <w:color w:val="0563c1"/>
      <w:u w:val="single"/>
    </w:rPr>
  </w:style>
  <w:style w:type="character" w:styleId="style38">
    <w:name w:val="footnote reference"/>
    <w:next w:val="style38"/>
    <w:uiPriority w:val="99"/>
    <w:rPr>
      <w:vertAlign w:val="superscript"/>
    </w:rPr>
  </w:style>
  <w:style w:type="paragraph" w:styleId="style29">
    <w:name w:val="footnote text"/>
    <w:next w:val="style29"/>
    <w:link w:val="style4098"/>
    <w:uiPriority w:val="99"/>
    <w:pPr/>
    <w:rPr>
      <w:sz w:val="20"/>
      <w:szCs w:val="20"/>
    </w:rPr>
  </w:style>
  <w:style w:type="character" w:customStyle="1" w:styleId="style4098">
    <w:name w:val="Footnote Text Char"/>
    <w:next w:val="style4098"/>
    <w:link w:val="style29"/>
    <w:uiPriority w:val="99"/>
    <w:rPr>
      <w:sz w:val="20"/>
      <w:szCs w:val="20"/>
    </w:rPr>
  </w:style>
  <w:style w:type="character" w:styleId="style42">
    <w:name w:val="endnote reference"/>
    <w:next w:val="style42"/>
    <w:uiPriority w:val="99"/>
    <w:rPr>
      <w:vertAlign w:val="superscript"/>
    </w:rPr>
  </w:style>
  <w:style w:type="paragraph" w:styleId="style43">
    <w:name w:val="endnote text"/>
    <w:next w:val="style43"/>
    <w:link w:val="style4099"/>
    <w:uiPriority w:val="99"/>
    <w:pPr/>
    <w:rPr>
      <w:sz w:val="20"/>
      <w:szCs w:val="20"/>
    </w:rPr>
  </w:style>
  <w:style w:type="character" w:customStyle="1" w:styleId="style4099">
    <w:name w:val="Endnote Text Char"/>
    <w:next w:val="style4099"/>
    <w:link w:val="style43"/>
    <w:uiPriority w:val="99"/>
    <w:rPr>
      <w:sz w:val="20"/>
      <w:szCs w:val="20"/>
    </w:rPr>
  </w:style>
  <w:style w:type="paragraph" w:styleId="style31">
    <w:name w:val="header"/>
    <w:basedOn w:val="style0"/>
    <w:next w:val="style31"/>
    <w:link w:val="style4100"/>
    <w:uiPriority w:val="99"/>
    <w:pPr>
      <w:tabs>
        <w:tab w:val="center" w:leader="none" w:pos="4680"/>
        <w:tab w:val="right" w:leader="none" w:pos="9360"/>
      </w:tabs>
    </w:pPr>
    <w:rPr/>
  </w:style>
  <w:style w:type="character" w:customStyle="1" w:styleId="style4100">
    <w:name w:val="Header Char_dd259e8b-0d0b-480d-b039-798498d3b4e0"/>
    <w:basedOn w:val="style65"/>
    <w:next w:val="style4100"/>
    <w:link w:val="style31"/>
    <w:uiPriority w:val="99"/>
  </w:style>
  <w:style w:type="paragraph" w:styleId="style32">
    <w:name w:val="footer"/>
    <w:basedOn w:val="style0"/>
    <w:next w:val="style32"/>
    <w:link w:val="style4101"/>
    <w:uiPriority w:val="99"/>
    <w:pPr>
      <w:tabs>
        <w:tab w:val="center" w:leader="none" w:pos="4680"/>
        <w:tab w:val="right" w:leader="none" w:pos="9360"/>
      </w:tabs>
    </w:pPr>
    <w:rPr/>
  </w:style>
  <w:style w:type="character" w:customStyle="1" w:styleId="style4101">
    <w:name w:val="Footer Char_db7d3e44-5ef5-4718-bd23-50cf50b6bbbc"/>
    <w:basedOn w:val="style65"/>
    <w:next w:val="style4101"/>
    <w:link w:val="style32"/>
    <w:uiPriority w:val="99"/>
  </w:style>
  <w:style w:type="paragraph" w:styleId="style266">
    <w:name w:val="TOC Heading"/>
    <w:basedOn w:val="style1"/>
    <w:next w:val="style0"/>
    <w:qFormat/>
    <w:uiPriority w:val="39"/>
    <w:pPr>
      <w:keepNext/>
      <w:keepLines/>
      <w:spacing w:before="240" w:after="0" w:lineRule="auto" w:line="259"/>
      <w:outlineLvl w:val="9"/>
    </w:pPr>
    <w:rPr>
      <w:rFonts w:ascii="Aptos Display" w:cs="宋体" w:eastAsia="宋体" w:hAnsi="Aptos Display"/>
      <w:b w:val="false"/>
      <w:bCs w:val="false"/>
      <w:color w:val="0f4761"/>
      <w:sz w:val="32"/>
      <w:szCs w:val="32"/>
    </w:rPr>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40"/>
    </w:pPr>
    <w:rPr/>
  </w:style>
  <w:style w:type="paragraph" w:styleId="style21">
    <w:name w:val="toc 3"/>
    <w:basedOn w:val="style0"/>
    <w:next w:val="style0"/>
    <w:uiPriority w:val="39"/>
    <w:pPr>
      <w:spacing w:after="100"/>
      <w:ind w:left="480"/>
    </w:pPr>
    <w:rPr/>
  </w:style>
  <w:style w:type="table" w:customStyle="1" w:styleId="style4102">
    <w:name w:val="Grid Table 4 Accent 1"/>
    <w:basedOn w:val="style105"/>
    <w:next w:val="style4102"/>
    <w:uiPriority w:val="49"/>
    <w:pPr/>
    <w:rPr/>
    <w:tblPr>
      <w:tblStyleRowBandSize w:val="1"/>
      <w:tblStyleColBandSize w:val="1"/>
      <w:tblBorders>
        <w:top w:val="single" w:sz="4" w:space="0" w:color="45b0e1"/>
        <w:left w:val="single" w:sz="4" w:space="0" w:color="45b0e1"/>
        <w:bottom w:val="single" w:sz="4" w:space="0" w:color="45b0e1"/>
        <w:right w:val="single" w:sz="4" w:space="0" w:color="45b0e1"/>
        <w:insideH w:val="single" w:sz="4" w:space="0" w:color="45b0e1"/>
        <w:insideV w:val="single" w:sz="4" w:space="0" w:color="45b0e1"/>
      </w:tblBorders>
    </w:tblPr>
    <w:tblStylePr w:type="firstRow">
      <w:pPr/>
      <w:rPr>
        <w:b/>
        <w:bCs/>
        <w:color w:val="ffffff"/>
      </w:rPr>
      <w:tblPr/>
      <w:tcPr>
        <w:tcBorders>
          <w:top w:val="single" w:sz="4" w:space="0" w:color="156082"/>
          <w:left w:val="single" w:sz="4" w:space="0" w:color="156082"/>
          <w:bottom w:val="single" w:sz="4" w:space="0" w:color="156082"/>
          <w:right w:val="single" w:sz="4" w:space="0" w:color="156082"/>
          <w:insideH w:val="nil"/>
          <w:insideV w:val="nil"/>
        </w:tcBorders>
        <w:shd w:val="clear" w:color="auto" w:fill="156082"/>
      </w:tcPr>
    </w:tblStylePr>
    <w:tblStylePr w:type="lastRow">
      <w:pPr/>
      <w:rPr>
        <w:b/>
        <w:bCs/>
      </w:rPr>
      <w:tblPr/>
      <w:tcPr>
        <w:tcBorders>
          <w:top w:val="double" w:sz="4" w:space="0" w:color="156082"/>
        </w:tcBorders>
      </w:tcPr>
    </w:tblStylePr>
    <w:tblStylePr w:type="band1Horz">
      <w:pPr/>
      <w:tblPr/>
      <w:tcPr>
        <w:tcBorders/>
        <w:shd w:val="clear" w:color="auto" w:fill="c1e4f5"/>
      </w:tcPr>
    </w:tblStylePr>
    <w:tblStylePr w:type="firstCol">
      <w:pPr/>
      <w:rPr>
        <w:b/>
        <w:bCs/>
      </w:rPr>
      <w:tcPr>
        <w:tcBorders/>
      </w:tcPr>
    </w:tblStylePr>
    <w:tblStylePr w:type="lastCol">
      <w:pPr/>
      <w:rPr>
        <w:b/>
        <w:bCs/>
      </w:rPr>
      <w:tcPr>
        <w:tcBorders/>
      </w:tcPr>
    </w:tblStylePr>
    <w:tblStylePr w:type="band1Vert">
      <w:pPr/>
      <w:tblPr/>
      <w:tcPr>
        <w:tcBorders/>
        <w:shd w:val="clear" w:color="auto" w:fill="c1e4f5"/>
      </w:tcPr>
    </w:tblStylePr>
    <w:tcPr>
      <w:tcBorders/>
    </w:tcPr>
  </w:style>
  <w:style w:type="character" w:customStyle="1" w:styleId="style4103">
    <w:name w:val="Heading 7 Char_71e03268-36d1-488a-bfd7-14ce3a3fa30c"/>
    <w:basedOn w:val="style65"/>
    <w:next w:val="style4103"/>
    <w:link w:val="style7"/>
    <w:uiPriority w:val="9"/>
    <w:rPr>
      <w:rFonts w:ascii="Aptos Display" w:cs="宋体" w:eastAsia="宋体" w:hAnsi="Aptos Display"/>
      <w:i/>
      <w:iCs/>
      <w:color w:val="0a2f40"/>
    </w:rPr>
  </w:style>
  <w:style w:type="character" w:customStyle="1" w:styleId="style4104">
    <w:name w:val="Heading 8 Char_de9c8019-b2d9-4153-b7d7-e6309717ee5e"/>
    <w:basedOn w:val="style65"/>
    <w:next w:val="style4104"/>
    <w:link w:val="style8"/>
    <w:uiPriority w:val="9"/>
    <w:rPr>
      <w:rFonts w:ascii="Aptos Display" w:cs="宋体" w:eastAsia="宋体" w:hAnsi="Aptos Display"/>
      <w:color w:val="272727"/>
      <w:sz w:val="21"/>
      <w:szCs w:val="21"/>
    </w:rPr>
  </w:style>
  <w:style w:type="character" w:customStyle="1" w:styleId="style4105">
    <w:name w:val="Heading 9 Char_19da864d-34f7-4978-aa8f-51d8357dad63"/>
    <w:basedOn w:val="style65"/>
    <w:next w:val="style4105"/>
    <w:link w:val="style9"/>
    <w:uiPriority w:val="9"/>
    <w:rPr>
      <w:rFonts w:ascii="Aptos Display" w:cs="宋体" w:eastAsia="宋体" w:hAnsi="Aptos Display"/>
      <w:i/>
      <w:iCs/>
      <w:color w:val="272727"/>
      <w:sz w:val="21"/>
      <w:szCs w:val="21"/>
    </w:rPr>
  </w:style>
</w:styles>
</file>

<file path=word/_rels/document.xml.rels><?xml version="1.0" encoding="UTF-8"?>
<Relationships xmlns="http://schemas.openxmlformats.org/package/2006/relationships"><Relationship Id="rId11" Type="http://schemas.openxmlformats.org/officeDocument/2006/relationships/fontTable" Target="fontTable.xml"/><Relationship Id="rId10" Type="http://schemas.openxmlformats.org/officeDocument/2006/relationships/styles" Target="styles.xml"/><Relationship Id="rId13" Type="http://schemas.openxmlformats.org/officeDocument/2006/relationships/theme" Target="theme/theme1.xml"/><Relationship Id="rId12" Type="http://schemas.openxmlformats.org/officeDocument/2006/relationships/settings" Target="settings.xml"/><Relationship Id="rId1" Type="http://schemas.openxmlformats.org/officeDocument/2006/relationships/numbering" Target="numbering.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image" Target="media/image3.png"/><Relationship Id="rId9" Type="http://schemas.openxmlformats.org/officeDocument/2006/relationships/footer" Target="footer2.xml"/><Relationship Id="rId14" Type="http://schemas.openxmlformats.org/officeDocument/2006/relationships/customXml" Target="../customXml/item1.xml"/><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2.jpeg"/><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CA8ECE-10E5-47C1-B429-31D3FFEE20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Words>6348</Words>
  <Pages>23</Pages>
  <Characters>36731</Characters>
  <Application>WPS Office</Application>
  <DocSecurity>0</DocSecurity>
  <Paragraphs>222</Paragraphs>
  <ScaleCrop>false</ScaleCrop>
  <LinksUpToDate>false</LinksUpToDate>
  <CharactersWithSpaces>42902</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2026-08-13T21:04:00Z</dcterms:created>
  <dc:creator>WPS Office</dc:creator>
  <lastModifiedBy>RMX3785</lastModifiedBy>
  <dcterms:modified xsi:type="dcterms:W3CDTF">2026-08-14T09:36:15Z</dcterms:modified>
  <revision>1</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c633edcaaac64716a64958207ef5adff_23</vt:lpwstr>
  </property>
</Properties>
</file>