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284D5D8F" w:rsidR="004E568D" w:rsidRPr="00C319EB"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68D68C68" w:rsidR="004A7D3D" w:rsidRPr="004A1148" w:rsidRDefault="003D566C" w:rsidP="00F5276B">
            <w:pPr>
              <w:pStyle w:val="TableText"/>
              <w:ind w:left="284"/>
              <w:rPr>
                <w:rFonts w:cs="Arial"/>
              </w:rPr>
            </w:pPr>
            <w:r>
              <w:rPr>
                <w:rFonts w:cs="Arial"/>
              </w:rPr>
              <w:t>B</w:t>
            </w:r>
          </w:p>
        </w:tc>
        <w:tc>
          <w:tcPr>
            <w:tcW w:w="2561" w:type="dxa"/>
            <w:vAlign w:val="bottom"/>
          </w:tcPr>
          <w:p w14:paraId="325D5AA6" w14:textId="36025762" w:rsidR="004A7D3D" w:rsidRPr="004A1148" w:rsidRDefault="003D566C" w:rsidP="00F5276B">
            <w:pPr>
              <w:pStyle w:val="TableText"/>
              <w:rPr>
                <w:rFonts w:cs="Arial"/>
              </w:rPr>
            </w:pPr>
            <w:r>
              <w:rPr>
                <w:rFonts w:cs="Arial"/>
                <w:color w:val="000000"/>
                <w:shd w:val="clear" w:color="auto" w:fill="F7F7F7"/>
              </w:rPr>
              <w:t>172.16.0.0</w:t>
            </w:r>
          </w:p>
        </w:tc>
        <w:tc>
          <w:tcPr>
            <w:tcW w:w="2552" w:type="dxa"/>
          </w:tcPr>
          <w:p w14:paraId="64D79944" w14:textId="4BAD5117" w:rsidR="004A7D3D" w:rsidRPr="004A1148" w:rsidRDefault="003D566C" w:rsidP="00F5276B">
            <w:pPr>
              <w:pStyle w:val="TableText"/>
              <w:rPr>
                <w:rFonts w:cs="Arial"/>
              </w:rPr>
            </w:pPr>
            <w:r>
              <w:rPr>
                <w:rFonts w:cs="Arial"/>
              </w:rPr>
              <w:t>255.255.248.0</w:t>
            </w:r>
          </w:p>
        </w:tc>
        <w:tc>
          <w:tcPr>
            <w:tcW w:w="2724" w:type="dxa"/>
            <w:vAlign w:val="bottom"/>
          </w:tcPr>
          <w:p w14:paraId="426B55D1" w14:textId="72BF72CB" w:rsidR="004A7D3D" w:rsidRPr="004A1148" w:rsidRDefault="003D566C" w:rsidP="00F5276B">
            <w:pPr>
              <w:pStyle w:val="TableText"/>
              <w:rPr>
                <w:rFonts w:cs="Arial"/>
              </w:rPr>
            </w:pPr>
            <w:r>
              <w:rPr>
                <w:rFonts w:cs="Arial"/>
              </w:rPr>
              <w:t>172.16.0.1</w:t>
            </w:r>
          </w:p>
        </w:tc>
        <w:tc>
          <w:tcPr>
            <w:tcW w:w="2922" w:type="dxa"/>
            <w:vAlign w:val="bottom"/>
          </w:tcPr>
          <w:p w14:paraId="2AC7FFA7" w14:textId="080E7191" w:rsidR="004A7D3D" w:rsidRPr="004A1148" w:rsidRDefault="003D566C" w:rsidP="00F5276B">
            <w:pPr>
              <w:pStyle w:val="TableText"/>
              <w:rPr>
                <w:rFonts w:cs="Arial"/>
              </w:rPr>
            </w:pPr>
            <w:r>
              <w:rPr>
                <w:rFonts w:cs="Arial"/>
              </w:rPr>
              <w:t>172.16.7.254</w:t>
            </w:r>
          </w:p>
        </w:tc>
        <w:tc>
          <w:tcPr>
            <w:tcW w:w="2905" w:type="dxa"/>
            <w:vAlign w:val="bottom"/>
          </w:tcPr>
          <w:p w14:paraId="55A78382" w14:textId="5F2268C0" w:rsidR="004A7D3D" w:rsidRPr="004A1148" w:rsidRDefault="003D566C" w:rsidP="00F5276B">
            <w:pPr>
              <w:pStyle w:val="TableText"/>
              <w:ind w:left="284"/>
              <w:rPr>
                <w:rFonts w:cs="Arial"/>
              </w:rPr>
            </w:pPr>
            <w:r>
              <w:rPr>
                <w:rFonts w:cs="Arial"/>
              </w:rPr>
              <w:t>172.16.7.255</w:t>
            </w:r>
          </w:p>
        </w:tc>
      </w:tr>
      <w:tr w:rsidR="004A7D3D" w:rsidRPr="004A1148" w14:paraId="25431512" w14:textId="77777777" w:rsidTr="005554AB">
        <w:trPr>
          <w:cantSplit/>
          <w:trHeight w:val="510"/>
          <w:jc w:val="center"/>
        </w:trPr>
        <w:tc>
          <w:tcPr>
            <w:tcW w:w="1412" w:type="dxa"/>
            <w:vAlign w:val="bottom"/>
          </w:tcPr>
          <w:p w14:paraId="6A6FC7F1" w14:textId="48966C25" w:rsidR="004A7D3D" w:rsidRPr="004A1148" w:rsidRDefault="003D566C" w:rsidP="00F5276B">
            <w:pPr>
              <w:pStyle w:val="TableText"/>
              <w:ind w:left="284"/>
              <w:rPr>
                <w:rFonts w:cs="Arial"/>
              </w:rPr>
            </w:pPr>
            <w:r>
              <w:rPr>
                <w:rFonts w:cs="Arial"/>
              </w:rPr>
              <w:t>D</w:t>
            </w:r>
          </w:p>
        </w:tc>
        <w:tc>
          <w:tcPr>
            <w:tcW w:w="2561" w:type="dxa"/>
            <w:vAlign w:val="bottom"/>
          </w:tcPr>
          <w:p w14:paraId="5D565D23" w14:textId="3504D598" w:rsidR="004A7D3D" w:rsidRPr="004A1148" w:rsidRDefault="003D566C" w:rsidP="00F5276B">
            <w:pPr>
              <w:pStyle w:val="TableText"/>
              <w:rPr>
                <w:rFonts w:cs="Arial"/>
              </w:rPr>
            </w:pPr>
            <w:r>
              <w:rPr>
                <w:rFonts w:cs="Arial"/>
              </w:rPr>
              <w:t>172.16.8.0</w:t>
            </w:r>
          </w:p>
        </w:tc>
        <w:tc>
          <w:tcPr>
            <w:tcW w:w="2552" w:type="dxa"/>
          </w:tcPr>
          <w:p w14:paraId="5E77A652" w14:textId="3764DC89" w:rsidR="004A7D3D" w:rsidRPr="004A1148" w:rsidRDefault="003D566C" w:rsidP="00F5276B">
            <w:pPr>
              <w:pStyle w:val="TableText"/>
              <w:rPr>
                <w:rFonts w:cs="Arial"/>
              </w:rPr>
            </w:pPr>
            <w:r>
              <w:rPr>
                <w:rFonts w:cs="Arial"/>
              </w:rPr>
              <w:t>255.255.254.0</w:t>
            </w:r>
          </w:p>
        </w:tc>
        <w:tc>
          <w:tcPr>
            <w:tcW w:w="2724" w:type="dxa"/>
            <w:vAlign w:val="bottom"/>
          </w:tcPr>
          <w:p w14:paraId="553FF9D4" w14:textId="470DA6E3" w:rsidR="004A7D3D" w:rsidRPr="004A1148" w:rsidRDefault="003D566C" w:rsidP="00F5276B">
            <w:pPr>
              <w:pStyle w:val="TableText"/>
              <w:rPr>
                <w:rFonts w:cs="Arial"/>
              </w:rPr>
            </w:pPr>
            <w:r>
              <w:rPr>
                <w:rFonts w:cs="Arial"/>
              </w:rPr>
              <w:t>172.16.8.1</w:t>
            </w:r>
          </w:p>
        </w:tc>
        <w:tc>
          <w:tcPr>
            <w:tcW w:w="2922" w:type="dxa"/>
            <w:vAlign w:val="bottom"/>
          </w:tcPr>
          <w:p w14:paraId="12602C5C" w14:textId="4F8681C2" w:rsidR="004A7D3D" w:rsidRPr="004A1148" w:rsidRDefault="003D566C" w:rsidP="00F5276B">
            <w:pPr>
              <w:pStyle w:val="TableText"/>
              <w:rPr>
                <w:rFonts w:cs="Arial"/>
              </w:rPr>
            </w:pPr>
            <w:r>
              <w:rPr>
                <w:rFonts w:cs="Arial"/>
              </w:rPr>
              <w:t>172.16.9.254</w:t>
            </w:r>
          </w:p>
        </w:tc>
        <w:tc>
          <w:tcPr>
            <w:tcW w:w="2905" w:type="dxa"/>
            <w:vAlign w:val="bottom"/>
          </w:tcPr>
          <w:p w14:paraId="0E927FF2" w14:textId="32B00211" w:rsidR="004A7D3D" w:rsidRPr="004A1148" w:rsidRDefault="003D566C" w:rsidP="00F5276B">
            <w:pPr>
              <w:pStyle w:val="TableText"/>
              <w:ind w:left="284"/>
              <w:rPr>
                <w:rFonts w:cs="Arial"/>
              </w:rPr>
            </w:pPr>
            <w:r>
              <w:rPr>
                <w:rFonts w:cs="Arial"/>
              </w:rPr>
              <w:t>172.16.9.255</w:t>
            </w:r>
          </w:p>
        </w:tc>
      </w:tr>
      <w:tr w:rsidR="004A7D3D" w:rsidRPr="004A1148" w14:paraId="1804910C" w14:textId="77777777" w:rsidTr="005554AB">
        <w:trPr>
          <w:cantSplit/>
          <w:trHeight w:val="510"/>
          <w:jc w:val="center"/>
        </w:trPr>
        <w:tc>
          <w:tcPr>
            <w:tcW w:w="1412" w:type="dxa"/>
            <w:vAlign w:val="bottom"/>
          </w:tcPr>
          <w:p w14:paraId="198C292F" w14:textId="23A05985" w:rsidR="004A7D3D" w:rsidRPr="004A1148" w:rsidRDefault="003D566C" w:rsidP="00F5276B">
            <w:pPr>
              <w:pStyle w:val="TableText"/>
              <w:ind w:left="284"/>
              <w:rPr>
                <w:rFonts w:cs="Arial"/>
              </w:rPr>
            </w:pPr>
            <w:r>
              <w:rPr>
                <w:rFonts w:cs="Arial"/>
              </w:rPr>
              <w:t>F</w:t>
            </w:r>
          </w:p>
        </w:tc>
        <w:tc>
          <w:tcPr>
            <w:tcW w:w="2561" w:type="dxa"/>
            <w:vAlign w:val="bottom"/>
          </w:tcPr>
          <w:p w14:paraId="3114BB27" w14:textId="0910C7E6" w:rsidR="004A7D3D" w:rsidRPr="004A1148" w:rsidRDefault="003D566C" w:rsidP="00F5276B">
            <w:pPr>
              <w:pStyle w:val="TableText"/>
              <w:rPr>
                <w:rFonts w:cs="Arial"/>
              </w:rPr>
            </w:pPr>
            <w:r>
              <w:rPr>
                <w:rFonts w:cs="Arial"/>
              </w:rPr>
              <w:t>172.16.10.0</w:t>
            </w:r>
          </w:p>
        </w:tc>
        <w:tc>
          <w:tcPr>
            <w:tcW w:w="2552" w:type="dxa"/>
          </w:tcPr>
          <w:p w14:paraId="0D8FD5C7" w14:textId="00F6B7E3" w:rsidR="004A7D3D" w:rsidRPr="004A1148" w:rsidRDefault="003D566C" w:rsidP="00F5276B">
            <w:pPr>
              <w:pStyle w:val="TableText"/>
              <w:rPr>
                <w:rFonts w:cs="Arial"/>
              </w:rPr>
            </w:pPr>
            <w:r>
              <w:rPr>
                <w:rFonts w:cs="Arial"/>
              </w:rPr>
              <w:t>255.255.255.0</w:t>
            </w:r>
          </w:p>
        </w:tc>
        <w:tc>
          <w:tcPr>
            <w:tcW w:w="2724" w:type="dxa"/>
            <w:vAlign w:val="bottom"/>
          </w:tcPr>
          <w:p w14:paraId="035CA129" w14:textId="54BB7DDF" w:rsidR="004A7D3D" w:rsidRPr="004A1148" w:rsidRDefault="003D566C" w:rsidP="00F5276B">
            <w:pPr>
              <w:pStyle w:val="TableText"/>
              <w:rPr>
                <w:rFonts w:cs="Arial"/>
              </w:rPr>
            </w:pPr>
            <w:r>
              <w:rPr>
                <w:rFonts w:cs="Arial"/>
              </w:rPr>
              <w:t>172.16.10.1</w:t>
            </w:r>
          </w:p>
        </w:tc>
        <w:tc>
          <w:tcPr>
            <w:tcW w:w="2922" w:type="dxa"/>
            <w:vAlign w:val="bottom"/>
          </w:tcPr>
          <w:p w14:paraId="139F5B25" w14:textId="37B54F68" w:rsidR="004A7D3D" w:rsidRPr="004A1148" w:rsidRDefault="003D566C" w:rsidP="00F5276B">
            <w:pPr>
              <w:pStyle w:val="TableText"/>
              <w:rPr>
                <w:rFonts w:cs="Arial"/>
              </w:rPr>
            </w:pPr>
            <w:r>
              <w:rPr>
                <w:rFonts w:cs="Arial"/>
              </w:rPr>
              <w:t>172.16.10.254</w:t>
            </w:r>
          </w:p>
        </w:tc>
        <w:tc>
          <w:tcPr>
            <w:tcW w:w="2905" w:type="dxa"/>
            <w:vAlign w:val="bottom"/>
          </w:tcPr>
          <w:p w14:paraId="63784539" w14:textId="277693D6" w:rsidR="004A7D3D" w:rsidRPr="004A1148" w:rsidRDefault="003D566C" w:rsidP="00F5276B">
            <w:pPr>
              <w:pStyle w:val="TableText"/>
              <w:ind w:left="284"/>
              <w:rPr>
                <w:rFonts w:cs="Arial"/>
              </w:rPr>
            </w:pPr>
            <w:r>
              <w:rPr>
                <w:rFonts w:cs="Arial"/>
              </w:rPr>
              <w:t>172.16.10.255</w:t>
            </w:r>
          </w:p>
        </w:tc>
      </w:tr>
      <w:tr w:rsidR="004A7D3D" w:rsidRPr="004A1148" w14:paraId="6FCEA750" w14:textId="77777777" w:rsidTr="005554AB">
        <w:trPr>
          <w:cantSplit/>
          <w:trHeight w:val="510"/>
          <w:jc w:val="center"/>
        </w:trPr>
        <w:tc>
          <w:tcPr>
            <w:tcW w:w="1412" w:type="dxa"/>
            <w:vAlign w:val="bottom"/>
          </w:tcPr>
          <w:p w14:paraId="023D3E13" w14:textId="0B12301E" w:rsidR="004A7D3D" w:rsidRPr="004A1148" w:rsidRDefault="003D566C" w:rsidP="00F5276B">
            <w:pPr>
              <w:pStyle w:val="TableText"/>
              <w:ind w:left="284"/>
              <w:rPr>
                <w:rFonts w:cs="Arial"/>
              </w:rPr>
            </w:pPr>
            <w:r>
              <w:rPr>
                <w:rFonts w:cs="Arial"/>
              </w:rPr>
              <w:t>E</w:t>
            </w:r>
          </w:p>
        </w:tc>
        <w:tc>
          <w:tcPr>
            <w:tcW w:w="2561" w:type="dxa"/>
            <w:vAlign w:val="bottom"/>
          </w:tcPr>
          <w:p w14:paraId="028301AC" w14:textId="0B911684" w:rsidR="004A7D3D" w:rsidRPr="004A1148" w:rsidRDefault="003D566C" w:rsidP="00F5276B">
            <w:pPr>
              <w:pStyle w:val="TableText"/>
              <w:rPr>
                <w:rFonts w:cs="Arial"/>
              </w:rPr>
            </w:pPr>
            <w:r>
              <w:rPr>
                <w:rFonts w:cs="Arial"/>
              </w:rPr>
              <w:t>172.16.11.0</w:t>
            </w:r>
          </w:p>
        </w:tc>
        <w:tc>
          <w:tcPr>
            <w:tcW w:w="2552" w:type="dxa"/>
          </w:tcPr>
          <w:p w14:paraId="0E107CA2" w14:textId="417D32BB" w:rsidR="004A7D3D" w:rsidRPr="004A1148" w:rsidRDefault="003D566C" w:rsidP="00F5276B">
            <w:pPr>
              <w:pStyle w:val="TableText"/>
              <w:rPr>
                <w:rFonts w:cs="Arial"/>
              </w:rPr>
            </w:pPr>
            <w:r>
              <w:rPr>
                <w:rFonts w:cs="Arial"/>
              </w:rPr>
              <w:t>255.255.255.192</w:t>
            </w:r>
          </w:p>
        </w:tc>
        <w:tc>
          <w:tcPr>
            <w:tcW w:w="2724" w:type="dxa"/>
            <w:vAlign w:val="bottom"/>
          </w:tcPr>
          <w:p w14:paraId="76E3E1C0" w14:textId="6C9FB415" w:rsidR="004A7D3D" w:rsidRPr="004A1148" w:rsidRDefault="003D566C" w:rsidP="00F5276B">
            <w:pPr>
              <w:pStyle w:val="TableText"/>
              <w:rPr>
                <w:rFonts w:cs="Arial"/>
              </w:rPr>
            </w:pPr>
            <w:r>
              <w:rPr>
                <w:rFonts w:cs="Arial"/>
              </w:rPr>
              <w:t>172.16.11.1</w:t>
            </w:r>
          </w:p>
        </w:tc>
        <w:tc>
          <w:tcPr>
            <w:tcW w:w="2922" w:type="dxa"/>
            <w:vAlign w:val="bottom"/>
          </w:tcPr>
          <w:p w14:paraId="1F58716B" w14:textId="08EE1DB0" w:rsidR="004A7D3D" w:rsidRPr="004A1148" w:rsidRDefault="003D566C" w:rsidP="00F5276B">
            <w:pPr>
              <w:pStyle w:val="TableText"/>
              <w:rPr>
                <w:rFonts w:cs="Arial"/>
              </w:rPr>
            </w:pPr>
            <w:r>
              <w:rPr>
                <w:rFonts w:cs="Arial"/>
              </w:rPr>
              <w:t>172.16.11.62</w:t>
            </w:r>
          </w:p>
        </w:tc>
        <w:tc>
          <w:tcPr>
            <w:tcW w:w="2905" w:type="dxa"/>
            <w:vAlign w:val="bottom"/>
          </w:tcPr>
          <w:p w14:paraId="1F03CCA5" w14:textId="2D500357" w:rsidR="004A7D3D" w:rsidRPr="004A1148" w:rsidRDefault="003D566C" w:rsidP="00F5276B">
            <w:pPr>
              <w:pStyle w:val="TableText"/>
              <w:ind w:left="284"/>
              <w:rPr>
                <w:rFonts w:cs="Arial"/>
              </w:rPr>
            </w:pPr>
            <w:r>
              <w:rPr>
                <w:rFonts w:cs="Arial"/>
              </w:rPr>
              <w:t>172.16.11.63</w:t>
            </w:r>
          </w:p>
        </w:tc>
      </w:tr>
      <w:tr w:rsidR="004A7D3D" w:rsidRPr="004A1148" w14:paraId="6B34B8B1" w14:textId="77777777" w:rsidTr="005554AB">
        <w:trPr>
          <w:cantSplit/>
          <w:trHeight w:val="510"/>
          <w:jc w:val="center"/>
        </w:trPr>
        <w:tc>
          <w:tcPr>
            <w:tcW w:w="1412" w:type="dxa"/>
            <w:vAlign w:val="bottom"/>
          </w:tcPr>
          <w:p w14:paraId="65F58BF1" w14:textId="719CE96F" w:rsidR="004A7D3D" w:rsidRPr="004A1148" w:rsidRDefault="003D566C" w:rsidP="00F5276B">
            <w:pPr>
              <w:pStyle w:val="TableText"/>
              <w:ind w:left="284"/>
              <w:rPr>
                <w:rFonts w:cs="Arial"/>
              </w:rPr>
            </w:pPr>
            <w:r>
              <w:rPr>
                <w:rFonts w:cs="Arial"/>
              </w:rPr>
              <w:t>A</w:t>
            </w:r>
          </w:p>
        </w:tc>
        <w:tc>
          <w:tcPr>
            <w:tcW w:w="2561" w:type="dxa"/>
            <w:vAlign w:val="bottom"/>
          </w:tcPr>
          <w:p w14:paraId="18067B56" w14:textId="651BABAE" w:rsidR="004A7D3D" w:rsidRPr="004A1148" w:rsidRDefault="003D566C" w:rsidP="00F5276B">
            <w:pPr>
              <w:pStyle w:val="TableText"/>
              <w:rPr>
                <w:rFonts w:cs="Arial"/>
              </w:rPr>
            </w:pPr>
            <w:r>
              <w:rPr>
                <w:rFonts w:cs="Arial"/>
              </w:rPr>
              <w:t>172.16.11.64</w:t>
            </w:r>
          </w:p>
        </w:tc>
        <w:tc>
          <w:tcPr>
            <w:tcW w:w="2552" w:type="dxa"/>
          </w:tcPr>
          <w:p w14:paraId="309D051E" w14:textId="70C87EA7" w:rsidR="004A7D3D" w:rsidRPr="004A1148" w:rsidRDefault="003D566C" w:rsidP="00F5276B">
            <w:pPr>
              <w:pStyle w:val="TableText"/>
              <w:rPr>
                <w:rFonts w:cs="Arial"/>
              </w:rPr>
            </w:pPr>
            <w:r>
              <w:rPr>
                <w:rFonts w:cs="Arial"/>
              </w:rPr>
              <w:t>255.255.255.224</w:t>
            </w:r>
          </w:p>
        </w:tc>
        <w:tc>
          <w:tcPr>
            <w:tcW w:w="2724" w:type="dxa"/>
            <w:vAlign w:val="bottom"/>
          </w:tcPr>
          <w:p w14:paraId="4BB66377" w14:textId="2F87F3F8" w:rsidR="004A7D3D" w:rsidRPr="004A1148" w:rsidRDefault="003D566C" w:rsidP="00F5276B">
            <w:pPr>
              <w:pStyle w:val="TableText"/>
              <w:rPr>
                <w:rFonts w:cs="Arial"/>
              </w:rPr>
            </w:pPr>
            <w:r>
              <w:rPr>
                <w:rFonts w:cs="Arial"/>
              </w:rPr>
              <w:t>172.16.11.65</w:t>
            </w:r>
          </w:p>
        </w:tc>
        <w:tc>
          <w:tcPr>
            <w:tcW w:w="2922" w:type="dxa"/>
            <w:vAlign w:val="bottom"/>
          </w:tcPr>
          <w:p w14:paraId="2F12A22D" w14:textId="4C12AE36" w:rsidR="004A7D3D" w:rsidRPr="004A1148" w:rsidRDefault="003D566C" w:rsidP="00F5276B">
            <w:pPr>
              <w:pStyle w:val="TableText"/>
              <w:rPr>
                <w:rFonts w:cs="Arial"/>
              </w:rPr>
            </w:pPr>
            <w:r>
              <w:rPr>
                <w:rFonts w:cs="Arial"/>
              </w:rPr>
              <w:t>172.16.11.94</w:t>
            </w:r>
          </w:p>
        </w:tc>
        <w:tc>
          <w:tcPr>
            <w:tcW w:w="2905" w:type="dxa"/>
            <w:vAlign w:val="bottom"/>
          </w:tcPr>
          <w:p w14:paraId="78E458EF" w14:textId="6C6D304F" w:rsidR="004A7D3D" w:rsidRPr="004A1148" w:rsidRDefault="003D566C" w:rsidP="00F5276B">
            <w:pPr>
              <w:pStyle w:val="TableText"/>
              <w:ind w:left="284"/>
              <w:rPr>
                <w:rFonts w:cs="Arial"/>
              </w:rPr>
            </w:pPr>
            <w:r>
              <w:rPr>
                <w:rFonts w:cs="Arial"/>
              </w:rPr>
              <w:t>172.16.11.95</w:t>
            </w:r>
          </w:p>
        </w:tc>
      </w:tr>
      <w:tr w:rsidR="004A7D3D" w:rsidRPr="004A1148" w14:paraId="0B4ED2B0" w14:textId="77777777" w:rsidTr="005554AB">
        <w:trPr>
          <w:cantSplit/>
          <w:trHeight w:val="510"/>
          <w:jc w:val="center"/>
        </w:trPr>
        <w:tc>
          <w:tcPr>
            <w:tcW w:w="1412" w:type="dxa"/>
            <w:vAlign w:val="bottom"/>
          </w:tcPr>
          <w:p w14:paraId="609E3F7B" w14:textId="33E32BDA" w:rsidR="004A7D3D" w:rsidRPr="004A1148" w:rsidRDefault="003D566C" w:rsidP="00F5276B">
            <w:pPr>
              <w:pStyle w:val="TableText"/>
              <w:ind w:left="284"/>
              <w:rPr>
                <w:rFonts w:cs="Arial"/>
              </w:rPr>
            </w:pPr>
            <w:r>
              <w:rPr>
                <w:rFonts w:cs="Arial"/>
              </w:rPr>
              <w:t>C</w:t>
            </w:r>
          </w:p>
        </w:tc>
        <w:tc>
          <w:tcPr>
            <w:tcW w:w="2561" w:type="dxa"/>
            <w:vAlign w:val="bottom"/>
          </w:tcPr>
          <w:p w14:paraId="31F64227" w14:textId="0B4BB730" w:rsidR="004A7D3D" w:rsidRPr="004A1148" w:rsidRDefault="003D566C" w:rsidP="00F5276B">
            <w:pPr>
              <w:pStyle w:val="TableText"/>
              <w:rPr>
                <w:rFonts w:cs="Arial"/>
              </w:rPr>
            </w:pPr>
            <w:r>
              <w:rPr>
                <w:rFonts w:cs="Arial"/>
              </w:rPr>
              <w:t>172.16.11.96</w:t>
            </w:r>
          </w:p>
        </w:tc>
        <w:tc>
          <w:tcPr>
            <w:tcW w:w="2552" w:type="dxa"/>
          </w:tcPr>
          <w:p w14:paraId="55665601" w14:textId="0D3A0178" w:rsidR="004A7D3D" w:rsidRPr="004A1148" w:rsidRDefault="003D566C" w:rsidP="00F5276B">
            <w:pPr>
              <w:pStyle w:val="TableText"/>
              <w:rPr>
                <w:rFonts w:cs="Arial"/>
              </w:rPr>
            </w:pPr>
            <w:r>
              <w:rPr>
                <w:rFonts w:cs="Arial"/>
              </w:rPr>
              <w:t>255.255.255.248</w:t>
            </w:r>
          </w:p>
        </w:tc>
        <w:tc>
          <w:tcPr>
            <w:tcW w:w="2724" w:type="dxa"/>
            <w:vAlign w:val="bottom"/>
          </w:tcPr>
          <w:p w14:paraId="4F549E4B" w14:textId="6AEDD98E" w:rsidR="004A7D3D" w:rsidRPr="004A1148" w:rsidRDefault="003D566C" w:rsidP="00F5276B">
            <w:pPr>
              <w:pStyle w:val="TableText"/>
              <w:rPr>
                <w:rFonts w:cs="Arial"/>
              </w:rPr>
            </w:pPr>
            <w:r>
              <w:rPr>
                <w:rFonts w:cs="Arial"/>
              </w:rPr>
              <w:t>172.16.11.97</w:t>
            </w:r>
          </w:p>
        </w:tc>
        <w:tc>
          <w:tcPr>
            <w:tcW w:w="2922" w:type="dxa"/>
            <w:vAlign w:val="bottom"/>
          </w:tcPr>
          <w:p w14:paraId="7C499210" w14:textId="6590E6A1" w:rsidR="004A7D3D" w:rsidRPr="004A1148" w:rsidRDefault="003D566C" w:rsidP="00F5276B">
            <w:pPr>
              <w:pStyle w:val="TableText"/>
              <w:rPr>
                <w:rFonts w:cs="Arial"/>
              </w:rPr>
            </w:pPr>
            <w:r>
              <w:rPr>
                <w:rFonts w:cs="Arial"/>
              </w:rPr>
              <w:t>172.16.11.102</w:t>
            </w:r>
          </w:p>
        </w:tc>
        <w:tc>
          <w:tcPr>
            <w:tcW w:w="2905" w:type="dxa"/>
            <w:vAlign w:val="bottom"/>
          </w:tcPr>
          <w:p w14:paraId="2D756274" w14:textId="34F6AF8E" w:rsidR="004A7D3D" w:rsidRPr="004A1148" w:rsidRDefault="003D566C" w:rsidP="00F5276B">
            <w:pPr>
              <w:pStyle w:val="TableText"/>
              <w:ind w:left="284"/>
              <w:rPr>
                <w:rFonts w:cs="Arial"/>
              </w:rPr>
            </w:pPr>
            <w:r>
              <w:rPr>
                <w:rFonts w:cs="Arial"/>
              </w:rPr>
              <w:t>172.16.11.103</w:t>
            </w:r>
          </w:p>
        </w:tc>
      </w:tr>
      <w:tr w:rsidR="004A7D3D" w:rsidRPr="004A1148" w14:paraId="27709968" w14:textId="77777777" w:rsidTr="005554AB">
        <w:trPr>
          <w:cantSplit/>
          <w:trHeight w:val="510"/>
          <w:jc w:val="center"/>
        </w:trPr>
        <w:tc>
          <w:tcPr>
            <w:tcW w:w="1412" w:type="dxa"/>
            <w:vAlign w:val="bottom"/>
          </w:tcPr>
          <w:p w14:paraId="20984A5F" w14:textId="1901D3AC" w:rsidR="004A7D3D" w:rsidRPr="004A1148" w:rsidRDefault="003D566C" w:rsidP="00F5276B">
            <w:pPr>
              <w:pStyle w:val="TableText"/>
              <w:ind w:left="284"/>
              <w:rPr>
                <w:rFonts w:cs="Arial"/>
              </w:rPr>
            </w:pPr>
            <w:r>
              <w:rPr>
                <w:rFonts w:cs="Arial"/>
              </w:rPr>
              <w:t>R1-R2</w:t>
            </w:r>
          </w:p>
        </w:tc>
        <w:tc>
          <w:tcPr>
            <w:tcW w:w="2561" w:type="dxa"/>
            <w:vAlign w:val="bottom"/>
          </w:tcPr>
          <w:p w14:paraId="0D69D9DC" w14:textId="52EFE4C4" w:rsidR="004A7D3D" w:rsidRPr="004A1148" w:rsidRDefault="003D566C" w:rsidP="00F5276B">
            <w:pPr>
              <w:pStyle w:val="TableText"/>
              <w:rPr>
                <w:rFonts w:cs="Arial"/>
              </w:rPr>
            </w:pPr>
            <w:r>
              <w:rPr>
                <w:rFonts w:cs="Arial"/>
              </w:rPr>
              <w:t>172.16.11.104</w:t>
            </w:r>
          </w:p>
        </w:tc>
        <w:tc>
          <w:tcPr>
            <w:tcW w:w="2552" w:type="dxa"/>
          </w:tcPr>
          <w:p w14:paraId="30D77B01" w14:textId="1FACE6FC" w:rsidR="004A7D3D" w:rsidRPr="004A1148" w:rsidRDefault="003D566C" w:rsidP="00F5276B">
            <w:pPr>
              <w:pStyle w:val="TableText"/>
              <w:rPr>
                <w:rFonts w:cs="Arial"/>
              </w:rPr>
            </w:pPr>
            <w:r>
              <w:rPr>
                <w:rFonts w:cs="Arial"/>
              </w:rPr>
              <w:t>255.255.255.252</w:t>
            </w:r>
          </w:p>
        </w:tc>
        <w:tc>
          <w:tcPr>
            <w:tcW w:w="2724" w:type="dxa"/>
            <w:vAlign w:val="bottom"/>
          </w:tcPr>
          <w:p w14:paraId="5596A409" w14:textId="3D9631BF" w:rsidR="004A7D3D" w:rsidRPr="004A1148" w:rsidRDefault="003D566C" w:rsidP="00F5276B">
            <w:pPr>
              <w:pStyle w:val="TableText"/>
              <w:rPr>
                <w:rFonts w:cs="Arial"/>
              </w:rPr>
            </w:pPr>
            <w:r>
              <w:rPr>
                <w:rFonts w:cs="Arial"/>
              </w:rPr>
              <w:t>172.16.11.105</w:t>
            </w:r>
          </w:p>
        </w:tc>
        <w:tc>
          <w:tcPr>
            <w:tcW w:w="2922" w:type="dxa"/>
            <w:vAlign w:val="bottom"/>
          </w:tcPr>
          <w:p w14:paraId="0F1FE2D6" w14:textId="68C045DD" w:rsidR="004A7D3D" w:rsidRPr="004A1148" w:rsidRDefault="003D566C" w:rsidP="00F5276B">
            <w:pPr>
              <w:pStyle w:val="TableText"/>
              <w:rPr>
                <w:rFonts w:cs="Arial"/>
              </w:rPr>
            </w:pPr>
            <w:r>
              <w:rPr>
                <w:rFonts w:cs="Arial"/>
              </w:rPr>
              <w:t>172.16.11.106</w:t>
            </w:r>
          </w:p>
        </w:tc>
        <w:tc>
          <w:tcPr>
            <w:tcW w:w="2905" w:type="dxa"/>
            <w:vAlign w:val="bottom"/>
          </w:tcPr>
          <w:p w14:paraId="554DDEFE" w14:textId="428252BE" w:rsidR="004A7D3D" w:rsidRPr="004A1148" w:rsidRDefault="003D566C" w:rsidP="00F5276B">
            <w:pPr>
              <w:pStyle w:val="TableText"/>
              <w:ind w:left="284"/>
              <w:rPr>
                <w:rFonts w:cs="Arial"/>
              </w:rPr>
            </w:pPr>
            <w:r>
              <w:rPr>
                <w:rFonts w:cs="Arial"/>
              </w:rPr>
              <w:t>172.16.11.107</w:t>
            </w:r>
          </w:p>
        </w:tc>
      </w:tr>
      <w:tr w:rsidR="004A7D3D" w:rsidRPr="004A1148" w14:paraId="0B6C4A12" w14:textId="77777777" w:rsidTr="005554AB">
        <w:trPr>
          <w:cantSplit/>
          <w:trHeight w:val="510"/>
          <w:jc w:val="center"/>
        </w:trPr>
        <w:tc>
          <w:tcPr>
            <w:tcW w:w="1412" w:type="dxa"/>
            <w:vAlign w:val="bottom"/>
          </w:tcPr>
          <w:p w14:paraId="61BCB553" w14:textId="313C8B45" w:rsidR="004A7D3D" w:rsidRPr="004A1148" w:rsidRDefault="003D566C" w:rsidP="00F5276B">
            <w:pPr>
              <w:pStyle w:val="TableText"/>
              <w:ind w:left="284"/>
              <w:rPr>
                <w:rFonts w:cs="Arial"/>
              </w:rPr>
            </w:pPr>
            <w:r>
              <w:rPr>
                <w:rFonts w:cs="Arial"/>
              </w:rPr>
              <w:t>R2-R3</w:t>
            </w:r>
          </w:p>
        </w:tc>
        <w:tc>
          <w:tcPr>
            <w:tcW w:w="2561" w:type="dxa"/>
            <w:vAlign w:val="bottom"/>
          </w:tcPr>
          <w:p w14:paraId="1F850D77" w14:textId="79CF8883" w:rsidR="004A7D3D" w:rsidRPr="004A1148" w:rsidRDefault="003D566C" w:rsidP="00F5276B">
            <w:pPr>
              <w:pStyle w:val="TableText"/>
              <w:rPr>
                <w:rFonts w:cs="Arial"/>
              </w:rPr>
            </w:pPr>
            <w:r>
              <w:rPr>
                <w:rFonts w:cs="Arial"/>
              </w:rPr>
              <w:t>172.16.11.108</w:t>
            </w:r>
          </w:p>
        </w:tc>
        <w:tc>
          <w:tcPr>
            <w:tcW w:w="2552" w:type="dxa"/>
          </w:tcPr>
          <w:p w14:paraId="4E625FAD" w14:textId="72C45576" w:rsidR="004A7D3D" w:rsidRPr="004A1148" w:rsidRDefault="003D566C" w:rsidP="00F5276B">
            <w:pPr>
              <w:pStyle w:val="TableText"/>
              <w:rPr>
                <w:rFonts w:cs="Arial"/>
              </w:rPr>
            </w:pPr>
            <w:r>
              <w:rPr>
                <w:rFonts w:cs="Arial"/>
              </w:rPr>
              <w:t>255.255.255.252</w:t>
            </w:r>
          </w:p>
        </w:tc>
        <w:tc>
          <w:tcPr>
            <w:tcW w:w="2724" w:type="dxa"/>
            <w:vAlign w:val="bottom"/>
          </w:tcPr>
          <w:p w14:paraId="2EFD5AB2" w14:textId="65D9757C" w:rsidR="004A7D3D" w:rsidRPr="004A1148" w:rsidRDefault="003D566C" w:rsidP="00F5276B">
            <w:pPr>
              <w:pStyle w:val="TableText"/>
              <w:rPr>
                <w:rFonts w:cs="Arial"/>
              </w:rPr>
            </w:pPr>
            <w:r>
              <w:rPr>
                <w:rFonts w:cs="Arial"/>
              </w:rPr>
              <w:t>172.16.11.109</w:t>
            </w:r>
          </w:p>
        </w:tc>
        <w:tc>
          <w:tcPr>
            <w:tcW w:w="2922" w:type="dxa"/>
            <w:vAlign w:val="bottom"/>
          </w:tcPr>
          <w:p w14:paraId="488D3941" w14:textId="2BE32668" w:rsidR="004A7D3D" w:rsidRPr="004A1148" w:rsidRDefault="003D566C" w:rsidP="00F5276B">
            <w:pPr>
              <w:pStyle w:val="TableText"/>
              <w:rPr>
                <w:rFonts w:cs="Arial"/>
              </w:rPr>
            </w:pPr>
            <w:r>
              <w:rPr>
                <w:rFonts w:cs="Arial"/>
              </w:rPr>
              <w:t>172.16.11.110</w:t>
            </w:r>
          </w:p>
        </w:tc>
        <w:tc>
          <w:tcPr>
            <w:tcW w:w="2905" w:type="dxa"/>
            <w:vAlign w:val="bottom"/>
          </w:tcPr>
          <w:p w14:paraId="6CDA3D3D" w14:textId="19DFC0E4" w:rsidR="004A7D3D" w:rsidRPr="004A1148" w:rsidRDefault="003D566C" w:rsidP="00F5276B">
            <w:pPr>
              <w:pStyle w:val="TableText"/>
              <w:ind w:left="284"/>
              <w:rPr>
                <w:rFonts w:cs="Arial"/>
              </w:rPr>
            </w:pPr>
            <w:r>
              <w:rPr>
                <w:rFonts w:cs="Arial"/>
              </w:rPr>
              <w:t>172.16.11.111</w:t>
            </w:r>
          </w:p>
        </w:tc>
      </w:tr>
      <w:tr w:rsidR="004A7D3D" w:rsidRPr="004A1148" w14:paraId="7FC18FDC" w14:textId="77777777" w:rsidTr="005554AB">
        <w:trPr>
          <w:cantSplit/>
          <w:trHeight w:val="510"/>
          <w:jc w:val="center"/>
        </w:trPr>
        <w:tc>
          <w:tcPr>
            <w:tcW w:w="1412" w:type="dxa"/>
            <w:vAlign w:val="bottom"/>
          </w:tcPr>
          <w:p w14:paraId="1FB33D0A" w14:textId="77777777" w:rsidR="004A7D3D" w:rsidRPr="004A1148" w:rsidRDefault="004A7D3D" w:rsidP="00F5276B">
            <w:pPr>
              <w:pStyle w:val="TableText"/>
              <w:ind w:left="284"/>
              <w:rPr>
                <w:rFonts w:cs="Arial"/>
              </w:rPr>
            </w:pPr>
          </w:p>
        </w:tc>
        <w:tc>
          <w:tcPr>
            <w:tcW w:w="2561" w:type="dxa"/>
            <w:vAlign w:val="bottom"/>
          </w:tcPr>
          <w:p w14:paraId="3A3974FC" w14:textId="77777777" w:rsidR="004A7D3D" w:rsidRPr="004A1148" w:rsidRDefault="004A7D3D" w:rsidP="00F5276B">
            <w:pPr>
              <w:pStyle w:val="TableText"/>
              <w:rPr>
                <w:rFonts w:cs="Arial"/>
              </w:rPr>
            </w:pPr>
          </w:p>
        </w:tc>
        <w:tc>
          <w:tcPr>
            <w:tcW w:w="2552" w:type="dxa"/>
          </w:tcPr>
          <w:p w14:paraId="4949C4E8" w14:textId="77777777" w:rsidR="004A7D3D" w:rsidRPr="004A1148" w:rsidRDefault="004A7D3D" w:rsidP="00F5276B">
            <w:pPr>
              <w:pStyle w:val="TableText"/>
              <w:rPr>
                <w:rFonts w:cs="Arial"/>
              </w:rPr>
            </w:pPr>
          </w:p>
        </w:tc>
        <w:tc>
          <w:tcPr>
            <w:tcW w:w="2724" w:type="dxa"/>
            <w:vAlign w:val="bottom"/>
          </w:tcPr>
          <w:p w14:paraId="2E13DE8F" w14:textId="77777777" w:rsidR="004A7D3D" w:rsidRPr="004A1148" w:rsidRDefault="004A7D3D" w:rsidP="00F5276B">
            <w:pPr>
              <w:pStyle w:val="TableText"/>
              <w:rPr>
                <w:rFonts w:cs="Arial"/>
              </w:rPr>
            </w:pPr>
          </w:p>
        </w:tc>
        <w:tc>
          <w:tcPr>
            <w:tcW w:w="2922" w:type="dxa"/>
            <w:vAlign w:val="bottom"/>
          </w:tcPr>
          <w:p w14:paraId="4B4DEB77" w14:textId="77777777" w:rsidR="004A7D3D" w:rsidRPr="004A1148" w:rsidRDefault="004A7D3D" w:rsidP="00F5276B">
            <w:pPr>
              <w:pStyle w:val="TableText"/>
              <w:rPr>
                <w:rFonts w:cs="Arial"/>
              </w:rPr>
            </w:pPr>
          </w:p>
        </w:tc>
        <w:tc>
          <w:tcPr>
            <w:tcW w:w="2905" w:type="dxa"/>
            <w:vAlign w:val="bottom"/>
          </w:tcPr>
          <w:p w14:paraId="074F1411" w14:textId="77777777" w:rsidR="004A7D3D" w:rsidRPr="004A1148" w:rsidRDefault="004A7D3D" w:rsidP="00F5276B">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bookmarkStart w:id="0" w:name="_GoBack"/>
      <w:bookmarkEnd w:id="0"/>
    </w:p>
    <w:p w14:paraId="46804FC5" w14:textId="2862B03A" w:rsidR="006D5DA8" w:rsidRPr="003D566C" w:rsidRDefault="009A0A24" w:rsidP="00C70ACD">
      <w:pPr>
        <w:pStyle w:val="Heading1"/>
      </w:pPr>
      <w:r w:rsidRPr="003D566C">
        <w:lastRenderedPageBreak/>
        <w:t>Features of IPv6</w:t>
      </w:r>
    </w:p>
    <w:p w14:paraId="6D077D80" w14:textId="11AECA32" w:rsidR="009A0A24" w:rsidRPr="003D566C" w:rsidRDefault="009A0A24" w:rsidP="003D566C"/>
    <w:p w14:paraId="64CF366A" w14:textId="77777777" w:rsidR="00C70ACD" w:rsidRDefault="009A0A24" w:rsidP="00C70ACD">
      <w:pPr>
        <w:pStyle w:val="Heading2"/>
      </w:pPr>
      <w:r w:rsidRPr="003D566C">
        <w:t>Structure</w:t>
      </w:r>
    </w:p>
    <w:p w14:paraId="618AFAEC" w14:textId="53110D3C" w:rsidR="00C70ACD" w:rsidRPr="00EA3FF4" w:rsidRDefault="00352907" w:rsidP="00C70ACD">
      <w:pPr>
        <w:pStyle w:val="BodyTextL50"/>
        <w:rPr>
          <w:szCs w:val="18"/>
        </w:rPr>
      </w:pPr>
      <w:r w:rsidRPr="00EA3FF4">
        <w:rPr>
          <w:szCs w:val="18"/>
        </w:rPr>
        <w:br/>
      </w:r>
      <w:r w:rsidRPr="00EA3FF4">
        <w:rPr>
          <w:szCs w:val="18"/>
        </w:rPr>
        <w:br/>
        <w:t>One of the most recognizable differences between IPv4 and IPv6 is the size of the address space. IPv4 has 32 bits and allows for approximately 4 billion hosts (4 x 10</w:t>
      </w:r>
      <w:r w:rsidRPr="00EA3FF4">
        <w:rPr>
          <w:szCs w:val="18"/>
          <w:vertAlign w:val="superscript"/>
        </w:rPr>
        <w:t>9</w:t>
      </w:r>
      <w:r w:rsidRPr="00EA3FF4">
        <w:rPr>
          <w:szCs w:val="18"/>
        </w:rPr>
        <w:t xml:space="preserve"> ). IPv6 has 128 bits and allows for approximately 340 undecillion (340 x1036) addresses.</w:t>
      </w:r>
      <w:r w:rsidR="009A0A24" w:rsidRPr="00EA3FF4">
        <w:rPr>
          <w:szCs w:val="18"/>
        </w:rPr>
        <w:br/>
      </w:r>
      <w:r w:rsidR="009A0A24" w:rsidRPr="00EA3FF4">
        <w:rPr>
          <w:szCs w:val="18"/>
        </w:rPr>
        <w:br/>
        <w:t>The structure of the IPv6 address is split into two main parts. In total it is made up of 128 bits, split across 8 fields of 16 bits which are usually displayed in hexadecimal, also the hexadecimal entries are not case sensitive (A=a).</w:t>
      </w:r>
      <w:r w:rsidRPr="00EA3FF4">
        <w:rPr>
          <w:szCs w:val="18"/>
        </w:rPr>
        <w:t xml:space="preserve"> Hexadecimal was chosen due to the size of the numbering space. Representing these in how IPv4 addresses are shown would take up far too much time and space. </w:t>
      </w:r>
      <w:sdt>
        <w:sdtPr>
          <w:rPr>
            <w:szCs w:val="18"/>
          </w:rPr>
          <w:id w:val="-912387858"/>
          <w:citation/>
        </w:sdtPr>
        <w:sdtEndPr/>
        <w:sdtContent>
          <w:r w:rsidR="00EA3FF4" w:rsidRPr="00EA3FF4">
            <w:rPr>
              <w:szCs w:val="18"/>
            </w:rPr>
            <w:fldChar w:fldCharType="begin"/>
          </w:r>
          <w:r w:rsidR="00EA3FF4" w:rsidRPr="00EA3FF4">
            <w:rPr>
              <w:szCs w:val="18"/>
              <w:lang w:val="en-GB"/>
            </w:rPr>
            <w:instrText xml:space="preserve"> CITATION Cis08 \l 2057 </w:instrText>
          </w:r>
          <w:r w:rsidR="00EA3FF4" w:rsidRPr="00EA3FF4">
            <w:rPr>
              <w:szCs w:val="18"/>
            </w:rPr>
            <w:fldChar w:fldCharType="separate"/>
          </w:r>
          <w:r w:rsidR="00EA3FF4" w:rsidRPr="00EA3FF4">
            <w:rPr>
              <w:noProof/>
              <w:szCs w:val="18"/>
              <w:lang w:val="en-GB"/>
            </w:rPr>
            <w:t>[1]</w:t>
          </w:r>
          <w:r w:rsidR="00EA3FF4" w:rsidRPr="00EA3FF4">
            <w:rPr>
              <w:szCs w:val="18"/>
            </w:rPr>
            <w:fldChar w:fldCharType="end"/>
          </w:r>
        </w:sdtContent>
      </w:sdt>
      <w:r w:rsidR="009A0A24" w:rsidRPr="00EA3FF4">
        <w:rPr>
          <w:szCs w:val="18"/>
        </w:rPr>
        <w:br/>
      </w:r>
      <w:r w:rsidR="009A0A24" w:rsidRPr="00EA3FF4">
        <w:rPr>
          <w:szCs w:val="18"/>
        </w:rPr>
        <w:br/>
        <w:t xml:space="preserve">An example address would be </w:t>
      </w:r>
      <w:r w:rsidR="009A0A24" w:rsidRPr="00EA3FF4">
        <w:rPr>
          <w:szCs w:val="18"/>
        </w:rPr>
        <w:br/>
      </w:r>
      <w:r w:rsidR="009A0A24" w:rsidRPr="00EA3FF4">
        <w:rPr>
          <w:szCs w:val="18"/>
        </w:rPr>
        <w:br/>
        <w:t>2001:0DB8:130F:0000:0000:7000:0000:140B</w:t>
      </w:r>
      <w:r w:rsidR="009A0A24" w:rsidRPr="00EA3FF4">
        <w:rPr>
          <w:szCs w:val="18"/>
        </w:rPr>
        <w:br/>
      </w:r>
      <w:r w:rsidR="009A0A24" w:rsidRPr="00EA3FF4">
        <w:rPr>
          <w:szCs w:val="18"/>
        </w:rPr>
        <w:br/>
        <w:t xml:space="preserve"> Because these addresses can get quite long and cumbersome to read and understand, there are accepted ways to shorten these addresses, as follows: </w:t>
      </w:r>
      <w:r w:rsidR="009A0A24" w:rsidRPr="00EA3FF4">
        <w:rPr>
          <w:szCs w:val="18"/>
        </w:rPr>
        <w:br/>
      </w:r>
      <w:r w:rsidR="009A0A24" w:rsidRPr="00EA3FF4">
        <w:rPr>
          <w:szCs w:val="18"/>
        </w:rPr>
        <w:br/>
      </w:r>
      <w:r w:rsidR="00966B4E" w:rsidRPr="00EA3FF4">
        <w:rPr>
          <w:szCs w:val="18"/>
        </w:rPr>
        <w:t xml:space="preserve">a. </w:t>
      </w:r>
      <w:r w:rsidR="009A0A24" w:rsidRPr="00EA3FF4">
        <w:rPr>
          <w:szCs w:val="18"/>
        </w:rPr>
        <w:t>Leading zeroes can be omitted,</w:t>
      </w:r>
      <w:r w:rsidR="00966B4E" w:rsidRPr="00EA3FF4">
        <w:rPr>
          <w:szCs w:val="18"/>
        </w:rPr>
        <w:t xml:space="preserve"> while trailing zeroes have to be shown</w:t>
      </w:r>
      <w:r w:rsidR="009A0A24" w:rsidRPr="00EA3FF4">
        <w:rPr>
          <w:szCs w:val="18"/>
        </w:rPr>
        <w:t xml:space="preserve"> so the above example could become;</w:t>
      </w:r>
      <w:r w:rsidR="009A0A24" w:rsidRPr="00EA3FF4">
        <w:rPr>
          <w:szCs w:val="18"/>
        </w:rPr>
        <w:br/>
      </w:r>
      <w:r w:rsidR="009A0A24" w:rsidRPr="00EA3FF4">
        <w:rPr>
          <w:szCs w:val="18"/>
        </w:rPr>
        <w:br/>
        <w:t>2001:DB8:130F:0:0:7000:0:140B</w:t>
      </w:r>
      <w:r w:rsidR="009A0A24" w:rsidRPr="00EA3FF4">
        <w:rPr>
          <w:szCs w:val="18"/>
        </w:rPr>
        <w:br/>
        <w:t xml:space="preserve">         ^                ^ ^          ^</w:t>
      </w:r>
      <w:r w:rsidR="009A0A24" w:rsidRPr="00EA3FF4">
        <w:rPr>
          <w:szCs w:val="18"/>
        </w:rPr>
        <w:br/>
      </w:r>
      <w:r w:rsidR="00966B4E" w:rsidRPr="00EA3FF4">
        <w:rPr>
          <w:szCs w:val="18"/>
        </w:rPr>
        <w:t xml:space="preserve">The second point is important for the above example, because if trailing zeroes were omitted also, the 6th field could show 7000 or 7, which would lead to incorrect addressing. </w:t>
      </w:r>
      <w:r w:rsidR="00966B4E" w:rsidRPr="00EA3FF4">
        <w:rPr>
          <w:szCs w:val="18"/>
        </w:rPr>
        <w:br/>
      </w:r>
      <w:r w:rsidR="00966B4E" w:rsidRPr="00EA3FF4">
        <w:rPr>
          <w:szCs w:val="18"/>
        </w:rPr>
        <w:br/>
        <w:t xml:space="preserve">b. Continuous fields of zeroes can also be represented as ‘::’. It is important to note that this can only be done once in an address. </w:t>
      </w:r>
      <w:r w:rsidR="00966B4E" w:rsidRPr="00EA3FF4">
        <w:rPr>
          <w:szCs w:val="18"/>
        </w:rPr>
        <w:br/>
      </w:r>
      <w:r w:rsidR="00966B4E" w:rsidRPr="00EA3FF4">
        <w:rPr>
          <w:szCs w:val="18"/>
        </w:rPr>
        <w:br/>
        <w:t>2001:DB8:130F::7000:0:140B</w:t>
      </w:r>
      <w:r w:rsidR="00966B4E" w:rsidRPr="00EA3FF4">
        <w:rPr>
          <w:szCs w:val="18"/>
        </w:rPr>
        <w:br/>
      </w:r>
      <w:r w:rsidR="00966B4E" w:rsidRPr="00EA3FF4">
        <w:rPr>
          <w:szCs w:val="18"/>
        </w:rPr>
        <w:br/>
        <w:t>As seen here, the 4th and 5th fields have been shortened from 0:0 (or 0000:0000) to just ‘::’.</w:t>
      </w:r>
      <w:r w:rsidR="00966B4E" w:rsidRPr="00EA3FF4">
        <w:rPr>
          <w:szCs w:val="18"/>
        </w:rPr>
        <w:br/>
      </w:r>
      <w:r w:rsidR="00966B4E" w:rsidRPr="00EA3FF4">
        <w:rPr>
          <w:szCs w:val="18"/>
        </w:rPr>
        <w:br/>
        <w:t>Of the 128 bits that make up an IPv6 address, the first 64 bits represent the network it is associated with, and the last 64 bits represent the interface ID it is associated with.</w:t>
      </w:r>
      <w:sdt>
        <w:sdtPr>
          <w:rPr>
            <w:szCs w:val="18"/>
          </w:rPr>
          <w:id w:val="2098987151"/>
          <w:citation/>
        </w:sdtPr>
        <w:sdtEndPr/>
        <w:sdtContent>
          <w:r w:rsidR="00EA3FF4" w:rsidRPr="00EA3FF4">
            <w:rPr>
              <w:szCs w:val="18"/>
            </w:rPr>
            <w:fldChar w:fldCharType="begin"/>
          </w:r>
          <w:r w:rsidR="00EA3FF4" w:rsidRPr="00EA3FF4">
            <w:rPr>
              <w:szCs w:val="18"/>
              <w:lang w:val="en-GB"/>
            </w:rPr>
            <w:instrText xml:space="preserve"> CITATION RHi06 \l 2057 </w:instrText>
          </w:r>
          <w:r w:rsidR="00EA3FF4" w:rsidRPr="00EA3FF4">
            <w:rPr>
              <w:szCs w:val="18"/>
            </w:rPr>
            <w:fldChar w:fldCharType="separate"/>
          </w:r>
          <w:r w:rsidR="00EA3FF4" w:rsidRPr="00EA3FF4">
            <w:rPr>
              <w:noProof/>
              <w:szCs w:val="18"/>
              <w:lang w:val="en-GB"/>
            </w:rPr>
            <w:t xml:space="preserve"> [2]</w:t>
          </w:r>
          <w:r w:rsidR="00EA3FF4" w:rsidRPr="00EA3FF4">
            <w:rPr>
              <w:szCs w:val="18"/>
            </w:rPr>
            <w:fldChar w:fldCharType="end"/>
          </w:r>
        </w:sdtContent>
      </w:sdt>
      <w:r w:rsidR="00966B4E" w:rsidRPr="00EA3FF4">
        <w:rPr>
          <w:szCs w:val="18"/>
        </w:rPr>
        <w:br/>
      </w:r>
      <w:r w:rsidR="00966B4E" w:rsidRPr="00EA3FF4">
        <w:rPr>
          <w:szCs w:val="18"/>
        </w:rPr>
        <w:br/>
      </w:r>
    </w:p>
    <w:p w14:paraId="6D80F52F" w14:textId="074AF44E" w:rsidR="00C70ACD" w:rsidRDefault="00966B4E" w:rsidP="00C70ACD">
      <w:pPr>
        <w:pStyle w:val="Heading2"/>
      </w:pPr>
      <w:r w:rsidRPr="003D566C">
        <w:t>Address Types</w:t>
      </w:r>
    </w:p>
    <w:p w14:paraId="1E554E1E" w14:textId="77777777" w:rsidR="00C70ACD" w:rsidRPr="00EA3FF4" w:rsidRDefault="00966B4E" w:rsidP="00C70ACD">
      <w:pPr>
        <w:pStyle w:val="BodyTextL50"/>
        <w:rPr>
          <w:szCs w:val="18"/>
        </w:rPr>
      </w:pPr>
      <w:r w:rsidRPr="00EA3FF4">
        <w:rPr>
          <w:szCs w:val="18"/>
        </w:rPr>
        <w:br/>
      </w:r>
      <w:r w:rsidRPr="00EA3FF4">
        <w:rPr>
          <w:szCs w:val="18"/>
        </w:rPr>
        <w:br/>
        <w:t>There are three types of IPv6 addresses in use, and they are Unicast, Anycast, and Multicast.</w:t>
      </w:r>
    </w:p>
    <w:p w14:paraId="45DEB0FE" w14:textId="236CC1D8" w:rsidR="00C70ACD" w:rsidRDefault="00966B4E" w:rsidP="00C70ACD">
      <w:pPr>
        <w:pStyle w:val="Heading3"/>
      </w:pPr>
      <w:r w:rsidRPr="003D566C">
        <w:br/>
      </w:r>
      <w:r w:rsidRPr="003D566C">
        <w:br/>
        <w:t>Unicast</w:t>
      </w:r>
    </w:p>
    <w:p w14:paraId="74DDC5CC" w14:textId="3E81F070" w:rsidR="00C70ACD" w:rsidRPr="00EA3FF4" w:rsidRDefault="00966B4E" w:rsidP="00C70ACD">
      <w:pPr>
        <w:pStyle w:val="BodyTextL50"/>
        <w:rPr>
          <w:szCs w:val="18"/>
        </w:rPr>
      </w:pPr>
      <w:r w:rsidRPr="00EA3FF4">
        <w:rPr>
          <w:szCs w:val="18"/>
        </w:rPr>
        <w:br/>
      </w:r>
      <w:r w:rsidR="00EB5318" w:rsidRPr="00EA3FF4">
        <w:rPr>
          <w:szCs w:val="18"/>
        </w:rPr>
        <w:t>A unicast address is used for communication with a single interface and are normally used for specific end to end system comm</w:t>
      </w:r>
      <w:r w:rsidR="00E5089E" w:rsidRPr="00EA3FF4">
        <w:rPr>
          <w:szCs w:val="18"/>
        </w:rPr>
        <w:t>unication, such as peer to peer. Unicast addresses also have a scope defined for them – that is where they are used in a network – these scopes are define</w:t>
      </w:r>
      <w:r w:rsidR="00C70ACD" w:rsidRPr="00EA3FF4">
        <w:rPr>
          <w:szCs w:val="18"/>
        </w:rPr>
        <w:t>d</w:t>
      </w:r>
      <w:r w:rsidR="00E5089E" w:rsidRPr="00EA3FF4">
        <w:rPr>
          <w:szCs w:val="18"/>
        </w:rPr>
        <w:t xml:space="preserve"> as global, unique local and link local. One of the reasons for this is that with IPv6, a single interface</w:t>
      </w:r>
      <w:r w:rsidR="004F6A3E" w:rsidRPr="00EA3FF4">
        <w:rPr>
          <w:szCs w:val="18"/>
        </w:rPr>
        <w:t xml:space="preserve"> can be assigned multiple addresses, one for global, one for link local etc, which is not like the IPv4 addressing scheme. These addresses assigned would have unique network portions.</w:t>
      </w:r>
      <w:r w:rsidR="001E1B35" w:rsidRPr="00EA3FF4">
        <w:rPr>
          <w:szCs w:val="18"/>
        </w:rPr>
        <w:br/>
      </w:r>
    </w:p>
    <w:p w14:paraId="5BB79F24" w14:textId="77777777" w:rsidR="00C70ACD" w:rsidRDefault="001E1B35" w:rsidP="00C70ACD">
      <w:pPr>
        <w:pStyle w:val="Heading2"/>
      </w:pPr>
      <w:r w:rsidRPr="00C70ACD">
        <w:t>Scopes</w:t>
      </w:r>
      <w:r w:rsidR="004F6A3E" w:rsidRPr="003D566C">
        <w:br/>
      </w:r>
    </w:p>
    <w:p w14:paraId="60D1C327" w14:textId="77777777" w:rsidR="00C70ACD" w:rsidRDefault="001E1B35" w:rsidP="00C70ACD">
      <w:pPr>
        <w:pStyle w:val="Heading3"/>
      </w:pPr>
      <w:r w:rsidRPr="003D566C">
        <w:t>Global</w:t>
      </w:r>
    </w:p>
    <w:p w14:paraId="3B7E09DE" w14:textId="3F9E5CFD" w:rsidR="00583101" w:rsidRPr="00EA3FF4" w:rsidRDefault="001E1B35" w:rsidP="00C70ACD">
      <w:pPr>
        <w:pStyle w:val="BodyTextL50"/>
        <w:jc w:val="both"/>
        <w:rPr>
          <w:szCs w:val="18"/>
        </w:rPr>
      </w:pPr>
      <w:r w:rsidRPr="00EA3FF4">
        <w:rPr>
          <w:szCs w:val="18"/>
        </w:rPr>
        <w:br/>
        <w:t>Global addresses are designed for use with the internet. Addresses are allocated from regional registries and are assigned out of a certain block of addresses, 2000::/3. Their network ID is formatted as the first 48 bits which identifies its provider, by use of a Global Routing Prefix</w:t>
      </w:r>
      <w:r w:rsidR="00583101" w:rsidRPr="00EA3FF4">
        <w:rPr>
          <w:szCs w:val="18"/>
        </w:rPr>
        <w:t xml:space="preserve"> designated by said Regional Registries, and then a subnet ID for the remaining 16 bits of the Network ID. </w:t>
      </w:r>
      <w:sdt>
        <w:sdtPr>
          <w:rPr>
            <w:szCs w:val="18"/>
          </w:rPr>
          <w:id w:val="69627521"/>
          <w:citation/>
        </w:sdtPr>
        <w:sdtEndPr/>
        <w:sdtContent>
          <w:r w:rsidR="00EA3FF4" w:rsidRPr="00EA3FF4">
            <w:rPr>
              <w:szCs w:val="18"/>
            </w:rPr>
            <w:fldChar w:fldCharType="begin"/>
          </w:r>
          <w:r w:rsidR="00EA3FF4" w:rsidRPr="00EA3FF4">
            <w:rPr>
              <w:szCs w:val="18"/>
              <w:lang w:val="en-GB"/>
            </w:rPr>
            <w:instrText xml:space="preserve"> CITATION IAN99 \l 2057 </w:instrText>
          </w:r>
          <w:r w:rsidR="00EA3FF4" w:rsidRPr="00EA3FF4">
            <w:rPr>
              <w:szCs w:val="18"/>
            </w:rPr>
            <w:fldChar w:fldCharType="separate"/>
          </w:r>
          <w:r w:rsidR="00EA3FF4" w:rsidRPr="00EA3FF4">
            <w:rPr>
              <w:noProof/>
              <w:szCs w:val="18"/>
              <w:lang w:val="en-GB"/>
            </w:rPr>
            <w:t>[3]</w:t>
          </w:r>
          <w:r w:rsidR="00EA3FF4" w:rsidRPr="00EA3FF4">
            <w:rPr>
              <w:szCs w:val="18"/>
            </w:rPr>
            <w:fldChar w:fldCharType="end"/>
          </w:r>
        </w:sdtContent>
      </w:sdt>
      <w:r w:rsidRPr="00EA3FF4">
        <w:rPr>
          <w:szCs w:val="18"/>
        </w:rPr>
        <w:br/>
      </w:r>
      <w:r w:rsidRPr="00EA3FF4">
        <w:rPr>
          <w:szCs w:val="18"/>
        </w:rPr>
        <w:lastRenderedPageBreak/>
        <w:br/>
      </w:r>
    </w:p>
    <w:p w14:paraId="6D473C53" w14:textId="77777777" w:rsidR="00C70ACD" w:rsidRDefault="004F6A3E" w:rsidP="00C70ACD">
      <w:pPr>
        <w:pStyle w:val="Heading3"/>
      </w:pPr>
      <w:r w:rsidRPr="003D566C">
        <w:t>Link Local</w:t>
      </w:r>
    </w:p>
    <w:p w14:paraId="0EBDAD0A" w14:textId="3F4E2BDF" w:rsidR="00C70ACD" w:rsidRPr="00EA3FF4" w:rsidRDefault="004F6A3E" w:rsidP="00C70ACD">
      <w:pPr>
        <w:pStyle w:val="BodyTextL50"/>
        <w:rPr>
          <w:szCs w:val="18"/>
        </w:rPr>
      </w:pPr>
      <w:r w:rsidRPr="00EA3FF4">
        <w:rPr>
          <w:szCs w:val="18"/>
        </w:rPr>
        <w:br/>
        <w:t xml:space="preserve">Link local addresses are formatted with the first 10 bits beginning with FE80::/10, or 111 1110 10. </w:t>
      </w:r>
      <w:r w:rsidR="00966B4E" w:rsidRPr="00EA3FF4">
        <w:rPr>
          <w:szCs w:val="18"/>
        </w:rPr>
        <w:br/>
      </w:r>
      <w:r w:rsidR="001E1B35" w:rsidRPr="00EA3FF4">
        <w:rPr>
          <w:szCs w:val="18"/>
        </w:rPr>
        <w:t xml:space="preserve">They used for communications on a single link and packets with a link local source or destination address are not forwarded by a router off that link. The interface identifier can be assigned by either manual methods, automatic methods or using DHCP. </w:t>
      </w:r>
      <w:sdt>
        <w:sdtPr>
          <w:rPr>
            <w:szCs w:val="18"/>
          </w:rPr>
          <w:id w:val="-724604557"/>
          <w:citation/>
        </w:sdtPr>
        <w:sdtEndPr/>
        <w:sdtContent>
          <w:r w:rsidR="00EA3FF4" w:rsidRPr="00EA3FF4">
            <w:rPr>
              <w:szCs w:val="18"/>
            </w:rPr>
            <w:fldChar w:fldCharType="begin"/>
          </w:r>
          <w:r w:rsidR="00EA3FF4" w:rsidRPr="00EA3FF4">
            <w:rPr>
              <w:szCs w:val="18"/>
              <w:lang w:val="en-GB"/>
            </w:rPr>
            <w:instrText xml:space="preserve"> CITATION MBe14 \l 2057 </w:instrText>
          </w:r>
          <w:r w:rsidR="00EA3FF4" w:rsidRPr="00EA3FF4">
            <w:rPr>
              <w:szCs w:val="18"/>
            </w:rPr>
            <w:fldChar w:fldCharType="separate"/>
          </w:r>
          <w:r w:rsidR="00EA3FF4" w:rsidRPr="00EA3FF4">
            <w:rPr>
              <w:noProof/>
              <w:szCs w:val="18"/>
              <w:lang w:val="en-GB"/>
            </w:rPr>
            <w:t>[4]</w:t>
          </w:r>
          <w:r w:rsidR="00EA3FF4" w:rsidRPr="00EA3FF4">
            <w:rPr>
              <w:szCs w:val="18"/>
            </w:rPr>
            <w:fldChar w:fldCharType="end"/>
          </w:r>
        </w:sdtContent>
      </w:sdt>
      <w:r w:rsidR="00583101" w:rsidRPr="00EA3FF4">
        <w:rPr>
          <w:szCs w:val="18"/>
        </w:rPr>
        <w:br/>
      </w:r>
    </w:p>
    <w:p w14:paraId="0705D137" w14:textId="77777777" w:rsidR="00C70ACD" w:rsidRDefault="00583101" w:rsidP="00C70ACD">
      <w:pPr>
        <w:pStyle w:val="Heading3"/>
      </w:pPr>
      <w:r w:rsidRPr="003D566C">
        <w:t>Unique Local</w:t>
      </w:r>
    </w:p>
    <w:p w14:paraId="04F719BB" w14:textId="3F640ECC" w:rsidR="00C70ACD" w:rsidRPr="00EA3FF4" w:rsidRDefault="00583101" w:rsidP="00C70ACD">
      <w:pPr>
        <w:pStyle w:val="BodyTextL50"/>
        <w:rPr>
          <w:szCs w:val="18"/>
        </w:rPr>
      </w:pPr>
      <w:r w:rsidRPr="00EA3FF4">
        <w:rPr>
          <w:szCs w:val="18"/>
        </w:rPr>
        <w:br/>
        <w:t xml:space="preserve">Unique Local addresses are reachable outside of a particular link, but only have meaning inside a defined scope or domain, and as such they are not intended for use across the internet. They would be used for environments such as internal communication for a business, university, hospital etc, where communication for that particular purpose does not extend to the internet. They are all assigned from the address block FV00::/7. The 8th bit in </w:t>
      </w:r>
      <w:r w:rsidR="00EA3FF4" w:rsidRPr="00EA3FF4">
        <w:rPr>
          <w:szCs w:val="18"/>
        </w:rPr>
        <w:t>a</w:t>
      </w:r>
      <w:r w:rsidRPr="00EA3FF4">
        <w:rPr>
          <w:szCs w:val="18"/>
        </w:rPr>
        <w:t xml:space="preserve"> unique local address signifies whether it was locally assigned or not, known as the L bit, with the first 7 bits being FC00::/7. The remainder of the Network ID is made up of a Global ID, which is generated with a semi-random algorithm (5) that offers high probability of uniqueness.</w:t>
      </w:r>
      <w:r w:rsidR="00EA3FF4" w:rsidRPr="00EA3FF4">
        <w:rPr>
          <w:szCs w:val="18"/>
        </w:rPr>
        <w:t xml:space="preserve"> </w:t>
      </w:r>
      <w:sdt>
        <w:sdtPr>
          <w:rPr>
            <w:szCs w:val="18"/>
          </w:rPr>
          <w:id w:val="-1855720893"/>
          <w:citation/>
        </w:sdtPr>
        <w:sdtEndPr/>
        <w:sdtContent>
          <w:r w:rsidR="00EA3FF4" w:rsidRPr="00EA3FF4">
            <w:rPr>
              <w:szCs w:val="18"/>
            </w:rPr>
            <w:fldChar w:fldCharType="begin"/>
          </w:r>
          <w:r w:rsidR="00EA3FF4" w:rsidRPr="00EA3FF4">
            <w:rPr>
              <w:szCs w:val="18"/>
              <w:lang w:val="en-GB"/>
            </w:rPr>
            <w:instrText xml:space="preserve"> CITATION RHi05 \l 2057 </w:instrText>
          </w:r>
          <w:r w:rsidR="00EA3FF4" w:rsidRPr="00EA3FF4">
            <w:rPr>
              <w:szCs w:val="18"/>
            </w:rPr>
            <w:fldChar w:fldCharType="separate"/>
          </w:r>
          <w:r w:rsidR="00EA3FF4" w:rsidRPr="00EA3FF4">
            <w:rPr>
              <w:noProof/>
              <w:szCs w:val="18"/>
              <w:lang w:val="en-GB"/>
            </w:rPr>
            <w:t>[5]</w:t>
          </w:r>
          <w:r w:rsidR="00EA3FF4" w:rsidRPr="00EA3FF4">
            <w:rPr>
              <w:szCs w:val="18"/>
            </w:rPr>
            <w:fldChar w:fldCharType="end"/>
          </w:r>
        </w:sdtContent>
      </w:sdt>
    </w:p>
    <w:p w14:paraId="2E8CE30C" w14:textId="02F4D0B3" w:rsidR="00C70ACD" w:rsidRDefault="004D52C0" w:rsidP="00C70ACD">
      <w:pPr>
        <w:pStyle w:val="Heading3"/>
      </w:pPr>
      <w:r w:rsidRPr="003D566C">
        <w:br/>
        <w:t>Multicast Address</w:t>
      </w:r>
    </w:p>
    <w:p w14:paraId="44D9182F" w14:textId="72066777" w:rsidR="00C70ACD" w:rsidRPr="00EA3FF4" w:rsidRDefault="004D52C0" w:rsidP="00C70ACD">
      <w:pPr>
        <w:pStyle w:val="BodyTextL50"/>
        <w:rPr>
          <w:szCs w:val="18"/>
        </w:rPr>
      </w:pPr>
      <w:r w:rsidRPr="00EA3FF4">
        <w:rPr>
          <w:szCs w:val="18"/>
        </w:rPr>
        <w:br/>
        <w:t xml:space="preserve">A Multicast address is defined as an identifier for a set of different interfaces that belong to different nodes and would normally be used to identify groups of interfaces that are interested in receiving similar content (VoIP, video </w:t>
      </w:r>
      <w:r w:rsidR="00352907" w:rsidRPr="00EA3FF4">
        <w:rPr>
          <w:szCs w:val="18"/>
        </w:rPr>
        <w:t>etc.</w:t>
      </w:r>
      <w:r w:rsidRPr="00EA3FF4">
        <w:rPr>
          <w:szCs w:val="18"/>
        </w:rPr>
        <w:t>). The way communication is transmitted in this instance can be called a one-to-many model. All multicast addresses are assigned out of the FF00::/8 block.</w:t>
      </w:r>
    </w:p>
    <w:p w14:paraId="60B850F8" w14:textId="77777777" w:rsidR="00C70ACD" w:rsidRDefault="004D52C0" w:rsidP="00C70ACD">
      <w:pPr>
        <w:pStyle w:val="Heading3"/>
      </w:pPr>
      <w:r w:rsidRPr="003D566C">
        <w:br/>
      </w:r>
      <w:r w:rsidRPr="003D566C">
        <w:br/>
        <w:t xml:space="preserve">Scope </w:t>
      </w:r>
    </w:p>
    <w:p w14:paraId="1B248A1A" w14:textId="7ABC22FC" w:rsidR="00C70ACD" w:rsidRPr="00EA3FF4" w:rsidRDefault="004D52C0" w:rsidP="00C70ACD">
      <w:pPr>
        <w:pStyle w:val="BodyTextL50"/>
        <w:rPr>
          <w:szCs w:val="18"/>
        </w:rPr>
      </w:pPr>
      <w:r w:rsidRPr="00EA3FF4">
        <w:rPr>
          <w:szCs w:val="18"/>
        </w:rPr>
        <w:br/>
        <w:t xml:space="preserve">The previous scopes mentioned for Unicast addresses also apply to multicast addresses, with a few additions, Interface local and Site local. Interface local addresses are intended transmission of a multicast within a node, while Site Local addresses are intended for use within a single site. </w:t>
      </w:r>
      <w:r w:rsidRPr="00EA3FF4">
        <w:rPr>
          <w:szCs w:val="18"/>
        </w:rPr>
        <w:br/>
      </w:r>
    </w:p>
    <w:p w14:paraId="3333FFF3" w14:textId="77777777" w:rsidR="00296EA4" w:rsidRDefault="004D52C0" w:rsidP="00C70ACD">
      <w:pPr>
        <w:pStyle w:val="Heading3"/>
      </w:pPr>
      <w:r w:rsidRPr="003D566C">
        <w:br/>
        <w:t>Address Format</w:t>
      </w:r>
    </w:p>
    <w:p w14:paraId="57123EF7" w14:textId="01ABB464" w:rsidR="00C70ACD" w:rsidRPr="00EA3FF4" w:rsidRDefault="00663204" w:rsidP="00296EA4">
      <w:pPr>
        <w:pStyle w:val="BodyTextL50"/>
        <w:rPr>
          <w:szCs w:val="18"/>
        </w:rPr>
      </w:pPr>
      <w:r w:rsidRPr="00EA3FF4">
        <w:rPr>
          <w:szCs w:val="18"/>
        </w:rPr>
        <w:br/>
        <w:t xml:space="preserve">The address format for Multicast is different from those </w:t>
      </w:r>
      <w:r w:rsidR="00352907" w:rsidRPr="00EA3FF4">
        <w:rPr>
          <w:szCs w:val="18"/>
        </w:rPr>
        <w:t>of Unicast</w:t>
      </w:r>
      <w:r w:rsidRPr="00EA3FF4">
        <w:rPr>
          <w:szCs w:val="18"/>
        </w:rPr>
        <w:t xml:space="preserve">/Global. It has 8 starting bits for Flags for setting various options, and the following 8 bits sets the scope for the address, the rest of the 112 bits are known as the Group ID and does not contain an interface ID unlike the previous examples. </w:t>
      </w:r>
      <w:r w:rsidRPr="00EA3FF4">
        <w:rPr>
          <w:szCs w:val="18"/>
        </w:rPr>
        <w:br/>
      </w:r>
      <w:r w:rsidRPr="00EA3FF4">
        <w:rPr>
          <w:szCs w:val="18"/>
        </w:rPr>
        <w:br/>
      </w:r>
    </w:p>
    <w:p w14:paraId="5CFB389F" w14:textId="77777777" w:rsidR="00296EA4" w:rsidRDefault="00296EA4" w:rsidP="00296EA4">
      <w:pPr>
        <w:pStyle w:val="Heading3"/>
      </w:pPr>
    </w:p>
    <w:p w14:paraId="450CEA14" w14:textId="14BE20C1" w:rsidR="00296EA4" w:rsidRDefault="00663204" w:rsidP="00296EA4">
      <w:pPr>
        <w:pStyle w:val="Heading3"/>
      </w:pPr>
      <w:r w:rsidRPr="003D566C">
        <w:t>Anycast</w:t>
      </w:r>
    </w:p>
    <w:p w14:paraId="4AF851C2" w14:textId="77777777" w:rsidR="008C0740" w:rsidRDefault="00663204" w:rsidP="00EA3FF4">
      <w:pPr>
        <w:pStyle w:val="BodyTextL50"/>
        <w:rPr>
          <w:szCs w:val="18"/>
        </w:rPr>
      </w:pPr>
      <w:r w:rsidRPr="00EA3FF4">
        <w:rPr>
          <w:szCs w:val="18"/>
        </w:rPr>
        <w:br/>
        <w:t xml:space="preserve">Anycast is not often used unlike the previous address types mentioned. </w:t>
      </w:r>
      <w:r w:rsidR="00352907" w:rsidRPr="00EA3FF4">
        <w:rPr>
          <w:szCs w:val="18"/>
        </w:rPr>
        <w:t>Like</w:t>
      </w:r>
      <w:r w:rsidRPr="00EA3FF4">
        <w:rPr>
          <w:szCs w:val="18"/>
        </w:rPr>
        <w:t xml:space="preserve"> multicast</w:t>
      </w:r>
      <w:r w:rsidR="00352907" w:rsidRPr="00EA3FF4">
        <w:rPr>
          <w:szCs w:val="18"/>
        </w:rPr>
        <w:t xml:space="preserve"> its</w:t>
      </w:r>
      <w:r w:rsidRPr="00EA3FF4">
        <w:rPr>
          <w:szCs w:val="18"/>
        </w:rPr>
        <w:t xml:space="preserve"> communication model is referred as one-to-the-nearest-many, where it communicates with the nearest of ma</w:t>
      </w:r>
      <w:r w:rsidR="00352907" w:rsidRPr="00EA3FF4">
        <w:rPr>
          <w:szCs w:val="18"/>
        </w:rPr>
        <w:t>n</w:t>
      </w:r>
      <w:r w:rsidRPr="00EA3FF4">
        <w:rPr>
          <w:szCs w:val="18"/>
        </w:rPr>
        <w:t xml:space="preserve">y potential nodes. The near aspect is left </w:t>
      </w:r>
      <w:r w:rsidR="00352907" w:rsidRPr="00EA3FF4">
        <w:rPr>
          <w:szCs w:val="18"/>
        </w:rPr>
        <w:t xml:space="preserve">to a routing protocol to determine, which work from the many metrics (administrative distance and hop count for example) to decide. One example </w:t>
      </w:r>
      <w:r w:rsidR="00296EA4" w:rsidRPr="00EA3FF4">
        <w:rPr>
          <w:szCs w:val="18"/>
        </w:rPr>
        <w:t xml:space="preserve">of </w:t>
      </w:r>
      <w:r w:rsidR="00352907" w:rsidRPr="00EA3FF4">
        <w:rPr>
          <w:szCs w:val="18"/>
        </w:rPr>
        <w:t xml:space="preserve">use is for DNS queries, where it does not matter which node responds to the request, only that it is responded to as quickly as possible, which would come down to the factor of being nearest or not. </w:t>
      </w:r>
      <w:r w:rsidR="004D52C0" w:rsidRPr="00EA3FF4">
        <w:rPr>
          <w:szCs w:val="18"/>
        </w:rPr>
        <w:br/>
      </w:r>
    </w:p>
    <w:p w14:paraId="449DA01E" w14:textId="77777777" w:rsidR="008C0740" w:rsidRDefault="008C0740" w:rsidP="00EA3FF4">
      <w:pPr>
        <w:pStyle w:val="BodyTextL50"/>
        <w:rPr>
          <w:szCs w:val="18"/>
        </w:rPr>
      </w:pPr>
    </w:p>
    <w:p w14:paraId="22B938B7" w14:textId="77777777" w:rsidR="008C0740" w:rsidRDefault="008C0740" w:rsidP="00EA3FF4">
      <w:pPr>
        <w:pStyle w:val="BodyTextL50"/>
        <w:rPr>
          <w:szCs w:val="18"/>
        </w:rPr>
      </w:pPr>
    </w:p>
    <w:p w14:paraId="6DAB576D" w14:textId="6E147AD5" w:rsidR="008C0740" w:rsidRPr="00EA3FF4" w:rsidRDefault="001E1B35" w:rsidP="00EA3FF4">
      <w:pPr>
        <w:pStyle w:val="BodyTextL50"/>
        <w:rPr>
          <w:szCs w:val="18"/>
        </w:rPr>
      </w:pPr>
      <w:r w:rsidRPr="00EA3FF4">
        <w:rPr>
          <w:szCs w:val="18"/>
        </w:rPr>
        <w:br/>
      </w:r>
      <w:r w:rsidR="009A0A24" w:rsidRPr="00EA3FF4">
        <w:rPr>
          <w:szCs w:val="18"/>
        </w:rPr>
        <w:br/>
      </w:r>
    </w:p>
    <w:sdt>
      <w:sdtPr>
        <w:id w:val="-1263300965"/>
        <w:docPartObj>
          <w:docPartGallery w:val="Bibliographies"/>
          <w:docPartUnique/>
        </w:docPartObj>
      </w:sdtPr>
      <w:sdtEndPr>
        <w:rPr>
          <w:b w:val="0"/>
          <w:sz w:val="20"/>
        </w:rPr>
      </w:sdtEndPr>
      <w:sdtContent>
        <w:p w14:paraId="6145D9CC" w14:textId="7242D5A2" w:rsidR="008C0740" w:rsidRDefault="008C0740">
          <w:pPr>
            <w:pStyle w:val="Heading1"/>
          </w:pPr>
          <w:r>
            <w:t>References</w:t>
          </w:r>
        </w:p>
        <w:sdt>
          <w:sdtPr>
            <w:id w:val="-573587230"/>
            <w:bibliography/>
          </w:sdtPr>
          <w:sdtContent>
            <w:p w14:paraId="42060CA9" w14:textId="77777777" w:rsidR="008C0740" w:rsidRDefault="008C0740">
              <w:pPr>
                <w:rPr>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9472"/>
              </w:tblGrid>
              <w:tr w:rsidR="008C0740" w14:paraId="75284613" w14:textId="77777777">
                <w:trPr>
                  <w:divId w:val="594359732"/>
                  <w:tblCellSpacing w:w="15" w:type="dxa"/>
                </w:trPr>
                <w:tc>
                  <w:tcPr>
                    <w:tcW w:w="50" w:type="pct"/>
                    <w:hideMark/>
                  </w:tcPr>
                  <w:p w14:paraId="4A6BFA40" w14:textId="0C08A09B" w:rsidR="008C0740" w:rsidRDefault="008C0740">
                    <w:pPr>
                      <w:pStyle w:val="Bibliography"/>
                      <w:rPr>
                        <w:noProof/>
                        <w:sz w:val="24"/>
                        <w:szCs w:val="24"/>
                      </w:rPr>
                    </w:pPr>
                    <w:r>
                      <w:rPr>
                        <w:noProof/>
                      </w:rPr>
                      <w:t xml:space="preserve">[1] </w:t>
                    </w:r>
                  </w:p>
                </w:tc>
                <w:tc>
                  <w:tcPr>
                    <w:tcW w:w="0" w:type="auto"/>
                    <w:hideMark/>
                  </w:tcPr>
                  <w:p w14:paraId="2B6C4F3B" w14:textId="77777777" w:rsidR="008C0740" w:rsidRDefault="008C0740">
                    <w:pPr>
                      <w:pStyle w:val="Bibliography"/>
                      <w:rPr>
                        <w:noProof/>
                      </w:rPr>
                    </w:pPr>
                    <w:r>
                      <w:rPr>
                        <w:noProof/>
                      </w:rPr>
                      <w:t>C. S. Inc, “IPv6 White Paper,” 2008. [Online]. Available: https://www.cisco.com/c/dam/en_us/solutions/industries/docs/gov/IPv6_WP.pdf. [Accessed 7 12 2019].</w:t>
                    </w:r>
                  </w:p>
                </w:tc>
              </w:tr>
              <w:tr w:rsidR="008C0740" w14:paraId="6AE07F1F" w14:textId="77777777">
                <w:trPr>
                  <w:divId w:val="594359732"/>
                  <w:tblCellSpacing w:w="15" w:type="dxa"/>
                </w:trPr>
                <w:tc>
                  <w:tcPr>
                    <w:tcW w:w="50" w:type="pct"/>
                    <w:hideMark/>
                  </w:tcPr>
                  <w:p w14:paraId="25153739" w14:textId="77777777" w:rsidR="008C0740" w:rsidRDefault="008C0740">
                    <w:pPr>
                      <w:pStyle w:val="Bibliography"/>
                      <w:rPr>
                        <w:noProof/>
                      </w:rPr>
                    </w:pPr>
                    <w:r>
                      <w:rPr>
                        <w:noProof/>
                      </w:rPr>
                      <w:t xml:space="preserve">[2] </w:t>
                    </w:r>
                  </w:p>
                </w:tc>
                <w:tc>
                  <w:tcPr>
                    <w:tcW w:w="0" w:type="auto"/>
                    <w:hideMark/>
                  </w:tcPr>
                  <w:p w14:paraId="39F443F9" w14:textId="77777777" w:rsidR="008C0740" w:rsidRDefault="008C0740">
                    <w:pPr>
                      <w:pStyle w:val="Bibliography"/>
                      <w:rPr>
                        <w:noProof/>
                      </w:rPr>
                    </w:pPr>
                    <w:r>
                      <w:rPr>
                        <w:noProof/>
                      </w:rPr>
                      <w:t>S. D. R. Hinden, “RFC 4291,” Nokia, February 2006. [Online]. Available: https://datatracker.ietf.org/doc/rfc4291/. [Accessed December 2019].</w:t>
                    </w:r>
                  </w:p>
                </w:tc>
              </w:tr>
              <w:tr w:rsidR="008C0740" w14:paraId="1394EC14" w14:textId="77777777">
                <w:trPr>
                  <w:divId w:val="594359732"/>
                  <w:tblCellSpacing w:w="15" w:type="dxa"/>
                </w:trPr>
                <w:tc>
                  <w:tcPr>
                    <w:tcW w:w="50" w:type="pct"/>
                    <w:hideMark/>
                  </w:tcPr>
                  <w:p w14:paraId="4179B608" w14:textId="77777777" w:rsidR="008C0740" w:rsidRDefault="008C0740">
                    <w:pPr>
                      <w:pStyle w:val="Bibliography"/>
                      <w:rPr>
                        <w:noProof/>
                      </w:rPr>
                    </w:pPr>
                    <w:r>
                      <w:rPr>
                        <w:noProof/>
                      </w:rPr>
                      <w:t xml:space="preserve">[3] </w:t>
                    </w:r>
                  </w:p>
                </w:tc>
                <w:tc>
                  <w:tcPr>
                    <w:tcW w:w="0" w:type="auto"/>
                    <w:hideMark/>
                  </w:tcPr>
                  <w:p w14:paraId="75492ECA" w14:textId="77777777" w:rsidR="008C0740" w:rsidRDefault="008C0740">
                    <w:pPr>
                      <w:pStyle w:val="Bibliography"/>
                      <w:rPr>
                        <w:noProof/>
                      </w:rPr>
                    </w:pPr>
                    <w:r>
                      <w:rPr>
                        <w:noProof/>
                      </w:rPr>
                      <w:t>IANA, “IPv6 Global Unicast Address Assignments,” IANA, July 1999. [Online]. Available: http://www.iana.org/assignments/ipv6-unicast-address-assignments/ipv6-unicast-address-assignments.xhtml. [Accessed December 2019].</w:t>
                    </w:r>
                  </w:p>
                </w:tc>
              </w:tr>
              <w:tr w:rsidR="008C0740" w14:paraId="56907B8E" w14:textId="77777777">
                <w:trPr>
                  <w:divId w:val="594359732"/>
                  <w:tblCellSpacing w:w="15" w:type="dxa"/>
                </w:trPr>
                <w:tc>
                  <w:tcPr>
                    <w:tcW w:w="50" w:type="pct"/>
                    <w:hideMark/>
                  </w:tcPr>
                  <w:p w14:paraId="533175EF" w14:textId="77777777" w:rsidR="008C0740" w:rsidRDefault="008C0740">
                    <w:pPr>
                      <w:pStyle w:val="Bibliography"/>
                      <w:rPr>
                        <w:noProof/>
                      </w:rPr>
                    </w:pPr>
                    <w:r>
                      <w:rPr>
                        <w:noProof/>
                      </w:rPr>
                      <w:t xml:space="preserve">[4] </w:t>
                    </w:r>
                  </w:p>
                </w:tc>
                <w:tc>
                  <w:tcPr>
                    <w:tcW w:w="0" w:type="auto"/>
                    <w:hideMark/>
                  </w:tcPr>
                  <w:p w14:paraId="2B863448" w14:textId="77777777" w:rsidR="008C0740" w:rsidRDefault="008C0740">
                    <w:pPr>
                      <w:pStyle w:val="Bibliography"/>
                      <w:rPr>
                        <w:noProof/>
                      </w:rPr>
                    </w:pPr>
                    <w:r>
                      <w:rPr>
                        <w:noProof/>
                      </w:rPr>
                      <w:t>E. V. M. Behringer, “RFC 7407,” November 2014. [Online]. Available: https://tools.ietf.org/html/rfc7404. [Accessed December 2019].</w:t>
                    </w:r>
                  </w:p>
                </w:tc>
              </w:tr>
              <w:tr w:rsidR="008C0740" w14:paraId="58F019FF" w14:textId="77777777">
                <w:trPr>
                  <w:divId w:val="594359732"/>
                  <w:tblCellSpacing w:w="15" w:type="dxa"/>
                </w:trPr>
                <w:tc>
                  <w:tcPr>
                    <w:tcW w:w="50" w:type="pct"/>
                    <w:hideMark/>
                  </w:tcPr>
                  <w:p w14:paraId="7FE0E8C6" w14:textId="77777777" w:rsidR="008C0740" w:rsidRDefault="008C0740">
                    <w:pPr>
                      <w:pStyle w:val="Bibliography"/>
                      <w:rPr>
                        <w:noProof/>
                      </w:rPr>
                    </w:pPr>
                    <w:r>
                      <w:rPr>
                        <w:noProof/>
                      </w:rPr>
                      <w:t xml:space="preserve">[5] </w:t>
                    </w:r>
                  </w:p>
                </w:tc>
                <w:tc>
                  <w:tcPr>
                    <w:tcW w:w="0" w:type="auto"/>
                    <w:hideMark/>
                  </w:tcPr>
                  <w:p w14:paraId="724EED3C" w14:textId="77777777" w:rsidR="008C0740" w:rsidRDefault="008C0740">
                    <w:pPr>
                      <w:pStyle w:val="Bibliography"/>
                      <w:rPr>
                        <w:noProof/>
                      </w:rPr>
                    </w:pPr>
                    <w:r>
                      <w:rPr>
                        <w:noProof/>
                      </w:rPr>
                      <w:t>B. H. R.Hinden, “RFC 4193,” Nokia, October 2005. [Online]. Available: https://tools.ietf.org/html/rfc4193. [Accessed December 2019].</w:t>
                    </w:r>
                  </w:p>
                </w:tc>
              </w:tr>
            </w:tbl>
            <w:p w14:paraId="0E222794" w14:textId="77777777" w:rsidR="008C0740" w:rsidRDefault="008C0740">
              <w:pPr>
                <w:divId w:val="594359732"/>
                <w:rPr>
                  <w:noProof/>
                </w:rPr>
              </w:pPr>
            </w:p>
            <w:p w14:paraId="4FC141D9" w14:textId="64999054" w:rsidR="008C0740" w:rsidRDefault="008C0740">
              <w:r>
                <w:rPr>
                  <w:b/>
                  <w:bCs/>
                  <w:noProof/>
                </w:rPr>
                <w:fldChar w:fldCharType="end"/>
              </w:r>
            </w:p>
          </w:sdtContent>
        </w:sdt>
      </w:sdtContent>
    </w:sdt>
    <w:p w14:paraId="798FA3AC" w14:textId="086033AE" w:rsidR="009A0A24" w:rsidRPr="00EA3FF4" w:rsidRDefault="009A0A24" w:rsidP="00EA3FF4">
      <w:pPr>
        <w:pStyle w:val="BodyTextL50"/>
        <w:rPr>
          <w:szCs w:val="18"/>
        </w:rPr>
      </w:pPr>
    </w:p>
    <w:sectPr w:rsidR="009A0A24" w:rsidRPr="00EA3FF4"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11C33" w14:textId="77777777" w:rsidR="00E95072" w:rsidRDefault="00E95072">
      <w:r>
        <w:separator/>
      </w:r>
    </w:p>
  </w:endnote>
  <w:endnote w:type="continuationSeparator" w:id="0">
    <w:p w14:paraId="464F108C" w14:textId="77777777" w:rsidR="00E95072" w:rsidRDefault="00E9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9CD6A" w14:textId="77777777" w:rsidR="00E95072" w:rsidRDefault="00E95072">
      <w:r>
        <w:separator/>
      </w:r>
    </w:p>
  </w:footnote>
  <w:footnote w:type="continuationSeparator" w:id="0">
    <w:p w14:paraId="276D3758" w14:textId="77777777" w:rsidR="00E95072" w:rsidRDefault="00E9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B35"/>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96EA4"/>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07"/>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D566C"/>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D52C0"/>
    <w:rsid w:val="004E0538"/>
    <w:rsid w:val="004E568D"/>
    <w:rsid w:val="004E61B1"/>
    <w:rsid w:val="004F2F31"/>
    <w:rsid w:val="004F6A3E"/>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101"/>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3204"/>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0740"/>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66B4E"/>
    <w:rsid w:val="00971B1E"/>
    <w:rsid w:val="00972701"/>
    <w:rsid w:val="009753C1"/>
    <w:rsid w:val="009767C6"/>
    <w:rsid w:val="00982290"/>
    <w:rsid w:val="00983C7E"/>
    <w:rsid w:val="009871FF"/>
    <w:rsid w:val="009A0A24"/>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5787F"/>
    <w:rsid w:val="00C66B33"/>
    <w:rsid w:val="00C70ACD"/>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089E"/>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A3FF4"/>
    <w:rsid w:val="00EB0EB8"/>
    <w:rsid w:val="00EB3C38"/>
    <w:rsid w:val="00EB531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96EA4"/>
    <w:pPr>
      <w:spacing w:before="120" w:after="60"/>
      <w:ind w:left="720"/>
    </w:pPr>
    <w:rPr>
      <w:rFonts w:ascii="Arial" w:eastAsia="Calibri" w:hAnsi="Arial"/>
      <w:sz w:val="18"/>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character" w:styleId="FollowedHyperlink">
    <w:name w:val="FollowedHyperlink"/>
    <w:basedOn w:val="DefaultParagraphFont"/>
    <w:semiHidden/>
    <w:unhideWhenUsed/>
    <w:rsid w:val="00C5787F"/>
    <w:rPr>
      <w:color w:val="800080" w:themeColor="followedHyperlink"/>
      <w:u w:val="single"/>
    </w:rPr>
  </w:style>
  <w:style w:type="character" w:customStyle="1" w:styleId="Heading1Char">
    <w:name w:val="Heading 1 Char"/>
    <w:basedOn w:val="DefaultParagraphFont"/>
    <w:link w:val="Heading1"/>
    <w:uiPriority w:val="9"/>
    <w:rsid w:val="008C0740"/>
    <w:rPr>
      <w:b/>
      <w:sz w:val="36"/>
      <w:shd w:val="pct15" w:color="auto" w:fill="auto"/>
      <w:lang w:eastAsia="en-GB"/>
    </w:rPr>
  </w:style>
  <w:style w:type="paragraph" w:styleId="Bibliography">
    <w:name w:val="Bibliography"/>
    <w:basedOn w:val="Normal"/>
    <w:next w:val="Normal"/>
    <w:uiPriority w:val="37"/>
    <w:unhideWhenUsed/>
    <w:rsid w:val="008C0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532423287">
      <w:bodyDiv w:val="1"/>
      <w:marLeft w:val="0"/>
      <w:marRight w:val="0"/>
      <w:marTop w:val="0"/>
      <w:marBottom w:val="0"/>
      <w:divBdr>
        <w:top w:val="none" w:sz="0" w:space="0" w:color="auto"/>
        <w:left w:val="none" w:sz="0" w:space="0" w:color="auto"/>
        <w:bottom w:val="none" w:sz="0" w:space="0" w:color="auto"/>
        <w:right w:val="none" w:sz="0" w:space="0" w:color="auto"/>
      </w:divBdr>
    </w:div>
    <w:div w:id="594359732">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860095703">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57759029">
      <w:bodyDiv w:val="1"/>
      <w:marLeft w:val="0"/>
      <w:marRight w:val="0"/>
      <w:marTop w:val="0"/>
      <w:marBottom w:val="0"/>
      <w:divBdr>
        <w:top w:val="none" w:sz="0" w:space="0" w:color="auto"/>
        <w:left w:val="none" w:sz="0" w:space="0" w:color="auto"/>
        <w:bottom w:val="none" w:sz="0" w:space="0" w:color="auto"/>
        <w:right w:val="none" w:sz="0" w:space="0" w:color="auto"/>
      </w:divBdr>
    </w:div>
    <w:div w:id="1001347150">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2612547">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427899">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Cis08</b:Tag>
    <b:SourceType>InternetSite</b:SourceType>
    <b:Guid>{927BA0AC-6980-487F-A474-D3DC67A2A52D}</b:Guid>
    <b:Author>
      <b:Author>
        <b:NameList>
          <b:Person>
            <b:Last>Inc</b:Last>
            <b:First>Cisco</b:First>
            <b:Middle>Systems</b:Middle>
          </b:Person>
        </b:NameList>
      </b:Author>
    </b:Author>
    <b:Title>IPv6 White Paper</b:Title>
    <b:Year>2008</b:Year>
    <b:YearAccessed>2019</b:YearAccessed>
    <b:MonthAccessed>12</b:MonthAccessed>
    <b:DayAccessed>7</b:DayAccessed>
    <b:URL>https://www.cisco.com/c/dam/en_us/solutions/industries/docs/gov/IPv6_WP.pdf</b:URL>
    <b:RefOrder>1</b:RefOrder>
  </b:Source>
  <b:Source>
    <b:Tag>RHi06</b:Tag>
    <b:SourceType>DocumentFromInternetSite</b:SourceType>
    <b:Guid>{D1A68B07-56AF-4A10-B220-4E50CC206E65}</b:Guid>
    <b:Title>RFC 4291</b:Title>
    <b:ProductionCompany>Nokia</b:ProductionCompany>
    <b:Year>2006</b:Year>
    <b:Month>February</b:Month>
    <b:YearAccessed>2019</b:YearAccessed>
    <b:MonthAccessed>December</b:MonthAccessed>
    <b:URL>https://datatracker.ietf.org/doc/rfc4291/</b:URL>
    <b:Author>
      <b:Author>
        <b:NameList>
          <b:Person>
            <b:Last>R. Hinden</b:Last>
            <b:First>S.</b:First>
            <b:Middle>Deering</b:Middle>
          </b:Person>
        </b:NameList>
      </b:Author>
    </b:Author>
    <b:RefOrder>2</b:RefOrder>
  </b:Source>
  <b:Source>
    <b:Tag>MBe14</b:Tag>
    <b:SourceType>DocumentFromInternetSite</b:SourceType>
    <b:Guid>{E4B500CE-1F9B-45C7-A7EA-A5D89DCAEB47}</b:Guid>
    <b:Author>
      <b:Author>
        <b:NameList>
          <b:Person>
            <b:Last>M. Behringer</b:Last>
            <b:First>E.</b:First>
            <b:Middle>Vyncke</b:Middle>
          </b:Person>
        </b:NameList>
      </b:Author>
    </b:Author>
    <b:Title>RFC 7407</b:Title>
    <b:Year>2014</b:Year>
    <b:Month>November</b:Month>
    <b:YearAccessed>2019</b:YearAccessed>
    <b:MonthAccessed>December</b:MonthAccessed>
    <b:URL>https://tools.ietf.org/html/rfc7404</b:URL>
    <b:RefOrder>4</b:RefOrder>
  </b:Source>
  <b:Source>
    <b:Tag>IAN99</b:Tag>
    <b:SourceType>InternetSite</b:SourceType>
    <b:Guid>{173E927A-42CE-4C6A-9916-B77EE8F25810}</b:Guid>
    <b:Title>IPv6 Global Unicast Address Assignments</b:Title>
    <b:Year>1999</b:Year>
    <b:Month>July</b:Month>
    <b:YearAccessed>2019</b:YearAccessed>
    <b:MonthAccessed>December</b:MonthAccessed>
    <b:URL> http://www.iana.org/assignments/ipv6-unicast-address-assignments/ipv6-unicast-address-assignments.xhtml</b:URL>
    <b:Author>
      <b:Author>
        <b:Corporate>IANA</b:Corporate>
      </b:Author>
    </b:Author>
    <b:ProductionCompany>IANA</b:ProductionCompany>
    <b:RefOrder>3</b:RefOrder>
  </b:Source>
  <b:Source>
    <b:Tag>RHi05</b:Tag>
    <b:SourceType>InternetSite</b:SourceType>
    <b:Guid>{0D5FCA9D-5F90-4A0E-8196-7688588383A5}</b:Guid>
    <b:Author>
      <b:Author>
        <b:NameList>
          <b:Person>
            <b:Last>R.Hinden</b:Last>
            <b:First>B.</b:First>
            <b:Middle>Haberman</b:Middle>
          </b:Person>
        </b:NameList>
      </b:Author>
    </b:Author>
    <b:Title>RFC 4193</b:Title>
    <b:ProductionCompany>Nokia</b:ProductionCompany>
    <b:Year>2005</b:Year>
    <b:Month>October</b:Month>
    <b:YearAccessed>2019</b:YearAccessed>
    <b:MonthAccessed>December</b:MonthAccessed>
    <b:URL>https://tools.ietf.org/html/rfc4193</b:URL>
    <b:RefOrder>5</b:RefOrder>
  </b:Source>
</b:Sources>
</file>

<file path=customXml/itemProps1.xml><?xml version="1.0" encoding="utf-8"?>
<ds:datastoreItem xmlns:ds="http://schemas.openxmlformats.org/officeDocument/2006/customXml" ds:itemID="{E45A353F-8943-4AE7-BD34-5694F847F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57</TotalTime>
  <Pages>5</Pages>
  <Words>1174</Words>
  <Characters>6790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7949</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Shaun Fox</cp:lastModifiedBy>
  <cp:revision>5</cp:revision>
  <cp:lastPrinted>2014-11-07T14:47:00Z</cp:lastPrinted>
  <dcterms:created xsi:type="dcterms:W3CDTF">2019-12-12T13:39:00Z</dcterms:created>
  <dcterms:modified xsi:type="dcterms:W3CDTF">2019-12-12T23:24:00Z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