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4E88C4" w14:textId="77777777" w:rsidR="005F1CE3" w:rsidRPr="005F1CE3" w:rsidRDefault="005F1CE3" w:rsidP="005F1CE3">
      <w:pPr>
        <w:jc w:val="center"/>
        <w:rPr>
          <w:rFonts w:ascii="Times" w:hAnsi="Times"/>
          <w:u w:val="single"/>
        </w:rPr>
      </w:pPr>
      <w:r w:rsidRPr="005F1CE3">
        <w:rPr>
          <w:rFonts w:ascii="Times" w:hAnsi="Times"/>
          <w:u w:val="single"/>
        </w:rPr>
        <w:t>‘Using one key text as your main source, conduct a critical review of the punishment and rehabilitation of offenders”</w:t>
      </w:r>
    </w:p>
    <w:p w14:paraId="7548D8CA" w14:textId="77777777" w:rsidR="00DB4E90" w:rsidRPr="00A353D7" w:rsidRDefault="002D2F7A" w:rsidP="00A353D7">
      <w:pPr>
        <w:spacing w:line="360" w:lineRule="auto"/>
        <w:jc w:val="center"/>
        <w:rPr>
          <w:rFonts w:ascii="Times" w:hAnsi="Times"/>
          <w:sz w:val="36"/>
        </w:rPr>
      </w:pPr>
    </w:p>
    <w:p w14:paraId="3FE1A28B" w14:textId="40F4A61A" w:rsidR="005F1CE3" w:rsidRDefault="00132753" w:rsidP="005F1CE3">
      <w:pPr>
        <w:spacing w:line="360" w:lineRule="auto"/>
        <w:rPr>
          <w:rFonts w:ascii="Times" w:eastAsia="Times New Roman" w:hAnsi="Times"/>
          <w:sz w:val="36"/>
        </w:rPr>
      </w:pPr>
      <w:r w:rsidRPr="00132753">
        <w:rPr>
          <w:rFonts w:ascii="Times" w:eastAsia="Times New Roman" w:hAnsi="Times" w:cs="Arial"/>
          <w:color w:val="222222"/>
          <w:szCs w:val="20"/>
        </w:rPr>
        <w:t>Birgden, A. (2004). Therapeutic jurisprudence and responsivity: Finding the will and the way in offender rehabilitation. </w:t>
      </w:r>
      <w:r w:rsidRPr="00132753">
        <w:rPr>
          <w:rFonts w:ascii="Times" w:eastAsia="Times New Roman" w:hAnsi="Times" w:cs="Arial"/>
          <w:i/>
          <w:iCs/>
          <w:color w:val="222222"/>
          <w:szCs w:val="20"/>
        </w:rPr>
        <w:t>Psychology, Crime &amp; Law</w:t>
      </w:r>
      <w:r w:rsidRPr="00132753">
        <w:rPr>
          <w:rFonts w:ascii="Times" w:eastAsia="Times New Roman" w:hAnsi="Times" w:cs="Arial"/>
          <w:color w:val="222222"/>
          <w:szCs w:val="20"/>
        </w:rPr>
        <w:t>, </w:t>
      </w:r>
      <w:r w:rsidRPr="00132753">
        <w:rPr>
          <w:rFonts w:ascii="Times" w:eastAsia="Times New Roman" w:hAnsi="Times" w:cs="Arial"/>
          <w:i/>
          <w:iCs/>
          <w:color w:val="222222"/>
          <w:szCs w:val="20"/>
        </w:rPr>
        <w:t>10</w:t>
      </w:r>
      <w:r w:rsidRPr="00132753">
        <w:rPr>
          <w:rFonts w:ascii="Times" w:eastAsia="Times New Roman" w:hAnsi="Times" w:cs="Arial"/>
          <w:color w:val="222222"/>
          <w:szCs w:val="20"/>
        </w:rPr>
        <w:t>(3), 283-295. </w:t>
      </w:r>
    </w:p>
    <w:p w14:paraId="04951C59" w14:textId="77777777" w:rsidR="005D2BFC" w:rsidRPr="005D2BFC" w:rsidRDefault="005D2BFC" w:rsidP="005F1CE3">
      <w:pPr>
        <w:spacing w:line="360" w:lineRule="auto"/>
        <w:rPr>
          <w:rFonts w:ascii="Times" w:eastAsia="Times New Roman" w:hAnsi="Times"/>
          <w:sz w:val="36"/>
        </w:rPr>
      </w:pPr>
    </w:p>
    <w:p w14:paraId="09B17E68" w14:textId="33792492" w:rsidR="00E2602F" w:rsidRDefault="00071861" w:rsidP="001721A7">
      <w:pPr>
        <w:spacing w:line="360" w:lineRule="auto"/>
        <w:rPr>
          <w:rFonts w:ascii="Times" w:hAnsi="Times"/>
        </w:rPr>
      </w:pPr>
      <w:r w:rsidRPr="001721A7">
        <w:rPr>
          <w:rFonts w:ascii="Times" w:hAnsi="Times"/>
        </w:rPr>
        <w:t>The purpose of Birgden</w:t>
      </w:r>
      <w:r w:rsidR="0060170A" w:rsidRPr="001721A7">
        <w:rPr>
          <w:rFonts w:ascii="Times" w:hAnsi="Times"/>
        </w:rPr>
        <w:t>’s (2004) study was to highlight how the responsivity principle</w:t>
      </w:r>
      <w:r w:rsidR="00DC5EA3">
        <w:rPr>
          <w:rFonts w:ascii="Times" w:hAnsi="Times"/>
        </w:rPr>
        <w:t xml:space="preserve"> and other theories such as the therapeutic ju</w:t>
      </w:r>
      <w:r w:rsidR="00B779B3">
        <w:rPr>
          <w:rFonts w:ascii="Times" w:hAnsi="Times"/>
        </w:rPr>
        <w:t>risprudence theory can</w:t>
      </w:r>
      <w:r w:rsidR="0060170A" w:rsidRPr="001721A7">
        <w:rPr>
          <w:rFonts w:ascii="Times" w:hAnsi="Times"/>
        </w:rPr>
        <w:t xml:space="preserve"> be used successfully within the area of rehabilitating individuals to ensure that they do not re</w:t>
      </w:r>
      <w:r w:rsidR="009B2BB4" w:rsidRPr="001721A7">
        <w:rPr>
          <w:rFonts w:ascii="Times" w:hAnsi="Times"/>
        </w:rPr>
        <w:t>-offend and that they are successfully put back into the world as a useful member of society.</w:t>
      </w:r>
      <w:r w:rsidR="00E51760">
        <w:rPr>
          <w:rFonts w:ascii="Times" w:hAnsi="Times"/>
        </w:rPr>
        <w:t xml:space="preserve"> </w:t>
      </w:r>
      <w:r w:rsidR="0057364F">
        <w:rPr>
          <w:rFonts w:ascii="Times" w:hAnsi="Times"/>
        </w:rPr>
        <w:t>She also aimed to show a psycho legal approach to offender rehabilitation</w:t>
      </w:r>
      <w:r w:rsidR="00E51760">
        <w:rPr>
          <w:rFonts w:ascii="Times" w:hAnsi="Times"/>
        </w:rPr>
        <w:t xml:space="preserve"> and find the will and the way in both offenders and correctional staff which refers to the best combination to create an appropriate model of rehabilitation.  </w:t>
      </w:r>
      <w:r w:rsidR="005E30B3" w:rsidRPr="001721A7">
        <w:rPr>
          <w:rFonts w:ascii="Times" w:hAnsi="Times"/>
        </w:rPr>
        <w:t xml:space="preserve">Responsivity can be split into </w:t>
      </w:r>
      <w:r w:rsidR="00791BC0" w:rsidRPr="001721A7">
        <w:rPr>
          <w:rFonts w:ascii="Times" w:hAnsi="Times"/>
        </w:rPr>
        <w:t>two different categories that are internal and external (</w:t>
      </w:r>
      <w:r w:rsidR="00FD5CDA">
        <w:rPr>
          <w:rFonts w:ascii="Times" w:hAnsi="Times"/>
        </w:rPr>
        <w:t>Gendreau and Andrews, 1990)</w:t>
      </w:r>
      <w:r w:rsidR="00EE418A" w:rsidRPr="001721A7">
        <w:rPr>
          <w:rFonts w:ascii="Times" w:hAnsi="Times"/>
        </w:rPr>
        <w:t xml:space="preserve">. </w:t>
      </w:r>
      <w:r w:rsidR="007007AD" w:rsidRPr="001721A7">
        <w:rPr>
          <w:rFonts w:ascii="Times" w:hAnsi="Times"/>
        </w:rPr>
        <w:t>Internal responsivity looks at treatment motivation</w:t>
      </w:r>
      <w:r w:rsidR="00877694" w:rsidRPr="001721A7">
        <w:rPr>
          <w:rFonts w:ascii="Times" w:hAnsi="Times"/>
        </w:rPr>
        <w:t xml:space="preserve">, learning style, age and culture. </w:t>
      </w:r>
      <w:r w:rsidR="00F16755" w:rsidRPr="001721A7">
        <w:rPr>
          <w:rFonts w:ascii="Times" w:hAnsi="Times"/>
        </w:rPr>
        <w:t xml:space="preserve">External responsivity </w:t>
      </w:r>
      <w:r w:rsidR="001F05F8" w:rsidRPr="001721A7">
        <w:rPr>
          <w:rFonts w:ascii="Times" w:hAnsi="Times"/>
        </w:rPr>
        <w:t xml:space="preserve">considers </w:t>
      </w:r>
      <w:r w:rsidR="00106E62" w:rsidRPr="001721A7">
        <w:rPr>
          <w:rFonts w:ascii="Times" w:hAnsi="Times"/>
        </w:rPr>
        <w:t>an engaging and active style of service delivery.</w:t>
      </w:r>
      <w:r w:rsidR="00A5012E" w:rsidRPr="001721A7">
        <w:rPr>
          <w:rFonts w:ascii="Times" w:hAnsi="Times"/>
        </w:rPr>
        <w:t xml:space="preserve"> Furthermore, </w:t>
      </w:r>
      <w:r w:rsidR="001721B6" w:rsidRPr="001721A7">
        <w:rPr>
          <w:rFonts w:ascii="Times" w:hAnsi="Times"/>
        </w:rPr>
        <w:t>external responsivity can be split into characteris</w:t>
      </w:r>
      <w:r w:rsidR="00F27FC3">
        <w:rPr>
          <w:rFonts w:ascii="Times" w:hAnsi="Times"/>
        </w:rPr>
        <w:t xml:space="preserve">tics and staff characteristics (Serin and Kennedy </w:t>
      </w:r>
      <w:r w:rsidR="00F27FC3" w:rsidRPr="001721A7">
        <w:rPr>
          <w:rFonts w:ascii="Times" w:hAnsi="Times"/>
        </w:rPr>
        <w:t>1997</w:t>
      </w:r>
      <w:r w:rsidR="00F27FC3">
        <w:rPr>
          <w:rFonts w:ascii="Times" w:hAnsi="Times"/>
        </w:rPr>
        <w:t xml:space="preserve">, </w:t>
      </w:r>
      <w:r w:rsidR="00F27FC3" w:rsidRPr="001721A7">
        <w:rPr>
          <w:rFonts w:ascii="Times" w:hAnsi="Times"/>
        </w:rPr>
        <w:t>as</w:t>
      </w:r>
      <w:r w:rsidR="001721B6" w:rsidRPr="001721A7">
        <w:rPr>
          <w:rFonts w:ascii="Times" w:hAnsi="Times"/>
        </w:rPr>
        <w:t xml:space="preserve"> cited in Birgden</w:t>
      </w:r>
      <w:r w:rsidR="00F27FC3">
        <w:rPr>
          <w:rFonts w:ascii="Times" w:hAnsi="Times"/>
        </w:rPr>
        <w:t xml:space="preserve">, </w:t>
      </w:r>
      <w:r w:rsidR="001721B6" w:rsidRPr="001721A7">
        <w:rPr>
          <w:rFonts w:ascii="Times" w:hAnsi="Times"/>
        </w:rPr>
        <w:t xml:space="preserve">2004). When discussing setting characteristics, </w:t>
      </w:r>
      <w:r w:rsidR="00FA7BF6" w:rsidRPr="001721A7">
        <w:rPr>
          <w:rFonts w:ascii="Times" w:hAnsi="Times"/>
        </w:rPr>
        <w:t>programmes that are demonstrated in the community or prison have varying outcomes. However, talking about staff characteristics, they have to be able to show useful role</w:t>
      </w:r>
      <w:r w:rsidR="00E44A89" w:rsidRPr="001721A7">
        <w:rPr>
          <w:rFonts w:ascii="Times" w:hAnsi="Times"/>
        </w:rPr>
        <w:t xml:space="preserve"> modelling skills. The staff and</w:t>
      </w:r>
      <w:r w:rsidR="00FA7BF6" w:rsidRPr="001721A7">
        <w:rPr>
          <w:rFonts w:ascii="Times" w:hAnsi="Times"/>
        </w:rPr>
        <w:t xml:space="preserve"> the setting are critical in the process of providing an environment which encourages and helps rehabilitation.</w:t>
      </w:r>
      <w:r w:rsidR="00D330AC">
        <w:rPr>
          <w:rFonts w:ascii="Times" w:hAnsi="Times"/>
        </w:rPr>
        <w:t xml:space="preserve"> These two factors have to combine otherwise it may limit the chances of an offender responding to their specialised form of rehabilitation.</w:t>
      </w:r>
      <w:r w:rsidR="00FA7BF6" w:rsidRPr="001721A7">
        <w:rPr>
          <w:rFonts w:ascii="Times" w:hAnsi="Times"/>
        </w:rPr>
        <w:t xml:space="preserve"> </w:t>
      </w:r>
      <w:r w:rsidR="00106E62" w:rsidRPr="001721A7">
        <w:rPr>
          <w:rFonts w:ascii="Times" w:hAnsi="Times"/>
        </w:rPr>
        <w:t xml:space="preserve"> </w:t>
      </w:r>
      <w:r w:rsidR="00B361EA" w:rsidRPr="001721A7">
        <w:rPr>
          <w:rFonts w:ascii="Times" w:hAnsi="Times"/>
        </w:rPr>
        <w:t>The responsivity principle</w:t>
      </w:r>
      <w:r w:rsidR="0059584A" w:rsidRPr="001721A7">
        <w:rPr>
          <w:rFonts w:ascii="Times" w:hAnsi="Times"/>
        </w:rPr>
        <w:t xml:space="preserve"> infers that approaches for treatment should have a structured cognit</w:t>
      </w:r>
      <w:r w:rsidR="005E482F" w:rsidRPr="001721A7">
        <w:rPr>
          <w:rFonts w:ascii="Times" w:hAnsi="Times"/>
        </w:rPr>
        <w:t>ive behavioural intervention which should</w:t>
      </w:r>
      <w:r w:rsidR="003D763C" w:rsidRPr="001721A7">
        <w:rPr>
          <w:rFonts w:ascii="Times" w:hAnsi="Times"/>
        </w:rPr>
        <w:t xml:space="preserve"> also have </w:t>
      </w:r>
      <w:r w:rsidR="00883FDC" w:rsidRPr="001721A7">
        <w:rPr>
          <w:rFonts w:ascii="Times" w:hAnsi="Times"/>
        </w:rPr>
        <w:t xml:space="preserve">a similar </w:t>
      </w:r>
      <w:r w:rsidR="001D046C" w:rsidRPr="001721A7">
        <w:rPr>
          <w:rFonts w:ascii="Times" w:hAnsi="Times"/>
        </w:rPr>
        <w:t xml:space="preserve">learning style of the </w:t>
      </w:r>
      <w:r w:rsidR="005E482F" w:rsidRPr="001721A7">
        <w:rPr>
          <w:rFonts w:ascii="Times" w:hAnsi="Times"/>
        </w:rPr>
        <w:t xml:space="preserve">individual offender. </w:t>
      </w:r>
      <w:r w:rsidR="00F27FC3">
        <w:rPr>
          <w:rFonts w:ascii="Times" w:hAnsi="Times"/>
        </w:rPr>
        <w:t xml:space="preserve">According to Kennedy </w:t>
      </w:r>
      <w:r w:rsidR="00CC77C7" w:rsidRPr="001721A7">
        <w:rPr>
          <w:rFonts w:ascii="Times" w:hAnsi="Times"/>
        </w:rPr>
        <w:t>(2001, as cited in Birgden</w:t>
      </w:r>
      <w:r w:rsidR="00F27FC3">
        <w:rPr>
          <w:rFonts w:ascii="Times" w:hAnsi="Times"/>
        </w:rPr>
        <w:t>,</w:t>
      </w:r>
      <w:r w:rsidR="00CC77C7" w:rsidRPr="001721A7">
        <w:rPr>
          <w:rFonts w:ascii="Times" w:hAnsi="Times"/>
        </w:rPr>
        <w:t xml:space="preserve"> 2004) </w:t>
      </w:r>
      <w:r w:rsidR="00E83F99" w:rsidRPr="001721A7">
        <w:rPr>
          <w:rFonts w:ascii="Times" w:hAnsi="Times"/>
        </w:rPr>
        <w:t xml:space="preserve">the </w:t>
      </w:r>
      <w:r w:rsidR="00E30733" w:rsidRPr="001721A7">
        <w:rPr>
          <w:rFonts w:ascii="Times" w:hAnsi="Times"/>
        </w:rPr>
        <w:t>responsivity</w:t>
      </w:r>
      <w:r w:rsidR="00E83F99" w:rsidRPr="001721A7">
        <w:rPr>
          <w:rFonts w:ascii="Times" w:hAnsi="Times"/>
        </w:rPr>
        <w:t xml:space="preserve"> principle is </w:t>
      </w:r>
      <w:r w:rsidR="00C50602" w:rsidRPr="001721A7">
        <w:rPr>
          <w:rFonts w:ascii="Times" w:hAnsi="Times"/>
        </w:rPr>
        <w:t>highly important in order to achieve successful rehabilitation, however, it is overlooked in research.</w:t>
      </w:r>
    </w:p>
    <w:p w14:paraId="7FCC1315" w14:textId="4025D929" w:rsidR="001721A7" w:rsidRDefault="004D6EC8" w:rsidP="001721A7">
      <w:pPr>
        <w:spacing w:line="360" w:lineRule="auto"/>
        <w:rPr>
          <w:rFonts w:ascii="Times" w:hAnsi="Times"/>
        </w:rPr>
      </w:pPr>
      <w:r w:rsidRPr="001721A7">
        <w:rPr>
          <w:rFonts w:ascii="Times" w:hAnsi="Times"/>
        </w:rPr>
        <w:t>Looking at a diffe</w:t>
      </w:r>
      <w:r w:rsidR="00C3716A">
        <w:rPr>
          <w:rFonts w:ascii="Times" w:hAnsi="Times"/>
        </w:rPr>
        <w:t>rent psychological theory, the Good Lives M</w:t>
      </w:r>
      <w:r w:rsidRPr="001721A7">
        <w:rPr>
          <w:rFonts w:ascii="Times" w:hAnsi="Times"/>
        </w:rPr>
        <w:t>odel</w:t>
      </w:r>
      <w:r w:rsidR="00D42A00" w:rsidRPr="001721A7">
        <w:rPr>
          <w:rFonts w:ascii="Times" w:hAnsi="Times"/>
        </w:rPr>
        <w:t xml:space="preserve"> (GLM)</w:t>
      </w:r>
      <w:r w:rsidRPr="001721A7">
        <w:rPr>
          <w:rFonts w:ascii="Times" w:hAnsi="Times"/>
        </w:rPr>
        <w:t xml:space="preserve"> looks at improving human well-being rather than </w:t>
      </w:r>
      <w:r w:rsidR="00B57FC4" w:rsidRPr="001721A7">
        <w:rPr>
          <w:rFonts w:ascii="Times" w:hAnsi="Times"/>
        </w:rPr>
        <w:t xml:space="preserve">directly </w:t>
      </w:r>
      <w:r w:rsidRPr="001721A7">
        <w:rPr>
          <w:rFonts w:ascii="Times" w:hAnsi="Times"/>
        </w:rPr>
        <w:t xml:space="preserve">looking at </w:t>
      </w:r>
      <w:r w:rsidR="00B57FC4" w:rsidRPr="001721A7">
        <w:rPr>
          <w:rFonts w:ascii="Times" w:hAnsi="Times"/>
        </w:rPr>
        <w:t xml:space="preserve">internal and external responsivity. </w:t>
      </w:r>
      <w:r w:rsidR="00A0669A" w:rsidRPr="001721A7">
        <w:rPr>
          <w:rFonts w:ascii="Times" w:hAnsi="Times"/>
        </w:rPr>
        <w:t xml:space="preserve">The </w:t>
      </w:r>
      <w:r w:rsidR="00C3716A">
        <w:rPr>
          <w:rFonts w:ascii="Times" w:hAnsi="Times"/>
        </w:rPr>
        <w:t>Good L</w:t>
      </w:r>
      <w:r w:rsidR="00A0669A" w:rsidRPr="001721A7">
        <w:rPr>
          <w:rFonts w:ascii="Times" w:hAnsi="Times"/>
        </w:rPr>
        <w:t>ives</w:t>
      </w:r>
      <w:r w:rsidR="00C3716A">
        <w:rPr>
          <w:rFonts w:ascii="Times" w:hAnsi="Times"/>
        </w:rPr>
        <w:t xml:space="preserve"> M</w:t>
      </w:r>
      <w:r w:rsidR="00A0669A" w:rsidRPr="001721A7">
        <w:rPr>
          <w:rFonts w:ascii="Times" w:hAnsi="Times"/>
        </w:rPr>
        <w:t xml:space="preserve">odel </w:t>
      </w:r>
      <w:r w:rsidR="00B57FC4" w:rsidRPr="001721A7">
        <w:rPr>
          <w:rFonts w:ascii="Times" w:hAnsi="Times"/>
        </w:rPr>
        <w:t>directly focuses on improving the quality of an individual’s life in a chance to reduce the person possibly re-offending in the future. Conditions such as opportunities, values and social context are given to offenders so that their needs can be met thus al</w:t>
      </w:r>
      <w:r w:rsidR="00C3716A">
        <w:rPr>
          <w:rFonts w:ascii="Times" w:hAnsi="Times"/>
        </w:rPr>
        <w:t>lowing the Good Lives M</w:t>
      </w:r>
      <w:r w:rsidR="00B57FC4" w:rsidRPr="001721A7">
        <w:rPr>
          <w:rFonts w:ascii="Times" w:hAnsi="Times"/>
        </w:rPr>
        <w:t xml:space="preserve">odel a better chance of being successful. </w:t>
      </w:r>
      <w:r w:rsidR="001453F4" w:rsidRPr="001721A7">
        <w:rPr>
          <w:rFonts w:ascii="Times" w:hAnsi="Times"/>
        </w:rPr>
        <w:lastRenderedPageBreak/>
        <w:t>The main goal for the GLM is not to lower the amount of offending but instead it expects individuals to become more productive and useful members of society if a ‘</w:t>
      </w:r>
      <w:r w:rsidR="00C3716A">
        <w:rPr>
          <w:rFonts w:ascii="Times" w:hAnsi="Times"/>
        </w:rPr>
        <w:t>G</w:t>
      </w:r>
      <w:r w:rsidR="001453F4" w:rsidRPr="001721A7">
        <w:rPr>
          <w:rFonts w:ascii="Times" w:hAnsi="Times"/>
        </w:rPr>
        <w:t>ood life plan’ is formed.</w:t>
      </w:r>
      <w:r w:rsidR="00C3716A">
        <w:rPr>
          <w:rFonts w:ascii="Times" w:hAnsi="Times"/>
        </w:rPr>
        <w:t xml:space="preserve"> Another primary goal that the Good Lives M</w:t>
      </w:r>
      <w:r w:rsidR="001453F4" w:rsidRPr="001721A7">
        <w:rPr>
          <w:rFonts w:ascii="Times" w:hAnsi="Times"/>
        </w:rPr>
        <w:t xml:space="preserve">odel uses is to motivate </w:t>
      </w:r>
      <w:r w:rsidR="001721A7" w:rsidRPr="001721A7">
        <w:rPr>
          <w:rFonts w:ascii="Times" w:hAnsi="Times"/>
        </w:rPr>
        <w:t>offenders to think for themselves and make informed choices based on their behaviour. The question ‘How can I live my life differently’ is raised (Ward and Stewa</w:t>
      </w:r>
      <w:r w:rsidR="00F27FC3">
        <w:rPr>
          <w:rFonts w:ascii="Times" w:hAnsi="Times"/>
        </w:rPr>
        <w:t>rt 2003, as cited in Birgden, 2004</w:t>
      </w:r>
      <w:r w:rsidR="001721A7">
        <w:rPr>
          <w:rFonts w:ascii="Times" w:hAnsi="Times"/>
        </w:rPr>
        <w:t>) so that offenders can make decisions for the future and create long-term plans for when they are released back into society. If Autonomous thinking can be learnt and developed,</w:t>
      </w:r>
      <w:r w:rsidR="00C3716A">
        <w:rPr>
          <w:rFonts w:ascii="Times" w:hAnsi="Times"/>
        </w:rPr>
        <w:t xml:space="preserve"> then the Good Lives M</w:t>
      </w:r>
      <w:r w:rsidR="001721A7">
        <w:rPr>
          <w:rFonts w:ascii="Times" w:hAnsi="Times"/>
        </w:rPr>
        <w:t xml:space="preserve">odel believes that offenders will be less likely to re-offend. </w:t>
      </w:r>
      <w:r w:rsidR="008D7CE5">
        <w:rPr>
          <w:rFonts w:ascii="Times" w:hAnsi="Times"/>
        </w:rPr>
        <w:t xml:space="preserve">One </w:t>
      </w:r>
      <w:r w:rsidR="00C3716A">
        <w:rPr>
          <w:rFonts w:ascii="Times" w:hAnsi="Times"/>
        </w:rPr>
        <w:t>criticism of the Good Lives M</w:t>
      </w:r>
      <w:r w:rsidR="008D7CE5">
        <w:rPr>
          <w:rFonts w:ascii="Times" w:hAnsi="Times"/>
        </w:rPr>
        <w:t>odel is that it does not take into consideration the law. Andrews</w:t>
      </w:r>
      <w:r w:rsidR="00900BDA">
        <w:rPr>
          <w:rFonts w:ascii="Times" w:hAnsi="Times"/>
        </w:rPr>
        <w:t xml:space="preserve"> (2001)</w:t>
      </w:r>
      <w:r w:rsidR="00764509">
        <w:rPr>
          <w:rFonts w:ascii="Times" w:hAnsi="Times"/>
        </w:rPr>
        <w:t xml:space="preserve"> </w:t>
      </w:r>
      <w:r w:rsidR="00900BDA">
        <w:rPr>
          <w:rFonts w:ascii="Times" w:hAnsi="Times"/>
        </w:rPr>
        <w:t>believed that the efforts put into rehabilitating offenders should not be legal based.</w:t>
      </w:r>
    </w:p>
    <w:p w14:paraId="6949F7DF" w14:textId="31789607" w:rsidR="00BF402B" w:rsidRDefault="00BF402B" w:rsidP="001721A7">
      <w:pPr>
        <w:spacing w:line="360" w:lineRule="auto"/>
        <w:rPr>
          <w:rFonts w:ascii="Times" w:hAnsi="Times"/>
        </w:rPr>
      </w:pPr>
      <w:r>
        <w:rPr>
          <w:rFonts w:ascii="Times" w:hAnsi="Times"/>
        </w:rPr>
        <w:t>Birgden’s (2004) study clearly outlines the theories used in both the responsi</w:t>
      </w:r>
      <w:r w:rsidR="00C3716A">
        <w:rPr>
          <w:rFonts w:ascii="Times" w:hAnsi="Times"/>
        </w:rPr>
        <w:t>vity principle as well as the Good Lives M</w:t>
      </w:r>
      <w:r>
        <w:rPr>
          <w:rFonts w:ascii="Times" w:hAnsi="Times"/>
        </w:rPr>
        <w:t xml:space="preserve">odel. Empirical evidence is used throughout the explanation into how and why the responsivity principle </w:t>
      </w:r>
      <w:r w:rsidR="00CB1B4A">
        <w:rPr>
          <w:rFonts w:ascii="Times" w:hAnsi="Times"/>
        </w:rPr>
        <w:t xml:space="preserve">is used and how </w:t>
      </w:r>
      <w:r w:rsidR="0042641E">
        <w:rPr>
          <w:rFonts w:ascii="Times" w:hAnsi="Times"/>
        </w:rPr>
        <w:t>it is effective.</w:t>
      </w:r>
      <w:r>
        <w:rPr>
          <w:rFonts w:ascii="Times" w:hAnsi="Times"/>
        </w:rPr>
        <w:t xml:space="preserve"> Howev</w:t>
      </w:r>
      <w:r w:rsidR="00C3716A">
        <w:rPr>
          <w:rFonts w:ascii="Times" w:hAnsi="Times"/>
        </w:rPr>
        <w:t>er, when Birgden discusses the Good Lives M</w:t>
      </w:r>
      <w:r>
        <w:rPr>
          <w:rFonts w:ascii="Times" w:hAnsi="Times"/>
        </w:rPr>
        <w:t xml:space="preserve">odel there is a lack of studies referred to in the explanation and there is no empirical evidence discussed to back up that the </w:t>
      </w:r>
      <w:r w:rsidR="00C3716A">
        <w:rPr>
          <w:rFonts w:ascii="Times" w:hAnsi="Times"/>
        </w:rPr>
        <w:t>Good Lives M</w:t>
      </w:r>
      <w:r w:rsidR="0042641E">
        <w:rPr>
          <w:rFonts w:ascii="Times" w:hAnsi="Times"/>
        </w:rPr>
        <w:t>odel actually works and no use of statistics wh</w:t>
      </w:r>
      <w:r w:rsidR="00C3716A">
        <w:rPr>
          <w:rFonts w:ascii="Times" w:hAnsi="Times"/>
        </w:rPr>
        <w:t>ich provide any proof that the Good Lives M</w:t>
      </w:r>
      <w:r w:rsidR="0042641E">
        <w:rPr>
          <w:rFonts w:ascii="Times" w:hAnsi="Times"/>
        </w:rPr>
        <w:t xml:space="preserve">odel is an appropriate method in dealing with offender rehabilitation. </w:t>
      </w:r>
      <w:r w:rsidR="00883F67">
        <w:rPr>
          <w:rFonts w:ascii="Times" w:hAnsi="Times"/>
        </w:rPr>
        <w:t xml:space="preserve">In comparison with </w:t>
      </w:r>
      <w:r w:rsidR="00EB534B">
        <w:rPr>
          <w:rFonts w:ascii="Times" w:hAnsi="Times"/>
        </w:rPr>
        <w:t>each other</w:t>
      </w:r>
      <w:r w:rsidR="00883F67">
        <w:rPr>
          <w:rFonts w:ascii="Times" w:hAnsi="Times"/>
        </w:rPr>
        <w:t xml:space="preserve">, the responsivity principle seems to offer a much </w:t>
      </w:r>
      <w:r w:rsidR="00EB534B">
        <w:rPr>
          <w:rFonts w:ascii="Times" w:hAnsi="Times"/>
        </w:rPr>
        <w:t>more detailed explanation into what happens during the process of what it requires in order for it to be an effective method of rehabilitation. It talks about both internal and externa</w:t>
      </w:r>
      <w:r w:rsidR="00F849C7">
        <w:rPr>
          <w:rFonts w:ascii="Times" w:hAnsi="Times"/>
        </w:rPr>
        <w:t>l responsivity and Birgden (2004</w:t>
      </w:r>
      <w:r w:rsidR="00EB534B">
        <w:rPr>
          <w:rFonts w:ascii="Times" w:hAnsi="Times"/>
        </w:rPr>
        <w:t xml:space="preserve">) cites Kennedy as a main supporter of the theory. </w:t>
      </w:r>
      <w:r w:rsidR="00C3716A">
        <w:rPr>
          <w:rFonts w:ascii="Times" w:hAnsi="Times"/>
        </w:rPr>
        <w:t>The Good Lives M</w:t>
      </w:r>
      <w:r w:rsidR="00F01D3E">
        <w:rPr>
          <w:rFonts w:ascii="Times" w:hAnsi="Times"/>
        </w:rPr>
        <w:t xml:space="preserve">odel has a clear explanation but it seems to lack the detail that the responsivity principle has. One of the main goals for the model is to motivate offenders to think more autonomously, whereas the responsivity principle highlights how </w:t>
      </w:r>
      <w:r w:rsidR="00C74D87">
        <w:rPr>
          <w:rFonts w:ascii="Times" w:hAnsi="Times"/>
        </w:rPr>
        <w:t xml:space="preserve">learning styles, age, culture, treatment motivation, staff characteristics and setting characteristics are all important in order for offenders to be involved in their own successful </w:t>
      </w:r>
      <w:r w:rsidR="00F04792">
        <w:rPr>
          <w:rFonts w:ascii="Times" w:hAnsi="Times"/>
        </w:rPr>
        <w:t>rehabilitation</w:t>
      </w:r>
      <w:r w:rsidR="00C74D87">
        <w:rPr>
          <w:rFonts w:ascii="Times" w:hAnsi="Times"/>
        </w:rPr>
        <w:t xml:space="preserve">. </w:t>
      </w:r>
      <w:r w:rsidR="00136B73">
        <w:rPr>
          <w:rFonts w:ascii="Times" w:hAnsi="Times"/>
        </w:rPr>
        <w:t xml:space="preserve">However, the responsivity principle as discussed by Birgden (2004) did not discuss what specific characteristics may mediate the effects of treatment like Hubbard (2007) did. In Hubbard’s (2007) paper it was highlighted that history about sexual abuse, gender and intelligence are all important factors as they can influence how well an offender responds to the type of rehabilitation treatment they receive. </w:t>
      </w:r>
      <w:r w:rsidR="00F04792">
        <w:rPr>
          <w:rFonts w:ascii="Times" w:hAnsi="Times"/>
        </w:rPr>
        <w:t>So the ma</w:t>
      </w:r>
      <w:r w:rsidR="00A91693">
        <w:rPr>
          <w:rFonts w:ascii="Times" w:hAnsi="Times"/>
        </w:rPr>
        <w:t xml:space="preserve">in difference is the contrast in the level of explanation and also the empirical evidence that is given </w:t>
      </w:r>
      <w:r w:rsidR="00E17600">
        <w:rPr>
          <w:rFonts w:ascii="Times" w:hAnsi="Times"/>
        </w:rPr>
        <w:t>in favour of</w:t>
      </w:r>
      <w:r w:rsidR="00A91693">
        <w:rPr>
          <w:rFonts w:ascii="Times" w:hAnsi="Times"/>
        </w:rPr>
        <w:t xml:space="preserve"> the responsivity principle as opposed to the lack of empirical </w:t>
      </w:r>
      <w:r w:rsidR="00F57F4B">
        <w:rPr>
          <w:rFonts w:ascii="Times" w:hAnsi="Times"/>
        </w:rPr>
        <w:t>evidence that has not been</w:t>
      </w:r>
      <w:r w:rsidR="00C3716A">
        <w:rPr>
          <w:rFonts w:ascii="Times" w:hAnsi="Times"/>
        </w:rPr>
        <w:t xml:space="preserve"> put forward for the Good Lives M</w:t>
      </w:r>
      <w:r w:rsidR="00A91693">
        <w:rPr>
          <w:rFonts w:ascii="Times" w:hAnsi="Times"/>
        </w:rPr>
        <w:t xml:space="preserve">odel. </w:t>
      </w:r>
      <w:r w:rsidR="00567A29">
        <w:rPr>
          <w:rFonts w:ascii="Times" w:hAnsi="Times"/>
        </w:rPr>
        <w:t xml:space="preserve">Although, </w:t>
      </w:r>
      <w:r w:rsidR="00136B73">
        <w:rPr>
          <w:rFonts w:ascii="Times" w:hAnsi="Times"/>
        </w:rPr>
        <w:t>it would have been beneficial fo</w:t>
      </w:r>
      <w:r w:rsidR="00567A29">
        <w:rPr>
          <w:rFonts w:ascii="Times" w:hAnsi="Times"/>
        </w:rPr>
        <w:t xml:space="preserve">r the Birgden to discuss statistics within the responsivity principle so that the reader would have a much better understanding of the numbers, </w:t>
      </w:r>
      <w:r w:rsidR="005C6459">
        <w:rPr>
          <w:rFonts w:ascii="Times" w:hAnsi="Times"/>
        </w:rPr>
        <w:t>e.g.</w:t>
      </w:r>
      <w:r w:rsidR="00567A29">
        <w:rPr>
          <w:rFonts w:ascii="Times" w:hAnsi="Times"/>
        </w:rPr>
        <w:t xml:space="preserve"> the </w:t>
      </w:r>
      <w:r w:rsidR="005C6459">
        <w:rPr>
          <w:rFonts w:ascii="Times" w:hAnsi="Times"/>
        </w:rPr>
        <w:t>number</w:t>
      </w:r>
      <w:r w:rsidR="00567A29">
        <w:rPr>
          <w:rFonts w:ascii="Times" w:hAnsi="Times"/>
        </w:rPr>
        <w:t xml:space="preserve"> of offenders that go under this method of rehabilitation or even how likely offenders are likely to re-offend after going through</w:t>
      </w:r>
      <w:r w:rsidR="008A1B4E">
        <w:rPr>
          <w:rFonts w:ascii="Times" w:hAnsi="Times"/>
        </w:rPr>
        <w:t xml:space="preserve"> methods that are related to</w:t>
      </w:r>
      <w:r w:rsidR="00567A29">
        <w:rPr>
          <w:rFonts w:ascii="Times" w:hAnsi="Times"/>
        </w:rPr>
        <w:t xml:space="preserve"> the responsivity principle.</w:t>
      </w:r>
      <w:r w:rsidR="003C58D1">
        <w:rPr>
          <w:rFonts w:ascii="Times" w:hAnsi="Times"/>
        </w:rPr>
        <w:t xml:space="preserve"> </w:t>
      </w:r>
    </w:p>
    <w:p w14:paraId="23E2B5B9" w14:textId="75506226" w:rsidR="009E0032" w:rsidRDefault="0051355D" w:rsidP="009E0032">
      <w:pPr>
        <w:spacing w:line="360" w:lineRule="auto"/>
        <w:rPr>
          <w:rFonts w:ascii="AdvTR" w:hAnsi="AdvTR"/>
        </w:rPr>
      </w:pPr>
      <w:r>
        <w:rPr>
          <w:rFonts w:ascii="Times" w:hAnsi="Times"/>
        </w:rPr>
        <w:t>Another intervention, the risk-need approach is a theory based idea that focusses on the</w:t>
      </w:r>
      <w:r w:rsidR="00A13D31">
        <w:rPr>
          <w:rFonts w:ascii="Times" w:hAnsi="Times"/>
        </w:rPr>
        <w:t xml:space="preserve"> social side of Psychology and the </w:t>
      </w:r>
      <w:r>
        <w:rPr>
          <w:rFonts w:ascii="Times" w:hAnsi="Times"/>
        </w:rPr>
        <w:t>overall personality of offenders</w:t>
      </w:r>
      <w:r w:rsidR="00A13D31">
        <w:rPr>
          <w:rFonts w:ascii="Times" w:hAnsi="Times"/>
        </w:rPr>
        <w:t xml:space="preserve"> (Andrews, 2001)</w:t>
      </w:r>
      <w:r w:rsidR="00BE087D">
        <w:rPr>
          <w:rFonts w:ascii="Times" w:hAnsi="Times"/>
        </w:rPr>
        <w:t>.</w:t>
      </w:r>
      <w:r w:rsidR="00A13D31">
        <w:rPr>
          <w:rFonts w:ascii="Times" w:hAnsi="Times"/>
        </w:rPr>
        <w:t xml:space="preserve"> </w:t>
      </w:r>
      <w:r w:rsidR="008807A8">
        <w:rPr>
          <w:rFonts w:ascii="Times" w:hAnsi="Times"/>
        </w:rPr>
        <w:t>This theory works by using prevention to find risk factors and then focus on those factors to change and manage them. This theory specifically targets offenders that are of higher risk and helps to minimise adverse outcomes (Douglas and Kropp, 2002 as cited in Birgden</w:t>
      </w:r>
      <w:r w:rsidR="00F27FC3">
        <w:rPr>
          <w:rFonts w:ascii="Times" w:hAnsi="Times"/>
        </w:rPr>
        <w:t>,</w:t>
      </w:r>
      <w:r w:rsidR="008807A8">
        <w:rPr>
          <w:rFonts w:ascii="Times" w:hAnsi="Times"/>
        </w:rPr>
        <w:t xml:space="preserve"> 2004). </w:t>
      </w:r>
      <w:r w:rsidR="00FC6CF4">
        <w:rPr>
          <w:rFonts w:ascii="Times" w:hAnsi="Times"/>
        </w:rPr>
        <w:t xml:space="preserve">The risk-need approach model </w:t>
      </w:r>
      <w:r w:rsidR="00042996">
        <w:rPr>
          <w:rFonts w:ascii="Times" w:hAnsi="Times"/>
        </w:rPr>
        <w:t>consists of principles that have been in development for the last 40 years. One principle for example is management and organizational concerns. This is based on the training of staff with specific attention paid to assessment and relationship skills. An emphasis is also placed on developing and building social systems and cultures that help</w:t>
      </w:r>
      <w:r w:rsidR="009F5863">
        <w:rPr>
          <w:rFonts w:ascii="Times" w:hAnsi="Times"/>
        </w:rPr>
        <w:t xml:space="preserve"> to promote cognition (Andrews and Dowden 2007). </w:t>
      </w:r>
      <w:r w:rsidR="00D24D5C">
        <w:rPr>
          <w:rFonts w:ascii="AdvTR" w:hAnsi="AdvTR"/>
        </w:rPr>
        <w:t>Ward and Hudson (1996,</w:t>
      </w:r>
      <w:r w:rsidR="006C2794">
        <w:rPr>
          <w:rFonts w:ascii="AdvTR" w:hAnsi="AdvTR"/>
        </w:rPr>
        <w:t xml:space="preserve"> as cited in </w:t>
      </w:r>
      <w:r w:rsidR="006C2794">
        <w:rPr>
          <w:rFonts w:ascii="AdvTR" w:hAnsi="AdvTR" w:hint="eastAsia"/>
        </w:rPr>
        <w:t>Birgden</w:t>
      </w:r>
      <w:r w:rsidR="00D24D5C">
        <w:rPr>
          <w:rFonts w:ascii="AdvTR" w:hAnsi="AdvTR"/>
        </w:rPr>
        <w:t>,</w:t>
      </w:r>
      <w:r w:rsidR="006C2794">
        <w:rPr>
          <w:rFonts w:ascii="AdvTR" w:hAnsi="AdvTR"/>
        </w:rPr>
        <w:t xml:space="preserve"> </w:t>
      </w:r>
      <w:r w:rsidR="009E0032">
        <w:rPr>
          <w:rFonts w:ascii="AdvTR" w:hAnsi="AdvTR"/>
        </w:rPr>
        <w:t xml:space="preserve">2004) have </w:t>
      </w:r>
      <w:r w:rsidR="009E0032">
        <w:rPr>
          <w:rFonts w:ascii="AdvTR" w:hAnsi="AdvTR" w:hint="eastAsia"/>
        </w:rPr>
        <w:t>criticised</w:t>
      </w:r>
      <w:r w:rsidR="009E0032">
        <w:rPr>
          <w:rFonts w:ascii="AdvTR" w:hAnsi="AdvTR"/>
        </w:rPr>
        <w:t xml:space="preserve"> how prevention is used within the risk-need approach. They highlight how there is no explanation into why some offenders no longer re-offend and believes the assumption that individuals are motivated to alter behaviour</w:t>
      </w:r>
      <w:r w:rsidR="00674ECD">
        <w:rPr>
          <w:rFonts w:ascii="AdvTR" w:hAnsi="AdvTR"/>
        </w:rPr>
        <w:t xml:space="preserve"> and nothing else. </w:t>
      </w:r>
      <w:r w:rsidR="006C6F7C">
        <w:rPr>
          <w:rFonts w:ascii="AdvTR" w:hAnsi="AdvTR"/>
        </w:rPr>
        <w:t xml:space="preserve">The narrow minded view from this perspective weakens </w:t>
      </w:r>
      <w:r w:rsidR="00FA56F8">
        <w:rPr>
          <w:rFonts w:ascii="AdvTR" w:hAnsi="AdvTR"/>
        </w:rPr>
        <w:t>the overa</w:t>
      </w:r>
      <w:r w:rsidR="00C3716A">
        <w:rPr>
          <w:rFonts w:ascii="AdvTR" w:hAnsi="AdvTR"/>
        </w:rPr>
        <w:t>ll theory in comparison to the G</w:t>
      </w:r>
      <w:r w:rsidR="00FA56F8">
        <w:rPr>
          <w:rFonts w:ascii="AdvTR" w:hAnsi="AdvTR"/>
        </w:rPr>
        <w:t xml:space="preserve">ood lives model and the responsivity principle as they both consider a much </w:t>
      </w:r>
      <w:r w:rsidR="00932D5B">
        <w:rPr>
          <w:rFonts w:ascii="AdvTR" w:hAnsi="AdvTR"/>
        </w:rPr>
        <w:t>wider</w:t>
      </w:r>
      <w:r w:rsidR="00FA56F8">
        <w:rPr>
          <w:rFonts w:ascii="AdvTR" w:hAnsi="AdvTR"/>
        </w:rPr>
        <w:t xml:space="preserve"> view and have more than one explanation and factors that influence the outcomes of their theories. </w:t>
      </w:r>
      <w:r w:rsidR="00932D5B">
        <w:rPr>
          <w:rFonts w:ascii="AdvTR" w:hAnsi="AdvTR"/>
        </w:rPr>
        <w:t xml:space="preserve">Although the risk-need approach does </w:t>
      </w:r>
      <w:r w:rsidR="00932D5B">
        <w:rPr>
          <w:rFonts w:ascii="AdvTR" w:hAnsi="AdvTR" w:hint="eastAsia"/>
        </w:rPr>
        <w:t xml:space="preserve">lack in certain areas in comparison to the other theories and models, it does however have some important and impressive </w:t>
      </w:r>
      <w:r w:rsidR="00932D5B">
        <w:rPr>
          <w:rFonts w:ascii="AdvTR" w:hAnsi="AdvTR"/>
        </w:rPr>
        <w:t xml:space="preserve">research according to Andrews and Dowden (2007). Although this research has been considered impressive, there has been only a small about of data collected in the area meaning that it cannot be considered as strong and suitable in comparison to the </w:t>
      </w:r>
      <w:r w:rsidR="00932D5B">
        <w:rPr>
          <w:rFonts w:ascii="AdvTR" w:hAnsi="AdvTR" w:hint="eastAsia"/>
        </w:rPr>
        <w:t>responsivity</w:t>
      </w:r>
      <w:r w:rsidR="00932D5B">
        <w:rPr>
          <w:rFonts w:ascii="AdvTR" w:hAnsi="AdvTR"/>
        </w:rPr>
        <w:t xml:space="preserve"> principle which has a vast amount of data and empirical evidence. </w:t>
      </w:r>
    </w:p>
    <w:p w14:paraId="3628A8C4" w14:textId="5DDE1AF8" w:rsidR="00B07C4B" w:rsidRDefault="00BB01C8" w:rsidP="009E0032">
      <w:pPr>
        <w:spacing w:line="360" w:lineRule="auto"/>
        <w:rPr>
          <w:rFonts w:ascii="AdvTR" w:hAnsi="AdvTR"/>
        </w:rPr>
      </w:pPr>
      <w:r>
        <w:rPr>
          <w:rFonts w:ascii="AdvTR" w:hAnsi="AdvTR"/>
        </w:rPr>
        <w:t xml:space="preserve">The risk-need principle believes that offenders that are of higher risk are in need of more intensive interventions, thus, offenders will have to make important decisions which will have important consequences. However, as many offenders lack the motivation and problem solving skills they very rarely get involved in important rehab programmes. By using the transtheoretical model as a guideline, correctional staff have to address the needs and help to improve autonomous thinking. </w:t>
      </w:r>
      <w:r w:rsidR="00AA1591">
        <w:rPr>
          <w:rFonts w:ascii="AdvTR" w:hAnsi="AdvTR"/>
        </w:rPr>
        <w:t>Miller and Ronnich (2002, as cited by Birgden, 2004) have developed ways of interviewing individuals to increase the chances</w:t>
      </w:r>
      <w:r w:rsidR="002E4375">
        <w:rPr>
          <w:rFonts w:ascii="AdvTR" w:hAnsi="AdvTR"/>
        </w:rPr>
        <w:t xml:space="preserve"> that offenders will cooperate during </w:t>
      </w:r>
      <w:r w:rsidR="000332C0">
        <w:rPr>
          <w:rFonts w:ascii="AdvTR" w:hAnsi="AdvTR"/>
        </w:rPr>
        <w:t>rehabilitation</w:t>
      </w:r>
      <w:r w:rsidR="002E4375">
        <w:rPr>
          <w:rFonts w:ascii="AdvTR" w:hAnsi="AdvTR"/>
        </w:rPr>
        <w:t xml:space="preserve"> strategies. </w:t>
      </w:r>
      <w:r w:rsidR="000332C0">
        <w:rPr>
          <w:rFonts w:ascii="AdvTR" w:hAnsi="AdvTR"/>
        </w:rPr>
        <w:t xml:space="preserve">This type of motivational interviewing involves a clinician demonstrating empathy, self-efficacy and promoting change. This interviewing technique can be used at various times during the change readiness model (Prochaska and Norcross, 1994 as cited by Birgden, 2004). Stages, involve pre-contemplation, contemplation, preparation, action and maintenance all of which are considered as stages. </w:t>
      </w:r>
      <w:r w:rsidR="0009200C">
        <w:rPr>
          <w:rFonts w:ascii="AdvTR" w:hAnsi="AdvTR"/>
        </w:rPr>
        <w:t xml:space="preserve">Looking at the </w:t>
      </w:r>
      <w:r w:rsidR="0009200C">
        <w:rPr>
          <w:rFonts w:ascii="AdvTR" w:hAnsi="AdvTR" w:hint="eastAsia"/>
        </w:rPr>
        <w:t>critical</w:t>
      </w:r>
      <w:r w:rsidR="0009200C">
        <w:rPr>
          <w:rFonts w:ascii="AdvTR" w:hAnsi="AdvTR"/>
        </w:rPr>
        <w:t xml:space="preserve"> role side of this model (Prochaska, 2013) the model is not comprehensive enough to account for all explanations of behavioural change. The lack of depth and explanation weakens the model and thus makes it less valid. </w:t>
      </w:r>
      <w:r w:rsidR="00B10344">
        <w:rPr>
          <w:rFonts w:ascii="AdvTR" w:hAnsi="AdvTR"/>
        </w:rPr>
        <w:t xml:space="preserve">However, Prochaska (2013) also states that there is empirical support across twelve different studies that involved weight control, quitting cocaine and condom use that the Transtheoretical model has been useful in. </w:t>
      </w:r>
    </w:p>
    <w:p w14:paraId="26946B73" w14:textId="2C416AC9" w:rsidR="00B07C4B" w:rsidRDefault="00B10344" w:rsidP="009E0032">
      <w:pPr>
        <w:spacing w:line="360" w:lineRule="auto"/>
        <w:rPr>
          <w:rFonts w:ascii="AdvTR" w:hAnsi="AdvTR"/>
        </w:rPr>
      </w:pPr>
      <w:r>
        <w:rPr>
          <w:rFonts w:ascii="AdvTR" w:hAnsi="AdvTR"/>
        </w:rPr>
        <w:t xml:space="preserve">Finding </w:t>
      </w:r>
      <w:r w:rsidR="00F338AF">
        <w:rPr>
          <w:rFonts w:ascii="AdvTR" w:hAnsi="AdvTR"/>
        </w:rPr>
        <w:t>the</w:t>
      </w:r>
      <w:r w:rsidR="00F338AF">
        <w:rPr>
          <w:rFonts w:ascii="AdvTR" w:hAnsi="AdvTR" w:hint="eastAsia"/>
        </w:rPr>
        <w:t xml:space="preserve"> </w:t>
      </w:r>
      <w:r w:rsidR="00F338AF">
        <w:rPr>
          <w:rFonts w:ascii="AdvTR" w:hAnsi="AdvTR"/>
        </w:rPr>
        <w:t>“will</w:t>
      </w:r>
      <w:r>
        <w:rPr>
          <w:rFonts w:ascii="AdvTR" w:hAnsi="AdvTR"/>
        </w:rPr>
        <w:t xml:space="preserve"> and the way</w:t>
      </w:r>
      <w:r>
        <w:rPr>
          <w:rFonts w:ascii="AdvTR" w:hAnsi="AdvTR" w:hint="eastAsia"/>
        </w:rPr>
        <w:t xml:space="preserve"> </w:t>
      </w:r>
      <w:r w:rsidR="0006584E">
        <w:rPr>
          <w:rFonts w:ascii="AdvTR" w:hAnsi="AdvTR"/>
        </w:rPr>
        <w:t>“in</w:t>
      </w:r>
      <w:r>
        <w:rPr>
          <w:rFonts w:ascii="AdvTR" w:hAnsi="AdvTR"/>
        </w:rPr>
        <w:t xml:space="preserve"> staff Birgden (2004) highlighted the importance of correctional staff in their role of motivating employees to </w:t>
      </w:r>
      <w:r>
        <w:rPr>
          <w:rFonts w:ascii="AdvTR" w:hAnsi="AdvTR" w:hint="eastAsia"/>
        </w:rPr>
        <w:t>engage</w:t>
      </w:r>
      <w:r>
        <w:rPr>
          <w:rFonts w:ascii="AdvTR" w:hAnsi="AdvTR"/>
        </w:rPr>
        <w:t xml:space="preserve"> </w:t>
      </w:r>
      <w:r>
        <w:rPr>
          <w:rFonts w:ascii="AdvTR" w:hAnsi="AdvTR" w:hint="eastAsia"/>
        </w:rPr>
        <w:t>themselves</w:t>
      </w:r>
      <w:r>
        <w:rPr>
          <w:rFonts w:ascii="AdvTR" w:hAnsi="AdvTR"/>
        </w:rPr>
        <w:t xml:space="preserve"> in rehabilitation programmes. Birgden (2004) also states that around 1,000 studies have looked at offender assessment but it is estimated only a dozen have actually looked at a programme that could be successfully implemented. However, Porporino (2001, as cited by Birgden, 2004) states that a problem with the way staff are managed is that the focus has been on how to do things </w:t>
      </w:r>
      <w:r w:rsidRPr="005E6892">
        <w:rPr>
          <w:rFonts w:ascii="Times" w:hAnsi="Times"/>
        </w:rPr>
        <w:t>differently instead of trying to think differently (cognitive).</w:t>
      </w:r>
      <w:r w:rsidR="0017014D" w:rsidRPr="005E6892">
        <w:rPr>
          <w:rFonts w:ascii="Times" w:hAnsi="Times"/>
        </w:rPr>
        <w:t xml:space="preserve"> Empirical support comes from Lambert (2008) who stated that </w:t>
      </w:r>
      <w:r w:rsidR="005E6892" w:rsidRPr="005E6892">
        <w:rPr>
          <w:rFonts w:ascii="Times" w:hAnsi="Times"/>
        </w:rPr>
        <w:t>overall support for rehabilitation was directly linked with higher levels of organizational</w:t>
      </w:r>
      <w:r w:rsidR="005E6892" w:rsidRPr="005E6892">
        <w:rPr>
          <w:rFonts w:ascii="Times" w:eastAsia="Times New Roman" w:hAnsi="Times"/>
          <w:color w:val="333333"/>
          <w:spacing w:val="2"/>
          <w:shd w:val="clear" w:color="auto" w:fill="FCFCFC"/>
        </w:rPr>
        <w:t xml:space="preserve"> commitment but </w:t>
      </w:r>
      <w:r w:rsidR="00B07C4B" w:rsidRPr="005E6892">
        <w:rPr>
          <w:rFonts w:ascii="Times" w:eastAsia="Times New Roman" w:hAnsi="Times"/>
          <w:color w:val="333333"/>
          <w:spacing w:val="2"/>
          <w:shd w:val="clear" w:color="auto" w:fill="FCFCFC"/>
        </w:rPr>
        <w:t>support for punishment was related with lower levels of organizational commitment</w:t>
      </w:r>
      <w:r w:rsidR="005E6892" w:rsidRPr="005E6892">
        <w:rPr>
          <w:rFonts w:ascii="Times" w:eastAsia="Times New Roman" w:hAnsi="Times"/>
          <w:color w:val="333333"/>
          <w:spacing w:val="2"/>
          <w:shd w:val="clear" w:color="auto" w:fill="FCFCFC"/>
        </w:rPr>
        <w:t>.</w:t>
      </w:r>
      <w:r w:rsidR="00143478">
        <w:rPr>
          <w:rFonts w:ascii="Georgia" w:eastAsia="Times New Roman" w:hAnsi="Georgia"/>
          <w:color w:val="333333"/>
          <w:spacing w:val="2"/>
          <w:sz w:val="26"/>
          <w:szCs w:val="26"/>
          <w:shd w:val="clear" w:color="auto" w:fill="FCFCFC"/>
        </w:rPr>
        <w:t xml:space="preserve"> </w:t>
      </w:r>
    </w:p>
    <w:p w14:paraId="56B60DD0" w14:textId="22E39880" w:rsidR="005F6C0C" w:rsidRDefault="005F6C0C" w:rsidP="009E0032">
      <w:pPr>
        <w:spacing w:line="360" w:lineRule="auto"/>
        <w:rPr>
          <w:rFonts w:ascii="AdvTR" w:hAnsi="AdvTR"/>
        </w:rPr>
      </w:pPr>
      <w:r>
        <w:rPr>
          <w:rFonts w:ascii="AdvTR" w:hAnsi="AdvTR"/>
        </w:rPr>
        <w:t xml:space="preserve">Furthermore, therapeutic jurisprudence (TJ) is another theory which comes from the </w:t>
      </w:r>
      <w:r w:rsidR="00D24D5C">
        <w:rPr>
          <w:rFonts w:ascii="AdvTR" w:hAnsi="AdvTR"/>
        </w:rPr>
        <w:t xml:space="preserve">legal perspective. Wexler (1966, as cited in Birgden, </w:t>
      </w:r>
      <w:r>
        <w:rPr>
          <w:rFonts w:ascii="AdvTR" w:hAnsi="AdvTR"/>
        </w:rPr>
        <w:t xml:space="preserve">2004) describes TJ as the framework for the </w:t>
      </w:r>
      <w:r>
        <w:rPr>
          <w:rFonts w:ascii="AdvTR" w:hAnsi="AdvTR" w:hint="eastAsia"/>
        </w:rPr>
        <w:t>study</w:t>
      </w:r>
      <w:r>
        <w:rPr>
          <w:rFonts w:ascii="AdvTR" w:hAnsi="AdvTR"/>
        </w:rPr>
        <w:t xml:space="preserve"> of the role of the law. TJ is unique in comparison to other theories as it is able to use psychological knowledge in order to find ways for current laws and law reform can improve the well-being of individu</w:t>
      </w:r>
      <w:r w:rsidR="00D24D5C">
        <w:rPr>
          <w:rFonts w:ascii="AdvTR" w:hAnsi="AdvTR"/>
        </w:rPr>
        <w:t xml:space="preserve">als. According to Birgden (2002, as cited by Birgden, </w:t>
      </w:r>
      <w:r>
        <w:rPr>
          <w:rFonts w:ascii="AdvTR" w:hAnsi="AdvTR"/>
        </w:rPr>
        <w:t xml:space="preserve">2004) the way the law is implemented can have varying effects on an offenders well-being. The law should endeavour to use social science information to determine methods that can improve the well-being of individuals. Individual autonomy and community protection should not be overlooked by </w:t>
      </w:r>
      <w:r w:rsidR="00727E46">
        <w:rPr>
          <w:rFonts w:ascii="AdvTR" w:hAnsi="AdvTR"/>
        </w:rPr>
        <w:t>therapeutic</w:t>
      </w:r>
      <w:r>
        <w:rPr>
          <w:rFonts w:ascii="AdvTR" w:hAnsi="AdvTR"/>
        </w:rPr>
        <w:t xml:space="preserve"> consid</w:t>
      </w:r>
      <w:r w:rsidR="00727E46">
        <w:rPr>
          <w:rFonts w:ascii="AdvTR" w:hAnsi="AdvTR"/>
        </w:rPr>
        <w:t xml:space="preserve">erations (supports </w:t>
      </w:r>
      <w:r w:rsidR="00C3716A">
        <w:rPr>
          <w:rFonts w:ascii="AdvTR" w:hAnsi="AdvTR"/>
        </w:rPr>
        <w:t>the G</w:t>
      </w:r>
      <w:r>
        <w:rPr>
          <w:rFonts w:ascii="AdvTR" w:hAnsi="AdvTR"/>
        </w:rPr>
        <w:t>ood lives model</w:t>
      </w:r>
      <w:r w:rsidR="00727E46">
        <w:rPr>
          <w:rFonts w:ascii="AdvTR" w:hAnsi="AdvTR"/>
        </w:rPr>
        <w:t>). TJ does not specifically address what should happen but instead serves as the basis in the form of law for offender rehabilitation.</w:t>
      </w:r>
      <w:r w:rsidR="009B2522">
        <w:rPr>
          <w:rFonts w:ascii="AdvTR" w:hAnsi="AdvTR"/>
        </w:rPr>
        <w:t xml:space="preserve"> Birgden (2002) has </w:t>
      </w:r>
      <w:r w:rsidR="00C3716A">
        <w:rPr>
          <w:rFonts w:ascii="AdvTR" w:hAnsi="AdvTR"/>
        </w:rPr>
        <w:t>in the past combined both the G</w:t>
      </w:r>
      <w:r w:rsidR="00BA6543">
        <w:rPr>
          <w:rFonts w:ascii="AdvTR" w:hAnsi="AdvTR"/>
        </w:rPr>
        <w:t xml:space="preserve">ood lives model along with the TJ theory as they are both </w:t>
      </w:r>
      <w:r w:rsidR="00BA6543">
        <w:rPr>
          <w:rFonts w:ascii="AdvTR" w:hAnsi="AdvTR" w:hint="eastAsia"/>
        </w:rPr>
        <w:t>focussed</w:t>
      </w:r>
      <w:r w:rsidR="00BA6543">
        <w:rPr>
          <w:rFonts w:ascii="AdvTR" w:hAnsi="AdvTR"/>
        </w:rPr>
        <w:t xml:space="preserve"> on humanistic matters and try to </w:t>
      </w:r>
      <w:r w:rsidR="00BA6543">
        <w:rPr>
          <w:rFonts w:ascii="AdvTR" w:hAnsi="AdvTR" w:hint="eastAsia"/>
        </w:rPr>
        <w:t>improve</w:t>
      </w:r>
      <w:r w:rsidR="00BA6543">
        <w:rPr>
          <w:rFonts w:ascii="AdvTR" w:hAnsi="AdvTR"/>
        </w:rPr>
        <w:t xml:space="preserve"> well-being to the highest possible level. The result of this combination is that a framework has been made for individuals within the correctional system.</w:t>
      </w:r>
    </w:p>
    <w:p w14:paraId="1A38B892" w14:textId="50CBEB5C" w:rsidR="004B1C5F" w:rsidRDefault="00BA6543" w:rsidP="004B1C5F">
      <w:pPr>
        <w:spacing w:line="360" w:lineRule="auto"/>
        <w:rPr>
          <w:rFonts w:ascii="AdvTR" w:hAnsi="AdvTR"/>
        </w:rPr>
      </w:pPr>
      <w:r>
        <w:rPr>
          <w:rFonts w:ascii="AdvTR" w:hAnsi="AdvTR"/>
        </w:rPr>
        <w:t xml:space="preserve">A positive of the TJ theory is that </w:t>
      </w:r>
      <w:r w:rsidR="00C3716A">
        <w:rPr>
          <w:rFonts w:ascii="AdvTR" w:hAnsi="AdvTR"/>
        </w:rPr>
        <w:t>it uses an existing model (The Good Lives M</w:t>
      </w:r>
      <w:r>
        <w:rPr>
          <w:rFonts w:ascii="AdvTR" w:hAnsi="AdvTR"/>
        </w:rPr>
        <w:t xml:space="preserve">odel) to improve its own theory which is unlike theories already discussed. </w:t>
      </w:r>
      <w:r w:rsidR="006F4EEC">
        <w:rPr>
          <w:rFonts w:ascii="AdvTR" w:hAnsi="AdvTR"/>
        </w:rPr>
        <w:t xml:space="preserve">By using a humanistic </w:t>
      </w:r>
      <w:r w:rsidR="00682CB8">
        <w:rPr>
          <w:rFonts w:ascii="AdvTR" w:hAnsi="AdvTR"/>
        </w:rPr>
        <w:t>approach,</w:t>
      </w:r>
      <w:r w:rsidR="006F4EEC">
        <w:rPr>
          <w:rFonts w:ascii="AdvTR" w:hAnsi="AdvTR"/>
        </w:rPr>
        <w:t xml:space="preserve"> it allows special consideration to be paid to each </w:t>
      </w:r>
      <w:r w:rsidR="006F4EEC">
        <w:rPr>
          <w:rFonts w:ascii="AdvTR" w:hAnsi="AdvTR" w:hint="eastAsia"/>
        </w:rPr>
        <w:t>offender</w:t>
      </w:r>
      <w:r w:rsidR="006F4EEC">
        <w:rPr>
          <w:rFonts w:ascii="AdvTR" w:hAnsi="AdvTR"/>
        </w:rPr>
        <w:t xml:space="preserve"> and allow them to </w:t>
      </w:r>
      <w:r w:rsidR="00682CB8">
        <w:rPr>
          <w:rFonts w:ascii="AdvTR" w:hAnsi="AdvTR"/>
        </w:rPr>
        <w:t xml:space="preserve">be </w:t>
      </w:r>
      <w:r w:rsidR="006F4EEC">
        <w:rPr>
          <w:rFonts w:ascii="AdvTR" w:hAnsi="AdvTR"/>
        </w:rPr>
        <w:t xml:space="preserve">treated </w:t>
      </w:r>
      <w:r w:rsidR="00682CB8">
        <w:rPr>
          <w:rFonts w:ascii="AdvTR" w:hAnsi="AdvTR"/>
        </w:rPr>
        <w:t>individually rather than as a group. This way the needs and requirements of each offender can be met when it comes to rehabilitation treatment, making it more much likely that they will successfully respond rather than treating every offender as the same and making it less likely</w:t>
      </w:r>
      <w:r w:rsidR="00485244">
        <w:rPr>
          <w:rFonts w:ascii="AdvTR" w:hAnsi="AdvTR"/>
        </w:rPr>
        <w:t xml:space="preserve"> that</w:t>
      </w:r>
      <w:r w:rsidR="00682CB8">
        <w:rPr>
          <w:rFonts w:ascii="AdvTR" w:hAnsi="AdvTR"/>
        </w:rPr>
        <w:t xml:space="preserve"> they will respond to treatment.</w:t>
      </w:r>
      <w:r w:rsidR="00896F09">
        <w:rPr>
          <w:rFonts w:ascii="AdvTR" w:hAnsi="AdvTR"/>
        </w:rPr>
        <w:t xml:space="preserve"> </w:t>
      </w:r>
      <w:r w:rsidR="00753771">
        <w:rPr>
          <w:rFonts w:ascii="AdvTR" w:hAnsi="AdvTR"/>
        </w:rPr>
        <w:t xml:space="preserve">As TJ originated within the area of mental health law it allows </w:t>
      </w:r>
      <w:r w:rsidR="00AC2C85">
        <w:rPr>
          <w:rFonts w:ascii="AdvTR" w:hAnsi="AdvTR"/>
        </w:rPr>
        <w:t xml:space="preserve">offenders who are mentally ill to be treated in </w:t>
      </w:r>
      <w:r w:rsidR="00A51505">
        <w:rPr>
          <w:rFonts w:ascii="AdvTR" w:hAnsi="AdvTR"/>
        </w:rPr>
        <w:t xml:space="preserve">the correct way so that they can be sent to specialized hospitals and so they can </w:t>
      </w:r>
      <w:r w:rsidR="00A51505">
        <w:rPr>
          <w:rFonts w:ascii="AdvTR" w:hAnsi="AdvTR" w:hint="eastAsia"/>
        </w:rPr>
        <w:t>receive</w:t>
      </w:r>
      <w:r w:rsidR="00A51505">
        <w:rPr>
          <w:rFonts w:ascii="AdvTR" w:hAnsi="AdvTR"/>
        </w:rPr>
        <w:t xml:space="preserve"> specialized treatment so that they are </w:t>
      </w:r>
      <w:r w:rsidR="008A7A61">
        <w:rPr>
          <w:rFonts w:ascii="AdvTR" w:hAnsi="AdvTR"/>
        </w:rPr>
        <w:t xml:space="preserve">dealt with and treated in the appropriate manner. </w:t>
      </w:r>
    </w:p>
    <w:p w14:paraId="4CC51E3A" w14:textId="4AB0F530" w:rsidR="003B3513" w:rsidRDefault="002D3EF5" w:rsidP="00FC5604">
      <w:pPr>
        <w:spacing w:line="360" w:lineRule="auto"/>
        <w:rPr>
          <w:rFonts w:ascii="AdvTR" w:hAnsi="AdvTR"/>
          <w:szCs w:val="18"/>
        </w:rPr>
      </w:pPr>
      <w:r w:rsidRPr="00976D45">
        <w:rPr>
          <w:rFonts w:ascii="Times" w:hAnsi="Times"/>
        </w:rPr>
        <w:t xml:space="preserve">A </w:t>
      </w:r>
      <w:r w:rsidR="005A7675" w:rsidRPr="00976D45">
        <w:rPr>
          <w:rFonts w:ascii="Times" w:hAnsi="Times"/>
        </w:rPr>
        <w:t xml:space="preserve">psychological approach which is </w:t>
      </w:r>
      <w:r w:rsidR="00854DBD" w:rsidRPr="00976D45">
        <w:rPr>
          <w:rFonts w:ascii="Times" w:hAnsi="Times"/>
        </w:rPr>
        <w:t xml:space="preserve">linked with the responsivity principle is called the transtheoretical model of change. </w:t>
      </w:r>
      <w:r w:rsidR="00B52794" w:rsidRPr="00976D45">
        <w:rPr>
          <w:rFonts w:ascii="Times" w:hAnsi="Times"/>
        </w:rPr>
        <w:t xml:space="preserve">For the last twenty years, this model has become one of the most popular in treating addictive and/or problematic behaviour </w:t>
      </w:r>
      <w:r w:rsidR="00976D45" w:rsidRPr="00976D45">
        <w:rPr>
          <w:rFonts w:ascii="Times" w:hAnsi="Times"/>
        </w:rPr>
        <w:t>(Casey, Day and Howells, 2005</w:t>
      </w:r>
      <w:r w:rsidR="004D09FF" w:rsidRPr="00976D45">
        <w:rPr>
          <w:rFonts w:ascii="Times" w:hAnsi="Times"/>
        </w:rPr>
        <w:t>).</w:t>
      </w:r>
      <w:r w:rsidR="004D09FF">
        <w:rPr>
          <w:rFonts w:ascii="Times" w:hAnsi="Times"/>
        </w:rPr>
        <w:t xml:space="preserve"> The</w:t>
      </w:r>
      <w:r w:rsidR="00854DBD">
        <w:rPr>
          <w:rFonts w:ascii="Times" w:hAnsi="Times"/>
        </w:rPr>
        <w:t xml:space="preserve"> model created by P</w:t>
      </w:r>
      <w:r w:rsidR="00D24D5C">
        <w:rPr>
          <w:rFonts w:ascii="Times" w:hAnsi="Times"/>
        </w:rPr>
        <w:t xml:space="preserve">rochaska and Diclemente (1982, as cited by Birgden, </w:t>
      </w:r>
      <w:r w:rsidR="00854DBD">
        <w:rPr>
          <w:rFonts w:ascii="Times" w:hAnsi="Times"/>
        </w:rPr>
        <w:t xml:space="preserve">2004) aims to explain how individuals alter their own health-related behaviour such as addictions. The model uses different </w:t>
      </w:r>
      <w:r w:rsidR="00CD3B64">
        <w:rPr>
          <w:rFonts w:ascii="Times" w:hAnsi="Times"/>
        </w:rPr>
        <w:t xml:space="preserve">approaches such as self-efficacy, decisional balance and cognitive dissonance in order to </w:t>
      </w:r>
      <w:r w:rsidR="002C586F">
        <w:rPr>
          <w:rFonts w:ascii="Times" w:hAnsi="Times"/>
        </w:rPr>
        <w:t>ha</w:t>
      </w:r>
      <w:r w:rsidR="004673D6">
        <w:rPr>
          <w:rFonts w:ascii="Times" w:hAnsi="Times"/>
        </w:rPr>
        <w:t>ve a much more developed and realistic approach.</w:t>
      </w:r>
      <w:r w:rsidR="00280ED8">
        <w:rPr>
          <w:rFonts w:ascii="Times" w:hAnsi="Times"/>
        </w:rPr>
        <w:t xml:space="preserve"> </w:t>
      </w:r>
      <w:r w:rsidR="000F2F0A">
        <w:rPr>
          <w:rFonts w:ascii="Times" w:hAnsi="Times"/>
        </w:rPr>
        <w:t xml:space="preserve">Individuals are helped to alter </w:t>
      </w:r>
      <w:r w:rsidR="00E37063">
        <w:rPr>
          <w:rFonts w:ascii="Times" w:hAnsi="Times"/>
        </w:rPr>
        <w:t xml:space="preserve">their decision making for the right thing (process) and at the correct time. </w:t>
      </w:r>
      <w:r w:rsidR="00BF5FDE">
        <w:rPr>
          <w:rFonts w:ascii="Times" w:hAnsi="Times"/>
        </w:rPr>
        <w:t xml:space="preserve">The model can be seen as one which comes from a cognitive-behavioural approach which initially starts with verbal processes </w:t>
      </w:r>
      <w:r w:rsidR="00EB4F5F">
        <w:rPr>
          <w:rFonts w:ascii="Times" w:hAnsi="Times"/>
        </w:rPr>
        <w:t xml:space="preserve">and ends with methods of behavioural management. </w:t>
      </w:r>
      <w:r w:rsidR="001740CA">
        <w:rPr>
          <w:rFonts w:ascii="Times" w:hAnsi="Times"/>
        </w:rPr>
        <w:t>There are various different processes that are used within this model that can be applied to offenders. These processes come under two groups which are verbal and behavioural.</w:t>
      </w:r>
      <w:r w:rsidR="00017085">
        <w:rPr>
          <w:rFonts w:ascii="Times" w:hAnsi="Times"/>
        </w:rPr>
        <w:t xml:space="preserve"> Process</w:t>
      </w:r>
      <w:r w:rsidR="00D46D19">
        <w:rPr>
          <w:rFonts w:ascii="Times" w:hAnsi="Times"/>
        </w:rPr>
        <w:t>es</w:t>
      </w:r>
      <w:r w:rsidR="00017085">
        <w:rPr>
          <w:rFonts w:ascii="Times" w:hAnsi="Times"/>
        </w:rPr>
        <w:t xml:space="preserve"> that are considered verbal include</w:t>
      </w:r>
      <w:r w:rsidR="00D46D19">
        <w:rPr>
          <w:rFonts w:ascii="Times" w:hAnsi="Times"/>
        </w:rPr>
        <w:t>:</w:t>
      </w:r>
      <w:r w:rsidR="00017085">
        <w:rPr>
          <w:rFonts w:ascii="Times" w:hAnsi="Times"/>
        </w:rPr>
        <w:t xml:space="preserve"> consciousness raising, dramatic relief, environmental re-evaluation, self-re-evaluation and self-liberation.</w:t>
      </w:r>
      <w:r w:rsidR="00D46D19">
        <w:rPr>
          <w:rFonts w:ascii="Times" w:hAnsi="Times"/>
        </w:rPr>
        <w:t xml:space="preserve"> Processes that are considered behavioural include: Helping relationships, contingency management, counter conditioning and stimulus control. </w:t>
      </w:r>
      <w:r w:rsidR="00601786">
        <w:rPr>
          <w:rFonts w:ascii="Times" w:hAnsi="Times"/>
        </w:rPr>
        <w:t xml:space="preserve">Looking at a few examples of what this means, dramatic relief refers to the emotional arousal regarding current </w:t>
      </w:r>
      <w:r w:rsidR="00AF2443">
        <w:rPr>
          <w:rFonts w:ascii="Times" w:hAnsi="Times"/>
        </w:rPr>
        <w:t>behaviour (verbal process) whereas self-revaluation uses cognitive and assessment of lifestyle to develop a self-image of future pro-social lifestyle (behavioural).</w:t>
      </w:r>
      <w:r w:rsidR="00B715CD">
        <w:rPr>
          <w:rFonts w:ascii="Times" w:hAnsi="Times"/>
        </w:rPr>
        <w:t xml:space="preserve"> </w:t>
      </w:r>
      <w:r w:rsidR="00AB4BD6">
        <w:rPr>
          <w:rFonts w:ascii="Times" w:hAnsi="Times"/>
        </w:rPr>
        <w:t xml:space="preserve">Prochaska and Levesque (2001) conclude that instead of just a singular underlying process that the </w:t>
      </w:r>
      <w:r w:rsidR="0072116E" w:rsidRPr="002D3EF5">
        <w:rPr>
          <w:rFonts w:ascii="AdvTR" w:hAnsi="AdvTR"/>
          <w:szCs w:val="18"/>
        </w:rPr>
        <w:t>therapeutic relationship is the ‘‘common healer acros</w:t>
      </w:r>
      <w:r w:rsidR="001C6FEA">
        <w:rPr>
          <w:rFonts w:ascii="AdvTR" w:hAnsi="AdvTR"/>
          <w:szCs w:val="18"/>
        </w:rPr>
        <w:t>s all therapeutic modalities’’</w:t>
      </w:r>
      <w:r w:rsidR="007F1114">
        <w:rPr>
          <w:rFonts w:ascii="AdvTR" w:hAnsi="AdvTR"/>
          <w:szCs w:val="18"/>
        </w:rPr>
        <w:t xml:space="preserve">. </w:t>
      </w:r>
      <w:r w:rsidR="009A11E0">
        <w:rPr>
          <w:rFonts w:ascii="AdvTR" w:hAnsi="AdvTR"/>
          <w:szCs w:val="18"/>
        </w:rPr>
        <w:t xml:space="preserve">Looking at the critical </w:t>
      </w:r>
      <w:r w:rsidR="009A11E0">
        <w:rPr>
          <w:rFonts w:ascii="AdvTR" w:hAnsi="AdvTR" w:hint="eastAsia"/>
          <w:szCs w:val="18"/>
        </w:rPr>
        <w:t>perspective</w:t>
      </w:r>
      <w:r w:rsidR="009A11E0">
        <w:rPr>
          <w:rFonts w:ascii="AdvTR" w:hAnsi="AdvTR"/>
          <w:szCs w:val="18"/>
        </w:rPr>
        <w:t xml:space="preserve"> of this model, it does encourage practitioners to work with offenders in an attempt to increase levels of </w:t>
      </w:r>
      <w:r w:rsidR="009A11E0">
        <w:rPr>
          <w:rFonts w:ascii="AdvTR" w:hAnsi="AdvTR" w:hint="eastAsia"/>
          <w:szCs w:val="18"/>
        </w:rPr>
        <w:t>motivation</w:t>
      </w:r>
      <w:r w:rsidR="009A11E0">
        <w:rPr>
          <w:rFonts w:ascii="AdvTR" w:hAnsi="AdvTR"/>
          <w:szCs w:val="18"/>
        </w:rPr>
        <w:t xml:space="preserve"> in order to change instead of labelling them as uncooperative. </w:t>
      </w:r>
      <w:r w:rsidR="00D15CC9">
        <w:rPr>
          <w:rFonts w:ascii="AdvTR" w:hAnsi="AdvTR"/>
          <w:szCs w:val="18"/>
        </w:rPr>
        <w:t>The model is appealing for individuals working within psychological and medical models. Although, the model is unlikely to be a suitable explanation into why offenders stop from offending.</w:t>
      </w:r>
    </w:p>
    <w:p w14:paraId="251286DA" w14:textId="56F986D1" w:rsidR="00FC5604" w:rsidRDefault="00C3237F" w:rsidP="00FC5604">
      <w:pPr>
        <w:spacing w:line="360" w:lineRule="auto"/>
        <w:rPr>
          <w:rFonts w:ascii="AdvTR" w:hAnsi="AdvTR"/>
          <w:szCs w:val="18"/>
        </w:rPr>
      </w:pPr>
      <w:r>
        <w:rPr>
          <w:rFonts w:ascii="AdvTR" w:hAnsi="AdvTR"/>
          <w:szCs w:val="18"/>
        </w:rPr>
        <w:t xml:space="preserve">Looking at the conclusion, Birgden (2004) provided a few different concluding statements that give an overview of the usefulness of some of the models and theories. The </w:t>
      </w:r>
      <w:r w:rsidR="00C3716A">
        <w:rPr>
          <w:rFonts w:ascii="AdvTR" w:hAnsi="AdvTR"/>
          <w:szCs w:val="18"/>
        </w:rPr>
        <w:t>Good l</w:t>
      </w:r>
      <w:r>
        <w:rPr>
          <w:rFonts w:ascii="AdvTR" w:hAnsi="AdvTR"/>
          <w:szCs w:val="18"/>
        </w:rPr>
        <w:t xml:space="preserve">ife model was </w:t>
      </w:r>
      <w:r>
        <w:rPr>
          <w:rFonts w:ascii="AdvTR" w:hAnsi="AdvTR" w:hint="eastAsia"/>
          <w:szCs w:val="18"/>
        </w:rPr>
        <w:t>found</w:t>
      </w:r>
      <w:r>
        <w:rPr>
          <w:rFonts w:ascii="AdvTR" w:hAnsi="AdvTR"/>
          <w:szCs w:val="18"/>
        </w:rPr>
        <w:t xml:space="preserve"> to be more associated with prevention and protection, whereas the risk-need approach was mainly associated with prevention. Although, it is important to note that both these </w:t>
      </w:r>
      <w:r>
        <w:rPr>
          <w:rFonts w:ascii="AdvTR" w:hAnsi="AdvTR" w:hint="eastAsia"/>
          <w:szCs w:val="18"/>
        </w:rPr>
        <w:t>approaches</w:t>
      </w:r>
      <w:r>
        <w:rPr>
          <w:rFonts w:ascii="AdvTR" w:hAnsi="AdvTR"/>
          <w:szCs w:val="18"/>
        </w:rPr>
        <w:t xml:space="preserve"> only assume that offenders are motivated unlike the responsivity principle which encourages and tries to promote motivation. However, the transtheoretical model has been applied to offenders by clinicians (similar motivation techniques). On the contrary, the Transtheoretical approach is unlikely to succeed due to the fact that change in offenders is controlled by the law. TJ has been viewed as a useful method that has allowed focus on the importance of correctional staff in their role of getting the law to integrate offenders in rehabilitation. From this a Psycho legal approach can consider both prevention and protection issues and correctional staff can connect with offenders to give off a positive influence. </w:t>
      </w:r>
      <w:r w:rsidR="00302E19">
        <w:rPr>
          <w:rFonts w:ascii="AdvTR" w:hAnsi="AdvTR"/>
          <w:szCs w:val="18"/>
        </w:rPr>
        <w:t xml:space="preserve">A proposed model has been put forward which includes both correctional staff and offenders. Through this model, internal responsivity is addressed by offender characteristics with attention paid to offender </w:t>
      </w:r>
      <w:r w:rsidR="00302E19">
        <w:rPr>
          <w:rFonts w:ascii="AdvTR" w:hAnsi="AdvTR" w:hint="eastAsia"/>
          <w:szCs w:val="18"/>
        </w:rPr>
        <w:t>motivation</w:t>
      </w:r>
      <w:r w:rsidR="00302E19">
        <w:rPr>
          <w:rFonts w:ascii="AdvTR" w:hAnsi="AdvTR"/>
          <w:szCs w:val="18"/>
        </w:rPr>
        <w:t>. External responsivity can be addressed b</w:t>
      </w:r>
      <w:r w:rsidR="00CE10FC">
        <w:rPr>
          <w:rFonts w:ascii="AdvTR" w:hAnsi="AdvTR"/>
          <w:szCs w:val="18"/>
        </w:rPr>
        <w:t>y staff motivation. This model is believed to have met the standards and principles for the rehabilitation of offenders and rather</w:t>
      </w:r>
      <w:r w:rsidR="00C3716A">
        <w:rPr>
          <w:rFonts w:ascii="AdvTR" w:hAnsi="AdvTR"/>
          <w:szCs w:val="18"/>
        </w:rPr>
        <w:t xml:space="preserve"> than other models such as the G</w:t>
      </w:r>
      <w:r w:rsidR="00CE10FC">
        <w:rPr>
          <w:rFonts w:ascii="AdvTR" w:hAnsi="AdvTR"/>
          <w:szCs w:val="18"/>
        </w:rPr>
        <w:t xml:space="preserve">ood lives model and approaches such as the risk-need approach. </w:t>
      </w:r>
    </w:p>
    <w:p w14:paraId="58E5EAE2" w14:textId="0BAE6CEB" w:rsidR="0011255B" w:rsidRPr="00FC5604" w:rsidRDefault="0011255B" w:rsidP="00FC5604">
      <w:pPr>
        <w:spacing w:line="360" w:lineRule="auto"/>
        <w:rPr>
          <w:rFonts w:ascii="AdvTR" w:hAnsi="AdvTR"/>
        </w:rPr>
      </w:pPr>
      <w:r>
        <w:rPr>
          <w:rFonts w:ascii="AdvTR" w:hAnsi="AdvTR"/>
          <w:szCs w:val="18"/>
        </w:rPr>
        <w:t xml:space="preserve">Overall, Birgden (2004) provides a detailed overview of different models and theories that could be applied and used in offender rehabilitation. She has listen various different ones such as The Good Lives Model, the responsivity principle and the risk-need approach principle. </w:t>
      </w:r>
      <w:r w:rsidR="000846BB">
        <w:rPr>
          <w:rFonts w:ascii="AdvTR" w:hAnsi="AdvTR"/>
          <w:szCs w:val="18"/>
        </w:rPr>
        <w:t xml:space="preserve">However, </w:t>
      </w:r>
      <w:r w:rsidR="004B5F55">
        <w:rPr>
          <w:rFonts w:ascii="AdvTR" w:hAnsi="AdvTR"/>
          <w:szCs w:val="18"/>
        </w:rPr>
        <w:t xml:space="preserve">a use of statistics in certain areas of the paper would have been useful and </w:t>
      </w:r>
      <w:r w:rsidR="004B5F55">
        <w:rPr>
          <w:rFonts w:ascii="AdvTR" w:hAnsi="AdvTR" w:hint="eastAsia"/>
          <w:szCs w:val="18"/>
        </w:rPr>
        <w:t>appropriate</w:t>
      </w:r>
      <w:r w:rsidR="004B5F55">
        <w:rPr>
          <w:rFonts w:ascii="AdvTR" w:hAnsi="AdvTR"/>
          <w:szCs w:val="18"/>
        </w:rPr>
        <w:t xml:space="preserve"> to give the reader a better understanding of the application of theories and principles.</w:t>
      </w:r>
      <w:r w:rsidR="009B0D37">
        <w:rPr>
          <w:rFonts w:ascii="AdvTR" w:hAnsi="AdvTR"/>
          <w:szCs w:val="18"/>
        </w:rPr>
        <w:t xml:space="preserve"> The paper </w:t>
      </w:r>
      <w:r w:rsidR="009B0D37">
        <w:rPr>
          <w:rFonts w:ascii="AdvTR" w:hAnsi="AdvTR" w:hint="eastAsia"/>
          <w:szCs w:val="18"/>
        </w:rPr>
        <w:t>discussed</w:t>
      </w:r>
      <w:r w:rsidR="009B0D37">
        <w:rPr>
          <w:rFonts w:ascii="AdvTR" w:hAnsi="AdvTR"/>
          <w:szCs w:val="18"/>
        </w:rPr>
        <w:t xml:space="preserve"> mainly focuses on theoretical arguments rather than raw data which is a major flaw in the paper.</w:t>
      </w:r>
      <w:r w:rsidR="004B5F55">
        <w:rPr>
          <w:rFonts w:ascii="AdvTR" w:hAnsi="AdvTR"/>
          <w:szCs w:val="18"/>
        </w:rPr>
        <w:t xml:space="preserve"> </w:t>
      </w:r>
      <w:r w:rsidR="0099221B">
        <w:rPr>
          <w:rFonts w:ascii="AdvTR" w:hAnsi="AdvTR"/>
          <w:szCs w:val="18"/>
        </w:rPr>
        <w:t xml:space="preserve">She provides information into how both staff and offenders can find </w:t>
      </w:r>
      <w:r w:rsidR="001A1263">
        <w:rPr>
          <w:rFonts w:ascii="AdvTR" w:hAnsi="AdvTR"/>
          <w:szCs w:val="18"/>
        </w:rPr>
        <w:t xml:space="preserve">the </w:t>
      </w:r>
      <w:r w:rsidR="0099221B">
        <w:rPr>
          <w:rFonts w:ascii="AdvTR" w:hAnsi="AdvTR"/>
        </w:rPr>
        <w:t>“will and the way</w:t>
      </w:r>
      <w:r w:rsidR="0099221B">
        <w:rPr>
          <w:rFonts w:ascii="AdvTR" w:hAnsi="AdvTR" w:hint="eastAsia"/>
        </w:rPr>
        <w:t xml:space="preserve"> </w:t>
      </w:r>
      <w:r w:rsidR="0099221B">
        <w:rPr>
          <w:rFonts w:ascii="AdvTR" w:hAnsi="AdvTR"/>
        </w:rPr>
        <w:t xml:space="preserve">“in order to engage in a successful rehabilitation programme. </w:t>
      </w:r>
      <w:r w:rsidR="007E6CC2">
        <w:rPr>
          <w:rFonts w:ascii="AdvTR" w:hAnsi="AdvTR"/>
        </w:rPr>
        <w:t>Birgden</w:t>
      </w:r>
      <w:r w:rsidR="009B0D37">
        <w:rPr>
          <w:rFonts w:ascii="AdvTR" w:hAnsi="AdvTR"/>
        </w:rPr>
        <w:t xml:space="preserve"> (2004)</w:t>
      </w:r>
      <w:r w:rsidR="007E6CC2">
        <w:rPr>
          <w:rFonts w:ascii="AdvTR" w:hAnsi="AdvTR"/>
        </w:rPr>
        <w:t xml:space="preserve"> does raise important questions in regar</w:t>
      </w:r>
      <w:r w:rsidR="002051FA">
        <w:rPr>
          <w:rFonts w:ascii="AdvTR" w:hAnsi="AdvTR"/>
        </w:rPr>
        <w:t xml:space="preserve">ds to some </w:t>
      </w:r>
      <w:r w:rsidR="002051FA">
        <w:rPr>
          <w:rFonts w:ascii="AdvTR" w:hAnsi="AdvTR" w:hint="eastAsia"/>
        </w:rPr>
        <w:t>strategies</w:t>
      </w:r>
      <w:r w:rsidR="002051FA">
        <w:rPr>
          <w:rFonts w:ascii="AdvTR" w:hAnsi="AdvTR"/>
        </w:rPr>
        <w:t xml:space="preserve"> and does explain why some strategies such as The Good Lives Model are not as appropriate due to it</w:t>
      </w:r>
      <w:r w:rsidR="002051FA">
        <w:rPr>
          <w:rFonts w:ascii="AdvTR" w:hAnsi="AdvTR" w:hint="eastAsia"/>
        </w:rPr>
        <w:t xml:space="preserve">s lack of empirical </w:t>
      </w:r>
      <w:r w:rsidR="002051FA">
        <w:rPr>
          <w:rFonts w:ascii="AdvTR" w:hAnsi="AdvTR"/>
        </w:rPr>
        <w:t>evidence and lack of detail</w:t>
      </w:r>
      <w:r w:rsidR="008C3045">
        <w:rPr>
          <w:rFonts w:ascii="AdvTR" w:hAnsi="AdvTR"/>
        </w:rPr>
        <w:t>ed explanation.</w:t>
      </w:r>
      <w:r w:rsidR="004625D2">
        <w:rPr>
          <w:rFonts w:ascii="AdvTR" w:hAnsi="AdvTR"/>
        </w:rPr>
        <w:t xml:space="preserve"> Overall the text presented does seem biased and well written which allows the reader to read and understand in an </w:t>
      </w:r>
      <w:r w:rsidR="004625D2">
        <w:rPr>
          <w:rFonts w:ascii="AdvTR" w:hAnsi="AdvTR" w:hint="eastAsia"/>
        </w:rPr>
        <w:t>appropriate</w:t>
      </w:r>
      <w:r w:rsidR="004625D2">
        <w:rPr>
          <w:rFonts w:ascii="AdvTR" w:hAnsi="AdvTR"/>
        </w:rPr>
        <w:t xml:space="preserve"> fashion. </w:t>
      </w:r>
      <w:r w:rsidR="00EA2521">
        <w:rPr>
          <w:rFonts w:ascii="AdvTR" w:hAnsi="AdvTR"/>
        </w:rPr>
        <w:t xml:space="preserve">There is no review </w:t>
      </w:r>
      <w:r w:rsidR="00EA2521">
        <w:rPr>
          <w:rFonts w:ascii="AdvTR" w:hAnsi="AdvTR" w:hint="eastAsia"/>
        </w:rPr>
        <w:t>available</w:t>
      </w:r>
      <w:r w:rsidR="00EA2521">
        <w:rPr>
          <w:rFonts w:ascii="AdvTR" w:hAnsi="AdvTR"/>
        </w:rPr>
        <w:t xml:space="preserve"> </w:t>
      </w:r>
      <w:r w:rsidR="002D2F7A">
        <w:rPr>
          <w:rFonts w:ascii="AdvTR" w:hAnsi="AdvTR"/>
        </w:rPr>
        <w:t>for Birgden’s</w:t>
      </w:r>
      <w:r w:rsidR="002D2F7A">
        <w:rPr>
          <w:rFonts w:ascii="AdvTR" w:hAnsi="AdvTR" w:hint="eastAsia"/>
        </w:rPr>
        <w:t xml:space="preserve"> (2004) paper which disallows a comparison to be made with another review. However, </w:t>
      </w:r>
      <w:r w:rsidR="002D2F7A">
        <w:rPr>
          <w:rFonts w:ascii="AdvTR" w:hAnsi="AdvTR"/>
        </w:rPr>
        <w:t>based</w:t>
      </w:r>
      <w:r w:rsidR="002D2F7A">
        <w:rPr>
          <w:rFonts w:ascii="AdvTR" w:hAnsi="AdvTR" w:hint="eastAsia"/>
        </w:rPr>
        <w:t xml:space="preserve"> on Birgden</w:t>
      </w:r>
      <w:r w:rsidR="002D2F7A">
        <w:rPr>
          <w:rFonts w:ascii="AdvTR" w:hAnsi="AdvTR" w:hint="eastAsia"/>
        </w:rPr>
        <w:t>’</w:t>
      </w:r>
      <w:r w:rsidR="002D2F7A">
        <w:rPr>
          <w:rFonts w:ascii="AdvTR" w:hAnsi="AdvTR"/>
        </w:rPr>
        <w:t>s</w:t>
      </w:r>
      <w:r w:rsidR="002D2F7A">
        <w:rPr>
          <w:rFonts w:ascii="AdvTR" w:hAnsi="AdvTR" w:hint="eastAsia"/>
        </w:rPr>
        <w:t xml:space="preserve"> qualifications and background of clinical Psychology it is likely to assume that she is a credible and reliable author to cite. </w:t>
      </w:r>
      <w:bookmarkStart w:id="0" w:name="_GoBack"/>
      <w:bookmarkEnd w:id="0"/>
    </w:p>
    <w:p w14:paraId="41256406" w14:textId="77777777" w:rsidR="003B3513" w:rsidRPr="002D3EF5" w:rsidRDefault="003B3513" w:rsidP="003C58D1">
      <w:pPr>
        <w:pStyle w:val="NormalWeb"/>
        <w:rPr>
          <w:rFonts w:ascii="AdvTR" w:hAnsi="AdvTR"/>
          <w:szCs w:val="18"/>
        </w:rPr>
      </w:pPr>
    </w:p>
    <w:p w14:paraId="4B185B7F" w14:textId="77777777" w:rsidR="00581EE5" w:rsidRDefault="00581EE5" w:rsidP="003C58D1">
      <w:pPr>
        <w:pStyle w:val="NormalWeb"/>
        <w:rPr>
          <w:rFonts w:ascii="AdvTR" w:hAnsi="AdvTR"/>
          <w:sz w:val="18"/>
          <w:szCs w:val="18"/>
        </w:rPr>
      </w:pPr>
    </w:p>
    <w:p w14:paraId="025461E4" w14:textId="77777777" w:rsidR="0048697D" w:rsidRDefault="0048697D" w:rsidP="003C58D1">
      <w:pPr>
        <w:pStyle w:val="NormalWeb"/>
        <w:rPr>
          <w:rFonts w:ascii="Times" w:hAnsi="Times"/>
          <w:szCs w:val="18"/>
          <w:u w:val="single"/>
        </w:rPr>
      </w:pPr>
    </w:p>
    <w:p w14:paraId="7A3C293D" w14:textId="77777777" w:rsidR="0048697D" w:rsidRDefault="0048697D" w:rsidP="003C58D1">
      <w:pPr>
        <w:pStyle w:val="NormalWeb"/>
        <w:rPr>
          <w:rFonts w:ascii="Times" w:hAnsi="Times"/>
          <w:szCs w:val="18"/>
          <w:u w:val="single"/>
        </w:rPr>
      </w:pPr>
    </w:p>
    <w:p w14:paraId="7106F8F4" w14:textId="77777777" w:rsidR="0048697D" w:rsidRDefault="0048697D" w:rsidP="003C58D1">
      <w:pPr>
        <w:pStyle w:val="NormalWeb"/>
        <w:rPr>
          <w:rFonts w:ascii="Times" w:hAnsi="Times"/>
          <w:szCs w:val="18"/>
          <w:u w:val="single"/>
        </w:rPr>
      </w:pPr>
    </w:p>
    <w:p w14:paraId="338999DC" w14:textId="77777777" w:rsidR="0048697D" w:rsidRDefault="0048697D" w:rsidP="003C58D1">
      <w:pPr>
        <w:pStyle w:val="NormalWeb"/>
        <w:rPr>
          <w:rFonts w:ascii="Times" w:hAnsi="Times"/>
          <w:szCs w:val="18"/>
          <w:u w:val="single"/>
        </w:rPr>
      </w:pPr>
    </w:p>
    <w:p w14:paraId="40E05215" w14:textId="77777777" w:rsidR="0048697D" w:rsidRDefault="0048697D" w:rsidP="003C58D1">
      <w:pPr>
        <w:pStyle w:val="NormalWeb"/>
        <w:rPr>
          <w:rFonts w:ascii="Times" w:hAnsi="Times"/>
          <w:szCs w:val="18"/>
          <w:u w:val="single"/>
        </w:rPr>
      </w:pPr>
    </w:p>
    <w:p w14:paraId="78B9BC34" w14:textId="77777777" w:rsidR="0048697D" w:rsidRDefault="0048697D" w:rsidP="003C58D1">
      <w:pPr>
        <w:pStyle w:val="NormalWeb"/>
        <w:rPr>
          <w:rFonts w:ascii="Times" w:hAnsi="Times"/>
          <w:szCs w:val="18"/>
          <w:u w:val="single"/>
        </w:rPr>
      </w:pPr>
    </w:p>
    <w:p w14:paraId="007AF6C0" w14:textId="63A953D5" w:rsidR="00581EE5" w:rsidRDefault="009E0032" w:rsidP="003C58D1">
      <w:pPr>
        <w:pStyle w:val="NormalWeb"/>
        <w:rPr>
          <w:rFonts w:ascii="Times" w:hAnsi="Times"/>
          <w:szCs w:val="18"/>
          <w:u w:val="single"/>
        </w:rPr>
      </w:pPr>
      <w:r w:rsidRPr="009E0032">
        <w:rPr>
          <w:rFonts w:ascii="Times" w:hAnsi="Times"/>
          <w:szCs w:val="18"/>
          <w:u w:val="single"/>
        </w:rPr>
        <w:t>References</w:t>
      </w:r>
    </w:p>
    <w:p w14:paraId="2E5C4341" w14:textId="77777777" w:rsidR="00181660" w:rsidRDefault="00181660" w:rsidP="00181660">
      <w:pPr>
        <w:rPr>
          <w:rFonts w:ascii="Times" w:eastAsia="Times New Roman" w:hAnsi="Times" w:cs="Arial"/>
          <w:color w:val="222222"/>
          <w:shd w:val="clear" w:color="auto" w:fill="FFFFFF"/>
        </w:rPr>
      </w:pPr>
      <w:r w:rsidRPr="00181660">
        <w:rPr>
          <w:rFonts w:ascii="Times" w:eastAsia="Times New Roman" w:hAnsi="Times" w:cs="Arial"/>
          <w:color w:val="222222"/>
          <w:shd w:val="clear" w:color="auto" w:fill="FFFFFF"/>
        </w:rPr>
        <w:t xml:space="preserve">Andrews, D. A., Zinger, I., </w:t>
      </w:r>
      <w:proofErr w:type="spellStart"/>
      <w:r w:rsidRPr="00181660">
        <w:rPr>
          <w:rFonts w:ascii="Times" w:eastAsia="Times New Roman" w:hAnsi="Times" w:cs="Arial"/>
          <w:color w:val="222222"/>
          <w:shd w:val="clear" w:color="auto" w:fill="FFFFFF"/>
        </w:rPr>
        <w:t>Hoge</w:t>
      </w:r>
      <w:proofErr w:type="spellEnd"/>
      <w:r w:rsidRPr="00181660">
        <w:rPr>
          <w:rFonts w:ascii="Times" w:eastAsia="Times New Roman" w:hAnsi="Times" w:cs="Arial"/>
          <w:color w:val="222222"/>
          <w:shd w:val="clear" w:color="auto" w:fill="FFFFFF"/>
        </w:rPr>
        <w:t xml:space="preserve">, R. D., </w:t>
      </w:r>
      <w:proofErr w:type="spellStart"/>
      <w:r w:rsidRPr="00181660">
        <w:rPr>
          <w:rFonts w:ascii="Times" w:eastAsia="Times New Roman" w:hAnsi="Times" w:cs="Arial"/>
          <w:color w:val="222222"/>
          <w:shd w:val="clear" w:color="auto" w:fill="FFFFFF"/>
        </w:rPr>
        <w:t>Bonta</w:t>
      </w:r>
      <w:proofErr w:type="spellEnd"/>
      <w:r w:rsidRPr="00181660">
        <w:rPr>
          <w:rFonts w:ascii="Times" w:eastAsia="Times New Roman" w:hAnsi="Times" w:cs="Arial"/>
          <w:color w:val="222222"/>
          <w:shd w:val="clear" w:color="auto" w:fill="FFFFFF"/>
        </w:rPr>
        <w:t>, J., Gendreau, P., &amp; Cullen, F. T. (1990). Does correctional treatment work? A clinically relevant and psychologically informed meta</w:t>
      </w:r>
      <w:r w:rsidRPr="00181660">
        <w:rPr>
          <w:rFonts w:ascii="Calibri" w:eastAsia="Calibri" w:hAnsi="Calibri" w:cs="Calibri"/>
          <w:color w:val="222222"/>
          <w:shd w:val="clear" w:color="auto" w:fill="FFFFFF"/>
        </w:rPr>
        <w:t>‐</w:t>
      </w:r>
      <w:r w:rsidRPr="00181660">
        <w:rPr>
          <w:rFonts w:ascii="Times" w:eastAsia="Times New Roman" w:hAnsi="Times" w:cs="Arial"/>
          <w:color w:val="222222"/>
          <w:shd w:val="clear" w:color="auto" w:fill="FFFFFF"/>
        </w:rPr>
        <w:t>analysis.</w:t>
      </w:r>
      <w:r w:rsidRPr="00181660">
        <w:rPr>
          <w:rStyle w:val="apple-converted-space"/>
          <w:rFonts w:ascii="Times" w:eastAsia="Times New Roman" w:hAnsi="Times" w:cs="Arial"/>
          <w:color w:val="222222"/>
          <w:shd w:val="clear" w:color="auto" w:fill="FFFFFF"/>
        </w:rPr>
        <w:t> </w:t>
      </w:r>
      <w:r w:rsidRPr="00181660">
        <w:rPr>
          <w:rFonts w:ascii="Times" w:eastAsia="Times New Roman" w:hAnsi="Times" w:cs="Arial"/>
          <w:i/>
          <w:iCs/>
          <w:color w:val="222222"/>
        </w:rPr>
        <w:t>Criminology</w:t>
      </w:r>
      <w:r w:rsidRPr="00181660">
        <w:rPr>
          <w:rFonts w:ascii="Times" w:eastAsia="Times New Roman" w:hAnsi="Times" w:cs="Arial"/>
          <w:color w:val="222222"/>
          <w:shd w:val="clear" w:color="auto" w:fill="FFFFFF"/>
        </w:rPr>
        <w:t>,</w:t>
      </w:r>
      <w:r w:rsidRPr="00181660">
        <w:rPr>
          <w:rStyle w:val="apple-converted-space"/>
          <w:rFonts w:ascii="Times" w:eastAsia="Times New Roman" w:hAnsi="Times" w:cs="Arial"/>
          <w:color w:val="222222"/>
          <w:shd w:val="clear" w:color="auto" w:fill="FFFFFF"/>
        </w:rPr>
        <w:t> </w:t>
      </w:r>
      <w:r w:rsidRPr="00181660">
        <w:rPr>
          <w:rFonts w:ascii="Times" w:eastAsia="Times New Roman" w:hAnsi="Times" w:cs="Arial"/>
          <w:i/>
          <w:iCs/>
          <w:color w:val="222222"/>
        </w:rPr>
        <w:t>28</w:t>
      </w:r>
      <w:r w:rsidRPr="00181660">
        <w:rPr>
          <w:rFonts w:ascii="Times" w:eastAsia="Times New Roman" w:hAnsi="Times" w:cs="Arial"/>
          <w:color w:val="222222"/>
          <w:shd w:val="clear" w:color="auto" w:fill="FFFFFF"/>
        </w:rPr>
        <w:t>(3), 369-404.</w:t>
      </w:r>
    </w:p>
    <w:p w14:paraId="4D3770FA" w14:textId="77777777" w:rsidR="00181660" w:rsidRPr="00181660" w:rsidRDefault="00181660" w:rsidP="00181660">
      <w:pPr>
        <w:rPr>
          <w:rFonts w:ascii="Times" w:eastAsia="Times New Roman" w:hAnsi="Times"/>
        </w:rPr>
      </w:pPr>
    </w:p>
    <w:p w14:paraId="4BB08051" w14:textId="3F1AA898" w:rsidR="00181660" w:rsidRDefault="00181660" w:rsidP="00181660">
      <w:pPr>
        <w:rPr>
          <w:rFonts w:ascii="Times" w:eastAsia="Times New Roman" w:hAnsi="Times" w:cs="Arial"/>
          <w:color w:val="222222"/>
          <w:shd w:val="clear" w:color="auto" w:fill="FFFFFF"/>
        </w:rPr>
      </w:pPr>
      <w:r w:rsidRPr="00181660">
        <w:rPr>
          <w:rFonts w:ascii="Times" w:eastAsia="Times New Roman" w:hAnsi="Times" w:cs="Arial"/>
          <w:color w:val="222222"/>
          <w:shd w:val="clear" w:color="auto" w:fill="FFFFFF"/>
        </w:rPr>
        <w:t>Andrews, J. M. (2001). Determination of minimum inhibitory concentrations.</w:t>
      </w:r>
      <w:r w:rsidRPr="00181660">
        <w:rPr>
          <w:rStyle w:val="apple-converted-space"/>
          <w:rFonts w:ascii="Times" w:eastAsia="Times New Roman" w:hAnsi="Times" w:cs="Arial"/>
          <w:color w:val="222222"/>
          <w:shd w:val="clear" w:color="auto" w:fill="FFFFFF"/>
        </w:rPr>
        <w:t> </w:t>
      </w:r>
      <w:r w:rsidRPr="00181660">
        <w:rPr>
          <w:rFonts w:ascii="Times" w:eastAsia="Times New Roman" w:hAnsi="Times" w:cs="Arial"/>
          <w:i/>
          <w:iCs/>
          <w:color w:val="222222"/>
        </w:rPr>
        <w:t>Journal of antimicrobial Chemotherapy</w:t>
      </w:r>
      <w:r w:rsidRPr="00181660">
        <w:rPr>
          <w:rFonts w:ascii="Times" w:eastAsia="Times New Roman" w:hAnsi="Times" w:cs="Arial"/>
          <w:color w:val="222222"/>
          <w:shd w:val="clear" w:color="auto" w:fill="FFFFFF"/>
        </w:rPr>
        <w:t>,</w:t>
      </w:r>
      <w:r w:rsidRPr="00181660">
        <w:rPr>
          <w:rStyle w:val="apple-converted-space"/>
          <w:rFonts w:ascii="Times" w:eastAsia="Times New Roman" w:hAnsi="Times" w:cs="Arial"/>
          <w:color w:val="222222"/>
          <w:shd w:val="clear" w:color="auto" w:fill="FFFFFF"/>
        </w:rPr>
        <w:t> </w:t>
      </w:r>
      <w:r w:rsidRPr="00181660">
        <w:rPr>
          <w:rFonts w:ascii="Times" w:eastAsia="Times New Roman" w:hAnsi="Times" w:cs="Arial"/>
          <w:i/>
          <w:iCs/>
          <w:color w:val="222222"/>
        </w:rPr>
        <w:t>48</w:t>
      </w:r>
      <w:r w:rsidR="0048697D">
        <w:rPr>
          <w:rFonts w:ascii="Times" w:eastAsia="Times New Roman" w:hAnsi="Times" w:cs="Arial"/>
          <w:color w:val="222222"/>
          <w:shd w:val="clear" w:color="auto" w:fill="FFFFFF"/>
        </w:rPr>
        <w:t xml:space="preserve">, </w:t>
      </w:r>
      <w:r w:rsidRPr="00181660">
        <w:rPr>
          <w:rFonts w:ascii="Times" w:eastAsia="Times New Roman" w:hAnsi="Times" w:cs="Arial"/>
          <w:color w:val="222222"/>
          <w:shd w:val="clear" w:color="auto" w:fill="FFFFFF"/>
        </w:rPr>
        <w:t>5-16.</w:t>
      </w:r>
    </w:p>
    <w:p w14:paraId="13C832DF" w14:textId="77777777" w:rsidR="0048697D" w:rsidRPr="00181660" w:rsidRDefault="0048697D" w:rsidP="00181660">
      <w:pPr>
        <w:rPr>
          <w:rFonts w:ascii="Times" w:eastAsia="Times New Roman" w:hAnsi="Times"/>
        </w:rPr>
      </w:pPr>
    </w:p>
    <w:p w14:paraId="07B68496" w14:textId="6D77A6DC" w:rsidR="00181660" w:rsidRDefault="0048697D" w:rsidP="0048697D">
      <w:pPr>
        <w:rPr>
          <w:rFonts w:ascii="Times" w:eastAsia="Times New Roman" w:hAnsi="Times" w:cs="Arial"/>
          <w:color w:val="222222"/>
          <w:shd w:val="clear" w:color="auto" w:fill="FFFFFF"/>
        </w:rPr>
      </w:pPr>
      <w:r w:rsidRPr="007F15B0">
        <w:rPr>
          <w:rFonts w:ascii="Times" w:eastAsia="Times New Roman" w:hAnsi="Times" w:cs="Arial"/>
          <w:color w:val="222222"/>
          <w:shd w:val="clear" w:color="auto" w:fill="FFFFFF"/>
        </w:rPr>
        <w:t>Andrews, D. A., &amp; Dowden, C. (2007). The risk–need–responsivity model of assessment and human service in prevention and corrections: Crime-prevention jurisprudence.</w:t>
      </w:r>
      <w:r w:rsidRPr="00181660">
        <w:rPr>
          <w:rFonts w:ascii="Times" w:eastAsia="Times New Roman" w:hAnsi="Times" w:cs="Arial"/>
          <w:color w:val="222222"/>
          <w:shd w:val="clear" w:color="auto" w:fill="FFFFFF"/>
        </w:rPr>
        <w:t> </w:t>
      </w:r>
      <w:r w:rsidRPr="007F15B0">
        <w:rPr>
          <w:rFonts w:ascii="Times" w:eastAsia="Times New Roman" w:hAnsi="Times" w:cs="Arial"/>
          <w:i/>
          <w:iCs/>
          <w:color w:val="222222"/>
        </w:rPr>
        <w:t>Canadian Journal of Criminology and Criminal Justice</w:t>
      </w:r>
      <w:r w:rsidRPr="007F15B0">
        <w:rPr>
          <w:rFonts w:ascii="Times" w:eastAsia="Times New Roman" w:hAnsi="Times" w:cs="Arial"/>
          <w:color w:val="222222"/>
          <w:shd w:val="clear" w:color="auto" w:fill="FFFFFF"/>
        </w:rPr>
        <w:t>,</w:t>
      </w:r>
      <w:r w:rsidRPr="00181660">
        <w:rPr>
          <w:rFonts w:ascii="Times" w:eastAsia="Times New Roman" w:hAnsi="Times" w:cs="Arial"/>
          <w:color w:val="222222"/>
          <w:shd w:val="clear" w:color="auto" w:fill="FFFFFF"/>
        </w:rPr>
        <w:t> </w:t>
      </w:r>
      <w:r w:rsidRPr="007F15B0">
        <w:rPr>
          <w:rFonts w:ascii="Times" w:eastAsia="Times New Roman" w:hAnsi="Times" w:cs="Arial"/>
          <w:i/>
          <w:iCs/>
          <w:color w:val="222222"/>
        </w:rPr>
        <w:t>49</w:t>
      </w:r>
      <w:r w:rsidRPr="007F15B0">
        <w:rPr>
          <w:rFonts w:ascii="Times" w:eastAsia="Times New Roman" w:hAnsi="Times" w:cs="Arial"/>
          <w:color w:val="222222"/>
          <w:shd w:val="clear" w:color="auto" w:fill="FFFFFF"/>
        </w:rPr>
        <w:t>(4), 439-464.</w:t>
      </w:r>
    </w:p>
    <w:p w14:paraId="22493125" w14:textId="77777777" w:rsidR="0048697D" w:rsidRPr="0048697D" w:rsidRDefault="0048697D" w:rsidP="0048697D">
      <w:pPr>
        <w:rPr>
          <w:rFonts w:ascii="Times" w:eastAsia="Times New Roman" w:hAnsi="Times" w:cs="Arial"/>
          <w:color w:val="222222"/>
          <w:shd w:val="clear" w:color="auto" w:fill="FFFFFF"/>
        </w:rPr>
      </w:pPr>
    </w:p>
    <w:p w14:paraId="3D5B56ED" w14:textId="77777777" w:rsidR="0048697D" w:rsidRPr="00181660" w:rsidRDefault="0048697D" w:rsidP="0048697D">
      <w:pPr>
        <w:rPr>
          <w:rFonts w:ascii="Times" w:eastAsia="Times New Roman" w:hAnsi="Times" w:cs="Arial"/>
          <w:color w:val="222222"/>
          <w:shd w:val="clear" w:color="auto" w:fill="FFFFFF"/>
        </w:rPr>
      </w:pPr>
      <w:r w:rsidRPr="00181660">
        <w:rPr>
          <w:rFonts w:ascii="Times" w:eastAsia="Times New Roman" w:hAnsi="Times" w:cs="Arial"/>
          <w:color w:val="222222"/>
          <w:shd w:val="clear" w:color="auto" w:fill="FFFFFF"/>
        </w:rPr>
        <w:t>Casey, S., Day, A., &amp; Howells, K. (2005). The application of the transtheoretical model to offender populations: Some critical issues.</w:t>
      </w:r>
      <w:r w:rsidRPr="00181660">
        <w:rPr>
          <w:rStyle w:val="apple-converted-space"/>
          <w:rFonts w:ascii="Times" w:eastAsia="Times New Roman" w:hAnsi="Times" w:cs="Arial"/>
          <w:color w:val="222222"/>
          <w:shd w:val="clear" w:color="auto" w:fill="FFFFFF"/>
        </w:rPr>
        <w:t> </w:t>
      </w:r>
      <w:r w:rsidRPr="00181660">
        <w:rPr>
          <w:rFonts w:ascii="Times" w:eastAsia="Times New Roman" w:hAnsi="Times" w:cs="Arial"/>
          <w:i/>
          <w:iCs/>
          <w:color w:val="222222"/>
        </w:rPr>
        <w:t>Legal and Criminological Psychology</w:t>
      </w:r>
      <w:r w:rsidRPr="00181660">
        <w:rPr>
          <w:rFonts w:ascii="Times" w:eastAsia="Times New Roman" w:hAnsi="Times" w:cs="Arial"/>
          <w:color w:val="222222"/>
          <w:shd w:val="clear" w:color="auto" w:fill="FFFFFF"/>
        </w:rPr>
        <w:t>,</w:t>
      </w:r>
      <w:r w:rsidRPr="00181660">
        <w:rPr>
          <w:rStyle w:val="apple-converted-space"/>
          <w:rFonts w:ascii="Times" w:eastAsia="Times New Roman" w:hAnsi="Times" w:cs="Arial"/>
          <w:color w:val="222222"/>
          <w:shd w:val="clear" w:color="auto" w:fill="FFFFFF"/>
        </w:rPr>
        <w:t> </w:t>
      </w:r>
      <w:r w:rsidRPr="00181660">
        <w:rPr>
          <w:rFonts w:ascii="Times" w:eastAsia="Times New Roman" w:hAnsi="Times" w:cs="Arial"/>
          <w:i/>
          <w:iCs/>
          <w:color w:val="222222"/>
        </w:rPr>
        <w:t>10</w:t>
      </w:r>
      <w:r w:rsidRPr="00181660">
        <w:rPr>
          <w:rFonts w:ascii="Times" w:eastAsia="Times New Roman" w:hAnsi="Times" w:cs="Arial"/>
          <w:color w:val="222222"/>
          <w:shd w:val="clear" w:color="auto" w:fill="FFFFFF"/>
        </w:rPr>
        <w:t>(2), 157-171.</w:t>
      </w:r>
    </w:p>
    <w:p w14:paraId="7422933E" w14:textId="77777777" w:rsidR="0048697D" w:rsidRPr="00181660" w:rsidRDefault="0048697D" w:rsidP="0048697D">
      <w:pPr>
        <w:rPr>
          <w:rFonts w:ascii="Times" w:eastAsia="Times New Roman" w:hAnsi="Times"/>
        </w:rPr>
      </w:pPr>
    </w:p>
    <w:p w14:paraId="2A31663D" w14:textId="77777777" w:rsidR="00581EE5" w:rsidRPr="00181660" w:rsidRDefault="00581EE5" w:rsidP="00581EE5">
      <w:pPr>
        <w:rPr>
          <w:rFonts w:ascii="Times" w:eastAsia="Times New Roman" w:hAnsi="Times" w:cs="Arial"/>
          <w:color w:val="222222"/>
          <w:shd w:val="clear" w:color="auto" w:fill="FFFFFF"/>
        </w:rPr>
      </w:pPr>
      <w:r w:rsidRPr="00581EE5">
        <w:rPr>
          <w:rFonts w:ascii="Times" w:eastAsia="Times New Roman" w:hAnsi="Times" w:cs="Arial"/>
          <w:color w:val="222222"/>
          <w:shd w:val="clear" w:color="auto" w:fill="FFFFFF"/>
        </w:rPr>
        <w:t>Hubbard, D. J. (2007). Getting the most out of correctional treatment: Testing the responsivity principle on male and female offenders.</w:t>
      </w:r>
      <w:r w:rsidRPr="00181660">
        <w:rPr>
          <w:rFonts w:ascii="Times" w:eastAsia="Times New Roman" w:hAnsi="Times" w:cs="Arial"/>
          <w:color w:val="222222"/>
          <w:shd w:val="clear" w:color="auto" w:fill="FFFFFF"/>
        </w:rPr>
        <w:t> </w:t>
      </w:r>
      <w:r w:rsidRPr="00581EE5">
        <w:rPr>
          <w:rFonts w:ascii="Times" w:eastAsia="Times New Roman" w:hAnsi="Times" w:cs="Arial"/>
          <w:i/>
          <w:iCs/>
          <w:color w:val="222222"/>
        </w:rPr>
        <w:t>Fed. Probation</w:t>
      </w:r>
      <w:r w:rsidRPr="00581EE5">
        <w:rPr>
          <w:rFonts w:ascii="Times" w:eastAsia="Times New Roman" w:hAnsi="Times" w:cs="Arial"/>
          <w:color w:val="222222"/>
          <w:shd w:val="clear" w:color="auto" w:fill="FFFFFF"/>
        </w:rPr>
        <w:t>,</w:t>
      </w:r>
      <w:r w:rsidRPr="00181660">
        <w:rPr>
          <w:rFonts w:ascii="Times" w:eastAsia="Times New Roman" w:hAnsi="Times" w:cs="Arial"/>
          <w:color w:val="222222"/>
          <w:shd w:val="clear" w:color="auto" w:fill="FFFFFF"/>
        </w:rPr>
        <w:t> </w:t>
      </w:r>
      <w:r w:rsidRPr="00581EE5">
        <w:rPr>
          <w:rFonts w:ascii="Times" w:eastAsia="Times New Roman" w:hAnsi="Times" w:cs="Arial"/>
          <w:i/>
          <w:iCs/>
          <w:color w:val="222222"/>
        </w:rPr>
        <w:t>71</w:t>
      </w:r>
      <w:r w:rsidRPr="00581EE5">
        <w:rPr>
          <w:rFonts w:ascii="Times" w:eastAsia="Times New Roman" w:hAnsi="Times" w:cs="Arial"/>
          <w:color w:val="222222"/>
          <w:shd w:val="clear" w:color="auto" w:fill="FFFFFF"/>
        </w:rPr>
        <w:t>, 2.</w:t>
      </w:r>
    </w:p>
    <w:p w14:paraId="54E9184F" w14:textId="77777777" w:rsidR="00AB4BD6" w:rsidRDefault="00AB4BD6" w:rsidP="004D2DA7">
      <w:pPr>
        <w:rPr>
          <w:rFonts w:ascii="Times" w:eastAsia="Times New Roman" w:hAnsi="Times"/>
        </w:rPr>
      </w:pPr>
    </w:p>
    <w:p w14:paraId="538BA72E" w14:textId="77777777" w:rsidR="00B07C4B" w:rsidRPr="00B07C4B" w:rsidRDefault="00B07C4B" w:rsidP="00B07C4B">
      <w:pPr>
        <w:rPr>
          <w:rFonts w:ascii="Times" w:eastAsia="Times New Roman" w:hAnsi="Times"/>
          <w:sz w:val="36"/>
        </w:rPr>
      </w:pPr>
      <w:r w:rsidRPr="00B07C4B">
        <w:rPr>
          <w:rFonts w:ascii="Times" w:eastAsia="Times New Roman" w:hAnsi="Times" w:cs="Arial"/>
          <w:color w:val="222222"/>
          <w:szCs w:val="20"/>
          <w:shd w:val="clear" w:color="auto" w:fill="FFFFFF"/>
        </w:rPr>
        <w:t>Lambert, E., Hogan, N., Barton, S. M., Jiang, S., &amp; Baker, D. N. (2008). The impact of punishment and rehabilitation views on organizational commitment among correctional staff: A preliminary study.</w:t>
      </w:r>
      <w:r w:rsidRPr="00B07C4B">
        <w:rPr>
          <w:rStyle w:val="apple-converted-space"/>
          <w:rFonts w:ascii="Times" w:eastAsia="Times New Roman" w:hAnsi="Times" w:cs="Arial"/>
          <w:color w:val="222222"/>
          <w:szCs w:val="20"/>
          <w:shd w:val="clear" w:color="auto" w:fill="FFFFFF"/>
        </w:rPr>
        <w:t> </w:t>
      </w:r>
      <w:r w:rsidRPr="00B07C4B">
        <w:rPr>
          <w:rFonts w:ascii="Times" w:eastAsia="Times New Roman" w:hAnsi="Times" w:cs="Arial"/>
          <w:i/>
          <w:iCs/>
          <w:color w:val="222222"/>
          <w:szCs w:val="20"/>
        </w:rPr>
        <w:t>American Journal of Criminal Justice</w:t>
      </w:r>
      <w:r w:rsidRPr="00B07C4B">
        <w:rPr>
          <w:rFonts w:ascii="Times" w:eastAsia="Times New Roman" w:hAnsi="Times" w:cs="Arial"/>
          <w:color w:val="222222"/>
          <w:szCs w:val="20"/>
          <w:shd w:val="clear" w:color="auto" w:fill="FFFFFF"/>
        </w:rPr>
        <w:t>,</w:t>
      </w:r>
      <w:r w:rsidRPr="00B07C4B">
        <w:rPr>
          <w:rStyle w:val="apple-converted-space"/>
          <w:rFonts w:ascii="Times" w:eastAsia="Times New Roman" w:hAnsi="Times" w:cs="Arial"/>
          <w:color w:val="222222"/>
          <w:szCs w:val="20"/>
          <w:shd w:val="clear" w:color="auto" w:fill="FFFFFF"/>
        </w:rPr>
        <w:t> </w:t>
      </w:r>
      <w:r w:rsidRPr="00B07C4B">
        <w:rPr>
          <w:rFonts w:ascii="Times" w:eastAsia="Times New Roman" w:hAnsi="Times" w:cs="Arial"/>
          <w:i/>
          <w:iCs/>
          <w:color w:val="222222"/>
          <w:szCs w:val="20"/>
        </w:rPr>
        <w:t>33</w:t>
      </w:r>
      <w:r w:rsidRPr="00B07C4B">
        <w:rPr>
          <w:rFonts w:ascii="Times" w:eastAsia="Times New Roman" w:hAnsi="Times" w:cs="Arial"/>
          <w:color w:val="222222"/>
          <w:szCs w:val="20"/>
          <w:shd w:val="clear" w:color="auto" w:fill="FFFFFF"/>
        </w:rPr>
        <w:t>(1), 85-98.</w:t>
      </w:r>
    </w:p>
    <w:p w14:paraId="5DD6538E" w14:textId="77777777" w:rsidR="00B07C4B" w:rsidRPr="004D2DA7" w:rsidRDefault="00B07C4B" w:rsidP="004D2DA7">
      <w:pPr>
        <w:rPr>
          <w:rFonts w:ascii="Times" w:eastAsia="Times New Roman" w:hAnsi="Times"/>
        </w:rPr>
      </w:pPr>
    </w:p>
    <w:p w14:paraId="30C3EF73" w14:textId="1C3EE76F" w:rsidR="0048697D" w:rsidRDefault="00AB4BD6" w:rsidP="0048697D">
      <w:pPr>
        <w:rPr>
          <w:rFonts w:ascii="Times" w:eastAsia="Times New Roman" w:hAnsi="Times" w:cs="Arial"/>
          <w:color w:val="222222"/>
          <w:shd w:val="clear" w:color="auto" w:fill="FFFFFF"/>
        </w:rPr>
      </w:pPr>
      <w:r w:rsidRPr="00181660">
        <w:rPr>
          <w:rFonts w:ascii="Times" w:eastAsia="Times New Roman" w:hAnsi="Times" w:cs="Arial"/>
          <w:color w:val="222222"/>
          <w:shd w:val="clear" w:color="auto" w:fill="FFFFFF"/>
        </w:rPr>
        <w:t>Prochaska, J. M., Prochaska, J. O., &amp; Levesque, D. A. (2001). A transtheoretical approach to changing organizations.</w:t>
      </w:r>
      <w:r w:rsidRPr="00181660">
        <w:rPr>
          <w:rStyle w:val="apple-converted-space"/>
          <w:rFonts w:ascii="Times" w:eastAsia="Times New Roman" w:hAnsi="Times" w:cs="Arial"/>
          <w:color w:val="222222"/>
          <w:shd w:val="clear" w:color="auto" w:fill="FFFFFF"/>
        </w:rPr>
        <w:t> </w:t>
      </w:r>
      <w:r w:rsidRPr="00181660">
        <w:rPr>
          <w:rFonts w:ascii="Times" w:eastAsia="Times New Roman" w:hAnsi="Times" w:cs="Arial"/>
          <w:i/>
          <w:iCs/>
          <w:color w:val="222222"/>
        </w:rPr>
        <w:t>Administration and Policy in Mental Health and Mental Health Services Research</w:t>
      </w:r>
      <w:r w:rsidRPr="00181660">
        <w:rPr>
          <w:rFonts w:ascii="Times" w:eastAsia="Times New Roman" w:hAnsi="Times" w:cs="Arial"/>
          <w:color w:val="222222"/>
          <w:shd w:val="clear" w:color="auto" w:fill="FFFFFF"/>
        </w:rPr>
        <w:t>,</w:t>
      </w:r>
      <w:r w:rsidRPr="00181660">
        <w:rPr>
          <w:rStyle w:val="apple-converted-space"/>
          <w:rFonts w:ascii="Times" w:eastAsia="Times New Roman" w:hAnsi="Times" w:cs="Arial"/>
          <w:color w:val="222222"/>
          <w:shd w:val="clear" w:color="auto" w:fill="FFFFFF"/>
        </w:rPr>
        <w:t> </w:t>
      </w:r>
      <w:r w:rsidRPr="00181660">
        <w:rPr>
          <w:rFonts w:ascii="Times" w:eastAsia="Times New Roman" w:hAnsi="Times" w:cs="Arial"/>
          <w:i/>
          <w:iCs/>
          <w:color w:val="222222"/>
        </w:rPr>
        <w:t>28</w:t>
      </w:r>
      <w:r w:rsidRPr="00181660">
        <w:rPr>
          <w:rFonts w:ascii="Times" w:eastAsia="Times New Roman" w:hAnsi="Times" w:cs="Arial"/>
          <w:color w:val="222222"/>
          <w:shd w:val="clear" w:color="auto" w:fill="FFFFFF"/>
        </w:rPr>
        <w:t>(4), 247-261.</w:t>
      </w:r>
    </w:p>
    <w:p w14:paraId="34415003" w14:textId="77777777" w:rsidR="00631C76" w:rsidRDefault="00631C76" w:rsidP="0048697D">
      <w:pPr>
        <w:rPr>
          <w:rFonts w:ascii="Times" w:eastAsia="Times New Roman" w:hAnsi="Times" w:cs="Arial"/>
          <w:color w:val="222222"/>
          <w:shd w:val="clear" w:color="auto" w:fill="FFFFFF"/>
        </w:rPr>
      </w:pPr>
    </w:p>
    <w:p w14:paraId="63C4B464" w14:textId="77777777" w:rsidR="00631C76" w:rsidRPr="006B2A5D" w:rsidRDefault="00631C76" w:rsidP="00631C76">
      <w:pPr>
        <w:rPr>
          <w:rFonts w:ascii="Times" w:eastAsia="Times New Roman" w:hAnsi="Times"/>
          <w:sz w:val="36"/>
        </w:rPr>
      </w:pPr>
      <w:r w:rsidRPr="006B2A5D">
        <w:rPr>
          <w:rFonts w:ascii="Times" w:eastAsia="Times New Roman" w:hAnsi="Times" w:cs="Arial"/>
          <w:color w:val="222222"/>
          <w:szCs w:val="20"/>
          <w:shd w:val="clear" w:color="auto" w:fill="FFFFFF"/>
        </w:rPr>
        <w:t xml:space="preserve">Prochaska, J. O. (2013). Transtheoretical model of </w:t>
      </w:r>
      <w:proofErr w:type="spellStart"/>
      <w:r w:rsidRPr="006B2A5D">
        <w:rPr>
          <w:rFonts w:ascii="Times" w:eastAsia="Times New Roman" w:hAnsi="Times" w:cs="Arial"/>
          <w:color w:val="222222"/>
          <w:szCs w:val="20"/>
          <w:shd w:val="clear" w:color="auto" w:fill="FFFFFF"/>
        </w:rPr>
        <w:t>behavior</w:t>
      </w:r>
      <w:proofErr w:type="spellEnd"/>
      <w:r w:rsidRPr="006B2A5D">
        <w:rPr>
          <w:rFonts w:ascii="Times" w:eastAsia="Times New Roman" w:hAnsi="Times" w:cs="Arial"/>
          <w:color w:val="222222"/>
          <w:szCs w:val="20"/>
          <w:shd w:val="clear" w:color="auto" w:fill="FFFFFF"/>
        </w:rPr>
        <w:t xml:space="preserve"> change. In</w:t>
      </w:r>
      <w:r w:rsidRPr="006B2A5D">
        <w:rPr>
          <w:rStyle w:val="apple-converted-space"/>
          <w:rFonts w:ascii="Times" w:eastAsia="Times New Roman" w:hAnsi="Times" w:cs="Arial"/>
          <w:color w:val="222222"/>
          <w:szCs w:val="20"/>
          <w:shd w:val="clear" w:color="auto" w:fill="FFFFFF"/>
        </w:rPr>
        <w:t> </w:t>
      </w:r>
      <w:proofErr w:type="spellStart"/>
      <w:r w:rsidRPr="006B2A5D">
        <w:rPr>
          <w:rFonts w:ascii="Times" w:eastAsia="Times New Roman" w:hAnsi="Times" w:cs="Arial"/>
          <w:i/>
          <w:iCs/>
          <w:color w:val="222222"/>
          <w:szCs w:val="20"/>
        </w:rPr>
        <w:t>Encyclopedia</w:t>
      </w:r>
      <w:proofErr w:type="spellEnd"/>
      <w:r w:rsidRPr="006B2A5D">
        <w:rPr>
          <w:rFonts w:ascii="Times" w:eastAsia="Times New Roman" w:hAnsi="Times" w:cs="Arial"/>
          <w:i/>
          <w:iCs/>
          <w:color w:val="222222"/>
          <w:szCs w:val="20"/>
        </w:rPr>
        <w:t xml:space="preserve"> of </w:t>
      </w:r>
      <w:proofErr w:type="spellStart"/>
      <w:r w:rsidRPr="006B2A5D">
        <w:rPr>
          <w:rFonts w:ascii="Times" w:eastAsia="Times New Roman" w:hAnsi="Times" w:cs="Arial"/>
          <w:i/>
          <w:iCs/>
          <w:color w:val="222222"/>
          <w:szCs w:val="20"/>
        </w:rPr>
        <w:t>behavioral</w:t>
      </w:r>
      <w:proofErr w:type="spellEnd"/>
      <w:r w:rsidRPr="006B2A5D">
        <w:rPr>
          <w:rFonts w:ascii="Times" w:eastAsia="Times New Roman" w:hAnsi="Times" w:cs="Arial"/>
          <w:i/>
          <w:iCs/>
          <w:color w:val="222222"/>
          <w:szCs w:val="20"/>
        </w:rPr>
        <w:t xml:space="preserve"> medicine</w:t>
      </w:r>
      <w:r w:rsidRPr="006B2A5D">
        <w:rPr>
          <w:rStyle w:val="apple-converted-space"/>
          <w:rFonts w:ascii="Times" w:eastAsia="Times New Roman" w:hAnsi="Times" w:cs="Arial"/>
          <w:color w:val="222222"/>
          <w:szCs w:val="20"/>
          <w:shd w:val="clear" w:color="auto" w:fill="FFFFFF"/>
        </w:rPr>
        <w:t> </w:t>
      </w:r>
      <w:r w:rsidRPr="006B2A5D">
        <w:rPr>
          <w:rFonts w:ascii="Times" w:eastAsia="Times New Roman" w:hAnsi="Times" w:cs="Arial"/>
          <w:color w:val="222222"/>
          <w:szCs w:val="20"/>
          <w:shd w:val="clear" w:color="auto" w:fill="FFFFFF"/>
        </w:rPr>
        <w:t>(pp. 1997-2000). Springer, New York, NY.</w:t>
      </w:r>
    </w:p>
    <w:p w14:paraId="48A74FE4" w14:textId="77777777" w:rsidR="00631C76" w:rsidRPr="0048697D" w:rsidRDefault="00631C76" w:rsidP="0048697D">
      <w:pPr>
        <w:rPr>
          <w:rFonts w:ascii="Times" w:eastAsia="Times New Roman" w:hAnsi="Times" w:cs="Arial"/>
          <w:color w:val="222222"/>
          <w:shd w:val="clear" w:color="auto" w:fill="FFFFFF"/>
        </w:rPr>
      </w:pPr>
    </w:p>
    <w:p w14:paraId="2F014A7C" w14:textId="77777777" w:rsidR="0048697D" w:rsidRPr="00181660" w:rsidRDefault="0048697D" w:rsidP="0048697D">
      <w:pPr>
        <w:rPr>
          <w:rFonts w:ascii="Times" w:eastAsia="Times New Roman" w:hAnsi="Times" w:cs="Arial"/>
          <w:color w:val="222222"/>
          <w:shd w:val="clear" w:color="auto" w:fill="FFFFFF"/>
        </w:rPr>
      </w:pPr>
      <w:r w:rsidRPr="004D2DA7">
        <w:rPr>
          <w:rFonts w:ascii="Times" w:eastAsia="Times New Roman" w:hAnsi="Times" w:cs="Arial"/>
          <w:color w:val="222222"/>
          <w:shd w:val="clear" w:color="auto" w:fill="FFFFFF"/>
        </w:rPr>
        <w:t>Wexler, David B. "Two decades of therapeutic jurisprudence."</w:t>
      </w:r>
      <w:r w:rsidRPr="00181660">
        <w:rPr>
          <w:rFonts w:ascii="Times" w:eastAsia="Times New Roman" w:hAnsi="Times" w:cs="Arial"/>
          <w:color w:val="222222"/>
          <w:shd w:val="clear" w:color="auto" w:fill="FFFFFF"/>
        </w:rPr>
        <w:t> </w:t>
      </w:r>
      <w:proofErr w:type="spellStart"/>
      <w:r w:rsidRPr="004D2DA7">
        <w:rPr>
          <w:rFonts w:ascii="Times" w:eastAsia="Times New Roman" w:hAnsi="Times" w:cs="Arial"/>
          <w:i/>
          <w:iCs/>
          <w:color w:val="222222"/>
        </w:rPr>
        <w:t>Touro</w:t>
      </w:r>
      <w:proofErr w:type="spellEnd"/>
      <w:r w:rsidRPr="004D2DA7">
        <w:rPr>
          <w:rFonts w:ascii="Times" w:eastAsia="Times New Roman" w:hAnsi="Times" w:cs="Arial"/>
          <w:i/>
          <w:iCs/>
          <w:color w:val="222222"/>
        </w:rPr>
        <w:t xml:space="preserve"> L. Rev.</w:t>
      </w:r>
      <w:r w:rsidRPr="00181660">
        <w:rPr>
          <w:rFonts w:ascii="Times" w:eastAsia="Times New Roman" w:hAnsi="Times" w:cs="Arial"/>
          <w:color w:val="222222"/>
          <w:shd w:val="clear" w:color="auto" w:fill="FFFFFF"/>
        </w:rPr>
        <w:t> </w:t>
      </w:r>
      <w:r w:rsidRPr="004D2DA7">
        <w:rPr>
          <w:rFonts w:ascii="Times" w:eastAsia="Times New Roman" w:hAnsi="Times" w:cs="Arial"/>
          <w:color w:val="222222"/>
          <w:shd w:val="clear" w:color="auto" w:fill="FFFFFF"/>
        </w:rPr>
        <w:t>24 (2008): 17.</w:t>
      </w:r>
    </w:p>
    <w:p w14:paraId="71421E52" w14:textId="5412EB90" w:rsidR="00F0259B" w:rsidRPr="00181660" w:rsidRDefault="00F0259B" w:rsidP="005F1CE3">
      <w:pPr>
        <w:spacing w:line="360" w:lineRule="auto"/>
        <w:rPr>
          <w:rFonts w:ascii="Times" w:hAnsi="Times"/>
        </w:rPr>
      </w:pPr>
    </w:p>
    <w:sectPr w:rsidR="00F0259B" w:rsidRPr="00181660" w:rsidSect="00D6620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dvTR">
    <w:altName w:val="Times New Roman"/>
    <w:panose1 w:val="00000000000000000000"/>
    <w:charset w:val="00"/>
    <w:family w:val="roman"/>
    <w:notTrueType/>
    <w:pitch w:val="default"/>
  </w:font>
  <w:font w:name="Georgia">
    <w:panose1 w:val="02040502050405020303"/>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A0A"/>
    <w:rsid w:val="00017085"/>
    <w:rsid w:val="000332C0"/>
    <w:rsid w:val="00042996"/>
    <w:rsid w:val="00043F77"/>
    <w:rsid w:val="00065712"/>
    <w:rsid w:val="0006584E"/>
    <w:rsid w:val="00071861"/>
    <w:rsid w:val="000846BB"/>
    <w:rsid w:val="0009200C"/>
    <w:rsid w:val="000F2F0A"/>
    <w:rsid w:val="001017BF"/>
    <w:rsid w:val="00106E62"/>
    <w:rsid w:val="0011255B"/>
    <w:rsid w:val="00125374"/>
    <w:rsid w:val="00132753"/>
    <w:rsid w:val="00136B73"/>
    <w:rsid w:val="00143478"/>
    <w:rsid w:val="001453F4"/>
    <w:rsid w:val="001466FF"/>
    <w:rsid w:val="0017014D"/>
    <w:rsid w:val="001721A7"/>
    <w:rsid w:val="001721B6"/>
    <w:rsid w:val="001740CA"/>
    <w:rsid w:val="00181660"/>
    <w:rsid w:val="00194164"/>
    <w:rsid w:val="001A1263"/>
    <w:rsid w:val="001B267C"/>
    <w:rsid w:val="001C6FEA"/>
    <w:rsid w:val="001D046C"/>
    <w:rsid w:val="001E3D2C"/>
    <w:rsid w:val="001F05F8"/>
    <w:rsid w:val="002051FA"/>
    <w:rsid w:val="00280ED8"/>
    <w:rsid w:val="002C586F"/>
    <w:rsid w:val="002D2F7A"/>
    <w:rsid w:val="002D3EF5"/>
    <w:rsid w:val="002E4375"/>
    <w:rsid w:val="00302E19"/>
    <w:rsid w:val="00381B3E"/>
    <w:rsid w:val="003B3513"/>
    <w:rsid w:val="003C4130"/>
    <w:rsid w:val="003C551E"/>
    <w:rsid w:val="003C58D1"/>
    <w:rsid w:val="003D3989"/>
    <w:rsid w:val="003D763C"/>
    <w:rsid w:val="0042641E"/>
    <w:rsid w:val="0043048D"/>
    <w:rsid w:val="00436493"/>
    <w:rsid w:val="004625D2"/>
    <w:rsid w:val="004658F9"/>
    <w:rsid w:val="004673D6"/>
    <w:rsid w:val="00485244"/>
    <w:rsid w:val="0048697D"/>
    <w:rsid w:val="004B009B"/>
    <w:rsid w:val="004B1C5F"/>
    <w:rsid w:val="004B5F55"/>
    <w:rsid w:val="004D09FF"/>
    <w:rsid w:val="004D2DA7"/>
    <w:rsid w:val="004D6EC8"/>
    <w:rsid w:val="0051355D"/>
    <w:rsid w:val="00567A29"/>
    <w:rsid w:val="0057364F"/>
    <w:rsid w:val="00581EE5"/>
    <w:rsid w:val="0059584A"/>
    <w:rsid w:val="005A7675"/>
    <w:rsid w:val="005C6459"/>
    <w:rsid w:val="005D2BFC"/>
    <w:rsid w:val="005E30B3"/>
    <w:rsid w:val="005E3706"/>
    <w:rsid w:val="005E482F"/>
    <w:rsid w:val="005E513C"/>
    <w:rsid w:val="005E6892"/>
    <w:rsid w:val="005F1CE3"/>
    <w:rsid w:val="005F6C0C"/>
    <w:rsid w:val="005F77D1"/>
    <w:rsid w:val="0060170A"/>
    <w:rsid w:val="00601786"/>
    <w:rsid w:val="00617F37"/>
    <w:rsid w:val="00631C76"/>
    <w:rsid w:val="00651F12"/>
    <w:rsid w:val="00674ECD"/>
    <w:rsid w:val="00682CB8"/>
    <w:rsid w:val="00690B06"/>
    <w:rsid w:val="00696F26"/>
    <w:rsid w:val="006B2A5D"/>
    <w:rsid w:val="006C2794"/>
    <w:rsid w:val="006C6F7C"/>
    <w:rsid w:val="006F4EEC"/>
    <w:rsid w:val="007007AD"/>
    <w:rsid w:val="0071668D"/>
    <w:rsid w:val="0072116E"/>
    <w:rsid w:val="00727E46"/>
    <w:rsid w:val="00753771"/>
    <w:rsid w:val="00764509"/>
    <w:rsid w:val="00791BC0"/>
    <w:rsid w:val="007E6CC2"/>
    <w:rsid w:val="007F1114"/>
    <w:rsid w:val="007F15B0"/>
    <w:rsid w:val="007F48BC"/>
    <w:rsid w:val="00854DBD"/>
    <w:rsid w:val="00877694"/>
    <w:rsid w:val="008807A8"/>
    <w:rsid w:val="00880BA0"/>
    <w:rsid w:val="00883F67"/>
    <w:rsid w:val="00883FDC"/>
    <w:rsid w:val="00896F09"/>
    <w:rsid w:val="00897EB2"/>
    <w:rsid w:val="008A1B4E"/>
    <w:rsid w:val="008A7A61"/>
    <w:rsid w:val="008B5E41"/>
    <w:rsid w:val="008C3045"/>
    <w:rsid w:val="008C6209"/>
    <w:rsid w:val="008D7CE5"/>
    <w:rsid w:val="00900BDA"/>
    <w:rsid w:val="00932D5B"/>
    <w:rsid w:val="00976D45"/>
    <w:rsid w:val="0099221B"/>
    <w:rsid w:val="009A11E0"/>
    <w:rsid w:val="009B0D37"/>
    <w:rsid w:val="009B2522"/>
    <w:rsid w:val="009B2BB4"/>
    <w:rsid w:val="009E0032"/>
    <w:rsid w:val="009F16ED"/>
    <w:rsid w:val="009F5863"/>
    <w:rsid w:val="00A0669A"/>
    <w:rsid w:val="00A13D31"/>
    <w:rsid w:val="00A353D7"/>
    <w:rsid w:val="00A5012E"/>
    <w:rsid w:val="00A51505"/>
    <w:rsid w:val="00A604BB"/>
    <w:rsid w:val="00A7492A"/>
    <w:rsid w:val="00A91693"/>
    <w:rsid w:val="00AA1591"/>
    <w:rsid w:val="00AB4BD6"/>
    <w:rsid w:val="00AC2C85"/>
    <w:rsid w:val="00AF2443"/>
    <w:rsid w:val="00B07C4B"/>
    <w:rsid w:val="00B10344"/>
    <w:rsid w:val="00B361EA"/>
    <w:rsid w:val="00B507E3"/>
    <w:rsid w:val="00B52794"/>
    <w:rsid w:val="00B57FC4"/>
    <w:rsid w:val="00B715CD"/>
    <w:rsid w:val="00B779B3"/>
    <w:rsid w:val="00BA6543"/>
    <w:rsid w:val="00BB01C8"/>
    <w:rsid w:val="00BE087D"/>
    <w:rsid w:val="00BF402B"/>
    <w:rsid w:val="00BF5FDE"/>
    <w:rsid w:val="00C3237F"/>
    <w:rsid w:val="00C3716A"/>
    <w:rsid w:val="00C50602"/>
    <w:rsid w:val="00C748AB"/>
    <w:rsid w:val="00C74D87"/>
    <w:rsid w:val="00CA6A25"/>
    <w:rsid w:val="00CB1B4A"/>
    <w:rsid w:val="00CC77C7"/>
    <w:rsid w:val="00CD3B64"/>
    <w:rsid w:val="00CE10FC"/>
    <w:rsid w:val="00CF63F8"/>
    <w:rsid w:val="00CF656B"/>
    <w:rsid w:val="00D15CC9"/>
    <w:rsid w:val="00D24D5C"/>
    <w:rsid w:val="00D25A0A"/>
    <w:rsid w:val="00D330AC"/>
    <w:rsid w:val="00D42A00"/>
    <w:rsid w:val="00D46D19"/>
    <w:rsid w:val="00D66202"/>
    <w:rsid w:val="00D67569"/>
    <w:rsid w:val="00D9424C"/>
    <w:rsid w:val="00DC5EA3"/>
    <w:rsid w:val="00E17600"/>
    <w:rsid w:val="00E2602F"/>
    <w:rsid w:val="00E30733"/>
    <w:rsid w:val="00E368F4"/>
    <w:rsid w:val="00E37063"/>
    <w:rsid w:val="00E44A89"/>
    <w:rsid w:val="00E46A96"/>
    <w:rsid w:val="00E51760"/>
    <w:rsid w:val="00E52691"/>
    <w:rsid w:val="00E609FD"/>
    <w:rsid w:val="00E83F99"/>
    <w:rsid w:val="00EA2521"/>
    <w:rsid w:val="00EB4F5F"/>
    <w:rsid w:val="00EB534B"/>
    <w:rsid w:val="00EE418A"/>
    <w:rsid w:val="00EE45BE"/>
    <w:rsid w:val="00EE71EE"/>
    <w:rsid w:val="00F01D3E"/>
    <w:rsid w:val="00F0259B"/>
    <w:rsid w:val="00F04792"/>
    <w:rsid w:val="00F119A3"/>
    <w:rsid w:val="00F16755"/>
    <w:rsid w:val="00F27FC3"/>
    <w:rsid w:val="00F338AF"/>
    <w:rsid w:val="00F44E1A"/>
    <w:rsid w:val="00F57F4B"/>
    <w:rsid w:val="00F76778"/>
    <w:rsid w:val="00F849C7"/>
    <w:rsid w:val="00F93CE5"/>
    <w:rsid w:val="00FA56F8"/>
    <w:rsid w:val="00FA7BF6"/>
    <w:rsid w:val="00FB6068"/>
    <w:rsid w:val="00FC5604"/>
    <w:rsid w:val="00FC6CF4"/>
    <w:rsid w:val="00FD5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8852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B4BD6"/>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04BB"/>
    <w:pPr>
      <w:spacing w:before="100" w:beforeAutospacing="1" w:after="100" w:afterAutospacing="1"/>
    </w:pPr>
  </w:style>
  <w:style w:type="character" w:customStyle="1" w:styleId="apple-converted-space">
    <w:name w:val="apple-converted-space"/>
    <w:basedOn w:val="DefaultParagraphFont"/>
    <w:rsid w:val="00581E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21449">
      <w:bodyDiv w:val="1"/>
      <w:marLeft w:val="0"/>
      <w:marRight w:val="0"/>
      <w:marTop w:val="0"/>
      <w:marBottom w:val="0"/>
      <w:divBdr>
        <w:top w:val="none" w:sz="0" w:space="0" w:color="auto"/>
        <w:left w:val="none" w:sz="0" w:space="0" w:color="auto"/>
        <w:bottom w:val="none" w:sz="0" w:space="0" w:color="auto"/>
        <w:right w:val="none" w:sz="0" w:space="0" w:color="auto"/>
      </w:divBdr>
    </w:div>
    <w:div w:id="134300173">
      <w:bodyDiv w:val="1"/>
      <w:marLeft w:val="0"/>
      <w:marRight w:val="0"/>
      <w:marTop w:val="0"/>
      <w:marBottom w:val="0"/>
      <w:divBdr>
        <w:top w:val="none" w:sz="0" w:space="0" w:color="auto"/>
        <w:left w:val="none" w:sz="0" w:space="0" w:color="auto"/>
        <w:bottom w:val="none" w:sz="0" w:space="0" w:color="auto"/>
        <w:right w:val="none" w:sz="0" w:space="0" w:color="auto"/>
      </w:divBdr>
    </w:div>
    <w:div w:id="420027250">
      <w:bodyDiv w:val="1"/>
      <w:marLeft w:val="0"/>
      <w:marRight w:val="0"/>
      <w:marTop w:val="0"/>
      <w:marBottom w:val="0"/>
      <w:divBdr>
        <w:top w:val="none" w:sz="0" w:space="0" w:color="auto"/>
        <w:left w:val="none" w:sz="0" w:space="0" w:color="auto"/>
        <w:bottom w:val="none" w:sz="0" w:space="0" w:color="auto"/>
        <w:right w:val="none" w:sz="0" w:space="0" w:color="auto"/>
      </w:divBdr>
      <w:divsChild>
        <w:div w:id="324555058">
          <w:marLeft w:val="0"/>
          <w:marRight w:val="0"/>
          <w:marTop w:val="0"/>
          <w:marBottom w:val="0"/>
          <w:divBdr>
            <w:top w:val="none" w:sz="0" w:space="0" w:color="auto"/>
            <w:left w:val="none" w:sz="0" w:space="0" w:color="auto"/>
            <w:bottom w:val="none" w:sz="0" w:space="0" w:color="auto"/>
            <w:right w:val="none" w:sz="0" w:space="0" w:color="auto"/>
          </w:divBdr>
          <w:divsChild>
            <w:div w:id="382216145">
              <w:marLeft w:val="0"/>
              <w:marRight w:val="0"/>
              <w:marTop w:val="0"/>
              <w:marBottom w:val="0"/>
              <w:divBdr>
                <w:top w:val="none" w:sz="0" w:space="0" w:color="auto"/>
                <w:left w:val="none" w:sz="0" w:space="0" w:color="auto"/>
                <w:bottom w:val="none" w:sz="0" w:space="0" w:color="auto"/>
                <w:right w:val="none" w:sz="0" w:space="0" w:color="auto"/>
              </w:divBdr>
              <w:divsChild>
                <w:div w:id="55504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794301">
      <w:bodyDiv w:val="1"/>
      <w:marLeft w:val="0"/>
      <w:marRight w:val="0"/>
      <w:marTop w:val="0"/>
      <w:marBottom w:val="0"/>
      <w:divBdr>
        <w:top w:val="none" w:sz="0" w:space="0" w:color="auto"/>
        <w:left w:val="none" w:sz="0" w:space="0" w:color="auto"/>
        <w:bottom w:val="none" w:sz="0" w:space="0" w:color="auto"/>
        <w:right w:val="none" w:sz="0" w:space="0" w:color="auto"/>
      </w:divBdr>
      <w:divsChild>
        <w:div w:id="1528718513">
          <w:marLeft w:val="0"/>
          <w:marRight w:val="0"/>
          <w:marTop w:val="0"/>
          <w:marBottom w:val="0"/>
          <w:divBdr>
            <w:top w:val="none" w:sz="0" w:space="0" w:color="auto"/>
            <w:left w:val="none" w:sz="0" w:space="0" w:color="auto"/>
            <w:bottom w:val="none" w:sz="0" w:space="0" w:color="auto"/>
            <w:right w:val="none" w:sz="0" w:space="0" w:color="auto"/>
          </w:divBdr>
          <w:divsChild>
            <w:div w:id="1300922292">
              <w:marLeft w:val="0"/>
              <w:marRight w:val="0"/>
              <w:marTop w:val="0"/>
              <w:marBottom w:val="0"/>
              <w:divBdr>
                <w:top w:val="none" w:sz="0" w:space="0" w:color="auto"/>
                <w:left w:val="none" w:sz="0" w:space="0" w:color="auto"/>
                <w:bottom w:val="none" w:sz="0" w:space="0" w:color="auto"/>
                <w:right w:val="none" w:sz="0" w:space="0" w:color="auto"/>
              </w:divBdr>
              <w:divsChild>
                <w:div w:id="131557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649277">
          <w:marLeft w:val="0"/>
          <w:marRight w:val="0"/>
          <w:marTop w:val="0"/>
          <w:marBottom w:val="0"/>
          <w:divBdr>
            <w:top w:val="none" w:sz="0" w:space="0" w:color="auto"/>
            <w:left w:val="none" w:sz="0" w:space="0" w:color="auto"/>
            <w:bottom w:val="none" w:sz="0" w:space="0" w:color="auto"/>
            <w:right w:val="none" w:sz="0" w:space="0" w:color="auto"/>
          </w:divBdr>
          <w:divsChild>
            <w:div w:id="476727694">
              <w:marLeft w:val="0"/>
              <w:marRight w:val="0"/>
              <w:marTop w:val="0"/>
              <w:marBottom w:val="0"/>
              <w:divBdr>
                <w:top w:val="none" w:sz="0" w:space="0" w:color="auto"/>
                <w:left w:val="none" w:sz="0" w:space="0" w:color="auto"/>
                <w:bottom w:val="none" w:sz="0" w:space="0" w:color="auto"/>
                <w:right w:val="none" w:sz="0" w:space="0" w:color="auto"/>
              </w:divBdr>
              <w:divsChild>
                <w:div w:id="4601143">
                  <w:marLeft w:val="0"/>
                  <w:marRight w:val="0"/>
                  <w:marTop w:val="0"/>
                  <w:marBottom w:val="0"/>
                  <w:divBdr>
                    <w:top w:val="none" w:sz="0" w:space="0" w:color="auto"/>
                    <w:left w:val="none" w:sz="0" w:space="0" w:color="auto"/>
                    <w:bottom w:val="none" w:sz="0" w:space="0" w:color="auto"/>
                    <w:right w:val="none" w:sz="0" w:space="0" w:color="auto"/>
                  </w:divBdr>
                </w:div>
              </w:divsChild>
            </w:div>
            <w:div w:id="1898465743">
              <w:marLeft w:val="0"/>
              <w:marRight w:val="0"/>
              <w:marTop w:val="0"/>
              <w:marBottom w:val="0"/>
              <w:divBdr>
                <w:top w:val="none" w:sz="0" w:space="0" w:color="auto"/>
                <w:left w:val="none" w:sz="0" w:space="0" w:color="auto"/>
                <w:bottom w:val="none" w:sz="0" w:space="0" w:color="auto"/>
                <w:right w:val="none" w:sz="0" w:space="0" w:color="auto"/>
              </w:divBdr>
              <w:divsChild>
                <w:div w:id="157616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072123">
      <w:bodyDiv w:val="1"/>
      <w:marLeft w:val="0"/>
      <w:marRight w:val="0"/>
      <w:marTop w:val="0"/>
      <w:marBottom w:val="0"/>
      <w:divBdr>
        <w:top w:val="none" w:sz="0" w:space="0" w:color="auto"/>
        <w:left w:val="none" w:sz="0" w:space="0" w:color="auto"/>
        <w:bottom w:val="none" w:sz="0" w:space="0" w:color="auto"/>
        <w:right w:val="none" w:sz="0" w:space="0" w:color="auto"/>
      </w:divBdr>
    </w:div>
    <w:div w:id="857550378">
      <w:bodyDiv w:val="1"/>
      <w:marLeft w:val="0"/>
      <w:marRight w:val="0"/>
      <w:marTop w:val="0"/>
      <w:marBottom w:val="0"/>
      <w:divBdr>
        <w:top w:val="none" w:sz="0" w:space="0" w:color="auto"/>
        <w:left w:val="none" w:sz="0" w:space="0" w:color="auto"/>
        <w:bottom w:val="none" w:sz="0" w:space="0" w:color="auto"/>
        <w:right w:val="none" w:sz="0" w:space="0" w:color="auto"/>
      </w:divBdr>
      <w:divsChild>
        <w:div w:id="1936087675">
          <w:marLeft w:val="0"/>
          <w:marRight w:val="0"/>
          <w:marTop w:val="0"/>
          <w:marBottom w:val="0"/>
          <w:divBdr>
            <w:top w:val="none" w:sz="0" w:space="0" w:color="auto"/>
            <w:left w:val="none" w:sz="0" w:space="0" w:color="auto"/>
            <w:bottom w:val="none" w:sz="0" w:space="0" w:color="auto"/>
            <w:right w:val="none" w:sz="0" w:space="0" w:color="auto"/>
          </w:divBdr>
          <w:divsChild>
            <w:div w:id="638190161">
              <w:marLeft w:val="0"/>
              <w:marRight w:val="0"/>
              <w:marTop w:val="0"/>
              <w:marBottom w:val="0"/>
              <w:divBdr>
                <w:top w:val="none" w:sz="0" w:space="0" w:color="auto"/>
                <w:left w:val="none" w:sz="0" w:space="0" w:color="auto"/>
                <w:bottom w:val="none" w:sz="0" w:space="0" w:color="auto"/>
                <w:right w:val="none" w:sz="0" w:space="0" w:color="auto"/>
              </w:divBdr>
              <w:divsChild>
                <w:div w:id="26230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991613">
      <w:bodyDiv w:val="1"/>
      <w:marLeft w:val="0"/>
      <w:marRight w:val="0"/>
      <w:marTop w:val="0"/>
      <w:marBottom w:val="0"/>
      <w:divBdr>
        <w:top w:val="none" w:sz="0" w:space="0" w:color="auto"/>
        <w:left w:val="none" w:sz="0" w:space="0" w:color="auto"/>
        <w:bottom w:val="none" w:sz="0" w:space="0" w:color="auto"/>
        <w:right w:val="none" w:sz="0" w:space="0" w:color="auto"/>
      </w:divBdr>
    </w:div>
    <w:div w:id="1170094784">
      <w:bodyDiv w:val="1"/>
      <w:marLeft w:val="0"/>
      <w:marRight w:val="0"/>
      <w:marTop w:val="0"/>
      <w:marBottom w:val="0"/>
      <w:divBdr>
        <w:top w:val="none" w:sz="0" w:space="0" w:color="auto"/>
        <w:left w:val="none" w:sz="0" w:space="0" w:color="auto"/>
        <w:bottom w:val="none" w:sz="0" w:space="0" w:color="auto"/>
        <w:right w:val="none" w:sz="0" w:space="0" w:color="auto"/>
      </w:divBdr>
    </w:div>
    <w:div w:id="1294677399">
      <w:bodyDiv w:val="1"/>
      <w:marLeft w:val="0"/>
      <w:marRight w:val="0"/>
      <w:marTop w:val="0"/>
      <w:marBottom w:val="0"/>
      <w:divBdr>
        <w:top w:val="none" w:sz="0" w:space="0" w:color="auto"/>
        <w:left w:val="none" w:sz="0" w:space="0" w:color="auto"/>
        <w:bottom w:val="none" w:sz="0" w:space="0" w:color="auto"/>
        <w:right w:val="none" w:sz="0" w:space="0" w:color="auto"/>
      </w:divBdr>
      <w:divsChild>
        <w:div w:id="1483935009">
          <w:marLeft w:val="0"/>
          <w:marRight w:val="0"/>
          <w:marTop w:val="0"/>
          <w:marBottom w:val="0"/>
          <w:divBdr>
            <w:top w:val="none" w:sz="0" w:space="0" w:color="auto"/>
            <w:left w:val="none" w:sz="0" w:space="0" w:color="auto"/>
            <w:bottom w:val="none" w:sz="0" w:space="0" w:color="auto"/>
            <w:right w:val="none" w:sz="0" w:space="0" w:color="auto"/>
          </w:divBdr>
          <w:divsChild>
            <w:div w:id="497887063">
              <w:marLeft w:val="0"/>
              <w:marRight w:val="0"/>
              <w:marTop w:val="0"/>
              <w:marBottom w:val="0"/>
              <w:divBdr>
                <w:top w:val="none" w:sz="0" w:space="0" w:color="auto"/>
                <w:left w:val="none" w:sz="0" w:space="0" w:color="auto"/>
                <w:bottom w:val="none" w:sz="0" w:space="0" w:color="auto"/>
                <w:right w:val="none" w:sz="0" w:space="0" w:color="auto"/>
              </w:divBdr>
              <w:divsChild>
                <w:div w:id="51434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699882">
          <w:marLeft w:val="0"/>
          <w:marRight w:val="0"/>
          <w:marTop w:val="0"/>
          <w:marBottom w:val="0"/>
          <w:divBdr>
            <w:top w:val="none" w:sz="0" w:space="0" w:color="auto"/>
            <w:left w:val="none" w:sz="0" w:space="0" w:color="auto"/>
            <w:bottom w:val="none" w:sz="0" w:space="0" w:color="auto"/>
            <w:right w:val="none" w:sz="0" w:space="0" w:color="auto"/>
          </w:divBdr>
          <w:divsChild>
            <w:div w:id="920260697">
              <w:marLeft w:val="0"/>
              <w:marRight w:val="0"/>
              <w:marTop w:val="0"/>
              <w:marBottom w:val="0"/>
              <w:divBdr>
                <w:top w:val="none" w:sz="0" w:space="0" w:color="auto"/>
                <w:left w:val="none" w:sz="0" w:space="0" w:color="auto"/>
                <w:bottom w:val="none" w:sz="0" w:space="0" w:color="auto"/>
                <w:right w:val="none" w:sz="0" w:space="0" w:color="auto"/>
              </w:divBdr>
              <w:divsChild>
                <w:div w:id="833642527">
                  <w:marLeft w:val="0"/>
                  <w:marRight w:val="0"/>
                  <w:marTop w:val="0"/>
                  <w:marBottom w:val="0"/>
                  <w:divBdr>
                    <w:top w:val="none" w:sz="0" w:space="0" w:color="auto"/>
                    <w:left w:val="none" w:sz="0" w:space="0" w:color="auto"/>
                    <w:bottom w:val="none" w:sz="0" w:space="0" w:color="auto"/>
                    <w:right w:val="none" w:sz="0" w:space="0" w:color="auto"/>
                  </w:divBdr>
                </w:div>
              </w:divsChild>
            </w:div>
            <w:div w:id="235944864">
              <w:marLeft w:val="0"/>
              <w:marRight w:val="0"/>
              <w:marTop w:val="0"/>
              <w:marBottom w:val="0"/>
              <w:divBdr>
                <w:top w:val="none" w:sz="0" w:space="0" w:color="auto"/>
                <w:left w:val="none" w:sz="0" w:space="0" w:color="auto"/>
                <w:bottom w:val="none" w:sz="0" w:space="0" w:color="auto"/>
                <w:right w:val="none" w:sz="0" w:space="0" w:color="auto"/>
              </w:divBdr>
              <w:divsChild>
                <w:div w:id="110383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080354">
      <w:bodyDiv w:val="1"/>
      <w:marLeft w:val="0"/>
      <w:marRight w:val="0"/>
      <w:marTop w:val="0"/>
      <w:marBottom w:val="0"/>
      <w:divBdr>
        <w:top w:val="none" w:sz="0" w:space="0" w:color="auto"/>
        <w:left w:val="none" w:sz="0" w:space="0" w:color="auto"/>
        <w:bottom w:val="none" w:sz="0" w:space="0" w:color="auto"/>
        <w:right w:val="none" w:sz="0" w:space="0" w:color="auto"/>
      </w:divBdr>
    </w:div>
    <w:div w:id="1309747547">
      <w:bodyDiv w:val="1"/>
      <w:marLeft w:val="0"/>
      <w:marRight w:val="0"/>
      <w:marTop w:val="0"/>
      <w:marBottom w:val="0"/>
      <w:divBdr>
        <w:top w:val="none" w:sz="0" w:space="0" w:color="auto"/>
        <w:left w:val="none" w:sz="0" w:space="0" w:color="auto"/>
        <w:bottom w:val="none" w:sz="0" w:space="0" w:color="auto"/>
        <w:right w:val="none" w:sz="0" w:space="0" w:color="auto"/>
      </w:divBdr>
    </w:div>
    <w:div w:id="1343506762">
      <w:bodyDiv w:val="1"/>
      <w:marLeft w:val="0"/>
      <w:marRight w:val="0"/>
      <w:marTop w:val="0"/>
      <w:marBottom w:val="0"/>
      <w:divBdr>
        <w:top w:val="none" w:sz="0" w:space="0" w:color="auto"/>
        <w:left w:val="none" w:sz="0" w:space="0" w:color="auto"/>
        <w:bottom w:val="none" w:sz="0" w:space="0" w:color="auto"/>
        <w:right w:val="none" w:sz="0" w:space="0" w:color="auto"/>
      </w:divBdr>
    </w:div>
    <w:div w:id="1364095804">
      <w:bodyDiv w:val="1"/>
      <w:marLeft w:val="0"/>
      <w:marRight w:val="0"/>
      <w:marTop w:val="0"/>
      <w:marBottom w:val="0"/>
      <w:divBdr>
        <w:top w:val="none" w:sz="0" w:space="0" w:color="auto"/>
        <w:left w:val="none" w:sz="0" w:space="0" w:color="auto"/>
        <w:bottom w:val="none" w:sz="0" w:space="0" w:color="auto"/>
        <w:right w:val="none" w:sz="0" w:space="0" w:color="auto"/>
      </w:divBdr>
      <w:divsChild>
        <w:div w:id="923757074">
          <w:marLeft w:val="0"/>
          <w:marRight w:val="0"/>
          <w:marTop w:val="0"/>
          <w:marBottom w:val="0"/>
          <w:divBdr>
            <w:top w:val="none" w:sz="0" w:space="0" w:color="auto"/>
            <w:left w:val="none" w:sz="0" w:space="0" w:color="auto"/>
            <w:bottom w:val="none" w:sz="0" w:space="0" w:color="auto"/>
            <w:right w:val="none" w:sz="0" w:space="0" w:color="auto"/>
          </w:divBdr>
          <w:divsChild>
            <w:div w:id="789905853">
              <w:marLeft w:val="0"/>
              <w:marRight w:val="0"/>
              <w:marTop w:val="0"/>
              <w:marBottom w:val="0"/>
              <w:divBdr>
                <w:top w:val="none" w:sz="0" w:space="0" w:color="auto"/>
                <w:left w:val="none" w:sz="0" w:space="0" w:color="auto"/>
                <w:bottom w:val="none" w:sz="0" w:space="0" w:color="auto"/>
                <w:right w:val="none" w:sz="0" w:space="0" w:color="auto"/>
              </w:divBdr>
              <w:divsChild>
                <w:div w:id="138432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508558">
      <w:bodyDiv w:val="1"/>
      <w:marLeft w:val="0"/>
      <w:marRight w:val="0"/>
      <w:marTop w:val="0"/>
      <w:marBottom w:val="0"/>
      <w:divBdr>
        <w:top w:val="none" w:sz="0" w:space="0" w:color="auto"/>
        <w:left w:val="none" w:sz="0" w:space="0" w:color="auto"/>
        <w:bottom w:val="none" w:sz="0" w:space="0" w:color="auto"/>
        <w:right w:val="none" w:sz="0" w:space="0" w:color="auto"/>
      </w:divBdr>
    </w:div>
    <w:div w:id="1558318324">
      <w:bodyDiv w:val="1"/>
      <w:marLeft w:val="0"/>
      <w:marRight w:val="0"/>
      <w:marTop w:val="0"/>
      <w:marBottom w:val="0"/>
      <w:divBdr>
        <w:top w:val="none" w:sz="0" w:space="0" w:color="auto"/>
        <w:left w:val="none" w:sz="0" w:space="0" w:color="auto"/>
        <w:bottom w:val="none" w:sz="0" w:space="0" w:color="auto"/>
        <w:right w:val="none" w:sz="0" w:space="0" w:color="auto"/>
      </w:divBdr>
    </w:div>
    <w:div w:id="1633635250">
      <w:bodyDiv w:val="1"/>
      <w:marLeft w:val="0"/>
      <w:marRight w:val="0"/>
      <w:marTop w:val="0"/>
      <w:marBottom w:val="0"/>
      <w:divBdr>
        <w:top w:val="none" w:sz="0" w:space="0" w:color="auto"/>
        <w:left w:val="none" w:sz="0" w:space="0" w:color="auto"/>
        <w:bottom w:val="none" w:sz="0" w:space="0" w:color="auto"/>
        <w:right w:val="none" w:sz="0" w:space="0" w:color="auto"/>
      </w:divBdr>
    </w:div>
    <w:div w:id="1875119245">
      <w:bodyDiv w:val="1"/>
      <w:marLeft w:val="0"/>
      <w:marRight w:val="0"/>
      <w:marTop w:val="0"/>
      <w:marBottom w:val="0"/>
      <w:divBdr>
        <w:top w:val="none" w:sz="0" w:space="0" w:color="auto"/>
        <w:left w:val="none" w:sz="0" w:space="0" w:color="auto"/>
        <w:bottom w:val="none" w:sz="0" w:space="0" w:color="auto"/>
        <w:right w:val="none" w:sz="0" w:space="0" w:color="auto"/>
      </w:divBdr>
      <w:divsChild>
        <w:div w:id="927933092">
          <w:marLeft w:val="0"/>
          <w:marRight w:val="0"/>
          <w:marTop w:val="0"/>
          <w:marBottom w:val="0"/>
          <w:divBdr>
            <w:top w:val="none" w:sz="0" w:space="0" w:color="auto"/>
            <w:left w:val="none" w:sz="0" w:space="0" w:color="auto"/>
            <w:bottom w:val="none" w:sz="0" w:space="0" w:color="auto"/>
            <w:right w:val="none" w:sz="0" w:space="0" w:color="auto"/>
          </w:divBdr>
          <w:divsChild>
            <w:div w:id="156770618">
              <w:marLeft w:val="0"/>
              <w:marRight w:val="0"/>
              <w:marTop w:val="0"/>
              <w:marBottom w:val="0"/>
              <w:divBdr>
                <w:top w:val="none" w:sz="0" w:space="0" w:color="auto"/>
                <w:left w:val="none" w:sz="0" w:space="0" w:color="auto"/>
                <w:bottom w:val="none" w:sz="0" w:space="0" w:color="auto"/>
                <w:right w:val="none" w:sz="0" w:space="0" w:color="auto"/>
              </w:divBdr>
              <w:divsChild>
                <w:div w:id="88856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595664">
      <w:bodyDiv w:val="1"/>
      <w:marLeft w:val="0"/>
      <w:marRight w:val="0"/>
      <w:marTop w:val="0"/>
      <w:marBottom w:val="0"/>
      <w:divBdr>
        <w:top w:val="none" w:sz="0" w:space="0" w:color="auto"/>
        <w:left w:val="none" w:sz="0" w:space="0" w:color="auto"/>
        <w:bottom w:val="none" w:sz="0" w:space="0" w:color="auto"/>
        <w:right w:val="none" w:sz="0" w:space="0" w:color="auto"/>
      </w:divBdr>
      <w:divsChild>
        <w:div w:id="382801781">
          <w:marLeft w:val="0"/>
          <w:marRight w:val="0"/>
          <w:marTop w:val="0"/>
          <w:marBottom w:val="0"/>
          <w:divBdr>
            <w:top w:val="none" w:sz="0" w:space="0" w:color="auto"/>
            <w:left w:val="none" w:sz="0" w:space="0" w:color="auto"/>
            <w:bottom w:val="none" w:sz="0" w:space="0" w:color="auto"/>
            <w:right w:val="none" w:sz="0" w:space="0" w:color="auto"/>
          </w:divBdr>
          <w:divsChild>
            <w:div w:id="1855461205">
              <w:marLeft w:val="0"/>
              <w:marRight w:val="0"/>
              <w:marTop w:val="0"/>
              <w:marBottom w:val="0"/>
              <w:divBdr>
                <w:top w:val="none" w:sz="0" w:space="0" w:color="auto"/>
                <w:left w:val="none" w:sz="0" w:space="0" w:color="auto"/>
                <w:bottom w:val="none" w:sz="0" w:space="0" w:color="auto"/>
                <w:right w:val="none" w:sz="0" w:space="0" w:color="auto"/>
              </w:divBdr>
              <w:divsChild>
                <w:div w:id="55176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0045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8</Pages>
  <Words>2890</Words>
  <Characters>16473</Characters>
  <Application>Microsoft Macintosh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Jones (1600460)</dc:creator>
  <cp:keywords/>
  <dc:description/>
  <cp:lastModifiedBy>Callum Jones (1600460)</cp:lastModifiedBy>
  <cp:revision>24</cp:revision>
  <dcterms:created xsi:type="dcterms:W3CDTF">2018-11-16T22:29:00Z</dcterms:created>
  <dcterms:modified xsi:type="dcterms:W3CDTF">2018-11-16T23:22:00Z</dcterms:modified>
</cp:coreProperties>
</file>