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3550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ASSIGNMENT ONE</w:t>
      </w:r>
    </w:p>
    <w:p w14:paraId="6D81277C" w14:textId="77777777" w:rsidR="00F46680" w:rsidRPr="00F46680" w:rsidRDefault="00F46680" w:rsidP="00F46680">
      <w:pPr>
        <w:spacing w:after="0" w:line="240" w:lineRule="auto"/>
        <w:rPr>
          <w:rFonts w:ascii="Calibri" w:eastAsia="Calibri" w:hAnsi="Calibri" w:cs="Times New Roman"/>
          <w:szCs w:val="21"/>
        </w:rPr>
      </w:pPr>
    </w:p>
    <w:p w14:paraId="0ED4A042"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By (Lee Green)</w:t>
      </w:r>
    </w:p>
    <w:p w14:paraId="0E14C026" w14:textId="77777777" w:rsidR="00F46680" w:rsidRPr="00F46680" w:rsidRDefault="00F46680" w:rsidP="00F46680">
      <w:pPr>
        <w:spacing w:after="0" w:line="240" w:lineRule="auto"/>
        <w:rPr>
          <w:rFonts w:ascii="Calibri" w:eastAsia="Calibri" w:hAnsi="Calibri" w:cs="Times New Roman"/>
          <w:szCs w:val="21"/>
        </w:rPr>
      </w:pPr>
    </w:p>
    <w:p w14:paraId="4D1C1FC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4AFD3645" w14:textId="77777777" w:rsidR="00F46680" w:rsidRPr="00F46680" w:rsidRDefault="00F46680" w:rsidP="00F46680">
      <w:pPr>
        <w:spacing w:after="0" w:line="240" w:lineRule="auto"/>
        <w:rPr>
          <w:rFonts w:ascii="Calibri" w:eastAsia="Calibri" w:hAnsi="Calibri" w:cs="Times New Roman"/>
          <w:szCs w:val="21"/>
        </w:rPr>
      </w:pPr>
    </w:p>
    <w:p w14:paraId="6F17C862"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7E6F5733" w14:textId="77777777" w:rsidR="00F46680" w:rsidRPr="00F46680" w:rsidRDefault="00F46680" w:rsidP="00F46680">
      <w:pPr>
        <w:spacing w:after="0" w:line="240" w:lineRule="auto"/>
        <w:rPr>
          <w:rFonts w:ascii="Calibri" w:eastAsia="Calibri" w:hAnsi="Calibri" w:cs="Times New Roman"/>
          <w:szCs w:val="21"/>
        </w:rPr>
      </w:pPr>
    </w:p>
    <w:p w14:paraId="5A1578DC" w14:textId="3A8C7CE8"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04CA776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BMPP5002D: Operational Police Practice 2</w:t>
      </w:r>
    </w:p>
    <w:p w14:paraId="0C4C9EC7" w14:textId="3EA2F058" w:rsidR="00F46680" w:rsidRPr="00F46680" w:rsidRDefault="00F46680" w:rsidP="00F46680">
      <w:pPr>
        <w:spacing w:after="0" w:line="240" w:lineRule="auto"/>
        <w:rPr>
          <w:rFonts w:ascii="Calibri" w:eastAsia="Calibri" w:hAnsi="Calibri" w:cs="Times New Roman"/>
          <w:szCs w:val="21"/>
        </w:rPr>
      </w:pPr>
    </w:p>
    <w:p w14:paraId="7273F282" w14:textId="77777777" w:rsidR="00F46680" w:rsidRPr="00F46680" w:rsidRDefault="00F46680" w:rsidP="00F46680">
      <w:pPr>
        <w:spacing w:after="0" w:line="240" w:lineRule="auto"/>
        <w:rPr>
          <w:rFonts w:ascii="Calibri" w:eastAsia="Calibri" w:hAnsi="Calibri" w:cs="Times New Roman"/>
          <w:szCs w:val="21"/>
        </w:rPr>
      </w:pPr>
    </w:p>
    <w:p w14:paraId="652B6A9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4DA555B5" w14:textId="77777777" w:rsidR="00F46680" w:rsidRPr="00F46680" w:rsidRDefault="00F46680" w:rsidP="00F46680">
      <w:pPr>
        <w:spacing w:after="0" w:line="240" w:lineRule="auto"/>
        <w:rPr>
          <w:rFonts w:ascii="Calibri" w:eastAsia="Calibri" w:hAnsi="Calibri" w:cs="Times New Roman"/>
          <w:szCs w:val="21"/>
        </w:rPr>
      </w:pPr>
    </w:p>
    <w:p w14:paraId="5AD5F0B2"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Essay One</w:t>
      </w:r>
    </w:p>
    <w:p w14:paraId="5C7FC4BD" w14:textId="77777777" w:rsidR="00F46680" w:rsidRPr="00F46680" w:rsidRDefault="00F46680" w:rsidP="00F46680">
      <w:pPr>
        <w:spacing w:after="0" w:line="240" w:lineRule="auto"/>
        <w:rPr>
          <w:rFonts w:ascii="Calibri" w:eastAsia="Calibri" w:hAnsi="Calibri" w:cs="Times New Roman"/>
          <w:szCs w:val="21"/>
        </w:rPr>
      </w:pPr>
    </w:p>
    <w:p w14:paraId="2CAB6BF7" w14:textId="56D11181"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Code of Ethic’s Role in Reducing Professional Misconduct and Boosting Public Confidence in the Police</w:t>
      </w:r>
    </w:p>
    <w:p w14:paraId="4759AC63" w14:textId="77777777" w:rsidR="00F46680" w:rsidRPr="00F46680" w:rsidRDefault="00F46680" w:rsidP="00F46680">
      <w:pPr>
        <w:spacing w:after="0" w:line="240" w:lineRule="auto"/>
        <w:rPr>
          <w:rFonts w:ascii="Calibri" w:eastAsia="Calibri" w:hAnsi="Calibri" w:cs="Times New Roman"/>
          <w:szCs w:val="21"/>
        </w:rPr>
      </w:pPr>
    </w:p>
    <w:p w14:paraId="56371AA5"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The Code of Ethics acts as a basis for guiding professional conduct across distinct fields, including law enforcement. Its fundamental objectives are establishing ethical principles and standards for professionals while promoting public confidence and trust in their actions. Within the policing landscape, a robust and methodically enforced Code of Ethics holds significant potential in minimising professional misconduct cases and boosting faith in the police force (Perez and Moore, 2012). This essay explores the multidimensional ways through which a Code of Ethics acts as a powerful mechanism against misconduct, reinforces accountability, and contributes to the renewal of public confidence in law enforcement. </w:t>
      </w:r>
    </w:p>
    <w:p w14:paraId="1B060D20" w14:textId="77777777" w:rsidR="00F46680" w:rsidRPr="00F46680" w:rsidRDefault="00F46680" w:rsidP="00F46680">
      <w:pPr>
        <w:spacing w:after="0" w:line="240" w:lineRule="auto"/>
        <w:rPr>
          <w:rFonts w:ascii="Calibri" w:eastAsia="Calibri" w:hAnsi="Calibri" w:cs="Times New Roman"/>
          <w:szCs w:val="21"/>
        </w:rPr>
      </w:pPr>
    </w:p>
    <w:p w14:paraId="52324EA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Defining the Code of Ethics in Policing</w:t>
      </w:r>
    </w:p>
    <w:p w14:paraId="6F004830" w14:textId="77777777" w:rsidR="00F46680" w:rsidRPr="00F46680" w:rsidRDefault="00F46680" w:rsidP="00F46680">
      <w:pPr>
        <w:spacing w:after="0" w:line="240" w:lineRule="auto"/>
        <w:rPr>
          <w:rFonts w:ascii="Calibri" w:eastAsia="Calibri" w:hAnsi="Calibri" w:cs="Times New Roman"/>
          <w:szCs w:val="21"/>
        </w:rPr>
      </w:pPr>
    </w:p>
    <w:p w14:paraId="78DE4C60"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Code of Ethics is a pivotal document highlighting moral values, standards, and principles for professionals in numerous fields. It acts as an essential tool for developing ethical benchmarks and guiding police conduct amidst changing societal expectations (Delattre, 2002). Throughout history, law enforcement agencies have recognised the significance of a Code of Ethics (Corey et al., 2014). These documents define ethical behaviour and promote accountability and self-regulation within the profession. The Code’s essence lies in instilling responsibility, duty, and a moral compass in officers, minimising the odds of professional misconduct.</w:t>
      </w:r>
    </w:p>
    <w:p w14:paraId="0324F14B" w14:textId="77777777" w:rsidR="00F46680" w:rsidRPr="00F46680" w:rsidRDefault="00F46680" w:rsidP="00F46680">
      <w:pPr>
        <w:spacing w:after="0" w:line="240" w:lineRule="auto"/>
        <w:rPr>
          <w:rFonts w:ascii="Calibri" w:eastAsia="Calibri" w:hAnsi="Calibri" w:cs="Times New Roman"/>
          <w:szCs w:val="21"/>
        </w:rPr>
      </w:pPr>
    </w:p>
    <w:p w14:paraId="3B498BC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Alleviating Professional Misconduct</w:t>
      </w:r>
    </w:p>
    <w:p w14:paraId="0F855B92" w14:textId="77777777" w:rsidR="00F46680" w:rsidRPr="00F46680" w:rsidRDefault="00F46680" w:rsidP="00F46680">
      <w:pPr>
        <w:spacing w:after="0" w:line="240" w:lineRule="auto"/>
        <w:rPr>
          <w:rFonts w:ascii="Calibri" w:eastAsia="Calibri" w:hAnsi="Calibri" w:cs="Times New Roman"/>
          <w:szCs w:val="21"/>
        </w:rPr>
      </w:pPr>
    </w:p>
    <w:p w14:paraId="0A16B294"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A well-structured Code of Ethics is an effective tool for averting professional misconduct in the police force. It realises this by providing unambiguous guidelines that officers are required to follow. These guidelines are a beacon, highlighting the path toward ethical conduct and defining the boundaries of acceptable behaviour (Gilman, 2005). Officers who comprehend and internalise these principles have a less propensity to indulge in misconduct because they have a solid foundation of ethical values to influence their actions. </w:t>
      </w:r>
    </w:p>
    <w:p w14:paraId="23CD96A2" w14:textId="77777777" w:rsidR="00F46680" w:rsidRPr="00F46680" w:rsidRDefault="00F46680" w:rsidP="00F46680">
      <w:pPr>
        <w:spacing w:after="0" w:line="240" w:lineRule="auto"/>
        <w:rPr>
          <w:rFonts w:ascii="Calibri" w:eastAsia="Calibri" w:hAnsi="Calibri" w:cs="Times New Roman"/>
          <w:szCs w:val="21"/>
        </w:rPr>
      </w:pPr>
    </w:p>
    <w:p w14:paraId="2118878A"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Fostering accountability and integrity is another essential aspect of the Code of Ethics. By outlining the ethical standards that officers must adhere to, this code helps set expectations and encourages officers to act in a way that aligns with these values (Gilman, 2005). It also promotes a culture of responsibility in the police force, where all officers are accountable to their superiors and the </w:t>
      </w:r>
      <w:r w:rsidRPr="00F46680">
        <w:rPr>
          <w:rFonts w:ascii="Calibri" w:eastAsia="Calibri" w:hAnsi="Calibri" w:cs="Times New Roman"/>
          <w:szCs w:val="21"/>
        </w:rPr>
        <w:lastRenderedPageBreak/>
        <w:t>communities they serve. This accountability extends to their decisions, actions, and interactions with the public, resulting in a significant reduction in misconduct incidences.</w:t>
      </w:r>
    </w:p>
    <w:p w14:paraId="451485EF" w14:textId="77777777" w:rsidR="00F46680" w:rsidRPr="00F46680" w:rsidRDefault="00F46680" w:rsidP="00F46680">
      <w:pPr>
        <w:spacing w:after="0" w:line="240" w:lineRule="auto"/>
        <w:rPr>
          <w:rFonts w:ascii="Calibri" w:eastAsia="Calibri" w:hAnsi="Calibri" w:cs="Times New Roman"/>
          <w:szCs w:val="21"/>
        </w:rPr>
      </w:pPr>
    </w:p>
    <w:p w14:paraId="3F6302A2"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Continuous education and training are vital to ensure that officers fully understand and incorporate the principles of the Code of Ethics into their daily practices. Consistent training sessions equip officers with opportunities to improve their decision-making proficiency, discuss real-world scenarios, and reflect on ethical dilemmas (Blumberg et al., 2019, p.4941). This ongoing learning process underpins ethical principles, making them a facet of an officer’s professional identity. Consequently, officers are better empowered to make ethical decisions in the face of challenging situations, further minimising misconduct incidences.</w:t>
      </w:r>
    </w:p>
    <w:p w14:paraId="5468CE67" w14:textId="77777777" w:rsidR="00F46680" w:rsidRPr="00F46680" w:rsidRDefault="00F46680" w:rsidP="00F46680">
      <w:pPr>
        <w:spacing w:after="0" w:line="240" w:lineRule="auto"/>
        <w:rPr>
          <w:rFonts w:ascii="Calibri" w:eastAsia="Calibri" w:hAnsi="Calibri" w:cs="Times New Roman"/>
          <w:szCs w:val="21"/>
        </w:rPr>
      </w:pPr>
    </w:p>
    <w:p w14:paraId="53C31F2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Accountability Mechanisms</w:t>
      </w:r>
    </w:p>
    <w:p w14:paraId="7F9018C6" w14:textId="77777777" w:rsidR="00F46680" w:rsidRPr="00F46680" w:rsidRDefault="00F46680" w:rsidP="00F46680">
      <w:pPr>
        <w:spacing w:after="0" w:line="240" w:lineRule="auto"/>
        <w:rPr>
          <w:rFonts w:ascii="Calibri" w:eastAsia="Calibri" w:hAnsi="Calibri" w:cs="Times New Roman"/>
          <w:szCs w:val="21"/>
        </w:rPr>
      </w:pPr>
    </w:p>
    <w:p w14:paraId="561367C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Effective accountability mechanisms immensely improve the efficacy of a Code of Ethics in alleviating professional misconduct within law enforcement. Internally, police departments create specialised units, including internal affairs, which are responsible for objectively investigating misconduct allegations (National Research Council, 2004). These units serve as a deterrent and tangible show of the dedication to adhere to ethical standards. When officers comprehend that their actions will be scrutinised within their organisations, they are more likely to uphold the ethical principles outlined in the Code of Ethics.</w:t>
      </w:r>
    </w:p>
    <w:p w14:paraId="418217B0" w14:textId="77777777" w:rsidR="00F46680" w:rsidRPr="00F46680" w:rsidRDefault="00F46680" w:rsidP="00F46680">
      <w:pPr>
        <w:spacing w:after="0" w:line="240" w:lineRule="auto"/>
        <w:rPr>
          <w:rFonts w:ascii="Calibri" w:eastAsia="Calibri" w:hAnsi="Calibri" w:cs="Times New Roman"/>
          <w:szCs w:val="21"/>
        </w:rPr>
      </w:pPr>
    </w:p>
    <w:p w14:paraId="36D38A3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External oversight mechanisms, including citizen oversight committees and independent review boards, are vital in maintaining public trust and confidence. They promote fairness and transparency in investigations, instilling confidence that misconduct will not go unpunished (National Research Council, 2004). The awareness that external bodies closely observe police conduct serves as a strong deterrent, as officers acknowledge the broader community’s engagement in holding them accountable.</w:t>
      </w:r>
    </w:p>
    <w:p w14:paraId="6C6A1A33" w14:textId="77777777" w:rsidR="00F46680" w:rsidRPr="00F46680" w:rsidRDefault="00F46680" w:rsidP="00F46680">
      <w:pPr>
        <w:spacing w:after="0" w:line="240" w:lineRule="auto"/>
        <w:rPr>
          <w:rFonts w:ascii="Calibri" w:eastAsia="Calibri" w:hAnsi="Calibri" w:cs="Times New Roman"/>
          <w:szCs w:val="21"/>
        </w:rPr>
      </w:pPr>
    </w:p>
    <w:p w14:paraId="3D7BF58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Legal repercussions further boost accountability. Officers who indulge in misconduct may face civil and criminal liability for their mistakes (</w:t>
      </w:r>
      <w:proofErr w:type="spellStart"/>
      <w:r w:rsidRPr="00F46680">
        <w:rPr>
          <w:rFonts w:ascii="Calibri" w:eastAsia="Calibri" w:hAnsi="Calibri" w:cs="Times New Roman"/>
          <w:szCs w:val="21"/>
        </w:rPr>
        <w:t>Chattha</w:t>
      </w:r>
      <w:proofErr w:type="spellEnd"/>
      <w:r w:rsidRPr="00F46680">
        <w:rPr>
          <w:rFonts w:ascii="Calibri" w:eastAsia="Calibri" w:hAnsi="Calibri" w:cs="Times New Roman"/>
          <w:szCs w:val="21"/>
        </w:rPr>
        <w:t xml:space="preserve"> &amp; </w:t>
      </w:r>
      <w:proofErr w:type="spellStart"/>
      <w:r w:rsidRPr="00F46680">
        <w:rPr>
          <w:rFonts w:ascii="Calibri" w:eastAsia="Calibri" w:hAnsi="Calibri" w:cs="Times New Roman"/>
          <w:szCs w:val="21"/>
        </w:rPr>
        <w:t>Ivkovic</w:t>
      </w:r>
      <w:proofErr w:type="spellEnd"/>
      <w:r w:rsidRPr="00F46680">
        <w:rPr>
          <w:rFonts w:ascii="Calibri" w:eastAsia="Calibri" w:hAnsi="Calibri" w:cs="Times New Roman"/>
          <w:szCs w:val="21"/>
        </w:rPr>
        <w:t xml:space="preserve">, 2003, p.175). This acts as a potent deterrent, pushing officers to think critically before deviating from the ethical standards highlighted in the Code of Ethics (Blumberg et al., 2019, p.4941). The fear of legal consequences underpins the importance of upholding these principles, promoting a culture of ethical behaviour in law </w:t>
      </w:r>
      <w:proofErr w:type="gramStart"/>
      <w:r w:rsidRPr="00F46680">
        <w:rPr>
          <w:rFonts w:ascii="Calibri" w:eastAsia="Calibri" w:hAnsi="Calibri" w:cs="Times New Roman"/>
          <w:szCs w:val="21"/>
        </w:rPr>
        <w:t>enforcement</w:t>
      </w:r>
      <w:proofErr w:type="gramEnd"/>
      <w:r w:rsidRPr="00F46680">
        <w:rPr>
          <w:rFonts w:ascii="Calibri" w:eastAsia="Calibri" w:hAnsi="Calibri" w:cs="Times New Roman"/>
          <w:szCs w:val="21"/>
        </w:rPr>
        <w:t xml:space="preserve"> and reassuring the public of the dedication to integrity and justice.</w:t>
      </w:r>
    </w:p>
    <w:p w14:paraId="57876EE5" w14:textId="77777777" w:rsidR="00F46680" w:rsidRPr="00F46680" w:rsidRDefault="00F46680" w:rsidP="00F46680">
      <w:pPr>
        <w:spacing w:after="0" w:line="240" w:lineRule="auto"/>
        <w:rPr>
          <w:rFonts w:ascii="Calibri" w:eastAsia="Calibri" w:hAnsi="Calibri" w:cs="Times New Roman"/>
          <w:szCs w:val="21"/>
        </w:rPr>
      </w:pPr>
    </w:p>
    <w:p w14:paraId="01B6372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Rebuilding Public Confidence</w:t>
      </w:r>
    </w:p>
    <w:p w14:paraId="466DFB6D" w14:textId="77777777" w:rsidR="00F46680" w:rsidRPr="00F46680" w:rsidRDefault="00F46680" w:rsidP="00F46680">
      <w:pPr>
        <w:spacing w:after="0" w:line="240" w:lineRule="auto"/>
        <w:rPr>
          <w:rFonts w:ascii="Calibri" w:eastAsia="Calibri" w:hAnsi="Calibri" w:cs="Times New Roman"/>
          <w:szCs w:val="21"/>
        </w:rPr>
      </w:pPr>
    </w:p>
    <w:p w14:paraId="045369E8"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Rebuilding public trust in law enforcement is imperative, particularly in the aftermath of power abuse or misconduct incidents. A well-outlined Code of Ethics plays a vital role in this effort by fostering restorative justice, transparency, and community-focused policing (Keenan &amp; Walker, 2004, p. 185). Communication and transparency are significant elements in regaining public confidence and trust. Law enforcement agencies must openly divulge information regarding misconduct investigations and their results (Keenan &amp; Walker, 2004, p. 185). Such transparency demonstrates a dedication to accountability and assures the public that misconduct will not go unchecked. Engaging with the community through communication and dialogue further bolsters the bonds of trust between the public and law enforcement.</w:t>
      </w:r>
    </w:p>
    <w:p w14:paraId="0F12A394" w14:textId="77777777" w:rsidR="00F46680" w:rsidRPr="00F46680" w:rsidRDefault="00F46680" w:rsidP="00F46680">
      <w:pPr>
        <w:spacing w:after="0" w:line="240" w:lineRule="auto"/>
        <w:rPr>
          <w:rFonts w:ascii="Calibri" w:eastAsia="Calibri" w:hAnsi="Calibri" w:cs="Times New Roman"/>
          <w:szCs w:val="21"/>
        </w:rPr>
      </w:pPr>
    </w:p>
    <w:p w14:paraId="591A246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Restorative justice initiatives are transformative in renewing public trust. Recognising past misconduct and addressing its repercussions is vital. Community-based programs that encompass law enforcement officers partnering with the public to address local concerns close gaps and rebuild </w:t>
      </w:r>
      <w:r w:rsidRPr="00F46680">
        <w:rPr>
          <w:rFonts w:ascii="Calibri" w:eastAsia="Calibri" w:hAnsi="Calibri" w:cs="Times New Roman"/>
          <w:szCs w:val="21"/>
        </w:rPr>
        <w:lastRenderedPageBreak/>
        <w:t xml:space="preserve">confidence (National Research Council, 2004). These programs change the focus from punishment to collaborative decision-making, accentuating community policing. </w:t>
      </w:r>
    </w:p>
    <w:p w14:paraId="5AF27F3E" w14:textId="77777777" w:rsidR="00F46680" w:rsidRPr="00F46680" w:rsidRDefault="00F46680" w:rsidP="00F46680">
      <w:pPr>
        <w:spacing w:after="0" w:line="240" w:lineRule="auto"/>
        <w:rPr>
          <w:rFonts w:ascii="Calibri" w:eastAsia="Calibri" w:hAnsi="Calibri" w:cs="Times New Roman"/>
          <w:szCs w:val="21"/>
        </w:rPr>
      </w:pPr>
    </w:p>
    <w:p w14:paraId="24085DD8"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Community policing, which underscores collaboration and partnership between communities and law enforcement, is critical in reinstating public confidence. Engaging the public in decision-making and tackling neighbourhood-specific concerns showcases a commitment to protecting and serving the </w:t>
      </w:r>
      <w:proofErr w:type="gramStart"/>
      <w:r w:rsidRPr="00F46680">
        <w:rPr>
          <w:rFonts w:ascii="Calibri" w:eastAsia="Calibri" w:hAnsi="Calibri" w:cs="Times New Roman"/>
          <w:szCs w:val="21"/>
        </w:rPr>
        <w:t>public(</w:t>
      </w:r>
      <w:proofErr w:type="gramEnd"/>
      <w:r w:rsidRPr="00F46680">
        <w:rPr>
          <w:rFonts w:ascii="Calibri" w:eastAsia="Calibri" w:hAnsi="Calibri" w:cs="Times New Roman"/>
          <w:szCs w:val="21"/>
        </w:rPr>
        <w:t xml:space="preserve">National Research Council, 2004). Fostering positive relationships promotes trust, encouraging individuals to view law enforcement as allies and not antagonists. </w:t>
      </w:r>
    </w:p>
    <w:p w14:paraId="7004E5A8" w14:textId="77777777" w:rsidR="00F46680" w:rsidRPr="00F46680" w:rsidRDefault="00F46680" w:rsidP="00F46680">
      <w:pPr>
        <w:spacing w:after="0" w:line="240" w:lineRule="auto"/>
        <w:rPr>
          <w:rFonts w:ascii="Calibri" w:eastAsia="Calibri" w:hAnsi="Calibri" w:cs="Times New Roman"/>
          <w:szCs w:val="21"/>
        </w:rPr>
      </w:pPr>
    </w:p>
    <w:p w14:paraId="06EB551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Conclusion</w:t>
      </w:r>
    </w:p>
    <w:p w14:paraId="0D2C4553" w14:textId="77777777" w:rsidR="00F46680" w:rsidRPr="00F46680" w:rsidRDefault="00F46680" w:rsidP="00F46680">
      <w:pPr>
        <w:spacing w:after="0" w:line="240" w:lineRule="auto"/>
        <w:rPr>
          <w:rFonts w:ascii="Calibri" w:eastAsia="Calibri" w:hAnsi="Calibri" w:cs="Times New Roman"/>
          <w:szCs w:val="21"/>
        </w:rPr>
      </w:pPr>
    </w:p>
    <w:p w14:paraId="766C3F3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A Code of Ethics is a powerful tool for minimising professional misconduct and reinstating public confidence in law enforcement. It offers clear principles, promoting accountability and integrity among officers. External and internal accountability mechanisms further promote responsibility, while legal repercussions act as a deterrent. Rebuilding public confidence hinges on community-oriented policing, restorative justice, and transparency, all facilitated by a robust Code of Ethics. This ethical framework acts as the groundwork, propelling officers towards ethical conduct and fortifying transparency and accountability principles in law enforcement.</w:t>
      </w:r>
    </w:p>
    <w:p w14:paraId="31C123ED" w14:textId="77777777" w:rsidR="00F46680" w:rsidRPr="00F46680" w:rsidRDefault="00F46680" w:rsidP="00F46680">
      <w:pPr>
        <w:spacing w:after="0" w:line="240" w:lineRule="auto"/>
        <w:rPr>
          <w:rFonts w:ascii="Calibri" w:eastAsia="Calibri" w:hAnsi="Calibri" w:cs="Times New Roman"/>
          <w:szCs w:val="21"/>
        </w:rPr>
      </w:pPr>
    </w:p>
    <w:p w14:paraId="598C0EF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References</w:t>
      </w:r>
    </w:p>
    <w:p w14:paraId="6D261734" w14:textId="77777777" w:rsidR="00F46680" w:rsidRPr="00F46680" w:rsidRDefault="00F46680" w:rsidP="00F46680">
      <w:pPr>
        <w:spacing w:after="0" w:line="240" w:lineRule="auto"/>
        <w:rPr>
          <w:rFonts w:ascii="Calibri" w:eastAsia="Calibri" w:hAnsi="Calibri" w:cs="Times New Roman"/>
          <w:szCs w:val="21"/>
        </w:rPr>
      </w:pPr>
    </w:p>
    <w:p w14:paraId="6955160E" w14:textId="77777777" w:rsidR="00F46680" w:rsidRPr="00F46680" w:rsidRDefault="00F46680" w:rsidP="00F46680">
      <w:pPr>
        <w:spacing w:after="0" w:line="240" w:lineRule="auto"/>
        <w:rPr>
          <w:rFonts w:ascii="Calibri" w:eastAsia="Calibri" w:hAnsi="Calibri" w:cs="Times New Roman"/>
          <w:szCs w:val="21"/>
        </w:rPr>
      </w:pPr>
      <w:proofErr w:type="spellStart"/>
      <w:r w:rsidRPr="00F46680">
        <w:rPr>
          <w:rFonts w:ascii="Calibri" w:eastAsia="Calibri" w:hAnsi="Calibri" w:cs="Times New Roman"/>
          <w:szCs w:val="21"/>
        </w:rPr>
        <w:t>Chattha</w:t>
      </w:r>
      <w:proofErr w:type="spellEnd"/>
      <w:r w:rsidRPr="00F46680">
        <w:rPr>
          <w:rFonts w:ascii="Calibri" w:eastAsia="Calibri" w:hAnsi="Calibri" w:cs="Times New Roman"/>
          <w:szCs w:val="21"/>
        </w:rPr>
        <w:t xml:space="preserve">, Z.N. and </w:t>
      </w:r>
      <w:proofErr w:type="spellStart"/>
      <w:r w:rsidRPr="00F46680">
        <w:rPr>
          <w:rFonts w:ascii="Calibri" w:eastAsia="Calibri" w:hAnsi="Calibri" w:cs="Times New Roman"/>
          <w:szCs w:val="21"/>
        </w:rPr>
        <w:t>Ivkovic</w:t>
      </w:r>
      <w:proofErr w:type="spellEnd"/>
      <w:r w:rsidRPr="00F46680">
        <w:rPr>
          <w:rFonts w:ascii="Calibri" w:eastAsia="Calibri" w:hAnsi="Calibri" w:cs="Times New Roman"/>
          <w:szCs w:val="21"/>
        </w:rPr>
        <w:t>, S.K., 2003. Police Misconduct. The contours of police integrity, p.175.</w:t>
      </w:r>
    </w:p>
    <w:p w14:paraId="003C1425" w14:textId="77777777" w:rsidR="00F46680" w:rsidRPr="00F46680" w:rsidRDefault="00F46680" w:rsidP="00F46680">
      <w:pPr>
        <w:spacing w:after="0" w:line="240" w:lineRule="auto"/>
        <w:rPr>
          <w:rFonts w:ascii="Calibri" w:eastAsia="Calibri" w:hAnsi="Calibri" w:cs="Times New Roman"/>
          <w:szCs w:val="21"/>
        </w:rPr>
      </w:pPr>
    </w:p>
    <w:p w14:paraId="1BDD88F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Corey, G., Corey, M.S., Corey, C. and Callanan, P., 2014. Issues and ethics in the helping professions, updated with 2014 ACA codes. Cengage Learning. </w:t>
      </w:r>
    </w:p>
    <w:p w14:paraId="1CDD1892" w14:textId="77777777" w:rsidR="00F46680" w:rsidRPr="00F46680" w:rsidRDefault="00F46680" w:rsidP="00F46680">
      <w:pPr>
        <w:spacing w:after="0" w:line="240" w:lineRule="auto"/>
        <w:rPr>
          <w:rFonts w:ascii="Calibri" w:eastAsia="Calibri" w:hAnsi="Calibri" w:cs="Times New Roman"/>
          <w:szCs w:val="21"/>
        </w:rPr>
      </w:pPr>
    </w:p>
    <w:p w14:paraId="690465EA"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Delattre, E.J., 2002. Character and cops: Ethics in policing. American Enterprise Institute.</w:t>
      </w:r>
    </w:p>
    <w:p w14:paraId="68C6A9C8" w14:textId="77777777" w:rsidR="00F46680" w:rsidRPr="00F46680" w:rsidRDefault="00F46680" w:rsidP="00F46680">
      <w:pPr>
        <w:spacing w:after="0" w:line="240" w:lineRule="auto"/>
        <w:rPr>
          <w:rFonts w:ascii="Calibri" w:eastAsia="Calibri" w:hAnsi="Calibri" w:cs="Times New Roman"/>
          <w:szCs w:val="21"/>
        </w:rPr>
      </w:pPr>
    </w:p>
    <w:p w14:paraId="286C4D7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Gilman, S.C., 2005. Ethics codes and codes of conduct as tools for promoting an ethical and professional public service: Comparative successes and lessons. Prepared for the PREM, the World Bank.</w:t>
      </w:r>
    </w:p>
    <w:p w14:paraId="5DE40EEA" w14:textId="77777777" w:rsidR="00F46680" w:rsidRPr="00F46680" w:rsidRDefault="00F46680" w:rsidP="00F46680">
      <w:pPr>
        <w:spacing w:after="0" w:line="240" w:lineRule="auto"/>
        <w:rPr>
          <w:rFonts w:ascii="Calibri" w:eastAsia="Calibri" w:hAnsi="Calibri" w:cs="Times New Roman"/>
          <w:szCs w:val="21"/>
        </w:rPr>
      </w:pPr>
    </w:p>
    <w:p w14:paraId="111D148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National Research Council, 2004. Fairness and effectiveness in policing: The evidence. National Academies Press. </w:t>
      </w:r>
    </w:p>
    <w:p w14:paraId="23AA547E" w14:textId="77777777" w:rsidR="00F46680" w:rsidRPr="00F46680" w:rsidRDefault="00F46680" w:rsidP="00F46680">
      <w:pPr>
        <w:spacing w:after="0" w:line="240" w:lineRule="auto"/>
        <w:rPr>
          <w:rFonts w:ascii="Calibri" w:eastAsia="Calibri" w:hAnsi="Calibri" w:cs="Times New Roman"/>
          <w:szCs w:val="21"/>
        </w:rPr>
      </w:pPr>
    </w:p>
    <w:p w14:paraId="5878357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Perez, D.W. and Moore, J.A., 2012. Police Ethics. Cengage Learning. </w:t>
      </w:r>
    </w:p>
    <w:p w14:paraId="16A92D2B" w14:textId="77777777" w:rsidR="00F46680" w:rsidRPr="00F46680" w:rsidRDefault="00F46680" w:rsidP="00F46680">
      <w:pPr>
        <w:spacing w:after="0" w:line="240" w:lineRule="auto"/>
        <w:rPr>
          <w:rFonts w:ascii="Calibri" w:eastAsia="Calibri" w:hAnsi="Calibri" w:cs="Times New Roman"/>
          <w:szCs w:val="21"/>
        </w:rPr>
      </w:pPr>
    </w:p>
    <w:p w14:paraId="733690E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Essay Two</w:t>
      </w:r>
    </w:p>
    <w:p w14:paraId="0F61D64C" w14:textId="77777777" w:rsidR="00F46680" w:rsidRPr="00F46680" w:rsidRDefault="00F46680" w:rsidP="00F46680">
      <w:pPr>
        <w:spacing w:after="0" w:line="240" w:lineRule="auto"/>
        <w:rPr>
          <w:rFonts w:ascii="Calibri" w:eastAsia="Calibri" w:hAnsi="Calibri" w:cs="Times New Roman"/>
          <w:szCs w:val="21"/>
        </w:rPr>
      </w:pPr>
    </w:p>
    <w:p w14:paraId="3766D62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The Efficacy of a Multi-Agency Approach in Managing Violent and Sexual Offenders</w:t>
      </w:r>
    </w:p>
    <w:p w14:paraId="7F31BCDA" w14:textId="77777777" w:rsidR="00F46680" w:rsidRPr="00F46680" w:rsidRDefault="00F46680" w:rsidP="00F46680">
      <w:pPr>
        <w:spacing w:after="0" w:line="240" w:lineRule="auto"/>
        <w:rPr>
          <w:rFonts w:ascii="Calibri" w:eastAsia="Calibri" w:hAnsi="Calibri" w:cs="Times New Roman"/>
          <w:szCs w:val="21"/>
        </w:rPr>
      </w:pPr>
    </w:p>
    <w:p w14:paraId="3226E39E" w14:textId="0A67736B"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Violent and sexual offenders’ management poses a massive challenge to the criminal justice system and society. Usually, these individuals require an intricate and multidimensional approach to minimise the risk they pose to society and to assist in their reintegration and rehabilitation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McCartan, 2014, p. 218). One approach that has garnered popularity in recent decades is the multi-agency approach, which encompasses various professionals and agencies collaborating to tackle the diverse aspects of an offender’s behaviour and life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McCartan, 2014, p. 218). This essay delves into the efficacy of a multi-agency approach in managing sexual and violent offenders, considering its strengths and drawbacks, and providing insights into its potential for boosting public safety and offender rehabilitation.</w:t>
      </w:r>
    </w:p>
    <w:p w14:paraId="18F6F7F2" w14:textId="77777777" w:rsidR="00F46680" w:rsidRPr="00F46680" w:rsidRDefault="00F46680" w:rsidP="00F46680">
      <w:pPr>
        <w:spacing w:after="0" w:line="240" w:lineRule="auto"/>
        <w:rPr>
          <w:rFonts w:ascii="Calibri" w:eastAsia="Calibri" w:hAnsi="Calibri" w:cs="Times New Roman"/>
          <w:szCs w:val="21"/>
        </w:rPr>
      </w:pPr>
    </w:p>
    <w:p w14:paraId="5592C6B2"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lastRenderedPageBreak/>
        <w:t>The Intricate Nature of Violent and Sexual Offenders</w:t>
      </w:r>
    </w:p>
    <w:p w14:paraId="7ADD74F3" w14:textId="77777777" w:rsidR="00F46680" w:rsidRPr="00F46680" w:rsidRDefault="00F46680" w:rsidP="00F46680">
      <w:pPr>
        <w:spacing w:after="0" w:line="240" w:lineRule="auto"/>
        <w:rPr>
          <w:rFonts w:ascii="Calibri" w:eastAsia="Calibri" w:hAnsi="Calibri" w:cs="Times New Roman"/>
          <w:szCs w:val="21"/>
        </w:rPr>
      </w:pPr>
    </w:p>
    <w:p w14:paraId="1CDC89C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Before exploring the efficiency of a multi-agency approach, it is pivotal to comprehend the complex nature of sexual and violent offenders. These individuals usually have a history of sexual deviance, violence, and antisocial behaviour that necessitates a comprehensive response (McCuish et al., 2015, p. 420). The risk they pose to society differs, and their treatment and rehabilitation needs can be extensive.</w:t>
      </w:r>
    </w:p>
    <w:p w14:paraId="539DBE81" w14:textId="77777777" w:rsidR="00F46680" w:rsidRPr="00F46680" w:rsidRDefault="00F46680" w:rsidP="00F46680">
      <w:pPr>
        <w:spacing w:after="0" w:line="240" w:lineRule="auto"/>
        <w:rPr>
          <w:rFonts w:ascii="Calibri" w:eastAsia="Calibri" w:hAnsi="Calibri" w:cs="Times New Roman"/>
          <w:szCs w:val="21"/>
        </w:rPr>
      </w:pPr>
    </w:p>
    <w:p w14:paraId="65A22B5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Risk Management and Comprehensive Assessment</w:t>
      </w:r>
    </w:p>
    <w:p w14:paraId="19655F3B" w14:textId="77777777" w:rsidR="00F46680" w:rsidRPr="00F46680" w:rsidRDefault="00F46680" w:rsidP="00F46680">
      <w:pPr>
        <w:spacing w:after="0" w:line="240" w:lineRule="auto"/>
        <w:rPr>
          <w:rFonts w:ascii="Calibri" w:eastAsia="Calibri" w:hAnsi="Calibri" w:cs="Times New Roman"/>
          <w:szCs w:val="21"/>
        </w:rPr>
      </w:pPr>
    </w:p>
    <w:p w14:paraId="61031DD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One of the main benefits of a multi-agency approach is its capacity to offer a nuanced assessment of sexual and violent offenders. By engaging professionals from diverse fields, such as social services, mental health, and law enforcement, a more holistic and accurate understanding of an offender’s risk factors and needs can be realised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McCartan, 2014). This nuanced assessment is pivotal in establishing effective risk management strategies. A multi-agency team can assess an offender’s social support systems, substance abuse history, and psychological profile. This information aids in tailoring interventions that address their offending behaviours’ root causes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McCartan, 2014). For instance, an offender with a history of childhood trauma may necessitate specialised therapy to tackle the underlying emotional issues contributing to their behaviour.</w:t>
      </w:r>
    </w:p>
    <w:p w14:paraId="4F9DB9C5" w14:textId="77777777" w:rsidR="00F46680" w:rsidRPr="00F46680" w:rsidRDefault="00F46680" w:rsidP="00F46680">
      <w:pPr>
        <w:spacing w:after="0" w:line="240" w:lineRule="auto"/>
        <w:rPr>
          <w:rFonts w:ascii="Calibri" w:eastAsia="Calibri" w:hAnsi="Calibri" w:cs="Times New Roman"/>
          <w:szCs w:val="21"/>
        </w:rPr>
      </w:pPr>
    </w:p>
    <w:p w14:paraId="70EC988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Improved Supervision and Monitoring</w:t>
      </w:r>
    </w:p>
    <w:p w14:paraId="3FA44457" w14:textId="77777777" w:rsidR="00F46680" w:rsidRPr="00F46680" w:rsidRDefault="00F46680" w:rsidP="00F46680">
      <w:pPr>
        <w:spacing w:after="0" w:line="240" w:lineRule="auto"/>
        <w:rPr>
          <w:rFonts w:ascii="Calibri" w:eastAsia="Calibri" w:hAnsi="Calibri" w:cs="Times New Roman"/>
          <w:szCs w:val="21"/>
        </w:rPr>
      </w:pPr>
    </w:p>
    <w:p w14:paraId="1BDE9A98"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Another advantage of the multi-agency approach lies in its ability to offer improved offender monitoring and supervision. This is especially crucial for managing high-risk individuals. Probation officers, law enforcement agencies, and treatment providers can partner to ensure offenders are closely monitored and held accountable for their deeds. (Wood et al., 2007) Regular check-ins, electronic monitoring, and random drug tests are excellent examples of tools that can be used to track offenders’ compliance with treatment programs and court orders. Furthermore, information sharing among agencies can help identify violations or recidivism signs early, promoting prompt intervention.  </w:t>
      </w:r>
    </w:p>
    <w:p w14:paraId="45DD7CA7" w14:textId="77777777" w:rsidR="00F46680" w:rsidRPr="00F46680" w:rsidRDefault="00F46680" w:rsidP="00F46680">
      <w:pPr>
        <w:spacing w:after="0" w:line="240" w:lineRule="auto"/>
        <w:rPr>
          <w:rFonts w:ascii="Calibri" w:eastAsia="Calibri" w:hAnsi="Calibri" w:cs="Times New Roman"/>
          <w:szCs w:val="21"/>
        </w:rPr>
      </w:pPr>
    </w:p>
    <w:p w14:paraId="5D03FECA"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Specialised Rehabilitation and Treatment</w:t>
      </w:r>
    </w:p>
    <w:p w14:paraId="7D526957" w14:textId="77777777" w:rsidR="00F46680" w:rsidRPr="00F46680" w:rsidRDefault="00F46680" w:rsidP="00F46680">
      <w:pPr>
        <w:spacing w:after="0" w:line="240" w:lineRule="auto"/>
        <w:rPr>
          <w:rFonts w:ascii="Calibri" w:eastAsia="Calibri" w:hAnsi="Calibri" w:cs="Times New Roman"/>
          <w:szCs w:val="21"/>
        </w:rPr>
      </w:pPr>
    </w:p>
    <w:p w14:paraId="5DA02644" w14:textId="00A1197C"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Sexual and violent offenders typically require specialised rehabilitation and treatment programs to address the underlying issues contributing to their criminal behaviour. A multi-agency approach allows for coordinating different services, including substance abuse counselling, sex offender treatment, and therapy, to offer a personalised treatment plan for every offender (Day et al., 2009, p.210). For instance, a violent offender with a substance abuse issue may benefit from addiction treatment and cognitive-</w:t>
      </w:r>
      <w:proofErr w:type="spellStart"/>
      <w:r w:rsidRPr="00F46680">
        <w:rPr>
          <w:rFonts w:ascii="Calibri" w:eastAsia="Calibri" w:hAnsi="Calibri" w:cs="Times New Roman"/>
          <w:szCs w:val="21"/>
        </w:rPr>
        <w:t>behavioral</w:t>
      </w:r>
      <w:proofErr w:type="spellEnd"/>
      <w:r w:rsidRPr="00F46680">
        <w:rPr>
          <w:rFonts w:ascii="Calibri" w:eastAsia="Calibri" w:hAnsi="Calibri" w:cs="Times New Roman"/>
          <w:szCs w:val="21"/>
        </w:rPr>
        <w:t xml:space="preserve"> therapy (Easton et al., 2018, p. 490). Effective partnership between agencies ensures that these services are effectively delivered, and that progress is monitored, surging the likelihood of successful rehabilitation.</w:t>
      </w:r>
    </w:p>
    <w:p w14:paraId="63E8DBB0" w14:textId="77777777" w:rsidR="00F46680" w:rsidRPr="00F46680" w:rsidRDefault="00F46680" w:rsidP="00F46680">
      <w:pPr>
        <w:spacing w:after="0" w:line="240" w:lineRule="auto"/>
        <w:rPr>
          <w:rFonts w:ascii="Calibri" w:eastAsia="Calibri" w:hAnsi="Calibri" w:cs="Times New Roman"/>
          <w:szCs w:val="21"/>
        </w:rPr>
      </w:pPr>
    </w:p>
    <w:p w14:paraId="7740D8BC"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Community Reintegration and </w:t>
      </w:r>
      <w:proofErr w:type="spellStart"/>
      <w:r w:rsidRPr="00F46680">
        <w:rPr>
          <w:rFonts w:ascii="Calibri" w:eastAsia="Calibri" w:hAnsi="Calibri" w:cs="Times New Roman"/>
          <w:szCs w:val="21"/>
        </w:rPr>
        <w:t>Reentry</w:t>
      </w:r>
      <w:proofErr w:type="spellEnd"/>
      <w:r w:rsidRPr="00F46680">
        <w:rPr>
          <w:rFonts w:ascii="Calibri" w:eastAsia="Calibri" w:hAnsi="Calibri" w:cs="Times New Roman"/>
          <w:szCs w:val="21"/>
        </w:rPr>
        <w:t xml:space="preserve"> Support</w:t>
      </w:r>
    </w:p>
    <w:p w14:paraId="0DC7906C" w14:textId="77777777" w:rsidR="00F46680" w:rsidRPr="00F46680" w:rsidRDefault="00F46680" w:rsidP="00F46680">
      <w:pPr>
        <w:spacing w:after="0" w:line="240" w:lineRule="auto"/>
        <w:rPr>
          <w:rFonts w:ascii="Calibri" w:eastAsia="Calibri" w:hAnsi="Calibri" w:cs="Times New Roman"/>
          <w:szCs w:val="21"/>
        </w:rPr>
      </w:pPr>
    </w:p>
    <w:p w14:paraId="3BFC36E8"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Effective offender reintegration into society is crucial for averting recidivism and promoting public safety. A multi-agency approach can aid in offering the necessary resources and support to facilitate a seamless transition back into the community (Lamberti, 2016, 1210). Again, agencies can collaborate to secure employment opportunities, stable housing, and access to substance abuse and mental health services for offenders following their release (Pogorzelski, 2005, p. 1721). This holistic </w:t>
      </w:r>
      <w:r w:rsidRPr="00F46680">
        <w:rPr>
          <w:rFonts w:ascii="Calibri" w:eastAsia="Calibri" w:hAnsi="Calibri" w:cs="Times New Roman"/>
          <w:szCs w:val="21"/>
        </w:rPr>
        <w:lastRenderedPageBreak/>
        <w:t xml:space="preserve">approach intends to tackle the factors that usually lead to reoffending, including limited social support and unemployment. </w:t>
      </w:r>
    </w:p>
    <w:p w14:paraId="55D33A8C" w14:textId="77777777" w:rsidR="00F46680" w:rsidRPr="00F46680" w:rsidRDefault="00F46680" w:rsidP="00F46680">
      <w:pPr>
        <w:spacing w:after="0" w:line="240" w:lineRule="auto"/>
        <w:rPr>
          <w:rFonts w:ascii="Calibri" w:eastAsia="Calibri" w:hAnsi="Calibri" w:cs="Times New Roman"/>
          <w:szCs w:val="21"/>
        </w:rPr>
      </w:pPr>
    </w:p>
    <w:p w14:paraId="2379E5A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Challenges and Limitations of a Multi-Agency Approach</w:t>
      </w:r>
    </w:p>
    <w:p w14:paraId="166BF483" w14:textId="77777777" w:rsidR="00F46680" w:rsidRPr="00F46680" w:rsidRDefault="00F46680" w:rsidP="00F46680">
      <w:pPr>
        <w:spacing w:after="0" w:line="240" w:lineRule="auto"/>
        <w:rPr>
          <w:rFonts w:ascii="Calibri" w:eastAsia="Calibri" w:hAnsi="Calibri" w:cs="Times New Roman"/>
          <w:szCs w:val="21"/>
        </w:rPr>
      </w:pPr>
    </w:p>
    <w:p w14:paraId="46900BF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While a multi-agency approach provides massive benefits in managing sexual and violent offenders, it has challenges and limitations. One key challenge lies in sharing sensitive information between agencies and the offenders’ privacy rights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Maguire, 2021, p. 338). Striking the right equilibrium is essential to maintain public safety without compromising civil liberties. Resource constraints are another obstacle since coordinating multiple professionals and agencies necessitates adequate infrastructure, staffing, and funding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Maguire, 2021, p. 337). Again, budget limitations in several jurisdictions can hamper seamless implementation, translating to fragmented efforts and reduced efficacy. Furthermore, agencies managing these offenders may have different approaches and priorities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and Maguire, 2021, p. 342). Law enforcement may prioritise public apprehension and safety, while mental health practitioners prioritise treatment and rehabilitation. These differing priorities can translate to challenges and conflicts in collaborative efforts.</w:t>
      </w:r>
    </w:p>
    <w:p w14:paraId="1F273243" w14:textId="77777777" w:rsidR="00F46680" w:rsidRPr="00F46680" w:rsidRDefault="00F46680" w:rsidP="00F46680">
      <w:pPr>
        <w:spacing w:after="0" w:line="240" w:lineRule="auto"/>
        <w:rPr>
          <w:rFonts w:ascii="Calibri" w:eastAsia="Calibri" w:hAnsi="Calibri" w:cs="Times New Roman"/>
          <w:szCs w:val="21"/>
        </w:rPr>
      </w:pPr>
    </w:p>
    <w:p w14:paraId="3DBFE4A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Efficacy of a Multi-Agency Approach</w:t>
      </w:r>
    </w:p>
    <w:p w14:paraId="05B45408" w14:textId="77777777" w:rsidR="00F46680" w:rsidRPr="00F46680" w:rsidRDefault="00F46680" w:rsidP="00F46680">
      <w:pPr>
        <w:spacing w:after="0" w:line="240" w:lineRule="auto"/>
        <w:rPr>
          <w:rFonts w:ascii="Calibri" w:eastAsia="Calibri" w:hAnsi="Calibri" w:cs="Times New Roman"/>
          <w:szCs w:val="21"/>
        </w:rPr>
      </w:pPr>
    </w:p>
    <w:p w14:paraId="72087D90"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Despite the challenges and drawbacks, practical experience and research show that a multi-agency approach can significantly effectively manage sexual and violent offenders. Studies highlight reduced recidivism among offenders who get nuanced, multi-agency interventions compared to single-agency or fragmented efforts. The coordinated approach fosters comprehensive risk assessment and tailored interventions, enhancing rehabilitation prospects (Day et al., 2009). Furthermore, improved monitoring, supervision, and information sharing boost public safety. Scrutiny discourages offenders from committing new crimes, with prompt interventions available when required. The multi-agency approach also promotes personalised treatment plans, addressing specific offender needs and minimising reoffending risks (Easton et al., 2018, p. 487). Finally, it enhances offender accountability, underpinning compliance with treatment programs, court orders, and supervision conditions across different levels of the criminal justice system. </w:t>
      </w:r>
    </w:p>
    <w:p w14:paraId="4AC5E22A" w14:textId="77777777" w:rsidR="00F46680" w:rsidRPr="00F46680" w:rsidRDefault="00F46680" w:rsidP="00F46680">
      <w:pPr>
        <w:spacing w:after="0" w:line="240" w:lineRule="auto"/>
        <w:rPr>
          <w:rFonts w:ascii="Calibri" w:eastAsia="Calibri" w:hAnsi="Calibri" w:cs="Times New Roman"/>
          <w:szCs w:val="21"/>
        </w:rPr>
      </w:pPr>
    </w:p>
    <w:p w14:paraId="248251F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Conclusion</w:t>
      </w:r>
    </w:p>
    <w:p w14:paraId="368FD32A" w14:textId="77777777" w:rsidR="00F46680" w:rsidRPr="00F46680" w:rsidRDefault="00F46680" w:rsidP="00F46680">
      <w:pPr>
        <w:spacing w:after="0" w:line="240" w:lineRule="auto"/>
        <w:rPr>
          <w:rFonts w:ascii="Calibri" w:eastAsia="Calibri" w:hAnsi="Calibri" w:cs="Times New Roman"/>
          <w:szCs w:val="21"/>
        </w:rPr>
      </w:pPr>
    </w:p>
    <w:p w14:paraId="46A4C8F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Managing sexual and violent offenders is a challenging and intricate task requiring a multidimensional approach. A multi-agency approach, encompassing partnerships among diverse professionals and agencies, has showcased its efficacy in mitigating recidivism, boosting public safety, and offering personalised support and treatment for offenders. While there are limitations and challenges linked to this approach, such as resource constraints and information-sharing concerns, the benefits undoubtedly surpass the disadvantages. By addressing the intricate risks and needs of sexual and violent offenders through a coordinated approach, society can better protect itself while providing reintegration and rehabilitation opportunities. As such, the multi-agency approach should continue to be a facet of efforts to manage these offenders and foster a safer, more rehabilitative criminal justice system.</w:t>
      </w:r>
    </w:p>
    <w:p w14:paraId="3ABDF230" w14:textId="77777777" w:rsidR="00F46680" w:rsidRPr="00F46680" w:rsidRDefault="00F46680" w:rsidP="00F46680">
      <w:pPr>
        <w:spacing w:after="0" w:line="240" w:lineRule="auto"/>
        <w:rPr>
          <w:rFonts w:ascii="Calibri" w:eastAsia="Calibri" w:hAnsi="Calibri" w:cs="Times New Roman"/>
          <w:szCs w:val="21"/>
        </w:rPr>
      </w:pPr>
    </w:p>
    <w:p w14:paraId="2400E21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References</w:t>
      </w:r>
    </w:p>
    <w:p w14:paraId="50EE9792" w14:textId="77777777" w:rsidR="00F46680" w:rsidRPr="00F46680" w:rsidRDefault="00F46680" w:rsidP="00F46680">
      <w:pPr>
        <w:spacing w:after="0" w:line="240" w:lineRule="auto"/>
        <w:rPr>
          <w:rFonts w:ascii="Calibri" w:eastAsia="Calibri" w:hAnsi="Calibri" w:cs="Times New Roman"/>
          <w:szCs w:val="21"/>
        </w:rPr>
      </w:pPr>
    </w:p>
    <w:p w14:paraId="6C39A89C"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Day, A., Chung, D., O’Leary, P. and Carson, E., 2009. Programs for men who perpetrate domestic violence: An examination of the issues underlying the effectiveness of intervention programs. Journal of Family Violence, 24, pp.203-212.</w:t>
      </w:r>
    </w:p>
    <w:p w14:paraId="7B064A13" w14:textId="77777777" w:rsidR="00F46680" w:rsidRPr="00F46680" w:rsidRDefault="00F46680" w:rsidP="00F46680">
      <w:pPr>
        <w:spacing w:after="0" w:line="240" w:lineRule="auto"/>
        <w:rPr>
          <w:rFonts w:ascii="Calibri" w:eastAsia="Calibri" w:hAnsi="Calibri" w:cs="Times New Roman"/>
          <w:szCs w:val="21"/>
        </w:rPr>
      </w:pPr>
    </w:p>
    <w:p w14:paraId="3B54C033"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lastRenderedPageBreak/>
        <w:t xml:space="preserve">Easton, C.J., Crane, C.A. and Mandel, D., 2018. A randomised controlled trial assessing the efficacy of cognitive behavioural therapy for substance‐dependent domestic violence offenders: an integrated substance abuse‐domestic violence treatment approach (SADV). Journal of marital and family therapy, 44(3), pp.483-498. </w:t>
      </w:r>
    </w:p>
    <w:p w14:paraId="3D5E43C3" w14:textId="77777777" w:rsidR="00F46680" w:rsidRPr="00F46680" w:rsidRDefault="00F46680" w:rsidP="00F46680">
      <w:pPr>
        <w:spacing w:after="0" w:line="240" w:lineRule="auto"/>
        <w:rPr>
          <w:rFonts w:ascii="Calibri" w:eastAsia="Calibri" w:hAnsi="Calibri" w:cs="Times New Roman"/>
          <w:szCs w:val="21"/>
        </w:rPr>
      </w:pPr>
    </w:p>
    <w:p w14:paraId="645A6482" w14:textId="77777777" w:rsidR="00F46680" w:rsidRPr="00F46680" w:rsidRDefault="00F46680" w:rsidP="00F46680">
      <w:pPr>
        <w:spacing w:after="0" w:line="240" w:lineRule="auto"/>
        <w:rPr>
          <w:rFonts w:ascii="Calibri" w:eastAsia="Calibri" w:hAnsi="Calibri" w:cs="Times New Roman"/>
          <w:szCs w:val="21"/>
        </w:rPr>
      </w:pP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H. and Maguire, M., 2021. Public protection, </w:t>
      </w:r>
      <w:proofErr w:type="gramStart"/>
      <w:r w:rsidRPr="00F46680">
        <w:rPr>
          <w:rFonts w:ascii="Calibri" w:eastAsia="Calibri" w:hAnsi="Calibri" w:cs="Times New Roman"/>
          <w:szCs w:val="21"/>
        </w:rPr>
        <w:t>partnership</w:t>
      </w:r>
      <w:proofErr w:type="gramEnd"/>
      <w:r w:rsidRPr="00F46680">
        <w:rPr>
          <w:rFonts w:ascii="Calibri" w:eastAsia="Calibri" w:hAnsi="Calibri" w:cs="Times New Roman"/>
          <w:szCs w:val="21"/>
        </w:rPr>
        <w:t xml:space="preserve"> and risk penalty: The multi-agency risk management of sexual and violent offenders. In Governing Risks (pp. 319-346). Routledge.</w:t>
      </w:r>
    </w:p>
    <w:p w14:paraId="7ACEB2CE" w14:textId="77777777" w:rsidR="00F46680" w:rsidRPr="00F46680" w:rsidRDefault="00F46680" w:rsidP="00F46680">
      <w:pPr>
        <w:spacing w:after="0" w:line="240" w:lineRule="auto"/>
        <w:rPr>
          <w:rFonts w:ascii="Calibri" w:eastAsia="Calibri" w:hAnsi="Calibri" w:cs="Times New Roman"/>
          <w:szCs w:val="21"/>
        </w:rPr>
      </w:pPr>
    </w:p>
    <w:p w14:paraId="66AE7209" w14:textId="77777777" w:rsidR="00F46680" w:rsidRPr="00F46680" w:rsidRDefault="00F46680" w:rsidP="00F46680">
      <w:pPr>
        <w:spacing w:after="0" w:line="240" w:lineRule="auto"/>
        <w:rPr>
          <w:rFonts w:ascii="Calibri" w:eastAsia="Calibri" w:hAnsi="Calibri" w:cs="Times New Roman"/>
          <w:szCs w:val="21"/>
        </w:rPr>
      </w:pP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H. and McCartan, K., 2014. Managing sex offenders in the UK: Challenges for policy and practice. In Responding to sexual offending: Perceptions, risk management and public protection (pp. 206-226). London: Palgrave Macmillan UK.</w:t>
      </w:r>
    </w:p>
    <w:p w14:paraId="4D599E02" w14:textId="77777777" w:rsidR="00F46680" w:rsidRPr="00F46680" w:rsidRDefault="00F46680" w:rsidP="00F46680">
      <w:pPr>
        <w:spacing w:after="0" w:line="240" w:lineRule="auto"/>
        <w:rPr>
          <w:rFonts w:ascii="Calibri" w:eastAsia="Calibri" w:hAnsi="Calibri" w:cs="Times New Roman"/>
          <w:szCs w:val="21"/>
        </w:rPr>
      </w:pPr>
    </w:p>
    <w:p w14:paraId="020F8B4C"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Lamberti, J.S., 2016. Preventing criminal recidivism through mental health and criminal justice collaboration. Psychiatric Services, 67(11), pp.1206-1212.</w:t>
      </w:r>
    </w:p>
    <w:p w14:paraId="295F8A8C" w14:textId="77777777" w:rsidR="00F46680" w:rsidRPr="00F46680" w:rsidRDefault="00F46680" w:rsidP="00F46680">
      <w:pPr>
        <w:spacing w:after="0" w:line="240" w:lineRule="auto"/>
        <w:rPr>
          <w:rFonts w:ascii="Calibri" w:eastAsia="Calibri" w:hAnsi="Calibri" w:cs="Times New Roman"/>
          <w:szCs w:val="21"/>
        </w:rPr>
      </w:pPr>
    </w:p>
    <w:p w14:paraId="5152EF95"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McCuish, E.C., Lussier, P. and </w:t>
      </w:r>
      <w:proofErr w:type="spellStart"/>
      <w:r w:rsidRPr="00F46680">
        <w:rPr>
          <w:rFonts w:ascii="Calibri" w:eastAsia="Calibri" w:hAnsi="Calibri" w:cs="Times New Roman"/>
          <w:szCs w:val="21"/>
        </w:rPr>
        <w:t>Corrado</w:t>
      </w:r>
      <w:proofErr w:type="spellEnd"/>
      <w:r w:rsidRPr="00F46680">
        <w:rPr>
          <w:rFonts w:ascii="Calibri" w:eastAsia="Calibri" w:hAnsi="Calibri" w:cs="Times New Roman"/>
          <w:szCs w:val="21"/>
        </w:rPr>
        <w:t xml:space="preserve">, R.R., 2015. Examining antisocial behavioural antecedents of juvenile sexual offenders and juvenile non-sexual offenders. Sexual Abuse, 27(4), pp.414-438. Wood, J., </w:t>
      </w:r>
      <w:proofErr w:type="spellStart"/>
      <w:r w:rsidRPr="00F46680">
        <w:rPr>
          <w:rFonts w:ascii="Calibri" w:eastAsia="Calibri" w:hAnsi="Calibri" w:cs="Times New Roman"/>
          <w:szCs w:val="21"/>
        </w:rPr>
        <w:t>Kemshall</w:t>
      </w:r>
      <w:proofErr w:type="spellEnd"/>
      <w:r w:rsidRPr="00F46680">
        <w:rPr>
          <w:rFonts w:ascii="Calibri" w:eastAsia="Calibri" w:hAnsi="Calibri" w:cs="Times New Roman"/>
          <w:szCs w:val="21"/>
        </w:rPr>
        <w:t xml:space="preserve">, H. and Maguire, M., 2007. The operation and experience of multi-agency public protection arrangements (MAPPA). London: Home Office. </w:t>
      </w:r>
    </w:p>
    <w:p w14:paraId="75BE05FC" w14:textId="77777777" w:rsidR="00F46680" w:rsidRPr="00F46680" w:rsidRDefault="00F46680" w:rsidP="00F46680">
      <w:pPr>
        <w:spacing w:after="0" w:line="240" w:lineRule="auto"/>
        <w:rPr>
          <w:rFonts w:ascii="Calibri" w:eastAsia="Calibri" w:hAnsi="Calibri" w:cs="Times New Roman"/>
          <w:szCs w:val="21"/>
        </w:rPr>
      </w:pPr>
    </w:p>
    <w:p w14:paraId="15F8931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Pogorzelski, W., Wolff, N., Pan, K.Y. and Blitz, C.L., 2005. </w:t>
      </w:r>
      <w:proofErr w:type="spellStart"/>
      <w:r w:rsidRPr="00F46680">
        <w:rPr>
          <w:rFonts w:ascii="Calibri" w:eastAsia="Calibri" w:hAnsi="Calibri" w:cs="Times New Roman"/>
          <w:szCs w:val="21"/>
        </w:rPr>
        <w:t>Behavioral</w:t>
      </w:r>
      <w:proofErr w:type="spellEnd"/>
      <w:r w:rsidRPr="00F46680">
        <w:rPr>
          <w:rFonts w:ascii="Calibri" w:eastAsia="Calibri" w:hAnsi="Calibri" w:cs="Times New Roman"/>
          <w:szCs w:val="21"/>
        </w:rPr>
        <w:t xml:space="preserve"> health problems, ex-offender </w:t>
      </w:r>
      <w:proofErr w:type="spellStart"/>
      <w:r w:rsidRPr="00F46680">
        <w:rPr>
          <w:rFonts w:ascii="Calibri" w:eastAsia="Calibri" w:hAnsi="Calibri" w:cs="Times New Roman"/>
          <w:szCs w:val="21"/>
        </w:rPr>
        <w:t>reentry</w:t>
      </w:r>
      <w:proofErr w:type="spellEnd"/>
      <w:r w:rsidRPr="00F46680">
        <w:rPr>
          <w:rFonts w:ascii="Calibri" w:eastAsia="Calibri" w:hAnsi="Calibri" w:cs="Times New Roman"/>
          <w:szCs w:val="21"/>
        </w:rPr>
        <w:t xml:space="preserve"> policies, and the “Second Chance Act”. American journal of public health, 95(10), pp.1718-1724.</w:t>
      </w:r>
    </w:p>
    <w:p w14:paraId="7C301E57" w14:textId="77777777" w:rsidR="00F46680" w:rsidRPr="00F46680" w:rsidRDefault="00F46680" w:rsidP="00F46680">
      <w:pPr>
        <w:spacing w:after="0" w:line="240" w:lineRule="auto"/>
        <w:rPr>
          <w:rFonts w:ascii="Calibri" w:eastAsia="Calibri" w:hAnsi="Calibri" w:cs="Times New Roman"/>
          <w:szCs w:val="21"/>
        </w:rPr>
      </w:pPr>
    </w:p>
    <w:p w14:paraId="5D08DDE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Essay Three</w:t>
      </w:r>
    </w:p>
    <w:p w14:paraId="3835A8C8" w14:textId="77777777" w:rsidR="00F46680" w:rsidRPr="00F46680" w:rsidRDefault="00F46680" w:rsidP="00F46680">
      <w:pPr>
        <w:spacing w:after="0" w:line="240" w:lineRule="auto"/>
        <w:rPr>
          <w:rFonts w:ascii="Calibri" w:eastAsia="Calibri" w:hAnsi="Calibri" w:cs="Times New Roman"/>
          <w:szCs w:val="21"/>
        </w:rPr>
      </w:pPr>
    </w:p>
    <w:p w14:paraId="7D98CD8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Lifestyle Theory</w:t>
      </w:r>
    </w:p>
    <w:p w14:paraId="6A11C22E" w14:textId="77777777" w:rsidR="00F46680" w:rsidRPr="00F46680" w:rsidRDefault="00F46680" w:rsidP="00F46680">
      <w:pPr>
        <w:spacing w:after="0" w:line="240" w:lineRule="auto"/>
        <w:rPr>
          <w:rFonts w:ascii="Calibri" w:eastAsia="Calibri" w:hAnsi="Calibri" w:cs="Times New Roman"/>
          <w:szCs w:val="21"/>
        </w:rPr>
      </w:pPr>
    </w:p>
    <w:p w14:paraId="46534E94"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Organised and serious crime represents an evolving and intricate challenge for societies globally. In order to understand why some </w:t>
      </w:r>
      <w:proofErr w:type="gramStart"/>
      <w:r w:rsidRPr="00F46680">
        <w:rPr>
          <w:rFonts w:ascii="Calibri" w:eastAsia="Calibri" w:hAnsi="Calibri" w:cs="Times New Roman"/>
          <w:szCs w:val="21"/>
        </w:rPr>
        <w:t>people</w:t>
      </w:r>
      <w:proofErr w:type="gramEnd"/>
      <w:r w:rsidRPr="00F46680">
        <w:rPr>
          <w:rFonts w:ascii="Calibri" w:eastAsia="Calibri" w:hAnsi="Calibri" w:cs="Times New Roman"/>
          <w:szCs w:val="21"/>
        </w:rPr>
        <w:t xml:space="preserve"> become victims of these crimes, the lifestyle theory has cropped up as a popular framework. This theory argues that an individual’s daily choices and routines immensely influence their susceptibility to serious and organised crime (Madero-Hernandez, 2). This essay explores the accuracy of the lifestyle theory in highlighting the factors that make some individuals more vulnerable to becoming victims of these crimes. By delving into the theory’s core components, discussing its drawbacks, and analysing empirical evidence, this paper offers a holistic evaluation of its relevance in modern criminology.  </w:t>
      </w:r>
    </w:p>
    <w:p w14:paraId="04FA64E0" w14:textId="77777777" w:rsidR="00F46680" w:rsidRPr="00F46680" w:rsidRDefault="00F46680" w:rsidP="00F46680">
      <w:pPr>
        <w:spacing w:after="0" w:line="240" w:lineRule="auto"/>
        <w:rPr>
          <w:rFonts w:ascii="Calibri" w:eastAsia="Calibri" w:hAnsi="Calibri" w:cs="Times New Roman"/>
          <w:szCs w:val="21"/>
        </w:rPr>
      </w:pPr>
    </w:p>
    <w:p w14:paraId="14FCA870"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Core Components of the Lifestyle Theory</w:t>
      </w:r>
    </w:p>
    <w:p w14:paraId="3BD699F8" w14:textId="77777777" w:rsidR="00F46680" w:rsidRPr="00F46680" w:rsidRDefault="00F46680" w:rsidP="00F46680">
      <w:pPr>
        <w:spacing w:after="0" w:line="240" w:lineRule="auto"/>
        <w:rPr>
          <w:rFonts w:ascii="Calibri" w:eastAsia="Calibri" w:hAnsi="Calibri" w:cs="Times New Roman"/>
          <w:szCs w:val="21"/>
        </w:rPr>
      </w:pPr>
    </w:p>
    <w:p w14:paraId="32DD8B4C"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lifestyle theory’s cornerstone is the idea that crime happens when three crucial elements converge: a suitable target, a motivated offender, and the absence of a capable guardian. Principal to this theory is the assumption that a person’s lifestyle choices and daily routines impact their exposure to crime opportunities (Madero-Hernandez, 2). The section below dissects each component and assesses their effectiveness in explaining susceptibility to organised and serious crimes.</w:t>
      </w:r>
    </w:p>
    <w:p w14:paraId="7835B208" w14:textId="77777777" w:rsidR="00F46680" w:rsidRPr="00F46680" w:rsidRDefault="00F46680" w:rsidP="00F46680">
      <w:pPr>
        <w:spacing w:after="0" w:line="240" w:lineRule="auto"/>
        <w:rPr>
          <w:rFonts w:ascii="Calibri" w:eastAsia="Calibri" w:hAnsi="Calibri" w:cs="Times New Roman"/>
          <w:szCs w:val="21"/>
        </w:rPr>
      </w:pPr>
    </w:p>
    <w:p w14:paraId="3EFBCB6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Routine Activities and High-Risk Behaviours</w:t>
      </w:r>
    </w:p>
    <w:p w14:paraId="5CB7EB70" w14:textId="77777777" w:rsidR="00F46680" w:rsidRPr="00F46680" w:rsidRDefault="00F46680" w:rsidP="00F46680">
      <w:pPr>
        <w:spacing w:after="0" w:line="240" w:lineRule="auto"/>
        <w:rPr>
          <w:rFonts w:ascii="Calibri" w:eastAsia="Calibri" w:hAnsi="Calibri" w:cs="Times New Roman"/>
          <w:szCs w:val="21"/>
        </w:rPr>
      </w:pPr>
    </w:p>
    <w:p w14:paraId="16D0158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lifestyle theory posits that individuals who engage in high-risk lifestyles or behaviours are more likely to meet motivated offenders and ultimately become potential victims of organised and </w:t>
      </w:r>
      <w:r w:rsidRPr="00F46680">
        <w:rPr>
          <w:rFonts w:ascii="Calibri" w:eastAsia="Calibri" w:hAnsi="Calibri" w:cs="Times New Roman"/>
          <w:szCs w:val="21"/>
        </w:rPr>
        <w:lastRenderedPageBreak/>
        <w:t xml:space="preserve">serious crime. High-risk behaviours include visiting risky neighbourhoods, engaging in illegal pursuits, or entering illicit relationships (Pratt &amp; </w:t>
      </w:r>
      <w:proofErr w:type="spellStart"/>
      <w:r w:rsidRPr="00F46680">
        <w:rPr>
          <w:rFonts w:ascii="Calibri" w:eastAsia="Calibri" w:hAnsi="Calibri" w:cs="Times New Roman"/>
          <w:szCs w:val="21"/>
        </w:rPr>
        <w:t>Turanovic</w:t>
      </w:r>
      <w:proofErr w:type="spellEnd"/>
      <w:r w:rsidRPr="00F46680">
        <w:rPr>
          <w:rFonts w:ascii="Calibri" w:eastAsia="Calibri" w:hAnsi="Calibri" w:cs="Times New Roman"/>
          <w:szCs w:val="21"/>
        </w:rPr>
        <w:t xml:space="preserve">, 2016, p. 340). Such behaviours increase the possibility of individuals encountering criminals, which aligns with the empirical evidence that unearths the link between victimisation and risky behaviours. </w:t>
      </w:r>
    </w:p>
    <w:p w14:paraId="47D6E72F" w14:textId="77777777" w:rsidR="00F46680" w:rsidRPr="00F46680" w:rsidRDefault="00F46680" w:rsidP="00F46680">
      <w:pPr>
        <w:spacing w:after="0" w:line="240" w:lineRule="auto"/>
        <w:rPr>
          <w:rFonts w:ascii="Calibri" w:eastAsia="Calibri" w:hAnsi="Calibri" w:cs="Times New Roman"/>
          <w:szCs w:val="21"/>
        </w:rPr>
      </w:pPr>
    </w:p>
    <w:p w14:paraId="1A6FDBA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Suitable Targets</w:t>
      </w:r>
    </w:p>
    <w:p w14:paraId="504B6160" w14:textId="77777777" w:rsidR="00F46680" w:rsidRPr="00F46680" w:rsidRDefault="00F46680" w:rsidP="00F46680">
      <w:pPr>
        <w:spacing w:after="0" w:line="240" w:lineRule="auto"/>
        <w:rPr>
          <w:rFonts w:ascii="Calibri" w:eastAsia="Calibri" w:hAnsi="Calibri" w:cs="Times New Roman"/>
          <w:szCs w:val="21"/>
        </w:rPr>
      </w:pPr>
    </w:p>
    <w:p w14:paraId="76E37E6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lifestyle theory also outlines the concept of suitable targets. It argues that people possessing valuable possessions or showcasing features that attract offenders are likelier to become victims. This facet of the theory demonstrates that people showcasing signs of vulnerability or wealth, like walking home alone or carrying expensive jewellery, are more susceptible to being targeted by criminals (Pratt &amp; </w:t>
      </w:r>
      <w:proofErr w:type="spellStart"/>
      <w:r w:rsidRPr="00F46680">
        <w:rPr>
          <w:rFonts w:ascii="Calibri" w:eastAsia="Calibri" w:hAnsi="Calibri" w:cs="Times New Roman"/>
          <w:szCs w:val="21"/>
        </w:rPr>
        <w:t>Turanovic</w:t>
      </w:r>
      <w:proofErr w:type="spellEnd"/>
      <w:r w:rsidRPr="00F46680">
        <w:rPr>
          <w:rFonts w:ascii="Calibri" w:eastAsia="Calibri" w:hAnsi="Calibri" w:cs="Times New Roman"/>
          <w:szCs w:val="21"/>
        </w:rPr>
        <w:t>, 2016, p.340). Therefore, the lifestyle theory perfectly captures why some people are more prone to organised and serious crime based on their desirability as victims.</w:t>
      </w:r>
    </w:p>
    <w:p w14:paraId="10764B02" w14:textId="77777777" w:rsidR="00F46680" w:rsidRPr="00F46680" w:rsidRDefault="00F46680" w:rsidP="00F46680">
      <w:pPr>
        <w:spacing w:after="0" w:line="240" w:lineRule="auto"/>
        <w:rPr>
          <w:rFonts w:ascii="Calibri" w:eastAsia="Calibri" w:hAnsi="Calibri" w:cs="Times New Roman"/>
          <w:szCs w:val="21"/>
        </w:rPr>
      </w:pPr>
    </w:p>
    <w:p w14:paraId="252847B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Absence of a Capable Guardian</w:t>
      </w:r>
    </w:p>
    <w:p w14:paraId="155530D2" w14:textId="77777777" w:rsidR="00F46680" w:rsidRPr="00F46680" w:rsidRDefault="00F46680" w:rsidP="00F46680">
      <w:pPr>
        <w:spacing w:after="0" w:line="240" w:lineRule="auto"/>
        <w:rPr>
          <w:rFonts w:ascii="Calibri" w:eastAsia="Calibri" w:hAnsi="Calibri" w:cs="Times New Roman"/>
          <w:szCs w:val="21"/>
        </w:rPr>
      </w:pPr>
    </w:p>
    <w:p w14:paraId="003EB83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lifestyle theory emphasises the significance of guardianship in crime prevention. It posits that individuals with effective law enforcement, robust social networks, and personal protective measures are less likely to fall victim to the crime. On the other hand, those lacking capable guardianship are more vulnerable to becoming victims (Pratt &amp; </w:t>
      </w:r>
      <w:proofErr w:type="spellStart"/>
      <w:r w:rsidRPr="00F46680">
        <w:rPr>
          <w:rFonts w:ascii="Calibri" w:eastAsia="Calibri" w:hAnsi="Calibri" w:cs="Times New Roman"/>
          <w:szCs w:val="21"/>
        </w:rPr>
        <w:t>Turanovic</w:t>
      </w:r>
      <w:proofErr w:type="spellEnd"/>
      <w:r w:rsidRPr="00F46680">
        <w:rPr>
          <w:rFonts w:ascii="Calibri" w:eastAsia="Calibri" w:hAnsi="Calibri" w:cs="Times New Roman"/>
          <w:szCs w:val="21"/>
        </w:rPr>
        <w:t xml:space="preserve">, 2016, p.338). This facet of the theory underscores the role of personal and societal factors in determining proneness to crime, aligning with real-world dynamics. </w:t>
      </w:r>
    </w:p>
    <w:p w14:paraId="012ECEBC" w14:textId="77777777" w:rsidR="00F46680" w:rsidRPr="00F46680" w:rsidRDefault="00F46680" w:rsidP="00F46680">
      <w:pPr>
        <w:spacing w:after="0" w:line="240" w:lineRule="auto"/>
        <w:rPr>
          <w:rFonts w:ascii="Calibri" w:eastAsia="Calibri" w:hAnsi="Calibri" w:cs="Times New Roman"/>
          <w:szCs w:val="21"/>
        </w:rPr>
      </w:pPr>
    </w:p>
    <w:p w14:paraId="7BBDBC3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Limitations of the Lifestyle Theory</w:t>
      </w:r>
    </w:p>
    <w:p w14:paraId="38EA81DB" w14:textId="77777777" w:rsidR="00F46680" w:rsidRPr="00F46680" w:rsidRDefault="00F46680" w:rsidP="00F46680">
      <w:pPr>
        <w:spacing w:after="0" w:line="240" w:lineRule="auto"/>
        <w:rPr>
          <w:rFonts w:ascii="Calibri" w:eastAsia="Calibri" w:hAnsi="Calibri" w:cs="Times New Roman"/>
          <w:szCs w:val="21"/>
        </w:rPr>
      </w:pPr>
    </w:p>
    <w:p w14:paraId="17846EC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While the theory provides valuable insights, it has several drawbacks. These are further discussed below.</w:t>
      </w:r>
    </w:p>
    <w:p w14:paraId="4E9A6EF5" w14:textId="77777777" w:rsidR="00F46680" w:rsidRPr="00F46680" w:rsidRDefault="00F46680" w:rsidP="00F46680">
      <w:pPr>
        <w:spacing w:after="0" w:line="240" w:lineRule="auto"/>
        <w:rPr>
          <w:rFonts w:ascii="Calibri" w:eastAsia="Calibri" w:hAnsi="Calibri" w:cs="Times New Roman"/>
          <w:szCs w:val="21"/>
        </w:rPr>
      </w:pPr>
    </w:p>
    <w:p w14:paraId="159F7C5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Oversimplification of Victimisation</w:t>
      </w:r>
    </w:p>
    <w:p w14:paraId="22727040" w14:textId="77777777" w:rsidR="00F46680" w:rsidRPr="00F46680" w:rsidRDefault="00F46680" w:rsidP="00F46680">
      <w:pPr>
        <w:spacing w:after="0" w:line="240" w:lineRule="auto"/>
        <w:rPr>
          <w:rFonts w:ascii="Calibri" w:eastAsia="Calibri" w:hAnsi="Calibri" w:cs="Times New Roman"/>
          <w:szCs w:val="21"/>
        </w:rPr>
      </w:pPr>
    </w:p>
    <w:p w14:paraId="1B48FBC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Critics maintain that the lifestyle theory oversimplifies the intricate nature of criminal victimisation by primarily focusing on victims’ choices and behaviours. It may not sufficiently account for structural factors like systemic inequalities, socio-economic status, and institutional failures that lead to victimisation (Newburn and Stanko, 2013, p. 159). Therefore, the theory may underestimate the role of significant societal forces in shaping susceptibility.</w:t>
      </w:r>
    </w:p>
    <w:p w14:paraId="59EFC16E" w14:textId="77777777" w:rsidR="00F46680" w:rsidRPr="00F46680" w:rsidRDefault="00F46680" w:rsidP="00F46680">
      <w:pPr>
        <w:spacing w:after="0" w:line="240" w:lineRule="auto"/>
        <w:rPr>
          <w:rFonts w:ascii="Calibri" w:eastAsia="Calibri" w:hAnsi="Calibri" w:cs="Times New Roman"/>
          <w:szCs w:val="21"/>
        </w:rPr>
      </w:pPr>
    </w:p>
    <w:p w14:paraId="5DDC856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Organised Crime Complexity</w:t>
      </w:r>
    </w:p>
    <w:p w14:paraId="6FF5D412" w14:textId="77777777" w:rsidR="00F46680" w:rsidRPr="00F46680" w:rsidRDefault="00F46680" w:rsidP="00F46680">
      <w:pPr>
        <w:spacing w:after="0" w:line="240" w:lineRule="auto"/>
        <w:rPr>
          <w:rFonts w:ascii="Calibri" w:eastAsia="Calibri" w:hAnsi="Calibri" w:cs="Times New Roman"/>
          <w:szCs w:val="21"/>
        </w:rPr>
      </w:pPr>
    </w:p>
    <w:p w14:paraId="44D59DB7"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lifestyle theory may not adequately address the complexities of organised crime, which usually encompasses sophisticated criminal enterprises with specific motives and targets. Victims of organised crime may not align with the traditional profile of people lacking capable guardianship or participating in high-risk behaviours (Newburn and Stanko, 2013, p. 157). As such, although lifestyle theory may be a crucial framework for comprehending some facets of victimisation, it may need to be supported by other theories to offer a more nuanced understanding of organised crime victimisation.</w:t>
      </w:r>
    </w:p>
    <w:p w14:paraId="521053F7" w14:textId="77777777" w:rsidR="00F46680" w:rsidRPr="00F46680" w:rsidRDefault="00F46680" w:rsidP="00F46680">
      <w:pPr>
        <w:spacing w:after="0" w:line="240" w:lineRule="auto"/>
        <w:rPr>
          <w:rFonts w:ascii="Calibri" w:eastAsia="Calibri" w:hAnsi="Calibri" w:cs="Times New Roman"/>
          <w:szCs w:val="21"/>
        </w:rPr>
      </w:pPr>
    </w:p>
    <w:p w14:paraId="5772067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Empirical Evidence on Lifestyle Theory</w:t>
      </w:r>
    </w:p>
    <w:p w14:paraId="4C6E037A" w14:textId="77777777" w:rsidR="00F46680" w:rsidRPr="00F46680" w:rsidRDefault="00F46680" w:rsidP="00F46680">
      <w:pPr>
        <w:spacing w:after="0" w:line="240" w:lineRule="auto"/>
        <w:rPr>
          <w:rFonts w:ascii="Calibri" w:eastAsia="Calibri" w:hAnsi="Calibri" w:cs="Times New Roman"/>
          <w:szCs w:val="21"/>
        </w:rPr>
      </w:pPr>
    </w:p>
    <w:p w14:paraId="338844C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Empirical evidence supports the accuracy of the lifestyle theory to some degree. Research studies have proven that people who participate in dangerous behaviours, like engaging in illegal </w:t>
      </w:r>
      <w:r w:rsidRPr="00F46680">
        <w:rPr>
          <w:rFonts w:ascii="Calibri" w:eastAsia="Calibri" w:hAnsi="Calibri" w:cs="Times New Roman"/>
          <w:szCs w:val="21"/>
        </w:rPr>
        <w:lastRenderedPageBreak/>
        <w:t>activities or substance abuse, are likelier to become victims of organised and serious crime (</w:t>
      </w:r>
      <w:proofErr w:type="spellStart"/>
      <w:r w:rsidRPr="00F46680">
        <w:rPr>
          <w:rFonts w:ascii="Calibri" w:eastAsia="Calibri" w:hAnsi="Calibri" w:cs="Times New Roman"/>
          <w:szCs w:val="21"/>
        </w:rPr>
        <w:t>Gaetz</w:t>
      </w:r>
      <w:proofErr w:type="spellEnd"/>
      <w:r w:rsidRPr="00F46680">
        <w:rPr>
          <w:rFonts w:ascii="Calibri" w:eastAsia="Calibri" w:hAnsi="Calibri" w:cs="Times New Roman"/>
          <w:szCs w:val="21"/>
        </w:rPr>
        <w:t>, 2004). For instance, drug users may be prone to exploitation or violence by drug trafficking organisations. Similarly, people engaged in illegal relationships or criminal enterprises may be threatened by internal disputes or rival groups.</w:t>
      </w:r>
    </w:p>
    <w:p w14:paraId="0DC33786" w14:textId="77777777" w:rsidR="00F46680" w:rsidRPr="00F46680" w:rsidRDefault="00F46680" w:rsidP="00F46680">
      <w:pPr>
        <w:spacing w:after="0" w:line="240" w:lineRule="auto"/>
        <w:rPr>
          <w:rFonts w:ascii="Calibri" w:eastAsia="Calibri" w:hAnsi="Calibri" w:cs="Times New Roman"/>
          <w:szCs w:val="21"/>
        </w:rPr>
      </w:pPr>
    </w:p>
    <w:p w14:paraId="1535D01F" w14:textId="16DB0F5B"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Moreover, empirical studies have consistently shown the relationship between lifestyle choices and demographic factors in determining susceptibility to serious and organised crime. Notably, age and gender arise as vital variables in this equation (Cooper et al., 2017). Extensive research unearths those younger persons, usually males, tend to be more susceptible to partaking in riskier behaviours (Cooper et al., 2017). This inclination to risk-taking behaviour, usually linked with the enthusiasm of youth, predisposes them to a more significant potential for victimisation. </w:t>
      </w:r>
    </w:p>
    <w:p w14:paraId="4C7DF0D4" w14:textId="77777777" w:rsidR="00F46680" w:rsidRPr="00F46680" w:rsidRDefault="00F46680" w:rsidP="00F46680">
      <w:pPr>
        <w:spacing w:after="0" w:line="240" w:lineRule="auto"/>
        <w:rPr>
          <w:rFonts w:ascii="Calibri" w:eastAsia="Calibri" w:hAnsi="Calibri" w:cs="Times New Roman"/>
          <w:szCs w:val="21"/>
        </w:rPr>
      </w:pPr>
    </w:p>
    <w:p w14:paraId="168CDE5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This alignment between lifestyle choices and demographic characteristics underpins the basic premise of the lifestyle theory, which underscores the vital role of routine activities in shaping proneness to crime. Young males, for example, may be more likely to frequent high-risk environments and neighbourhoods, participate in illegal activities, or showcase signs of bravado that attract motivated offenders (Copper et al., 2017). Consequently, the theory that lifestyle choices massively influence proneness to organised and serious crime finds empirical support in the relationship between gender, age, and risky behaviours.</w:t>
      </w:r>
    </w:p>
    <w:p w14:paraId="353B7E76" w14:textId="77777777" w:rsidR="00F46680" w:rsidRPr="00F46680" w:rsidRDefault="00F46680" w:rsidP="00F46680">
      <w:pPr>
        <w:spacing w:after="0" w:line="240" w:lineRule="auto"/>
        <w:rPr>
          <w:rFonts w:ascii="Calibri" w:eastAsia="Calibri" w:hAnsi="Calibri" w:cs="Times New Roman"/>
          <w:szCs w:val="21"/>
        </w:rPr>
      </w:pPr>
    </w:p>
    <w:p w14:paraId="466F453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Conclusion</w:t>
      </w:r>
    </w:p>
    <w:p w14:paraId="35BE37DA" w14:textId="77777777" w:rsidR="00F46680" w:rsidRPr="00F46680" w:rsidRDefault="00F46680" w:rsidP="00F46680">
      <w:pPr>
        <w:spacing w:after="0" w:line="240" w:lineRule="auto"/>
        <w:rPr>
          <w:rFonts w:ascii="Calibri" w:eastAsia="Calibri" w:hAnsi="Calibri" w:cs="Times New Roman"/>
          <w:szCs w:val="21"/>
        </w:rPr>
      </w:pPr>
    </w:p>
    <w:p w14:paraId="5D7171D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The lifestyle theory provides valuable insights into why some individuals are more susceptible to becoming organised and serious crime victims. Its focus on suitable targets, routine activities, and the absence of capable guardianship offers a framework for comprehending victimisation dynamics. Nonetheless, the theory has drawbacks, especially in its oversimplification of victimisation and its incapability to address the intricacies of organised crime optimally. To holistically assess vulnerability, it is pivotal to factor in the broader structural and socio-economic aspects that influence individuals’ choices and lifestyles. These factors, including societal norms, institutional failures, and systemic inequalities, play a massive role in shaping susceptibility to crime. For this reason, while the lifestyle theory provides valuable insights, it should be complemented with other criminological theories to offer a more holistic understanding of victimisation, primarily in organised crime. By doing so, relevant stakeholders can improve their capacity to tackle and curb serious and organised crime in modern society. </w:t>
      </w:r>
    </w:p>
    <w:p w14:paraId="642A6362" w14:textId="77777777" w:rsidR="00F46680" w:rsidRPr="00F46680" w:rsidRDefault="00F46680" w:rsidP="00F46680">
      <w:pPr>
        <w:spacing w:after="0" w:line="240" w:lineRule="auto"/>
        <w:rPr>
          <w:rFonts w:ascii="Calibri" w:eastAsia="Calibri" w:hAnsi="Calibri" w:cs="Times New Roman"/>
          <w:szCs w:val="21"/>
        </w:rPr>
      </w:pPr>
    </w:p>
    <w:p w14:paraId="49338B9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References</w:t>
      </w:r>
    </w:p>
    <w:p w14:paraId="597F8D74" w14:textId="77777777" w:rsidR="00F46680" w:rsidRPr="00F46680" w:rsidRDefault="00F46680" w:rsidP="00F46680">
      <w:pPr>
        <w:spacing w:after="0" w:line="240" w:lineRule="auto"/>
        <w:rPr>
          <w:rFonts w:ascii="Calibri" w:eastAsia="Calibri" w:hAnsi="Calibri" w:cs="Times New Roman"/>
          <w:szCs w:val="21"/>
        </w:rPr>
      </w:pPr>
    </w:p>
    <w:p w14:paraId="0D62744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Cooper, C., </w:t>
      </w:r>
      <w:proofErr w:type="spellStart"/>
      <w:r w:rsidRPr="00F46680">
        <w:rPr>
          <w:rFonts w:ascii="Calibri" w:eastAsia="Calibri" w:hAnsi="Calibri" w:cs="Times New Roman"/>
          <w:szCs w:val="21"/>
        </w:rPr>
        <w:t>Lhussier</w:t>
      </w:r>
      <w:proofErr w:type="spellEnd"/>
      <w:r w:rsidRPr="00F46680">
        <w:rPr>
          <w:rFonts w:ascii="Calibri" w:eastAsia="Calibri" w:hAnsi="Calibri" w:cs="Times New Roman"/>
          <w:szCs w:val="21"/>
        </w:rPr>
        <w:t xml:space="preserve">, M., </w:t>
      </w:r>
      <w:proofErr w:type="spellStart"/>
      <w:r w:rsidRPr="00F46680">
        <w:rPr>
          <w:rFonts w:ascii="Calibri" w:eastAsia="Calibri" w:hAnsi="Calibri" w:cs="Times New Roman"/>
          <w:szCs w:val="21"/>
        </w:rPr>
        <w:t>Shucksmith</w:t>
      </w:r>
      <w:proofErr w:type="spellEnd"/>
      <w:r w:rsidRPr="00F46680">
        <w:rPr>
          <w:rFonts w:ascii="Calibri" w:eastAsia="Calibri" w:hAnsi="Calibri" w:cs="Times New Roman"/>
          <w:szCs w:val="21"/>
        </w:rPr>
        <w:t xml:space="preserve">, J. and </w:t>
      </w:r>
      <w:proofErr w:type="spellStart"/>
      <w:r w:rsidRPr="00F46680">
        <w:rPr>
          <w:rFonts w:ascii="Calibri" w:eastAsia="Calibri" w:hAnsi="Calibri" w:cs="Times New Roman"/>
          <w:szCs w:val="21"/>
        </w:rPr>
        <w:t>Carr</w:t>
      </w:r>
      <w:proofErr w:type="spellEnd"/>
      <w:r w:rsidRPr="00F46680">
        <w:rPr>
          <w:rFonts w:ascii="Calibri" w:eastAsia="Calibri" w:hAnsi="Calibri" w:cs="Times New Roman"/>
          <w:szCs w:val="21"/>
        </w:rPr>
        <w:t xml:space="preserve">, S.M., 2017. Protocol for a realist review of complex interventions to prevent adolescents from engaging in multiple risk behaviours. BMJ open, 7(9), p.e015477. </w:t>
      </w:r>
    </w:p>
    <w:p w14:paraId="1514B406" w14:textId="77777777" w:rsidR="00F46680" w:rsidRPr="00F46680" w:rsidRDefault="00F46680" w:rsidP="00F46680">
      <w:pPr>
        <w:spacing w:after="0" w:line="240" w:lineRule="auto"/>
        <w:rPr>
          <w:rFonts w:ascii="Calibri" w:eastAsia="Calibri" w:hAnsi="Calibri" w:cs="Times New Roman"/>
          <w:szCs w:val="21"/>
        </w:rPr>
      </w:pPr>
    </w:p>
    <w:p w14:paraId="564AFBEE" w14:textId="77777777" w:rsidR="00F46680" w:rsidRPr="00F46680" w:rsidRDefault="00F46680" w:rsidP="00F46680">
      <w:pPr>
        <w:spacing w:after="0" w:line="240" w:lineRule="auto"/>
        <w:rPr>
          <w:rFonts w:ascii="Calibri" w:eastAsia="Calibri" w:hAnsi="Calibri" w:cs="Times New Roman"/>
          <w:szCs w:val="21"/>
        </w:rPr>
      </w:pPr>
      <w:proofErr w:type="spellStart"/>
      <w:r w:rsidRPr="00F46680">
        <w:rPr>
          <w:rFonts w:ascii="Calibri" w:eastAsia="Calibri" w:hAnsi="Calibri" w:cs="Times New Roman"/>
          <w:szCs w:val="21"/>
        </w:rPr>
        <w:t>Gaetz</w:t>
      </w:r>
      <w:proofErr w:type="spellEnd"/>
      <w:r w:rsidRPr="00F46680">
        <w:rPr>
          <w:rFonts w:ascii="Calibri" w:eastAsia="Calibri" w:hAnsi="Calibri" w:cs="Times New Roman"/>
          <w:szCs w:val="21"/>
        </w:rPr>
        <w:t xml:space="preserve">, S., 2004. Safe streets for whom? Homeless youth, social exclusion, and criminal victimisation. Canadian Journal of Criminology and Criminal Justice, 46(4), pp.423-456. </w:t>
      </w:r>
    </w:p>
    <w:p w14:paraId="15AFCAAE" w14:textId="77777777" w:rsidR="00F46680" w:rsidRPr="00F46680" w:rsidRDefault="00F46680" w:rsidP="00F46680">
      <w:pPr>
        <w:spacing w:after="0" w:line="240" w:lineRule="auto"/>
        <w:rPr>
          <w:rFonts w:ascii="Calibri" w:eastAsia="Calibri" w:hAnsi="Calibri" w:cs="Times New Roman"/>
          <w:szCs w:val="21"/>
        </w:rPr>
      </w:pPr>
    </w:p>
    <w:p w14:paraId="13FF3A4C"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Madero‐Hernandez, A., 2019. Lifestyle exposure theory of victimisation. The </w:t>
      </w:r>
      <w:proofErr w:type="spellStart"/>
      <w:r w:rsidRPr="00F46680">
        <w:rPr>
          <w:rFonts w:ascii="Calibri" w:eastAsia="Calibri" w:hAnsi="Calibri" w:cs="Times New Roman"/>
          <w:szCs w:val="21"/>
        </w:rPr>
        <w:t>Encyclopedia</w:t>
      </w:r>
      <w:proofErr w:type="spellEnd"/>
      <w:r w:rsidRPr="00F46680">
        <w:rPr>
          <w:rFonts w:ascii="Calibri" w:eastAsia="Calibri" w:hAnsi="Calibri" w:cs="Times New Roman"/>
          <w:szCs w:val="21"/>
        </w:rPr>
        <w:t xml:space="preserve"> of Women and Crime, pp.1-3. </w:t>
      </w:r>
    </w:p>
    <w:p w14:paraId="416C3B38" w14:textId="77777777" w:rsidR="00F46680" w:rsidRPr="00F46680" w:rsidRDefault="00F46680" w:rsidP="00F46680">
      <w:pPr>
        <w:spacing w:after="0" w:line="240" w:lineRule="auto"/>
        <w:rPr>
          <w:rFonts w:ascii="Calibri" w:eastAsia="Calibri" w:hAnsi="Calibri" w:cs="Times New Roman"/>
          <w:szCs w:val="21"/>
        </w:rPr>
      </w:pPr>
    </w:p>
    <w:p w14:paraId="7028A35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Newburn, T. and Stanko, E.A., 2013. When men are victims: The failure of victimology. In Just Boys Doing Business? (pp. 153-165). Routledge.  </w:t>
      </w:r>
    </w:p>
    <w:p w14:paraId="621026B0" w14:textId="77777777" w:rsidR="00F46680" w:rsidRPr="00F46680" w:rsidRDefault="00F46680" w:rsidP="00F46680">
      <w:pPr>
        <w:spacing w:after="0" w:line="240" w:lineRule="auto"/>
        <w:rPr>
          <w:rFonts w:ascii="Calibri" w:eastAsia="Calibri" w:hAnsi="Calibri" w:cs="Times New Roman"/>
          <w:szCs w:val="21"/>
        </w:rPr>
      </w:pPr>
    </w:p>
    <w:p w14:paraId="20A90A2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lastRenderedPageBreak/>
        <w:t xml:space="preserve">Pratt, T.C. and </w:t>
      </w:r>
      <w:proofErr w:type="spellStart"/>
      <w:r w:rsidRPr="00F46680">
        <w:rPr>
          <w:rFonts w:ascii="Calibri" w:eastAsia="Calibri" w:hAnsi="Calibri" w:cs="Times New Roman"/>
          <w:szCs w:val="21"/>
        </w:rPr>
        <w:t>Turanovic</w:t>
      </w:r>
      <w:proofErr w:type="spellEnd"/>
      <w:r w:rsidRPr="00F46680">
        <w:rPr>
          <w:rFonts w:ascii="Calibri" w:eastAsia="Calibri" w:hAnsi="Calibri" w:cs="Times New Roman"/>
          <w:szCs w:val="21"/>
        </w:rPr>
        <w:t xml:space="preserve">, J.J., 2016. Lifestyle and routine activity theories revisited: The importance of “risk” to the study of victimisation. Victims &amp; Offenders, 11(3), pp.335-354. </w:t>
      </w:r>
    </w:p>
    <w:p w14:paraId="0FF82AD4" w14:textId="77777777" w:rsidR="00F46680" w:rsidRPr="00F46680" w:rsidRDefault="00F46680" w:rsidP="00F46680">
      <w:pPr>
        <w:spacing w:after="0" w:line="240" w:lineRule="auto"/>
        <w:rPr>
          <w:rFonts w:ascii="Calibri" w:eastAsia="Calibri" w:hAnsi="Calibri" w:cs="Times New Roman"/>
          <w:szCs w:val="21"/>
        </w:rPr>
      </w:pPr>
    </w:p>
    <w:p w14:paraId="3E8FCF9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Essay Four</w:t>
      </w:r>
    </w:p>
    <w:p w14:paraId="2E1CE0FA" w14:textId="77777777" w:rsidR="00F46680" w:rsidRPr="00F46680" w:rsidRDefault="00F46680" w:rsidP="00F46680">
      <w:pPr>
        <w:spacing w:after="0" w:line="240" w:lineRule="auto"/>
        <w:rPr>
          <w:rFonts w:ascii="Calibri" w:eastAsia="Calibri" w:hAnsi="Calibri" w:cs="Times New Roman"/>
          <w:szCs w:val="21"/>
        </w:rPr>
      </w:pPr>
    </w:p>
    <w:p w14:paraId="24EFA4F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Partnership Approach in Reoffending Prevention</w:t>
      </w:r>
    </w:p>
    <w:p w14:paraId="1898A93E" w14:textId="77777777" w:rsidR="00F46680" w:rsidRPr="00F46680" w:rsidRDefault="00F46680" w:rsidP="00F46680">
      <w:pPr>
        <w:spacing w:after="0" w:line="240" w:lineRule="auto"/>
        <w:rPr>
          <w:rFonts w:ascii="Calibri" w:eastAsia="Calibri" w:hAnsi="Calibri" w:cs="Times New Roman"/>
          <w:szCs w:val="21"/>
        </w:rPr>
      </w:pPr>
    </w:p>
    <w:p w14:paraId="33A17F9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The quest for an effective strategy for mitigating reoffending has been an enduring global challenge for criminal justice systems. While different approaches have been utilised over the years, a partnership approach has morphed into one of the most effective means to tackle this intricate issue (</w:t>
      </w:r>
      <w:proofErr w:type="spellStart"/>
      <w:r w:rsidRPr="00F46680">
        <w:rPr>
          <w:rFonts w:ascii="Calibri" w:eastAsia="Calibri" w:hAnsi="Calibri" w:cs="Times New Roman"/>
          <w:szCs w:val="21"/>
        </w:rPr>
        <w:t>villettaz</w:t>
      </w:r>
      <w:proofErr w:type="spellEnd"/>
      <w:r w:rsidRPr="00F46680">
        <w:rPr>
          <w:rFonts w:ascii="Calibri" w:eastAsia="Calibri" w:hAnsi="Calibri" w:cs="Times New Roman"/>
          <w:szCs w:val="21"/>
        </w:rPr>
        <w:t>, 2015, p.12). This essay dissects the reasons behind the efficacy of a partnership approach in mitigating reoffending, examining the collaborative efforts among non-governmental entities, community organisations, and governmental agencies. By delving into core factors like rehabilitation initiatives, nuanced support systems, and the promotion of social inclusion, this paper illuminates the multidimensional advantages of partnership approaches in promoting less punitive and more rehabilitative criminal justice systems.</w:t>
      </w:r>
    </w:p>
    <w:p w14:paraId="55A9D745" w14:textId="77777777" w:rsidR="00F46680" w:rsidRPr="00F46680" w:rsidRDefault="00F46680" w:rsidP="00F46680">
      <w:pPr>
        <w:spacing w:after="0" w:line="240" w:lineRule="auto"/>
        <w:rPr>
          <w:rFonts w:ascii="Calibri" w:eastAsia="Calibri" w:hAnsi="Calibri" w:cs="Times New Roman"/>
          <w:szCs w:val="21"/>
        </w:rPr>
      </w:pPr>
    </w:p>
    <w:p w14:paraId="6FB44A1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Comprehensive Support Systems</w:t>
      </w:r>
    </w:p>
    <w:p w14:paraId="728BD80E" w14:textId="77777777" w:rsidR="00F46680" w:rsidRPr="00F46680" w:rsidRDefault="00F46680" w:rsidP="00F46680">
      <w:pPr>
        <w:spacing w:after="0" w:line="240" w:lineRule="auto"/>
        <w:rPr>
          <w:rFonts w:ascii="Calibri" w:eastAsia="Calibri" w:hAnsi="Calibri" w:cs="Times New Roman"/>
          <w:szCs w:val="21"/>
        </w:rPr>
      </w:pPr>
    </w:p>
    <w:p w14:paraId="79EC80C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A partnership approach flourishes in curbing reoffending primarily because of its capacity to establish nuanced support systems. Within the criminal justice, persons who have committed offences usually struggle with numerous underlying issues, such as limited access to employment and education opportunities, mental health issues, and substance abuse (Van </w:t>
      </w:r>
      <w:proofErr w:type="spellStart"/>
      <w:r w:rsidRPr="00F46680">
        <w:rPr>
          <w:rFonts w:ascii="Calibri" w:eastAsia="Calibri" w:hAnsi="Calibri" w:cs="Times New Roman"/>
          <w:szCs w:val="21"/>
        </w:rPr>
        <w:t>Olphen</w:t>
      </w:r>
      <w:proofErr w:type="spellEnd"/>
      <w:r w:rsidRPr="00F46680">
        <w:rPr>
          <w:rFonts w:ascii="Calibri" w:eastAsia="Calibri" w:hAnsi="Calibri" w:cs="Times New Roman"/>
          <w:szCs w:val="21"/>
        </w:rPr>
        <w:t xml:space="preserve"> et al., 2009, p.7). Isolating these issues and tackling them in isolation is an ineffective approach. Instead, collaboration between non-profits, community organisations, and governmental agencies promotes establishing a comprehensive support network.</w:t>
      </w:r>
    </w:p>
    <w:p w14:paraId="01163216" w14:textId="77777777" w:rsidR="00F46680" w:rsidRPr="00F46680" w:rsidRDefault="00F46680" w:rsidP="00F46680">
      <w:pPr>
        <w:spacing w:after="0" w:line="240" w:lineRule="auto"/>
        <w:rPr>
          <w:rFonts w:ascii="Calibri" w:eastAsia="Calibri" w:hAnsi="Calibri" w:cs="Times New Roman"/>
          <w:szCs w:val="21"/>
        </w:rPr>
      </w:pPr>
    </w:p>
    <w:p w14:paraId="4B8C21FA"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In such a network, populations re-entering society can benefit from personalised assistance that simultaneously addresses the interconnected aspects of their lives. For example, substance abuse treatment programs can be effortlessly combined with vocational training and mental health counselling, promoting a more personalised and holistic approach to rehabilitation (Slade et al., 2014, p.16). In turn, this assists individuals in addressing the root causes of their criminal behaviour, minimising the odds of reoffending.</w:t>
      </w:r>
    </w:p>
    <w:p w14:paraId="5A003F33" w14:textId="77777777" w:rsidR="00F46680" w:rsidRPr="00F46680" w:rsidRDefault="00F46680" w:rsidP="00F46680">
      <w:pPr>
        <w:spacing w:after="0" w:line="240" w:lineRule="auto"/>
        <w:rPr>
          <w:rFonts w:ascii="Calibri" w:eastAsia="Calibri" w:hAnsi="Calibri" w:cs="Times New Roman"/>
          <w:szCs w:val="21"/>
        </w:rPr>
      </w:pPr>
    </w:p>
    <w:p w14:paraId="5685627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Furthermore, partnerships enable the pooling of expertise and resources from various stakeholders. Government agencies can offer funding, while non-profit initiatives and community organisations offer personnel and specialised knowledge (Van </w:t>
      </w:r>
      <w:proofErr w:type="spellStart"/>
      <w:r w:rsidRPr="00F46680">
        <w:rPr>
          <w:rFonts w:ascii="Calibri" w:eastAsia="Calibri" w:hAnsi="Calibri" w:cs="Times New Roman"/>
          <w:szCs w:val="21"/>
        </w:rPr>
        <w:t>Olphen</w:t>
      </w:r>
      <w:proofErr w:type="spellEnd"/>
      <w:r w:rsidRPr="00F46680">
        <w:rPr>
          <w:rFonts w:ascii="Calibri" w:eastAsia="Calibri" w:hAnsi="Calibri" w:cs="Times New Roman"/>
          <w:szCs w:val="21"/>
        </w:rPr>
        <w:t xml:space="preserve"> et al., 2009, p.5). This synergy boosts the accessibility and quality of support services, making it more likely for people to seamlessly reintegrate into society without returning to a life of crime. </w:t>
      </w:r>
    </w:p>
    <w:p w14:paraId="562042E1" w14:textId="77777777" w:rsidR="00F46680" w:rsidRPr="00F46680" w:rsidRDefault="00F46680" w:rsidP="00F46680">
      <w:pPr>
        <w:spacing w:after="0" w:line="240" w:lineRule="auto"/>
        <w:rPr>
          <w:rFonts w:ascii="Calibri" w:eastAsia="Calibri" w:hAnsi="Calibri" w:cs="Times New Roman"/>
          <w:szCs w:val="21"/>
        </w:rPr>
      </w:pPr>
    </w:p>
    <w:p w14:paraId="2EB29A0A"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Rehabilitation Initiatives</w:t>
      </w:r>
    </w:p>
    <w:p w14:paraId="14CC457B" w14:textId="77777777" w:rsidR="00F46680" w:rsidRPr="00F46680" w:rsidRDefault="00F46680" w:rsidP="00F46680">
      <w:pPr>
        <w:spacing w:after="0" w:line="240" w:lineRule="auto"/>
        <w:rPr>
          <w:rFonts w:ascii="Calibri" w:eastAsia="Calibri" w:hAnsi="Calibri" w:cs="Times New Roman"/>
          <w:szCs w:val="21"/>
        </w:rPr>
      </w:pPr>
    </w:p>
    <w:p w14:paraId="7B923CF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A crucial component of the partnership approach’s efficacy in mitigating reoffending lies in its focus on rehabilitation over punishment. Traditional punitive approaches tend to propagate a cycle of criminal behaviour, as they usually do little or nothing to address the underlying causes of offending (Squires and Stephen, 2013). Contrariwise, a partnership approach prioritises rehabilitation strategies geared towards personal growth and reintegration. By acknowledging the need to address the root causes of criminal behaviour, such as mental health issues, substance abuse, and limited access to education and employment opportunities, partnerships foster a more personalised and holistic approach to rehabilitation (Squires and Stephen, 2013). In turn, this </w:t>
      </w:r>
      <w:r w:rsidRPr="00F46680">
        <w:rPr>
          <w:rFonts w:ascii="Calibri" w:eastAsia="Calibri" w:hAnsi="Calibri" w:cs="Times New Roman"/>
          <w:szCs w:val="21"/>
        </w:rPr>
        <w:lastRenderedPageBreak/>
        <w:t xml:space="preserve">furnishes individuals with the essential support and skills to break free from the cycle of crime and reintegrate into society as law-abiding citizens, eventually minimising the possibility of reoffending. </w:t>
      </w:r>
    </w:p>
    <w:p w14:paraId="343A0CA0" w14:textId="77777777" w:rsidR="00F46680" w:rsidRPr="00F46680" w:rsidRDefault="00F46680" w:rsidP="00F46680">
      <w:pPr>
        <w:spacing w:after="0" w:line="240" w:lineRule="auto"/>
        <w:rPr>
          <w:rFonts w:ascii="Calibri" w:eastAsia="Calibri" w:hAnsi="Calibri" w:cs="Times New Roman"/>
          <w:szCs w:val="21"/>
        </w:rPr>
      </w:pPr>
    </w:p>
    <w:p w14:paraId="32032CD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Within these partnerships, people re-entering society are exposed to several rehabilitation programs. Anger management courses, educational opportunities, and cognitive-behavioural therapy can be incorporated into rehabilitation (Taylor et al., 2002, p.160). By targeting the behavioural and psychological aspects of criminal behaviour, these initiatives reshape individuals’ decision-making and thought patterns, minimising the chance of reoffending.</w:t>
      </w:r>
    </w:p>
    <w:p w14:paraId="3EDB2DD6" w14:textId="77777777" w:rsidR="00F46680" w:rsidRPr="00F46680" w:rsidRDefault="00F46680" w:rsidP="00F46680">
      <w:pPr>
        <w:spacing w:after="0" w:line="240" w:lineRule="auto"/>
        <w:rPr>
          <w:rFonts w:ascii="Calibri" w:eastAsia="Calibri" w:hAnsi="Calibri" w:cs="Times New Roman"/>
          <w:szCs w:val="21"/>
        </w:rPr>
      </w:pPr>
    </w:p>
    <w:p w14:paraId="797A3165"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Furthermore, partnerships in reintegration programs for people with criminal backgrounds are crucial for many reasons. Other than resource pooling, they act as a bridge connecting several aspects of society. In these partnerships, government agencies can give funding, ensuring the availability of vital financial resources (La </w:t>
      </w:r>
      <w:proofErr w:type="spellStart"/>
      <w:r w:rsidRPr="00F46680">
        <w:rPr>
          <w:rFonts w:ascii="Calibri" w:eastAsia="Calibri" w:hAnsi="Calibri" w:cs="Times New Roman"/>
          <w:szCs w:val="21"/>
        </w:rPr>
        <w:t>Vigne</w:t>
      </w:r>
      <w:proofErr w:type="spellEnd"/>
      <w:r w:rsidRPr="00F46680">
        <w:rPr>
          <w:rFonts w:ascii="Calibri" w:eastAsia="Calibri" w:hAnsi="Calibri" w:cs="Times New Roman"/>
          <w:szCs w:val="21"/>
        </w:rPr>
        <w:t xml:space="preserve">, 2003). At the same time, non-profits and community organisations bring skilled personnel and significant specialised knowledge to the table, supporting government efforts. This harmonious synergy not only cuts costs but also boosts the accessibility and quality of support services (La </w:t>
      </w:r>
      <w:proofErr w:type="spellStart"/>
      <w:r w:rsidRPr="00F46680">
        <w:rPr>
          <w:rFonts w:ascii="Calibri" w:eastAsia="Calibri" w:hAnsi="Calibri" w:cs="Times New Roman"/>
          <w:szCs w:val="21"/>
        </w:rPr>
        <w:t>Vigne</w:t>
      </w:r>
      <w:proofErr w:type="spellEnd"/>
      <w:r w:rsidRPr="00F46680">
        <w:rPr>
          <w:rFonts w:ascii="Calibri" w:eastAsia="Calibri" w:hAnsi="Calibri" w:cs="Times New Roman"/>
          <w:szCs w:val="21"/>
        </w:rPr>
        <w:t xml:space="preserve">, 2003). By merging proficiency and resources, these partnerships create a nuanced support system that tackles the multidimensional needs of people seeking to reintegrate into society. Such holistic support significantly improves the chances of seamless reintegration while minimising the odds of individuals returning to a life of crime. </w:t>
      </w:r>
    </w:p>
    <w:p w14:paraId="5FC5FAE8" w14:textId="77777777" w:rsidR="00F46680" w:rsidRPr="00F46680" w:rsidRDefault="00F46680" w:rsidP="00F46680">
      <w:pPr>
        <w:spacing w:after="0" w:line="240" w:lineRule="auto"/>
        <w:rPr>
          <w:rFonts w:ascii="Calibri" w:eastAsia="Calibri" w:hAnsi="Calibri" w:cs="Times New Roman"/>
          <w:szCs w:val="21"/>
        </w:rPr>
      </w:pPr>
    </w:p>
    <w:p w14:paraId="49378301"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Promoting Social Inclusion</w:t>
      </w:r>
    </w:p>
    <w:p w14:paraId="71A98657" w14:textId="77777777" w:rsidR="00F46680" w:rsidRPr="00F46680" w:rsidRDefault="00F46680" w:rsidP="00F46680">
      <w:pPr>
        <w:spacing w:after="0" w:line="240" w:lineRule="auto"/>
        <w:rPr>
          <w:rFonts w:ascii="Calibri" w:eastAsia="Calibri" w:hAnsi="Calibri" w:cs="Times New Roman"/>
          <w:szCs w:val="21"/>
        </w:rPr>
      </w:pPr>
    </w:p>
    <w:p w14:paraId="0F93B4AA"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A partnership approach also significantly effectively mitigates reoffending by actively promoting social inclusion. The moment people are released following their incarceration, they face one of the most daunting challenges in their journey towards rehabilitation: the social isolation and widespread stigma that results from their criminal history (Van </w:t>
      </w:r>
      <w:proofErr w:type="spellStart"/>
      <w:r w:rsidRPr="00F46680">
        <w:rPr>
          <w:rFonts w:ascii="Calibri" w:eastAsia="Calibri" w:hAnsi="Calibri" w:cs="Times New Roman"/>
          <w:szCs w:val="21"/>
        </w:rPr>
        <w:t>Olphen</w:t>
      </w:r>
      <w:proofErr w:type="spellEnd"/>
      <w:r w:rsidRPr="00F46680">
        <w:rPr>
          <w:rFonts w:ascii="Calibri" w:eastAsia="Calibri" w:hAnsi="Calibri" w:cs="Times New Roman"/>
          <w:szCs w:val="21"/>
        </w:rPr>
        <w:t xml:space="preserve"> et al., 2009). This isolation can become a foundation for alienation, despair, and an overwhelming sense of exclusion. In turn, these emotions frequently propel individuals back into the deleterious cycle of criminal activities as they try to find belonging and acceptance in society.</w:t>
      </w:r>
    </w:p>
    <w:p w14:paraId="30869761" w14:textId="77777777" w:rsidR="00F46680" w:rsidRPr="00F46680" w:rsidRDefault="00F46680" w:rsidP="00F46680">
      <w:pPr>
        <w:spacing w:after="0" w:line="240" w:lineRule="auto"/>
        <w:rPr>
          <w:rFonts w:ascii="Calibri" w:eastAsia="Calibri" w:hAnsi="Calibri" w:cs="Times New Roman"/>
          <w:szCs w:val="21"/>
        </w:rPr>
      </w:pPr>
    </w:p>
    <w:p w14:paraId="366A31DD"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Nonetheless, the collaborative efforts between community organisations, government entities, and non-profits, intrinsic in a partnership approach, offer a comprehensive countermeasure to this issue. By offering housing assistance, job placement services, and mentorship programs, these partnerships actively enable the reintegration of previously incarcerated individuals into society (</w:t>
      </w:r>
      <w:proofErr w:type="spellStart"/>
      <w:r w:rsidRPr="00F46680">
        <w:rPr>
          <w:rFonts w:ascii="Calibri" w:eastAsia="Calibri" w:hAnsi="Calibri" w:cs="Times New Roman"/>
          <w:szCs w:val="21"/>
        </w:rPr>
        <w:t>Koschmann</w:t>
      </w:r>
      <w:proofErr w:type="spellEnd"/>
      <w:r w:rsidRPr="00F46680">
        <w:rPr>
          <w:rFonts w:ascii="Calibri" w:eastAsia="Calibri" w:hAnsi="Calibri" w:cs="Times New Roman"/>
          <w:szCs w:val="21"/>
        </w:rPr>
        <w:t xml:space="preserve"> and Peterson, 2013, p.2001). This support allows individuals to rebuild their lives within inclusive and nurturing atmospheres where they can regain a sense of connection, purpose, and hope for a brighter future. Moreover, such partnerships can engage in advocacy efforts and awareness campaigns to fight the prejudice and discrimination faced by people with criminal records (</w:t>
      </w:r>
      <w:proofErr w:type="spellStart"/>
      <w:r w:rsidRPr="00F46680">
        <w:rPr>
          <w:rFonts w:ascii="Calibri" w:eastAsia="Calibri" w:hAnsi="Calibri" w:cs="Times New Roman"/>
          <w:szCs w:val="21"/>
        </w:rPr>
        <w:t>Koschmann</w:t>
      </w:r>
      <w:proofErr w:type="spellEnd"/>
      <w:r w:rsidRPr="00F46680">
        <w:rPr>
          <w:rFonts w:ascii="Calibri" w:eastAsia="Calibri" w:hAnsi="Calibri" w:cs="Times New Roman"/>
          <w:szCs w:val="21"/>
        </w:rPr>
        <w:t xml:space="preserve"> and Peterson, 2013, p.2001). This benefits those directly affected and contributes to fostering a more understanding and empathetic society, reducing the societal pressures that may cause reoffending. </w:t>
      </w:r>
    </w:p>
    <w:p w14:paraId="2307CC05" w14:textId="77777777" w:rsidR="00F46680" w:rsidRPr="00F46680" w:rsidRDefault="00F46680" w:rsidP="00F46680">
      <w:pPr>
        <w:spacing w:after="0" w:line="240" w:lineRule="auto"/>
        <w:rPr>
          <w:rFonts w:ascii="Calibri" w:eastAsia="Calibri" w:hAnsi="Calibri" w:cs="Times New Roman"/>
          <w:szCs w:val="21"/>
        </w:rPr>
      </w:pPr>
    </w:p>
    <w:p w14:paraId="7D2AA265"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Conclusion</w:t>
      </w:r>
    </w:p>
    <w:p w14:paraId="67A500F0" w14:textId="77777777" w:rsidR="00F46680" w:rsidRPr="00F46680" w:rsidRDefault="00F46680" w:rsidP="00F46680">
      <w:pPr>
        <w:spacing w:after="0" w:line="240" w:lineRule="auto"/>
        <w:rPr>
          <w:rFonts w:ascii="Calibri" w:eastAsia="Calibri" w:hAnsi="Calibri" w:cs="Times New Roman"/>
          <w:szCs w:val="21"/>
        </w:rPr>
      </w:pPr>
    </w:p>
    <w:p w14:paraId="4021E7F4"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A partnership approach is one of the most effective strategies for mitigating reoffending in the criminal justice system. Its success and efficacy are engrained in developing nuanced support systems that tackle the multidimensional needs of people re-entering society after incarceration. Through rehabilitation initiatives that focus on individual growth and prioritise reintegration over punitive measures, partnerships reshape an offender’s life’s trajectory. Furthermore, these collaborative efforts promote social inclusion, fighting isolation and stigma that usually triggers reoffending and an overall surge in recidivism rates. By bringing together community organisations, </w:t>
      </w:r>
      <w:r w:rsidRPr="00F46680">
        <w:rPr>
          <w:rFonts w:ascii="Calibri" w:eastAsia="Calibri" w:hAnsi="Calibri" w:cs="Times New Roman"/>
          <w:szCs w:val="21"/>
        </w:rPr>
        <w:lastRenderedPageBreak/>
        <w:t xml:space="preserve">governmental agencies, and non-profits, partnership approaches offer a compassionate and multidimensional response to the issue of reoffending prevention, finally developing a less punitive and more rehabilitative criminal justice system. </w:t>
      </w:r>
    </w:p>
    <w:p w14:paraId="6FCC63A3" w14:textId="77777777" w:rsidR="00F46680" w:rsidRPr="00F46680" w:rsidRDefault="00F46680" w:rsidP="00F46680">
      <w:pPr>
        <w:spacing w:after="0" w:line="240" w:lineRule="auto"/>
        <w:rPr>
          <w:rFonts w:ascii="Calibri" w:eastAsia="Calibri" w:hAnsi="Calibri" w:cs="Times New Roman"/>
          <w:szCs w:val="21"/>
        </w:rPr>
      </w:pPr>
    </w:p>
    <w:p w14:paraId="0F1768EB"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1020A6DD" w14:textId="77777777" w:rsidR="00F46680" w:rsidRPr="00F46680" w:rsidRDefault="00F46680" w:rsidP="00F46680">
      <w:pPr>
        <w:spacing w:after="0" w:line="240" w:lineRule="auto"/>
        <w:rPr>
          <w:rFonts w:ascii="Calibri" w:eastAsia="Calibri" w:hAnsi="Calibri" w:cs="Times New Roman"/>
          <w:szCs w:val="21"/>
        </w:rPr>
      </w:pPr>
    </w:p>
    <w:p w14:paraId="4FAE1532"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646FFFBF" w14:textId="77777777" w:rsidR="00F46680" w:rsidRPr="00F46680" w:rsidRDefault="00F46680" w:rsidP="00F46680">
      <w:pPr>
        <w:spacing w:after="0" w:line="240" w:lineRule="auto"/>
        <w:rPr>
          <w:rFonts w:ascii="Calibri" w:eastAsia="Calibri" w:hAnsi="Calibri" w:cs="Times New Roman"/>
          <w:szCs w:val="21"/>
        </w:rPr>
      </w:pPr>
    </w:p>
    <w:p w14:paraId="37B3216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 </w:t>
      </w:r>
    </w:p>
    <w:p w14:paraId="6E1505D1" w14:textId="77777777" w:rsidR="00F46680" w:rsidRPr="00F46680" w:rsidRDefault="00F46680" w:rsidP="00F46680">
      <w:pPr>
        <w:spacing w:after="0" w:line="240" w:lineRule="auto"/>
        <w:rPr>
          <w:rFonts w:ascii="Calibri" w:eastAsia="Calibri" w:hAnsi="Calibri" w:cs="Times New Roman"/>
          <w:szCs w:val="21"/>
        </w:rPr>
      </w:pPr>
    </w:p>
    <w:p w14:paraId="378D12DF"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References</w:t>
      </w:r>
    </w:p>
    <w:p w14:paraId="3A19B6E0" w14:textId="77777777" w:rsidR="00F46680" w:rsidRPr="00F46680" w:rsidRDefault="00F46680" w:rsidP="00F46680">
      <w:pPr>
        <w:spacing w:after="0" w:line="240" w:lineRule="auto"/>
        <w:rPr>
          <w:rFonts w:ascii="Calibri" w:eastAsia="Calibri" w:hAnsi="Calibri" w:cs="Times New Roman"/>
          <w:szCs w:val="21"/>
        </w:rPr>
      </w:pPr>
    </w:p>
    <w:p w14:paraId="07897C41" w14:textId="77777777" w:rsidR="00F46680" w:rsidRPr="00F46680" w:rsidRDefault="00F46680" w:rsidP="00F46680">
      <w:pPr>
        <w:spacing w:after="0" w:line="240" w:lineRule="auto"/>
        <w:rPr>
          <w:rFonts w:ascii="Calibri" w:eastAsia="Calibri" w:hAnsi="Calibri" w:cs="Times New Roman"/>
          <w:szCs w:val="21"/>
        </w:rPr>
      </w:pPr>
      <w:proofErr w:type="spellStart"/>
      <w:r w:rsidRPr="00F46680">
        <w:rPr>
          <w:rFonts w:ascii="Calibri" w:eastAsia="Calibri" w:hAnsi="Calibri" w:cs="Times New Roman"/>
          <w:szCs w:val="21"/>
        </w:rPr>
        <w:t>Koschmann</w:t>
      </w:r>
      <w:proofErr w:type="spellEnd"/>
      <w:r w:rsidRPr="00F46680">
        <w:rPr>
          <w:rFonts w:ascii="Calibri" w:eastAsia="Calibri" w:hAnsi="Calibri" w:cs="Times New Roman"/>
          <w:szCs w:val="21"/>
        </w:rPr>
        <w:t xml:space="preserve">, </w:t>
      </w:r>
      <w:proofErr w:type="gramStart"/>
      <w:r w:rsidRPr="00F46680">
        <w:rPr>
          <w:rFonts w:ascii="Calibri" w:eastAsia="Calibri" w:hAnsi="Calibri" w:cs="Times New Roman"/>
          <w:szCs w:val="21"/>
        </w:rPr>
        <w:t>M.A.</w:t>
      </w:r>
      <w:proofErr w:type="gramEnd"/>
      <w:r w:rsidRPr="00F46680">
        <w:rPr>
          <w:rFonts w:ascii="Calibri" w:eastAsia="Calibri" w:hAnsi="Calibri" w:cs="Times New Roman"/>
          <w:szCs w:val="21"/>
        </w:rPr>
        <w:t xml:space="preserve"> and Peterson, B.L., 2013. Rethinking recidivism: A communication approach to prisoner </w:t>
      </w:r>
      <w:proofErr w:type="spellStart"/>
      <w:r w:rsidRPr="00F46680">
        <w:rPr>
          <w:rFonts w:ascii="Calibri" w:eastAsia="Calibri" w:hAnsi="Calibri" w:cs="Times New Roman"/>
          <w:szCs w:val="21"/>
        </w:rPr>
        <w:t>reentry</w:t>
      </w:r>
      <w:proofErr w:type="spellEnd"/>
      <w:r w:rsidRPr="00F46680">
        <w:rPr>
          <w:rFonts w:ascii="Calibri" w:eastAsia="Calibri" w:hAnsi="Calibri" w:cs="Times New Roman"/>
          <w:szCs w:val="21"/>
        </w:rPr>
        <w:t xml:space="preserve">. Journal of Applied Social Science, 7(2), pp.188-207.  </w:t>
      </w:r>
    </w:p>
    <w:p w14:paraId="40708B07" w14:textId="77777777" w:rsidR="00F46680" w:rsidRPr="00F46680" w:rsidRDefault="00F46680" w:rsidP="00F46680">
      <w:pPr>
        <w:spacing w:after="0" w:line="240" w:lineRule="auto"/>
        <w:rPr>
          <w:rFonts w:ascii="Calibri" w:eastAsia="Calibri" w:hAnsi="Calibri" w:cs="Times New Roman"/>
          <w:szCs w:val="21"/>
        </w:rPr>
      </w:pPr>
    </w:p>
    <w:p w14:paraId="389254F9"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La </w:t>
      </w:r>
      <w:proofErr w:type="spellStart"/>
      <w:r w:rsidRPr="00F46680">
        <w:rPr>
          <w:rFonts w:ascii="Calibri" w:eastAsia="Calibri" w:hAnsi="Calibri" w:cs="Times New Roman"/>
          <w:szCs w:val="21"/>
        </w:rPr>
        <w:t>Vigne</w:t>
      </w:r>
      <w:proofErr w:type="spellEnd"/>
      <w:r w:rsidRPr="00F46680">
        <w:rPr>
          <w:rFonts w:ascii="Calibri" w:eastAsia="Calibri" w:hAnsi="Calibri" w:cs="Times New Roman"/>
          <w:szCs w:val="21"/>
        </w:rPr>
        <w:t xml:space="preserve">, N.G., 2003. A portrait of prisoner </w:t>
      </w:r>
      <w:proofErr w:type="spellStart"/>
      <w:r w:rsidRPr="00F46680">
        <w:rPr>
          <w:rFonts w:ascii="Calibri" w:eastAsia="Calibri" w:hAnsi="Calibri" w:cs="Times New Roman"/>
          <w:szCs w:val="21"/>
        </w:rPr>
        <w:t>reentry</w:t>
      </w:r>
      <w:proofErr w:type="spellEnd"/>
      <w:r w:rsidRPr="00F46680">
        <w:rPr>
          <w:rFonts w:ascii="Calibri" w:eastAsia="Calibri" w:hAnsi="Calibri" w:cs="Times New Roman"/>
          <w:szCs w:val="21"/>
        </w:rPr>
        <w:t xml:space="preserve"> in Maryland.</w:t>
      </w:r>
    </w:p>
    <w:p w14:paraId="60D2AE98" w14:textId="77777777" w:rsidR="00F46680" w:rsidRPr="00F46680" w:rsidRDefault="00F46680" w:rsidP="00F46680">
      <w:pPr>
        <w:spacing w:after="0" w:line="240" w:lineRule="auto"/>
        <w:rPr>
          <w:rFonts w:ascii="Calibri" w:eastAsia="Calibri" w:hAnsi="Calibri" w:cs="Times New Roman"/>
          <w:szCs w:val="21"/>
        </w:rPr>
      </w:pPr>
    </w:p>
    <w:p w14:paraId="0D80EAC4"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Slade, M., </w:t>
      </w:r>
      <w:proofErr w:type="spellStart"/>
      <w:r w:rsidRPr="00F46680">
        <w:rPr>
          <w:rFonts w:ascii="Calibri" w:eastAsia="Calibri" w:hAnsi="Calibri" w:cs="Times New Roman"/>
          <w:szCs w:val="21"/>
        </w:rPr>
        <w:t>Amering</w:t>
      </w:r>
      <w:proofErr w:type="spellEnd"/>
      <w:r w:rsidRPr="00F46680">
        <w:rPr>
          <w:rFonts w:ascii="Calibri" w:eastAsia="Calibri" w:hAnsi="Calibri" w:cs="Times New Roman"/>
          <w:szCs w:val="21"/>
        </w:rPr>
        <w:t xml:space="preserve">, M., Farkas, M., Hamilton, B., O’Hagan, M., Panther, G., Perkins, R., Shepherd, G., </w:t>
      </w:r>
      <w:proofErr w:type="spellStart"/>
      <w:r w:rsidRPr="00F46680">
        <w:rPr>
          <w:rFonts w:ascii="Calibri" w:eastAsia="Calibri" w:hAnsi="Calibri" w:cs="Times New Roman"/>
          <w:szCs w:val="21"/>
        </w:rPr>
        <w:t>Tse</w:t>
      </w:r>
      <w:proofErr w:type="spellEnd"/>
      <w:r w:rsidRPr="00F46680">
        <w:rPr>
          <w:rFonts w:ascii="Calibri" w:eastAsia="Calibri" w:hAnsi="Calibri" w:cs="Times New Roman"/>
          <w:szCs w:val="21"/>
        </w:rPr>
        <w:t>, S. and Whitley, R., 2014. Uses and abuses of recovery: implementing recovery‐oriented practices in mental health systems. World Psychiatry, 13(1), pp.12-20.</w:t>
      </w:r>
    </w:p>
    <w:p w14:paraId="25BB2A1C" w14:textId="77777777" w:rsidR="00F46680" w:rsidRPr="00F46680" w:rsidRDefault="00F46680" w:rsidP="00F46680">
      <w:pPr>
        <w:spacing w:after="0" w:line="240" w:lineRule="auto"/>
        <w:rPr>
          <w:rFonts w:ascii="Calibri" w:eastAsia="Calibri" w:hAnsi="Calibri" w:cs="Times New Roman"/>
          <w:szCs w:val="21"/>
        </w:rPr>
      </w:pPr>
    </w:p>
    <w:p w14:paraId="184B43E6"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Squires, P. and Stephen, D., 2013. Rougher justice. Routledge. </w:t>
      </w:r>
    </w:p>
    <w:p w14:paraId="1A788C39" w14:textId="77777777" w:rsidR="00F46680" w:rsidRPr="00F46680" w:rsidRDefault="00F46680" w:rsidP="00F46680">
      <w:pPr>
        <w:spacing w:after="0" w:line="240" w:lineRule="auto"/>
        <w:rPr>
          <w:rFonts w:ascii="Calibri" w:eastAsia="Calibri" w:hAnsi="Calibri" w:cs="Times New Roman"/>
          <w:szCs w:val="21"/>
        </w:rPr>
      </w:pPr>
    </w:p>
    <w:p w14:paraId="1DA82CFE"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Taylor, J.L., </w:t>
      </w:r>
      <w:proofErr w:type="spellStart"/>
      <w:r w:rsidRPr="00F46680">
        <w:rPr>
          <w:rFonts w:ascii="Calibri" w:eastAsia="Calibri" w:hAnsi="Calibri" w:cs="Times New Roman"/>
          <w:szCs w:val="21"/>
        </w:rPr>
        <w:t>Novaco</w:t>
      </w:r>
      <w:proofErr w:type="spellEnd"/>
      <w:r w:rsidRPr="00F46680">
        <w:rPr>
          <w:rFonts w:ascii="Calibri" w:eastAsia="Calibri" w:hAnsi="Calibri" w:cs="Times New Roman"/>
          <w:szCs w:val="21"/>
        </w:rPr>
        <w:t xml:space="preserve">, R.W., </w:t>
      </w:r>
      <w:proofErr w:type="spellStart"/>
      <w:r w:rsidRPr="00F46680">
        <w:rPr>
          <w:rFonts w:ascii="Calibri" w:eastAsia="Calibri" w:hAnsi="Calibri" w:cs="Times New Roman"/>
          <w:szCs w:val="21"/>
        </w:rPr>
        <w:t>Gillmer</w:t>
      </w:r>
      <w:proofErr w:type="spellEnd"/>
      <w:r w:rsidRPr="00F46680">
        <w:rPr>
          <w:rFonts w:ascii="Calibri" w:eastAsia="Calibri" w:hAnsi="Calibri" w:cs="Times New Roman"/>
          <w:szCs w:val="21"/>
        </w:rPr>
        <w:t xml:space="preserve">, B. and Thorne, I., 2002. Cognitive–behavioural treatment of anger intensity among offenders with intellectual disabilities. Journal of Applied Research in Intellectual Disabilities, 15(2), pp.151-165. </w:t>
      </w:r>
    </w:p>
    <w:p w14:paraId="57D2CE49" w14:textId="77777777" w:rsidR="00F46680" w:rsidRPr="00F46680" w:rsidRDefault="00F46680" w:rsidP="00F46680">
      <w:pPr>
        <w:spacing w:after="0" w:line="240" w:lineRule="auto"/>
        <w:rPr>
          <w:rFonts w:ascii="Calibri" w:eastAsia="Calibri" w:hAnsi="Calibri" w:cs="Times New Roman"/>
          <w:szCs w:val="21"/>
        </w:rPr>
      </w:pPr>
    </w:p>
    <w:p w14:paraId="4D40A155" w14:textId="77777777" w:rsidR="00F46680" w:rsidRPr="00F46680" w:rsidRDefault="00F46680" w:rsidP="00F46680">
      <w:pPr>
        <w:spacing w:after="0" w:line="240" w:lineRule="auto"/>
        <w:rPr>
          <w:rFonts w:ascii="Calibri" w:eastAsia="Calibri" w:hAnsi="Calibri" w:cs="Times New Roman"/>
          <w:szCs w:val="21"/>
        </w:rPr>
      </w:pPr>
      <w:r w:rsidRPr="00F46680">
        <w:rPr>
          <w:rFonts w:ascii="Calibri" w:eastAsia="Calibri" w:hAnsi="Calibri" w:cs="Times New Roman"/>
          <w:szCs w:val="21"/>
        </w:rPr>
        <w:t xml:space="preserve">Van </w:t>
      </w:r>
      <w:proofErr w:type="spellStart"/>
      <w:r w:rsidRPr="00F46680">
        <w:rPr>
          <w:rFonts w:ascii="Calibri" w:eastAsia="Calibri" w:hAnsi="Calibri" w:cs="Times New Roman"/>
          <w:szCs w:val="21"/>
        </w:rPr>
        <w:t>Olphen</w:t>
      </w:r>
      <w:proofErr w:type="spellEnd"/>
      <w:r w:rsidRPr="00F46680">
        <w:rPr>
          <w:rFonts w:ascii="Calibri" w:eastAsia="Calibri" w:hAnsi="Calibri" w:cs="Times New Roman"/>
          <w:szCs w:val="21"/>
        </w:rPr>
        <w:t xml:space="preserve">, J., Eliason, M.J., Freudenberg, N. and Barnes, M., 2009. Nowhere to go: How stigma limits the options of female drug users after release from jail. Substance abuse treatment, prevention, and policy, 4(1), pp.1-10. </w:t>
      </w:r>
    </w:p>
    <w:p w14:paraId="437A196A" w14:textId="77777777" w:rsidR="00F46680" w:rsidRPr="00F46680" w:rsidRDefault="00F46680" w:rsidP="00F46680">
      <w:pPr>
        <w:spacing w:after="0" w:line="240" w:lineRule="auto"/>
        <w:rPr>
          <w:rFonts w:ascii="Calibri" w:eastAsia="Calibri" w:hAnsi="Calibri" w:cs="Times New Roman"/>
          <w:szCs w:val="21"/>
        </w:rPr>
      </w:pPr>
    </w:p>
    <w:p w14:paraId="3E2DC1B0" w14:textId="77777777" w:rsidR="00F46680" w:rsidRPr="00F46680" w:rsidRDefault="00F46680" w:rsidP="00F46680">
      <w:pPr>
        <w:spacing w:after="0" w:line="240" w:lineRule="auto"/>
        <w:rPr>
          <w:rFonts w:ascii="Calibri" w:eastAsia="Calibri" w:hAnsi="Calibri" w:cs="Times New Roman"/>
          <w:szCs w:val="21"/>
        </w:rPr>
      </w:pPr>
      <w:proofErr w:type="spellStart"/>
      <w:r w:rsidRPr="00F46680">
        <w:rPr>
          <w:rFonts w:ascii="Calibri" w:eastAsia="Calibri" w:hAnsi="Calibri" w:cs="Times New Roman"/>
          <w:szCs w:val="21"/>
        </w:rPr>
        <w:t>Villettaz</w:t>
      </w:r>
      <w:proofErr w:type="spellEnd"/>
      <w:r w:rsidRPr="00F46680">
        <w:rPr>
          <w:rFonts w:ascii="Calibri" w:eastAsia="Calibri" w:hAnsi="Calibri" w:cs="Times New Roman"/>
          <w:szCs w:val="21"/>
        </w:rPr>
        <w:t xml:space="preserve">, P., </w:t>
      </w:r>
      <w:proofErr w:type="spellStart"/>
      <w:r w:rsidRPr="00F46680">
        <w:rPr>
          <w:rFonts w:ascii="Calibri" w:eastAsia="Calibri" w:hAnsi="Calibri" w:cs="Times New Roman"/>
          <w:szCs w:val="21"/>
        </w:rPr>
        <w:t>Gillieron</w:t>
      </w:r>
      <w:proofErr w:type="spellEnd"/>
      <w:r w:rsidRPr="00F46680">
        <w:rPr>
          <w:rFonts w:ascii="Calibri" w:eastAsia="Calibri" w:hAnsi="Calibri" w:cs="Times New Roman"/>
          <w:szCs w:val="21"/>
        </w:rPr>
        <w:t xml:space="preserve">, G. and </w:t>
      </w:r>
      <w:proofErr w:type="spellStart"/>
      <w:r w:rsidRPr="00F46680">
        <w:rPr>
          <w:rFonts w:ascii="Calibri" w:eastAsia="Calibri" w:hAnsi="Calibri" w:cs="Times New Roman"/>
          <w:szCs w:val="21"/>
        </w:rPr>
        <w:t>Killias</w:t>
      </w:r>
      <w:proofErr w:type="spellEnd"/>
      <w:r w:rsidRPr="00F46680">
        <w:rPr>
          <w:rFonts w:ascii="Calibri" w:eastAsia="Calibri" w:hAnsi="Calibri" w:cs="Times New Roman"/>
          <w:szCs w:val="21"/>
        </w:rPr>
        <w:t xml:space="preserve">, M., 2015. The effects on reoffending of custodial vs. non‐custodial sanctions: An updated systematic review of the state of knowledge. Campbell Systematic Reviews, 11(1), pp.1-92. </w:t>
      </w:r>
    </w:p>
    <w:p w14:paraId="7CC6F287" w14:textId="77777777" w:rsidR="00757B24" w:rsidRDefault="009F371A"/>
    <w:sectPr w:rsidR="00757B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680"/>
    <w:rsid w:val="002230B7"/>
    <w:rsid w:val="009F371A"/>
    <w:rsid w:val="00D21649"/>
    <w:rsid w:val="00F4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31F54"/>
  <w15:chartTrackingRefBased/>
  <w15:docId w15:val="{25773E45-A03F-44C8-ACE8-650C4776E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56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3" ma:contentTypeDescription="Create a new document." ma:contentTypeScope="" ma:versionID="30533d18d5ba4c4e76bf30e3f42a44f7">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f42254bb4318522f502da6bc53146954"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27e797c-4fb4-4db6-98ba-0b3275687411" xsi:nil="true"/>
  </documentManagement>
</p:properties>
</file>

<file path=customXml/itemProps1.xml><?xml version="1.0" encoding="utf-8"?>
<ds:datastoreItem xmlns:ds="http://schemas.openxmlformats.org/officeDocument/2006/customXml" ds:itemID="{99D75C4B-89A4-4740-9BE7-DB4CEC79B803}">
  <ds:schemaRefs>
    <ds:schemaRef ds:uri="http://schemas.microsoft.com/sharepoint/v3/contenttype/forms"/>
  </ds:schemaRefs>
</ds:datastoreItem>
</file>

<file path=customXml/itemProps2.xml><?xml version="1.0" encoding="utf-8"?>
<ds:datastoreItem xmlns:ds="http://schemas.openxmlformats.org/officeDocument/2006/customXml" ds:itemID="{51C03B6B-8D43-44AE-A047-00E69ACC1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3AD50A-B9DC-446A-8124-89C2B779D370}">
  <ds:schemaRefs>
    <ds:schemaRef ds:uri="627e797c-4fb4-4db6-98ba-0b3275687411"/>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a009ffaf-daef-4566-8b5a-5d730c96ca0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5215</Words>
  <Characters>29726</Characters>
  <Application>Microsoft Office Word</Application>
  <DocSecurity>0</DocSecurity>
  <Lines>247</Lines>
  <Paragraphs>69</Paragraphs>
  <ScaleCrop>false</ScaleCrop>
  <Company>Gwent Police</Company>
  <LinksUpToDate>false</LinksUpToDate>
  <CharactersWithSpaces>34872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2</cp:revision>
  <dcterms:created xsi:type="dcterms:W3CDTF">2023-11-02T15:06:00Z</dcterms:created>
  <dcterms:modified xsi:type="dcterms:W3CDTF">2023-11-02T15:06:00Z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2023-11-02T15:03:00Z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1d27f3af-fb02-426a-b8ca-9e4c5b3be7b0</vt:lpwstr>
  </property>
  <property fmtid="{D5CDD505-2E9C-101B-9397-08002B2CF9AE}" pid="9" name="MSIP_Label_f2acd28b-79a3-4a0f-b0ff-4b75658b1549_ContentBits">
    <vt:lpwstr>0</vt:lpwstr>
  </property>
</Properties>
</file>