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media/image2.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keepNext w:val="0"/>
        <w:keepLines w:val="0"/>
        <w:widowControl/>
        <w:suppressLineNumbers w:val="0"/>
        <w:spacing w:before="0" w:beforeAutospacing="0" w:after="0" w:afterAutospacing="0"/>
        <w:ind w:left="0" w:right="0"/>
        <w:jc w:val="center"/>
        <w:rPr>
          <w:rFonts w:hint="default" w:ascii="Times New Roman Regular" w:hAnsi="Times New Roman Regular" w:cs="Times New Roman Regular"/>
          <w:sz w:val="28"/>
          <w:szCs w:val="28"/>
          <w:lang w:val="en-US" w:eastAsia="zh-CN"/>
        </w:rPr>
      </w:pPr>
      <w:r>
        <w:rPr>
          <w:rFonts w:hint="default" w:ascii="Times New Roman Regular" w:hAnsi="Times New Roman Regular" w:cs="Times New Roman Regular"/>
          <w:sz w:val="28"/>
          <w:szCs w:val="28"/>
          <w:lang w:val="en-US" w:eastAsia="zh-CN"/>
        </w:rPr>
        <w:t xml:space="preserve">Policy Report: China’s National Standard for Teachers’ Digital Literacy </w:t>
      </w:r>
    </w:p>
    <w:p>
      <w:pPr>
        <w:jc w:val="center"/>
        <w:rPr>
          <w:rFonts w:hint="default" w:ascii="Times New Roman Regular" w:hAnsi="Times New Roman Regular" w:cs="Times New Roman Regular"/>
          <w:lang w:val="en-US" w:eastAsia="zh-CN"/>
        </w:rPr>
      </w:pPr>
    </w:p>
    <w:p>
      <w:pPr>
        <w:numPr>
          <w:ilvl w:val="0"/>
          <w:numId w:val="0"/>
        </w:numPr>
        <w:rPr>
          <w:rFonts w:hint="default" w:ascii="Times New Roman Regular" w:hAnsi="Times New Roman Regular" w:cs="Times New Roman Regular"/>
          <w:b/>
          <w:bCs/>
          <w:sz w:val="28"/>
          <w:szCs w:val="28"/>
          <w:lang w:val="en-US" w:eastAsia="zh-CN"/>
        </w:rPr>
      </w:pPr>
      <w:r>
        <w:rPr>
          <w:rFonts w:hint="default" w:ascii="Times New Roman Bold" w:hAnsi="Times New Roman Bold" w:cs="Times New Roman Bold"/>
          <w:b/>
          <w:bCs w:val="0"/>
          <w:sz w:val="28"/>
          <w:szCs w:val="28"/>
          <w:lang w:val="en-US" w:eastAsia="zh-CN"/>
        </w:rPr>
        <w:t>Introduction</w:t>
      </w:r>
      <w:r>
        <w:rPr>
          <w:rFonts w:hint="default" w:ascii="Times New Roman Regular" w:hAnsi="Times New Roman Regular" w:cs="Times New Roman Regular"/>
          <w:b/>
          <w:bCs/>
          <w:sz w:val="28"/>
          <w:szCs w:val="28"/>
          <w:lang w:val="en-US" w:eastAsia="zh-CN"/>
        </w:rPr>
        <w:t xml:space="preserve"> </w:t>
      </w:r>
    </w:p>
    <w:p>
      <w:pPr>
        <w:numPr>
          <w:ilvl w:val="0"/>
          <w:numId w:val="0"/>
        </w:numPr>
        <w:rPr>
          <w:rFonts w:hint="default" w:ascii="Times New Roman Regular" w:hAnsi="Times New Roman Regular" w:cs="Times New Roman Regular"/>
          <w:b/>
          <w:bCs/>
          <w:lang w:val="en-US" w:eastAsia="zh-CN"/>
        </w:rPr>
      </w:pP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Our world has entered a new era, where rapidly developing technologies are reshaping teaching and learning. The education sector is adapting to this transformation through MOOCs, digital platforms, virtual classrooms, and personalised learning tools. Improving teachers’ digital literacy is essential for integrating technology into teaching and driving education digitali</w:t>
      </w:r>
      <w:r>
        <w:rPr>
          <w:rFonts w:hint="eastAsia" w:ascii="Times New Roman Regular" w:hAnsi="Times New Roman Regular" w:cs="Times New Roman Regular"/>
          <w:b w:val="0"/>
          <w:bCs/>
          <w:lang w:val="en-US" w:eastAsia="zh-CN"/>
        </w:rPr>
        <w:t>s</w:t>
      </w:r>
      <w:r>
        <w:rPr>
          <w:rFonts w:hint="default" w:ascii="Times New Roman Regular" w:hAnsi="Times New Roman Regular" w:cs="Times New Roman Regular"/>
          <w:b w:val="0"/>
          <w:bCs/>
          <w:lang w:val="en-US" w:eastAsia="zh-CN"/>
        </w:rPr>
        <w:t xml:space="preserve">ation. To support this, China issued a national standard on teachers’ digital literacy in 2022, aiming to enhance teachers’ awareness, capabilities, and responsibilities in using digital technology to optimise, innovate, and transform teaching practices(Ministry of Education of China, 2022). This standard is deeply rooted in China’s digital economy and educational digitalisation strategies. It responds to the new trends in education after COVID-19 and meets </w:t>
      </w:r>
      <w:r>
        <w:rPr>
          <w:rFonts w:hint="eastAsia" w:ascii="Times New Roman Regular" w:hAnsi="Times New Roman Regular" w:cs="Times New Roman Regular"/>
          <w:b w:val="0"/>
          <w:bCs/>
          <w:lang w:val="en-US" w:eastAsia="zh-CN"/>
        </w:rPr>
        <w:t>teachers'</w:t>
      </w:r>
      <w:r>
        <w:rPr>
          <w:rFonts w:hint="default" w:ascii="Times New Roman Regular" w:hAnsi="Times New Roman Regular" w:cs="Times New Roman Regular"/>
          <w:b w:val="0"/>
          <w:bCs/>
          <w:lang w:val="en-US" w:eastAsia="zh-CN"/>
        </w:rPr>
        <w:t xml:space="preserve"> need to adapt to the rapidly evolving educational tools. </w:t>
      </w:r>
    </w:p>
    <w:p>
      <w:pPr>
        <w:numPr>
          <w:ilvl w:val="0"/>
          <w:numId w:val="0"/>
        </w:numPr>
        <w:rPr>
          <w:rFonts w:hint="default" w:ascii="Times New Roman Regular" w:hAnsi="Times New Roman Regular" w:cs="Times New Roman Regular"/>
          <w:b w:val="0"/>
          <w:bCs/>
          <w:lang w:val="en-US" w:eastAsia="zh-CN"/>
        </w:rPr>
      </w:pPr>
    </w:p>
    <w:p>
      <w:pPr>
        <w:numPr>
          <w:ilvl w:val="0"/>
          <w:numId w:val="0"/>
        </w:numPr>
        <w:ind w:leftChars="0"/>
        <w:rPr>
          <w:rFonts w:hint="default" w:ascii="Times New Roman Bold" w:hAnsi="Times New Roman Bold" w:cs="Times New Roman Bold"/>
          <w:b/>
          <w:bCs w:val="0"/>
          <w:sz w:val="28"/>
          <w:szCs w:val="28"/>
          <w:lang w:val="en-US" w:eastAsia="zh-CN"/>
        </w:rPr>
      </w:pPr>
      <w:r>
        <w:rPr>
          <w:rFonts w:hint="default" w:ascii="Times New Roman Bold" w:hAnsi="Times New Roman Bold" w:cs="Times New Roman Bold"/>
          <w:b/>
          <w:bCs w:val="0"/>
          <w:sz w:val="28"/>
          <w:szCs w:val="28"/>
          <w:lang w:val="en-US" w:eastAsia="zh-CN"/>
        </w:rPr>
        <w:t>Framework and Key Definitions</w:t>
      </w:r>
    </w:p>
    <w:p>
      <w:pPr>
        <w:numPr>
          <w:ilvl w:val="0"/>
          <w:numId w:val="0"/>
        </w:numPr>
        <w:rPr>
          <w:rFonts w:hint="default" w:ascii="Times New Roman Bold" w:hAnsi="Times New Roman Bold" w:cs="Times New Roman Bold"/>
          <w:b/>
          <w:bCs w:val="0"/>
          <w:lang w:val="en-US" w:eastAsia="zh-CN"/>
        </w:rPr>
      </w:pPr>
      <w:r>
        <w:rPr>
          <w:rFonts w:hint="default" w:ascii="Times New Roman Bold" w:hAnsi="Times New Roman Bold" w:cs="Times New Roman Bold"/>
          <w:b/>
          <w:bCs w:val="0"/>
          <w:lang w:val="en-US" w:eastAsia="zh-CN"/>
        </w:rPr>
        <w:t>Policy Analysis Framework</w:t>
      </w:r>
    </w:p>
    <w:p>
      <w:pPr>
        <w:numPr>
          <w:ilvl w:val="0"/>
          <w:numId w:val="0"/>
        </w:numPr>
        <w:rPr>
          <w:rFonts w:hint="default" w:ascii="Times New Roman Bold" w:hAnsi="Times New Roman Bold" w:cs="Times New Roman Bold"/>
          <w:b/>
          <w:bCs w:val="0"/>
          <w:lang w:val="en-US" w:eastAsia="zh-CN"/>
        </w:rPr>
      </w:pP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This report adopts the ‘Contexts, Texts, Consequences’ framework by Taylor </w:t>
      </w:r>
      <w:r>
        <w:rPr>
          <w:rFonts w:hint="default" w:ascii="Times New Roman Italic" w:hAnsi="Times New Roman Italic" w:cs="Times New Roman Italic"/>
          <w:b w:val="0"/>
          <w:bCs/>
          <w:i/>
          <w:iCs/>
          <w:lang w:val="en-US" w:eastAsia="zh-CN"/>
        </w:rPr>
        <w:t>et al</w:t>
      </w:r>
      <w:r>
        <w:rPr>
          <w:rFonts w:hint="default" w:ascii="Times New Roman Regular" w:hAnsi="Times New Roman Regular" w:cs="Times New Roman Regular"/>
          <w:b w:val="0"/>
          <w:bCs/>
          <w:lang w:val="en-US" w:eastAsia="zh-CN"/>
        </w:rPr>
        <w:t xml:space="preserve">. (1997) for policy analysis. Policies are not created in isolation; understanding the economic, social, and political factors that shape the policy is crucially important (Taylor </w:t>
      </w:r>
      <w:r>
        <w:rPr>
          <w:rFonts w:hint="default" w:ascii="Times New Roman Italic" w:hAnsi="Times New Roman Italic" w:cs="Times New Roman Italic"/>
          <w:b w:val="0"/>
          <w:bCs/>
          <w:i/>
          <w:iCs/>
          <w:lang w:val="en-US" w:eastAsia="zh-CN"/>
        </w:rPr>
        <w:t>et al.</w:t>
      </w:r>
      <w:r>
        <w:rPr>
          <w:rFonts w:hint="default" w:ascii="Times New Roman Regular" w:hAnsi="Times New Roman Regular" w:cs="Times New Roman Regular"/>
          <w:b w:val="0"/>
          <w:bCs/>
          <w:lang w:val="en-US" w:eastAsia="zh-CN"/>
        </w:rPr>
        <w:t xml:space="preserve">, 1997, p. 11). Policy involves more than a text. As stated, ‘policy is both process and production’(Taylor </w:t>
      </w:r>
      <w:r>
        <w:rPr>
          <w:rFonts w:hint="default" w:ascii="Times New Roman Italic" w:hAnsi="Times New Roman Italic" w:cs="Times New Roman Italic"/>
          <w:b w:val="0"/>
          <w:bCs/>
          <w:i/>
          <w:iCs/>
          <w:lang w:val="en-US" w:eastAsia="zh-CN"/>
        </w:rPr>
        <w:t>et al.</w:t>
      </w:r>
      <w:r>
        <w:rPr>
          <w:rFonts w:hint="default" w:ascii="Times New Roman Regular" w:hAnsi="Times New Roman Regular" w:cs="Times New Roman Regular"/>
          <w:b w:val="0"/>
          <w:bCs/>
          <w:lang w:val="en-US" w:eastAsia="zh-CN"/>
        </w:rPr>
        <w:t xml:space="preserve">, 1997, p. 24). Therefore, it is necessary to explore policy as </w:t>
      </w:r>
      <w:r>
        <w:rPr>
          <w:rFonts w:hint="eastAsia" w:ascii="Times New Roman Regular" w:hAnsi="Times New Roman Regular" w:cs="Times New Roman Regular"/>
          <w:b w:val="0"/>
          <w:bCs/>
          <w:lang w:val="en-US" w:eastAsia="zh-CN"/>
        </w:rPr>
        <w:t>a</w:t>
      </w:r>
      <w:r>
        <w:rPr>
          <w:rFonts w:hint="default" w:ascii="Times New Roman Regular" w:hAnsi="Times New Roman Regular" w:cs="Times New Roman Regular"/>
          <w:b w:val="0"/>
          <w:bCs/>
          <w:lang w:val="en-US" w:eastAsia="zh-CN"/>
        </w:rPr>
        <w:t xml:space="preserve"> process (policy development), as well as the text itself and its implementation. ‘Policy is both text and action, words and deeds; it is what is enacted as well as what is intended’ (Ball, 1994, p. 10). Thus, the policy is not just about the written document but also includes how it is put into practice</w:t>
      </w:r>
      <w:r>
        <w:rPr>
          <w:rFonts w:hint="eastAsia" w:ascii="Times New Roman Regular" w:hAnsi="Times New Roman Regular" w:cs="Times New Roman Regular"/>
          <w:b w:val="0"/>
          <w:bCs/>
          <w:lang w:val="en-US" w:eastAsia="zh-CN"/>
        </w:rPr>
        <w:t xml:space="preserve"> -- </w:t>
      </w:r>
      <w:r>
        <w:rPr>
          <w:rFonts w:hint="default" w:ascii="Times New Roman Regular" w:hAnsi="Times New Roman Regular" w:cs="Times New Roman Regular"/>
          <w:b w:val="0"/>
          <w:bCs/>
          <w:lang w:val="en-US" w:eastAsia="zh-CN"/>
        </w:rPr>
        <w:t xml:space="preserve">the actual steps taken to achieve what is written in the text. This report examines the 2022 National Standard on Teachers’ Digital Literacy in China through its contexts, policy development, textual interpretation, and implementation. Based on the analysis, gaps are identified and recommendations are provided for improved practices. </w:t>
      </w:r>
    </w:p>
    <w:p>
      <w:pPr>
        <w:numPr>
          <w:ilvl w:val="0"/>
          <w:numId w:val="0"/>
        </w:numPr>
        <w:rPr>
          <w:rFonts w:hint="default" w:ascii="Times New Roman Regular" w:hAnsi="Times New Roman Regular" w:cs="Times New Roman Regular"/>
          <w:b w:val="0"/>
          <w:bCs/>
          <w:lang w:val="en-US" w:eastAsia="zh-CN"/>
        </w:rPr>
      </w:pPr>
    </w:p>
    <w:p>
      <w:pPr>
        <w:numPr>
          <w:ilvl w:val="0"/>
          <w:numId w:val="0"/>
        </w:numPr>
        <w:ind w:leftChars="0"/>
        <w:rPr>
          <w:rFonts w:hint="default" w:ascii="Times New Roman Bold" w:hAnsi="Times New Roman Bold" w:cs="Times New Roman Bold"/>
          <w:b/>
          <w:bCs w:val="0"/>
          <w:lang w:val="en-US" w:eastAsia="zh-CN"/>
        </w:rPr>
      </w:pPr>
      <w:r>
        <w:rPr>
          <w:rFonts w:hint="default" w:ascii="Times New Roman Bold" w:hAnsi="Times New Roman Bold" w:cs="Times New Roman Bold"/>
          <w:b/>
          <w:bCs w:val="0"/>
          <w:lang w:val="en-US" w:eastAsia="zh-CN"/>
        </w:rPr>
        <w:t xml:space="preserve">Definitions of ‘Literacy’ and ‘Digital Literacy’ </w:t>
      </w:r>
    </w:p>
    <w:p>
      <w:pPr>
        <w:numPr>
          <w:ilvl w:val="0"/>
          <w:numId w:val="0"/>
        </w:numPr>
        <w:ind w:leftChars="0"/>
        <w:rPr>
          <w:rFonts w:hint="default" w:ascii="Times New Roman Regular" w:hAnsi="Times New Roman Regular" w:cs="Times New Roman Regular"/>
          <w:b w:val="0"/>
          <w:bCs/>
          <w:lang w:val="en-US" w:eastAsia="zh-CN"/>
        </w:rPr>
      </w:pPr>
    </w:p>
    <w:p>
      <w:pPr>
        <w:numPr>
          <w:ilvl w:val="0"/>
          <w:numId w:val="0"/>
        </w:numPr>
        <w:ind w:leftChars="0"/>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The concept of ‘literacy’ has developed over time. The traditional meaning of ‘literacy’ refers to the ability to read and write. However, the Oxford Advanced Learner’s English-Chinese Dictionary (10</w:t>
      </w:r>
      <w:r>
        <w:rPr>
          <w:rFonts w:hint="default" w:ascii="Times New Roman Regular" w:hAnsi="Times New Roman Regular" w:cs="Times New Roman Regular"/>
          <w:b w:val="0"/>
          <w:bCs/>
          <w:vertAlign w:val="superscript"/>
          <w:lang w:val="en-US" w:eastAsia="zh-CN"/>
        </w:rPr>
        <w:t>th</w:t>
      </w:r>
      <w:r>
        <w:rPr>
          <w:rFonts w:hint="default" w:ascii="Times New Roman Regular" w:hAnsi="Times New Roman Regular" w:cs="Times New Roman Regular"/>
          <w:b w:val="0"/>
          <w:bCs/>
          <w:lang w:val="en-US" w:eastAsia="zh-CN"/>
        </w:rPr>
        <w:t xml:space="preserve"> Edition) reflects the expanded understanding of the term, including ‘knowledge or skill in a specific area.’</w:t>
      </w:r>
    </w:p>
    <w:p>
      <w:pPr>
        <w:numPr>
          <w:ilvl w:val="0"/>
          <w:numId w:val="0"/>
        </w:numPr>
        <w:rPr>
          <w:rFonts w:hint="default" w:ascii="Times New Roman Regular" w:hAnsi="Times New Roman Regular" w:cs="Times New Roman Regular"/>
          <w:b w:val="0"/>
          <w:bCs/>
          <w:lang w:val="en-US" w:eastAsia="zh-CN"/>
        </w:rPr>
      </w:pP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The New London Group redefined the concept of ‘literacy’ by introducing a new perspective on literacy pedagogy, known as ‘multiliteracies’ (Cazden et al., 1996, p. 60). This redefinition  broadened the understanding of literacy to include multiple forms and contexts. </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Paul Gilster (1997) is generally credited with introducing the concept of digital literacy, as outlined in his book </w:t>
      </w:r>
      <w:r>
        <w:rPr>
          <w:rFonts w:hint="default" w:ascii="Times New Roman Italic" w:hAnsi="Times New Roman Italic" w:cs="Times New Roman Italic"/>
          <w:b w:val="0"/>
          <w:bCs/>
          <w:i/>
          <w:iCs/>
          <w:lang w:val="en-US" w:eastAsia="zh-CN"/>
        </w:rPr>
        <w:t xml:space="preserve">Digital Literacy </w:t>
      </w:r>
      <w:r>
        <w:rPr>
          <w:rFonts w:hint="default" w:ascii="Times New Roman Regular" w:hAnsi="Times New Roman Regular" w:cs="Times New Roman Regular"/>
          <w:b w:val="0"/>
          <w:bCs/>
          <w:lang w:val="en-US" w:eastAsia="zh-CN"/>
        </w:rPr>
        <w:t xml:space="preserve">(Bawden, 2008). With the continuous advancement and evolution of technology, the concept has broadened to include additional aspects. As defined by UNESCO (2018), digital literacy can be described as follows: </w:t>
      </w:r>
    </w:p>
    <w:p>
      <w:pPr>
        <w:numPr>
          <w:ilvl w:val="0"/>
          <w:numId w:val="0"/>
        </w:numPr>
        <w:rPr>
          <w:rFonts w:hint="default" w:ascii="Times New Roman Regular" w:hAnsi="Times New Roman Regular" w:cs="Times New Roman Regular"/>
          <w:b w:val="0"/>
          <w:bCs/>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ind w:left="720"/>
        <w:textAlignment w:val="auto"/>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The ability to access, manage, understand, integrate, communicate, evaluate, and create information safely and appropriately through digital technologies for employment, decent jobs, and entrepreneurship. It includes competencies that are variously referred to as computer literacy, ICT literacy, information literacy, and media literacy (UNESCO, 2018, p. 6).  </w:t>
      </w:r>
    </w:p>
    <w:p>
      <w:pPr>
        <w:keepNext w:val="0"/>
        <w:keepLines w:val="0"/>
        <w:pageBreakBefore w:val="0"/>
        <w:widowControl w:val="0"/>
        <w:numPr>
          <w:ilvl w:val="0"/>
          <w:numId w:val="0"/>
        </w:numPr>
        <w:kinsoku/>
        <w:wordWrap/>
        <w:overflowPunct/>
        <w:topLinePunct w:val="0"/>
        <w:autoSpaceDE/>
        <w:autoSpaceDN/>
        <w:bidi w:val="0"/>
        <w:adjustRightInd/>
        <w:snapToGrid/>
        <w:ind w:left="720"/>
        <w:textAlignment w:val="auto"/>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    </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In this context, digital literacy is seen as a hypernym, with its hyponyms including concepts such as computer literacy, ICT literacy, information literacy, and media literacy. Building upon insights from international practices, China’s National Standard of Teachers’ Digital Literacy (2022) presents a more localised interpretation, highlighting a blend of ‘awareness, abilities, and responsibilities’. </w:t>
      </w:r>
    </w:p>
    <w:p>
      <w:pPr>
        <w:numPr>
          <w:ilvl w:val="0"/>
          <w:numId w:val="0"/>
        </w:numPr>
        <w:rPr>
          <w:rFonts w:hint="default" w:ascii="Times New Roman Bold" w:hAnsi="Times New Roman Bold" w:cs="Times New Roman Bold"/>
          <w:b/>
          <w:bCs w:val="0"/>
          <w:lang w:val="en-US" w:eastAsia="zh-CN"/>
        </w:rPr>
      </w:pPr>
    </w:p>
    <w:p>
      <w:pPr>
        <w:numPr>
          <w:ilvl w:val="0"/>
          <w:numId w:val="0"/>
        </w:numPr>
        <w:rPr>
          <w:rFonts w:hint="default" w:ascii="Times New Roman Bold" w:hAnsi="Times New Roman Bold" w:cs="Times New Roman Bold"/>
          <w:b/>
          <w:bCs w:val="0"/>
          <w:sz w:val="28"/>
          <w:szCs w:val="28"/>
          <w:lang w:val="en-US" w:eastAsia="zh-CN"/>
        </w:rPr>
      </w:pPr>
      <w:r>
        <w:rPr>
          <w:rFonts w:hint="default" w:ascii="Times New Roman Bold" w:hAnsi="Times New Roman Bold" w:cs="Times New Roman Bold"/>
          <w:b/>
          <w:bCs w:val="0"/>
          <w:sz w:val="28"/>
          <w:szCs w:val="28"/>
          <w:lang w:val="en-US" w:eastAsia="zh-CN"/>
        </w:rPr>
        <w:t>Context</w:t>
      </w:r>
    </w:p>
    <w:p>
      <w:pPr>
        <w:numPr>
          <w:ilvl w:val="0"/>
          <w:numId w:val="0"/>
        </w:numPr>
        <w:rPr>
          <w:rFonts w:hint="default" w:ascii="Times New Roman Bold" w:hAnsi="Times New Roman Bold" w:cs="Times New Roman Bold"/>
          <w:b/>
          <w:bCs w:val="0"/>
          <w:lang w:val="en-US" w:eastAsia="zh-CN"/>
        </w:rPr>
      </w:pPr>
      <w:r>
        <w:rPr>
          <w:rFonts w:hint="default" w:ascii="Times New Roman Bold" w:hAnsi="Times New Roman Bold" w:cs="Times New Roman Bold"/>
          <w:b/>
          <w:bCs w:val="0"/>
          <w:lang w:val="en-US" w:eastAsia="zh-CN"/>
        </w:rPr>
        <w:t>The Economical, Social and Political Factors Behind the Policy</w:t>
      </w:r>
    </w:p>
    <w:p>
      <w:pPr>
        <w:numPr>
          <w:ilvl w:val="0"/>
          <w:numId w:val="0"/>
        </w:numPr>
        <w:rPr>
          <w:rFonts w:hint="default" w:ascii="Times New Roman Bold" w:hAnsi="Times New Roman Bold" w:cs="Times New Roman Bold"/>
          <w:b/>
          <w:bCs w:val="0"/>
          <w:lang w:val="en-US" w:eastAsia="zh-CN"/>
        </w:rPr>
      </w:pP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Ball (2021) points out that educational change is typically driven by broader societal, economic, and political shifts. The issuance of China’s National Standard on Teachers’ Digital Literacy is just a case in point. It stems from the swift development of China’s digital economy and, in turn, supports its continued growth. It is a timely response to the evolving education landscape since COVID-19 and to the emergence of numerous innovative technological tools. For the government, it serves as a follow-up to broader national initiatives. </w:t>
      </w:r>
    </w:p>
    <w:p>
      <w:pPr>
        <w:numPr>
          <w:ilvl w:val="0"/>
          <w:numId w:val="0"/>
        </w:numPr>
        <w:rPr>
          <w:rFonts w:hint="default" w:ascii="Times New Roman Regular" w:hAnsi="Times New Roman Regular" w:cs="Times New Roman Regular"/>
          <w:b w:val="0"/>
          <w:bCs/>
          <w:lang w:val="en-US" w:eastAsia="zh-CN"/>
        </w:rPr>
      </w:pPr>
    </w:p>
    <w:p>
      <w:pPr>
        <w:numPr>
          <w:ilvl w:val="0"/>
          <w:numId w:val="1"/>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China’s Digital Economy</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The CAICT Report on China’s Digital Economy Development (2024) reveals that China’s digital economy re</w:t>
      </w:r>
      <w:r>
        <w:rPr>
          <w:rFonts w:hint="eastAsia" w:ascii="Times New Roman Regular" w:hAnsi="Times New Roman Regular" w:cs="Times New Roman Regular"/>
          <w:b w:val="0"/>
          <w:bCs/>
          <w:lang w:val="en-US" w:eastAsia="zh-CN"/>
        </w:rPr>
        <w:t>ached</w:t>
      </w:r>
      <w:r>
        <w:rPr>
          <w:rFonts w:hint="default" w:ascii="Times New Roman Regular" w:hAnsi="Times New Roman Regular" w:cs="Times New Roman Regular"/>
          <w:b w:val="0"/>
          <w:bCs/>
          <w:lang w:val="en-US" w:eastAsia="zh-CN"/>
        </w:rPr>
        <w:t xml:space="preserve"> 53.9 trillion RMB in 2023, accounting for 42.8% of GDP. This growth has played a key role in keeping the country’s economic stability and has accelerated educational digitalisation by offering both financial and technological support. These advancements highlight the need for teachers to acquire high digital literacy. Teachers with high digital literacy can improve students’ learning, foster students’ digital literacy, and prepare better workforce to meet future demands of the digital economy.</w:t>
      </w:r>
    </w:p>
    <w:p>
      <w:pPr>
        <w:numPr>
          <w:ilvl w:val="0"/>
          <w:numId w:val="0"/>
        </w:numPr>
        <w:rPr>
          <w:rFonts w:hint="default" w:ascii="Times New Roman Regular" w:hAnsi="Times New Roman Regular" w:cs="Times New Roman Regular"/>
          <w:b w:val="0"/>
          <w:bCs/>
          <w:lang w:val="en-US" w:eastAsia="zh-CN"/>
        </w:rPr>
      </w:pPr>
    </w:p>
    <w:p>
      <w:pPr>
        <w:numPr>
          <w:ilvl w:val="0"/>
          <w:numId w:val="1"/>
        </w:numPr>
        <w:ind w:left="0" w:leftChars="0" w:firstLine="0" w:firstLineChars="0"/>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A Rapidly Evolving Education Landscape Since COVID-19</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The education landscape has changed dramatically since the pandemic lockdown. Online teaching has placed greater importance on teachers’ digital literacy in using digital technology effectively. Additionally, innovations like ChatGPT and other AI tools since 2022 present new opportunities and challenges, requiring teachers to explore practical ways to enhance their digital literacy in a technology-driven education landscape.  </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 </w:t>
      </w:r>
    </w:p>
    <w:p>
      <w:pPr>
        <w:numPr>
          <w:ilvl w:val="0"/>
          <w:numId w:val="1"/>
        </w:numPr>
        <w:ind w:left="0" w:leftChars="0" w:firstLine="0" w:firstLineChars="0"/>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China’s Educational Digitalisation Initiative</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In 2022, China launched the National Education Digitalization Strategic Initiative in January. By March, the National Smart Education Public Service Platform was introduced as a key milestone. Later, in November, the Ministry of Education issued the national standard for teachers’ digital literacy, setting clear goals for educators from primary schools to universities. The smart education platform provides the infrastructure, while the standard sets the goals for digital literacy development. Together, they form the foundation for achieving educational digitalisation. </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 </w:t>
      </w:r>
    </w:p>
    <w:p>
      <w:pPr>
        <w:numPr>
          <w:ilvl w:val="0"/>
          <w:numId w:val="0"/>
        </w:numPr>
        <w:ind w:leftChars="0"/>
        <w:rPr>
          <w:rFonts w:hint="default" w:ascii="Times New Roman Bold" w:hAnsi="Times New Roman Bold" w:cs="Times New Roman Bold"/>
          <w:b/>
          <w:bCs w:val="0"/>
          <w:lang w:val="en-US" w:eastAsia="zh-CN"/>
        </w:rPr>
      </w:pPr>
      <w:r>
        <w:rPr>
          <w:rFonts w:hint="default" w:ascii="Times New Roman Bold" w:hAnsi="Times New Roman Bold" w:cs="Times New Roman Bold"/>
          <w:b/>
          <w:bCs w:val="0"/>
          <w:lang w:val="en-US" w:eastAsia="zh-CN"/>
        </w:rPr>
        <w:t>Policy Goals and Objectives</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The goals and objectives of the Standard are outlined in the notice released by China’s Ministry of Education (2022) as follows:</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left="720"/>
        <w:jc w:val="both"/>
        <w:textAlignment w:val="auto"/>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To fully implement the spirit of the 20th National Congress of the Communist Party of China, solidly advance the national education digitalisation strategy, improve the educational informatization standards system, and enhance teachers’ awareness, capabilities, and responsibilities in utilising digital technology to optimise, innovate, and transform educational and teaching practices. (Ministry of Education of China, 2022)</w:t>
      </w:r>
    </w:p>
    <w:p>
      <w:pPr>
        <w:keepNext w:val="0"/>
        <w:keepLines w:val="0"/>
        <w:pageBreakBefore w:val="0"/>
        <w:widowControl w:val="0"/>
        <w:numPr>
          <w:ilvl w:val="0"/>
          <w:numId w:val="0"/>
        </w:numPr>
        <w:kinsoku/>
        <w:wordWrap/>
        <w:overflowPunct/>
        <w:topLinePunct w:val="0"/>
        <w:autoSpaceDE/>
        <w:autoSpaceDN/>
        <w:bidi w:val="0"/>
        <w:adjustRightInd/>
        <w:snapToGrid/>
        <w:ind w:left="720"/>
        <w:jc w:val="both"/>
        <w:textAlignment w:val="auto"/>
        <w:rPr>
          <w:rFonts w:hint="default" w:ascii="Times New Roman Regular" w:hAnsi="Times New Roman Regular" w:cs="Times New Roman Regular"/>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above statement outlines multiple layers of objectives hierarchically from broad to specific. At the highest level, the standard is consistent with the national strategy, emphasising education as a foundation for China’s economic and social progress. The second layer focuses on supporting educational digitalisation, indicating it works together with other digital resources, platforms, and tools. The third layer indicates that the standard of teachers’ digital literacy is provided to enrich the whole standards system. The statement further refines the definition of teachers’ digital literacy by including ‘awareness and responsibilities’ alongside ‘capabilities’. The final statement of the objectives addresses the practical level, highlighting that achieving the goals rely on its application in teaching and classroom practices.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Regular" w:hAnsi="Times New Roman Regular" w:cs="Times New Roman Regular"/>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objective involves multiple stakeholders and their respective interests. The government, as the policy maker, establishes the standard to support the digital economy and educational digitalisation. The standard applies to teacher training and evaluation (Ministry of Education of China, 2022, p. 1), making schools, institutions, and enterprises the targeted audiences of the standard. Schools and institutions must interpret the standard in their own setting and turn the standard into practice. Enterprises that provide support for education should integrate the standard into their services and products. Teachers are expected to apply the standard, enhancing their digital literacy to improve teaching practices and benefit students.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Bold" w:hAnsi="Times New Roman Bold" w:cs="Times New Roman Bold"/>
          <w:b/>
          <w:bCs w:val="0"/>
          <w:sz w:val="28"/>
          <w:szCs w:val="28"/>
          <w:lang w:val="en-US" w:eastAsia="zh-CN"/>
        </w:rPr>
      </w:pPr>
      <w:r>
        <w:rPr>
          <w:rFonts w:hint="default" w:ascii="Times New Roman Bold" w:hAnsi="Times New Roman Bold" w:cs="Times New Roman Bold"/>
          <w:b/>
          <w:bCs w:val="0"/>
          <w:sz w:val="28"/>
          <w:szCs w:val="28"/>
          <w:lang w:val="en-US" w:eastAsia="zh-CN"/>
        </w:rPr>
        <w:t xml:space="preserve">Texts </w:t>
      </w:r>
    </w:p>
    <w:p>
      <w:pPr>
        <w:numPr>
          <w:ilvl w:val="0"/>
          <w:numId w:val="0"/>
        </w:numPr>
        <w:rPr>
          <w:rFonts w:hint="default" w:ascii="Times New Roman Bold" w:hAnsi="Times New Roman Bold" w:cs="Times New Roman Bold"/>
          <w:b/>
          <w:bCs w:val="0"/>
          <w:lang w:val="en-US" w:eastAsia="zh-CN"/>
        </w:rPr>
      </w:pPr>
      <w:r>
        <w:rPr>
          <w:rFonts w:hint="default" w:ascii="Times New Roman Bold" w:hAnsi="Times New Roman Bold" w:cs="Times New Roman Bold"/>
          <w:b/>
          <w:bCs w:val="0"/>
          <w:lang w:val="en-US" w:eastAsia="zh-CN"/>
        </w:rPr>
        <w:t>China’s Policy Development on Teachers’ Digital Literacy</w:t>
      </w:r>
    </w:p>
    <w:p>
      <w:pPr>
        <w:numPr>
          <w:ilvl w:val="0"/>
          <w:numId w:val="0"/>
        </w:numPr>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China has introduced several policies aimed at integrating digital technology into education. In the area of teachers’ digital literacy, three key documents show a clear path in China’s efforts to enhance teachers’ digital literacy. </w:t>
      </w:r>
    </w:p>
    <w:p>
      <w:pPr>
        <w:numPr>
          <w:ilvl w:val="0"/>
          <w:numId w:val="0"/>
        </w:numPr>
        <w:rPr>
          <w:rFonts w:hint="default" w:ascii="Times New Roman Regular" w:hAnsi="Times New Roman Regular" w:cs="Times New Roman Regular"/>
          <w:b w:val="0"/>
          <w:bCs/>
          <w:lang w:val="en-US" w:eastAsia="zh-CN"/>
        </w:rPr>
      </w:pPr>
    </w:p>
    <w:p>
      <w:pPr>
        <w:pStyle w:val="3"/>
        <w:keepNext w:val="0"/>
        <w:keepLines w:val="0"/>
        <w:widowControl/>
        <w:suppressLineNumbers w:val="0"/>
        <w:spacing w:before="0" w:beforeAutospacing="0" w:after="0" w:afterAutospacing="0"/>
        <w:ind w:left="0" w:right="0"/>
        <w:jc w:val="both"/>
        <w:rPr>
          <w:rFonts w:hint="default" w:ascii="Times New Roman Regular" w:hAnsi="Times New Roman Regular" w:cs="Times New Roman Regular" w:eastAsiaTheme="minorEastAsia"/>
          <w:b w:val="0"/>
          <w:bCs/>
          <w:kern w:val="2"/>
          <w:sz w:val="21"/>
          <w:szCs w:val="24"/>
          <w:lang w:val="en-US" w:eastAsia="zh-CN" w:bidi="ar-SA"/>
        </w:rPr>
      </w:pPr>
      <w:r>
        <w:rPr>
          <w:rFonts w:hint="default" w:ascii="Times New Roman Regular" w:hAnsi="Times New Roman Regular" w:cs="Times New Roman Regular"/>
          <w:b w:val="0"/>
          <w:bCs/>
          <w:kern w:val="2"/>
          <w:sz w:val="21"/>
          <w:szCs w:val="24"/>
          <w:lang w:val="en-US" w:eastAsia="zh-CN" w:bidi="ar-SA"/>
        </w:rPr>
        <w:t xml:space="preserve">The </w:t>
      </w:r>
      <w:r>
        <w:rPr>
          <w:rFonts w:hint="default" w:ascii="Times New Roman Regular" w:hAnsi="Times New Roman Regular" w:cs="Times New Roman Regular" w:eastAsiaTheme="minorEastAsia"/>
          <w:b w:val="0"/>
          <w:bCs/>
          <w:kern w:val="2"/>
          <w:sz w:val="21"/>
          <w:szCs w:val="24"/>
          <w:lang w:val="en-US" w:eastAsia="zh-CN" w:bidi="ar-SA"/>
        </w:rPr>
        <w:t>pilot project</w:t>
      </w:r>
      <w:r>
        <w:rPr>
          <w:rFonts w:hint="default" w:ascii="Times New Roman Regular" w:hAnsi="Times New Roman Regular" w:cs="Times New Roman Regular"/>
          <w:b w:val="0"/>
          <w:bCs/>
          <w:kern w:val="2"/>
          <w:sz w:val="21"/>
          <w:szCs w:val="24"/>
          <w:lang w:val="en-US" w:eastAsia="zh-CN" w:bidi="ar-SA"/>
        </w:rPr>
        <w:t xml:space="preserve"> began in</w:t>
      </w:r>
      <w:r>
        <w:rPr>
          <w:rFonts w:hint="default" w:ascii="Times New Roman Regular" w:hAnsi="Times New Roman Regular" w:cs="Times New Roman Regular" w:eastAsiaTheme="minorEastAsia"/>
          <w:b w:val="0"/>
          <w:bCs/>
          <w:kern w:val="2"/>
          <w:sz w:val="21"/>
          <w:szCs w:val="24"/>
          <w:lang w:val="en-US" w:eastAsia="zh-CN" w:bidi="ar-SA"/>
        </w:rPr>
        <w:t xml:space="preserve"> the Ningxia Hui Autonomous Region and Beijing Foreign Studies University, </w:t>
      </w:r>
      <w:r>
        <w:rPr>
          <w:rFonts w:hint="default" w:ascii="Times New Roman Regular" w:hAnsi="Times New Roman Regular" w:cs="Times New Roman Regular"/>
          <w:b w:val="0"/>
          <w:bCs/>
          <w:kern w:val="2"/>
          <w:sz w:val="21"/>
          <w:szCs w:val="24"/>
          <w:lang w:val="en-US" w:eastAsia="zh-CN" w:bidi="ar-SA"/>
        </w:rPr>
        <w:t>to provide</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w:t>
      </w:r>
      <w:r>
        <w:rPr>
          <w:rFonts w:hint="default" w:ascii="Times New Roman Regular" w:hAnsi="Times New Roman Regular" w:cs="Times New Roman Regular" w:eastAsiaTheme="minorEastAsia"/>
          <w:b w:val="0"/>
          <w:bCs/>
          <w:kern w:val="2"/>
          <w:sz w:val="21"/>
          <w:szCs w:val="24"/>
          <w:lang w:val="en-US" w:eastAsia="zh-CN" w:bidi="ar-SA"/>
        </w:rPr>
        <w:t>intelligent education literacy training for teachers</w:t>
      </w:r>
      <w:r>
        <w:rPr>
          <w:rFonts w:hint="default" w:ascii="Times New Roman Regular" w:hAnsi="Times New Roman Regular" w:cs="Times New Roman Regular"/>
          <w:b w:val="0"/>
          <w:bCs/>
          <w:kern w:val="2"/>
          <w:sz w:val="21"/>
          <w:szCs w:val="24"/>
          <w:lang w:val="en-US" w:eastAsia="zh-CN" w:bidi="ar-SA"/>
        </w:rPr>
        <w:t>’</w:t>
      </w:r>
      <w:r>
        <w:rPr>
          <w:rFonts w:hint="default" w:ascii="Times New Roman Regular" w:hAnsi="Times New Roman Regular" w:cs="Times New Roman Regular" w:eastAsiaTheme="minorEastAsia"/>
          <w:b w:val="0"/>
          <w:bCs/>
          <w:kern w:val="2"/>
          <w:sz w:val="21"/>
          <w:szCs w:val="24"/>
          <w:lang w:val="en-US" w:eastAsia="zh-CN" w:bidi="ar-SA"/>
        </w:rPr>
        <w:t xml:space="preserve"> (Ministry of Education </w:t>
      </w:r>
      <w:r>
        <w:rPr>
          <w:rFonts w:hint="default" w:ascii="Times New Roman Regular" w:hAnsi="Times New Roman Regular" w:cs="Times New Roman Regular"/>
          <w:b w:val="0"/>
          <w:bCs/>
          <w:kern w:val="2"/>
          <w:sz w:val="21"/>
          <w:szCs w:val="24"/>
          <w:lang w:val="en-US" w:eastAsia="zh-CN" w:bidi="ar-SA"/>
        </w:rPr>
        <w:t>o</w:t>
      </w:r>
      <w:r>
        <w:rPr>
          <w:rFonts w:hint="default" w:ascii="Times New Roman Regular" w:hAnsi="Times New Roman Regular" w:cs="Times New Roman Regular" w:eastAsiaTheme="minorEastAsia"/>
          <w:b w:val="0"/>
          <w:bCs/>
          <w:kern w:val="2"/>
          <w:sz w:val="21"/>
          <w:szCs w:val="24"/>
          <w:lang w:val="en-US" w:eastAsia="zh-CN" w:bidi="ar-SA"/>
        </w:rPr>
        <w:t xml:space="preserve">f China, 2018). </w:t>
      </w:r>
      <w:r>
        <w:rPr>
          <w:rFonts w:hint="default" w:ascii="Times New Roman Regular" w:hAnsi="Times New Roman Regular" w:cs="Times New Roman Regular"/>
          <w:b w:val="0"/>
          <w:bCs/>
          <w:kern w:val="2"/>
          <w:sz w:val="21"/>
          <w:szCs w:val="24"/>
          <w:lang w:val="en-US" w:eastAsia="zh-CN" w:bidi="ar-SA"/>
        </w:rPr>
        <w:t>Ningxia, a</w:t>
      </w:r>
      <w:r>
        <w:rPr>
          <w:rFonts w:hint="default" w:ascii="Times New Roman Regular" w:hAnsi="Times New Roman Regular" w:cs="Times New Roman Regular" w:eastAsiaTheme="minorEastAsia"/>
          <w:b w:val="0"/>
          <w:bCs/>
          <w:kern w:val="2"/>
          <w:sz w:val="21"/>
          <w:szCs w:val="24"/>
          <w:lang w:val="en-US" w:eastAsia="zh-CN" w:bidi="ar-SA"/>
        </w:rPr>
        <w:t>s China’s data computing cent</w:t>
      </w:r>
      <w:r>
        <w:rPr>
          <w:rFonts w:hint="default" w:ascii="Times New Roman Regular" w:hAnsi="Times New Roman Regular" w:cs="Times New Roman Regular"/>
          <w:b w:val="0"/>
          <w:bCs/>
          <w:kern w:val="2"/>
          <w:sz w:val="21"/>
          <w:szCs w:val="24"/>
          <w:lang w:val="en-US" w:eastAsia="zh-CN" w:bidi="ar-SA"/>
        </w:rPr>
        <w:t>re</w:t>
      </w:r>
      <w:r>
        <w:rPr>
          <w:rFonts w:hint="default" w:ascii="Times New Roman Regular" w:hAnsi="Times New Roman Regular" w:cs="Times New Roman Regular" w:eastAsiaTheme="minorEastAsia"/>
          <w:b w:val="0"/>
          <w:bCs/>
          <w:kern w:val="2"/>
          <w:sz w:val="21"/>
          <w:szCs w:val="24"/>
          <w:lang w:val="en-US" w:eastAsia="zh-CN" w:bidi="ar-SA"/>
        </w:rPr>
        <w:t xml:space="preserve"> and cloud base</w:t>
      </w:r>
      <w:r>
        <w:rPr>
          <w:rFonts w:hint="default" w:ascii="Times New Roman Regular" w:hAnsi="Times New Roman Regular" w:cs="Times New Roman Regular"/>
          <w:b w:val="0"/>
          <w:bCs/>
          <w:kern w:val="2"/>
          <w:sz w:val="21"/>
          <w:szCs w:val="24"/>
          <w:lang w:val="en-US" w:eastAsia="zh-CN" w:bidi="ar-SA"/>
        </w:rPr>
        <w:t xml:space="preserve">, and home to the </w:t>
      </w:r>
      <w:r>
        <w:rPr>
          <w:rFonts w:hint="default" w:ascii="Times New Roman Regular" w:hAnsi="Times New Roman Regular" w:cs="Times New Roman Regular" w:eastAsiaTheme="minorEastAsia"/>
          <w:b w:val="0"/>
          <w:bCs/>
          <w:kern w:val="2"/>
          <w:sz w:val="21"/>
          <w:szCs w:val="24"/>
          <w:lang w:val="en-US" w:eastAsia="zh-CN" w:bidi="ar-SA"/>
        </w:rPr>
        <w:t xml:space="preserve">first </w:t>
      </w:r>
      <w:r>
        <w:rPr>
          <w:rFonts w:hint="default" w:ascii="Times New Roman Regular" w:hAnsi="Times New Roman Regular" w:cs="Times New Roman Regular"/>
          <w:b w:val="0"/>
          <w:bCs/>
          <w:kern w:val="2"/>
          <w:sz w:val="21"/>
          <w:szCs w:val="24"/>
          <w:lang w:val="en-US" w:eastAsia="zh-CN" w:bidi="ar-SA"/>
        </w:rPr>
        <w:t>‘</w:t>
      </w:r>
      <w:r>
        <w:rPr>
          <w:rFonts w:hint="default" w:ascii="Times New Roman Regular" w:hAnsi="Times New Roman Regular" w:cs="Times New Roman Regular" w:eastAsiaTheme="minorEastAsia"/>
          <w:b w:val="0"/>
          <w:bCs/>
          <w:kern w:val="2"/>
          <w:sz w:val="21"/>
          <w:szCs w:val="24"/>
          <w:lang w:val="en-US" w:eastAsia="zh-CN" w:bidi="ar-SA"/>
        </w:rPr>
        <w:t>Internet</w:t>
      </w:r>
      <w:r>
        <w:rPr>
          <w:rFonts w:hint="default" w:ascii="Times New Roman Regular" w:hAnsi="Times New Roman Regular" w:cs="Times New Roman" w:eastAsiaTheme="minorEastAsia"/>
          <w:b w:val="0"/>
          <w:bCs/>
          <w:kern w:val="2"/>
          <w:sz w:val="21"/>
          <w:szCs w:val="24"/>
          <w:vertAlign w:val="superscript"/>
          <w:lang w:val="en-US" w:eastAsia="zh-CN" w:bidi="ar-SA"/>
        </w:rPr>
        <w:t>+</w:t>
      </w:r>
      <w:r>
        <w:rPr>
          <w:rFonts w:hint="default" w:ascii="Times New Roman Regular" w:hAnsi="Times New Roman Regular" w:cs="Times New Roman Regular" w:eastAsiaTheme="minorEastAsia"/>
          <w:b w:val="0"/>
          <w:bCs/>
          <w:kern w:val="2"/>
          <w:sz w:val="21"/>
          <w:szCs w:val="24"/>
          <w:lang w:val="en-US" w:eastAsia="zh-CN" w:bidi="ar-SA"/>
        </w:rPr>
        <w:t xml:space="preserve"> Education</w:t>
      </w:r>
      <w:r>
        <w:rPr>
          <w:rFonts w:hint="default" w:ascii="Times New Roman Regular" w:hAnsi="Times New Roman Regular" w:cs="Times New Roman Regular"/>
          <w:b w:val="0"/>
          <w:bCs/>
          <w:kern w:val="2"/>
          <w:sz w:val="21"/>
          <w:szCs w:val="24"/>
          <w:lang w:val="en-US" w:eastAsia="zh-CN" w:bidi="ar-SA"/>
        </w:rPr>
        <w:t>’ demonstration zone, was an ideal</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choice due to its</w:t>
      </w:r>
      <w:r>
        <w:rPr>
          <w:rFonts w:hint="default" w:ascii="Times New Roman Regular" w:hAnsi="Times New Roman Regular" w:cs="Times New Roman Regular" w:eastAsiaTheme="minorEastAsia"/>
          <w:b w:val="0"/>
          <w:bCs/>
          <w:kern w:val="2"/>
          <w:sz w:val="21"/>
          <w:szCs w:val="24"/>
          <w:lang w:val="en-US" w:eastAsia="zh-CN" w:bidi="ar-SA"/>
        </w:rPr>
        <w:t xml:space="preserve"> rapidly developing digital industries.</w:t>
      </w:r>
      <w:r>
        <w:rPr>
          <w:rFonts w:hint="default" w:ascii="Times New Roman Regular" w:hAnsi="Times New Roman Regular" w:cs="Times New Roman Regular"/>
          <w:b w:val="0"/>
          <w:bCs/>
          <w:kern w:val="2"/>
          <w:sz w:val="21"/>
          <w:szCs w:val="24"/>
          <w:lang w:val="en-US" w:eastAsia="zh-CN" w:bidi="ar-SA"/>
        </w:rPr>
        <w:t xml:space="preserve"> </w:t>
      </w:r>
      <w:r>
        <w:rPr>
          <w:rFonts w:hint="default" w:ascii="Times New Roman Regular" w:hAnsi="Times New Roman Regular" w:cs="Times New Roman Regular" w:eastAsiaTheme="minorEastAsia"/>
          <w:b w:val="0"/>
          <w:bCs/>
          <w:kern w:val="2"/>
          <w:sz w:val="21"/>
          <w:szCs w:val="24"/>
          <w:lang w:val="en-US" w:eastAsia="zh-CN" w:bidi="ar-SA"/>
        </w:rPr>
        <w:t xml:space="preserve">Beijing Foreign Studies University, one of the top universities in China, also serves as a good choice for exploring digital literacy within the context of higher education. </w:t>
      </w:r>
    </w:p>
    <w:p>
      <w:pPr>
        <w:pStyle w:val="3"/>
        <w:keepNext w:val="0"/>
        <w:keepLines w:val="0"/>
        <w:widowControl/>
        <w:suppressLineNumbers w:val="0"/>
        <w:spacing w:before="0" w:beforeAutospacing="0" w:after="0" w:afterAutospacing="0"/>
        <w:ind w:left="0" w:right="0"/>
        <w:jc w:val="both"/>
        <w:rPr>
          <w:rFonts w:hint="default" w:ascii="Times New Roman Regular" w:hAnsi="Times New Roman Regular" w:cs="Times New Roman Regular" w:eastAsiaTheme="minorEastAsia"/>
          <w:b w:val="0"/>
          <w:bCs/>
          <w:kern w:val="2"/>
          <w:sz w:val="21"/>
          <w:szCs w:val="24"/>
          <w:lang w:val="en-US" w:eastAsia="zh-CN" w:bidi="ar-SA"/>
        </w:rPr>
      </w:pPr>
    </w:p>
    <w:p>
      <w:pPr>
        <w:pStyle w:val="3"/>
        <w:keepNext w:val="0"/>
        <w:keepLines w:val="0"/>
        <w:widowControl/>
        <w:suppressLineNumbers w:val="0"/>
        <w:spacing w:before="0" w:beforeAutospacing="0" w:after="0" w:afterAutospacing="0"/>
        <w:ind w:left="0" w:right="0"/>
        <w:jc w:val="both"/>
        <w:rPr>
          <w:rFonts w:hint="default" w:ascii="Times New Roman Regular" w:hAnsi="Times New Roman Regular" w:cs="Times New Roman Regular"/>
          <w:b w:val="0"/>
          <w:bCs/>
          <w:kern w:val="2"/>
          <w:sz w:val="21"/>
          <w:szCs w:val="24"/>
          <w:lang w:val="en-US" w:eastAsia="zh-CN" w:bidi="ar-SA"/>
        </w:rPr>
      </w:pPr>
      <w:r>
        <w:rPr>
          <w:rFonts w:hint="default" w:ascii="Times New Roman Regular" w:hAnsi="Times New Roman Regular" w:cs="Times New Roman Regular" w:eastAsiaTheme="minorEastAsia"/>
          <w:b w:val="0"/>
          <w:bCs/>
          <w:kern w:val="2"/>
          <w:sz w:val="21"/>
          <w:szCs w:val="24"/>
          <w:lang w:val="en-US" w:eastAsia="zh-CN" w:bidi="ar-SA"/>
        </w:rPr>
        <w:t xml:space="preserve">In 2019, the policy </w:t>
      </w:r>
      <w:r>
        <w:rPr>
          <w:rFonts w:hint="default" w:ascii="Times New Roman Regular" w:hAnsi="Times New Roman Regular" w:cs="Times New Roman Regular"/>
          <w:b w:val="0"/>
          <w:bCs/>
          <w:kern w:val="2"/>
          <w:sz w:val="21"/>
          <w:szCs w:val="24"/>
          <w:lang w:val="en-US" w:eastAsia="zh-CN" w:bidi="ar-SA"/>
        </w:rPr>
        <w:t>was expanded</w:t>
      </w:r>
      <w:r>
        <w:rPr>
          <w:rFonts w:hint="default" w:ascii="Times New Roman Regular" w:hAnsi="Times New Roman Regular" w:cs="Times New Roman Regular" w:eastAsiaTheme="minorEastAsia"/>
          <w:b w:val="0"/>
          <w:bCs/>
          <w:kern w:val="2"/>
          <w:sz w:val="21"/>
          <w:szCs w:val="24"/>
          <w:lang w:val="en-US" w:eastAsia="zh-CN" w:bidi="ar-SA"/>
        </w:rPr>
        <w:t xml:space="preserve"> to </w:t>
      </w:r>
      <w:r>
        <w:rPr>
          <w:rFonts w:hint="default" w:ascii="Times New Roman Regular" w:hAnsi="Times New Roman Regular" w:cs="Times New Roman Regular"/>
          <w:b w:val="0"/>
          <w:bCs/>
          <w:kern w:val="2"/>
          <w:sz w:val="21"/>
          <w:szCs w:val="24"/>
          <w:lang w:val="en-US" w:eastAsia="zh-CN" w:bidi="ar-SA"/>
        </w:rPr>
        <w:t xml:space="preserve">include </w:t>
      </w:r>
      <w:r>
        <w:rPr>
          <w:rFonts w:hint="default" w:ascii="Times New Roman Regular" w:hAnsi="Times New Roman Regular" w:cs="Times New Roman Regular" w:eastAsiaTheme="minorEastAsia"/>
          <w:b w:val="0"/>
          <w:bCs/>
          <w:kern w:val="2"/>
          <w:sz w:val="21"/>
          <w:szCs w:val="24"/>
          <w:lang w:val="en-US" w:eastAsia="zh-CN" w:bidi="ar-SA"/>
        </w:rPr>
        <w:t xml:space="preserve">all primary and secondary school teachers </w:t>
      </w:r>
      <w:r>
        <w:rPr>
          <w:rFonts w:hint="default" w:ascii="Times New Roman Regular" w:hAnsi="Times New Roman Regular" w:cs="Times New Roman Regular"/>
          <w:b w:val="0"/>
          <w:bCs/>
          <w:kern w:val="2"/>
          <w:sz w:val="21"/>
          <w:szCs w:val="24"/>
          <w:lang w:val="en-US" w:eastAsia="zh-CN" w:bidi="ar-SA"/>
        </w:rPr>
        <w:t>across the nation</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through the introduction</w:t>
      </w:r>
      <w:r>
        <w:rPr>
          <w:rFonts w:hint="default" w:ascii="Times New Roman Regular" w:hAnsi="Times New Roman Regular" w:cs="Times New Roman Regular" w:eastAsiaTheme="minorEastAsia"/>
          <w:b w:val="0"/>
          <w:bCs/>
          <w:kern w:val="2"/>
          <w:sz w:val="21"/>
          <w:szCs w:val="24"/>
          <w:lang w:val="en-US" w:eastAsia="zh-CN" w:bidi="ar-SA"/>
        </w:rPr>
        <w:t xml:space="preserve"> of </w:t>
      </w:r>
      <w:r>
        <w:rPr>
          <w:rFonts w:hint="default" w:ascii="Times New Roman Regular" w:hAnsi="Times New Roman Regular" w:cs="Times New Roman Regular"/>
          <w:b w:val="0"/>
          <w:bCs/>
          <w:kern w:val="2"/>
          <w:sz w:val="21"/>
          <w:szCs w:val="24"/>
          <w:lang w:val="en-US" w:eastAsia="zh-CN" w:bidi="ar-SA"/>
        </w:rPr>
        <w:t xml:space="preserve">Project </w:t>
      </w:r>
      <w:r>
        <w:rPr>
          <w:rFonts w:hint="default" w:ascii="Times New Roman" w:hAnsi="Times New Roman" w:cs="Times New Roman" w:eastAsiaTheme="minorEastAsia"/>
          <w:b w:val="0"/>
          <w:bCs/>
          <w:i w:val="0"/>
          <w:iCs w:val="0"/>
          <w:kern w:val="2"/>
          <w:sz w:val="21"/>
          <w:szCs w:val="24"/>
          <w:lang w:val="en-US" w:eastAsia="zh-CN" w:bidi="ar-SA"/>
        </w:rPr>
        <w:t xml:space="preserve">2.0 </w:t>
      </w:r>
      <w:r>
        <w:rPr>
          <w:rFonts w:hint="default" w:ascii="Times New Roman" w:hAnsi="Times New Roman" w:cs="Times New Roman"/>
          <w:b w:val="0"/>
          <w:bCs/>
          <w:i w:val="0"/>
          <w:iCs w:val="0"/>
          <w:kern w:val="2"/>
          <w:sz w:val="21"/>
          <w:szCs w:val="24"/>
          <w:lang w:val="en-US" w:eastAsia="zh-CN" w:bidi="ar-SA"/>
        </w:rPr>
        <w:t>for</w:t>
      </w:r>
      <w:r>
        <w:rPr>
          <w:rFonts w:hint="default" w:ascii="Times New Roman" w:hAnsi="Times New Roman" w:cs="Times New Roman" w:eastAsiaTheme="minorEastAsia"/>
          <w:b w:val="0"/>
          <w:bCs/>
          <w:i w:val="0"/>
          <w:iCs w:val="0"/>
          <w:kern w:val="2"/>
          <w:sz w:val="21"/>
          <w:szCs w:val="24"/>
          <w:lang w:val="en-US" w:eastAsia="zh-CN" w:bidi="ar-SA"/>
        </w:rPr>
        <w:t xml:space="preserve"> Enhancing Information</w:t>
      </w:r>
      <w:r>
        <w:rPr>
          <w:rFonts w:hint="default" w:ascii="Times New Roman" w:hAnsi="Times New Roman" w:cs="Times New Roman"/>
          <w:b w:val="0"/>
          <w:bCs/>
          <w:i w:val="0"/>
          <w:iCs w:val="0"/>
          <w:kern w:val="2"/>
          <w:sz w:val="21"/>
          <w:szCs w:val="24"/>
          <w:lang w:val="en-US" w:eastAsia="zh-CN" w:bidi="ar-SA"/>
        </w:rPr>
        <w:t xml:space="preserve"> </w:t>
      </w:r>
      <w:r>
        <w:rPr>
          <w:rFonts w:hint="default" w:ascii="Times New Roman" w:hAnsi="Times New Roman" w:cs="Times New Roman" w:eastAsiaTheme="minorEastAsia"/>
          <w:b w:val="0"/>
          <w:bCs/>
          <w:i w:val="0"/>
          <w:iCs w:val="0"/>
          <w:kern w:val="2"/>
          <w:sz w:val="21"/>
          <w:szCs w:val="24"/>
          <w:lang w:val="en-US" w:eastAsia="zh-CN" w:bidi="ar-SA"/>
        </w:rPr>
        <w:t xml:space="preserve">Technology Application </w:t>
      </w:r>
      <w:r>
        <w:rPr>
          <w:rFonts w:hint="default" w:ascii="Times New Roman" w:hAnsi="Times New Roman" w:cs="Times New Roman"/>
          <w:b w:val="0"/>
          <w:bCs/>
          <w:i w:val="0"/>
          <w:iCs w:val="0"/>
          <w:kern w:val="2"/>
          <w:sz w:val="21"/>
          <w:szCs w:val="24"/>
          <w:lang w:val="en-US" w:eastAsia="zh-CN" w:bidi="ar-SA"/>
        </w:rPr>
        <w:t>Competence</w:t>
      </w:r>
      <w:r>
        <w:rPr>
          <w:rFonts w:hint="default" w:ascii="Times New Roman" w:hAnsi="Times New Roman" w:cs="Times New Roman" w:eastAsiaTheme="minorEastAsia"/>
          <w:b w:val="0"/>
          <w:bCs/>
          <w:i w:val="0"/>
          <w:iCs w:val="0"/>
          <w:kern w:val="2"/>
          <w:sz w:val="21"/>
          <w:szCs w:val="24"/>
          <w:lang w:val="en-US" w:eastAsia="zh-CN" w:bidi="ar-SA"/>
        </w:rPr>
        <w:t xml:space="preserve"> of </w:t>
      </w:r>
      <w:r>
        <w:rPr>
          <w:rFonts w:hint="default" w:ascii="Times New Roman" w:hAnsi="Times New Roman" w:cs="Times New Roman"/>
          <w:b w:val="0"/>
          <w:bCs/>
          <w:i w:val="0"/>
          <w:iCs w:val="0"/>
          <w:kern w:val="2"/>
          <w:sz w:val="21"/>
          <w:szCs w:val="24"/>
          <w:lang w:val="en-US" w:eastAsia="zh-CN" w:bidi="ar-SA"/>
        </w:rPr>
        <w:t xml:space="preserve">National </w:t>
      </w:r>
      <w:r>
        <w:rPr>
          <w:rFonts w:hint="default" w:ascii="Times New Roman" w:hAnsi="Times New Roman" w:cs="Times New Roman" w:eastAsiaTheme="minorEastAsia"/>
          <w:b w:val="0"/>
          <w:bCs/>
          <w:i w:val="0"/>
          <w:iCs w:val="0"/>
          <w:kern w:val="2"/>
          <w:sz w:val="21"/>
          <w:szCs w:val="24"/>
          <w:lang w:val="en-US" w:eastAsia="zh-CN" w:bidi="ar-SA"/>
        </w:rPr>
        <w:t>Primary and Secondary School Teachers</w:t>
      </w:r>
      <w:r>
        <w:rPr>
          <w:rFonts w:hint="default" w:ascii="Times New Roman" w:hAnsi="Times New Roman" w:cs="Times New Roman"/>
          <w:b w:val="0"/>
          <w:bCs/>
          <w:i w:val="0"/>
          <w:iCs w:val="0"/>
          <w:kern w:val="2"/>
          <w:sz w:val="21"/>
          <w:szCs w:val="24"/>
          <w:lang w:val="en-US" w:eastAsia="zh-CN" w:bidi="ar-SA"/>
        </w:rPr>
        <w:t xml:space="preserve"> </w:t>
      </w:r>
      <w:r>
        <w:rPr>
          <w:rFonts w:hint="default" w:ascii="Times New Roman Regular" w:hAnsi="Times New Roman Regular" w:cs="Times New Roman Regular" w:eastAsiaTheme="minorEastAsia"/>
          <w:b w:val="0"/>
          <w:bCs/>
          <w:kern w:val="2"/>
          <w:sz w:val="21"/>
          <w:szCs w:val="24"/>
          <w:lang w:val="en-US" w:eastAsia="zh-CN" w:bidi="ar-SA"/>
        </w:rPr>
        <w:t>(Minister of Education</w:t>
      </w:r>
      <w:r>
        <w:rPr>
          <w:rFonts w:hint="default" w:ascii="Times New Roman Regular" w:hAnsi="Times New Roman Regular" w:cs="Times New Roman Regular"/>
          <w:b w:val="0"/>
          <w:bCs/>
          <w:kern w:val="2"/>
          <w:sz w:val="21"/>
          <w:szCs w:val="24"/>
          <w:lang w:val="en-US" w:eastAsia="zh-CN" w:bidi="ar-SA"/>
        </w:rPr>
        <w:t xml:space="preserve"> of </w:t>
      </w:r>
      <w:r>
        <w:rPr>
          <w:rFonts w:hint="default" w:ascii="Times New Roman Regular" w:hAnsi="Times New Roman Regular" w:cs="Times New Roman Regular" w:eastAsiaTheme="minorEastAsia"/>
          <w:b w:val="0"/>
          <w:bCs/>
          <w:kern w:val="2"/>
          <w:sz w:val="21"/>
          <w:szCs w:val="24"/>
          <w:lang w:val="en-US" w:eastAsia="zh-CN" w:bidi="ar-SA"/>
        </w:rPr>
        <w:t>China, 2019)</w:t>
      </w:r>
      <w:r>
        <w:rPr>
          <w:rFonts w:hint="default" w:ascii="Times New Roman Regular" w:hAnsi="Times New Roman Regular" w:cs="Times New Roman Regular"/>
          <w:b w:val="0"/>
          <w:bCs/>
          <w:kern w:val="2"/>
          <w:sz w:val="21"/>
          <w:szCs w:val="24"/>
          <w:lang w:val="en-US" w:eastAsia="zh-CN" w:bidi="ar-SA"/>
        </w:rPr>
        <w:t>.</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This initiative</w:t>
      </w:r>
      <w:r>
        <w:rPr>
          <w:rFonts w:hint="default" w:ascii="Times New Roman Regular" w:hAnsi="Times New Roman Regular" w:cs="Times New Roman Regular" w:eastAsiaTheme="minorEastAsia"/>
          <w:b w:val="0"/>
          <w:bCs/>
          <w:kern w:val="2"/>
          <w:sz w:val="21"/>
          <w:szCs w:val="24"/>
          <w:lang w:val="en-US" w:eastAsia="zh-CN" w:bidi="ar-SA"/>
        </w:rPr>
        <w:t xml:space="preserve"> regulates that e</w:t>
      </w:r>
      <w:r>
        <w:rPr>
          <w:rFonts w:hint="default" w:ascii="Times New Roman Regular" w:hAnsi="Times New Roman Regular" w:cs="Times New Roman Regular"/>
          <w:b w:val="0"/>
          <w:bCs/>
          <w:kern w:val="2"/>
          <w:sz w:val="21"/>
          <w:szCs w:val="24"/>
          <w:lang w:val="en-US" w:eastAsia="zh-CN" w:bidi="ar-SA"/>
        </w:rPr>
        <w:t>very</w:t>
      </w:r>
      <w:r>
        <w:rPr>
          <w:rFonts w:hint="default" w:ascii="Times New Roman Regular" w:hAnsi="Times New Roman Regular" w:cs="Times New Roman Regular" w:eastAsiaTheme="minorEastAsia"/>
          <w:b w:val="0"/>
          <w:bCs/>
          <w:kern w:val="2"/>
          <w:sz w:val="21"/>
          <w:szCs w:val="24"/>
          <w:lang w:val="en-US" w:eastAsia="zh-CN" w:bidi="ar-SA"/>
        </w:rPr>
        <w:t xml:space="preserve"> teacher </w:t>
      </w:r>
      <w:r>
        <w:rPr>
          <w:rFonts w:hint="default" w:ascii="Times New Roman Regular" w:hAnsi="Times New Roman Regular" w:cs="Times New Roman Regular"/>
          <w:b w:val="0"/>
          <w:bCs/>
          <w:kern w:val="2"/>
          <w:sz w:val="21"/>
          <w:szCs w:val="24"/>
          <w:lang w:val="en-US" w:eastAsia="zh-CN" w:bidi="ar-SA"/>
        </w:rPr>
        <w:t xml:space="preserve">must </w:t>
      </w:r>
      <w:r>
        <w:rPr>
          <w:rFonts w:hint="default" w:ascii="Times New Roman Regular" w:hAnsi="Times New Roman Regular" w:cs="Times New Roman Regular" w:eastAsiaTheme="minorEastAsia"/>
          <w:b w:val="0"/>
          <w:bCs/>
          <w:kern w:val="2"/>
          <w:sz w:val="21"/>
          <w:szCs w:val="24"/>
          <w:lang w:val="en-US" w:eastAsia="zh-CN" w:bidi="ar-SA"/>
        </w:rPr>
        <w:t xml:space="preserve">complete </w:t>
      </w:r>
      <w:r>
        <w:rPr>
          <w:rFonts w:hint="default" w:ascii="Times New Roman Regular" w:hAnsi="Times New Roman Regular" w:cs="Times New Roman Regular"/>
          <w:b w:val="0"/>
          <w:bCs/>
          <w:kern w:val="2"/>
          <w:sz w:val="21"/>
          <w:szCs w:val="24"/>
          <w:lang w:val="en-US" w:eastAsia="zh-CN" w:bidi="ar-SA"/>
        </w:rPr>
        <w:t>at least</w:t>
      </w:r>
      <w:r>
        <w:rPr>
          <w:rFonts w:hint="default" w:ascii="Times New Roman Regular" w:hAnsi="Times New Roman Regular" w:cs="Times New Roman Regular" w:eastAsiaTheme="minorEastAsia"/>
          <w:b w:val="0"/>
          <w:bCs/>
          <w:kern w:val="2"/>
          <w:sz w:val="21"/>
          <w:szCs w:val="24"/>
          <w:lang w:val="en-US" w:eastAsia="zh-CN" w:bidi="ar-SA"/>
        </w:rPr>
        <w:t xml:space="preserve"> 50 credit hours of information technology</w:t>
      </w:r>
      <w:r>
        <w:rPr>
          <w:rFonts w:hint="default" w:ascii="Times New Roman Regular" w:hAnsi="Times New Roman Regular" w:cs="Times New Roman Regular"/>
          <w:b w:val="0"/>
          <w:bCs/>
          <w:kern w:val="2"/>
          <w:sz w:val="21"/>
          <w:szCs w:val="24"/>
          <w:lang w:val="en-US" w:eastAsia="zh-CN" w:bidi="ar-SA"/>
        </w:rPr>
        <w:t xml:space="preserve"> training</w:t>
      </w:r>
      <w:r>
        <w:rPr>
          <w:rFonts w:hint="default" w:ascii="Times New Roman Regular" w:hAnsi="Times New Roman Regular" w:cs="Times New Roman Regular" w:eastAsiaTheme="minorEastAsia"/>
          <w:b w:val="0"/>
          <w:bCs/>
          <w:kern w:val="2"/>
          <w:sz w:val="21"/>
          <w:szCs w:val="24"/>
          <w:lang w:val="en-US" w:eastAsia="zh-CN" w:bidi="ar-SA"/>
        </w:rPr>
        <w:t xml:space="preserve"> every five years. </w:t>
      </w:r>
      <w:r>
        <w:rPr>
          <w:rFonts w:hint="default" w:ascii="Times New Roman Regular" w:hAnsi="Times New Roman Regular" w:cs="Times New Roman Regular"/>
          <w:b w:val="0"/>
          <w:bCs/>
          <w:kern w:val="2"/>
          <w:sz w:val="21"/>
          <w:szCs w:val="24"/>
          <w:lang w:val="en-US" w:eastAsia="zh-CN" w:bidi="ar-SA"/>
        </w:rPr>
        <w:t xml:space="preserve">This is the first time that a clear minimum training requirement for digital literacy was set among primary and secondary educators. </w:t>
      </w:r>
    </w:p>
    <w:p>
      <w:pPr>
        <w:pStyle w:val="3"/>
        <w:keepNext w:val="0"/>
        <w:keepLines w:val="0"/>
        <w:widowControl/>
        <w:suppressLineNumbers w:val="0"/>
        <w:spacing w:before="0" w:beforeAutospacing="0" w:after="0" w:afterAutospacing="0"/>
        <w:ind w:left="0" w:right="0"/>
        <w:jc w:val="both"/>
        <w:rPr>
          <w:rFonts w:hint="default" w:ascii="Times New Roman Regular" w:hAnsi="Times New Roman Regular" w:cs="Times New Roman Regular"/>
          <w:b w:val="0"/>
          <w:bCs/>
          <w:kern w:val="2"/>
          <w:sz w:val="21"/>
          <w:szCs w:val="24"/>
          <w:lang w:val="en-US" w:eastAsia="zh-CN" w:bidi="ar-SA"/>
        </w:rPr>
      </w:pPr>
    </w:p>
    <w:p>
      <w:pPr>
        <w:pStyle w:val="3"/>
        <w:keepNext w:val="0"/>
        <w:keepLines w:val="0"/>
        <w:widowControl/>
        <w:suppressLineNumbers w:val="0"/>
        <w:spacing w:before="0" w:beforeAutospacing="0" w:after="0" w:afterAutospacing="0"/>
        <w:ind w:left="0" w:right="0"/>
        <w:jc w:val="both"/>
        <w:rPr>
          <w:rFonts w:hint="default" w:ascii="Times New Roman Regular" w:hAnsi="Times New Roman Regular" w:cs="Times New Roman Regular" w:eastAsiaTheme="minorEastAsia"/>
          <w:b w:val="0"/>
          <w:bCs/>
          <w:kern w:val="2"/>
          <w:sz w:val="21"/>
          <w:szCs w:val="24"/>
          <w:lang w:val="en-US" w:eastAsia="zh-CN" w:bidi="ar-SA"/>
        </w:rPr>
      </w:pPr>
      <w:r>
        <w:rPr>
          <w:rFonts w:hint="default" w:ascii="Times New Roman Regular" w:hAnsi="Times New Roman Regular" w:cs="Times New Roman Regular" w:eastAsiaTheme="minorEastAsia"/>
          <w:b w:val="0"/>
          <w:bCs/>
          <w:kern w:val="2"/>
          <w:sz w:val="21"/>
          <w:szCs w:val="24"/>
          <w:lang w:val="en-US" w:eastAsia="zh-CN" w:bidi="ar-SA"/>
        </w:rPr>
        <w:t xml:space="preserve">In 2022 the </w:t>
      </w:r>
      <w:r>
        <w:rPr>
          <w:rFonts w:hint="default" w:ascii="Times New Roman Regular" w:hAnsi="Times New Roman Regular" w:cs="Times New Roman Regular"/>
          <w:b w:val="0"/>
          <w:bCs/>
          <w:kern w:val="2"/>
          <w:sz w:val="21"/>
          <w:szCs w:val="24"/>
          <w:lang w:val="en-US" w:eastAsia="zh-CN" w:bidi="ar-SA"/>
        </w:rPr>
        <w:t xml:space="preserve">official </w:t>
      </w:r>
      <w:r>
        <w:rPr>
          <w:rFonts w:hint="default" w:ascii="Times New Roman Regular" w:hAnsi="Times New Roman Regular" w:cs="Times New Roman Regular" w:eastAsiaTheme="minorEastAsia"/>
          <w:b w:val="0"/>
          <w:bCs/>
          <w:kern w:val="2"/>
          <w:sz w:val="21"/>
          <w:szCs w:val="24"/>
          <w:lang w:val="en-US" w:eastAsia="zh-CN" w:bidi="ar-SA"/>
        </w:rPr>
        <w:t>industry standard for teachers’ digital literacy w</w:t>
      </w:r>
      <w:r>
        <w:rPr>
          <w:rFonts w:hint="default" w:ascii="Times New Roman Regular" w:hAnsi="Times New Roman Regular" w:cs="Times New Roman Regular"/>
          <w:b w:val="0"/>
          <w:bCs/>
          <w:kern w:val="2"/>
          <w:sz w:val="21"/>
          <w:szCs w:val="24"/>
          <w:lang w:val="en-US" w:eastAsia="zh-CN" w:bidi="ar-SA"/>
        </w:rPr>
        <w:t>as</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established</w:t>
      </w:r>
      <w:r>
        <w:rPr>
          <w:rFonts w:hint="default" w:ascii="Times New Roman Regular" w:hAnsi="Times New Roman Regular" w:cs="Times New Roman Regular" w:eastAsiaTheme="minorEastAsia"/>
          <w:b w:val="0"/>
          <w:bCs/>
          <w:kern w:val="2"/>
          <w:sz w:val="21"/>
          <w:szCs w:val="24"/>
          <w:lang w:val="en-US" w:eastAsia="zh-CN" w:bidi="ar-SA"/>
        </w:rPr>
        <w:t xml:space="preserve">, </w:t>
      </w:r>
      <w:r>
        <w:rPr>
          <w:rFonts w:hint="default" w:ascii="Times New Roman Regular" w:hAnsi="Times New Roman Regular" w:cs="Times New Roman Regular"/>
          <w:b w:val="0"/>
          <w:bCs/>
          <w:kern w:val="2"/>
          <w:sz w:val="21"/>
          <w:szCs w:val="24"/>
          <w:lang w:val="en-US" w:eastAsia="zh-CN" w:bidi="ar-SA"/>
        </w:rPr>
        <w:t>offering</w:t>
      </w:r>
      <w:r>
        <w:rPr>
          <w:rFonts w:hint="default" w:ascii="Times New Roman Regular" w:hAnsi="Times New Roman Regular" w:cs="Times New Roman Regular" w:eastAsiaTheme="minorEastAsia"/>
          <w:b w:val="0"/>
          <w:bCs/>
          <w:kern w:val="2"/>
          <w:sz w:val="21"/>
          <w:szCs w:val="24"/>
          <w:lang w:val="en-US" w:eastAsia="zh-CN" w:bidi="ar-SA"/>
        </w:rPr>
        <w:t xml:space="preserve"> a </w:t>
      </w:r>
      <w:r>
        <w:rPr>
          <w:rFonts w:hint="default" w:ascii="Times New Roman Regular" w:hAnsi="Times New Roman Regular" w:cs="Times New Roman Regular"/>
          <w:b w:val="0"/>
          <w:bCs/>
          <w:kern w:val="2"/>
          <w:sz w:val="21"/>
          <w:szCs w:val="24"/>
          <w:lang w:val="en-US" w:eastAsia="zh-CN" w:bidi="ar-SA"/>
        </w:rPr>
        <w:t xml:space="preserve">comprehensive </w:t>
      </w:r>
      <w:r>
        <w:rPr>
          <w:rFonts w:hint="default" w:ascii="Times New Roman Regular" w:hAnsi="Times New Roman Regular" w:cs="Times New Roman Regular" w:eastAsiaTheme="minorEastAsia"/>
          <w:b w:val="0"/>
          <w:bCs/>
          <w:kern w:val="2"/>
          <w:sz w:val="21"/>
          <w:szCs w:val="24"/>
          <w:lang w:val="en-US" w:eastAsia="zh-CN" w:bidi="ar-SA"/>
        </w:rPr>
        <w:t xml:space="preserve">framework </w:t>
      </w:r>
      <w:r>
        <w:rPr>
          <w:rFonts w:hint="default" w:ascii="Times New Roman Regular" w:hAnsi="Times New Roman Regular" w:cs="Times New Roman Regular"/>
          <w:b w:val="0"/>
          <w:bCs/>
          <w:kern w:val="2"/>
          <w:sz w:val="21"/>
          <w:szCs w:val="24"/>
          <w:lang w:val="en-US" w:eastAsia="zh-CN" w:bidi="ar-SA"/>
        </w:rPr>
        <w:t>designed for</w:t>
      </w:r>
      <w:r>
        <w:rPr>
          <w:rFonts w:hint="default" w:ascii="Times New Roman Regular" w:hAnsi="Times New Roman Regular" w:cs="Times New Roman Regular" w:eastAsiaTheme="minorEastAsia"/>
          <w:b w:val="0"/>
          <w:bCs/>
          <w:kern w:val="2"/>
          <w:sz w:val="21"/>
          <w:szCs w:val="24"/>
          <w:lang w:val="en-US" w:eastAsia="zh-CN" w:bidi="ar-SA"/>
        </w:rPr>
        <w:t xml:space="preserve"> educators at all levels.</w:t>
      </w:r>
    </w:p>
    <w:p>
      <w:pPr>
        <w:widowControl w:val="0"/>
        <w:numPr>
          <w:ilvl w:val="0"/>
          <w:numId w:val="0"/>
        </w:numPr>
        <w:ind w:leftChars="0"/>
        <w:jc w:val="both"/>
        <w:rPr>
          <w:rFonts w:hint="default" w:ascii="Times New Roman Bold" w:hAnsi="Times New Roman Bold" w:cs="Times New Roman Bold"/>
          <w:b/>
          <w:bCs w:val="0"/>
          <w:lang w:val="en-US" w:eastAsia="zh-CN"/>
        </w:rPr>
      </w:pPr>
    </w:p>
    <w:p>
      <w:pPr>
        <w:widowControl w:val="0"/>
        <w:numPr>
          <w:ilvl w:val="0"/>
          <w:numId w:val="0"/>
        </w:numPr>
        <w:ind w:leftChars="0"/>
        <w:jc w:val="both"/>
        <w:rPr>
          <w:rFonts w:hint="default" w:ascii="Times New Roman Bold" w:hAnsi="Times New Roman Bold" w:cs="Times New Roman Bold"/>
          <w:b/>
          <w:bCs/>
          <w:lang w:val="en-US" w:eastAsia="zh-CN"/>
        </w:rPr>
      </w:pPr>
      <w:r>
        <w:rPr>
          <w:rFonts w:hint="default" w:ascii="Times New Roman Bold" w:hAnsi="Times New Roman Bold" w:cs="Times New Roman Bold"/>
          <w:b/>
          <w:bCs/>
          <w:lang w:val="en-US" w:eastAsia="zh-CN"/>
        </w:rPr>
        <w:t>The National Standard for Teachers’ Digital Literacy</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document deconstructs the definition of ‘teachers’ digital literacy’ into five main dimensions, thirteen secondary dimensions, and thirty-three tertiary dimensions. The primary and secondary dimensions are shown in figure 1 below, while each tertiary dimension is accompanied by a sentence description. </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drawing>
          <wp:inline distT="0" distB="0" distL="114300" distR="114300">
            <wp:extent cx="5302250" cy="1639570"/>
            <wp:effectExtent l="0" t="0" r="0" b="0"/>
            <wp:docPr id="1" name="图片 1" descr="teachers' digital literac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eachers' digital literacy framework"/>
                    <pic:cNvPicPr>
                      <a:picLocks noChangeAspect="1"/>
                    </pic:cNvPicPr>
                  </pic:nvPicPr>
                  <pic:blipFill>
                    <a:blip r:embed="rId4">
                      <a:extLst>
                        <a:ext uri="{96DAC541-7B7A-43D3-8B79-37D633B846F1}">
                          <asvg:svgBlip xmlns:asvg="http://schemas.microsoft.com/office/drawing/2016/SVG/main" r:embed="rId5"/>
                        </a:ext>
                      </a:extLst>
                    </a:blip>
                    <a:stretch>
                      <a:fillRect/>
                    </a:stretch>
                  </pic:blipFill>
                  <pic:spPr>
                    <a:xfrm>
                      <a:off x="0" y="0"/>
                      <a:ext cx="5302250" cy="1639570"/>
                    </a:xfrm>
                    <a:prstGeom prst="rect">
                      <a:avLst/>
                    </a:prstGeom>
                  </pic:spPr>
                </pic:pic>
              </a:graphicData>
            </a:graphic>
          </wp:inline>
        </w:drawing>
      </w:r>
      <w:r>
        <w:rPr>
          <w:rFonts w:hint="default" w:ascii="Times New Roman Regular" w:hAnsi="Times New Roman Regular" w:cs="Times New Roman Regular"/>
          <w:lang w:val="en-US" w:eastAsia="zh-CN"/>
        </w:rPr>
        <w:t>figure 1  The National Standard for Teachers’ Digital Literacy (Ministry of Education of China, 2022)</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document describes teachers’ digital literacy including ‘awareness, capabilities, and responsibilities’ to effectively use digital technology for accessing, processing, managing, and evaluating digital information and resources. It also includes the capability to identify, analyse, and address educational challenges, while optimising, innovating, and transforming teaching practices (Ministry of Education of China, 2022, p. 1). The framework, as shown in figure 1, in additional to the three aspects included in the definition of digital literacy, separates ‘digital application’ and ‘professional development’. This can be understood as teachers’ digital literacy consisting of three core aspects, with application and training serving as the methods to enhance it. It also highlights that improving digital literacy benefits teachers by advancing their careers.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Though not explicit in their sequence, the five aspects in the framework are organised logically. First, digital awareness and willingness are needed to learn and use educational technology. This is followed by acquiring knowledge and skills in the field. The application begins once a certain level of digital technological knowledge and skills is attained. Meanwhile, ethical issues and digital security need to be considered. Throughout the process, professional development can be achieved.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 terms of language, the descriptions for the tertiary dimensions are mostly descriptive, with frequent use of the term ‘be able to’, for instance, ‘teachers should be able to organise teaching activities that incorporate digital technology resources based on teaching objectives’(Ministry of Education of China, 2022, p. 4). This reflects the guiding role of the standard. However, the term ‘must’ as imperative language, also appears frequently throughout the document, such as ‘teachers must adhere to laws, regulations, and ethical standards associated with digital activities’(Ministry of Education of China, 2022, p. 5), which highlights the authority of the document.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 the document, the roles of teachers are described in detail. Students are also repeatedly mentioned, such as (teachers) ‘be able to use digital tools to spot differences in students’ learning and provide suitable support’(Ministry of Education of China, 2022, p. 4). In contrast, other stakeholders of the policy are not mentioned in the document. The positioning of schools and institutions that are supposed to be the targeted readers of the policy is missing in the document. Therefore it seems to place more responsibility on teachers and make the enhancement of teachers’ digital literacy a personal motivation and need. It may increase pressure and workload for teachers, particularly those with limited digital literacy skills and inadequate access to resources.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successful implementation of policy depends not only on the efforts of stakeholders but also on public perception and support. Media coverage serves as a significant link between the policy and the public. Chinese mainstream media hold generally a positive view of teachers’ digital literacy and play an important role in building </w:t>
      </w:r>
      <w:r>
        <w:rPr>
          <w:rFonts w:hint="eastAsia" w:ascii="Times New Roman Regular" w:hAnsi="Times New Roman Regular" w:cs="Times New Roman Regular"/>
          <w:lang w:val="en-US" w:eastAsia="zh-CN"/>
        </w:rPr>
        <w:t xml:space="preserve">public </w:t>
      </w:r>
      <w:r>
        <w:rPr>
          <w:rFonts w:hint="default" w:ascii="Times New Roman Regular" w:hAnsi="Times New Roman Regular" w:cs="Times New Roman Regular"/>
          <w:lang w:val="en-US" w:eastAsia="zh-CN"/>
        </w:rPr>
        <w:t xml:space="preserve">confidence in it. Chinese media reports on teachers’ digital literacy can be grouped into three main categories. The first category focuses on teachers’ central role in educational digitalization. For instance, the Minister of Education, Huai Jinpeng, emphasized the need to ‘cultivate a large number of teachers with digital literacy and strengthen the teaching workforce’(Ministry of Education of China, 2024) at a press conference. This type of report in media raises public awareness and fosters support for policy implementation. The second category of report focuses on the progress of national and local efforts to implement the policy or provide training opportunities for teachers, including the development of smart platforms, expert forums, and training workshops. By presenting progress through media, the public is assured that concrete steps are being taken to improve teaching quality. It can also boost teachers’ confidence, as support is accessible and participation is encouraged. The third category showcases success stories from regions, schools, or teachers that successfully implemented the policy. These success stories serve as role models to demonstrate to the public that the policy goals are achievable. At the same time, all three types of reports can attract more social resources and funding to support the policy.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highlight w:val="none"/>
          <w:lang w:val="en-US" w:eastAsia="zh-CN"/>
        </w:rPr>
      </w:pPr>
      <w:r>
        <w:rPr>
          <w:rFonts w:hint="default" w:ascii="Times New Roman Regular" w:hAnsi="Times New Roman Regular" w:cs="Times New Roman Regular"/>
          <w:highlight w:val="none"/>
          <w:lang w:val="en-US" w:eastAsia="zh-CN"/>
        </w:rPr>
        <w:t xml:space="preserve">It is worth </w:t>
      </w:r>
      <w:r>
        <w:rPr>
          <w:rFonts w:hint="eastAsia" w:ascii="Times New Roman Regular" w:hAnsi="Times New Roman Regular" w:cs="Times New Roman Regular"/>
          <w:highlight w:val="none"/>
          <w:lang w:val="en-US" w:eastAsia="zh-CN"/>
        </w:rPr>
        <w:t>n</w:t>
      </w:r>
      <w:r>
        <w:rPr>
          <w:rFonts w:hint="default" w:ascii="Times New Roman Regular" w:hAnsi="Times New Roman Regular" w:cs="Times New Roman Regular"/>
          <w:highlight w:val="none"/>
          <w:lang w:val="en-US" w:eastAsia="zh-CN"/>
        </w:rPr>
        <w:t xml:space="preserve">oting that reports on the practical challenges faced by teachers, such as unequal access to resources, technical pressure, and increased workload are relatively less common than the positive ones. It may present an imbalanced picture of policy impact and increase pressure on teachers, particularly those who are struggling with basic technological skills or limited resources. If problems continue to be ignored, there will be fewer opportunities for improvement. </w:t>
      </w:r>
    </w:p>
    <w:p>
      <w:pPr>
        <w:widowControl w:val="0"/>
        <w:numPr>
          <w:ilvl w:val="0"/>
          <w:numId w:val="0"/>
        </w:numPr>
        <w:ind w:leftChars="0"/>
        <w:jc w:val="both"/>
        <w:rPr>
          <w:rFonts w:hint="default" w:ascii="Times New Roman Regular" w:hAnsi="Times New Roman Regular" w:cs="Times New Roman Regular"/>
          <w:highlight w:val="none"/>
          <w:lang w:val="en-US" w:eastAsia="zh-CN"/>
        </w:rPr>
      </w:pPr>
    </w:p>
    <w:p>
      <w:pPr>
        <w:widowControl w:val="0"/>
        <w:numPr>
          <w:ilvl w:val="0"/>
          <w:numId w:val="0"/>
        </w:numPr>
        <w:ind w:leftChars="0"/>
        <w:jc w:val="both"/>
        <w:rPr>
          <w:rFonts w:hint="default" w:ascii="Times New Roman Regular" w:hAnsi="Times New Roman Regular" w:cs="Times New Roman Regular"/>
          <w:highlight w:val="none"/>
          <w:lang w:val="en-US" w:eastAsia="zh-CN"/>
        </w:rPr>
      </w:pPr>
      <w:r>
        <w:rPr>
          <w:rFonts w:hint="default" w:ascii="Times New Roman Regular" w:hAnsi="Times New Roman Regular" w:cs="Times New Roman Regular"/>
          <w:highlight w:val="none"/>
          <w:lang w:val="en-US" w:eastAsia="zh-CN"/>
        </w:rPr>
        <w:t xml:space="preserve">In the academic field, in addition to the interpretation of teachers’ digital literacy in diverse educational settings (Wu </w:t>
      </w:r>
      <w:r>
        <w:rPr>
          <w:rFonts w:hint="default" w:ascii="Times New Roman Italic" w:hAnsi="Times New Roman Italic" w:cs="Times New Roman Italic"/>
          <w:i/>
          <w:iCs/>
          <w:highlight w:val="none"/>
          <w:lang w:val="en-US" w:eastAsia="zh-CN"/>
        </w:rPr>
        <w:t xml:space="preserve">et al., </w:t>
      </w:r>
      <w:r>
        <w:rPr>
          <w:rFonts w:hint="default" w:ascii="Times New Roman" w:hAnsi="Times New Roman" w:cs="Times New Roman"/>
          <w:i w:val="0"/>
          <w:iCs w:val="0"/>
          <w:highlight w:val="none"/>
          <w:lang w:val="en-US" w:eastAsia="zh-CN"/>
        </w:rPr>
        <w:t xml:space="preserve">2023; Lai </w:t>
      </w:r>
      <w:r>
        <w:rPr>
          <w:rFonts w:hint="default" w:ascii="Times New Roman Italic" w:hAnsi="Times New Roman Italic" w:cs="Times New Roman Italic"/>
          <w:i/>
          <w:iCs/>
          <w:highlight w:val="none"/>
          <w:lang w:val="en-US" w:eastAsia="zh-CN"/>
        </w:rPr>
        <w:t xml:space="preserve">et al., </w:t>
      </w:r>
      <w:r>
        <w:rPr>
          <w:rFonts w:hint="default" w:ascii="Times New Roman" w:hAnsi="Times New Roman" w:cs="Times New Roman"/>
          <w:i w:val="0"/>
          <w:iCs w:val="0"/>
          <w:highlight w:val="none"/>
          <w:lang w:val="en-US" w:eastAsia="zh-CN"/>
        </w:rPr>
        <w:t>2023</w:t>
      </w:r>
      <w:r>
        <w:rPr>
          <w:rFonts w:hint="default" w:ascii="Times New Roman Regular" w:hAnsi="Times New Roman Regular" w:cs="Times New Roman Regular"/>
          <w:highlight w:val="none"/>
          <w:lang w:val="en-US" w:eastAsia="zh-CN"/>
        </w:rPr>
        <w:t xml:space="preserve">), several recent studies have been carried out on the practical challenges and proposed potential solutions (Chen, 2024; Gong, 2024; Zhang, 2023; Deng and Deng, 2024). Zhou </w:t>
      </w:r>
      <w:r>
        <w:rPr>
          <w:rFonts w:hint="default" w:ascii="Times New Roman Italic" w:hAnsi="Times New Roman Italic" w:cs="Times New Roman Italic"/>
          <w:i/>
          <w:iCs/>
          <w:highlight w:val="none"/>
          <w:lang w:val="en-US" w:eastAsia="zh-CN"/>
        </w:rPr>
        <w:t>et al.</w:t>
      </w:r>
      <w:r>
        <w:rPr>
          <w:rFonts w:hint="default" w:ascii="Times New Roman Regular" w:hAnsi="Times New Roman Regular" w:cs="Times New Roman Regular"/>
          <w:highlight w:val="none"/>
          <w:lang w:val="en-US" w:eastAsia="zh-CN"/>
        </w:rPr>
        <w:t xml:space="preserve"> (2023) point out the effectiveness of cultivating teachers’ digital literacy was hindered by teachers’ mindset and motivation (limited digital literacy, resistance to change, lack of motivation), insufficient course (lack of theoretical foundations, a comprehensive system and evaluation standards) and weak support (uneven resource allocation, regional and school disparities, and low quality and unsystematic training). In examining the current challenges of enhancing digital literacy among university teachers, Gong (2024) observes that teachers tend to prioritize gathering digital resources over developing innovative teaching methods, with limited skills in applying digital tools and implementing teaching effectively. These findings could offer a more comprehensive understanding of teachers’ digital literacy; however, they are mainly accessible to researchers and teachers rather than the public. </w:t>
      </w:r>
    </w:p>
    <w:p>
      <w:pPr>
        <w:widowControl w:val="0"/>
        <w:numPr>
          <w:ilvl w:val="0"/>
          <w:numId w:val="0"/>
        </w:numPr>
        <w:ind w:leftChars="0"/>
        <w:jc w:val="both"/>
        <w:rPr>
          <w:rFonts w:hint="default" w:ascii="Times New Roman Regular" w:hAnsi="Times New Roman Regular" w:cs="Times New Roman Regular"/>
          <w:highlight w:val="yellow"/>
          <w:lang w:val="en-US" w:eastAsia="zh-CN"/>
        </w:rPr>
      </w:pPr>
    </w:p>
    <w:p>
      <w:pPr>
        <w:widowControl w:val="0"/>
        <w:numPr>
          <w:ilvl w:val="0"/>
          <w:numId w:val="0"/>
        </w:numPr>
        <w:ind w:leftChars="0"/>
        <w:jc w:val="both"/>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 xml:space="preserve">Policy Implementation </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While the document provides a comprehensive framework for defining teachers’ digital literacy, the actual impact of it depends on the interpretation, practices, and support at various levels. </w:t>
      </w:r>
      <w:r>
        <w:rPr>
          <w:rFonts w:hint="default" w:ascii="Times New Roman Regular" w:hAnsi="Times New Roman Regular" w:cs="Times New Roman Regular"/>
          <w:highlight w:val="none"/>
          <w:lang w:val="en-US" w:eastAsia="zh-CN"/>
        </w:rPr>
        <w:t>Local</w:t>
      </w:r>
      <w:r>
        <w:rPr>
          <w:rFonts w:hint="eastAsia" w:ascii="Times New Roman Regular" w:hAnsi="Times New Roman Regular" w:cs="Times New Roman Regular"/>
          <w:highlight w:val="none"/>
          <w:lang w:val="en-US" w:eastAsia="zh-CN"/>
        </w:rPr>
        <w:t xml:space="preserve"> a</w:t>
      </w:r>
      <w:r>
        <w:rPr>
          <w:rFonts w:hint="default" w:ascii="Times New Roman Regular" w:hAnsi="Times New Roman Regular" w:cs="Times New Roman Regular"/>
          <w:highlight w:val="none"/>
          <w:lang w:val="en-US" w:eastAsia="zh-CN"/>
        </w:rPr>
        <w:t xml:space="preserve">uthorities </w:t>
      </w:r>
      <w:r>
        <w:rPr>
          <w:rFonts w:hint="default" w:ascii="Times New Roman Regular" w:hAnsi="Times New Roman Regular" w:cs="Times New Roman Regular"/>
          <w:lang w:val="en-US" w:eastAsia="zh-CN"/>
        </w:rPr>
        <w:t>respond to the national standards by promoting practical implementation through the following key measures:</w:t>
      </w:r>
    </w:p>
    <w:p>
      <w:pPr>
        <w:widowControl w:val="0"/>
        <w:numPr>
          <w:ilvl w:val="0"/>
          <w:numId w:val="0"/>
        </w:numPr>
        <w:jc w:val="both"/>
        <w:rPr>
          <w:rFonts w:hint="default" w:ascii="Times New Roman Regular" w:hAnsi="Times New Roman Regular" w:cs="Times New Roman Regular"/>
          <w:lang w:val="en-US" w:eastAsia="zh-CN"/>
        </w:rPr>
      </w:pPr>
    </w:p>
    <w:p>
      <w:pPr>
        <w:widowControl w:val="0"/>
        <w:numPr>
          <w:ilvl w:val="0"/>
          <w:numId w:val="2"/>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Training </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Provincial and municipal education departments, along with schools, have </w:t>
      </w:r>
      <w:r>
        <w:rPr>
          <w:rFonts w:hint="eastAsia" w:ascii="Times New Roman Regular" w:hAnsi="Times New Roman Regular" w:cs="Times New Roman Regular"/>
          <w:lang w:val="en-US" w:eastAsia="zh-CN"/>
        </w:rPr>
        <w:t>been</w:t>
      </w:r>
      <w:r>
        <w:rPr>
          <w:rFonts w:hint="default" w:ascii="Times New Roman Regular" w:hAnsi="Times New Roman Regular" w:cs="Times New Roman Regular"/>
          <w:lang w:val="en-US" w:eastAsia="zh-CN"/>
        </w:rPr>
        <w:t xml:space="preserve"> actively offering training programs to help teachers improve their digital literacy. Local education departments often organise sessions for administrative staff, such as principals, academic directors, and IT staff. And they are responsible for training </w:t>
      </w:r>
      <w:r>
        <w:rPr>
          <w:rFonts w:hint="eastAsia" w:ascii="Times New Roman Regular" w:hAnsi="Times New Roman Regular" w:cs="Times New Roman Regular"/>
          <w:lang w:val="en-US" w:eastAsia="zh-CN"/>
        </w:rPr>
        <w:t>t</w:t>
      </w:r>
      <w:r>
        <w:rPr>
          <w:rFonts w:hint="default" w:ascii="Times New Roman Regular" w:hAnsi="Times New Roman Regular" w:cs="Times New Roman Regular"/>
          <w:lang w:val="en-US" w:eastAsia="zh-CN"/>
        </w:rPr>
        <w:t xml:space="preserve">he teachers in their schools. </w:t>
      </w:r>
    </w:p>
    <w:p>
      <w:pPr>
        <w:widowControl w:val="0"/>
        <w:numPr>
          <w:ilvl w:val="0"/>
          <w:numId w:val="0"/>
        </w:numPr>
        <w:jc w:val="both"/>
        <w:rPr>
          <w:rFonts w:hint="default" w:ascii="Times New Roman Regular" w:hAnsi="Times New Roman Regular" w:cs="Times New Roman Regular"/>
          <w:lang w:val="en-US" w:eastAsia="zh-CN"/>
        </w:rPr>
      </w:pP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Online training is </w:t>
      </w:r>
      <w:r>
        <w:rPr>
          <w:rFonts w:hint="eastAsia" w:ascii="Times New Roman Regular" w:hAnsi="Times New Roman Regular" w:cs="Times New Roman Regular"/>
          <w:lang w:val="en-US" w:eastAsia="zh-CN"/>
        </w:rPr>
        <w:t>a</w:t>
      </w:r>
      <w:r>
        <w:rPr>
          <w:rFonts w:hint="default" w:ascii="Times New Roman Regular" w:hAnsi="Times New Roman Regular" w:cs="Times New Roman Regular"/>
          <w:lang w:val="en-US" w:eastAsia="zh-CN"/>
        </w:rPr>
        <w:t>nother</w:t>
      </w:r>
      <w:r>
        <w:rPr>
          <w:rFonts w:hint="eastAsia" w:ascii="Times New Roman Regular" w:hAnsi="Times New Roman Regular" w:cs="Times New Roman Regular"/>
          <w:lang w:val="en-US" w:eastAsia="zh-CN"/>
        </w:rPr>
        <w:t xml:space="preserve"> common</w:t>
      </w:r>
      <w:r>
        <w:rPr>
          <w:rFonts w:hint="default" w:ascii="Times New Roman Regular" w:hAnsi="Times New Roman Regular" w:cs="Times New Roman Regular"/>
          <w:lang w:val="en-US" w:eastAsia="zh-CN"/>
        </w:rPr>
        <w:t xml:space="preserve"> model for teachers’ digital literacy development. Schools use online platforms to provide training courses, which typically include both compulsory and optional modules. The content cover dimensions outlined in the standard, such as data security and digital course design. Schools generally set a minimum requirement for training hours, and teachers are expected to complete these courses on their own. </w:t>
      </w:r>
    </w:p>
    <w:p>
      <w:pPr>
        <w:widowControl w:val="0"/>
        <w:numPr>
          <w:ilvl w:val="0"/>
          <w:numId w:val="0"/>
        </w:numPr>
        <w:jc w:val="both"/>
        <w:rPr>
          <w:rFonts w:hint="default" w:ascii="Times New Roman Regular" w:hAnsi="Times New Roman Regular" w:cs="Times New Roman Regular"/>
          <w:lang w:val="en-US" w:eastAsia="zh-CN"/>
        </w:rPr>
      </w:pPr>
    </w:p>
    <w:p>
      <w:pPr>
        <w:widowControl w:val="0"/>
        <w:numPr>
          <w:ilvl w:val="0"/>
          <w:numId w:val="2"/>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Seminars, Forums and Workshops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If training is considered mandatory, seminars, forums, and workshops are voluntary. These events provide participants with opportunities to better understand the standard, interact with and learn from experts, scholars, and peers. However, these activities, often organised by institutions or enterprises, usually require registration fees and travel expenses. For teachers with limited funding, this can be a financial burden. </w:t>
      </w:r>
    </w:p>
    <w:p>
      <w:pPr>
        <w:widowControl w:val="0"/>
        <w:numPr>
          <w:ilvl w:val="0"/>
          <w:numId w:val="2"/>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Course Awards and Teacher Competitions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Course awards and teacher competitions serve as incentives to motivate teachers to enhance their digital skills. They provide great opportunities for teachers’ professional development. The Ministry of Education’s National First-Class Undergraduate Courses is a good example. There are five categories of the first-class award, among which, ‘Online Courses’, ‘Online and Offline Blended Courses’, and ‘Virtual Simulation Teaching Experiments’ categories explicitly emphasize the importance of teachers’ digital literacy. These nationally recognized courses not only depend on high levels of digital literacy from teachers but also serve as incentives, encouraging teachers to adopt innovative teaching practices and thereby driving the progress of educational digitalisation. Teacher competitions often attract teachers with advanced digital literacy to take part in. They showcase best practices and new ideas to inspire their peers. Winning the competitions often provides teachers with further opportunities for professional advancement.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2"/>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Platforms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eastAsia" w:ascii="Times New Roman Regular" w:hAnsi="Times New Roman Regular" w:cs="Times New Roman Regular"/>
          <w:lang w:val="en-US" w:eastAsia="zh-CN"/>
        </w:rPr>
        <w:t>Plat</w:t>
      </w:r>
      <w:r>
        <w:rPr>
          <w:rFonts w:hint="default" w:ascii="Times New Roman Regular" w:hAnsi="Times New Roman Regular" w:cs="Times New Roman Regular"/>
          <w:lang w:val="en-US" w:eastAsia="zh-CN"/>
        </w:rPr>
        <w:t xml:space="preserve">forms are a crucial driver and strong support for the implementation of the standard. They provide the infrastructure and resources necessary to support various aspects of its implementation. The National Smart Education Platform has become a significant hub for enhancing teachers’ digital literacy. By offering teachers with abundant teaching resources and courses, the platform provides demonstrations and references for digital teaching practices. It also features “teacher training” session, delivering professional training and technical support to teachers. Since the summer of 2022, it has hosted special summer training sessions annually. Recently, the platform has been piloting assessments by introducing a points system in the section for primary and secondary schools, evaluating, managing, and encouraging participation in digital education activities. </w:t>
      </w:r>
    </w:p>
    <w:p>
      <w:pPr>
        <w:widowControl w:val="0"/>
        <w:numPr>
          <w:ilvl w:val="0"/>
          <w:numId w:val="0"/>
        </w:numPr>
        <w:ind w:leftChars="0"/>
        <w:jc w:val="both"/>
        <w:rPr>
          <w:rFonts w:hint="default" w:ascii="Times New Roman Regular" w:hAnsi="Times New Roman Regular" w:cs="Times New Roman Regular"/>
          <w:lang w:val="en-US" w:eastAsia="zh-CN"/>
        </w:rPr>
      </w:pPr>
    </w:p>
    <w:p>
      <w:pPr>
        <w:pStyle w:val="3"/>
        <w:keepNext w:val="0"/>
        <w:keepLines w:val="0"/>
        <w:widowControl/>
        <w:numPr>
          <w:ilvl w:val="0"/>
          <w:numId w:val="2"/>
        </w:numPr>
        <w:suppressLineNumbers w:val="0"/>
        <w:spacing w:before="0" w:beforeAutospacing="0" w:after="0" w:afterAutospacing="0"/>
        <w:ind w:left="0" w:leftChars="0" w:right="0" w:firstLine="0" w:firstLineChars="0"/>
        <w:jc w:val="left"/>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 xml:space="preserve">Policy Advocacy </w:t>
      </w:r>
    </w:p>
    <w:p>
      <w:pPr>
        <w:pStyle w:val="3"/>
        <w:keepNext w:val="0"/>
        <w:keepLines w:val="0"/>
        <w:widowControl/>
        <w:numPr>
          <w:ilvl w:val="0"/>
          <w:numId w:val="0"/>
        </w:numPr>
        <w:suppressLineNumbers w:val="0"/>
        <w:spacing w:before="0" w:beforeAutospacing="0" w:after="0" w:afterAutospacing="0"/>
        <w:ind w:leftChars="0" w:right="0" w:rightChars="0"/>
        <w:jc w:val="both"/>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 xml:space="preserve">Although </w:t>
      </w:r>
      <w:r>
        <w:rPr>
          <w:rFonts w:hint="default" w:ascii="Times New Roman Regular" w:hAnsi="Times New Roman Regular" w:cs="Times New Roman Regular"/>
          <w:kern w:val="2"/>
          <w:sz w:val="21"/>
          <w:szCs w:val="24"/>
          <w:lang w:val="en-US" w:eastAsia="zh-CN" w:bidi="ar-SA"/>
        </w:rPr>
        <w:t xml:space="preserve">the </w:t>
      </w:r>
      <w:r>
        <w:rPr>
          <w:rFonts w:hint="default" w:ascii="Times New Roman Regular" w:hAnsi="Times New Roman Regular" w:cs="Times New Roman Regular" w:eastAsiaTheme="minorEastAsia"/>
          <w:kern w:val="2"/>
          <w:sz w:val="21"/>
          <w:szCs w:val="24"/>
          <w:lang w:val="en-US" w:eastAsia="zh-CN" w:bidi="ar-SA"/>
        </w:rPr>
        <w:t>standard was drafted and issued as early as February 2022, it was included as the literacy-focused standard among the seven smart education platform standards officially released at the 2023 World Digital Education Conference. The release</w:t>
      </w:r>
      <w:r>
        <w:rPr>
          <w:rFonts w:hint="default" w:ascii="Times New Roman Regular" w:hAnsi="Times New Roman Regular" w:cs="Times New Roman Regular"/>
          <w:kern w:val="2"/>
          <w:sz w:val="21"/>
          <w:szCs w:val="24"/>
          <w:lang w:val="en-US" w:eastAsia="zh-CN" w:bidi="ar-SA"/>
        </w:rPr>
        <w:t xml:space="preserve"> of the standard</w:t>
      </w:r>
      <w:r>
        <w:rPr>
          <w:rFonts w:hint="default" w:ascii="Times New Roman Regular" w:hAnsi="Times New Roman Regular" w:cs="Times New Roman Regular" w:eastAsiaTheme="minorEastAsia"/>
          <w:kern w:val="2"/>
          <w:sz w:val="21"/>
          <w:szCs w:val="24"/>
          <w:lang w:val="en-US" w:eastAsia="zh-CN" w:bidi="ar-SA"/>
        </w:rPr>
        <w:t xml:space="preserve"> </w:t>
      </w:r>
      <w:r>
        <w:rPr>
          <w:rFonts w:hint="default" w:ascii="Times New Roman Regular" w:hAnsi="Times New Roman Regular" w:cs="Times New Roman Regular"/>
          <w:kern w:val="2"/>
          <w:sz w:val="21"/>
          <w:szCs w:val="24"/>
          <w:lang w:val="en-US" w:eastAsia="zh-CN" w:bidi="ar-SA"/>
        </w:rPr>
        <w:t>on</w:t>
      </w:r>
      <w:r>
        <w:rPr>
          <w:rFonts w:hint="default" w:ascii="Times New Roman Regular" w:hAnsi="Times New Roman Regular" w:cs="Times New Roman Regular" w:eastAsiaTheme="minorEastAsia"/>
          <w:kern w:val="2"/>
          <w:sz w:val="21"/>
          <w:szCs w:val="24"/>
          <w:lang w:val="en-US" w:eastAsia="zh-CN" w:bidi="ar-SA"/>
        </w:rPr>
        <w:t xml:space="preserve"> this international platform amplif</w:t>
      </w:r>
      <w:r>
        <w:rPr>
          <w:rFonts w:hint="default" w:ascii="Times New Roman Regular" w:hAnsi="Times New Roman Regular" w:cs="Times New Roman Regular"/>
          <w:kern w:val="2"/>
          <w:sz w:val="21"/>
          <w:szCs w:val="24"/>
          <w:lang w:val="en-US" w:eastAsia="zh-CN" w:bidi="ar-SA"/>
        </w:rPr>
        <w:t>ied</w:t>
      </w:r>
      <w:r>
        <w:rPr>
          <w:rFonts w:hint="default" w:ascii="Times New Roman Regular" w:hAnsi="Times New Roman Regular" w:cs="Times New Roman Regular" w:eastAsiaTheme="minorEastAsia"/>
          <w:kern w:val="2"/>
          <w:sz w:val="21"/>
          <w:szCs w:val="24"/>
          <w:lang w:val="en-US" w:eastAsia="zh-CN" w:bidi="ar-SA"/>
        </w:rPr>
        <w:t xml:space="preserve"> the social impact of </w:t>
      </w:r>
      <w:r>
        <w:rPr>
          <w:rFonts w:hint="default" w:ascii="Times New Roman Regular" w:hAnsi="Times New Roman Regular" w:cs="Times New Roman Regular"/>
          <w:kern w:val="2"/>
          <w:sz w:val="21"/>
          <w:szCs w:val="24"/>
          <w:lang w:val="en-US" w:eastAsia="zh-CN" w:bidi="ar-SA"/>
        </w:rPr>
        <w:t>the standard</w:t>
      </w:r>
      <w:r>
        <w:rPr>
          <w:rFonts w:hint="default" w:ascii="Times New Roman Regular" w:hAnsi="Times New Roman Regular" w:cs="Times New Roman Regular" w:eastAsiaTheme="minorEastAsia"/>
          <w:kern w:val="2"/>
          <w:sz w:val="21"/>
          <w:szCs w:val="24"/>
          <w:lang w:val="en-US" w:eastAsia="zh-CN" w:bidi="ar-SA"/>
        </w:rPr>
        <w:t>, enhanc</w:t>
      </w:r>
      <w:r>
        <w:rPr>
          <w:rFonts w:hint="default" w:ascii="Times New Roman Regular" w:hAnsi="Times New Roman Regular" w:cs="Times New Roman Regular"/>
          <w:kern w:val="2"/>
          <w:sz w:val="21"/>
          <w:szCs w:val="24"/>
          <w:lang w:val="en-US" w:eastAsia="zh-CN" w:bidi="ar-SA"/>
        </w:rPr>
        <w:t>ed</w:t>
      </w:r>
      <w:r>
        <w:rPr>
          <w:rFonts w:hint="default" w:ascii="Times New Roman Regular" w:hAnsi="Times New Roman Regular" w:cs="Times New Roman Regular" w:eastAsiaTheme="minorEastAsia"/>
          <w:kern w:val="2"/>
          <w:sz w:val="21"/>
          <w:szCs w:val="24"/>
          <w:lang w:val="en-US" w:eastAsia="zh-CN" w:bidi="ar-SA"/>
        </w:rPr>
        <w:t xml:space="preserve"> its domestic and international recognition</w:t>
      </w:r>
      <w:r>
        <w:rPr>
          <w:rFonts w:hint="default" w:ascii="Times New Roman Regular" w:hAnsi="Times New Roman Regular" w:cs="Times New Roman Regular"/>
          <w:kern w:val="2"/>
          <w:sz w:val="21"/>
          <w:szCs w:val="24"/>
          <w:lang w:val="en-US" w:eastAsia="zh-CN" w:bidi="ar-SA"/>
        </w:rPr>
        <w:t>,</w:t>
      </w:r>
      <w:r>
        <w:rPr>
          <w:rFonts w:hint="default" w:ascii="Times New Roman Regular" w:hAnsi="Times New Roman Regular" w:cs="Times New Roman Regular" w:eastAsiaTheme="minorEastAsia"/>
          <w:kern w:val="2"/>
          <w:sz w:val="21"/>
          <w:szCs w:val="24"/>
          <w:lang w:val="en-US" w:eastAsia="zh-CN" w:bidi="ar-SA"/>
        </w:rPr>
        <w:t xml:space="preserve"> and provid</w:t>
      </w:r>
      <w:r>
        <w:rPr>
          <w:rFonts w:hint="default" w:ascii="Times New Roman Regular" w:hAnsi="Times New Roman Regular" w:cs="Times New Roman Regular"/>
          <w:kern w:val="2"/>
          <w:sz w:val="21"/>
          <w:szCs w:val="24"/>
          <w:lang w:val="en-US" w:eastAsia="zh-CN" w:bidi="ar-SA"/>
        </w:rPr>
        <w:t>ed</w:t>
      </w:r>
      <w:r>
        <w:rPr>
          <w:rFonts w:hint="default" w:ascii="Times New Roman Regular" w:hAnsi="Times New Roman Regular" w:cs="Times New Roman Regular" w:eastAsiaTheme="minorEastAsia"/>
          <w:kern w:val="2"/>
          <w:sz w:val="21"/>
          <w:szCs w:val="24"/>
          <w:lang w:val="en-US" w:eastAsia="zh-CN" w:bidi="ar-SA"/>
        </w:rPr>
        <w:t xml:space="preserve"> crucial support for its effective implementation. </w:t>
      </w:r>
    </w:p>
    <w:p>
      <w:pPr>
        <w:pStyle w:val="3"/>
        <w:keepNext w:val="0"/>
        <w:keepLines w:val="0"/>
        <w:widowControl/>
        <w:numPr>
          <w:ilvl w:val="0"/>
          <w:numId w:val="0"/>
        </w:numPr>
        <w:suppressLineNumbers w:val="0"/>
        <w:spacing w:before="0" w:beforeAutospacing="0" w:after="0" w:afterAutospacing="0"/>
        <w:ind w:leftChars="0" w:right="0" w:rightChars="0"/>
        <w:jc w:val="both"/>
        <w:rPr>
          <w:rFonts w:hint="default" w:ascii="Times New Roman Regular" w:hAnsi="Times New Roman Regular" w:cs="Times New Roman Regular" w:eastAsiaTheme="minorEastAsia"/>
          <w:kern w:val="2"/>
          <w:sz w:val="21"/>
          <w:szCs w:val="24"/>
          <w:lang w:val="en-US" w:eastAsia="zh-CN" w:bidi="ar-SA"/>
        </w:rPr>
      </w:pPr>
    </w:p>
    <w:p>
      <w:pPr>
        <w:widowControl w:val="0"/>
        <w:numPr>
          <w:ilvl w:val="0"/>
          <w:numId w:val="2"/>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Hardware and Software Support </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government and education departments have continuously invested significant funds in upgrading hardware and developing software applications. Hardware upgrades usually include digital infrastructure construction, such as networks, broadband, data centers, and smart classrooms. In collaboration with educational technology companies, software solutions have been developed to create customized school applications, making teaching management and school administration digital. Additionally, parents and students are invited to participate in digital education through the use of these digital tools. </w:t>
      </w:r>
    </w:p>
    <w:p>
      <w:pPr>
        <w:widowControl w:val="0"/>
        <w:numPr>
          <w:ilvl w:val="0"/>
          <w:numId w:val="0"/>
        </w:numPr>
        <w:ind w:leftChars="0"/>
        <w:jc w:val="both"/>
        <w:rPr>
          <w:rFonts w:hint="default" w:ascii="Times New Roman Regular" w:hAnsi="Times New Roman Regular" w:cs="Times New Roman Regular"/>
          <w:highlight w:val="yellow"/>
          <w:lang w:val="en-US" w:eastAsia="zh-CN"/>
        </w:rPr>
      </w:pPr>
    </w:p>
    <w:p>
      <w:pPr>
        <w:widowControl w:val="0"/>
        <w:numPr>
          <w:ilvl w:val="0"/>
          <w:numId w:val="0"/>
        </w:numPr>
        <w:ind w:leftChars="0"/>
        <w:jc w:val="both"/>
        <w:rPr>
          <w:rFonts w:hint="default" w:ascii="Times New Roman Bold" w:hAnsi="Times New Roman Bold" w:cs="Times New Roman Bold"/>
          <w:b/>
          <w:bCs/>
          <w:highlight w:val="none"/>
          <w:lang w:val="en-US" w:eastAsia="zh-CN"/>
        </w:rPr>
      </w:pPr>
      <w:r>
        <w:rPr>
          <w:rFonts w:hint="default" w:ascii="Times New Roman Bold" w:hAnsi="Times New Roman Bold" w:cs="Times New Roman Bold"/>
          <w:b/>
          <w:bCs/>
          <w:highlight w:val="none"/>
          <w:lang w:val="en-US" w:eastAsia="zh-CN"/>
        </w:rPr>
        <w:t>Challenges and barriers to implementation</w:t>
      </w:r>
    </w:p>
    <w:p>
      <w:pPr>
        <w:widowControl w:val="0"/>
        <w:numPr>
          <w:ilvl w:val="0"/>
          <w:numId w:val="0"/>
        </w:numPr>
        <w:jc w:val="both"/>
        <w:rPr>
          <w:rFonts w:hint="default" w:ascii="Times New Roman Bold" w:hAnsi="Times New Roman Bold" w:cs="Times New Roman Bold"/>
          <w:b/>
          <w:bCs/>
          <w:highlight w:val="none"/>
          <w:lang w:val="en-US" w:eastAsia="zh-CN"/>
        </w:rPr>
      </w:pPr>
    </w:p>
    <w:p>
      <w:pPr>
        <w:widowControl w:val="0"/>
        <w:numPr>
          <w:ilvl w:val="0"/>
          <w:numId w:val="0"/>
        </w:numPr>
        <w:ind w:leftChars="0"/>
        <w:jc w:val="both"/>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highlight w:val="none"/>
          <w:lang w:val="en-US" w:eastAsia="zh-CN"/>
        </w:rPr>
        <w:t xml:space="preserve">The establishment of the standard, along with the above-implemented measures, has provided a clear framework and foundation for enhancing teachers’ digital literacy in China, which aligns with the global trend of educational digital transformation. However, compared with international standards, such as </w:t>
      </w:r>
      <w:r>
        <w:rPr>
          <w:rFonts w:hint="default" w:ascii="Times New Roman Regular" w:hAnsi="Times New Roman Regular" w:cs="Times New Roman Regular"/>
          <w:b w:val="0"/>
          <w:bCs/>
          <w:highlight w:val="none"/>
          <w:lang w:val="en-US" w:eastAsia="zh-CN"/>
        </w:rPr>
        <w:t>I</w:t>
      </w:r>
      <w:r>
        <w:rPr>
          <w:rFonts w:hint="default" w:ascii="Times New Roman Regular" w:hAnsi="Times New Roman Regular" w:cs="Times New Roman Regular"/>
          <w:b w:val="0"/>
          <w:bCs/>
          <w:lang w:val="en-US" w:eastAsia="zh-CN"/>
        </w:rPr>
        <w:t>STE Standards for Educators in the United States and the European Union’s Digital Competence Education Framework (DigComEdu), China’s approach to enhancing teachers’ digital literacy remains in its early stage with challenges and barriers to implementation. Gaps in systematic training, the absence of assessment and evaluation systems, unequal resource distribution, and varying levels of teachers’ digital literacy all may hinder the achievement of the standard’s objectives and even pose unintended consequences such as the risk of widening the digital divide.</w:t>
      </w:r>
    </w:p>
    <w:p>
      <w:pPr>
        <w:widowControl w:val="0"/>
        <w:numPr>
          <w:ilvl w:val="0"/>
          <w:numId w:val="0"/>
        </w:numPr>
        <w:ind w:leftChars="0"/>
        <w:jc w:val="both"/>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 xml:space="preserve"> </w:t>
      </w:r>
    </w:p>
    <w:p>
      <w:pPr>
        <w:widowControl w:val="0"/>
        <w:numPr>
          <w:ilvl w:val="0"/>
          <w:numId w:val="3"/>
        </w:numPr>
        <w:ind w:leftChars="0"/>
        <w:jc w:val="both"/>
        <w:rPr>
          <w:rFonts w:hint="default" w:ascii="Times New Roman Regular" w:hAnsi="Times New Roman Regular" w:cs="Times New Roman Regular"/>
          <w:b w:val="0"/>
          <w:bCs/>
          <w:lang w:val="en-US" w:eastAsia="zh-CN"/>
        </w:rPr>
      </w:pPr>
      <w:r>
        <w:rPr>
          <w:rFonts w:hint="default" w:ascii="Times New Roman Regular" w:hAnsi="Times New Roman Regular" w:cs="Times New Roman Regular"/>
          <w:b w:val="0"/>
          <w:bCs/>
          <w:lang w:val="en-US" w:eastAsia="zh-CN"/>
        </w:rPr>
        <w:t>Lack of Systematic Training</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highlight w:val="none"/>
          <w:lang w:val="en-US" w:eastAsia="zh-CN"/>
        </w:rPr>
        <w:t xml:space="preserve">Training sessions provided at various levels have covered wide areas including data security, application of technological skills in teaching, smart classroom directions, etc. Online training provides flexibility for teachers to complete the courses. </w:t>
      </w:r>
      <w:r>
        <w:rPr>
          <w:rFonts w:hint="default" w:ascii="Times New Roman Regular" w:hAnsi="Times New Roman Regular" w:cs="Times New Roman Regular"/>
          <w:lang w:val="en-US" w:eastAsia="zh-CN"/>
        </w:rPr>
        <w:t xml:space="preserve">These training sessions do contribute to enhancing digital literacy for many teachers. However, training programs provided are fragmented or designed to serve specific enterprise platforms, rather than being structured based on the standard. The absence of such systematic training courses that align with the standard will limit the effectiveness of implementation and achievement of its intended goals. However, the European Union’s integrated framework (2024) could offer valuable insights for our efforts. Its “standard-leading, tailored training, and competency assessment” framework for developing teachers’ digital literacy has developed a 6-course series based on DigCompEdu’s six competence areas since 2024.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3"/>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Absence of Assessment Systems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 addition to systematic training, another key factor in enhancing teachers’ digital literacy is assessment. Teachers with different levels of digital literacy have different training needs at different stages. Therefore, it is necessary to develop authoritative, scientific, and localised assessment tools to diagnose current levels and track progress throughout the training and learning. Take the EU’s DigCompEdu as an example again. The framework not only establishes a six-level progression model to represent teachers’ proficiency in digital competence -- ranging from A1(Awareness), A2(Exploration) and B1(Integration), B2(Expertise) to C1(Leadership), C2(Innovation) -- but also adopts SELFIEforTEACHERS Toolkit for teachers to conduct self-assessment. The lack of such an assessment system poses great challenges to the implementation of the standard. Without clear guidance on how to progress, enhancing teachers’ digital literacy relies heavily on teachers’ self-motivation and autonomy, which may vary significantly from region to region and person to person. </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  </w:t>
      </w:r>
    </w:p>
    <w:p>
      <w:pPr>
        <w:widowControl w:val="0"/>
        <w:numPr>
          <w:ilvl w:val="0"/>
          <w:numId w:val="3"/>
        </w:numPr>
        <w:ind w:left="0" w:leftChars="0" w:firstLine="0" w:firstLineChars="0"/>
        <w:jc w:val="both"/>
        <w:rPr>
          <w:rFonts w:hint="default" w:ascii="Times New Roman Regular" w:hAnsi="Times New Roman Regular" w:cs="Times New Roman Regular"/>
          <w:lang w:val="en-US" w:eastAsia="zh-CN"/>
        </w:rPr>
      </w:pP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lang w:val="en-US" w:eastAsia="zh-CN"/>
        </w:rPr>
        <w:t>Unequal Resource Distribution</w:t>
      </w:r>
    </w:p>
    <w:p>
      <w:pPr>
        <w:widowControl w:val="0"/>
        <w:numPr>
          <w:ilvl w:val="0"/>
          <w:numId w:val="0"/>
        </w:numPr>
        <w:ind w:leftChars="0"/>
        <w:jc w:val="both"/>
        <w:rPr>
          <w:rFonts w:hint="default" w:ascii="Times New Roman Regular" w:hAnsi="Times New Roman Regular" w:cs="Times New Roman Regular"/>
          <w:lang w:val="en-US" w:eastAsia="zh-CN"/>
        </w:rPr>
      </w:pPr>
      <w:r>
        <w:rPr>
          <w:rFonts w:hint="eastAsia" w:ascii="Times New Roman Regular" w:hAnsi="Times New Roman Regular" w:cs="Times New Roman Regular"/>
          <w:lang w:val="en-US" w:eastAsia="zh-CN"/>
        </w:rPr>
        <w:t>When policy is effectively implemented through resource sharing and acce</w:t>
      </w:r>
      <w:r>
        <w:rPr>
          <w:rFonts w:hint="default" w:ascii="Times New Roman Regular" w:hAnsi="Times New Roman Regular" w:cs="Times New Roman Regular"/>
          <w:lang w:val="en-US" w:eastAsia="zh-CN"/>
        </w:rPr>
        <w:t xml:space="preserve">ssibility -- such as how the National Smart Education Platform assists teachers with high-quality teaching resources and training to address their digital needs -- the digital divide is expected to narrow and educational equity can be promoted. However, significant disparities remain between the eastern and western regions of China, as well as between urban and rural areas. Access to resources may be restricted due to limitations in equipment, networks, or other infrastructures. Moreover, local education departments and schools demonstrate varying levels of commitment and investment in cultivating teachers’ digital literacy, which could worsen inequality in resource distribution and, instead of bridging the gap, further widen it -- an outcome that runs counter to the policy’s intended objectives and could be one of the least intended consequences.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3"/>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Disparities in Digital Competence and Motivation</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As discussed in the second challenge, the absence of a systematic assessment to evaluate and track teachers’ digital literacy poses a great challenge to the policy’s implementation. To make matters worse, teachers’ digital literacy levels vary widely, and opportunities for seminars, forums, and workshops are unevenly distributed due to factors such as limited funding, scheduling conflicts with teaching timetables, and unequal access to resources. Furthermore, competitions and first-class course awards often assume high digital literacy, limiting participation for less skilled teachers. With the current enhancement of teachers’ digital literacy relying heavily on autonomy and self-learning, teachers with limited resources and basic skills often lack the motivation to improve, further widening the digital divide among teachers.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sz w:val="28"/>
          <w:szCs w:val="28"/>
          <w:lang w:val="en-US" w:eastAsia="zh-CN"/>
        </w:rPr>
        <w:t xml:space="preserve">Recommendations </w:t>
      </w:r>
    </w:p>
    <w:p>
      <w:pPr>
        <w:widowControl w:val="0"/>
        <w:numPr>
          <w:ilvl w:val="0"/>
          <w:numId w:val="4"/>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Establish Systematic Training Programs Aligned with the Standard</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Design training programs that align directly with the five key dimensions outlined in the standard, </w:t>
      </w:r>
      <w:r>
        <w:rPr>
          <w:rFonts w:hint="eastAsia" w:ascii="Times New Roman Regular" w:hAnsi="Times New Roman Regular" w:cs="Times New Roman Regular"/>
          <w:lang w:val="en-US" w:eastAsia="zh-CN"/>
        </w:rPr>
        <w:t>sim</w:t>
      </w:r>
      <w:r>
        <w:rPr>
          <w:rFonts w:hint="default" w:ascii="Times New Roman Regular" w:hAnsi="Times New Roman Regular" w:cs="Times New Roman Regular"/>
          <w:lang w:val="en-US" w:eastAsia="zh-CN"/>
        </w:rPr>
        <w:t xml:space="preserve">ilar to the approach taken by DigCompEdu. These programs should be tailored to address the needs of teachers at different proficiency levels -- beginner, intermediate, and advanced, for example. To ensure accessibility, those programs should be published on the National Smart Education Platform, allowing all teachers to access them free of charge, regardless of their location or resource limitations. </w:t>
      </w:r>
    </w:p>
    <w:p>
      <w:pPr>
        <w:widowControl w:val="0"/>
        <w:numPr>
          <w:ilvl w:val="0"/>
          <w:numId w:val="0"/>
        </w:numPr>
        <w:jc w:val="both"/>
        <w:rPr>
          <w:rFonts w:hint="default" w:ascii="Times New Roman Regular" w:hAnsi="Times New Roman Regular" w:cs="Times New Roman Regular"/>
          <w:lang w:val="en-US" w:eastAsia="zh-CN"/>
        </w:rPr>
      </w:pPr>
    </w:p>
    <w:p>
      <w:pPr>
        <w:widowControl w:val="0"/>
        <w:numPr>
          <w:ilvl w:val="0"/>
          <w:numId w:val="4"/>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Develop Self-Assessment Tools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Create user-friendly and reliable assessment tools that allow teachers to self-evaluate their digital literacy levels. Based on the assessment results, teachers could be directed to relevant modules in the systematic training programs, targeting their specific weaknesses. This approach ensures that training is both effective and efficient, reducing the burden on teachers. A post-training assessment should also be designed to measure the progress and effectiveness of the training.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4"/>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Introduce a Multi-Stakeholders Evaluation System </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As analysed in the objectives, the policy stakeholders include the government, local education departments, schools and enterprises, teachers, and students. However, the text analysis reveals that only teachers’ competencies and their accountability for students and teaching are described and regulated. Therefore, we recommend developing an evaluation framework that includes all key stakeholders, clearly defining their roles and responsibilities in implementing the standard. For example, how the government ensures reasonable allocation of resources in building digital infrastructure, and how the local education departments and school ensure equal training opportunities for teachers. Additionally, introducing a digital literacy standard for students, as seen in international frameworks like UNESCO and ISTE, would provide a more comprehensive approach to digital education. </w:t>
      </w:r>
    </w:p>
    <w:p>
      <w:pPr>
        <w:widowControl w:val="0"/>
        <w:numPr>
          <w:ilvl w:val="0"/>
          <w:numId w:val="4"/>
        </w:numPr>
        <w:ind w:left="0" w:leftChars="0" w:firstLine="0" w:firstLine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Ensure Inclusion of Low-competence Teachers and Those in Underdeveloped Regions</w:t>
      </w:r>
    </w:p>
    <w:p>
      <w:pPr>
        <w:widowControl w:val="0"/>
        <w:numPr>
          <w:ilvl w:val="0"/>
          <w:numId w:val="0"/>
        </w:numPr>
        <w:ind w:leftChars="0"/>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To support teachers with lower digital literacy and those in underdeveloped regions, it is important to allocate additional funding and resources to provide equal access to training and learning opportunities. One effect way is to establish learning communities where experienced teachers can mentor their less proficient peers.</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sz w:val="28"/>
          <w:szCs w:val="28"/>
          <w:lang w:val="en-US" w:eastAsia="zh-CN"/>
        </w:rPr>
      </w:pPr>
      <w:r>
        <w:rPr>
          <w:rFonts w:hint="default" w:ascii="Times New Roman Regular" w:hAnsi="Times New Roman Regular" w:cs="Times New Roman Regular"/>
          <w:sz w:val="28"/>
          <w:szCs w:val="28"/>
          <w:lang w:val="en-US" w:eastAsia="zh-CN"/>
        </w:rPr>
        <w:t>Conclusion</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National Standard on Teachers’ Digital Literacy </w:t>
      </w:r>
      <w:r>
        <w:rPr>
          <w:rFonts w:hint="eastAsia" w:ascii="Times New Roman Regular" w:hAnsi="Times New Roman Regular" w:cs="Times New Roman Regular"/>
          <w:lang w:val="en-US" w:eastAsia="zh-CN"/>
        </w:rPr>
        <w:t>is</w:t>
      </w:r>
      <w:r>
        <w:rPr>
          <w:rFonts w:hint="default" w:ascii="Times New Roman Regular" w:hAnsi="Times New Roman Regular" w:cs="Times New Roman Regular"/>
          <w:lang w:val="en-US" w:eastAsia="zh-CN"/>
        </w:rPr>
        <w:t xml:space="preserve"> an importance step towards China’s educational digitalisation. The policy’s primary goal is to enhance teachers’ digital literacy to promote the integration of technology into education for better education practices. However, closer analysis has revealed several challenges that may hinder its implementation. If these challenges are not properly addressed, the policy may fail to achieve its goals, and even widen the digital divide among different areas, schools and teachers. Based on this analysis, it is crucial to implement the measures discussed above to ensure successful implementation and the realisation of its objectives. </w:t>
      </w:r>
    </w:p>
    <w:p>
      <w:pPr>
        <w:widowControl w:val="0"/>
        <w:numPr>
          <w:ilvl w:val="0"/>
          <w:numId w:val="0"/>
        </w:numPr>
        <w:jc w:val="both"/>
        <w:rPr>
          <w:rFonts w:hint="default" w:ascii="Times New Roman Regular" w:hAnsi="Times New Roman Regular" w:cs="Times New Roman Regular"/>
          <w:lang w:val="en-US" w:eastAsia="zh-CN"/>
        </w:rPr>
      </w:pPr>
    </w:p>
    <w:p>
      <w:pPr>
        <w:widowControl w:val="0"/>
        <w:numPr>
          <w:ilvl w:val="0"/>
          <w:numId w:val="0"/>
        </w:numPr>
        <w:ind w:leftChars="0"/>
        <w:jc w:val="both"/>
        <w:rPr>
          <w:rFonts w:hint="default" w:ascii="Times New Roman Regular" w:hAnsi="Times New Roman Regular" w:cs="Times New Roman Regular"/>
          <w:sz w:val="28"/>
          <w:szCs w:val="28"/>
          <w:lang w:val="en-US" w:eastAsia="zh-CN"/>
        </w:rPr>
      </w:pPr>
      <w:r>
        <w:rPr>
          <w:rFonts w:hint="default" w:ascii="Times New Roman Regular" w:hAnsi="Times New Roman Regular" w:cs="Times New Roman Regular"/>
          <w:sz w:val="28"/>
          <w:szCs w:val="28"/>
          <w:lang w:val="en-US" w:eastAsia="zh-CN"/>
        </w:rPr>
        <w:t>References</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Ball, S.J. (1994) </w:t>
      </w:r>
      <w:r>
        <w:rPr>
          <w:rFonts w:hint="default" w:ascii="Times New Roman Italic" w:hAnsi="Times New Roman Italic" w:cs="Times New Roman Italic"/>
          <w:i/>
          <w:iCs/>
          <w:lang w:val="en-US" w:eastAsia="zh-CN"/>
        </w:rPr>
        <w:t xml:space="preserve">Education reform: A critical and </w:t>
      </w:r>
      <w:r>
        <w:rPr>
          <w:rFonts w:hint="eastAsia" w:ascii="Times New Roman Italic" w:hAnsi="Times New Roman Italic" w:cs="Times New Roman Italic"/>
          <w:i/>
          <w:iCs/>
          <w:lang w:val="en-US" w:eastAsia="zh-CN"/>
        </w:rPr>
        <w:t>p</w:t>
      </w:r>
      <w:r>
        <w:rPr>
          <w:rFonts w:hint="default" w:ascii="Times New Roman Italic" w:hAnsi="Times New Roman Italic" w:cs="Times New Roman Italic"/>
          <w:i/>
          <w:iCs/>
          <w:lang w:val="en-US" w:eastAsia="zh-CN"/>
        </w:rPr>
        <w:t>ost-</w:t>
      </w:r>
      <w:r>
        <w:rPr>
          <w:rFonts w:hint="eastAsia" w:ascii="Times New Roman Italic" w:hAnsi="Times New Roman Italic" w:cs="Times New Roman Italic"/>
          <w:i/>
          <w:iCs/>
          <w:lang w:val="en-US" w:eastAsia="zh-CN"/>
        </w:rPr>
        <w:t>s</w:t>
      </w:r>
      <w:r>
        <w:rPr>
          <w:rFonts w:hint="default" w:ascii="Times New Roman Italic" w:hAnsi="Times New Roman Italic" w:cs="Times New Roman Italic"/>
          <w:i/>
          <w:iCs/>
          <w:lang w:val="en-US" w:eastAsia="zh-CN"/>
        </w:rPr>
        <w:t xml:space="preserve">tructural </w:t>
      </w:r>
      <w:r>
        <w:rPr>
          <w:rFonts w:hint="eastAsia" w:ascii="Times New Roman Italic" w:hAnsi="Times New Roman Italic" w:cs="Times New Roman Italic"/>
          <w:i/>
          <w:iCs/>
          <w:lang w:val="en-US" w:eastAsia="zh-CN"/>
        </w:rPr>
        <w:t>a</w:t>
      </w:r>
      <w:r>
        <w:rPr>
          <w:rFonts w:hint="default" w:ascii="Times New Roman Italic" w:hAnsi="Times New Roman Italic" w:cs="Times New Roman Italic"/>
          <w:i/>
          <w:iCs/>
          <w:lang w:val="en-US" w:eastAsia="zh-CN"/>
        </w:rPr>
        <w:t>pproach</w:t>
      </w:r>
      <w:r>
        <w:rPr>
          <w:rFonts w:hint="default" w:ascii="Times New Roman Regular" w:hAnsi="Times New Roman Regular" w:cs="Times New Roman Regular"/>
          <w:lang w:val="en-US" w:eastAsia="zh-CN"/>
        </w:rPr>
        <w:t xml:space="preserve">, Buckingham: Open University Press. </w:t>
      </w:r>
    </w:p>
    <w:p>
      <w:pPr>
        <w:widowControl w:val="0"/>
        <w:numPr>
          <w:ilvl w:val="0"/>
          <w:numId w:val="0"/>
        </w:numPr>
        <w:ind w:leftChars="0"/>
        <w:jc w:val="both"/>
        <w:rPr>
          <w:rFonts w:hint="default" w:ascii="Times New Roman Regular" w:hAnsi="Times New Roman Regular" w:cs="Times New Roman Regular"/>
          <w:lang w:val="en-US" w:eastAsia="zh-CN"/>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 xml:space="preserve">Ball, S. </w:t>
      </w:r>
      <w:r>
        <w:rPr>
          <w:rFonts w:hint="default" w:ascii="Times New Roman Regular" w:hAnsi="Times New Roman Regular" w:cs="Times New Roman Regular"/>
          <w:kern w:val="2"/>
          <w:sz w:val="21"/>
          <w:szCs w:val="24"/>
          <w:lang w:val="en-US" w:eastAsia="zh-CN" w:bidi="ar-SA"/>
        </w:rPr>
        <w:t xml:space="preserve">J. </w:t>
      </w:r>
      <w:r>
        <w:rPr>
          <w:rFonts w:hint="default" w:ascii="Times New Roman Regular" w:hAnsi="Times New Roman Regular" w:cs="Times New Roman Regular" w:eastAsiaTheme="minorEastAsia"/>
          <w:kern w:val="2"/>
          <w:sz w:val="21"/>
          <w:szCs w:val="24"/>
          <w:lang w:val="en-US" w:eastAsia="zh-CN" w:bidi="ar-SA"/>
        </w:rPr>
        <w:t xml:space="preserve">(2021) </w:t>
      </w:r>
      <w:r>
        <w:rPr>
          <w:rFonts w:hint="default" w:ascii="Times New Roman Italic" w:hAnsi="Times New Roman Italic" w:cs="Times New Roman Italic" w:eastAsiaTheme="minorEastAsia"/>
          <w:i/>
          <w:iCs/>
          <w:kern w:val="2"/>
          <w:sz w:val="21"/>
          <w:szCs w:val="24"/>
          <w:lang w:val="en-US" w:eastAsia="zh-CN" w:bidi="ar-SA"/>
        </w:rPr>
        <w:t xml:space="preserve">The </w:t>
      </w:r>
      <w:r>
        <w:rPr>
          <w:rFonts w:hint="eastAsia" w:ascii="Times New Roman Italic" w:hAnsi="Times New Roman Italic" w:cs="Times New Roman Italic"/>
          <w:i/>
          <w:iCs/>
          <w:kern w:val="2"/>
          <w:sz w:val="21"/>
          <w:szCs w:val="24"/>
          <w:lang w:val="en-US" w:eastAsia="zh-CN" w:bidi="ar-SA"/>
        </w:rPr>
        <w:t>e</w:t>
      </w:r>
      <w:r>
        <w:rPr>
          <w:rFonts w:hint="default" w:ascii="Times New Roman Italic" w:hAnsi="Times New Roman Italic" w:cs="Times New Roman Italic" w:eastAsiaTheme="minorEastAsia"/>
          <w:i/>
          <w:iCs/>
          <w:kern w:val="2"/>
          <w:sz w:val="21"/>
          <w:szCs w:val="24"/>
          <w:lang w:val="en-US" w:eastAsia="zh-CN" w:bidi="ar-SA"/>
        </w:rPr>
        <w:t xml:space="preserve">ducation </w:t>
      </w:r>
      <w:r>
        <w:rPr>
          <w:rFonts w:hint="eastAsia" w:ascii="Times New Roman Italic" w:hAnsi="Times New Roman Italic" w:cs="Times New Roman Italic"/>
          <w:i/>
          <w:iCs/>
          <w:kern w:val="2"/>
          <w:sz w:val="21"/>
          <w:szCs w:val="24"/>
          <w:lang w:val="en-US" w:eastAsia="zh-CN" w:bidi="ar-SA"/>
        </w:rPr>
        <w:t>d</w:t>
      </w:r>
      <w:r>
        <w:rPr>
          <w:rFonts w:hint="default" w:ascii="Times New Roman Italic" w:hAnsi="Times New Roman Italic" w:cs="Times New Roman Italic" w:eastAsiaTheme="minorEastAsia"/>
          <w:i/>
          <w:iCs/>
          <w:kern w:val="2"/>
          <w:sz w:val="21"/>
          <w:szCs w:val="24"/>
          <w:lang w:val="en-US" w:eastAsia="zh-CN" w:bidi="ar-SA"/>
        </w:rPr>
        <w:t>ebate</w:t>
      </w:r>
      <w:r>
        <w:rPr>
          <w:rFonts w:hint="eastAsia" w:ascii="Times New Roman Italic" w:hAnsi="Times New Roman Italic" w:cs="Times New Roman Italic"/>
          <w:i/>
          <w:iCs/>
          <w:kern w:val="2"/>
          <w:sz w:val="21"/>
          <w:szCs w:val="24"/>
          <w:lang w:val="en-US" w:eastAsia="zh-CN" w:bidi="ar-SA"/>
        </w:rPr>
        <w:t>.</w:t>
      </w:r>
      <w:r>
        <w:rPr>
          <w:rFonts w:hint="default" w:ascii="Times New Roman Regular" w:hAnsi="Times New Roman Regular" w:cs="Times New Roman Regular" w:eastAsiaTheme="minorEastAsia"/>
          <w:kern w:val="2"/>
          <w:sz w:val="21"/>
          <w:szCs w:val="24"/>
          <w:lang w:val="en-US" w:eastAsia="zh-CN" w:bidi="ar-SA"/>
        </w:rPr>
        <w:t xml:space="preserve"> 4th </w:t>
      </w:r>
      <w:r>
        <w:rPr>
          <w:rFonts w:hint="eastAsia" w:ascii="Times New Roman Regular" w:hAnsi="Times New Roman Regular" w:cs="Times New Roman Regular"/>
          <w:kern w:val="2"/>
          <w:sz w:val="21"/>
          <w:szCs w:val="24"/>
          <w:lang w:val="en-US" w:eastAsia="zh-CN" w:bidi="ar-SA"/>
        </w:rPr>
        <w:t>edn.</w:t>
      </w:r>
      <w:r>
        <w:rPr>
          <w:rFonts w:hint="default" w:ascii="Times New Roman Regular" w:hAnsi="Times New Roman Regular" w:cs="Times New Roman Regular" w:eastAsiaTheme="minorEastAsia"/>
          <w:kern w:val="2"/>
          <w:sz w:val="21"/>
          <w:szCs w:val="24"/>
          <w:lang w:val="en-US" w:eastAsia="zh-CN" w:bidi="ar-SA"/>
        </w:rPr>
        <w:t xml:space="preserve"> Bristol</w:t>
      </w:r>
      <w:r>
        <w:rPr>
          <w:rFonts w:hint="default" w:ascii="Times New Roman Regular" w:hAnsi="Times New Roman Regular" w:cs="Times New Roman Regular"/>
          <w:kern w:val="2"/>
          <w:sz w:val="21"/>
          <w:szCs w:val="24"/>
          <w:lang w:val="en-US" w:eastAsia="zh-CN" w:bidi="ar-SA"/>
        </w:rPr>
        <w:t xml:space="preserve">: </w:t>
      </w:r>
      <w:r>
        <w:rPr>
          <w:rFonts w:hint="default" w:ascii="Times New Roman Regular" w:hAnsi="Times New Roman Regular" w:cs="Times New Roman Regular" w:eastAsiaTheme="minorEastAsia"/>
          <w:kern w:val="2"/>
          <w:sz w:val="21"/>
          <w:szCs w:val="24"/>
          <w:lang w:val="en-US" w:eastAsia="zh-CN" w:bidi="ar-SA"/>
        </w:rPr>
        <w:t>Policy Press</w:t>
      </w:r>
      <w:r>
        <w:rPr>
          <w:rFonts w:hint="default" w:ascii="Times New Roman Regular" w:hAnsi="Times New Roman Regular" w:cs="Times New Roman Regular"/>
          <w:kern w:val="2"/>
          <w:sz w:val="21"/>
          <w:szCs w:val="24"/>
          <w:lang w:val="en-US" w:eastAsia="zh-CN" w:bidi="ar-SA"/>
        </w:rPr>
        <w:t>.</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Bawden, D. (2008) ‘Origins and concepts of digital literacy’. </w:t>
      </w:r>
      <w:r>
        <w:rPr>
          <w:rFonts w:hint="default" w:ascii="Times New Roman Italic" w:hAnsi="Times New Roman Italic" w:cs="Times New Roman Italic"/>
          <w:i/>
          <w:iCs/>
          <w:lang w:val="en-US" w:eastAsia="zh-CN"/>
        </w:rPr>
        <w:t>Digital literacies: concepts, policies and practices</w:t>
      </w:r>
      <w:r>
        <w:rPr>
          <w:rFonts w:hint="default" w:ascii="Times New Roman Regular" w:hAnsi="Times New Roman Regular" w:cs="Times New Roman Regular"/>
          <w:lang w:val="en-US" w:eastAsia="zh-CN"/>
        </w:rPr>
        <w:t xml:space="preserve">, 30, pp.17-32.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"https://core.ac.uk/download/pdf/303756359.pdf" </w:instrText>
      </w:r>
      <w:r>
        <w:rPr>
          <w:rFonts w:hint="default" w:ascii="Times New Roman Regular" w:hAnsi="Times New Roman Regular" w:cs="Times New Roman Regular"/>
          <w:lang w:val="en-US" w:eastAsia="zh-CN"/>
        </w:rPr>
        <w:fldChar w:fldCharType="separate"/>
      </w:r>
      <w:r>
        <w:rPr>
          <w:rStyle w:val="9"/>
          <w:rFonts w:hint="default" w:ascii="Times New Roman Regular" w:hAnsi="Times New Roman Regular" w:cs="Times New Roman Regular"/>
          <w:lang w:val="en-US" w:eastAsia="zh-CN"/>
        </w:rPr>
        <w:t>https://core.ac.uk/download/pdf/303756359.pdf</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(Accessed: 18 December 2024)</w:t>
      </w:r>
    </w:p>
    <w:p>
      <w:pPr>
        <w:widowControl w:val="0"/>
        <w:numPr>
          <w:ilvl w:val="0"/>
          <w:numId w:val="0"/>
        </w:numPr>
        <w:ind w:leftChars="0"/>
        <w:jc w:val="both"/>
        <w:rPr>
          <w:rFonts w:hint="default" w:ascii="Times New Roman Regular" w:hAnsi="Times New Roman Regular" w:cs="Times New Roman Regular"/>
          <w:lang w:val="en-US" w:eastAsia="zh-CN"/>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 xml:space="preserve">Chen, X., Huang, G. and Shen, R. (2024) ‘The logic, challenges, and breakthrough pathways for cultivating digital literacy of special education teachers’, </w:t>
      </w:r>
      <w:r>
        <w:rPr>
          <w:rFonts w:hint="default" w:ascii="Times New Roman Italic" w:hAnsi="Times New Roman Italic" w:cs="Times New Roman Italic"/>
          <w:i/>
          <w:iCs/>
          <w:kern w:val="2"/>
          <w:sz w:val="21"/>
          <w:szCs w:val="24"/>
          <w:lang w:val="en-US" w:eastAsia="zh-CN" w:bidi="ar-SA"/>
        </w:rPr>
        <w:t>Chinese Journal of Special Education</w:t>
      </w:r>
      <w:r>
        <w:rPr>
          <w:rFonts w:hint="default" w:ascii="Times New Roman Regular" w:hAnsi="Times New Roman Regular" w:cs="Times New Roman Regular"/>
          <w:kern w:val="2"/>
          <w:sz w:val="21"/>
          <w:szCs w:val="24"/>
          <w:lang w:val="en-US" w:eastAsia="zh-CN" w:bidi="ar-SA"/>
        </w:rPr>
        <w:t xml:space="preserve">, 8(290), pp. 3-9. </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doi:CNKI:SUN:ZDTJ.0.2024-08-001</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特殊教育教师数字素养培育的逻辑、困境与突破路径</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China Academy of Information and Communications Technology [CAICT] (2024) </w:t>
      </w:r>
      <w:r>
        <w:rPr>
          <w:rFonts w:hint="default" w:ascii="Times New Roman Italic" w:hAnsi="Times New Roman Italic" w:cs="Times New Roman Italic"/>
          <w:i/>
          <w:iCs/>
          <w:lang w:val="en-US" w:eastAsia="zh-CN"/>
        </w:rPr>
        <w:t>Report on China’s digital economy development</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Available at: </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"http://www.caict.ac.cn/kxyj/qwfb/bps/202408/P020240830315324580655.pdf"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http://www.caict.ac.cn/kxyj/qwfb/bps/202408/P020240830315324580655.pdf</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w:t>
      </w: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(Accessed: 18 December 2024) 中国数字经济发展研究报告</w:t>
      </w:r>
    </w:p>
    <w:p>
      <w:pPr>
        <w:widowControl w:val="0"/>
        <w:numPr>
          <w:ilvl w:val="0"/>
          <w:numId w:val="0"/>
        </w:numPr>
        <w:jc w:val="both"/>
        <w:rPr>
          <w:rFonts w:hint="default" w:ascii="Times New Roman Regular" w:hAnsi="Times New Roman Regular" w:cs="Times New Roman Regular"/>
          <w:lang w:val="en-US" w:eastAsia="zh-CN"/>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 xml:space="preserve">Deng, L. and Deng, Q. (2024) ‘Exploration and reflection on improving digital literacy of rural teachers’, </w:t>
      </w:r>
      <w:r>
        <w:rPr>
          <w:rFonts w:hint="default" w:ascii="Times New Roman Italic" w:hAnsi="Times New Roman Italic" w:cs="Times New Roman Italic"/>
          <w:i/>
          <w:iCs/>
          <w:kern w:val="2"/>
          <w:sz w:val="21"/>
          <w:szCs w:val="24"/>
          <w:lang w:val="en-US" w:eastAsia="zh-CN" w:bidi="ar-SA"/>
        </w:rPr>
        <w:t>Teaching and Management</w:t>
      </w:r>
      <w:r>
        <w:rPr>
          <w:rFonts w:hint="default" w:ascii="Times New Roman Regular" w:hAnsi="Times New Roman Regular" w:cs="Times New Roman Regular"/>
          <w:kern w:val="2"/>
          <w:sz w:val="21"/>
          <w:szCs w:val="24"/>
          <w:lang w:val="en-US" w:eastAsia="zh-CN" w:bidi="ar-SA"/>
        </w:rPr>
        <w:t xml:space="preserve">, 7, pp. 26-30. </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Doi:CNKI:SUN:JXGL.0.2024-07-006</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乡村教师数字素养提升的探索与思考</w:t>
      </w:r>
      <w:r>
        <w:rPr>
          <w:rFonts w:hint="default" w:ascii="Times New Roman Regular" w:hAnsi="Times New Roman Regular" w:cs="Times New Roman Regular"/>
          <w:kern w:val="2"/>
          <w:sz w:val="21"/>
          <w:szCs w:val="24"/>
          <w:lang w:val="en-US" w:eastAsia="zh-CN" w:bidi="ar-SA"/>
        </w:rPr>
        <w:tab/>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European Commission, Joint Research Centre, Economou, A. (2023) SELFIE for teachers : toolkit Using SELFIEforTEACHERS: supporting teachers in building their digital competence. Publications Office of the European Union.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"https://data.europa.eu/doi/10.2760/626409" </w:instrText>
      </w:r>
      <w:r>
        <w:rPr>
          <w:rFonts w:hint="default" w:ascii="Times New Roman Regular" w:hAnsi="Times New Roman Regular" w:cs="Times New Roman Regular"/>
          <w:lang w:val="en-US" w:eastAsia="zh-CN"/>
        </w:rPr>
        <w:fldChar w:fldCharType="separate"/>
      </w:r>
      <w:r>
        <w:rPr>
          <w:rStyle w:val="9"/>
          <w:rFonts w:hint="default" w:ascii="Times New Roman Regular" w:hAnsi="Times New Roman Regular" w:cs="Times New Roman Regular"/>
          <w:lang w:val="en-US" w:eastAsia="zh-CN"/>
        </w:rPr>
        <w:t>https://data.europa.eu/doi/10.2760/626409</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(Accessed: 18 December 2024).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European Union [EU] (2017) </w:t>
      </w:r>
      <w:r>
        <w:rPr>
          <w:rFonts w:hint="default" w:ascii="Times New Roman Italic" w:hAnsi="Times New Roman Italic" w:cs="Times New Roman Italic"/>
          <w:i/>
          <w:iCs/>
          <w:lang w:val="en-US" w:eastAsia="zh-CN"/>
        </w:rPr>
        <w:t>European framework for the digital competence of educators: DigCompEdu.</w:t>
      </w:r>
      <w:r>
        <w:rPr>
          <w:rFonts w:hint="default" w:ascii="Times New Roman Regular" w:hAnsi="Times New Roman Regular" w:cs="Times New Roman Regular"/>
          <w:lang w:val="en-US" w:eastAsia="zh-CN"/>
        </w:rPr>
        <w:t xml:space="preserve">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"https://joint-research-centre.ec.europa.eu/digcompedu/digcompedu-framework_en"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https://joint-research-centre.ec.europa.eu/digcompedu/digcompedu-framework_en</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(Accessed: 18 December 2024).</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Gilster, P. (1997)</w:t>
      </w:r>
      <w:r>
        <w:rPr>
          <w:rFonts w:hint="default" w:ascii="Times New Roman Italic" w:hAnsi="Times New Roman Italic" w:cs="Times New Roman Italic"/>
          <w:i/>
          <w:iCs/>
          <w:lang w:val="en-US" w:eastAsia="zh-CN"/>
        </w:rPr>
        <w:t xml:space="preserve"> Digital literacy.</w:t>
      </w:r>
      <w:r>
        <w:rPr>
          <w:rFonts w:hint="default" w:ascii="Times New Roman Regular" w:hAnsi="Times New Roman Regular" w:cs="Times New Roman Regular"/>
          <w:lang w:val="en-US" w:eastAsia="zh-CN"/>
        </w:rPr>
        <w:t xml:space="preserve"> New York: Wiley Computer Publications.</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jc w:val="both"/>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Gong, B. (2024) ‘The challenges and pathways for improving digital literacy of university teachers in the digital age’, </w:t>
      </w:r>
      <w:r>
        <w:rPr>
          <w:rFonts w:hint="default" w:ascii="Times New Roman Italic" w:hAnsi="Times New Roman Italic" w:cs="Times New Roman Italic"/>
          <w:i/>
          <w:iCs/>
          <w:lang w:val="en-US" w:eastAsia="zh-CN"/>
        </w:rPr>
        <w:t>Higher Education Forum</w:t>
      </w:r>
      <w:r>
        <w:rPr>
          <w:rFonts w:hint="default" w:ascii="Times New Roman Regular" w:hAnsi="Times New Roman Regular" w:cs="Times New Roman Regular"/>
          <w:lang w:val="en-US" w:eastAsia="zh-CN"/>
        </w:rPr>
        <w:t>, 5, pp. 15-21.</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数字化时代高校教师数字素养提升的现实困境与实现路径</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International Society for Technology in Education [ISTE] (2017) </w:t>
      </w:r>
      <w:r>
        <w:rPr>
          <w:rFonts w:hint="default" w:ascii="Times New Roman Italic" w:hAnsi="Times New Roman Italic" w:cs="Times New Roman Italic"/>
          <w:i/>
          <w:iCs/>
          <w:lang w:val="en-US" w:eastAsia="zh-CN"/>
        </w:rPr>
        <w:t>ISTE standards: for educators</w:t>
      </w:r>
      <w:r>
        <w:rPr>
          <w:rFonts w:hint="default" w:ascii="Times New Roman Regular" w:hAnsi="Times New Roman Regular" w:cs="Times New Roman Regular"/>
          <w:lang w:val="en-US" w:eastAsia="zh-CN"/>
        </w:rPr>
        <w:t xml:space="preserve">.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"https://cdn.iste.org/www-root/Downloads/Downloads/Download-4070.pdf"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https://cdn.iste.org/www-root/Downloads/Downloads/Download-4070.pdf</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w:t>
      </w: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(Accessed: 18 December 2024).</w:t>
      </w:r>
    </w:p>
    <w:p>
      <w:pPr>
        <w:widowControl w:val="0"/>
        <w:numPr>
          <w:ilvl w:val="0"/>
          <w:numId w:val="0"/>
        </w:numPr>
        <w:ind w:leftChars="0"/>
        <w:jc w:val="both"/>
        <w:rPr>
          <w:rFonts w:hint="default" w:ascii="Times New Roman Regular" w:hAnsi="Times New Roman Regular" w:cs="Times New Roman Regular"/>
          <w:lang w:val="en-US" w:eastAsia="zh-CN"/>
        </w:rPr>
      </w:pPr>
    </w:p>
    <w:p>
      <w:pPr>
        <w:keepNext w:val="0"/>
        <w:keepLines w:val="0"/>
        <w:widowControl/>
        <w:suppressLineNumbers w:val="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Lai, C., Lü, B., and Gong, Y. (2023) ‘A framework of teachers’ digital literacy in designing foreign language teaching activities’, </w:t>
      </w:r>
      <w:r>
        <w:rPr>
          <w:rFonts w:hint="default" w:ascii="Times New Roman Italic" w:hAnsi="Times New Roman Italic" w:cs="Times New Roman Italic"/>
          <w:i/>
          <w:iCs/>
          <w:lang w:val="en-US" w:eastAsia="zh-CN"/>
        </w:rPr>
        <w:t>Foreign Language World</w:t>
      </w:r>
      <w:r>
        <w:rPr>
          <w:rFonts w:hint="default" w:ascii="Times New Roman Regular" w:hAnsi="Times New Roman Regular" w:cs="Times New Roman Regular"/>
          <w:lang w:val="en-US" w:eastAsia="zh-CN"/>
        </w:rPr>
        <w:t>, 03, pp. 31–38. Doi:CNKI:SUN:WYJY.0.2023-03-005</w:t>
      </w:r>
    </w:p>
    <w:p>
      <w:pPr>
        <w:keepNext w:val="0"/>
        <w:keepLines w:val="0"/>
        <w:widowControl/>
        <w:suppressLineNumbers w:val="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eastAsiaTheme="minorEastAsia"/>
          <w:kern w:val="2"/>
          <w:sz w:val="21"/>
          <w:szCs w:val="24"/>
          <w:lang w:val="en-US" w:eastAsia="zh-CN" w:bidi="ar-SA"/>
        </w:rPr>
        <w:t>外语教学活动设计中的教师数字素养框架</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Ministry of Education of China (2018) </w:t>
      </w:r>
      <w:r>
        <w:rPr>
          <w:rFonts w:hint="default" w:ascii="Times New Roman Italic" w:hAnsi="Times New Roman Italic" w:cs="Times New Roman Italic"/>
          <w:i/>
          <w:iCs/>
          <w:lang w:val="en-US" w:eastAsia="zh-CN"/>
        </w:rPr>
        <w:t>Notice on carrying out pilot work of artificial intelligence for promoting the construction of teacher teams.</w:t>
      </w:r>
      <w:r>
        <w:rPr>
          <w:rFonts w:hint="default" w:ascii="Times New Roman Regular" w:hAnsi="Times New Roman Regular" w:cs="Times New Roman Regular"/>
          <w:lang w:val="en-US" w:eastAsia="zh-CN"/>
        </w:rPr>
        <w:t xml:space="preserve">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"https://www.gov.cn/zhengce/zhengceku/2018-12/31/content_5441144.htm"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https://www.gov.cn/zhengce/zhengceku/2018-12/31/content_5441144.htm</w:t>
      </w:r>
      <w:r>
        <w:rPr>
          <w:rFonts w:hint="default" w:ascii="Times New Roman Regular" w:hAnsi="Times New Roman Regular" w:cs="Times New Roman Regular"/>
          <w:lang w:val="en-US" w:eastAsia="zh-CN"/>
        </w:rPr>
        <w:fldChar w:fldCharType="end"/>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lang w:val="en-US" w:eastAsia="zh-CN"/>
        </w:rPr>
        <w:t xml:space="preserve">(Accessed: </w:t>
      </w:r>
      <w:r>
        <w:rPr>
          <w:rFonts w:hint="eastAsia" w:ascii="Times New Roman Regular" w:hAnsi="Times New Roman Regular" w:cs="Times New Roman Regular"/>
          <w:lang w:val="en-US" w:eastAsia="zh-CN"/>
        </w:rPr>
        <w:t>18</w:t>
      </w:r>
      <w:r>
        <w:rPr>
          <w:rFonts w:hint="default" w:ascii="Times New Roman Regular" w:hAnsi="Times New Roman Regular" w:cs="Times New Roman Regular"/>
          <w:lang w:val="en-US" w:eastAsia="zh-CN"/>
        </w:rPr>
        <w:t xml:space="preserve"> November 2024). 教育部办公厅关于开展人工智能助推教师队伍建设行动试点工作的通知</w:t>
      </w:r>
    </w:p>
    <w:p>
      <w:pPr>
        <w:widowControl w:val="0"/>
        <w:numPr>
          <w:ilvl w:val="0"/>
          <w:numId w:val="0"/>
        </w:numPr>
        <w:ind w:leftChars="0"/>
        <w:jc w:val="left"/>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Ministry of Education of China (2019) </w:t>
      </w:r>
      <w:r>
        <w:rPr>
          <w:rFonts w:hint="default" w:ascii="Times New Roman Italic" w:hAnsi="Times New Roman Italic" w:cs="Times New Roman Italic"/>
          <w:i/>
          <w:iCs/>
          <w:lang w:val="en-US" w:eastAsia="zh-CN"/>
        </w:rPr>
        <w:t xml:space="preserve">Guidelines on implementing Project 2.0 for enhancing information technology application competence for national primary and secondary school teachers. </w:t>
      </w:r>
      <w:r>
        <w:rPr>
          <w:rFonts w:hint="default" w:ascii="Times New Roman Regular" w:hAnsi="Times New Roman Regular" w:cs="Times New Roman Regular"/>
          <w:lang w:val="en-US" w:eastAsia="zh-CN"/>
        </w:rPr>
        <w:t xml:space="preserve">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"http://www.moe.gov.cn/srcsite/A10/s7034/201904/t20190402_376493.html"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http://www.moe.gov.cn/srcsite/A10/s7034/201904/t20190402_376493.html</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(Accessed: 18 December 2024). 教育部关于实施全国中小学教师信息技术应用能力提升工程2.0的意见</w:t>
      </w:r>
    </w:p>
    <w:p>
      <w:pPr>
        <w:widowControl w:val="0"/>
        <w:numPr>
          <w:ilvl w:val="0"/>
          <w:numId w:val="0"/>
        </w:numPr>
        <w:ind w:leftChars="0"/>
        <w:jc w:val="left"/>
        <w:rPr>
          <w:rFonts w:hint="default" w:ascii="Times New Roman Regular" w:hAnsi="Times New Roman Regular" w:cs="Times New Roman Regular"/>
          <w:lang w:val="en-US" w:eastAsia="zh-CN"/>
        </w:rPr>
      </w:pPr>
    </w:p>
    <w:p>
      <w:pPr>
        <w:pStyle w:val="10"/>
        <w:keepNext w:val="0"/>
        <w:keepLines w:val="0"/>
        <w:widowControl/>
        <w:numPr>
          <w:ilvl w:val="0"/>
          <w:numId w:val="0"/>
        </w:numPr>
        <w:suppressLineNumbers w:val="0"/>
        <w:ind w:leftChars="0" w:right="0" w:rightChars="0"/>
        <w:rPr>
          <w:rFonts w:hint="default" w:ascii="Times New Roman Regular" w:hAnsi="Times New Roman Regular" w:cs="Times New Roman Regular" w:eastAsiaTheme="minorEastAsia"/>
          <w:color w:val="auto"/>
          <w:kern w:val="2"/>
          <w:sz w:val="21"/>
          <w:szCs w:val="24"/>
          <w:lang w:val="en-US" w:eastAsia="zh-CN" w:bidi="ar-SA"/>
        </w:rPr>
      </w:pPr>
      <w:r>
        <w:rPr>
          <w:rFonts w:hint="default" w:ascii="Times New Roman Regular" w:hAnsi="Times New Roman Regular" w:cs="Times New Roman Regular" w:eastAsiaTheme="minorEastAsia"/>
          <w:color w:val="auto"/>
          <w:kern w:val="2"/>
          <w:sz w:val="21"/>
          <w:szCs w:val="24"/>
          <w:lang w:val="en-US" w:eastAsia="zh-CN" w:bidi="ar-SA"/>
        </w:rPr>
        <w:t xml:space="preserve">Ministry of Education of China (2022) </w:t>
      </w:r>
      <w:r>
        <w:rPr>
          <w:rFonts w:hint="default" w:ascii="Times New Roman Italic" w:hAnsi="Times New Roman Italic" w:cs="Times New Roman Italic" w:eastAsiaTheme="minorEastAsia"/>
          <w:i/>
          <w:iCs/>
          <w:color w:val="auto"/>
          <w:kern w:val="2"/>
          <w:sz w:val="21"/>
          <w:szCs w:val="24"/>
          <w:lang w:val="en-US" w:eastAsia="zh-CN" w:bidi="ar-SA"/>
        </w:rPr>
        <w:t>Notice on the issuance of the ‘teachers’ digital literacy’ industry standard for education.</w:t>
      </w:r>
      <w:r>
        <w:rPr>
          <w:rFonts w:hint="default" w:ascii="Times New Roman Regular" w:hAnsi="Times New Roman Regular" w:cs="Times New Roman Regular" w:eastAsiaTheme="minorEastAsia"/>
          <w:color w:val="auto"/>
          <w:kern w:val="2"/>
          <w:sz w:val="21"/>
          <w:szCs w:val="24"/>
          <w:lang w:val="en-US" w:eastAsia="zh-CN" w:bidi="ar-SA"/>
        </w:rPr>
        <w:t xml:space="preserve"> Available at:  </w:t>
      </w:r>
      <w:r>
        <w:rPr>
          <w:rFonts w:hint="default" w:ascii="Times New Roman Regular" w:hAnsi="Times New Roman Regular" w:cs="Times New Roman Regular" w:eastAsiaTheme="minorEastAsia"/>
          <w:color w:val="auto"/>
          <w:kern w:val="2"/>
          <w:sz w:val="21"/>
          <w:szCs w:val="24"/>
          <w:lang w:val="en-US" w:eastAsia="zh-CN" w:bidi="ar-SA"/>
        </w:rPr>
        <w:fldChar w:fldCharType="begin"/>
      </w:r>
      <w:r>
        <w:rPr>
          <w:rFonts w:hint="default" w:ascii="Times New Roman Regular" w:hAnsi="Times New Roman Regular" w:cs="Times New Roman Regular" w:eastAsiaTheme="minorEastAsia"/>
          <w:color w:val="auto"/>
          <w:kern w:val="2"/>
          <w:sz w:val="21"/>
          <w:szCs w:val="24"/>
          <w:lang w:val="en-US" w:eastAsia="zh-CN" w:bidi="ar-SA"/>
        </w:rPr>
        <w:instrText xml:space="preserve"> HYPERLINK "http://www.moe.gov.cn/srcsite/A16/s3342/202302/t20230214_1044634.html" </w:instrText>
      </w:r>
      <w:r>
        <w:rPr>
          <w:rFonts w:hint="default" w:ascii="Times New Roman Regular" w:hAnsi="Times New Roman Regular" w:cs="Times New Roman Regular" w:eastAsiaTheme="minorEastAsia"/>
          <w:color w:val="auto"/>
          <w:kern w:val="2"/>
          <w:sz w:val="21"/>
          <w:szCs w:val="24"/>
          <w:lang w:val="en-US" w:eastAsia="zh-CN" w:bidi="ar-SA"/>
        </w:rPr>
        <w:fldChar w:fldCharType="separate"/>
      </w:r>
      <w:r>
        <w:rPr>
          <w:rStyle w:val="7"/>
          <w:rFonts w:hint="default" w:ascii="Times New Roman Regular" w:hAnsi="Times New Roman Regular" w:cs="Times New Roman Regular" w:eastAsiaTheme="minorEastAsia"/>
          <w:kern w:val="2"/>
          <w:sz w:val="21"/>
          <w:szCs w:val="24"/>
          <w:lang w:val="en-US" w:eastAsia="zh-CN" w:bidi="ar-SA"/>
        </w:rPr>
        <w:t>http://www.moe.gov.cn/srcsite/A16/s3342/202302/t20230214_1044634.html</w:t>
      </w:r>
      <w:r>
        <w:rPr>
          <w:rFonts w:hint="default" w:ascii="Times New Roman Regular" w:hAnsi="Times New Roman Regular" w:cs="Times New Roman Regular" w:eastAsiaTheme="minorEastAsia"/>
          <w:color w:val="auto"/>
          <w:kern w:val="2"/>
          <w:sz w:val="21"/>
          <w:szCs w:val="24"/>
          <w:lang w:val="en-US" w:eastAsia="zh-CN" w:bidi="ar-SA"/>
        </w:rPr>
        <w:fldChar w:fldCharType="end"/>
      </w:r>
      <w:r>
        <w:rPr>
          <w:rFonts w:hint="default" w:ascii="Times New Roman Regular" w:hAnsi="Times New Roman Regular" w:cs="Times New Roman Regular" w:eastAsiaTheme="minorEastAsia"/>
          <w:color w:val="auto"/>
          <w:kern w:val="2"/>
          <w:sz w:val="21"/>
          <w:szCs w:val="24"/>
          <w:lang w:val="en-US" w:eastAsia="zh-CN" w:bidi="ar-SA"/>
        </w:rPr>
        <w:t xml:space="preserve"> (Accessed: 18 December 2024). 教育部关于发布《教师数字素养》教育行业标准的通知</w:t>
      </w:r>
    </w:p>
    <w:p>
      <w:pPr>
        <w:pStyle w:val="3"/>
        <w:keepNext w:val="0"/>
        <w:keepLines w:val="0"/>
        <w:widowControl/>
        <w:numPr>
          <w:ilvl w:val="0"/>
          <w:numId w:val="0"/>
        </w:numPr>
        <w:suppressLineNumbers w:val="0"/>
        <w:spacing w:before="0" w:beforeAutospacing="0" w:after="0" w:afterAutospacing="0"/>
        <w:ind w:leftChars="0" w:right="0" w:rightChars="0"/>
        <w:jc w:val="left"/>
        <w:rPr>
          <w:rFonts w:hint="default" w:ascii="Times New Roman Regular" w:hAnsi="Times New Roman Regular" w:cs="Times New Roman Regular" w:eastAsiaTheme="minorEastAsia"/>
          <w:color w:val="auto"/>
          <w:kern w:val="2"/>
          <w:sz w:val="21"/>
          <w:szCs w:val="24"/>
          <w:lang w:val="en-US" w:eastAsia="zh-CN" w:bidi="ar-SA"/>
        </w:rPr>
      </w:pPr>
    </w:p>
    <w:p>
      <w:pPr>
        <w:pStyle w:val="3"/>
        <w:keepNext w:val="0"/>
        <w:keepLines w:val="0"/>
        <w:widowControl/>
        <w:numPr>
          <w:ilvl w:val="0"/>
          <w:numId w:val="0"/>
        </w:numPr>
        <w:suppressLineNumbers w:val="0"/>
        <w:spacing w:before="0" w:beforeAutospacing="0" w:after="0" w:afterAutospacing="0"/>
        <w:ind w:leftChars="0" w:right="0" w:rightChars="0"/>
        <w:jc w:val="left"/>
        <w:rPr>
          <w:rFonts w:hint="default" w:ascii="Times New Roman Regular" w:hAnsi="Times New Roman Regular" w:cs="Times New Roman Regular" w:eastAsiaTheme="minorEastAsia"/>
          <w:color w:val="auto"/>
          <w:kern w:val="2"/>
          <w:sz w:val="21"/>
          <w:szCs w:val="24"/>
          <w:lang w:val="en-US" w:eastAsia="zh-CN" w:bidi="ar-SA"/>
        </w:rPr>
      </w:pPr>
      <w:bookmarkStart w:id="0" w:name="_GoBack"/>
      <w:bookmarkEnd w:id="0"/>
      <w:r>
        <w:rPr>
          <w:rFonts w:hint="default" w:ascii="Times New Roman Regular" w:hAnsi="Times New Roman Regular" w:cs="Times New Roman Regular" w:eastAsiaTheme="minorEastAsia"/>
          <w:color w:val="auto"/>
          <w:kern w:val="2"/>
          <w:sz w:val="21"/>
          <w:szCs w:val="24"/>
          <w:lang w:val="en-US" w:eastAsia="zh-CN" w:bidi="ar-SA"/>
        </w:rPr>
        <w:t>Ministry of Education of China</w:t>
      </w:r>
      <w:r>
        <w:rPr>
          <w:rFonts w:hint="default" w:ascii="Times New Roman Regular" w:hAnsi="Times New Roman Regular" w:cs="Times New Roman Regular"/>
          <w:color w:val="auto"/>
          <w:kern w:val="2"/>
          <w:sz w:val="21"/>
          <w:szCs w:val="24"/>
          <w:lang w:val="en-US" w:eastAsia="zh-CN" w:bidi="ar-SA"/>
        </w:rPr>
        <w:t xml:space="preserve"> </w:t>
      </w:r>
      <w:r>
        <w:rPr>
          <w:rFonts w:hint="default" w:ascii="Times New Roman Regular" w:hAnsi="Times New Roman Regular" w:cs="Times New Roman Regular" w:eastAsiaTheme="minorEastAsia"/>
          <w:color w:val="auto"/>
          <w:kern w:val="2"/>
          <w:sz w:val="21"/>
          <w:szCs w:val="24"/>
          <w:lang w:val="en-US" w:eastAsia="zh-CN" w:bidi="ar-SA"/>
        </w:rPr>
        <w:t xml:space="preserve">(2024) </w:t>
      </w:r>
      <w:r>
        <w:rPr>
          <w:rFonts w:hint="default" w:ascii="Times New Roman Italic" w:hAnsi="Times New Roman Italic" w:cs="Times New Roman Italic" w:eastAsiaTheme="minorEastAsia"/>
          <w:i/>
          <w:iCs/>
          <w:color w:val="auto"/>
          <w:kern w:val="2"/>
          <w:sz w:val="21"/>
          <w:szCs w:val="24"/>
          <w:lang w:val="en-US" w:eastAsia="zh-CN" w:bidi="ar-SA"/>
        </w:rPr>
        <w:t xml:space="preserve">At the press conference on livelihood issues held during the </w:t>
      </w:r>
      <w:r>
        <w:rPr>
          <w:rFonts w:hint="default" w:ascii="Times New Roman Italic" w:hAnsi="Times New Roman Italic" w:cs="Times New Roman Italic"/>
          <w:i/>
          <w:iCs/>
          <w:color w:val="auto"/>
          <w:kern w:val="2"/>
          <w:sz w:val="21"/>
          <w:szCs w:val="24"/>
          <w:lang w:val="en-US" w:eastAsia="zh-CN" w:bidi="ar-SA"/>
        </w:rPr>
        <w:t>s</w:t>
      </w:r>
      <w:r>
        <w:rPr>
          <w:rFonts w:hint="default" w:ascii="Times New Roman Italic" w:hAnsi="Times New Roman Italic" w:cs="Times New Roman Italic" w:eastAsiaTheme="minorEastAsia"/>
          <w:i/>
          <w:iCs/>
          <w:color w:val="auto"/>
          <w:kern w:val="2"/>
          <w:sz w:val="21"/>
          <w:szCs w:val="24"/>
          <w:lang w:val="en-US" w:eastAsia="zh-CN" w:bidi="ar-SA"/>
        </w:rPr>
        <w:t xml:space="preserve">econd </w:t>
      </w:r>
      <w:r>
        <w:rPr>
          <w:rFonts w:hint="default" w:ascii="Times New Roman Italic" w:hAnsi="Times New Roman Italic" w:cs="Times New Roman Italic"/>
          <w:i/>
          <w:iCs/>
          <w:color w:val="auto"/>
          <w:kern w:val="2"/>
          <w:sz w:val="21"/>
          <w:szCs w:val="24"/>
          <w:lang w:val="en-US" w:eastAsia="zh-CN" w:bidi="ar-SA"/>
        </w:rPr>
        <w:t>s</w:t>
      </w:r>
      <w:r>
        <w:rPr>
          <w:rFonts w:hint="default" w:ascii="Times New Roman Italic" w:hAnsi="Times New Roman Italic" w:cs="Times New Roman Italic" w:eastAsiaTheme="minorEastAsia"/>
          <w:i/>
          <w:iCs/>
          <w:color w:val="auto"/>
          <w:kern w:val="2"/>
          <w:sz w:val="21"/>
          <w:szCs w:val="24"/>
          <w:lang w:val="en-US" w:eastAsia="zh-CN" w:bidi="ar-SA"/>
        </w:rPr>
        <w:t xml:space="preserve">ession of the 14th National People’s Congress, </w:t>
      </w:r>
      <w:r>
        <w:rPr>
          <w:rFonts w:hint="default" w:ascii="Times New Roman Italic" w:hAnsi="Times New Roman Italic" w:cs="Times New Roman Italic"/>
          <w:i/>
          <w:iCs/>
          <w:color w:val="auto"/>
          <w:kern w:val="2"/>
          <w:sz w:val="21"/>
          <w:szCs w:val="24"/>
          <w:lang w:val="en-US" w:eastAsia="zh-CN" w:bidi="ar-SA"/>
        </w:rPr>
        <w:t>m</w:t>
      </w:r>
      <w:r>
        <w:rPr>
          <w:rFonts w:hint="default" w:ascii="Times New Roman Italic" w:hAnsi="Times New Roman Italic" w:cs="Times New Roman Italic" w:eastAsiaTheme="minorEastAsia"/>
          <w:i/>
          <w:iCs/>
          <w:color w:val="auto"/>
          <w:kern w:val="2"/>
          <w:sz w:val="21"/>
          <w:szCs w:val="24"/>
          <w:lang w:val="en-US" w:eastAsia="zh-CN" w:bidi="ar-SA"/>
        </w:rPr>
        <w:t xml:space="preserve">inister of </w:t>
      </w:r>
      <w:r>
        <w:rPr>
          <w:rFonts w:hint="default" w:ascii="Times New Roman Italic" w:hAnsi="Times New Roman Italic" w:cs="Times New Roman Italic"/>
          <w:i/>
          <w:iCs/>
          <w:color w:val="auto"/>
          <w:kern w:val="2"/>
          <w:sz w:val="21"/>
          <w:szCs w:val="24"/>
          <w:lang w:val="en-US" w:eastAsia="zh-CN" w:bidi="ar-SA"/>
        </w:rPr>
        <w:t>e</w:t>
      </w:r>
      <w:r>
        <w:rPr>
          <w:rFonts w:hint="default" w:ascii="Times New Roman Italic" w:hAnsi="Times New Roman Italic" w:cs="Times New Roman Italic" w:eastAsiaTheme="minorEastAsia"/>
          <w:i/>
          <w:iCs/>
          <w:color w:val="auto"/>
          <w:kern w:val="2"/>
          <w:sz w:val="21"/>
          <w:szCs w:val="24"/>
          <w:lang w:val="en-US" w:eastAsia="zh-CN" w:bidi="ar-SA"/>
        </w:rPr>
        <w:t>ducation Huai Jinpeng responded to questions from reporters</w:t>
      </w:r>
      <w:r>
        <w:rPr>
          <w:rFonts w:hint="default" w:ascii="Times New Roman Italic" w:hAnsi="Times New Roman Italic" w:cs="Times New Roman Italic"/>
          <w:i/>
          <w:iCs/>
          <w:color w:val="auto"/>
          <w:kern w:val="2"/>
          <w:sz w:val="21"/>
          <w:szCs w:val="24"/>
          <w:lang w:val="en-US" w:eastAsia="zh-CN" w:bidi="ar-SA"/>
        </w:rPr>
        <w:t>.</w:t>
      </w:r>
      <w:r>
        <w:rPr>
          <w:rFonts w:hint="default" w:ascii="Times New Roman Italic" w:hAnsi="Times New Roman Italic" w:cs="Times New Roman Italic" w:eastAsiaTheme="minorEastAsia"/>
          <w:i/>
          <w:iCs/>
          <w:color w:val="auto"/>
          <w:kern w:val="2"/>
          <w:sz w:val="21"/>
          <w:szCs w:val="24"/>
          <w:lang w:val="en-US" w:eastAsia="zh-CN" w:bidi="ar-SA"/>
        </w:rPr>
        <w:t xml:space="preserve"> </w:t>
      </w:r>
      <w:r>
        <w:rPr>
          <w:rFonts w:hint="default" w:ascii="Times New Roman Regular" w:hAnsi="Times New Roman Regular" w:cs="Times New Roman Regular" w:eastAsiaTheme="minorEastAsia"/>
          <w:color w:val="auto"/>
          <w:kern w:val="2"/>
          <w:sz w:val="21"/>
          <w:szCs w:val="24"/>
          <w:lang w:val="en-US" w:eastAsia="zh-CN" w:bidi="ar-SA"/>
        </w:rPr>
        <w:t xml:space="preserve">Available at: </w:t>
      </w:r>
      <w:r>
        <w:rPr>
          <w:rFonts w:hint="default" w:ascii="Times New Roman Regular" w:hAnsi="Times New Roman Regular" w:cs="Times New Roman Regular" w:eastAsiaTheme="minorEastAsia"/>
          <w:color w:val="auto"/>
          <w:kern w:val="2"/>
          <w:sz w:val="21"/>
          <w:szCs w:val="24"/>
          <w:lang w:val="en-US" w:eastAsia="zh-CN" w:bidi="ar-SA"/>
        </w:rPr>
        <w:fldChar w:fldCharType="begin"/>
      </w:r>
      <w:r>
        <w:rPr>
          <w:rFonts w:hint="default" w:ascii="Times New Roman Regular" w:hAnsi="Times New Roman Regular" w:cs="Times New Roman Regular" w:eastAsiaTheme="minorEastAsia"/>
          <w:color w:val="auto"/>
          <w:kern w:val="2"/>
          <w:sz w:val="21"/>
          <w:szCs w:val="24"/>
          <w:lang w:val="en-US" w:eastAsia="zh-CN" w:bidi="ar-SA"/>
        </w:rPr>
        <w:instrText xml:space="preserve"> HYPERLINK "http://www.moe.gov.cn/jyb_xwfb/s5147/202403/t20240310_1119485.html" </w:instrText>
      </w:r>
      <w:r>
        <w:rPr>
          <w:rFonts w:hint="default" w:ascii="Times New Roman Regular" w:hAnsi="Times New Roman Regular" w:cs="Times New Roman Regular" w:eastAsiaTheme="minorEastAsia"/>
          <w:color w:val="auto"/>
          <w:kern w:val="2"/>
          <w:sz w:val="21"/>
          <w:szCs w:val="24"/>
          <w:lang w:val="en-US" w:eastAsia="zh-CN" w:bidi="ar-SA"/>
        </w:rPr>
        <w:fldChar w:fldCharType="separate"/>
      </w:r>
      <w:r>
        <w:rPr>
          <w:rStyle w:val="7"/>
          <w:rFonts w:hint="default" w:ascii="Times New Roman Regular" w:hAnsi="Times New Roman Regular" w:cs="Times New Roman Regular" w:eastAsiaTheme="minorEastAsia"/>
          <w:kern w:val="2"/>
          <w:sz w:val="21"/>
          <w:szCs w:val="24"/>
          <w:lang w:val="en-US" w:eastAsia="zh-CN" w:bidi="ar-SA"/>
        </w:rPr>
        <w:t>http://www.moe.gov.cn/jyb_xwfb/s5147/202403/t20240310_1119485.html</w:t>
      </w:r>
      <w:r>
        <w:rPr>
          <w:rFonts w:hint="default" w:ascii="Times New Roman Regular" w:hAnsi="Times New Roman Regular" w:cs="Times New Roman Regular" w:eastAsiaTheme="minorEastAsia"/>
          <w:color w:val="auto"/>
          <w:kern w:val="2"/>
          <w:sz w:val="21"/>
          <w:szCs w:val="24"/>
          <w:lang w:val="en-US" w:eastAsia="zh-CN" w:bidi="ar-SA"/>
        </w:rPr>
        <w:fldChar w:fldCharType="end"/>
      </w:r>
      <w:r>
        <w:rPr>
          <w:rFonts w:hint="default" w:ascii="Times New Roman Regular" w:hAnsi="Times New Roman Regular" w:cs="Times New Roman Regular"/>
          <w:color w:val="auto"/>
          <w:kern w:val="2"/>
          <w:sz w:val="21"/>
          <w:szCs w:val="24"/>
          <w:lang w:val="en-US" w:eastAsia="zh-CN" w:bidi="ar-SA"/>
        </w:rPr>
        <w:t xml:space="preserve"> (Accessed: 18 December 2024). 十四届全国人大二次会议举行民生主题记者会，教育部部长怀进鹏回答记者提问</w:t>
      </w:r>
    </w:p>
    <w:p>
      <w:pPr>
        <w:widowControl w:val="0"/>
        <w:numPr>
          <w:ilvl w:val="0"/>
          <w:numId w:val="0"/>
        </w:numPr>
        <w:ind w:leftChars="0"/>
        <w:jc w:val="both"/>
        <w:rPr>
          <w:rFonts w:hint="default" w:ascii="Times New Roman Regular" w:hAnsi="Times New Roman Regular" w:cs="Times New Roman Regular"/>
          <w:lang w:val="en-US" w:eastAsia="zh-CN"/>
        </w:rPr>
      </w:pPr>
    </w:p>
    <w:p>
      <w:pPr>
        <w:pStyle w:val="3"/>
        <w:keepNext w:val="0"/>
        <w:keepLines w:val="0"/>
        <w:widowControl/>
        <w:numPr>
          <w:ilvl w:val="0"/>
          <w:numId w:val="0"/>
        </w:numPr>
        <w:suppressLineNumbers w:val="0"/>
        <w:spacing w:before="0" w:beforeAutospacing="0" w:after="0" w:afterAutospacing="0"/>
        <w:ind w:leftChars="0" w:right="0" w:righ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eastAsiaTheme="minorEastAsia"/>
          <w:color w:val="auto"/>
          <w:kern w:val="2"/>
          <w:sz w:val="21"/>
          <w:szCs w:val="24"/>
          <w:lang w:val="en-US" w:eastAsia="zh-CN" w:bidi="ar-SA"/>
        </w:rPr>
        <w:t>Taylor, S., Rizvi, F., Lingard, R.,</w:t>
      </w:r>
      <w:r>
        <w:rPr>
          <w:rFonts w:hint="default" w:ascii="Times New Roman Regular" w:hAnsi="Times New Roman Regular" w:cs="Times New Roman Regular"/>
          <w:color w:val="auto"/>
          <w:kern w:val="2"/>
          <w:sz w:val="21"/>
          <w:szCs w:val="24"/>
          <w:lang w:val="en-US" w:eastAsia="zh-CN" w:bidi="ar-SA"/>
        </w:rPr>
        <w:t xml:space="preserve"> and</w:t>
      </w:r>
      <w:r>
        <w:rPr>
          <w:rFonts w:hint="default" w:ascii="Times New Roman Regular" w:hAnsi="Times New Roman Regular" w:cs="Times New Roman Regular" w:eastAsiaTheme="minorEastAsia"/>
          <w:color w:val="auto"/>
          <w:kern w:val="2"/>
          <w:sz w:val="21"/>
          <w:szCs w:val="24"/>
          <w:lang w:val="en-US" w:eastAsia="zh-CN" w:bidi="ar-SA"/>
        </w:rPr>
        <w:t xml:space="preserve"> Henry, M. (1997) </w:t>
      </w:r>
      <w:r>
        <w:rPr>
          <w:rFonts w:hint="default" w:ascii="Times New Roman Italic" w:hAnsi="Times New Roman Italic" w:cs="Times New Roman Italic" w:eastAsiaTheme="minorEastAsia"/>
          <w:i/>
          <w:iCs/>
          <w:color w:val="auto"/>
          <w:kern w:val="2"/>
          <w:sz w:val="21"/>
          <w:szCs w:val="24"/>
          <w:lang w:val="en-US" w:eastAsia="zh-CN" w:bidi="ar-SA"/>
        </w:rPr>
        <w:t xml:space="preserve">Educational </w:t>
      </w:r>
      <w:r>
        <w:rPr>
          <w:rFonts w:hint="default" w:ascii="Times New Roman Italic" w:hAnsi="Times New Roman Italic" w:cs="Times New Roman Italic"/>
          <w:i/>
          <w:iCs/>
          <w:color w:val="auto"/>
          <w:kern w:val="2"/>
          <w:sz w:val="21"/>
          <w:szCs w:val="24"/>
          <w:lang w:val="en-US" w:eastAsia="zh-CN" w:bidi="ar-SA"/>
        </w:rPr>
        <w:t>p</w:t>
      </w:r>
      <w:r>
        <w:rPr>
          <w:rFonts w:hint="default" w:ascii="Times New Roman Italic" w:hAnsi="Times New Roman Italic" w:cs="Times New Roman Italic" w:eastAsiaTheme="minorEastAsia"/>
          <w:i/>
          <w:iCs/>
          <w:color w:val="auto"/>
          <w:kern w:val="2"/>
          <w:sz w:val="21"/>
          <w:szCs w:val="24"/>
          <w:lang w:val="en-US" w:eastAsia="zh-CN" w:bidi="ar-SA"/>
        </w:rPr>
        <w:t xml:space="preserve">olicy and the </w:t>
      </w:r>
      <w:r>
        <w:rPr>
          <w:rFonts w:hint="default" w:ascii="Times New Roman Italic" w:hAnsi="Times New Roman Italic" w:cs="Times New Roman Italic"/>
          <w:i/>
          <w:iCs/>
          <w:color w:val="auto"/>
          <w:kern w:val="2"/>
          <w:sz w:val="21"/>
          <w:szCs w:val="24"/>
          <w:lang w:val="en-US" w:eastAsia="zh-CN" w:bidi="ar-SA"/>
        </w:rPr>
        <w:t>p</w:t>
      </w:r>
      <w:r>
        <w:rPr>
          <w:rFonts w:hint="default" w:ascii="Times New Roman Italic" w:hAnsi="Times New Roman Italic" w:cs="Times New Roman Italic" w:eastAsiaTheme="minorEastAsia"/>
          <w:i/>
          <w:iCs/>
          <w:color w:val="auto"/>
          <w:kern w:val="2"/>
          <w:sz w:val="21"/>
          <w:szCs w:val="24"/>
          <w:lang w:val="en-US" w:eastAsia="zh-CN" w:bidi="ar-SA"/>
        </w:rPr>
        <w:t xml:space="preserve">olitics of </w:t>
      </w:r>
      <w:r>
        <w:rPr>
          <w:rFonts w:hint="default" w:ascii="Times New Roman Italic" w:hAnsi="Times New Roman Italic" w:cs="Times New Roman Italic"/>
          <w:i/>
          <w:iCs/>
          <w:color w:val="auto"/>
          <w:kern w:val="2"/>
          <w:sz w:val="21"/>
          <w:szCs w:val="24"/>
          <w:lang w:val="en-US" w:eastAsia="zh-CN" w:bidi="ar-SA"/>
        </w:rPr>
        <w:t>c</w:t>
      </w:r>
      <w:r>
        <w:rPr>
          <w:rFonts w:hint="default" w:ascii="Times New Roman Italic" w:hAnsi="Times New Roman Italic" w:cs="Times New Roman Italic" w:eastAsiaTheme="minorEastAsia"/>
          <w:i/>
          <w:iCs/>
          <w:color w:val="auto"/>
          <w:kern w:val="2"/>
          <w:sz w:val="21"/>
          <w:szCs w:val="24"/>
          <w:lang w:val="en-US" w:eastAsia="zh-CN" w:bidi="ar-SA"/>
        </w:rPr>
        <w:t>hange</w:t>
      </w:r>
      <w:r>
        <w:rPr>
          <w:rFonts w:hint="default" w:ascii="Times New Roman Regular" w:hAnsi="Times New Roman Regular" w:cs="Times New Roman Regular" w:eastAsiaTheme="minorEastAsia"/>
          <w:color w:val="auto"/>
          <w:kern w:val="2"/>
          <w:sz w:val="21"/>
          <w:szCs w:val="24"/>
          <w:lang w:val="en-US" w:eastAsia="zh-CN" w:bidi="ar-SA"/>
        </w:rPr>
        <w:t>.</w:t>
      </w:r>
      <w:r>
        <w:rPr>
          <w:rFonts w:hint="default" w:ascii="Times New Roman Regular" w:hAnsi="Times New Roman Regular" w:cs="Times New Roman Regular"/>
          <w:color w:val="auto"/>
          <w:kern w:val="2"/>
          <w:sz w:val="21"/>
          <w:szCs w:val="24"/>
          <w:lang w:val="en-US" w:eastAsia="zh-CN" w:bidi="ar-SA"/>
        </w:rPr>
        <w:t xml:space="preserve"> London: </w:t>
      </w:r>
      <w:r>
        <w:rPr>
          <w:rFonts w:hint="default" w:ascii="Times New Roman Regular" w:hAnsi="Times New Roman Regular" w:cs="Times New Roman Regular" w:eastAsiaTheme="minorEastAsia"/>
          <w:color w:val="auto"/>
          <w:kern w:val="2"/>
          <w:sz w:val="21"/>
          <w:szCs w:val="24"/>
          <w:lang w:val="en-US" w:eastAsia="zh-CN" w:bidi="ar-SA"/>
        </w:rPr>
        <w:t>Routledge.</w:t>
      </w:r>
    </w:p>
    <w:p>
      <w:pPr>
        <w:pStyle w:val="3"/>
        <w:keepNext w:val="0"/>
        <w:keepLines w:val="0"/>
        <w:widowControl/>
        <w:numPr>
          <w:ilvl w:val="0"/>
          <w:numId w:val="0"/>
        </w:numPr>
        <w:suppressLineNumbers w:val="0"/>
        <w:spacing w:before="0" w:beforeAutospacing="0" w:after="0" w:afterAutospacing="0"/>
        <w:ind w:leftChars="0" w:right="0" w:rightChars="0"/>
        <w:jc w:val="left"/>
        <w:rPr>
          <w:rFonts w:hint="default" w:ascii="Times New Roman Regular" w:hAnsi="Times New Roman Regular" w:cs="Times New Roman Regular" w:eastAsiaTheme="minorEastAsia"/>
          <w:color w:val="auto"/>
          <w:kern w:val="2"/>
          <w:sz w:val="21"/>
          <w:szCs w:val="24"/>
          <w:lang w:val="en-US" w:eastAsia="zh-CN" w:bidi="ar-SA"/>
        </w:rPr>
      </w:pPr>
      <w:r>
        <w:rPr>
          <w:rFonts w:hint="default" w:ascii="Times New Roman Regular" w:hAnsi="Times New Roman Regular" w:cs="Times New Roman Regular" w:eastAsiaTheme="minorEastAsia"/>
          <w:color w:val="auto"/>
          <w:kern w:val="2"/>
          <w:sz w:val="21"/>
          <w:szCs w:val="24"/>
          <w:lang w:val="en-US" w:eastAsia="zh-CN" w:bidi="ar-SA"/>
        </w:rPr>
        <w:t>Taylor</w:t>
      </w:r>
      <w:r>
        <w:rPr>
          <w:rFonts w:hint="default" w:ascii="Times New Roman Regular" w:hAnsi="Times New Roman Regular" w:cs="Times New Roman Regular"/>
          <w:color w:val="auto"/>
          <w:kern w:val="2"/>
          <w:sz w:val="21"/>
          <w:szCs w:val="24"/>
          <w:lang w:val="en-US" w:eastAsia="zh-CN" w:bidi="ar-SA"/>
        </w:rPr>
        <w:t>, S.</w:t>
      </w:r>
      <w:r>
        <w:rPr>
          <w:rFonts w:hint="default" w:ascii="Times New Roman Regular" w:hAnsi="Times New Roman Regular" w:cs="Times New Roman Regular" w:eastAsiaTheme="minorEastAsia"/>
          <w:color w:val="auto"/>
          <w:kern w:val="2"/>
          <w:sz w:val="21"/>
          <w:szCs w:val="24"/>
          <w:lang w:val="en-US" w:eastAsia="zh-CN" w:bidi="ar-SA"/>
        </w:rPr>
        <w:t xml:space="preserve">(1997) </w:t>
      </w:r>
      <w:r>
        <w:rPr>
          <w:rFonts w:hint="default" w:ascii="Times New Roman Regular" w:hAnsi="Times New Roman Regular" w:cs="Times New Roman Regular"/>
          <w:color w:val="auto"/>
          <w:kern w:val="2"/>
          <w:sz w:val="21"/>
          <w:szCs w:val="24"/>
          <w:lang w:val="en-US" w:eastAsia="zh-CN" w:bidi="ar-SA"/>
        </w:rPr>
        <w:t>‘</w:t>
      </w:r>
      <w:r>
        <w:rPr>
          <w:rFonts w:hint="default" w:ascii="Times New Roman" w:hAnsi="Times New Roman" w:cs="Times New Roman" w:eastAsiaTheme="minorEastAsia"/>
          <w:i w:val="0"/>
          <w:iCs w:val="0"/>
          <w:color w:val="auto"/>
          <w:kern w:val="2"/>
          <w:sz w:val="21"/>
          <w:szCs w:val="24"/>
          <w:lang w:val="en-US" w:eastAsia="zh-CN" w:bidi="ar-SA"/>
        </w:rPr>
        <w:t xml:space="preserve">Critical </w:t>
      </w:r>
      <w:r>
        <w:rPr>
          <w:rFonts w:hint="default" w:ascii="Times New Roman" w:hAnsi="Times New Roman" w:cs="Times New Roman"/>
          <w:i w:val="0"/>
          <w:iCs w:val="0"/>
          <w:color w:val="auto"/>
          <w:kern w:val="2"/>
          <w:sz w:val="21"/>
          <w:szCs w:val="24"/>
          <w:lang w:val="en-US" w:eastAsia="zh-CN" w:bidi="ar-SA"/>
        </w:rPr>
        <w:t>p</w:t>
      </w:r>
      <w:r>
        <w:rPr>
          <w:rFonts w:hint="default" w:ascii="Times New Roman" w:hAnsi="Times New Roman" w:cs="Times New Roman" w:eastAsiaTheme="minorEastAsia"/>
          <w:i w:val="0"/>
          <w:iCs w:val="0"/>
          <w:color w:val="auto"/>
          <w:kern w:val="2"/>
          <w:sz w:val="21"/>
          <w:szCs w:val="24"/>
          <w:lang w:val="en-US" w:eastAsia="zh-CN" w:bidi="ar-SA"/>
        </w:rPr>
        <w:t xml:space="preserve">olicy </w:t>
      </w:r>
      <w:r>
        <w:rPr>
          <w:rFonts w:hint="default" w:ascii="Times New Roman" w:hAnsi="Times New Roman" w:cs="Times New Roman"/>
          <w:i w:val="0"/>
          <w:iCs w:val="0"/>
          <w:color w:val="auto"/>
          <w:kern w:val="2"/>
          <w:sz w:val="21"/>
          <w:szCs w:val="24"/>
          <w:lang w:val="en-US" w:eastAsia="zh-CN" w:bidi="ar-SA"/>
        </w:rPr>
        <w:t>a</w:t>
      </w:r>
      <w:r>
        <w:rPr>
          <w:rFonts w:hint="default" w:ascii="Times New Roman" w:hAnsi="Times New Roman" w:cs="Times New Roman" w:eastAsiaTheme="minorEastAsia"/>
          <w:i w:val="0"/>
          <w:iCs w:val="0"/>
          <w:color w:val="auto"/>
          <w:kern w:val="2"/>
          <w:sz w:val="21"/>
          <w:szCs w:val="24"/>
          <w:lang w:val="en-US" w:eastAsia="zh-CN" w:bidi="ar-SA"/>
        </w:rPr>
        <w:t>nalysis: exploring contexts, texts and consequences</w:t>
      </w:r>
      <w:r>
        <w:rPr>
          <w:rFonts w:hint="default" w:ascii="Times New Roman" w:hAnsi="Times New Roman" w:cs="Times New Roman"/>
          <w:i w:val="0"/>
          <w:iCs w:val="0"/>
          <w:color w:val="auto"/>
          <w:kern w:val="2"/>
          <w:sz w:val="21"/>
          <w:szCs w:val="24"/>
          <w:lang w:val="en-US" w:eastAsia="zh-CN" w:bidi="ar-SA"/>
        </w:rPr>
        <w:t>’</w:t>
      </w:r>
      <w:r>
        <w:rPr>
          <w:rFonts w:hint="default" w:ascii="Times New Roman Regular" w:hAnsi="Times New Roman Regular" w:cs="Times New Roman Regular" w:eastAsiaTheme="minorEastAsia"/>
          <w:color w:val="auto"/>
          <w:kern w:val="2"/>
          <w:sz w:val="21"/>
          <w:szCs w:val="24"/>
          <w:lang w:val="en-US" w:eastAsia="zh-CN" w:bidi="ar-SA"/>
        </w:rPr>
        <w:t xml:space="preserve">, </w:t>
      </w:r>
      <w:r>
        <w:rPr>
          <w:rFonts w:hint="default" w:ascii="Times New Roman Italic" w:hAnsi="Times New Roman Italic" w:cs="Times New Roman Italic" w:eastAsiaTheme="minorEastAsia"/>
          <w:i/>
          <w:iCs/>
          <w:color w:val="auto"/>
          <w:kern w:val="2"/>
          <w:sz w:val="21"/>
          <w:szCs w:val="24"/>
          <w:lang w:val="en-US" w:eastAsia="zh-CN" w:bidi="ar-SA"/>
        </w:rPr>
        <w:t>Discourse: Studies in the Cultural Politics of Education</w:t>
      </w:r>
      <w:r>
        <w:rPr>
          <w:rFonts w:hint="default" w:ascii="Times New Roman Regular" w:hAnsi="Times New Roman Regular" w:cs="Times New Roman Regular" w:eastAsiaTheme="minorEastAsia"/>
          <w:color w:val="auto"/>
          <w:kern w:val="2"/>
          <w:sz w:val="21"/>
          <w:szCs w:val="24"/>
          <w:lang w:val="en-US" w:eastAsia="zh-CN" w:bidi="ar-SA"/>
        </w:rPr>
        <w:t>, 18</w:t>
      </w:r>
      <w:r>
        <w:rPr>
          <w:rFonts w:hint="default" w:ascii="Times New Roman Regular" w:hAnsi="Times New Roman Regular" w:cs="Times New Roman Regular"/>
          <w:color w:val="auto"/>
          <w:kern w:val="2"/>
          <w:sz w:val="21"/>
          <w:szCs w:val="24"/>
          <w:lang w:val="en-US" w:eastAsia="zh-CN" w:bidi="ar-SA"/>
        </w:rPr>
        <w:t>(</w:t>
      </w:r>
      <w:r>
        <w:rPr>
          <w:rFonts w:hint="default" w:ascii="Times New Roman Regular" w:hAnsi="Times New Roman Regular" w:cs="Times New Roman Regular" w:eastAsiaTheme="minorEastAsia"/>
          <w:color w:val="auto"/>
          <w:kern w:val="2"/>
          <w:sz w:val="21"/>
          <w:szCs w:val="24"/>
          <w:lang w:val="en-US" w:eastAsia="zh-CN" w:bidi="ar-SA"/>
        </w:rPr>
        <w:t>1</w:t>
      </w:r>
      <w:r>
        <w:rPr>
          <w:rFonts w:hint="default" w:ascii="Times New Roman Regular" w:hAnsi="Times New Roman Regular" w:cs="Times New Roman Regular"/>
          <w:color w:val="auto"/>
          <w:kern w:val="2"/>
          <w:sz w:val="21"/>
          <w:szCs w:val="24"/>
          <w:lang w:val="en-US" w:eastAsia="zh-CN" w:bidi="ar-SA"/>
        </w:rPr>
        <w:t>)</w:t>
      </w:r>
      <w:r>
        <w:rPr>
          <w:rFonts w:hint="default" w:ascii="Times New Roman Regular" w:hAnsi="Times New Roman Regular" w:cs="Times New Roman Regular" w:eastAsiaTheme="minorEastAsia"/>
          <w:color w:val="auto"/>
          <w:kern w:val="2"/>
          <w:sz w:val="21"/>
          <w:szCs w:val="24"/>
          <w:lang w:val="en-US" w:eastAsia="zh-CN" w:bidi="ar-SA"/>
        </w:rPr>
        <w:t xml:space="preserve">, </w:t>
      </w:r>
      <w:r>
        <w:rPr>
          <w:rFonts w:hint="default" w:ascii="Times New Roman Regular" w:hAnsi="Times New Roman Regular" w:cs="Times New Roman Regular"/>
          <w:color w:val="auto"/>
          <w:kern w:val="2"/>
          <w:sz w:val="21"/>
          <w:szCs w:val="24"/>
          <w:lang w:val="en-US" w:eastAsia="zh-CN" w:bidi="ar-SA"/>
        </w:rPr>
        <w:t>pp.</w:t>
      </w:r>
      <w:r>
        <w:rPr>
          <w:rFonts w:hint="default" w:ascii="Times New Roman Regular" w:hAnsi="Times New Roman Regular" w:cs="Times New Roman Regular" w:eastAsiaTheme="minorEastAsia"/>
          <w:color w:val="auto"/>
          <w:kern w:val="2"/>
          <w:sz w:val="21"/>
          <w:szCs w:val="24"/>
          <w:lang w:val="en-US" w:eastAsia="zh-CN" w:bidi="ar-SA"/>
        </w:rPr>
        <w:t>23-35</w:t>
      </w:r>
      <w:r>
        <w:rPr>
          <w:rFonts w:hint="default" w:ascii="Times New Roman Regular" w:hAnsi="Times New Roman Regular" w:cs="Times New Roman Regular"/>
          <w:color w:val="auto"/>
          <w:kern w:val="2"/>
          <w:sz w:val="21"/>
          <w:szCs w:val="24"/>
          <w:lang w:val="en-US" w:eastAsia="zh-CN" w:bidi="ar-SA"/>
        </w:rPr>
        <w:t xml:space="preserve">. Available at: </w:t>
      </w:r>
      <w:r>
        <w:rPr>
          <w:rFonts w:hint="default" w:ascii="Times New Roman Regular" w:hAnsi="Times New Roman Regular" w:cs="Times New Roman Regular" w:eastAsiaTheme="minorEastAsia"/>
          <w:color w:val="auto"/>
          <w:kern w:val="2"/>
          <w:sz w:val="21"/>
          <w:szCs w:val="24"/>
          <w:lang w:val="en-US" w:eastAsia="zh-CN" w:bidi="ar-SA"/>
        </w:rPr>
        <w:fldChar w:fldCharType="begin"/>
      </w:r>
      <w:r>
        <w:rPr>
          <w:rFonts w:hint="default" w:ascii="Times New Roman Regular" w:hAnsi="Times New Roman Regular" w:cs="Times New Roman Regular" w:eastAsiaTheme="minorEastAsia"/>
          <w:color w:val="auto"/>
          <w:kern w:val="2"/>
          <w:sz w:val="21"/>
          <w:szCs w:val="24"/>
          <w:lang w:val="en-US" w:eastAsia="zh-CN" w:bidi="ar-SA"/>
        </w:rPr>
        <w:instrText xml:space="preserve"> HYPERLINK "https://doi.org/10.1080/0159630970180102" </w:instrText>
      </w:r>
      <w:r>
        <w:rPr>
          <w:rFonts w:hint="default" w:ascii="Times New Roman Regular" w:hAnsi="Times New Roman Regular" w:cs="Times New Roman Regular" w:eastAsiaTheme="minorEastAsia"/>
          <w:color w:val="auto"/>
          <w:kern w:val="2"/>
          <w:sz w:val="21"/>
          <w:szCs w:val="24"/>
          <w:lang w:val="en-US" w:eastAsia="zh-CN" w:bidi="ar-SA"/>
        </w:rPr>
        <w:fldChar w:fldCharType="separate"/>
      </w:r>
      <w:r>
        <w:rPr>
          <w:rStyle w:val="7"/>
          <w:rFonts w:hint="default" w:ascii="Times New Roman Regular" w:hAnsi="Times New Roman Regular" w:cs="Times New Roman Regular" w:eastAsiaTheme="minorEastAsia"/>
          <w:kern w:val="2"/>
          <w:sz w:val="21"/>
          <w:szCs w:val="24"/>
          <w:lang w:val="en-US" w:eastAsia="zh-CN" w:bidi="ar-SA"/>
        </w:rPr>
        <w:t>https://doi.org/10.1080/0159630970180102</w:t>
      </w:r>
      <w:r>
        <w:rPr>
          <w:rFonts w:hint="default" w:ascii="Times New Roman Regular" w:hAnsi="Times New Roman Regular" w:cs="Times New Roman Regular" w:eastAsiaTheme="minorEastAsia"/>
          <w:color w:val="auto"/>
          <w:kern w:val="2"/>
          <w:sz w:val="21"/>
          <w:szCs w:val="24"/>
          <w:lang w:val="en-US" w:eastAsia="zh-CN" w:bidi="ar-SA"/>
        </w:rPr>
        <w:fldChar w:fldCharType="end"/>
      </w:r>
      <w:r>
        <w:rPr>
          <w:rFonts w:hint="default" w:ascii="Times New Roman Regular" w:hAnsi="Times New Roman Regular" w:cs="Times New Roman Regular"/>
          <w:color w:val="auto"/>
          <w:kern w:val="2"/>
          <w:sz w:val="21"/>
          <w:szCs w:val="24"/>
          <w:lang w:val="en-US" w:eastAsia="zh-CN" w:bidi="ar-SA"/>
        </w:rPr>
        <w:t xml:space="preserve"> </w:t>
      </w:r>
    </w:p>
    <w:p>
      <w:pPr>
        <w:widowControl w:val="0"/>
        <w:numPr>
          <w:ilvl w:val="0"/>
          <w:numId w:val="0"/>
        </w:numPr>
        <w:ind w:leftChars="0"/>
        <w:jc w:val="both"/>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The New London Group (1996) ‘A pedagogy of multiliteracies: designing social futures’, </w:t>
      </w:r>
      <w:r>
        <w:rPr>
          <w:rFonts w:hint="default" w:ascii="Times New Roman Italic" w:hAnsi="Times New Roman Italic" w:cs="Times New Roman Italic"/>
          <w:i/>
          <w:iCs/>
          <w:lang w:val="en-US" w:eastAsia="zh-CN"/>
        </w:rPr>
        <w:t>Harvard Educational Review</w:t>
      </w:r>
      <w:r>
        <w:rPr>
          <w:rFonts w:hint="default" w:ascii="Times New Roman Regular" w:hAnsi="Times New Roman Regular" w:cs="Times New Roman Regular"/>
          <w:lang w:val="en-US" w:eastAsia="zh-CN"/>
        </w:rPr>
        <w:t>, 66(1), pp. 60-93.</w:t>
      </w:r>
    </w:p>
    <w:p>
      <w:pPr>
        <w:widowControl w:val="0"/>
        <w:numPr>
          <w:ilvl w:val="0"/>
          <w:numId w:val="0"/>
        </w:numPr>
        <w:ind w:leftChars="0"/>
        <w:jc w:val="left"/>
        <w:rPr>
          <w:rFonts w:hint="default" w:ascii="Times New Roman Regular" w:hAnsi="Times New Roman Regular" w:cs="Times New Roman Regular"/>
          <w:lang w:val="en-US" w:eastAsia="zh-CN"/>
        </w:rPr>
      </w:pP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eastAsia="zh-CN"/>
        </w:rPr>
        <w:t xml:space="preserve">UNESCO (2018) </w:t>
      </w:r>
      <w:r>
        <w:rPr>
          <w:rFonts w:hint="default" w:ascii="Times New Roman Italic" w:hAnsi="Times New Roman Italic" w:cs="Times New Roman Italic"/>
          <w:i/>
          <w:iCs/>
          <w:lang w:val="en-US" w:eastAsia="zh-CN"/>
        </w:rPr>
        <w:t>A global framework of reference on digital literacy skills for indicator 4.4.2.</w:t>
      </w:r>
      <w:r>
        <w:rPr>
          <w:rFonts w:hint="default" w:ascii="Times New Roman Regular" w:hAnsi="Times New Roman Regular" w:cs="Times New Roman Regular"/>
          <w:lang w:val="en-US" w:eastAsia="zh-CN"/>
        </w:rPr>
        <w:t xml:space="preserve"> Available at:    </w:t>
      </w:r>
      <w:r>
        <w:rPr>
          <w:rFonts w:hint="default" w:ascii="Times New Roman Regular" w:hAnsi="Times New Roman Regular" w:cs="Times New Roman Regular"/>
          <w:lang w:val="en-US" w:eastAsia="zh-CN"/>
        </w:rPr>
        <w:fldChar w:fldCharType="begin"/>
      </w:r>
      <w:r>
        <w:rPr>
          <w:rFonts w:hint="default" w:ascii="Times New Roman Regular" w:hAnsi="Times New Roman Regular" w:cs="Times New Roman Regular"/>
          <w:lang w:val="en-US" w:eastAsia="zh-CN"/>
        </w:rPr>
        <w:instrText xml:space="preserve"> HYPERLINK "https://uis.unesco.org/sites/default/files/documents/ip51-global-framework-reference-digital-literacy-skills-2018-en.pdf" </w:instrText>
      </w:r>
      <w:r>
        <w:rPr>
          <w:rFonts w:hint="default" w:ascii="Times New Roman Regular" w:hAnsi="Times New Roman Regular" w:cs="Times New Roman Regular"/>
          <w:lang w:val="en-US" w:eastAsia="zh-CN"/>
        </w:rPr>
        <w:fldChar w:fldCharType="separate"/>
      </w:r>
      <w:r>
        <w:rPr>
          <w:rStyle w:val="7"/>
          <w:rFonts w:hint="default" w:ascii="Times New Roman Regular" w:hAnsi="Times New Roman Regular" w:cs="Times New Roman Regular"/>
          <w:lang w:val="en-US" w:eastAsia="zh-CN"/>
        </w:rPr>
        <w:t>https://uis.unesco.org/sites/default/files/documents/ip51-global-framework-reference-digital-literacy-skills-2018-en.pdf</w:t>
      </w:r>
      <w:r>
        <w:rPr>
          <w:rFonts w:hint="default" w:ascii="Times New Roman Regular" w:hAnsi="Times New Roman Regular" w:cs="Times New Roman Regular"/>
          <w:lang w:val="en-US" w:eastAsia="zh-CN"/>
        </w:rPr>
        <w:fldChar w:fldCharType="end"/>
      </w:r>
      <w:r>
        <w:rPr>
          <w:rFonts w:hint="default" w:ascii="Times New Roman Regular" w:hAnsi="Times New Roman Regular" w:cs="Times New Roman Regular"/>
          <w:lang w:val="en-US" w:eastAsia="zh-CN"/>
        </w:rPr>
        <w:t xml:space="preserve"> (Assessed: 18 December 2024)</w:t>
      </w:r>
    </w:p>
    <w:p>
      <w:pPr>
        <w:widowControl w:val="0"/>
        <w:numPr>
          <w:ilvl w:val="0"/>
          <w:numId w:val="0"/>
        </w:numPr>
        <w:ind w:leftChars="0"/>
        <w:jc w:val="left"/>
        <w:rPr>
          <w:rFonts w:hint="default" w:ascii="Times New Roman Regular" w:hAnsi="Times New Roman Regular" w:cs="Times New Roman Regular"/>
          <w:lang w:val="en-US" w:eastAsia="zh-CN"/>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kern w:val="2"/>
          <w:sz w:val="21"/>
          <w:szCs w:val="24"/>
          <w:lang w:val="en-US" w:eastAsia="zh-CN" w:bidi="ar-SA"/>
        </w:rPr>
        <w:t xml:space="preserve">Wu, D., Gui, X., Zhou, C. and Chen, M. (2023) ‘Teachers’ digital literacy: connotation, standards, and evaluation’, </w:t>
      </w:r>
      <w:r>
        <w:rPr>
          <w:rFonts w:hint="default" w:ascii="Times New Roman Italic" w:hAnsi="Times New Roman Italic" w:cs="Times New Roman Italic"/>
          <w:i/>
          <w:iCs/>
          <w:kern w:val="2"/>
          <w:sz w:val="21"/>
          <w:szCs w:val="24"/>
          <w:lang w:val="en-US" w:eastAsia="zh-CN" w:bidi="ar-SA"/>
        </w:rPr>
        <w:t>E-education Research</w:t>
      </w:r>
      <w:r>
        <w:rPr>
          <w:rFonts w:hint="default" w:ascii="Times New Roman Regular" w:hAnsi="Times New Roman Regular" w:cs="Times New Roman Regular"/>
          <w:kern w:val="2"/>
          <w:sz w:val="21"/>
          <w:szCs w:val="24"/>
          <w:lang w:val="en-US" w:eastAsia="zh-CN" w:bidi="ar-SA"/>
        </w:rPr>
        <w:t xml:space="preserve">, 8(364), pp. 108-128. Available at: </w:t>
      </w:r>
      <w:r>
        <w:rPr>
          <w:rFonts w:hint="default" w:ascii="Times New Roman Regular" w:hAnsi="Times New Roman Regular" w:cs="Times New Roman Regular"/>
          <w:kern w:val="2"/>
          <w:sz w:val="21"/>
          <w:szCs w:val="24"/>
          <w:lang w:val="en-US" w:eastAsia="zh-CN" w:bidi="ar-SA"/>
        </w:rPr>
        <w:fldChar w:fldCharType="begin"/>
      </w:r>
      <w:r>
        <w:rPr>
          <w:rFonts w:hint="default" w:ascii="Times New Roman Regular" w:hAnsi="Times New Roman Regular" w:cs="Times New Roman Regular"/>
          <w:kern w:val="2"/>
          <w:sz w:val="21"/>
          <w:szCs w:val="24"/>
          <w:lang w:val="en-US" w:eastAsia="zh-CN" w:bidi="ar-SA"/>
        </w:rPr>
        <w:instrText xml:space="preserve"> HYPERLINK "https://doi.org/10.13811/j.cnki.eer.2023.08.015." </w:instrText>
      </w:r>
      <w:r>
        <w:rPr>
          <w:rFonts w:hint="default" w:ascii="Times New Roman Regular" w:hAnsi="Times New Roman Regular" w:cs="Times New Roman Regular"/>
          <w:kern w:val="2"/>
          <w:sz w:val="21"/>
          <w:szCs w:val="24"/>
          <w:lang w:val="en-US" w:eastAsia="zh-CN" w:bidi="ar-SA"/>
        </w:rPr>
        <w:fldChar w:fldCharType="separate"/>
      </w:r>
      <w:r>
        <w:rPr>
          <w:rStyle w:val="9"/>
          <w:rFonts w:hint="default" w:ascii="Times New Roman Regular" w:hAnsi="Times New Roman Regular" w:cs="Times New Roman Regular"/>
          <w:kern w:val="2"/>
          <w:sz w:val="21"/>
          <w:szCs w:val="24"/>
          <w:lang w:val="en-US" w:eastAsia="zh-CN" w:bidi="ar-SA"/>
        </w:rPr>
        <w:t>https://doi.org/10.13811/j.cnki.eer.2023.08.015.</w:t>
      </w:r>
      <w:r>
        <w:rPr>
          <w:rStyle w:val="9"/>
          <w:rFonts w:hint="default" w:ascii="Times New Roman Regular" w:hAnsi="Times New Roman Regular" w:cs="Times New Roman Regular"/>
          <w:kern w:val="2"/>
          <w:sz w:val="21"/>
          <w:szCs w:val="24"/>
          <w:lang w:val="en-US" w:eastAsia="zh-CN" w:bidi="ar-SA"/>
        </w:rPr>
        <w:br w:type="textWrapping"/>
      </w:r>
      <w:r>
        <w:rPr>
          <w:rFonts w:hint="default" w:ascii="Times New Roman Regular" w:hAnsi="Times New Roman Regular" w:cs="Times New Roman Regular"/>
          <w:kern w:val="2"/>
          <w:sz w:val="21"/>
          <w:szCs w:val="24"/>
          <w:lang w:val="en-US" w:eastAsia="zh-CN" w:bidi="ar-SA"/>
        </w:rPr>
        <w:fldChar w:fldCharType="end"/>
      </w:r>
      <w:r>
        <w:rPr>
          <w:rFonts w:hint="default" w:ascii="Times New Roman Regular" w:hAnsi="Times New Roman Regular" w:cs="Times New Roman Regular"/>
          <w:kern w:val="2"/>
          <w:sz w:val="21"/>
          <w:szCs w:val="24"/>
          <w:lang w:val="en-US" w:eastAsia="zh-CN" w:bidi="ar-SA"/>
        </w:rPr>
        <w:t>doi:10.13811/j.cnki.eer.2023.08.015</w:t>
      </w:r>
    </w:p>
    <w:p>
      <w:pPr>
        <w:widowControl w:val="0"/>
        <w:numPr>
          <w:ilvl w:val="0"/>
          <w:numId w:val="0"/>
        </w:numPr>
        <w:ind w:left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kern w:val="2"/>
          <w:sz w:val="21"/>
          <w:szCs w:val="24"/>
          <w:lang w:val="en-US" w:eastAsia="zh-CN" w:bidi="ar-SA"/>
        </w:rPr>
        <w:t>教师数字素养:内涵、标准与评价</w:t>
      </w:r>
      <w:r>
        <w:rPr>
          <w:rFonts w:hint="default" w:ascii="Times New Roman Regular" w:hAnsi="Times New Roman Regular" w:cs="Times New Roman Regular"/>
          <w:lang w:val="en-US" w:eastAsia="zh-CN"/>
        </w:rPr>
        <w:t xml:space="preserve"> </w:t>
      </w:r>
    </w:p>
    <w:p>
      <w:pPr>
        <w:widowControl w:val="0"/>
        <w:numPr>
          <w:ilvl w:val="0"/>
          <w:numId w:val="0"/>
        </w:numPr>
        <w:ind w:leftChars="0"/>
        <w:jc w:val="left"/>
        <w:rPr>
          <w:rFonts w:hint="default" w:ascii="Times New Roman Regular" w:hAnsi="Times New Roman Regular" w:cs="Times New Roman Regular"/>
          <w:lang w:val="en-US" w:eastAsia="zh-CN"/>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Zhang, J. and Guo, J. (2023) ‘Improving digital literacy of rural primary and secondary school teachers: Value implications, challenges, and strategy analysis’,</w:t>
      </w:r>
      <w:r>
        <w:rPr>
          <w:rFonts w:hint="default" w:ascii="Times New Roman Italic" w:hAnsi="Times New Roman Italic" w:cs="Times New Roman Italic" w:eastAsiaTheme="minorEastAsia"/>
          <w:i/>
          <w:iCs/>
          <w:kern w:val="2"/>
          <w:sz w:val="21"/>
          <w:szCs w:val="24"/>
          <w:lang w:val="en-US" w:eastAsia="zh-CN" w:bidi="ar-SA"/>
        </w:rPr>
        <w:t xml:space="preserve"> E-Learning Education Research</w:t>
      </w:r>
      <w:r>
        <w:rPr>
          <w:rFonts w:hint="default" w:ascii="Times New Roman Regular" w:hAnsi="Times New Roman Regular" w:cs="Times New Roman Regular" w:eastAsiaTheme="minorEastAsia"/>
          <w:kern w:val="2"/>
          <w:sz w:val="21"/>
          <w:szCs w:val="24"/>
          <w:lang w:val="en-US" w:eastAsia="zh-CN" w:bidi="ar-SA"/>
        </w:rPr>
        <w:t xml:space="preserve">, 8(364), pp. 122–128. </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doi</w:t>
      </w:r>
      <w:r>
        <w:rPr>
          <w:rFonts w:hint="default" w:ascii="Times New Roman Regular" w:hAnsi="Times New Roman Regular" w:cs="Times New Roman Regular" w:eastAsiaTheme="minorEastAsia"/>
          <w:kern w:val="2"/>
          <w:sz w:val="21"/>
          <w:szCs w:val="24"/>
          <w:lang w:val="en-US" w:eastAsia="zh-CN" w:bidi="ar-SA"/>
        </w:rPr>
        <w:t>:10.13811/j.cnki.eer.2023.08.017</w:t>
      </w:r>
      <w:r>
        <w:rPr>
          <w:rFonts w:hint="default" w:ascii="Times New Roman Regular" w:hAnsi="Times New Roman Regular" w:cs="Times New Roman Regular"/>
          <w:kern w:val="2"/>
          <w:sz w:val="21"/>
          <w:szCs w:val="24"/>
          <w:lang w:val="en-US" w:eastAsia="zh-CN" w:bidi="ar-SA"/>
        </w:rPr>
        <w:t xml:space="preserve">  </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农村中小学教师数字素养提升:价值意蕴、现实困境及策略探析</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 xml:space="preserve">Zhou, L., Zhang, M. and Zhang, C. (2023) ‘Cultivating teachers’ digital literacy in the context of digital transformation: contemporary significance, practical challenges, and breakthrough paths’, </w:t>
      </w:r>
      <w:r>
        <w:rPr>
          <w:rFonts w:hint="default" w:ascii="Times New Roman Italic" w:hAnsi="Times New Roman Italic" w:cs="Times New Roman Italic"/>
          <w:i/>
          <w:iCs/>
          <w:kern w:val="2"/>
          <w:sz w:val="21"/>
          <w:szCs w:val="24"/>
          <w:lang w:val="en-US" w:eastAsia="zh-CN" w:bidi="ar-SA"/>
        </w:rPr>
        <w:t>China Educational Technology</w:t>
      </w:r>
      <w:r>
        <w:rPr>
          <w:rFonts w:hint="default" w:ascii="Times New Roman Regular" w:hAnsi="Times New Roman Regular" w:cs="Times New Roman Regular"/>
          <w:kern w:val="2"/>
          <w:sz w:val="21"/>
          <w:szCs w:val="24"/>
          <w:lang w:val="en-US" w:eastAsia="zh-CN" w:bidi="ar-SA"/>
        </w:rPr>
        <w:t xml:space="preserve">, 10, pp. 98-105. </w:t>
      </w:r>
    </w:p>
    <w:p>
      <w:pPr>
        <w:keepNext w:val="0"/>
        <w:keepLines w:val="0"/>
        <w:widowControl/>
        <w:suppressLineNumbers w:val="0"/>
        <w:jc w:val="left"/>
        <w:rPr>
          <w:rFonts w:hint="default" w:ascii="Times New Roman Regular" w:hAnsi="Times New Roman Regular" w:cs="Times New Roman Regular" w:eastAsiaTheme="minorEastAsia"/>
          <w:kern w:val="2"/>
          <w:sz w:val="21"/>
          <w:szCs w:val="24"/>
          <w:lang w:val="en-US" w:eastAsia="zh-CN" w:bidi="ar-SA"/>
        </w:rPr>
      </w:pPr>
      <w:r>
        <w:rPr>
          <w:rFonts w:hint="default" w:ascii="Times New Roman Regular" w:hAnsi="Times New Roman Regular" w:cs="Times New Roman Regular" w:eastAsiaTheme="minorEastAsia"/>
          <w:kern w:val="2"/>
          <w:sz w:val="21"/>
          <w:szCs w:val="24"/>
          <w:lang w:val="en-US" w:eastAsia="zh-CN" w:bidi="ar-SA"/>
        </w:rPr>
        <w:t>doi:CNKI:SUN:ZDJY.0.2023-10-011</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r>
        <w:rPr>
          <w:rFonts w:hint="default" w:ascii="Times New Roman Regular" w:hAnsi="Times New Roman Regular" w:cs="Times New Roman Regular"/>
          <w:kern w:val="2"/>
          <w:sz w:val="21"/>
          <w:szCs w:val="24"/>
          <w:lang w:val="en-US" w:eastAsia="zh-CN" w:bidi="ar-SA"/>
        </w:rPr>
        <w:t>数字化转型背景下教师数字素养培育: 时代价值、现实困境与突破路径</w:t>
      </w:r>
    </w:p>
    <w:p>
      <w:pPr>
        <w:pStyle w:val="3"/>
        <w:keepNext w:val="0"/>
        <w:keepLines w:val="0"/>
        <w:widowControl/>
        <w:suppressLineNumbers w:val="0"/>
        <w:spacing w:before="0" w:beforeAutospacing="0" w:after="0" w:afterAutospacing="0"/>
        <w:ind w:left="0" w:right="0"/>
        <w:jc w:val="left"/>
        <w:rPr>
          <w:rFonts w:hint="default" w:ascii="Times New Roman Regular" w:hAnsi="Times New Roman Regular" w:cs="Times New Roman Regular"/>
          <w:kern w:val="2"/>
          <w:sz w:val="21"/>
          <w:szCs w:val="24"/>
          <w:lang w:val="en-US" w:eastAsia="zh-CN" w:bidi="ar-SA"/>
        </w:rPr>
      </w:pPr>
    </w:p>
    <w:p>
      <w:pPr>
        <w:widowControl w:val="0"/>
        <w:numPr>
          <w:ilvl w:val="0"/>
          <w:numId w:val="0"/>
        </w:numPr>
        <w:ind w:leftChars="0"/>
        <w:jc w:val="both"/>
        <w:rPr>
          <w:rFonts w:hint="default" w:ascii="Times New Roman Regular" w:hAnsi="Times New Roman Regular" w:cs="Times New Roman Regular"/>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helvetica">
    <w:panose1 w:val="00000000000000000000"/>
    <w:charset w:val="00"/>
    <w:family w:val="auto"/>
    <w:pitch w:val="default"/>
    <w:sig w:usb0="E00002FF" w:usb1="5000785B" w:usb2="00000000" w:usb3="00000000" w:csb0="2000019F" w:csb1="4F010000"/>
  </w:font>
  <w:font w:name="arial">
    <w:panose1 w:val="020B0604020202090204"/>
    <w:charset w:val="00"/>
    <w:family w:val="auto"/>
    <w:pitch w:val="default"/>
    <w:sig w:usb0="E0000AFF" w:usb1="00007843" w:usb2="00000001" w:usb3="00000000" w:csb0="400001BF" w:csb1="DFF70000"/>
  </w:font>
  <w:font w:name="Times New Roman Regular">
    <w:panose1 w:val="02020703060505090304"/>
    <w:charset w:val="00"/>
    <w:family w:val="auto"/>
    <w:pitch w:val="default"/>
    <w:sig w:usb0="E0000AFF" w:usb1="00007843" w:usb2="00000001" w:usb3="00000000" w:csb0="400001BF" w:csb1="DFF70000"/>
  </w:font>
  <w:font w:name="Times New Roman Bold">
    <w:panose1 w:val="02020703060505090304"/>
    <w:charset w:val="00"/>
    <w:family w:val="auto"/>
    <w:pitch w:val="default"/>
    <w:sig w:usb0="E0000AFF" w:usb1="00007843" w:usb2="00000001" w:usb3="00000000" w:csb0="400001BF" w:csb1="DFF70000"/>
  </w:font>
  <w:font w:name="Times New Roman Italic">
    <w:panose1 w:val="02020703060505090304"/>
    <w:charset w:val="00"/>
    <w:family w:val="auto"/>
    <w:pitch w:val="default"/>
    <w:sig w:usb0="E0000AFF" w:usb1="00007843" w:usb2="00000001" w:usb3="00000000" w:csb0="400001BF" w:csb1="DFF7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FE2454"/>
    <w:multiLevelType w:val="singleLevel"/>
    <w:tmpl w:val="A6FE2454"/>
    <w:lvl w:ilvl="0" w:tentative="0">
      <w:start w:val="1"/>
      <w:numFmt w:val="decimal"/>
      <w:suff w:val="space"/>
      <w:lvlText w:val="%1)"/>
      <w:lvlJc w:val="left"/>
    </w:lvl>
  </w:abstractNum>
  <w:abstractNum w:abstractNumId="1">
    <w:nsid w:val="AD6E1E69"/>
    <w:multiLevelType w:val="singleLevel"/>
    <w:tmpl w:val="AD6E1E69"/>
    <w:lvl w:ilvl="0" w:tentative="0">
      <w:start w:val="1"/>
      <w:numFmt w:val="decimal"/>
      <w:suff w:val="space"/>
      <w:lvlText w:val="%1."/>
      <w:lvlJc w:val="left"/>
    </w:lvl>
  </w:abstractNum>
  <w:abstractNum w:abstractNumId="2">
    <w:nsid w:val="DDDE2A88"/>
    <w:multiLevelType w:val="singleLevel"/>
    <w:tmpl w:val="DDDE2A88"/>
    <w:lvl w:ilvl="0" w:tentative="0">
      <w:start w:val="1"/>
      <w:numFmt w:val="decimal"/>
      <w:suff w:val="space"/>
      <w:lvlText w:val="%1."/>
      <w:lvlJc w:val="left"/>
    </w:lvl>
  </w:abstractNum>
  <w:abstractNum w:abstractNumId="3">
    <w:nsid w:val="FAFFDAE7"/>
    <w:multiLevelType w:val="singleLevel"/>
    <w:tmpl w:val="FAFFDAE7"/>
    <w:lvl w:ilvl="0" w:tentative="0">
      <w:start w:val="1"/>
      <w:numFmt w:val="decimal"/>
      <w:suff w:val="space"/>
      <w:lvlText w:val="%1."/>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AF816C9"/>
    <w:rsid w:val="2BEF42CF"/>
    <w:rsid w:val="33D78F12"/>
    <w:rsid w:val="38FC52E5"/>
    <w:rsid w:val="3BDF2E2B"/>
    <w:rsid w:val="3FDDE02F"/>
    <w:rsid w:val="55BE001C"/>
    <w:rsid w:val="57EFE300"/>
    <w:rsid w:val="5B69476D"/>
    <w:rsid w:val="5CFF1FD5"/>
    <w:rsid w:val="5D6E5260"/>
    <w:rsid w:val="5FFB3A9A"/>
    <w:rsid w:val="66D12F97"/>
    <w:rsid w:val="6DD89053"/>
    <w:rsid w:val="6DDD80C6"/>
    <w:rsid w:val="6EE9E979"/>
    <w:rsid w:val="71FEF524"/>
    <w:rsid w:val="777B66C1"/>
    <w:rsid w:val="77F90DB2"/>
    <w:rsid w:val="7CBF6C69"/>
    <w:rsid w:val="7CDEDB20"/>
    <w:rsid w:val="7CDFF100"/>
    <w:rsid w:val="7E4568B5"/>
    <w:rsid w:val="7E9B5789"/>
    <w:rsid w:val="7EF7F9A3"/>
    <w:rsid w:val="7F36366C"/>
    <w:rsid w:val="7F7D75E9"/>
    <w:rsid w:val="7F7ECDD4"/>
    <w:rsid w:val="7FECD660"/>
    <w:rsid w:val="7FF7B72F"/>
    <w:rsid w:val="8DBBFF14"/>
    <w:rsid w:val="94FF2456"/>
    <w:rsid w:val="9BF74273"/>
    <w:rsid w:val="9DFFBBAE"/>
    <w:rsid w:val="9F3EB1C7"/>
    <w:rsid w:val="AF787EFF"/>
    <w:rsid w:val="BCF5F884"/>
    <w:rsid w:val="BEAF2114"/>
    <w:rsid w:val="BF7B269B"/>
    <w:rsid w:val="BFFFEF3D"/>
    <w:rsid w:val="CDF6C36E"/>
    <w:rsid w:val="CFA5CC2D"/>
    <w:rsid w:val="CFDE2EB1"/>
    <w:rsid w:val="D71DF46F"/>
    <w:rsid w:val="DA7F104B"/>
    <w:rsid w:val="DB630784"/>
    <w:rsid w:val="DB9FC677"/>
    <w:rsid w:val="DD613D16"/>
    <w:rsid w:val="DDEFA96E"/>
    <w:rsid w:val="DF5F611D"/>
    <w:rsid w:val="E75B3C83"/>
    <w:rsid w:val="EAF816C9"/>
    <w:rsid w:val="EAFF4BD9"/>
    <w:rsid w:val="EDFDCCF5"/>
    <w:rsid w:val="EE641500"/>
    <w:rsid w:val="EFFEBDA4"/>
    <w:rsid w:val="F51FB684"/>
    <w:rsid w:val="F6BAEC34"/>
    <w:rsid w:val="F6BBC26D"/>
    <w:rsid w:val="F6FFD9E2"/>
    <w:rsid w:val="F76FAF86"/>
    <w:rsid w:val="F7AFB120"/>
    <w:rsid w:val="F7F968DA"/>
    <w:rsid w:val="FA3BEE4B"/>
    <w:rsid w:val="FA4F739B"/>
    <w:rsid w:val="FACDA8C6"/>
    <w:rsid w:val="FBCD734C"/>
    <w:rsid w:val="FD5FA878"/>
    <w:rsid w:val="FDDFC7D6"/>
    <w:rsid w:val="FDDFEE3D"/>
    <w:rsid w:val="FE519EF5"/>
    <w:rsid w:val="FFFF0292"/>
    <w:rsid w:val="FFFFAE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FollowedHyperlink"/>
    <w:basedOn w:val="6"/>
    <w:uiPriority w:val="0"/>
    <w:rPr>
      <w:color w:val="800080"/>
      <w:u w:val="single"/>
    </w:rPr>
  </w:style>
  <w:style w:type="character" w:styleId="8">
    <w:name w:val="Emphasis"/>
    <w:basedOn w:val="6"/>
    <w:qFormat/>
    <w:uiPriority w:val="0"/>
    <w:rPr>
      <w:i/>
    </w:rPr>
  </w:style>
  <w:style w:type="character" w:styleId="9">
    <w:name w:val="Hyperlink"/>
    <w:basedOn w:val="6"/>
    <w:uiPriority w:val="0"/>
    <w:rPr>
      <w:color w:val="0000FF"/>
      <w:u w:val="single"/>
    </w:rPr>
  </w:style>
  <w:style w:type="paragraph" w:customStyle="1" w:styleId="10">
    <w:name w:val="p1"/>
    <w:basedOn w:val="1"/>
    <w:uiPriority w:val="0"/>
    <w:pPr>
      <w:spacing w:before="0" w:beforeAutospacing="0" w:after="0" w:afterAutospacing="0"/>
      <w:ind w:left="0" w:right="0"/>
      <w:jc w:val="left"/>
    </w:pPr>
    <w:rPr>
      <w:rFonts w:ascii="helvetica" w:hAnsi="helvetica" w:eastAsia="helvetica" w:cs="helvetica"/>
      <w:color w:val="3C3C3E"/>
      <w:kern w:val="0"/>
      <w:sz w:val="22"/>
      <w:szCs w:val="22"/>
      <w:lang w:val="en-US" w:eastAsia="zh-CN" w:bidi="ar"/>
    </w:rPr>
  </w:style>
  <w:style w:type="paragraph" w:styleId="11">
    <w:name w:val="List Paragraph"/>
    <w:basedOn w:val="1"/>
    <w:qFormat/>
    <w:uiPriority w:val="34"/>
    <w:pPr>
      <w:ind w:left="720"/>
      <w:contextualSpacing/>
    </w:pPr>
  </w:style>
  <w:style w:type="character" w:customStyle="1" w:styleId="12">
    <w:name w:val="s1"/>
    <w:basedOn w:val="6"/>
    <w:uiPriority w:val="0"/>
    <w:rPr>
      <w:rFonts w:ascii="arial" w:hAnsi="arial" w:cs="arial"/>
      <w:sz w:val="36"/>
      <w:szCs w:val="36"/>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sv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18</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2024-11-04T01:24:00Z</dcterms:created>
  <dc:creator>anne</dc:creator>
  <cp:lastModifiedBy>anne</cp:lastModifiedBy>
  <dcterms:modified xsi:type="dcterms:W3CDTF">2025-01-05T11:13:39Z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B82C4D9A863E5690504F2767CFB86396_41</vt:lpwstr>
  </property>
</Properties>
</file>