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B47F224" wp14:paraId="0F27B39C" wp14:textId="00562BC7">
      <w:pPr>
        <w:spacing w:before="0" w:beforeAutospacing="off" w:after="160" w:afterAutospacing="off" w:line="276" w:lineRule="auto"/>
      </w:pPr>
      <w:r w:rsidRPr="5B47F224" w:rsidR="0892C5D9">
        <w:rPr>
          <w:rFonts w:ascii="Aptos" w:hAnsi="Aptos" w:eastAsia="Aptos" w:cs="Aptos"/>
          <w:noProof w:val="0"/>
          <w:sz w:val="24"/>
          <w:szCs w:val="24"/>
          <w:lang w:val="en-GB"/>
        </w:rPr>
        <w:t>SPEX coversheet</w:t>
      </w:r>
    </w:p>
    <w:p xmlns:wp14="http://schemas.microsoft.com/office/word/2010/wordml" w:rsidP="5B47F224" wp14:paraId="04008B00" wp14:textId="2125E263">
      <w:pPr>
        <w:spacing w:before="0" w:beforeAutospacing="off" w:after="160" w:afterAutospacing="off" w:line="276" w:lineRule="auto"/>
      </w:pPr>
      <w:r w:rsidRPr="5B47F224" w:rsidR="0892C5D9">
        <w:rPr>
          <w:rFonts w:ascii="Aptos" w:hAnsi="Aptos" w:eastAsia="Aptos" w:cs="Aptos"/>
          <w:noProof w:val="0"/>
          <w:sz w:val="24"/>
          <w:szCs w:val="24"/>
          <w:lang w:val="en-GB"/>
        </w:rPr>
        <w:t xml:space="preserve">Development of wrist guards using technology for injury prevention in gymnastics </w:t>
      </w:r>
    </w:p>
    <w:p xmlns:wp14="http://schemas.microsoft.com/office/word/2010/wordml" w:rsidP="5B47F224" wp14:paraId="1B8E9BE5" wp14:textId="6FC195EA">
      <w:pPr>
        <w:pStyle w:val="Heading1"/>
        <w:spacing w:before="360" w:beforeAutospacing="off" w:after="80" w:afterAutospacing="off" w:line="276" w:lineRule="auto"/>
      </w:pPr>
      <w:r w:rsidRPr="5B47F224" w:rsidR="0892C5D9">
        <w:rPr>
          <w:rFonts w:ascii="Aptos Display" w:hAnsi="Aptos Display" w:eastAsia="Aptos Display" w:cs="Aptos Display"/>
          <w:b w:val="1"/>
          <w:bCs w:val="1"/>
          <w:noProof w:val="0"/>
          <w:color w:val="0F4761" w:themeColor="accent1" w:themeTint="FF" w:themeShade="BF"/>
          <w:sz w:val="40"/>
          <w:szCs w:val="40"/>
          <w:lang w:val="en-GB"/>
        </w:rPr>
        <w:t>Background literature review</w:t>
      </w:r>
    </w:p>
    <w:p xmlns:wp14="http://schemas.microsoft.com/office/word/2010/wordml" w:rsidP="5B47F224" wp14:paraId="37BE46F6" wp14:textId="31D9B950">
      <w:pPr>
        <w:spacing w:before="0" w:beforeAutospacing="off" w:after="160" w:afterAutospacing="off" w:line="276" w:lineRule="auto"/>
      </w:pPr>
      <w:r w:rsidRPr="5B47F224" w:rsidR="0892C5D9">
        <w:rPr>
          <w:rFonts w:ascii="Aptos" w:hAnsi="Aptos" w:eastAsia="Aptos" w:cs="Aptos"/>
          <w:noProof w:val="0"/>
          <w:sz w:val="24"/>
          <w:szCs w:val="24"/>
          <w:lang w:val="en-GB"/>
        </w:rPr>
        <w:t>In the United States, there are approximately 3 million recreational gymnasts and 85,000 competitive gymnasts, with training schedules averaging 5 days per week and 5 hours per day (</w:t>
      </w:r>
      <w:r w:rsidRPr="5B47F224" w:rsidR="0892C5D9">
        <w:rPr>
          <w:rFonts w:ascii="Aptos" w:hAnsi="Aptos" w:eastAsia="Aptos" w:cs="Aptos"/>
          <w:noProof w:val="0"/>
          <w:color w:val="000000" w:themeColor="text1" w:themeTint="FF" w:themeShade="FF"/>
          <w:sz w:val="24"/>
          <w:szCs w:val="24"/>
          <w:vertAlign w:val="superscript"/>
          <w:lang w:val="en-GB"/>
        </w:rPr>
        <w:t>1</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2</w:t>
      </w:r>
      <w:r w:rsidRPr="5B47F224" w:rsidR="0892C5D9">
        <w:rPr>
          <w:rFonts w:ascii="Aptos" w:hAnsi="Aptos" w:eastAsia="Aptos" w:cs="Aptos"/>
          <w:noProof w:val="0"/>
          <w:sz w:val="24"/>
          <w:szCs w:val="24"/>
          <w:lang w:val="en-GB"/>
        </w:rPr>
        <w:t>). Gymnastics is a highly demanding sport that requires years of intense training, often beginning as early as 4 years old (</w:t>
      </w:r>
      <w:r w:rsidRPr="5B47F224" w:rsidR="0892C5D9">
        <w:rPr>
          <w:rFonts w:ascii="Aptos" w:hAnsi="Aptos" w:eastAsia="Aptos" w:cs="Aptos"/>
          <w:noProof w:val="0"/>
          <w:color w:val="000000" w:themeColor="text1" w:themeTint="FF" w:themeShade="FF"/>
          <w:sz w:val="24"/>
          <w:szCs w:val="24"/>
          <w:vertAlign w:val="superscript"/>
          <w:lang w:val="en-GB"/>
        </w:rPr>
        <w:t>1</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3</w:t>
      </w:r>
      <w:r w:rsidRPr="5B47F224" w:rsidR="0892C5D9">
        <w:rPr>
          <w:rFonts w:ascii="Aptos" w:hAnsi="Aptos" w:eastAsia="Aptos" w:cs="Aptos"/>
          <w:noProof w:val="0"/>
          <w:sz w:val="24"/>
          <w:szCs w:val="24"/>
          <w:lang w:val="en-GB"/>
        </w:rPr>
        <w:t>). Those at elite level can train up to 50 hours a week, and their peak competitive involvement is typically met in their teenage years (</w:t>
      </w:r>
      <w:r w:rsidRPr="5B47F224" w:rsidR="0892C5D9">
        <w:rPr>
          <w:rFonts w:ascii="Aptos" w:hAnsi="Aptos" w:eastAsia="Aptos" w:cs="Aptos"/>
          <w:noProof w:val="0"/>
          <w:color w:val="000000" w:themeColor="text1" w:themeTint="FF" w:themeShade="FF"/>
          <w:sz w:val="24"/>
          <w:szCs w:val="24"/>
          <w:vertAlign w:val="superscript"/>
          <w:lang w:val="en-GB"/>
        </w:rPr>
        <w:t>1</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3</w:t>
      </w:r>
      <w:r w:rsidRPr="5B47F224" w:rsidR="0892C5D9">
        <w:rPr>
          <w:rFonts w:ascii="Aptos" w:hAnsi="Aptos" w:eastAsia="Aptos" w:cs="Aptos"/>
          <w:noProof w:val="0"/>
          <w:sz w:val="24"/>
          <w:szCs w:val="24"/>
          <w:lang w:val="en-GB"/>
        </w:rPr>
        <w:t>).  With such high training loads, injury rates in gymnastics are among the highest in sports, even exceeding those in high-contact sports like football and ice hockey. At collegiate level, female gymnasts sustain injuries at a rate of 10.4 per 1000 athletic exposures (</w:t>
      </w:r>
      <w:r w:rsidRPr="5B47F224" w:rsidR="0892C5D9">
        <w:rPr>
          <w:rFonts w:ascii="Aptos" w:hAnsi="Aptos" w:eastAsia="Aptos" w:cs="Aptos"/>
          <w:noProof w:val="0"/>
          <w:color w:val="000000" w:themeColor="text1" w:themeTint="FF" w:themeShade="FF"/>
          <w:sz w:val="24"/>
          <w:szCs w:val="24"/>
          <w:vertAlign w:val="superscript"/>
          <w:lang w:val="en-GB"/>
        </w:rPr>
        <w:t>2</w:t>
      </w:r>
      <w:r w:rsidRPr="5B47F224" w:rsidR="0892C5D9">
        <w:rPr>
          <w:rFonts w:ascii="Aptos" w:hAnsi="Aptos" w:eastAsia="Aptos" w:cs="Aptos"/>
          <w:noProof w:val="0"/>
          <w:sz w:val="24"/>
          <w:szCs w:val="24"/>
          <w:lang w:val="en-GB"/>
        </w:rPr>
        <w:t>). Wrist injuries are particularly common due to the repetitive weight-bearing nature of the sport, especially in events like floor, vault, beam, and pommel horse (</w:t>
      </w:r>
      <w:r w:rsidRPr="5B47F224" w:rsidR="0892C5D9">
        <w:rPr>
          <w:rFonts w:ascii="Aptos" w:hAnsi="Aptos" w:eastAsia="Aptos" w:cs="Aptos"/>
          <w:noProof w:val="0"/>
          <w:color w:val="000000" w:themeColor="text1" w:themeTint="FF" w:themeShade="FF"/>
          <w:sz w:val="24"/>
          <w:szCs w:val="24"/>
          <w:vertAlign w:val="superscript"/>
          <w:lang w:val="en-GB"/>
        </w:rPr>
        <w:t>1</w:t>
      </w:r>
      <w:r w:rsidRPr="5B47F224" w:rsidR="0892C5D9">
        <w:rPr>
          <w:rFonts w:ascii="Aptos" w:hAnsi="Aptos" w:eastAsia="Aptos" w:cs="Aptos"/>
          <w:noProof w:val="0"/>
          <w:sz w:val="24"/>
          <w:szCs w:val="24"/>
          <w:lang w:val="en-GB"/>
        </w:rPr>
        <w:t>), where the wrist absorbs impact forces up to 16 times their body weight (</w:t>
      </w:r>
      <w:r w:rsidRPr="5B47F224" w:rsidR="0892C5D9">
        <w:rPr>
          <w:rFonts w:ascii="Aptos" w:hAnsi="Aptos" w:eastAsia="Aptos" w:cs="Aptos"/>
          <w:noProof w:val="0"/>
          <w:color w:val="000000" w:themeColor="text1" w:themeTint="FF" w:themeShade="FF"/>
          <w:sz w:val="24"/>
          <w:szCs w:val="24"/>
          <w:vertAlign w:val="superscript"/>
          <w:lang w:val="en-GB"/>
        </w:rPr>
        <w:t>4</w:t>
      </w:r>
      <w:r w:rsidRPr="5B47F224" w:rsidR="0892C5D9">
        <w:rPr>
          <w:rFonts w:ascii="Aptos" w:hAnsi="Aptos" w:eastAsia="Aptos" w:cs="Aptos"/>
          <w:noProof w:val="0"/>
          <w:sz w:val="24"/>
          <w:szCs w:val="24"/>
          <w:lang w:val="en-GB"/>
        </w:rPr>
        <w:t xml:space="preserve">). </w:t>
      </w:r>
      <w:r w:rsidRPr="5B47F224" w:rsidR="0892C5D9">
        <w:rPr>
          <w:rFonts w:ascii="Aptos" w:hAnsi="Aptos" w:eastAsia="Aptos" w:cs="Aptos"/>
          <w:noProof w:val="0"/>
          <w:color w:val="000000" w:themeColor="text1" w:themeTint="FF" w:themeShade="FF"/>
          <w:sz w:val="24"/>
          <w:szCs w:val="24"/>
          <w:lang w:val="en-GB"/>
        </w:rPr>
        <w:t>Injuries in gymnastics can be classified as either acute or chronic, with acute injuries occurring suddenly during training or competition. However, chronic injuries often develop over time due to ineffective recovery from previous injuries or the repeated use of improper techniques (</w:t>
      </w:r>
      <w:r w:rsidRPr="5B47F224" w:rsidR="0892C5D9">
        <w:rPr>
          <w:rFonts w:ascii="Aptos" w:hAnsi="Aptos" w:eastAsia="Aptos" w:cs="Aptos"/>
          <w:noProof w:val="0"/>
          <w:color w:val="000000" w:themeColor="text1" w:themeTint="FF" w:themeShade="FF"/>
          <w:sz w:val="24"/>
          <w:szCs w:val="24"/>
          <w:vertAlign w:val="superscript"/>
          <w:lang w:val="en-GB"/>
        </w:rPr>
        <w:t>3</w:t>
      </w:r>
      <w:r w:rsidRPr="5B47F224" w:rsidR="0892C5D9">
        <w:rPr>
          <w:rFonts w:ascii="Aptos" w:hAnsi="Aptos" w:eastAsia="Aptos" w:cs="Aptos"/>
          <w:noProof w:val="0"/>
          <w:color w:val="000000" w:themeColor="text1" w:themeTint="FF" w:themeShade="FF"/>
          <w:sz w:val="24"/>
          <w:szCs w:val="24"/>
          <w:lang w:val="en-GB"/>
        </w:rPr>
        <w:t>). Chronic wrist pain affects over 50% of young gymnasts, with nearly half experiencing symptoms for at least six months, and many continuing to struggle with pain for over a year (</w:t>
      </w:r>
      <w:r w:rsidRPr="5B47F224" w:rsidR="0892C5D9">
        <w:rPr>
          <w:rFonts w:ascii="Aptos" w:hAnsi="Aptos" w:eastAsia="Aptos" w:cs="Aptos"/>
          <w:noProof w:val="0"/>
          <w:color w:val="000000" w:themeColor="text1" w:themeTint="FF" w:themeShade="FF"/>
          <w:sz w:val="24"/>
          <w:szCs w:val="24"/>
          <w:vertAlign w:val="superscript"/>
          <w:lang w:val="en-GB"/>
        </w:rPr>
        <w:t>4</w:t>
      </w:r>
      <w:r w:rsidRPr="5B47F224" w:rsidR="0892C5D9">
        <w:rPr>
          <w:rFonts w:ascii="Aptos" w:hAnsi="Aptos" w:eastAsia="Aptos" w:cs="Aptos"/>
          <w:noProof w:val="0"/>
          <w:color w:val="000000" w:themeColor="text1" w:themeTint="FF" w:themeShade="FF"/>
          <w:sz w:val="24"/>
          <w:szCs w:val="24"/>
          <w:lang w:val="en-GB"/>
        </w:rPr>
        <w:t xml:space="preserve">). </w:t>
      </w:r>
    </w:p>
    <w:p xmlns:wp14="http://schemas.microsoft.com/office/word/2010/wordml" w:rsidP="5B47F224" wp14:paraId="4CE97D53" wp14:textId="13916557">
      <w:pPr>
        <w:spacing w:before="0" w:beforeAutospacing="off" w:after="160" w:afterAutospacing="off" w:line="276" w:lineRule="auto"/>
      </w:pPr>
      <w:r w:rsidRPr="5B47F224" w:rsidR="0892C5D9">
        <w:rPr>
          <w:rFonts w:ascii="Aptos" w:hAnsi="Aptos" w:eastAsia="Aptos" w:cs="Aptos"/>
          <w:noProof w:val="0"/>
          <w:sz w:val="24"/>
          <w:szCs w:val="24"/>
          <w:lang w:val="en-GB"/>
        </w:rPr>
        <w:t>Acute injuries include fractures, ligament tears, and scapholunate interosseous ligament (SLIL) injuries, which can result from a fall on an outstretched hand or excessive wrist extension and ulnar deviation (</w:t>
      </w:r>
      <w:r w:rsidRPr="5B47F224" w:rsidR="0892C5D9">
        <w:rPr>
          <w:rFonts w:ascii="Aptos" w:hAnsi="Aptos" w:eastAsia="Aptos" w:cs="Aptos"/>
          <w:noProof w:val="0"/>
          <w:color w:val="000000" w:themeColor="text1" w:themeTint="FF" w:themeShade="FF"/>
          <w:sz w:val="24"/>
          <w:szCs w:val="24"/>
          <w:vertAlign w:val="superscript"/>
          <w:lang w:val="en-GB"/>
        </w:rPr>
        <w:t>2</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3</w:t>
      </w:r>
      <w:r w:rsidRPr="5B47F224" w:rsidR="0892C5D9">
        <w:rPr>
          <w:rFonts w:ascii="Aptos" w:hAnsi="Aptos" w:eastAsia="Aptos" w:cs="Aptos"/>
          <w:noProof w:val="0"/>
          <w:sz w:val="24"/>
          <w:szCs w:val="24"/>
          <w:lang w:val="en-GB"/>
        </w:rPr>
        <w:t>). Chronic injuries include distal radial physis stress fractures, dorsal wrist impingement, scaphoid stress fractures, ganglia, and triangular fibrocartilage complex (TFCC) tears (</w:t>
      </w:r>
      <w:r w:rsidRPr="5B47F224" w:rsidR="0892C5D9">
        <w:rPr>
          <w:rFonts w:ascii="Aptos" w:hAnsi="Aptos" w:eastAsia="Aptos" w:cs="Aptos"/>
          <w:noProof w:val="0"/>
          <w:color w:val="000000" w:themeColor="text1" w:themeTint="FF" w:themeShade="FF"/>
          <w:sz w:val="24"/>
          <w:szCs w:val="24"/>
          <w:vertAlign w:val="superscript"/>
          <w:lang w:val="en-GB"/>
        </w:rPr>
        <w:t>2</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3</w:t>
      </w:r>
      <w:r w:rsidRPr="5B47F224" w:rsidR="0892C5D9">
        <w:rPr>
          <w:rFonts w:ascii="Aptos" w:hAnsi="Aptos" w:eastAsia="Aptos" w:cs="Aptos"/>
          <w:noProof w:val="0"/>
          <w:sz w:val="24"/>
          <w:szCs w:val="24"/>
          <w:lang w:val="en-GB"/>
        </w:rPr>
        <w:t>). The distal radius physis is particularly vulnerable in young gymnasts, as it bears most of the load during weight-bearing skills. This condition, often referred to as “gymnast wrist,” occurs due to repeated axial loading and hyperextension, leading to inflammation and possible fragmentation of the growth plate (</w:t>
      </w:r>
      <w:r w:rsidRPr="5B47F224" w:rsidR="0892C5D9">
        <w:rPr>
          <w:rFonts w:ascii="Aptos" w:hAnsi="Aptos" w:eastAsia="Aptos" w:cs="Aptos"/>
          <w:noProof w:val="0"/>
          <w:color w:val="000000" w:themeColor="text1" w:themeTint="FF" w:themeShade="FF"/>
          <w:sz w:val="24"/>
          <w:szCs w:val="24"/>
          <w:vertAlign w:val="superscript"/>
          <w:lang w:val="en-GB"/>
        </w:rPr>
        <w:t>2</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4</w:t>
      </w:r>
      <w:r w:rsidRPr="5B47F224" w:rsidR="0892C5D9">
        <w:rPr>
          <w:rFonts w:ascii="Aptos" w:hAnsi="Aptos" w:eastAsia="Aptos" w:cs="Aptos"/>
          <w:noProof w:val="0"/>
          <w:sz w:val="24"/>
          <w:szCs w:val="24"/>
          <w:lang w:val="en-GB"/>
        </w:rPr>
        <w:t>). If left untreated, it can result in premature closure of the physis, causing ulnar-positive variance, where the ulna continues to grow while the radius does not. This can alter wrist biomechanics, increasing the risk of TFCC (</w:t>
      </w:r>
      <w:r w:rsidRPr="5B47F224" w:rsidR="0892C5D9">
        <w:rPr>
          <w:rFonts w:ascii="Aptos" w:hAnsi="Aptos" w:eastAsia="Aptos" w:cs="Aptos"/>
          <w:noProof w:val="0"/>
          <w:color w:val="000000" w:themeColor="text1" w:themeTint="FF" w:themeShade="FF"/>
          <w:sz w:val="24"/>
          <w:szCs w:val="24"/>
          <w:vertAlign w:val="superscript"/>
          <w:lang w:val="en-GB"/>
        </w:rPr>
        <w:t>2</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4</w:t>
      </w:r>
      <w:r w:rsidRPr="5B47F224" w:rsidR="0892C5D9">
        <w:rPr>
          <w:rFonts w:ascii="Aptos" w:hAnsi="Aptos" w:eastAsia="Aptos" w:cs="Aptos"/>
          <w:noProof w:val="0"/>
          <w:sz w:val="24"/>
          <w:szCs w:val="24"/>
          <w:lang w:val="en-GB"/>
        </w:rPr>
        <w:t>). Dorsal wrist impingement results from chronic dorsiflexion stress, leading to capsular thickening, and soft tissue developing between the scaphoid and dorsal wrist capsule. This condition causes pain with wrist extension during high impact skills. Over time, repetitive stress may lead to ganglia, a fluid-filled cyst that develops along the wrist causing further discomfort (</w:t>
      </w:r>
      <w:r w:rsidRPr="5B47F224" w:rsidR="0892C5D9">
        <w:rPr>
          <w:rFonts w:ascii="Aptos" w:hAnsi="Aptos" w:eastAsia="Aptos" w:cs="Aptos"/>
          <w:noProof w:val="0"/>
          <w:color w:val="000000" w:themeColor="text1" w:themeTint="FF" w:themeShade="FF"/>
          <w:sz w:val="24"/>
          <w:szCs w:val="24"/>
          <w:vertAlign w:val="superscript"/>
          <w:lang w:val="en-GB"/>
        </w:rPr>
        <w:t>1</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2</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3</w:t>
      </w:r>
      <w:r w:rsidRPr="5B47F224" w:rsidR="0892C5D9">
        <w:rPr>
          <w:rFonts w:ascii="Aptos" w:hAnsi="Aptos" w:eastAsia="Aptos" w:cs="Aptos"/>
          <w:noProof w:val="0"/>
          <w:sz w:val="24"/>
          <w:szCs w:val="24"/>
          <w:lang w:val="en-GB"/>
        </w:rPr>
        <w:t>). The scaphoid bone is one of the most injured carpal bones, with fractures occurring from falls or repetitive dorsiflexion stress. In gymnasts, scaphoid stress fractures can develop over time due to repeated compressive loading against the radius, such as vaulting or tumbling activities (</w:t>
      </w:r>
      <w:r w:rsidRPr="5B47F224" w:rsidR="0892C5D9">
        <w:rPr>
          <w:rFonts w:ascii="Aptos" w:hAnsi="Aptos" w:eastAsia="Aptos" w:cs="Aptos"/>
          <w:noProof w:val="0"/>
          <w:color w:val="000000" w:themeColor="text1" w:themeTint="FF" w:themeShade="FF"/>
          <w:sz w:val="24"/>
          <w:szCs w:val="24"/>
          <w:vertAlign w:val="superscript"/>
          <w:lang w:val="en-GB"/>
        </w:rPr>
        <w:t>1</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5</w:t>
      </w:r>
      <w:r w:rsidRPr="5B47F224" w:rsidR="0892C5D9">
        <w:rPr>
          <w:rFonts w:ascii="Aptos" w:hAnsi="Aptos" w:eastAsia="Aptos" w:cs="Aptos"/>
          <w:noProof w:val="0"/>
          <w:sz w:val="24"/>
          <w:szCs w:val="24"/>
          <w:lang w:val="en-GB"/>
        </w:rPr>
        <w:t>). Ulnar-sided wrist pain is common in skeletally mature gymnasts, often resulting from TFCC. Similarly, scapholunate ligament injuries occur with excessive wrist extension (</w:t>
      </w:r>
      <w:r w:rsidRPr="5B47F224" w:rsidR="0892C5D9">
        <w:rPr>
          <w:rFonts w:ascii="Aptos" w:hAnsi="Aptos" w:eastAsia="Aptos" w:cs="Aptos"/>
          <w:noProof w:val="0"/>
          <w:color w:val="000000" w:themeColor="text1" w:themeTint="FF" w:themeShade="FF"/>
          <w:sz w:val="24"/>
          <w:szCs w:val="24"/>
          <w:vertAlign w:val="superscript"/>
          <w:lang w:val="en-GB"/>
        </w:rPr>
        <w:t>2</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6</w:t>
      </w:r>
      <w:r w:rsidRPr="5B47F224" w:rsidR="0892C5D9">
        <w:rPr>
          <w:rFonts w:ascii="Aptos" w:hAnsi="Aptos" w:eastAsia="Aptos" w:cs="Aptos"/>
          <w:noProof w:val="0"/>
          <w:sz w:val="24"/>
          <w:szCs w:val="24"/>
          <w:lang w:val="en-GB"/>
        </w:rPr>
        <w:t>). The literature on wrist injuries shows both similarities and differences in findings. Distal radial stress fractures are common in younger gymnasts and linked to repetitive loading (</w:t>
      </w:r>
      <w:r w:rsidRPr="5B47F224" w:rsidR="0892C5D9">
        <w:rPr>
          <w:rFonts w:ascii="Aptos" w:hAnsi="Aptos" w:eastAsia="Aptos" w:cs="Aptos"/>
          <w:noProof w:val="0"/>
          <w:color w:val="000000" w:themeColor="text1" w:themeTint="FF" w:themeShade="FF"/>
          <w:sz w:val="24"/>
          <w:szCs w:val="24"/>
          <w:vertAlign w:val="superscript"/>
          <w:lang w:val="en-GB"/>
        </w:rPr>
        <w:t>4</w:t>
      </w:r>
      <w:r w:rsidRPr="5B47F224" w:rsidR="0892C5D9">
        <w:rPr>
          <w:rFonts w:ascii="Aptos" w:hAnsi="Aptos" w:eastAsia="Aptos" w:cs="Aptos"/>
          <w:noProof w:val="0"/>
          <w:sz w:val="24"/>
          <w:szCs w:val="24"/>
          <w:lang w:val="en-GB"/>
        </w:rPr>
        <w:t>). However, studies vary in what causes them, with some focusing on poor technique and overtraining (</w:t>
      </w:r>
      <w:r w:rsidRPr="5B47F224" w:rsidR="0892C5D9">
        <w:rPr>
          <w:rFonts w:ascii="Aptos" w:hAnsi="Aptos" w:eastAsia="Aptos" w:cs="Aptos"/>
          <w:noProof w:val="0"/>
          <w:color w:val="000000" w:themeColor="text1" w:themeTint="FF" w:themeShade="FF"/>
          <w:sz w:val="24"/>
          <w:szCs w:val="24"/>
          <w:vertAlign w:val="superscript"/>
          <w:lang w:val="en-GB"/>
        </w:rPr>
        <w:t>1</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3</w:t>
      </w:r>
      <w:r w:rsidRPr="5B47F224" w:rsidR="0892C5D9">
        <w:rPr>
          <w:rFonts w:ascii="Aptos" w:hAnsi="Aptos" w:eastAsia="Aptos" w:cs="Aptos"/>
          <w:noProof w:val="0"/>
          <w:sz w:val="24"/>
          <w:szCs w:val="24"/>
          <w:lang w:val="en-GB"/>
        </w:rPr>
        <w:t>), while others highlight anatomical factors like positive ulnar variance (</w:t>
      </w:r>
      <w:r w:rsidRPr="5B47F224" w:rsidR="0892C5D9">
        <w:rPr>
          <w:rFonts w:ascii="Aptos" w:hAnsi="Aptos" w:eastAsia="Aptos" w:cs="Aptos"/>
          <w:noProof w:val="0"/>
          <w:color w:val="000000" w:themeColor="text1" w:themeTint="FF" w:themeShade="FF"/>
          <w:sz w:val="24"/>
          <w:szCs w:val="24"/>
          <w:vertAlign w:val="superscript"/>
          <w:lang w:val="en-GB"/>
        </w:rPr>
        <w:t>4</w:t>
      </w:r>
      <w:r w:rsidRPr="5B47F224" w:rsidR="0892C5D9">
        <w:rPr>
          <w:rFonts w:ascii="Aptos" w:hAnsi="Aptos" w:eastAsia="Aptos" w:cs="Aptos"/>
          <w:noProof w:val="0"/>
          <w:sz w:val="24"/>
          <w:szCs w:val="24"/>
          <w:lang w:val="en-GB"/>
        </w:rPr>
        <w:t>). These differences could come from varying diagnostic methods.</w:t>
      </w:r>
    </w:p>
    <w:p xmlns:wp14="http://schemas.microsoft.com/office/word/2010/wordml" w:rsidP="5B47F224" wp14:paraId="5A5F470E" wp14:textId="1D3D66D1">
      <w:pPr>
        <w:spacing w:before="0" w:beforeAutospacing="off" w:after="160" w:afterAutospacing="off" w:line="276" w:lineRule="auto"/>
      </w:pPr>
      <w:r w:rsidRPr="5B47F224" w:rsidR="0892C5D9">
        <w:rPr>
          <w:rFonts w:ascii="Aptos" w:hAnsi="Aptos" w:eastAsia="Aptos" w:cs="Aptos"/>
          <w:noProof w:val="0"/>
          <w:color w:val="000000" w:themeColor="text1" w:themeTint="FF" w:themeShade="FF"/>
          <w:sz w:val="24"/>
          <w:szCs w:val="24"/>
          <w:lang w:val="en-GB"/>
        </w:rPr>
        <w:t>Wrist injuries are a common injury in gymnastics, particularly for elite gymnasts. Studies show that up to 88% of gymnasts experience wrist pain, with the risk increasing with higher training hours, age and skill level (</w:t>
      </w:r>
      <w:r w:rsidRPr="5B47F224" w:rsidR="0892C5D9">
        <w:rPr>
          <w:rFonts w:ascii="Aptos" w:hAnsi="Aptos" w:eastAsia="Aptos" w:cs="Aptos"/>
          <w:noProof w:val="0"/>
          <w:color w:val="000000" w:themeColor="text1" w:themeTint="FF" w:themeShade="FF"/>
          <w:sz w:val="24"/>
          <w:szCs w:val="24"/>
          <w:vertAlign w:val="superscript"/>
          <w:lang w:val="en-GB"/>
        </w:rPr>
        <w:t>1</w:t>
      </w:r>
      <w:r w:rsidRPr="5B47F224" w:rsidR="0892C5D9">
        <w:rPr>
          <w:rFonts w:ascii="Aptos" w:hAnsi="Aptos" w:eastAsia="Aptos" w:cs="Aptos"/>
          <w:noProof w:val="0"/>
          <w:color w:val="000000" w:themeColor="text1" w:themeTint="FF" w:themeShade="FF"/>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3</w:t>
      </w:r>
      <w:r w:rsidRPr="5B47F224" w:rsidR="0892C5D9">
        <w:rPr>
          <w:rFonts w:ascii="Aptos" w:hAnsi="Aptos" w:eastAsia="Aptos" w:cs="Aptos"/>
          <w:noProof w:val="0"/>
          <w:color w:val="000000" w:themeColor="text1" w:themeTint="FF" w:themeShade="FF"/>
          <w:sz w:val="24"/>
          <w:szCs w:val="24"/>
          <w:lang w:val="en-GB"/>
        </w:rPr>
        <w:t>). The biomechanical stresses involved in gymnastics, such as repetitive axial compression, forces and hyperextension make the wrist more vulnerable to injuries, specifically in events like tumbling and vaulting (</w:t>
      </w:r>
      <w:r w:rsidRPr="5B47F224" w:rsidR="0892C5D9">
        <w:rPr>
          <w:rFonts w:ascii="Aptos" w:hAnsi="Aptos" w:eastAsia="Aptos" w:cs="Aptos"/>
          <w:noProof w:val="0"/>
          <w:color w:val="000000" w:themeColor="text1" w:themeTint="FF" w:themeShade="FF"/>
          <w:sz w:val="24"/>
          <w:szCs w:val="24"/>
          <w:vertAlign w:val="superscript"/>
          <w:lang w:val="en-GB"/>
        </w:rPr>
        <w:t>2</w:t>
      </w:r>
      <w:r w:rsidRPr="5B47F224" w:rsidR="0892C5D9">
        <w:rPr>
          <w:rFonts w:ascii="Aptos" w:hAnsi="Aptos" w:eastAsia="Aptos" w:cs="Aptos"/>
          <w:noProof w:val="0"/>
          <w:color w:val="000000" w:themeColor="text1" w:themeTint="FF" w:themeShade="FF"/>
          <w:sz w:val="24"/>
          <w:szCs w:val="24"/>
          <w:lang w:val="en-GB"/>
        </w:rPr>
        <w:t>). Chronic wrist pain often interferes with training, reducing repetitions, and sometimes causing gymnasts to miss sessions. In some cases, pain can last for over a year, significantly affecting performance and progression (</w:t>
      </w:r>
      <w:r w:rsidRPr="5B47F224" w:rsidR="0892C5D9">
        <w:rPr>
          <w:rFonts w:ascii="Aptos" w:hAnsi="Aptos" w:eastAsia="Aptos" w:cs="Aptos"/>
          <w:noProof w:val="0"/>
          <w:color w:val="000000" w:themeColor="text1" w:themeTint="FF" w:themeShade="FF"/>
          <w:sz w:val="24"/>
          <w:szCs w:val="24"/>
          <w:vertAlign w:val="superscript"/>
          <w:lang w:val="en-GB"/>
        </w:rPr>
        <w:t>4</w:t>
      </w:r>
      <w:r w:rsidRPr="5B47F224" w:rsidR="0892C5D9">
        <w:rPr>
          <w:rFonts w:ascii="Aptos" w:hAnsi="Aptos" w:eastAsia="Aptos" w:cs="Aptos"/>
          <w:noProof w:val="0"/>
          <w:color w:val="000000" w:themeColor="text1" w:themeTint="FF" w:themeShade="FF"/>
          <w:sz w:val="24"/>
          <w:szCs w:val="24"/>
          <w:lang w:val="en-GB"/>
        </w:rPr>
        <w:t>). Due to the common occurrence of wrist injuries and the long-lasting impact on gymnasts, this injury could be considered a natural result of the sport. This emphasises the need for improved injury prevention strategies and wrist support mechanisms (</w:t>
      </w:r>
      <w:r w:rsidRPr="5B47F224" w:rsidR="0892C5D9">
        <w:rPr>
          <w:rFonts w:ascii="Aptos" w:hAnsi="Aptos" w:eastAsia="Aptos" w:cs="Aptos"/>
          <w:noProof w:val="0"/>
          <w:color w:val="000000" w:themeColor="text1" w:themeTint="FF" w:themeShade="FF"/>
          <w:sz w:val="24"/>
          <w:szCs w:val="24"/>
          <w:vertAlign w:val="superscript"/>
          <w:lang w:val="en-GB"/>
        </w:rPr>
        <w:t>6</w:t>
      </w:r>
      <w:r w:rsidRPr="5B47F224" w:rsidR="0892C5D9">
        <w:rPr>
          <w:rFonts w:ascii="Aptos" w:hAnsi="Aptos" w:eastAsia="Aptos" w:cs="Aptos"/>
          <w:noProof w:val="0"/>
          <w:color w:val="000000" w:themeColor="text1" w:themeTint="FF" w:themeShade="FF"/>
          <w:sz w:val="24"/>
          <w:szCs w:val="24"/>
          <w:lang w:val="en-GB"/>
        </w:rPr>
        <w:t>).</w:t>
      </w:r>
    </w:p>
    <w:p xmlns:wp14="http://schemas.microsoft.com/office/word/2010/wordml" w:rsidP="5B47F224" wp14:paraId="7333425C" wp14:textId="6201EBC6">
      <w:pPr>
        <w:spacing w:before="0" w:beforeAutospacing="off" w:after="160" w:afterAutospacing="off" w:line="276" w:lineRule="auto"/>
      </w:pPr>
      <w:r w:rsidRPr="5B47F224" w:rsidR="0892C5D9">
        <w:rPr>
          <w:rFonts w:ascii="Aptos" w:hAnsi="Aptos" w:eastAsia="Aptos" w:cs="Aptos"/>
          <w:noProof w:val="0"/>
          <w:sz w:val="24"/>
          <w:szCs w:val="24"/>
          <w:lang w:val="en-GB"/>
        </w:rPr>
        <w:t>Monitoring and managing wrist injuries in gymnasts is crucial for preventing long-term complications and ensuring a safe return to competition. Elite gymnasts face challenges in treating chronic wrist injuries, as they often continue to train despite ongoing symptoms (</w:t>
      </w:r>
      <w:r w:rsidRPr="5B47F224" w:rsidR="0892C5D9">
        <w:rPr>
          <w:rFonts w:ascii="Aptos" w:hAnsi="Aptos" w:eastAsia="Aptos" w:cs="Aptos"/>
          <w:noProof w:val="0"/>
          <w:color w:val="000000" w:themeColor="text1" w:themeTint="FF" w:themeShade="FF"/>
          <w:sz w:val="24"/>
          <w:szCs w:val="24"/>
          <w:vertAlign w:val="superscript"/>
          <w:lang w:val="en-GB"/>
        </w:rPr>
        <w:t>1</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3</w:t>
      </w:r>
      <w:r w:rsidRPr="5B47F224" w:rsidR="0892C5D9">
        <w:rPr>
          <w:rFonts w:ascii="Aptos" w:hAnsi="Aptos" w:eastAsia="Aptos" w:cs="Aptos"/>
          <w:noProof w:val="0"/>
          <w:sz w:val="24"/>
          <w:szCs w:val="24"/>
          <w:lang w:val="en-GB"/>
        </w:rPr>
        <w:t>). In younger gymnasts, ages 10 to 14, wrist pain is more common due to the intense training loads. If not properly addressed, this pain can lead to irreversible damage (</w:t>
      </w:r>
      <w:r w:rsidRPr="5B47F224" w:rsidR="0892C5D9">
        <w:rPr>
          <w:rFonts w:ascii="Aptos" w:hAnsi="Aptos" w:eastAsia="Aptos" w:cs="Aptos"/>
          <w:noProof w:val="0"/>
          <w:color w:val="000000" w:themeColor="text1" w:themeTint="FF" w:themeShade="FF"/>
          <w:sz w:val="24"/>
          <w:szCs w:val="24"/>
          <w:vertAlign w:val="superscript"/>
          <w:lang w:val="en-GB"/>
        </w:rPr>
        <w:t>7</w:t>
      </w:r>
      <w:r w:rsidRPr="5B47F224" w:rsidR="0892C5D9">
        <w:rPr>
          <w:rFonts w:ascii="Aptos" w:hAnsi="Aptos" w:eastAsia="Aptos" w:cs="Aptos"/>
          <w:noProof w:val="0"/>
          <w:sz w:val="24"/>
          <w:szCs w:val="24"/>
          <w:lang w:val="en-GB"/>
        </w:rPr>
        <w:t>). Early and accurate diagnosis is essential to begin appropriate treatment and limit injury progression. It is also important to incorporate injury prevention strategies, such as proper technique, maintaining joint flexibility and strength training focus (</w:t>
      </w:r>
      <w:r w:rsidRPr="5B47F224" w:rsidR="0892C5D9">
        <w:rPr>
          <w:rFonts w:ascii="Aptos" w:hAnsi="Aptos" w:eastAsia="Aptos" w:cs="Aptos"/>
          <w:noProof w:val="0"/>
          <w:color w:val="000000" w:themeColor="text1" w:themeTint="FF" w:themeShade="FF"/>
          <w:sz w:val="24"/>
          <w:szCs w:val="24"/>
          <w:vertAlign w:val="superscript"/>
          <w:lang w:val="en-GB"/>
        </w:rPr>
        <w:t>1</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2</w:t>
      </w:r>
      <w:r w:rsidRPr="5B47F224" w:rsidR="0892C5D9">
        <w:rPr>
          <w:rFonts w:ascii="Aptos" w:hAnsi="Aptos" w:eastAsia="Aptos" w:cs="Aptos"/>
          <w:noProof w:val="0"/>
          <w:sz w:val="24"/>
          <w:szCs w:val="24"/>
          <w:lang w:val="en-GB"/>
        </w:rPr>
        <w:t>). Overall, managing wrist injuries with careful monitoring is key to preventing long-term effects and ensuring effective recovery.</w:t>
      </w:r>
    </w:p>
    <w:p xmlns:wp14="http://schemas.microsoft.com/office/word/2010/wordml" w:rsidP="5B47F224" wp14:paraId="02807422" wp14:textId="18EFCA41">
      <w:pPr>
        <w:pStyle w:val="Heading1"/>
        <w:spacing w:before="360" w:beforeAutospacing="off" w:after="80" w:afterAutospacing="off" w:line="276" w:lineRule="auto"/>
      </w:pPr>
      <w:r w:rsidRPr="5B47F224" w:rsidR="0892C5D9">
        <w:rPr>
          <w:rFonts w:ascii="Aptos Display" w:hAnsi="Aptos Display" w:eastAsia="Aptos Display" w:cs="Aptos Display"/>
          <w:b w:val="1"/>
          <w:bCs w:val="1"/>
          <w:noProof w:val="0"/>
          <w:color w:val="0F4761" w:themeColor="accent1" w:themeTint="FF" w:themeShade="BF"/>
          <w:sz w:val="40"/>
          <w:szCs w:val="40"/>
          <w:lang w:val="en-GB"/>
        </w:rPr>
        <w:t xml:space="preserve">Existing products evaluation </w:t>
      </w:r>
    </w:p>
    <w:p xmlns:wp14="http://schemas.microsoft.com/office/word/2010/wordml" w:rsidP="5B47F224" wp14:paraId="7BD8AE4B" wp14:textId="010D5BAF">
      <w:pPr>
        <w:spacing w:before="0" w:beforeAutospacing="off" w:after="160" w:afterAutospacing="off" w:line="276" w:lineRule="auto"/>
      </w:pPr>
      <w:r w:rsidRPr="5B47F224" w:rsidR="0892C5D9">
        <w:rPr>
          <w:rFonts w:ascii="Aptos" w:hAnsi="Aptos" w:eastAsia="Aptos" w:cs="Aptos"/>
          <w:noProof w:val="0"/>
          <w:sz w:val="24"/>
          <w:szCs w:val="24"/>
          <w:lang w:val="en-GB"/>
        </w:rPr>
        <w:t>My product builds on the concept of wrist supports by integrating textile electromyography systems (EMGs) and force sensors to enhance wrist protection, prevent injuries, and provide real-time feedback through a mobile app.</w:t>
      </w:r>
    </w:p>
    <w:p xmlns:wp14="http://schemas.microsoft.com/office/word/2010/wordml" w:rsidP="5B47F224" wp14:paraId="4E8D8B1F" wp14:textId="2F50D9A9">
      <w:pPr>
        <w:spacing w:before="0" w:beforeAutospacing="off" w:after="160" w:afterAutospacing="off" w:line="276" w:lineRule="auto"/>
      </w:pPr>
      <w:r w:rsidRPr="5B47F224" w:rsidR="0892C5D9">
        <w:rPr>
          <w:rFonts w:ascii="Aptos" w:hAnsi="Aptos" w:eastAsia="Aptos" w:cs="Aptos"/>
          <w:noProof w:val="0"/>
          <w:sz w:val="24"/>
          <w:szCs w:val="24"/>
          <w:lang w:val="en-GB"/>
        </w:rPr>
        <w:t>Existing wrist-guards in gymnastics function to limit wrist hyperextension and reduce impact forces (</w:t>
      </w:r>
      <w:r w:rsidRPr="5B47F224" w:rsidR="0892C5D9">
        <w:rPr>
          <w:rFonts w:ascii="Aptos" w:hAnsi="Aptos" w:eastAsia="Aptos" w:cs="Aptos"/>
          <w:noProof w:val="0"/>
          <w:color w:val="000000" w:themeColor="text1" w:themeTint="FF" w:themeShade="FF"/>
          <w:sz w:val="24"/>
          <w:szCs w:val="24"/>
          <w:vertAlign w:val="superscript"/>
          <w:lang w:val="en-GB"/>
        </w:rPr>
        <w:t>8</w:t>
      </w:r>
      <w:r w:rsidRPr="5B47F224" w:rsidR="0892C5D9">
        <w:rPr>
          <w:rFonts w:ascii="Aptos" w:hAnsi="Aptos" w:eastAsia="Aptos" w:cs="Aptos"/>
          <w:noProof w:val="0"/>
          <w:sz w:val="24"/>
          <w:szCs w:val="24"/>
          <w:lang w:val="en-GB"/>
        </w:rPr>
        <w:t>). They aim to reduce peak vertical ground reaction force (VGRF) and impulse by increasing the time from hand-touch down to peak force (</w:t>
      </w:r>
      <w:r w:rsidRPr="5B47F224" w:rsidR="0892C5D9">
        <w:rPr>
          <w:rFonts w:ascii="Aptos" w:hAnsi="Aptos" w:eastAsia="Aptos" w:cs="Aptos"/>
          <w:noProof w:val="0"/>
          <w:color w:val="000000" w:themeColor="text1" w:themeTint="FF" w:themeShade="FF"/>
          <w:sz w:val="24"/>
          <w:szCs w:val="24"/>
          <w:vertAlign w:val="superscript"/>
          <w:lang w:val="en-GB"/>
        </w:rPr>
        <w:t>8</w:t>
      </w:r>
      <w:r w:rsidRPr="5B47F224" w:rsidR="0892C5D9">
        <w:rPr>
          <w:rFonts w:ascii="Aptos" w:hAnsi="Aptos" w:eastAsia="Aptos" w:cs="Aptos"/>
          <w:noProof w:val="0"/>
          <w:sz w:val="24"/>
          <w:szCs w:val="24"/>
          <w:lang w:val="en-GB"/>
        </w:rPr>
        <w:t>). Traditional designs focus on limiting motion at the ulnocarpal and radiocarpal joints to prevent excessive dorsal impingement (</w:t>
      </w:r>
      <w:r w:rsidRPr="5B47F224" w:rsidR="0892C5D9">
        <w:rPr>
          <w:rFonts w:ascii="Aptos" w:hAnsi="Aptos" w:eastAsia="Aptos" w:cs="Aptos"/>
          <w:noProof w:val="0"/>
          <w:color w:val="000000" w:themeColor="text1" w:themeTint="FF" w:themeShade="FF"/>
          <w:sz w:val="24"/>
          <w:szCs w:val="24"/>
          <w:vertAlign w:val="superscript"/>
          <w:lang w:val="en-GB"/>
        </w:rPr>
        <w:t>1</w:t>
      </w:r>
      <w:r w:rsidRPr="5B47F224" w:rsidR="0892C5D9">
        <w:rPr>
          <w:rFonts w:ascii="Aptos" w:hAnsi="Aptos" w:eastAsia="Aptos" w:cs="Aptos"/>
          <w:noProof w:val="0"/>
          <w:sz w:val="24"/>
          <w:szCs w:val="24"/>
          <w:lang w:val="en-GB"/>
        </w:rPr>
        <w:t>). Some models include volar-side padding to cushion impact forces (</w:t>
      </w:r>
      <w:r w:rsidRPr="5B47F224" w:rsidR="0892C5D9">
        <w:rPr>
          <w:rFonts w:ascii="Aptos" w:hAnsi="Aptos" w:eastAsia="Aptos" w:cs="Aptos"/>
          <w:noProof w:val="0"/>
          <w:color w:val="000000" w:themeColor="text1" w:themeTint="FF" w:themeShade="FF"/>
          <w:sz w:val="24"/>
          <w:szCs w:val="24"/>
          <w:vertAlign w:val="superscript"/>
          <w:lang w:val="en-GB"/>
        </w:rPr>
        <w:t>9</w:t>
      </w:r>
      <w:r w:rsidRPr="5B47F224" w:rsidR="0892C5D9">
        <w:rPr>
          <w:rFonts w:ascii="Aptos" w:hAnsi="Aptos" w:eastAsia="Aptos" w:cs="Aptos"/>
          <w:noProof w:val="0"/>
          <w:sz w:val="24"/>
          <w:szCs w:val="24"/>
          <w:lang w:val="en-GB"/>
        </w:rPr>
        <w:t>). They are widely used, especially in floor exercises, to reduce overuse injuries and wrist pain (</w:t>
      </w:r>
      <w:r w:rsidRPr="5B47F224" w:rsidR="0892C5D9">
        <w:rPr>
          <w:rFonts w:ascii="Aptos" w:hAnsi="Aptos" w:eastAsia="Aptos" w:cs="Aptos"/>
          <w:noProof w:val="0"/>
          <w:color w:val="000000" w:themeColor="text1" w:themeTint="FF" w:themeShade="FF"/>
          <w:sz w:val="24"/>
          <w:szCs w:val="24"/>
          <w:vertAlign w:val="superscript"/>
          <w:lang w:val="en-GB"/>
        </w:rPr>
        <w:t>10</w:t>
      </w:r>
      <w:r w:rsidRPr="5B47F224" w:rsidR="0892C5D9">
        <w:rPr>
          <w:rFonts w:ascii="Aptos" w:hAnsi="Aptos" w:eastAsia="Aptos" w:cs="Aptos"/>
          <w:noProof w:val="0"/>
          <w:sz w:val="24"/>
          <w:szCs w:val="24"/>
          <w:lang w:val="en-GB"/>
        </w:rPr>
        <w:t>). There are two common forms of wrist supports. The first is tiger paw wrist supports (Figure 3). They are made of leather braces with Velcro straps and removable inserts which offer adjustable support while allowing finger mobility. They stabilise the wrist but may not significantly reduce impact forces (</w:t>
      </w:r>
      <w:r w:rsidRPr="5B47F224" w:rsidR="0892C5D9">
        <w:rPr>
          <w:rFonts w:ascii="Aptos" w:hAnsi="Aptos" w:eastAsia="Aptos" w:cs="Aptos"/>
          <w:noProof w:val="0"/>
          <w:color w:val="000000" w:themeColor="text1" w:themeTint="FF" w:themeShade="FF"/>
          <w:sz w:val="24"/>
          <w:szCs w:val="24"/>
          <w:vertAlign w:val="superscript"/>
          <w:lang w:val="en-GB"/>
        </w:rPr>
        <w:t>8</w:t>
      </w:r>
      <w:r w:rsidRPr="5B47F224" w:rsidR="0892C5D9">
        <w:rPr>
          <w:rFonts w:ascii="Aptos" w:hAnsi="Aptos" w:eastAsia="Aptos" w:cs="Aptos"/>
          <w:noProof w:val="0"/>
          <w:sz w:val="24"/>
          <w:szCs w:val="24"/>
          <w:lang w:val="en-GB"/>
        </w:rPr>
        <w:t>). The second is athletic taping (Figure 4). The gymnast will use cloth or athletic tape and compress the distal forearm and wrist to limit motion and provide pain relief (</w:t>
      </w:r>
      <w:r w:rsidRPr="5B47F224" w:rsidR="0892C5D9">
        <w:rPr>
          <w:rFonts w:ascii="Aptos" w:hAnsi="Aptos" w:eastAsia="Aptos" w:cs="Aptos"/>
          <w:noProof w:val="0"/>
          <w:color w:val="000000" w:themeColor="text1" w:themeTint="FF" w:themeShade="FF"/>
          <w:sz w:val="24"/>
          <w:szCs w:val="24"/>
          <w:vertAlign w:val="superscript"/>
          <w:lang w:val="en-GB"/>
        </w:rPr>
        <w:t>11</w:t>
      </w:r>
      <w:r w:rsidRPr="5B47F224" w:rsidR="0892C5D9">
        <w:rPr>
          <w:rFonts w:ascii="Aptos" w:hAnsi="Aptos" w:eastAsia="Aptos" w:cs="Aptos"/>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12</w:t>
      </w:r>
      <w:r w:rsidRPr="5B47F224" w:rsidR="0892C5D9">
        <w:rPr>
          <w:rFonts w:ascii="Aptos" w:hAnsi="Aptos" w:eastAsia="Aptos" w:cs="Aptos"/>
          <w:noProof w:val="0"/>
          <w:sz w:val="24"/>
          <w:szCs w:val="24"/>
          <w:lang w:val="en-GB"/>
        </w:rPr>
        <w:t>). The validation testing of wrist-guards involved comparing the effects of wrist taping and tiger paw wrist-guards on VGRF in gymnasts during back handsprings (</w:t>
      </w:r>
      <w:r w:rsidRPr="5B47F224" w:rsidR="0892C5D9">
        <w:rPr>
          <w:rFonts w:ascii="Aptos" w:hAnsi="Aptos" w:eastAsia="Aptos" w:cs="Aptos"/>
          <w:noProof w:val="0"/>
          <w:color w:val="000000" w:themeColor="text1" w:themeTint="FF" w:themeShade="FF"/>
          <w:sz w:val="24"/>
          <w:szCs w:val="24"/>
          <w:vertAlign w:val="superscript"/>
          <w:lang w:val="en-GB"/>
        </w:rPr>
        <w:t>8</w:t>
      </w:r>
      <w:r w:rsidRPr="5B47F224" w:rsidR="0892C5D9">
        <w:rPr>
          <w:rFonts w:ascii="Aptos" w:hAnsi="Aptos" w:eastAsia="Aptos" w:cs="Aptos"/>
          <w:noProof w:val="0"/>
          <w:sz w:val="24"/>
          <w:szCs w:val="24"/>
          <w:lang w:val="en-GB"/>
        </w:rPr>
        <w:t>). The analysis found no significant differences in peak VGRF between braced and unbraced conditions (Figure 5).</w:t>
      </w:r>
    </w:p>
    <w:p xmlns:wp14="http://schemas.microsoft.com/office/word/2010/wordml" w:rsidP="5B47F224" wp14:paraId="3E456641" wp14:textId="3E8B87DC">
      <w:pPr>
        <w:spacing w:before="0" w:beforeAutospacing="off" w:after="160" w:afterAutospacing="off" w:line="276" w:lineRule="auto"/>
      </w:pPr>
      <w:r w:rsidRPr="5B47F224" w:rsidR="0892C5D9">
        <w:rPr>
          <w:rFonts w:ascii="Aptos Display" w:hAnsi="Aptos Display" w:eastAsia="Aptos Display" w:cs="Aptos Display"/>
          <w:b w:val="1"/>
          <w:bCs w:val="1"/>
          <w:noProof w:val="0"/>
          <w:color w:val="0F4761" w:themeColor="accent1" w:themeTint="FF" w:themeShade="BF"/>
          <w:sz w:val="32"/>
          <w:szCs w:val="32"/>
          <w:lang w:val="en-GB"/>
        </w:rPr>
        <w:t>Figure 5</w:t>
      </w:r>
      <w:r w:rsidRPr="5B47F224" w:rsidR="0892C5D9">
        <w:rPr>
          <w:rFonts w:ascii="Aptos Display" w:hAnsi="Aptos Display" w:eastAsia="Aptos Display" w:cs="Aptos Display"/>
          <w:noProof w:val="0"/>
          <w:color w:val="0F4761" w:themeColor="accent1" w:themeTint="FF" w:themeShade="BF"/>
          <w:sz w:val="32"/>
          <w:szCs w:val="32"/>
          <w:lang w:val="en-GB"/>
        </w:rPr>
        <w:t xml:space="preserve">. </w:t>
      </w:r>
      <w:r w:rsidRPr="5B47F224" w:rsidR="0892C5D9">
        <w:rPr>
          <w:rFonts w:ascii="Aptos" w:hAnsi="Aptos" w:eastAsia="Aptos" w:cs="Aptos"/>
          <w:noProof w:val="0"/>
          <w:sz w:val="24"/>
          <w:szCs w:val="24"/>
          <w:lang w:val="en-GB"/>
        </w:rPr>
        <w:t>Mean VGRF of each participant measured by the right-hand contacting the force plate during each condition</w:t>
      </w:r>
      <w:r w:rsidRPr="5B47F224" w:rsidR="0892C5D9">
        <w:rPr>
          <w:rFonts w:ascii="Aptos Display" w:hAnsi="Aptos Display" w:eastAsia="Aptos Display" w:cs="Aptos Display"/>
          <w:noProof w:val="0"/>
          <w:color w:val="0F4761" w:themeColor="accent1" w:themeTint="FF" w:themeShade="BF"/>
          <w:sz w:val="32"/>
          <w:szCs w:val="32"/>
          <w:lang w:val="en-GB"/>
        </w:rPr>
        <w:t>. Information from (</w:t>
      </w:r>
      <w:r w:rsidRPr="5B47F224" w:rsidR="0892C5D9">
        <w:rPr>
          <w:rFonts w:ascii="Aptos" w:hAnsi="Aptos" w:eastAsia="Aptos" w:cs="Aptos"/>
          <w:noProof w:val="0"/>
          <w:color w:val="000000" w:themeColor="text1" w:themeTint="FF" w:themeShade="FF"/>
          <w:sz w:val="24"/>
          <w:szCs w:val="24"/>
          <w:vertAlign w:val="superscript"/>
          <w:lang w:val="en-GB"/>
        </w:rPr>
        <w:t>8</w:t>
      </w:r>
      <w:r w:rsidRPr="5B47F224" w:rsidR="0892C5D9">
        <w:rPr>
          <w:rFonts w:ascii="Aptos Display" w:hAnsi="Aptos Display" w:eastAsia="Aptos Display" w:cs="Aptos Display"/>
          <w:noProof w:val="0"/>
          <w:color w:val="0F4761" w:themeColor="accent1" w:themeTint="FF" w:themeShade="BF"/>
          <w:sz w:val="32"/>
          <w:szCs w:val="32"/>
          <w:lang w:val="en-GB"/>
        </w:rPr>
        <w:t>), graph made by Allen, R. M. (2025).</w:t>
      </w:r>
    </w:p>
    <w:p xmlns:wp14="http://schemas.microsoft.com/office/word/2010/wordml" w:rsidP="5B47F224" wp14:paraId="533649B5" wp14:textId="0D165682">
      <w:pPr>
        <w:spacing w:before="0" w:beforeAutospacing="off" w:after="160" w:afterAutospacing="off" w:line="276" w:lineRule="auto"/>
      </w:pPr>
      <w:r w:rsidRPr="5B47F224" w:rsidR="0892C5D9">
        <w:rPr>
          <w:rFonts w:ascii="Aptos" w:hAnsi="Aptos" w:eastAsia="Aptos" w:cs="Aptos"/>
          <w:noProof w:val="0"/>
          <w:sz w:val="24"/>
          <w:szCs w:val="24"/>
          <w:lang w:val="en-GB"/>
        </w:rPr>
        <w:t>EMGs measures muscle activation patterns by detecting electrical signals during contraction. It helps assess muscle fatigue, activation timing, and neuromuscular control (</w:t>
      </w:r>
      <w:r w:rsidRPr="5B47F224" w:rsidR="0892C5D9">
        <w:rPr>
          <w:rFonts w:ascii="Aptos" w:hAnsi="Aptos" w:eastAsia="Aptos" w:cs="Aptos"/>
          <w:noProof w:val="0"/>
          <w:color w:val="000000" w:themeColor="text1" w:themeTint="FF" w:themeShade="FF"/>
          <w:sz w:val="24"/>
          <w:szCs w:val="24"/>
          <w:vertAlign w:val="superscript"/>
          <w:lang w:val="en-GB"/>
        </w:rPr>
        <w:t>13</w:t>
      </w:r>
      <w:r w:rsidRPr="5B47F224" w:rsidR="0892C5D9">
        <w:rPr>
          <w:rFonts w:ascii="Aptos" w:hAnsi="Aptos" w:eastAsia="Aptos" w:cs="Aptos"/>
          <w:noProof w:val="0"/>
          <w:sz w:val="24"/>
          <w:szCs w:val="24"/>
          <w:lang w:val="en-GB"/>
        </w:rPr>
        <w:t>). EMGs are widely used in biomechanics to analyse force production, movement efficiency, and motor control strategies, though signal noise can affect accuracy (</w:t>
      </w:r>
      <w:r w:rsidRPr="5B47F224" w:rsidR="0892C5D9">
        <w:rPr>
          <w:rFonts w:ascii="Aptos" w:hAnsi="Aptos" w:eastAsia="Aptos" w:cs="Aptos"/>
          <w:noProof w:val="0"/>
          <w:color w:val="000000" w:themeColor="text1" w:themeTint="FF" w:themeShade="FF"/>
          <w:sz w:val="24"/>
          <w:szCs w:val="24"/>
          <w:vertAlign w:val="superscript"/>
          <w:lang w:val="en-GB"/>
        </w:rPr>
        <w:t>14</w:t>
      </w:r>
      <w:r w:rsidRPr="5B47F224" w:rsidR="0892C5D9">
        <w:rPr>
          <w:rFonts w:ascii="Aptos" w:hAnsi="Aptos" w:eastAsia="Aptos" w:cs="Aptos"/>
          <w:noProof w:val="0"/>
          <w:sz w:val="24"/>
          <w:szCs w:val="24"/>
          <w:lang w:val="en-GB"/>
        </w:rPr>
        <w:t>). EMGs consists of electrodes, often made of silver chloride, placed on the skin to detect electrical activity from muscles (</w:t>
      </w:r>
      <w:r w:rsidRPr="5B47F224" w:rsidR="0892C5D9">
        <w:rPr>
          <w:rFonts w:ascii="Aptos" w:hAnsi="Aptos" w:eastAsia="Aptos" w:cs="Aptos"/>
          <w:noProof w:val="0"/>
          <w:color w:val="000000" w:themeColor="text1" w:themeTint="FF" w:themeShade="FF"/>
          <w:sz w:val="24"/>
          <w:szCs w:val="24"/>
          <w:vertAlign w:val="superscript"/>
          <w:lang w:val="en-GB"/>
        </w:rPr>
        <w:t>14</w:t>
      </w:r>
      <w:r w:rsidRPr="5B47F224" w:rsidR="0892C5D9">
        <w:rPr>
          <w:rFonts w:ascii="Aptos" w:hAnsi="Aptos" w:eastAsia="Aptos" w:cs="Aptos"/>
          <w:noProof w:val="0"/>
          <w:sz w:val="24"/>
          <w:szCs w:val="24"/>
          <w:lang w:val="en-GB"/>
        </w:rPr>
        <w:t>). These electrodes measure muscle contractions by capturing the electrical signals generated during muscle activation, which are then processed to analyse muscle excitation and fatigue (</w:t>
      </w:r>
      <w:r w:rsidRPr="5B47F224" w:rsidR="0892C5D9">
        <w:rPr>
          <w:rFonts w:ascii="Aptos" w:hAnsi="Aptos" w:eastAsia="Aptos" w:cs="Aptos"/>
          <w:noProof w:val="0"/>
          <w:color w:val="000000" w:themeColor="text1" w:themeTint="FF" w:themeShade="FF"/>
          <w:sz w:val="24"/>
          <w:szCs w:val="24"/>
          <w:vertAlign w:val="superscript"/>
          <w:lang w:val="en-GB"/>
        </w:rPr>
        <w:t>15</w:t>
      </w:r>
      <w:r w:rsidRPr="5B47F224" w:rsidR="0892C5D9">
        <w:rPr>
          <w:rFonts w:ascii="Aptos" w:hAnsi="Aptos" w:eastAsia="Aptos" w:cs="Aptos"/>
          <w:noProof w:val="0"/>
          <w:sz w:val="24"/>
          <w:szCs w:val="24"/>
          <w:lang w:val="en-GB"/>
        </w:rPr>
        <w:t>). The mDurance system is an example of a portable EMGs device that comes with a mobile app (</w:t>
      </w:r>
      <w:r w:rsidRPr="5B47F224" w:rsidR="0892C5D9">
        <w:rPr>
          <w:rFonts w:ascii="Aptos" w:hAnsi="Aptos" w:eastAsia="Aptos" w:cs="Aptos"/>
          <w:noProof w:val="0"/>
          <w:color w:val="000000" w:themeColor="text1" w:themeTint="FF" w:themeShade="FF"/>
          <w:sz w:val="24"/>
          <w:szCs w:val="24"/>
          <w:vertAlign w:val="superscript"/>
          <w:lang w:val="en-GB"/>
        </w:rPr>
        <w:t>16</w:t>
      </w:r>
      <w:r w:rsidRPr="5B47F224" w:rsidR="0892C5D9">
        <w:rPr>
          <w:rFonts w:ascii="Aptos" w:hAnsi="Aptos" w:eastAsia="Aptos" w:cs="Aptos"/>
          <w:noProof w:val="0"/>
          <w:sz w:val="24"/>
          <w:szCs w:val="24"/>
          <w:lang w:val="en-GB"/>
        </w:rPr>
        <w:t>). The validation of the mDurance system was conducted in a lab, where participants performed exercise activities. The results indicated that the system provides valid EMGs data, confirming its effectiveness as an assessment tool (</w:t>
      </w:r>
      <w:r w:rsidRPr="5B47F224" w:rsidR="0892C5D9">
        <w:rPr>
          <w:rFonts w:ascii="Aptos" w:hAnsi="Aptos" w:eastAsia="Aptos" w:cs="Aptos"/>
          <w:noProof w:val="0"/>
          <w:color w:val="000000" w:themeColor="text1" w:themeTint="FF" w:themeShade="FF"/>
          <w:sz w:val="24"/>
          <w:szCs w:val="24"/>
          <w:vertAlign w:val="superscript"/>
          <w:lang w:val="en-GB"/>
        </w:rPr>
        <w:t>16</w:t>
      </w:r>
      <w:r w:rsidRPr="5B47F224" w:rsidR="0892C5D9">
        <w:rPr>
          <w:rFonts w:ascii="Aptos" w:hAnsi="Aptos" w:eastAsia="Aptos" w:cs="Aptos"/>
          <w:noProof w:val="0"/>
          <w:sz w:val="24"/>
          <w:szCs w:val="24"/>
          <w:lang w:val="en-GB"/>
        </w:rPr>
        <w:t>).</w:t>
      </w:r>
    </w:p>
    <w:p xmlns:wp14="http://schemas.microsoft.com/office/word/2010/wordml" w:rsidP="5B47F224" wp14:paraId="33F890A2" wp14:textId="346EFF67">
      <w:pPr>
        <w:spacing w:before="0" w:beforeAutospacing="off" w:after="160" w:afterAutospacing="off" w:line="276" w:lineRule="auto"/>
      </w:pPr>
      <w:r w:rsidRPr="5B47F224" w:rsidR="0892C5D9">
        <w:rPr>
          <w:rFonts w:ascii="Aptos" w:hAnsi="Aptos" w:eastAsia="Aptos" w:cs="Aptos"/>
          <w:b w:val="1"/>
          <w:bCs w:val="1"/>
          <w:noProof w:val="0"/>
          <w:sz w:val="24"/>
          <w:szCs w:val="24"/>
          <w:lang w:val="en-GB"/>
        </w:rPr>
        <w:t>Figure 7</w:t>
      </w:r>
      <w:r w:rsidRPr="5B47F224" w:rsidR="0892C5D9">
        <w:rPr>
          <w:rFonts w:ascii="Aptos" w:hAnsi="Aptos" w:eastAsia="Aptos" w:cs="Aptos"/>
          <w:noProof w:val="0"/>
          <w:sz w:val="24"/>
          <w:szCs w:val="24"/>
          <w:lang w:val="en-GB"/>
        </w:rPr>
        <w:t>.  Wireless EMG sensors. Image from (</w:t>
      </w:r>
      <w:hyperlink r:id="R077666b7c1464406">
        <w:r w:rsidRPr="5B47F224" w:rsidR="0892C5D9">
          <w:rPr>
            <w:rStyle w:val="Hyperlink"/>
            <w:rFonts w:ascii="Aptos" w:hAnsi="Aptos" w:eastAsia="Aptos" w:cs="Aptos"/>
            <w:strike w:val="0"/>
            <w:dstrike w:val="0"/>
            <w:noProof w:val="0"/>
            <w:color w:val="467886"/>
            <w:sz w:val="24"/>
            <w:szCs w:val="24"/>
            <w:u w:val="single"/>
            <w:lang w:val="en-GB"/>
          </w:rPr>
          <w:t>https://udevices.io/products/umyo-wearable-emg-sensor</w:t>
        </w:r>
      </w:hyperlink>
      <w:r w:rsidRPr="5B47F224" w:rsidR="0892C5D9">
        <w:rPr>
          <w:rFonts w:ascii="Aptos" w:hAnsi="Aptos" w:eastAsia="Aptos" w:cs="Aptos"/>
          <w:noProof w:val="0"/>
          <w:color w:val="467886"/>
          <w:sz w:val="24"/>
          <w:szCs w:val="24"/>
          <w:lang w:val="en-GB"/>
        </w:rPr>
        <w:t>)</w:t>
      </w:r>
    </w:p>
    <w:p xmlns:wp14="http://schemas.microsoft.com/office/word/2010/wordml" w:rsidP="5B47F224" wp14:paraId="44ECEDE6" wp14:textId="68B238B5">
      <w:pPr>
        <w:spacing w:before="0" w:beforeAutospacing="off" w:after="160" w:afterAutospacing="off" w:line="276" w:lineRule="auto"/>
      </w:pPr>
      <w:r w:rsidRPr="5B47F224" w:rsidR="0892C5D9">
        <w:rPr>
          <w:rFonts w:ascii="Aptos" w:hAnsi="Aptos" w:eastAsia="Aptos" w:cs="Aptos"/>
          <w:noProof w:val="0"/>
          <w:sz w:val="24"/>
          <w:szCs w:val="24"/>
          <w:lang w:val="en-GB"/>
        </w:rPr>
        <w:t>Wearable force sensors measure ground reaction forces (GRF) and pressure distribution, providing insight into loading patterns and force magnitude (</w:t>
      </w:r>
      <w:r w:rsidRPr="5B47F224" w:rsidR="0892C5D9">
        <w:rPr>
          <w:rFonts w:ascii="Aptos" w:hAnsi="Aptos" w:eastAsia="Aptos" w:cs="Aptos"/>
          <w:noProof w:val="0"/>
          <w:color w:val="000000" w:themeColor="text1" w:themeTint="FF" w:themeShade="FF"/>
          <w:sz w:val="24"/>
          <w:szCs w:val="24"/>
          <w:vertAlign w:val="superscript"/>
          <w:lang w:val="en-GB"/>
        </w:rPr>
        <w:t>17</w:t>
      </w:r>
      <w:r w:rsidRPr="5B47F224" w:rsidR="0892C5D9">
        <w:rPr>
          <w:rFonts w:ascii="Aptos" w:hAnsi="Aptos" w:eastAsia="Aptos" w:cs="Aptos"/>
          <w:noProof w:val="0"/>
          <w:sz w:val="24"/>
          <w:szCs w:val="24"/>
          <w:lang w:val="en-GB"/>
        </w:rPr>
        <w:t>). Force sensing resistors (FSRs) enable real-time monitoring of force during movement, aiding in biomechanics and injury prevention (</w:t>
      </w:r>
      <w:r w:rsidRPr="5B47F224" w:rsidR="0892C5D9">
        <w:rPr>
          <w:rFonts w:ascii="Aptos" w:hAnsi="Aptos" w:eastAsia="Aptos" w:cs="Aptos"/>
          <w:noProof w:val="0"/>
          <w:color w:val="000000" w:themeColor="text1" w:themeTint="FF" w:themeShade="FF"/>
          <w:sz w:val="24"/>
          <w:szCs w:val="24"/>
          <w:vertAlign w:val="superscript"/>
          <w:lang w:val="en-GB"/>
        </w:rPr>
        <w:t>18</w:t>
      </w:r>
      <w:r w:rsidRPr="5B47F224" w:rsidR="0892C5D9">
        <w:rPr>
          <w:rFonts w:ascii="Aptos" w:hAnsi="Aptos" w:eastAsia="Aptos" w:cs="Aptos"/>
          <w:noProof w:val="0"/>
          <w:sz w:val="24"/>
          <w:szCs w:val="24"/>
          <w:lang w:val="en-GB"/>
        </w:rPr>
        <w:t>). These sensors offer high precision and reliability, making them valuable for analysing movement (</w:t>
      </w:r>
      <w:r w:rsidRPr="5B47F224" w:rsidR="0892C5D9">
        <w:rPr>
          <w:rFonts w:ascii="Aptos" w:hAnsi="Aptos" w:eastAsia="Aptos" w:cs="Aptos"/>
          <w:noProof w:val="0"/>
          <w:color w:val="000000" w:themeColor="text1" w:themeTint="FF" w:themeShade="FF"/>
          <w:sz w:val="24"/>
          <w:szCs w:val="24"/>
          <w:vertAlign w:val="superscript"/>
          <w:lang w:val="en-GB"/>
        </w:rPr>
        <w:t>17</w:t>
      </w:r>
      <w:r w:rsidRPr="5B47F224" w:rsidR="0892C5D9">
        <w:rPr>
          <w:rFonts w:ascii="Aptos" w:hAnsi="Aptos" w:eastAsia="Aptos" w:cs="Aptos"/>
          <w:noProof w:val="0"/>
          <w:sz w:val="24"/>
          <w:szCs w:val="24"/>
          <w:lang w:val="en-GB"/>
        </w:rPr>
        <w:t>). Force sensing resistors (FSRs) are an effective type of pressure sensor (</w:t>
      </w:r>
      <w:r w:rsidRPr="5B47F224" w:rsidR="0892C5D9">
        <w:rPr>
          <w:rFonts w:ascii="Aptos" w:hAnsi="Aptos" w:eastAsia="Aptos" w:cs="Aptos"/>
          <w:noProof w:val="0"/>
          <w:color w:val="000000" w:themeColor="text1" w:themeTint="FF" w:themeShade="FF"/>
          <w:sz w:val="24"/>
          <w:szCs w:val="24"/>
          <w:vertAlign w:val="superscript"/>
          <w:lang w:val="en-GB"/>
        </w:rPr>
        <w:t>18</w:t>
      </w:r>
      <w:r w:rsidRPr="5B47F224" w:rsidR="0892C5D9">
        <w:rPr>
          <w:rFonts w:ascii="Aptos" w:hAnsi="Aptos" w:eastAsia="Aptos" w:cs="Aptos"/>
          <w:noProof w:val="0"/>
          <w:sz w:val="24"/>
          <w:szCs w:val="24"/>
          <w:lang w:val="en-GB"/>
        </w:rPr>
        <w:t>). They are made from flexible materials, are cost effective and simple to condition, however they can have performance limitations, such as up to 15% repeatability error (</w:t>
      </w:r>
      <w:r w:rsidRPr="5B47F224" w:rsidR="0892C5D9">
        <w:rPr>
          <w:rFonts w:ascii="Aptos" w:hAnsi="Aptos" w:eastAsia="Aptos" w:cs="Aptos"/>
          <w:noProof w:val="0"/>
          <w:color w:val="000000" w:themeColor="text1" w:themeTint="FF" w:themeShade="FF"/>
          <w:sz w:val="24"/>
          <w:szCs w:val="24"/>
          <w:vertAlign w:val="superscript"/>
          <w:lang w:val="en-GB"/>
        </w:rPr>
        <w:t>18</w:t>
      </w:r>
      <w:r w:rsidRPr="5B47F224" w:rsidR="0892C5D9">
        <w:rPr>
          <w:rFonts w:ascii="Aptos" w:hAnsi="Aptos" w:eastAsia="Aptos" w:cs="Aptos"/>
          <w:noProof w:val="0"/>
          <w:sz w:val="24"/>
          <w:szCs w:val="24"/>
          <w:lang w:val="en-GB"/>
        </w:rPr>
        <w:t>). FSRs have proven validity by giving consistent voltage changes with different loads (</w:t>
      </w:r>
      <w:r w:rsidRPr="5B47F224" w:rsidR="0892C5D9">
        <w:rPr>
          <w:rFonts w:ascii="Aptos" w:hAnsi="Aptos" w:eastAsia="Aptos" w:cs="Aptos"/>
          <w:noProof w:val="0"/>
          <w:color w:val="000000" w:themeColor="text1" w:themeTint="FF" w:themeShade="FF"/>
          <w:sz w:val="24"/>
          <w:szCs w:val="24"/>
          <w:vertAlign w:val="superscript"/>
          <w:lang w:val="en-GB"/>
        </w:rPr>
        <w:t>19</w:t>
      </w:r>
      <w:r w:rsidRPr="5B47F224" w:rsidR="0892C5D9">
        <w:rPr>
          <w:rFonts w:ascii="Aptos" w:hAnsi="Aptos" w:eastAsia="Aptos" w:cs="Aptos"/>
          <w:noProof w:val="0"/>
          <w:sz w:val="24"/>
          <w:szCs w:val="24"/>
          <w:lang w:val="en-GB"/>
        </w:rPr>
        <w:t>) and accurately predicting force (</w:t>
      </w:r>
      <w:r w:rsidRPr="5B47F224" w:rsidR="0892C5D9">
        <w:rPr>
          <w:rFonts w:ascii="Aptos" w:hAnsi="Aptos" w:eastAsia="Aptos" w:cs="Aptos"/>
          <w:noProof w:val="0"/>
          <w:color w:val="000000" w:themeColor="text1" w:themeTint="FF" w:themeShade="FF"/>
          <w:sz w:val="24"/>
          <w:szCs w:val="24"/>
          <w:vertAlign w:val="superscript"/>
          <w:lang w:val="en-GB"/>
        </w:rPr>
        <w:t>20</w:t>
      </w:r>
      <w:r w:rsidRPr="5B47F224" w:rsidR="0892C5D9">
        <w:rPr>
          <w:rFonts w:ascii="Aptos" w:hAnsi="Aptos" w:eastAsia="Aptos" w:cs="Aptos"/>
          <w:noProof w:val="0"/>
          <w:sz w:val="24"/>
          <w:szCs w:val="24"/>
          <w:lang w:val="en-GB"/>
        </w:rPr>
        <w:t>). This proves they are reliable for wearable technology.</w:t>
      </w:r>
    </w:p>
    <w:p xmlns:wp14="http://schemas.microsoft.com/office/word/2010/wordml" w:rsidP="5B47F224" wp14:paraId="710A9836" wp14:textId="3F8F0231">
      <w:pPr>
        <w:spacing w:before="0" w:beforeAutospacing="off" w:after="160" w:afterAutospacing="off" w:line="276" w:lineRule="auto"/>
      </w:pPr>
      <w:r w:rsidRPr="5B47F224" w:rsidR="0892C5D9">
        <w:rPr>
          <w:rFonts w:ascii="Aptos" w:hAnsi="Aptos" w:eastAsia="Aptos" w:cs="Aptos"/>
          <w:b w:val="1"/>
          <w:bCs w:val="1"/>
          <w:noProof w:val="0"/>
          <w:sz w:val="24"/>
          <w:szCs w:val="24"/>
          <w:lang w:val="en-GB"/>
        </w:rPr>
        <w:t>Figure 8</w:t>
      </w:r>
      <w:r w:rsidRPr="5B47F224" w:rsidR="0892C5D9">
        <w:rPr>
          <w:rFonts w:ascii="Aptos" w:hAnsi="Aptos" w:eastAsia="Aptos" w:cs="Aptos"/>
          <w:noProof w:val="0"/>
          <w:sz w:val="24"/>
          <w:szCs w:val="24"/>
          <w:lang w:val="en-GB"/>
        </w:rPr>
        <w:t>. Force sensing resistor. Image from (</w:t>
      </w:r>
      <w:r w:rsidRPr="5B47F224" w:rsidR="0892C5D9">
        <w:rPr>
          <w:rFonts w:ascii="Aptos" w:hAnsi="Aptos" w:eastAsia="Aptos" w:cs="Aptos"/>
          <w:noProof w:val="0"/>
          <w:color w:val="000000" w:themeColor="text1" w:themeTint="FF" w:themeShade="FF"/>
          <w:sz w:val="24"/>
          <w:szCs w:val="24"/>
          <w:vertAlign w:val="superscript"/>
          <w:lang w:val="en-GB"/>
        </w:rPr>
        <w:t>22</w:t>
      </w:r>
      <w:r w:rsidRPr="5B47F224" w:rsidR="0892C5D9">
        <w:rPr>
          <w:rFonts w:ascii="Aptos" w:hAnsi="Aptos" w:eastAsia="Aptos" w:cs="Aptos"/>
          <w:noProof w:val="0"/>
          <w:sz w:val="24"/>
          <w:szCs w:val="24"/>
          <w:lang w:val="en-GB"/>
        </w:rPr>
        <w:t>)</w:t>
      </w:r>
    </w:p>
    <w:p xmlns:wp14="http://schemas.microsoft.com/office/word/2010/wordml" w:rsidP="5B47F224" wp14:paraId="2689CAB4" wp14:textId="346C8900">
      <w:pPr>
        <w:spacing w:before="0" w:beforeAutospacing="off" w:after="160" w:afterAutospacing="off" w:line="276" w:lineRule="auto"/>
      </w:pPr>
      <w:r w:rsidRPr="5B47F224" w:rsidR="0892C5D9">
        <w:rPr>
          <w:rFonts w:ascii="Aptos" w:hAnsi="Aptos" w:eastAsia="Aptos" w:cs="Aptos"/>
          <w:noProof w:val="0"/>
          <w:sz w:val="24"/>
          <w:szCs w:val="24"/>
          <w:lang w:val="en-GB"/>
        </w:rPr>
        <w:t>Inertial Measurement Units (IMUs) track velocity, orientation, and gravitational force using accelerometers and gyroscopes, each with three degrees of freedom for motion analysis (</w:t>
      </w:r>
      <w:r w:rsidRPr="5B47F224" w:rsidR="0892C5D9">
        <w:rPr>
          <w:rFonts w:ascii="Aptos" w:hAnsi="Aptos" w:eastAsia="Aptos" w:cs="Aptos"/>
          <w:noProof w:val="0"/>
          <w:color w:val="000000" w:themeColor="text1" w:themeTint="FF" w:themeShade="FF"/>
          <w:sz w:val="24"/>
          <w:szCs w:val="24"/>
          <w:vertAlign w:val="superscript"/>
          <w:lang w:val="en-GB"/>
        </w:rPr>
        <w:t>21</w:t>
      </w:r>
      <w:r w:rsidRPr="5B47F224" w:rsidR="0892C5D9">
        <w:rPr>
          <w:rFonts w:ascii="Aptos" w:hAnsi="Aptos" w:eastAsia="Aptos" w:cs="Aptos"/>
          <w:noProof w:val="0"/>
          <w:sz w:val="24"/>
          <w:szCs w:val="24"/>
          <w:lang w:val="en-GB"/>
        </w:rPr>
        <w:t>). Accelerometers measure linear acceleration, while gyroscopes capture angular rotation (</w:t>
      </w:r>
      <w:r w:rsidRPr="5B47F224" w:rsidR="0892C5D9">
        <w:rPr>
          <w:rFonts w:ascii="Aptos" w:hAnsi="Aptos" w:eastAsia="Aptos" w:cs="Aptos"/>
          <w:noProof w:val="0"/>
          <w:color w:val="000000" w:themeColor="text1" w:themeTint="FF" w:themeShade="FF"/>
          <w:sz w:val="24"/>
          <w:szCs w:val="24"/>
          <w:vertAlign w:val="superscript"/>
          <w:lang w:val="en-GB"/>
        </w:rPr>
        <w:t>21</w:t>
      </w:r>
      <w:r w:rsidRPr="5B47F224" w:rsidR="0892C5D9">
        <w:rPr>
          <w:rFonts w:ascii="Aptos" w:hAnsi="Aptos" w:eastAsia="Aptos" w:cs="Aptos"/>
          <w:noProof w:val="0"/>
          <w:sz w:val="24"/>
          <w:szCs w:val="24"/>
          <w:lang w:val="en-GB"/>
        </w:rPr>
        <w:t>). These sensors enable precise movement tracking and biomechanical analysis in wearable technology (</w:t>
      </w:r>
      <w:r w:rsidRPr="5B47F224" w:rsidR="0892C5D9">
        <w:rPr>
          <w:rFonts w:ascii="Aptos" w:hAnsi="Aptos" w:eastAsia="Aptos" w:cs="Aptos"/>
          <w:noProof w:val="0"/>
          <w:color w:val="000000" w:themeColor="text1" w:themeTint="FF" w:themeShade="FF"/>
          <w:sz w:val="24"/>
          <w:szCs w:val="24"/>
          <w:vertAlign w:val="superscript"/>
          <w:lang w:val="en-GB"/>
        </w:rPr>
        <w:t>21</w:t>
      </w:r>
      <w:r w:rsidRPr="5B47F224" w:rsidR="0892C5D9">
        <w:rPr>
          <w:rFonts w:ascii="Aptos" w:hAnsi="Aptos" w:eastAsia="Aptos" w:cs="Aptos"/>
          <w:noProof w:val="0"/>
          <w:sz w:val="24"/>
          <w:szCs w:val="24"/>
          <w:lang w:val="en-GB"/>
        </w:rPr>
        <w:t>).</w:t>
      </w:r>
    </w:p>
    <w:p xmlns:wp14="http://schemas.microsoft.com/office/word/2010/wordml" w:rsidP="5B47F224" wp14:paraId="0668391F" wp14:textId="07E1202E">
      <w:pPr>
        <w:spacing w:before="0" w:beforeAutospacing="off" w:after="160" w:afterAutospacing="off" w:line="276" w:lineRule="auto"/>
      </w:pPr>
      <w:r w:rsidRPr="5B47F224" w:rsidR="0892C5D9">
        <w:rPr>
          <w:rFonts w:ascii="Aptos" w:hAnsi="Aptos" w:eastAsia="Aptos" w:cs="Aptos"/>
          <w:b w:val="1"/>
          <w:bCs w:val="1"/>
          <w:noProof w:val="0"/>
          <w:sz w:val="24"/>
          <w:szCs w:val="24"/>
          <w:lang w:val="en-GB"/>
        </w:rPr>
        <w:t>Figure 9</w:t>
      </w:r>
      <w:r w:rsidRPr="5B47F224" w:rsidR="0892C5D9">
        <w:rPr>
          <w:rFonts w:ascii="Aptos" w:hAnsi="Aptos" w:eastAsia="Aptos" w:cs="Aptos"/>
          <w:noProof w:val="0"/>
          <w:sz w:val="24"/>
          <w:szCs w:val="24"/>
          <w:lang w:val="en-GB"/>
        </w:rPr>
        <w:t>. How the MEMs inertial measurement unit works. Image from (</w:t>
      </w:r>
      <w:hyperlink r:id="R8cdcbe3ab8bc4aa5">
        <w:r w:rsidRPr="5B47F224" w:rsidR="0892C5D9">
          <w:rPr>
            <w:rStyle w:val="Hyperlink"/>
            <w:rFonts w:ascii="Aptos" w:hAnsi="Aptos" w:eastAsia="Aptos" w:cs="Aptos"/>
            <w:strike w:val="0"/>
            <w:dstrike w:val="0"/>
            <w:noProof w:val="0"/>
            <w:color w:val="467886"/>
            <w:sz w:val="24"/>
            <w:szCs w:val="24"/>
            <w:u w:val="single"/>
            <w:lang w:val="en-GB"/>
          </w:rPr>
          <w:t>https://www.ericcointernational.com/inertial-measurement-units</w:t>
        </w:r>
      </w:hyperlink>
      <w:r w:rsidRPr="5B47F224" w:rsidR="0892C5D9">
        <w:rPr>
          <w:rFonts w:ascii="Aptos" w:hAnsi="Aptos" w:eastAsia="Aptos" w:cs="Aptos"/>
          <w:noProof w:val="0"/>
          <w:sz w:val="24"/>
          <w:szCs w:val="24"/>
          <w:lang w:val="en-GB"/>
        </w:rPr>
        <w:t xml:space="preserve"> )</w:t>
      </w:r>
    </w:p>
    <w:p xmlns:wp14="http://schemas.microsoft.com/office/word/2010/wordml" w:rsidP="5B47F224" wp14:paraId="31AA5A16" wp14:textId="7A6B6880">
      <w:pPr>
        <w:pStyle w:val="Heading1"/>
        <w:spacing w:before="360" w:beforeAutospacing="off" w:after="80" w:afterAutospacing="off" w:line="276" w:lineRule="auto"/>
      </w:pPr>
      <w:r w:rsidRPr="5B47F224" w:rsidR="0892C5D9">
        <w:rPr>
          <w:rFonts w:ascii="Aptos Display" w:hAnsi="Aptos Display" w:eastAsia="Aptos Display" w:cs="Aptos Display"/>
          <w:b w:val="1"/>
          <w:bCs w:val="1"/>
          <w:noProof w:val="0"/>
          <w:color w:val="0F4761" w:themeColor="accent1" w:themeTint="FF" w:themeShade="BF"/>
          <w:sz w:val="40"/>
          <w:szCs w:val="40"/>
          <w:lang w:val="en-GB"/>
        </w:rPr>
        <w:t>Product rationale</w:t>
      </w:r>
    </w:p>
    <w:p xmlns:wp14="http://schemas.microsoft.com/office/word/2010/wordml" w:rsidP="5B47F224" wp14:paraId="046099AC" wp14:textId="5E9E5073">
      <w:pPr>
        <w:spacing w:before="0" w:beforeAutospacing="off" w:after="160" w:afterAutospacing="off" w:line="276" w:lineRule="auto"/>
      </w:pPr>
      <w:r w:rsidRPr="5B47F224" w:rsidR="0892C5D9">
        <w:rPr>
          <w:rFonts w:ascii="Aptos" w:hAnsi="Aptos" w:eastAsia="Aptos" w:cs="Aptos"/>
          <w:noProof w:val="0"/>
          <w:sz w:val="24"/>
          <w:szCs w:val="24"/>
          <w:lang w:val="en-GB"/>
        </w:rPr>
        <w:t>Common wrist-guards are used to provide stabilisation and reduce hyperextension while performing high impact skills (</w:t>
      </w:r>
      <w:r w:rsidRPr="5B47F224" w:rsidR="0892C5D9">
        <w:rPr>
          <w:rFonts w:ascii="Aptos" w:hAnsi="Aptos" w:eastAsia="Aptos" w:cs="Aptos"/>
          <w:noProof w:val="0"/>
          <w:color w:val="000000" w:themeColor="text1" w:themeTint="FF" w:themeShade="FF"/>
          <w:sz w:val="24"/>
          <w:szCs w:val="24"/>
          <w:vertAlign w:val="superscript"/>
          <w:lang w:val="en-GB"/>
        </w:rPr>
        <w:t>8</w:t>
      </w:r>
      <w:r w:rsidRPr="5B47F224" w:rsidR="0892C5D9">
        <w:rPr>
          <w:rFonts w:ascii="Aptos" w:hAnsi="Aptos" w:eastAsia="Aptos" w:cs="Aptos"/>
          <w:noProof w:val="0"/>
          <w:sz w:val="24"/>
          <w:szCs w:val="24"/>
          <w:lang w:val="en-GB"/>
        </w:rPr>
        <w:t>). However, they do not provide feedback on wrist loading, therefore it is unclear how they affect wrist loading during weight-bearing skills (</w:t>
      </w:r>
      <w:r w:rsidRPr="5B47F224" w:rsidR="0892C5D9">
        <w:rPr>
          <w:rFonts w:ascii="Aptos" w:hAnsi="Aptos" w:eastAsia="Aptos" w:cs="Aptos"/>
          <w:noProof w:val="0"/>
          <w:color w:val="000000" w:themeColor="text1" w:themeTint="FF" w:themeShade="FF"/>
          <w:sz w:val="24"/>
          <w:szCs w:val="24"/>
          <w:vertAlign w:val="superscript"/>
          <w:lang w:val="en-GB"/>
        </w:rPr>
        <w:t>23</w:t>
      </w:r>
      <w:r w:rsidRPr="5B47F224" w:rsidR="0892C5D9">
        <w:rPr>
          <w:rFonts w:ascii="Aptos" w:hAnsi="Aptos" w:eastAsia="Aptos" w:cs="Aptos"/>
          <w:noProof w:val="0"/>
          <w:sz w:val="24"/>
          <w:szCs w:val="24"/>
          <w:lang w:val="en-GB"/>
        </w:rPr>
        <w:t xml:space="preserve">). My product addresses this gap by integrating wearable technology to deliver real-time monitoring and feedback. </w:t>
      </w:r>
    </w:p>
    <w:p xmlns:wp14="http://schemas.microsoft.com/office/word/2010/wordml" w:rsidP="5B47F224" wp14:paraId="665B8F55" wp14:textId="588472FC">
      <w:pPr>
        <w:spacing w:before="0" w:beforeAutospacing="off" w:after="160" w:afterAutospacing="off" w:line="276" w:lineRule="auto"/>
      </w:pPr>
      <w:r w:rsidRPr="5B47F224" w:rsidR="0892C5D9">
        <w:rPr>
          <w:rFonts w:ascii="Aptos" w:hAnsi="Aptos" w:eastAsia="Aptos" w:cs="Aptos"/>
          <w:noProof w:val="0"/>
          <w:sz w:val="24"/>
          <w:szCs w:val="24"/>
          <w:lang w:val="en-GB"/>
        </w:rPr>
        <w:t>Muscle fatigue occurs when “a muscle loses its ability to maintain maximum force output after one maximal or multiple submaximal contractions.” (</w:t>
      </w:r>
      <w:r w:rsidRPr="5B47F224" w:rsidR="0892C5D9">
        <w:rPr>
          <w:rFonts w:ascii="Aptos" w:hAnsi="Aptos" w:eastAsia="Aptos" w:cs="Aptos"/>
          <w:noProof w:val="0"/>
          <w:color w:val="000000" w:themeColor="text1" w:themeTint="FF" w:themeShade="FF"/>
          <w:sz w:val="24"/>
          <w:szCs w:val="24"/>
          <w:vertAlign w:val="superscript"/>
          <w:lang w:val="en-GB"/>
        </w:rPr>
        <w:t>24</w:t>
      </w:r>
      <w:r w:rsidRPr="5B47F224" w:rsidR="0892C5D9">
        <w:rPr>
          <w:rFonts w:ascii="Aptos" w:hAnsi="Aptos" w:eastAsia="Aptos" w:cs="Aptos"/>
          <w:noProof w:val="0"/>
          <w:sz w:val="24"/>
          <w:szCs w:val="24"/>
          <w:lang w:val="en-GB"/>
        </w:rPr>
        <w:t>).  While research on wrist muscle fatigue is limited, studies show it negatively affects joint position sense (JPS) and function in the ankle, knee, elbow and shoulder (</w:t>
      </w:r>
      <w:r w:rsidRPr="5B47F224" w:rsidR="0892C5D9">
        <w:rPr>
          <w:rFonts w:ascii="Aptos" w:hAnsi="Aptos" w:eastAsia="Aptos" w:cs="Aptos"/>
          <w:noProof w:val="0"/>
          <w:color w:val="000000" w:themeColor="text1" w:themeTint="FF" w:themeShade="FF"/>
          <w:sz w:val="24"/>
          <w:szCs w:val="24"/>
          <w:vertAlign w:val="superscript"/>
          <w:lang w:val="en-GB"/>
        </w:rPr>
        <w:t>25</w:t>
      </w:r>
      <w:r w:rsidRPr="5B47F224" w:rsidR="0892C5D9">
        <w:rPr>
          <w:rFonts w:ascii="Aptos" w:hAnsi="Aptos" w:eastAsia="Aptos" w:cs="Aptos"/>
          <w:b w:val="1"/>
          <w:bCs w:val="1"/>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26</w:t>
      </w:r>
      <w:r w:rsidRPr="5B47F224" w:rsidR="0892C5D9">
        <w:rPr>
          <w:rFonts w:ascii="Aptos" w:hAnsi="Aptos" w:eastAsia="Aptos" w:cs="Aptos"/>
          <w:b w:val="1"/>
          <w:bCs w:val="1"/>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27</w:t>
      </w:r>
      <w:r w:rsidRPr="5B47F224" w:rsidR="0892C5D9">
        <w:rPr>
          <w:rFonts w:ascii="Aptos" w:hAnsi="Aptos" w:eastAsia="Aptos" w:cs="Aptos"/>
          <w:noProof w:val="0"/>
          <w:sz w:val="24"/>
          <w:szCs w:val="24"/>
          <w:lang w:val="en-GB"/>
        </w:rPr>
        <w:t>). A post-exercise strength decline of 20-30% is linked to significant JPS deficits at the elbow and knee (</w:t>
      </w:r>
      <w:r w:rsidRPr="5B47F224" w:rsidR="0892C5D9">
        <w:rPr>
          <w:rFonts w:ascii="Aptos" w:hAnsi="Aptos" w:eastAsia="Aptos" w:cs="Aptos"/>
          <w:noProof w:val="0"/>
          <w:color w:val="000000" w:themeColor="text1" w:themeTint="FF" w:themeShade="FF"/>
          <w:sz w:val="24"/>
          <w:szCs w:val="24"/>
          <w:vertAlign w:val="superscript"/>
          <w:lang w:val="en-GB"/>
        </w:rPr>
        <w:t>28</w:t>
      </w:r>
      <w:r w:rsidRPr="5B47F224" w:rsidR="0892C5D9">
        <w:rPr>
          <w:rFonts w:ascii="Aptos" w:hAnsi="Aptos" w:eastAsia="Aptos" w:cs="Aptos"/>
          <w:b w:val="1"/>
          <w:bCs w:val="1"/>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29</w:t>
      </w:r>
      <w:r w:rsidRPr="5B47F224" w:rsidR="0892C5D9">
        <w:rPr>
          <w:rFonts w:ascii="Aptos" w:hAnsi="Aptos" w:eastAsia="Aptos" w:cs="Aptos"/>
          <w:noProof w:val="0"/>
          <w:sz w:val="24"/>
          <w:szCs w:val="24"/>
          <w:lang w:val="en-GB"/>
        </w:rPr>
        <w:t>), while a 50% decline affects the shoulder and ankle (</w:t>
      </w:r>
      <w:r w:rsidRPr="5B47F224" w:rsidR="0892C5D9">
        <w:rPr>
          <w:rFonts w:ascii="Aptos" w:hAnsi="Aptos" w:eastAsia="Aptos" w:cs="Aptos"/>
          <w:noProof w:val="0"/>
          <w:color w:val="000000" w:themeColor="text1" w:themeTint="FF" w:themeShade="FF"/>
          <w:sz w:val="24"/>
          <w:szCs w:val="24"/>
          <w:vertAlign w:val="superscript"/>
          <w:lang w:val="en-GB"/>
        </w:rPr>
        <w:t>30</w:t>
      </w:r>
      <w:r w:rsidRPr="5B47F224" w:rsidR="0892C5D9">
        <w:rPr>
          <w:rFonts w:ascii="Aptos" w:hAnsi="Aptos" w:eastAsia="Aptos" w:cs="Aptos"/>
          <w:b w:val="1"/>
          <w:bCs w:val="1"/>
          <w:noProof w:val="0"/>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31</w:t>
      </w:r>
      <w:r w:rsidRPr="5B47F224" w:rsidR="0892C5D9">
        <w:rPr>
          <w:rFonts w:ascii="Aptos" w:hAnsi="Aptos" w:eastAsia="Aptos" w:cs="Aptos"/>
          <w:noProof w:val="0"/>
          <w:sz w:val="24"/>
          <w:szCs w:val="24"/>
          <w:lang w:val="en-GB"/>
        </w:rPr>
        <w:t>). Since JPS deficits can increase the risk of injury (</w:t>
      </w:r>
      <w:r w:rsidRPr="5B47F224" w:rsidR="0892C5D9">
        <w:rPr>
          <w:rFonts w:ascii="Aptos" w:hAnsi="Aptos" w:eastAsia="Aptos" w:cs="Aptos"/>
          <w:noProof w:val="0"/>
          <w:color w:val="000000" w:themeColor="text1" w:themeTint="FF" w:themeShade="FF"/>
          <w:sz w:val="24"/>
          <w:szCs w:val="24"/>
          <w:vertAlign w:val="superscript"/>
          <w:lang w:val="en-GB"/>
        </w:rPr>
        <w:t>24</w:t>
      </w:r>
      <w:r w:rsidRPr="5B47F224" w:rsidR="0892C5D9">
        <w:rPr>
          <w:rFonts w:ascii="Aptos" w:hAnsi="Aptos" w:eastAsia="Aptos" w:cs="Aptos"/>
          <w:noProof w:val="0"/>
          <w:sz w:val="24"/>
          <w:szCs w:val="24"/>
          <w:lang w:val="en-GB"/>
        </w:rPr>
        <w:t>), monitoring wrist fatigue and loading in real-time could reduce injury risk and enhance performance. Integrating feedback mechanisms into wrist-guards will help gymnasts recognise muscle fatigue and potential injury risk when training multiple reps of high impact skills (</w:t>
      </w:r>
      <w:r w:rsidRPr="5B47F224" w:rsidR="0892C5D9">
        <w:rPr>
          <w:rFonts w:ascii="Aptos" w:hAnsi="Aptos" w:eastAsia="Aptos" w:cs="Aptos"/>
          <w:noProof w:val="0"/>
          <w:color w:val="000000" w:themeColor="text1" w:themeTint="FF" w:themeShade="FF"/>
          <w:sz w:val="24"/>
          <w:szCs w:val="24"/>
          <w:vertAlign w:val="superscript"/>
          <w:lang w:val="en-GB"/>
        </w:rPr>
        <w:t>32</w:t>
      </w:r>
      <w:r w:rsidRPr="5B47F224" w:rsidR="0892C5D9">
        <w:rPr>
          <w:rFonts w:ascii="Aptos" w:hAnsi="Aptos" w:eastAsia="Aptos" w:cs="Aptos"/>
          <w:noProof w:val="0"/>
          <w:sz w:val="24"/>
          <w:szCs w:val="24"/>
          <w:lang w:val="en-GB"/>
        </w:rPr>
        <w:t>). Research shows that haptic feedback effectively controls force, making it a useful method for injury prevention (</w:t>
      </w:r>
      <w:r w:rsidRPr="5B47F224" w:rsidR="0892C5D9">
        <w:rPr>
          <w:rFonts w:ascii="Aptos" w:hAnsi="Aptos" w:eastAsia="Aptos" w:cs="Aptos"/>
          <w:noProof w:val="0"/>
          <w:color w:val="000000" w:themeColor="text1" w:themeTint="FF" w:themeShade="FF"/>
          <w:sz w:val="24"/>
          <w:szCs w:val="24"/>
          <w:vertAlign w:val="superscript"/>
          <w:lang w:val="en-GB"/>
        </w:rPr>
        <w:t>32</w:t>
      </w:r>
      <w:r w:rsidRPr="5B47F224" w:rsidR="0892C5D9">
        <w:rPr>
          <w:rFonts w:ascii="Aptos" w:hAnsi="Aptos" w:eastAsia="Aptos" w:cs="Aptos"/>
          <w:noProof w:val="0"/>
          <w:sz w:val="24"/>
          <w:szCs w:val="24"/>
          <w:lang w:val="en-GB"/>
        </w:rPr>
        <w:t>).</w:t>
      </w:r>
    </w:p>
    <w:p xmlns:wp14="http://schemas.microsoft.com/office/word/2010/wordml" w:rsidP="5B47F224" wp14:paraId="40B1624D" wp14:textId="2445DA5F">
      <w:pPr>
        <w:pStyle w:val="Heading1"/>
        <w:spacing w:before="360" w:beforeAutospacing="off" w:after="80" w:afterAutospacing="off" w:line="276" w:lineRule="auto"/>
      </w:pPr>
      <w:r w:rsidRPr="5B47F224" w:rsidR="0892C5D9">
        <w:rPr>
          <w:rFonts w:ascii="Aptos Display" w:hAnsi="Aptos Display" w:eastAsia="Aptos Display" w:cs="Aptos Display"/>
          <w:b w:val="1"/>
          <w:bCs w:val="1"/>
          <w:noProof w:val="0"/>
          <w:color w:val="0F4761" w:themeColor="accent1" w:themeTint="FF" w:themeShade="BF"/>
          <w:sz w:val="40"/>
          <w:szCs w:val="40"/>
          <w:lang w:val="en-GB"/>
        </w:rPr>
        <w:t>Product overview and function</w:t>
      </w:r>
    </w:p>
    <w:p xmlns:wp14="http://schemas.microsoft.com/office/word/2010/wordml" w:rsidP="5B47F224" wp14:paraId="1A0661A7" wp14:textId="355F41DC">
      <w:pPr>
        <w:pStyle w:val="Heading3"/>
        <w:spacing w:before="160" w:beforeAutospacing="off" w:after="80" w:afterAutospacing="off" w:line="276" w:lineRule="auto"/>
      </w:pPr>
      <w:r w:rsidRPr="5B47F224" w:rsidR="0892C5D9">
        <w:rPr>
          <w:rFonts w:ascii="Aptos" w:hAnsi="Aptos" w:eastAsia="Aptos" w:cs="Aptos"/>
          <w:b w:val="0"/>
          <w:bCs w:val="0"/>
          <w:noProof w:val="0"/>
          <w:color w:val="0F4761" w:themeColor="accent1" w:themeTint="FF" w:themeShade="BF"/>
          <w:sz w:val="28"/>
          <w:szCs w:val="28"/>
          <w:lang w:val="en-GB"/>
        </w:rPr>
        <w:t>Measurement and/or protection mechanism:</w:t>
      </w:r>
    </w:p>
    <w:p xmlns:wp14="http://schemas.microsoft.com/office/word/2010/wordml" w:rsidP="5B47F224" wp14:paraId="1909F9C5" wp14:textId="2135F228">
      <w:pPr>
        <w:spacing w:before="0" w:beforeAutospacing="off" w:after="160" w:afterAutospacing="off" w:line="276" w:lineRule="auto"/>
      </w:pPr>
      <w:r w:rsidRPr="5B47F224" w:rsidR="0892C5D9">
        <w:rPr>
          <w:rFonts w:ascii="Aptos" w:hAnsi="Aptos" w:eastAsia="Aptos" w:cs="Aptos"/>
          <w:noProof w:val="0"/>
          <w:color w:val="000000" w:themeColor="text1" w:themeTint="FF" w:themeShade="FF"/>
          <w:sz w:val="24"/>
          <w:szCs w:val="24"/>
          <w:lang w:val="en-GB"/>
        </w:rPr>
        <w:t>My product is designed to measure force and muscle activity in the wrist during high-impact skills in gymnastics. It also aims to provide protection through real-time feedback and alerts. Tactile force sensors embedded into the wrist-guard to measure the amount of impact force placed onto the wrist joint during gymnastics skills (</w:t>
      </w:r>
      <w:r w:rsidRPr="5B47F224" w:rsidR="0892C5D9">
        <w:rPr>
          <w:rFonts w:ascii="Aptos" w:hAnsi="Aptos" w:eastAsia="Aptos" w:cs="Aptos"/>
          <w:noProof w:val="0"/>
          <w:color w:val="000000" w:themeColor="text1" w:themeTint="FF" w:themeShade="FF"/>
          <w:sz w:val="24"/>
          <w:szCs w:val="24"/>
          <w:vertAlign w:val="superscript"/>
          <w:lang w:val="en-GB"/>
        </w:rPr>
        <w:t>33</w:t>
      </w:r>
      <w:r w:rsidRPr="5B47F224" w:rsidR="0892C5D9">
        <w:rPr>
          <w:rFonts w:ascii="Aptos" w:hAnsi="Aptos" w:eastAsia="Aptos" w:cs="Aptos"/>
          <w:noProof w:val="0"/>
          <w:color w:val="000000" w:themeColor="text1" w:themeTint="FF" w:themeShade="FF"/>
          <w:sz w:val="24"/>
          <w:szCs w:val="24"/>
          <w:lang w:val="en-GB"/>
        </w:rPr>
        <w:t>). The sensors activate when excessive pressure is placed on the wrist joint (</w:t>
      </w:r>
      <w:r w:rsidRPr="5B47F224" w:rsidR="0892C5D9">
        <w:rPr>
          <w:rFonts w:ascii="Aptos" w:hAnsi="Aptos" w:eastAsia="Aptos" w:cs="Aptos"/>
          <w:noProof w:val="0"/>
          <w:color w:val="000000" w:themeColor="text1" w:themeTint="FF" w:themeShade="FF"/>
          <w:sz w:val="24"/>
          <w:szCs w:val="24"/>
          <w:vertAlign w:val="superscript"/>
          <w:lang w:val="en-GB"/>
        </w:rPr>
        <w:t>34</w:t>
      </w:r>
      <w:r w:rsidRPr="5B47F224" w:rsidR="0892C5D9">
        <w:rPr>
          <w:rFonts w:ascii="Aptos" w:hAnsi="Aptos" w:eastAsia="Aptos" w:cs="Aptos"/>
          <w:noProof w:val="0"/>
          <w:color w:val="000000" w:themeColor="text1" w:themeTint="FF" w:themeShade="FF"/>
          <w:sz w:val="24"/>
          <w:szCs w:val="24"/>
          <w:lang w:val="en-GB"/>
        </w:rPr>
        <w:t>). Textile EMGs placed into the wrist-guard will track muscle excitation in the forearm and wrist during training (</w:t>
      </w:r>
      <w:r w:rsidRPr="5B47F224" w:rsidR="0892C5D9">
        <w:rPr>
          <w:rFonts w:ascii="Aptos" w:hAnsi="Aptos" w:eastAsia="Aptos" w:cs="Aptos"/>
          <w:noProof w:val="0"/>
          <w:color w:val="000000" w:themeColor="text1" w:themeTint="FF" w:themeShade="FF"/>
          <w:sz w:val="24"/>
          <w:szCs w:val="24"/>
          <w:vertAlign w:val="superscript"/>
          <w:lang w:val="en-GB"/>
        </w:rPr>
        <w:t>35</w:t>
      </w:r>
      <w:r w:rsidRPr="5B47F224" w:rsidR="0892C5D9">
        <w:rPr>
          <w:rFonts w:ascii="Aptos" w:hAnsi="Aptos" w:eastAsia="Aptos" w:cs="Aptos"/>
          <w:b w:val="1"/>
          <w:bCs w:val="1"/>
          <w:noProof w:val="0"/>
          <w:color w:val="000000" w:themeColor="text1" w:themeTint="FF" w:themeShade="FF"/>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15</w:t>
      </w:r>
      <w:r w:rsidRPr="5B47F224" w:rsidR="0892C5D9">
        <w:rPr>
          <w:rFonts w:ascii="Aptos" w:hAnsi="Aptos" w:eastAsia="Aptos" w:cs="Aptos"/>
          <w:noProof w:val="0"/>
          <w:color w:val="000000" w:themeColor="text1" w:themeTint="FF" w:themeShade="FF"/>
          <w:sz w:val="24"/>
          <w:szCs w:val="24"/>
          <w:lang w:val="en-GB"/>
        </w:rPr>
        <w:t>). This data will help detect muscle fatigue, which has a significant effect on wrists postexercise (</w:t>
      </w:r>
      <w:r w:rsidRPr="5B47F224" w:rsidR="0892C5D9">
        <w:rPr>
          <w:rFonts w:ascii="Aptos" w:hAnsi="Aptos" w:eastAsia="Aptos" w:cs="Aptos"/>
          <w:noProof w:val="0"/>
          <w:color w:val="000000" w:themeColor="text1" w:themeTint="FF" w:themeShade="FF"/>
          <w:sz w:val="24"/>
          <w:szCs w:val="24"/>
          <w:vertAlign w:val="superscript"/>
          <w:lang w:val="en-GB"/>
        </w:rPr>
        <w:t>24</w:t>
      </w:r>
      <w:r w:rsidRPr="5B47F224" w:rsidR="0892C5D9">
        <w:rPr>
          <w:rFonts w:ascii="Aptos" w:hAnsi="Aptos" w:eastAsia="Aptos" w:cs="Aptos"/>
          <w:noProof w:val="0"/>
          <w:color w:val="000000" w:themeColor="text1" w:themeTint="FF" w:themeShade="FF"/>
          <w:sz w:val="24"/>
          <w:szCs w:val="24"/>
          <w:lang w:val="en-GB"/>
        </w:rPr>
        <w:t>). The addition of IMUs in the wrist-guards will monitor the wrists angle during dynamic movements (</w:t>
      </w:r>
      <w:r w:rsidRPr="5B47F224" w:rsidR="0892C5D9">
        <w:rPr>
          <w:rFonts w:ascii="Aptos" w:hAnsi="Aptos" w:eastAsia="Aptos" w:cs="Aptos"/>
          <w:noProof w:val="0"/>
          <w:color w:val="000000" w:themeColor="text1" w:themeTint="FF" w:themeShade="FF"/>
          <w:sz w:val="24"/>
          <w:szCs w:val="24"/>
          <w:vertAlign w:val="superscript"/>
          <w:lang w:val="en-GB"/>
        </w:rPr>
        <w:t>36</w:t>
      </w:r>
      <w:r w:rsidRPr="5B47F224" w:rsidR="0892C5D9">
        <w:rPr>
          <w:rFonts w:ascii="Aptos" w:hAnsi="Aptos" w:eastAsia="Aptos" w:cs="Aptos"/>
          <w:b w:val="1"/>
          <w:bCs w:val="1"/>
          <w:noProof w:val="0"/>
          <w:color w:val="000000" w:themeColor="text1" w:themeTint="FF" w:themeShade="FF"/>
          <w:sz w:val="24"/>
          <w:szCs w:val="24"/>
          <w:lang w:val="en-GB"/>
        </w:rPr>
        <w:t xml:space="preserve">, </w:t>
      </w:r>
      <w:r w:rsidRPr="5B47F224" w:rsidR="0892C5D9">
        <w:rPr>
          <w:rFonts w:ascii="Aptos" w:hAnsi="Aptos" w:eastAsia="Aptos" w:cs="Aptos"/>
          <w:noProof w:val="0"/>
          <w:color w:val="000000" w:themeColor="text1" w:themeTint="FF" w:themeShade="FF"/>
          <w:sz w:val="24"/>
          <w:szCs w:val="24"/>
          <w:vertAlign w:val="superscript"/>
          <w:lang w:val="en-GB"/>
        </w:rPr>
        <w:t>21</w:t>
      </w:r>
      <w:r w:rsidRPr="5B47F224" w:rsidR="0892C5D9">
        <w:rPr>
          <w:rFonts w:ascii="Aptos" w:hAnsi="Aptos" w:eastAsia="Aptos" w:cs="Aptos"/>
          <w:noProof w:val="0"/>
          <w:color w:val="000000" w:themeColor="text1" w:themeTint="FF" w:themeShade="FF"/>
          <w:sz w:val="24"/>
          <w:szCs w:val="24"/>
          <w:lang w:val="en-GB"/>
        </w:rPr>
        <w:t>), such as correct hand placements in a round-off during vaulting or tumbling, to ensure the wrist position remains within a safe range (</w:t>
      </w:r>
      <w:r w:rsidRPr="5B47F224" w:rsidR="0892C5D9">
        <w:rPr>
          <w:rFonts w:ascii="Aptos" w:hAnsi="Aptos" w:eastAsia="Aptos" w:cs="Aptos"/>
          <w:noProof w:val="0"/>
          <w:color w:val="000000" w:themeColor="text1" w:themeTint="FF" w:themeShade="FF"/>
          <w:sz w:val="24"/>
          <w:szCs w:val="24"/>
          <w:vertAlign w:val="superscript"/>
          <w:lang w:val="en-GB"/>
        </w:rPr>
        <w:t>37</w:t>
      </w:r>
      <w:r w:rsidRPr="5B47F224" w:rsidR="0892C5D9">
        <w:rPr>
          <w:rFonts w:ascii="Aptos" w:hAnsi="Aptos" w:eastAsia="Aptos" w:cs="Aptos"/>
          <w:noProof w:val="0"/>
          <w:color w:val="000000" w:themeColor="text1" w:themeTint="FF" w:themeShade="FF"/>
          <w:sz w:val="24"/>
          <w:szCs w:val="24"/>
          <w:lang w:val="en-GB"/>
        </w:rPr>
        <w:t>) (Figure 10).</w:t>
      </w:r>
    </w:p>
    <w:p xmlns:wp14="http://schemas.microsoft.com/office/word/2010/wordml" w:rsidP="5B47F224" wp14:paraId="6532B014" wp14:textId="33165575">
      <w:pPr>
        <w:spacing w:before="0" w:beforeAutospacing="off" w:after="160" w:afterAutospacing="off" w:line="276" w:lineRule="auto"/>
      </w:pPr>
      <w:r w:rsidRPr="5B47F224" w:rsidR="0892C5D9">
        <w:rPr>
          <w:rFonts w:ascii="Aptos" w:hAnsi="Aptos" w:eastAsia="Aptos" w:cs="Aptos"/>
          <w:b w:val="1"/>
          <w:bCs w:val="1"/>
          <w:noProof w:val="0"/>
          <w:color w:val="000000" w:themeColor="text1" w:themeTint="FF" w:themeShade="FF"/>
          <w:sz w:val="24"/>
          <w:szCs w:val="24"/>
          <w:lang w:val="en-GB"/>
        </w:rPr>
        <w:t>Figure 10.</w:t>
      </w:r>
      <w:r w:rsidRPr="5B47F224" w:rsidR="0892C5D9">
        <w:rPr>
          <w:rFonts w:ascii="Aptos" w:hAnsi="Aptos" w:eastAsia="Aptos" w:cs="Aptos"/>
          <w:noProof w:val="0"/>
          <w:color w:val="000000" w:themeColor="text1" w:themeTint="FF" w:themeShade="FF"/>
          <w:sz w:val="24"/>
          <w:szCs w:val="24"/>
          <w:lang w:val="en-GB"/>
        </w:rPr>
        <w:t xml:space="preserve"> Correct hand position in a roundoff. Image from (</w:t>
      </w:r>
      <w:r w:rsidRPr="5B47F224" w:rsidR="0892C5D9">
        <w:rPr>
          <w:rFonts w:ascii="Aptos" w:hAnsi="Aptos" w:eastAsia="Aptos" w:cs="Aptos"/>
          <w:noProof w:val="0"/>
          <w:color w:val="000000" w:themeColor="text1" w:themeTint="FF" w:themeShade="FF"/>
          <w:sz w:val="24"/>
          <w:szCs w:val="24"/>
          <w:vertAlign w:val="superscript"/>
          <w:lang w:val="en-GB"/>
        </w:rPr>
        <w:t>37</w:t>
      </w:r>
      <w:r w:rsidRPr="5B47F224" w:rsidR="0892C5D9">
        <w:rPr>
          <w:rFonts w:ascii="Aptos" w:hAnsi="Aptos" w:eastAsia="Aptos" w:cs="Aptos"/>
          <w:noProof w:val="0"/>
          <w:color w:val="000000" w:themeColor="text1" w:themeTint="FF" w:themeShade="FF"/>
          <w:sz w:val="24"/>
          <w:szCs w:val="24"/>
          <w:lang w:val="en-GB"/>
        </w:rPr>
        <w:t>).</w:t>
      </w:r>
    </w:p>
    <w:p xmlns:wp14="http://schemas.microsoft.com/office/word/2010/wordml" w:rsidP="5B47F224" wp14:paraId="5B2B2114" wp14:textId="1F02AC51">
      <w:pPr>
        <w:spacing w:before="0" w:beforeAutospacing="off" w:after="160" w:afterAutospacing="off" w:line="276" w:lineRule="auto"/>
      </w:pPr>
      <w:r w:rsidRPr="5B47F224" w:rsidR="0892C5D9">
        <w:rPr>
          <w:rFonts w:ascii="Aptos" w:hAnsi="Aptos" w:eastAsia="Aptos" w:cs="Aptos"/>
          <w:noProof w:val="0"/>
          <w:color w:val="000000" w:themeColor="text1" w:themeTint="FF" w:themeShade="FF"/>
          <w:sz w:val="24"/>
          <w:szCs w:val="24"/>
          <w:lang w:val="en-GB"/>
        </w:rPr>
        <w:t>When worn, the wrist-guards will provide real-time feedback by dynamic vibrotactile to gymnasts when their force exceeds the threshold, alerting them to either change their technique or take a break (</w:t>
      </w:r>
      <w:r w:rsidRPr="5B47F224" w:rsidR="0892C5D9">
        <w:rPr>
          <w:rFonts w:ascii="Aptos" w:hAnsi="Aptos" w:eastAsia="Aptos" w:cs="Aptos"/>
          <w:noProof w:val="0"/>
          <w:color w:val="000000" w:themeColor="text1" w:themeTint="FF" w:themeShade="FF"/>
          <w:sz w:val="24"/>
          <w:szCs w:val="24"/>
          <w:vertAlign w:val="superscript"/>
          <w:lang w:val="en-GB"/>
        </w:rPr>
        <w:t>32</w:t>
      </w:r>
      <w:r w:rsidRPr="5B47F224" w:rsidR="0892C5D9">
        <w:rPr>
          <w:rFonts w:ascii="Aptos" w:hAnsi="Aptos" w:eastAsia="Aptos" w:cs="Aptos"/>
          <w:b w:val="1"/>
          <w:bCs w:val="1"/>
          <w:noProof w:val="0"/>
          <w:color w:val="000000" w:themeColor="text1" w:themeTint="FF" w:themeShade="FF"/>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 xml:space="preserve"> 34</w:t>
      </w:r>
      <w:r w:rsidRPr="5B47F224" w:rsidR="0892C5D9">
        <w:rPr>
          <w:rFonts w:ascii="Aptos" w:hAnsi="Aptos" w:eastAsia="Aptos" w:cs="Aptos"/>
          <w:noProof w:val="0"/>
          <w:color w:val="000000" w:themeColor="text1" w:themeTint="FF" w:themeShade="FF"/>
          <w:sz w:val="24"/>
          <w:szCs w:val="24"/>
          <w:lang w:val="en-GB"/>
        </w:rPr>
        <w:t xml:space="preserve">). The product is connected to a mobile app where details of specified skills are updated.  The app creates adjustments and recommendations on technique, improvements and logs the data helping gymnasts and coaches prevent and track injuries. </w:t>
      </w:r>
    </w:p>
    <w:p xmlns:wp14="http://schemas.microsoft.com/office/word/2010/wordml" w:rsidP="5B47F224" wp14:paraId="335DDF3E" wp14:textId="4674D633">
      <w:pPr>
        <w:pStyle w:val="Heading3"/>
        <w:spacing w:before="160" w:beforeAutospacing="off" w:after="80" w:afterAutospacing="off" w:line="276" w:lineRule="auto"/>
      </w:pPr>
      <w:r w:rsidRPr="5B47F224" w:rsidR="0892C5D9">
        <w:rPr>
          <w:rFonts w:ascii="Aptos" w:hAnsi="Aptos" w:eastAsia="Aptos" w:cs="Aptos"/>
          <w:b w:val="0"/>
          <w:bCs w:val="0"/>
          <w:noProof w:val="0"/>
          <w:color w:val="0F4761" w:themeColor="accent1" w:themeTint="FF" w:themeShade="BF"/>
          <w:sz w:val="28"/>
          <w:szCs w:val="28"/>
          <w:lang w:val="en-GB"/>
        </w:rPr>
        <w:t>Validity and reliability:</w:t>
      </w:r>
    </w:p>
    <w:p xmlns:wp14="http://schemas.microsoft.com/office/word/2010/wordml" w:rsidP="5B47F224" wp14:paraId="5666E1B9" wp14:textId="5AFE326B">
      <w:pPr>
        <w:spacing w:before="0" w:beforeAutospacing="off" w:after="160" w:afterAutospacing="off" w:line="276" w:lineRule="auto"/>
      </w:pPr>
      <w:r w:rsidRPr="5B47F224" w:rsidR="0892C5D9">
        <w:rPr>
          <w:rFonts w:ascii="Aptos" w:hAnsi="Aptos" w:eastAsia="Aptos" w:cs="Aptos"/>
          <w:noProof w:val="0"/>
          <w:sz w:val="24"/>
          <w:szCs w:val="24"/>
          <w:lang w:val="en-GB"/>
        </w:rPr>
        <w:t>To ensure validity of the product, the wrist-guard must measure what it is supposed to measure (</w:t>
      </w:r>
      <w:r w:rsidRPr="5B47F224" w:rsidR="0892C5D9">
        <w:rPr>
          <w:rFonts w:ascii="Aptos" w:hAnsi="Aptos" w:eastAsia="Aptos" w:cs="Aptos"/>
          <w:noProof w:val="0"/>
          <w:color w:val="000000" w:themeColor="text1" w:themeTint="FF" w:themeShade="FF"/>
          <w:sz w:val="24"/>
          <w:szCs w:val="24"/>
          <w:vertAlign w:val="superscript"/>
          <w:lang w:val="en-GB"/>
        </w:rPr>
        <w:t>38</w:t>
      </w:r>
      <w:r w:rsidRPr="5B47F224" w:rsidR="0892C5D9">
        <w:rPr>
          <w:rFonts w:ascii="Aptos" w:hAnsi="Aptos" w:eastAsia="Aptos" w:cs="Aptos"/>
          <w:noProof w:val="0"/>
          <w:sz w:val="24"/>
          <w:szCs w:val="24"/>
          <w:lang w:val="en-GB"/>
        </w:rPr>
        <w:t>). In this case, construct validity ensures the force sensors measure the impact forces, the EMGs capture muscle activity and the IMUs will track movement. The measurements from the wrist-guards will be cross validated with motion capture systems in biomechanic labs to ensure the readings align with the expected values (</w:t>
      </w:r>
      <w:r w:rsidRPr="5B47F224" w:rsidR="0892C5D9">
        <w:rPr>
          <w:rFonts w:ascii="Aptos" w:hAnsi="Aptos" w:eastAsia="Aptos" w:cs="Aptos"/>
          <w:noProof w:val="0"/>
          <w:color w:val="000000" w:themeColor="text1" w:themeTint="FF" w:themeShade="FF"/>
          <w:sz w:val="24"/>
          <w:szCs w:val="24"/>
          <w:vertAlign w:val="superscript"/>
          <w:lang w:val="en-GB"/>
        </w:rPr>
        <w:t>39</w:t>
      </w:r>
      <w:r w:rsidRPr="5B47F224" w:rsidR="0892C5D9">
        <w:rPr>
          <w:rFonts w:ascii="Aptos" w:hAnsi="Aptos" w:eastAsia="Aptos" w:cs="Aptos"/>
          <w:noProof w:val="0"/>
          <w:sz w:val="24"/>
          <w:szCs w:val="24"/>
          <w:lang w:val="en-GB"/>
        </w:rPr>
        <w:t xml:space="preserve">). For example, the values for the forces on the wrist during a tumble using the wrist-guard will match the values when using a force plate. </w:t>
      </w:r>
    </w:p>
    <w:p xmlns:wp14="http://schemas.microsoft.com/office/word/2010/wordml" w:rsidP="5B47F224" wp14:paraId="36CDA88C" wp14:textId="1203CB87">
      <w:pPr>
        <w:spacing w:before="0" w:beforeAutospacing="off" w:after="160" w:afterAutospacing="off" w:line="276" w:lineRule="auto"/>
      </w:pPr>
      <w:r w:rsidRPr="5B47F224" w:rsidR="0892C5D9">
        <w:rPr>
          <w:rFonts w:ascii="Aptos" w:hAnsi="Aptos" w:eastAsia="Aptos" w:cs="Aptos"/>
          <w:noProof w:val="0"/>
          <w:sz w:val="24"/>
          <w:szCs w:val="24"/>
          <w:lang w:val="en-GB"/>
        </w:rPr>
        <w:t>Reliability refers to the wrist-guards’ ability to provide consistent results under the same conditions (</w:t>
      </w:r>
      <w:r w:rsidRPr="5B47F224" w:rsidR="0892C5D9">
        <w:rPr>
          <w:rFonts w:ascii="Aptos" w:hAnsi="Aptos" w:eastAsia="Aptos" w:cs="Aptos"/>
          <w:noProof w:val="0"/>
          <w:color w:val="000000" w:themeColor="text1" w:themeTint="FF" w:themeShade="FF"/>
          <w:sz w:val="24"/>
          <w:szCs w:val="24"/>
          <w:vertAlign w:val="superscript"/>
          <w:lang w:val="en-GB"/>
        </w:rPr>
        <w:t>40</w:t>
      </w:r>
      <w:r w:rsidRPr="5B47F224" w:rsidR="0892C5D9">
        <w:rPr>
          <w:rFonts w:ascii="Aptos" w:hAnsi="Aptos" w:eastAsia="Aptos" w:cs="Aptos"/>
          <w:noProof w:val="0"/>
          <w:sz w:val="24"/>
          <w:szCs w:val="24"/>
          <w:lang w:val="en-GB"/>
        </w:rPr>
        <w:t>). Reliability will be tested using the test-retest method by getting a gymnast to perform the same movement multiple times to check if the wrist-guard provides consistent readings (</w:t>
      </w:r>
      <w:r w:rsidRPr="5B47F224" w:rsidR="0892C5D9">
        <w:rPr>
          <w:rFonts w:ascii="Aptos" w:hAnsi="Aptos" w:eastAsia="Aptos" w:cs="Aptos"/>
          <w:noProof w:val="0"/>
          <w:color w:val="000000" w:themeColor="text1" w:themeTint="FF" w:themeShade="FF"/>
          <w:sz w:val="24"/>
          <w:szCs w:val="24"/>
          <w:vertAlign w:val="superscript"/>
          <w:lang w:val="en-GB"/>
        </w:rPr>
        <w:t>41</w:t>
      </w:r>
      <w:r w:rsidRPr="5B47F224" w:rsidR="0892C5D9">
        <w:rPr>
          <w:rFonts w:ascii="Aptos" w:hAnsi="Aptos" w:eastAsia="Aptos" w:cs="Aptos"/>
          <w:noProof w:val="0"/>
          <w:sz w:val="24"/>
          <w:szCs w:val="24"/>
          <w:lang w:val="en-GB"/>
        </w:rPr>
        <w:t>). It will also be tested using the inter-rater reliability method, which requires multiple gymnasts to wear the wrist-guard and perform the same skills to check they produce comparable results (</w:t>
      </w:r>
      <w:r w:rsidRPr="5B47F224" w:rsidR="0892C5D9">
        <w:rPr>
          <w:rFonts w:ascii="Aptos" w:hAnsi="Aptos" w:eastAsia="Aptos" w:cs="Aptos"/>
          <w:noProof w:val="0"/>
          <w:color w:val="000000" w:themeColor="text1" w:themeTint="FF" w:themeShade="FF"/>
          <w:sz w:val="24"/>
          <w:szCs w:val="24"/>
          <w:vertAlign w:val="superscript"/>
          <w:lang w:val="en-GB"/>
        </w:rPr>
        <w:t>42</w:t>
      </w:r>
      <w:r w:rsidRPr="5B47F224" w:rsidR="0892C5D9">
        <w:rPr>
          <w:rFonts w:ascii="Aptos" w:hAnsi="Aptos" w:eastAsia="Aptos" w:cs="Aptos"/>
          <w:noProof w:val="0"/>
          <w:sz w:val="24"/>
          <w:szCs w:val="24"/>
          <w:lang w:val="en-GB"/>
        </w:rPr>
        <w:t xml:space="preserve">). </w:t>
      </w:r>
    </w:p>
    <w:p xmlns:wp14="http://schemas.microsoft.com/office/word/2010/wordml" w:rsidP="5B47F224" wp14:paraId="635BD3D6" wp14:textId="6630F4D7">
      <w:pPr>
        <w:spacing w:before="0" w:beforeAutospacing="off" w:after="160" w:afterAutospacing="off" w:line="276" w:lineRule="auto"/>
      </w:pPr>
      <w:r w:rsidRPr="5B47F224" w:rsidR="0892C5D9">
        <w:rPr>
          <w:rFonts w:ascii="Aptos" w:hAnsi="Aptos" w:eastAsia="Aptos" w:cs="Aptos"/>
          <w:noProof w:val="0"/>
          <w:sz w:val="24"/>
          <w:szCs w:val="24"/>
          <w:lang w:val="en-GB"/>
        </w:rPr>
        <w:t>For the wrist-guards to be effective, the measurements must be accurate to provide meaningful data for gymnasts and coaches. Accuracy will be validated by comparing the wrist-guards’ results against motion capture systems during controlled tests. This ensures the data provided by the wrist-guards will be precise (</w:t>
      </w:r>
      <w:r w:rsidRPr="5B47F224" w:rsidR="0892C5D9">
        <w:rPr>
          <w:rFonts w:ascii="Aptos" w:hAnsi="Aptos" w:eastAsia="Aptos" w:cs="Aptos"/>
          <w:noProof w:val="0"/>
          <w:color w:val="000000" w:themeColor="text1" w:themeTint="FF" w:themeShade="FF"/>
          <w:sz w:val="24"/>
          <w:szCs w:val="24"/>
          <w:vertAlign w:val="superscript"/>
          <w:lang w:val="en-GB"/>
        </w:rPr>
        <w:t>39</w:t>
      </w:r>
      <w:r w:rsidRPr="5B47F224" w:rsidR="0892C5D9">
        <w:rPr>
          <w:rFonts w:ascii="Aptos" w:hAnsi="Aptos" w:eastAsia="Aptos" w:cs="Aptos"/>
          <w:noProof w:val="0"/>
          <w:sz w:val="24"/>
          <w:szCs w:val="24"/>
          <w:lang w:val="en-GB"/>
        </w:rPr>
        <w:t>). Calibration of the wrist-guard may be necessary to ensure the device produces reliable data (</w:t>
      </w:r>
      <w:r w:rsidRPr="5B47F224" w:rsidR="0892C5D9">
        <w:rPr>
          <w:rFonts w:ascii="Aptos" w:hAnsi="Aptos" w:eastAsia="Aptos" w:cs="Aptos"/>
          <w:noProof w:val="0"/>
          <w:color w:val="000000" w:themeColor="text1" w:themeTint="FF" w:themeShade="FF"/>
          <w:sz w:val="24"/>
          <w:szCs w:val="24"/>
          <w:vertAlign w:val="superscript"/>
          <w:lang w:val="en-GB"/>
        </w:rPr>
        <w:t>43</w:t>
      </w:r>
      <w:r w:rsidRPr="5B47F224" w:rsidR="0892C5D9">
        <w:rPr>
          <w:rFonts w:ascii="Aptos" w:hAnsi="Aptos" w:eastAsia="Aptos" w:cs="Aptos"/>
          <w:noProof w:val="0"/>
          <w:sz w:val="24"/>
          <w:szCs w:val="24"/>
          <w:lang w:val="en-GB"/>
        </w:rPr>
        <w:t>).</w:t>
      </w:r>
    </w:p>
    <w:p xmlns:wp14="http://schemas.microsoft.com/office/word/2010/wordml" w:rsidP="5B47F224" wp14:paraId="7A3E4AA3" wp14:textId="58BCDB83">
      <w:pPr>
        <w:pStyle w:val="Heading3"/>
        <w:spacing w:before="160" w:beforeAutospacing="off" w:after="80" w:afterAutospacing="off" w:line="276" w:lineRule="auto"/>
      </w:pPr>
      <w:r w:rsidRPr="5B47F224" w:rsidR="0892C5D9">
        <w:rPr>
          <w:rFonts w:ascii="Aptos" w:hAnsi="Aptos" w:eastAsia="Aptos" w:cs="Aptos"/>
          <w:b w:val="0"/>
          <w:bCs w:val="0"/>
          <w:noProof w:val="0"/>
          <w:color w:val="0F4761" w:themeColor="accent1" w:themeTint="FF" w:themeShade="BF"/>
          <w:sz w:val="28"/>
          <w:szCs w:val="28"/>
          <w:lang w:val="en-GB"/>
        </w:rPr>
        <w:t>Design considerations:</w:t>
      </w:r>
    </w:p>
    <w:p xmlns:wp14="http://schemas.microsoft.com/office/word/2010/wordml" w:rsidP="5B47F224" wp14:paraId="6A36E571" wp14:textId="34D39CF7">
      <w:pPr>
        <w:spacing w:before="0" w:beforeAutospacing="off" w:after="160" w:afterAutospacing="off" w:line="276" w:lineRule="auto"/>
      </w:pPr>
      <w:r w:rsidRPr="5B47F224" w:rsidR="0892C5D9">
        <w:rPr>
          <w:rFonts w:ascii="Aptos" w:hAnsi="Aptos" w:eastAsia="Aptos" w:cs="Aptos"/>
          <w:noProof w:val="0"/>
          <w:color w:val="000000" w:themeColor="text1" w:themeTint="FF" w:themeShade="FF"/>
          <w:sz w:val="24"/>
          <w:szCs w:val="24"/>
          <w:lang w:val="en-GB"/>
        </w:rPr>
        <w:t xml:space="preserve">The wrist-guard has been carefully researched to determine the optimal shape and materials that will enhance comfort and functionality for the individual. </w:t>
      </w:r>
    </w:p>
    <w:p xmlns:wp14="http://schemas.microsoft.com/office/word/2010/wordml" w:rsidP="5B47F224" wp14:paraId="1FCA0077" wp14:textId="2F3E8EEE">
      <w:pPr>
        <w:pStyle w:val="Heading5"/>
        <w:spacing w:before="80" w:beforeAutospacing="off" w:after="40" w:afterAutospacing="off" w:line="276" w:lineRule="auto"/>
      </w:pPr>
      <w:r w:rsidRPr="5B47F224" w:rsidR="0892C5D9">
        <w:rPr>
          <w:rFonts w:ascii="Aptos" w:hAnsi="Aptos" w:eastAsia="Aptos" w:cs="Aptos"/>
          <w:b w:val="0"/>
          <w:bCs w:val="0"/>
          <w:noProof w:val="0"/>
          <w:color w:val="0F4761" w:themeColor="accent1" w:themeTint="FF" w:themeShade="BF"/>
          <w:sz w:val="24"/>
          <w:szCs w:val="24"/>
          <w:lang w:val="en-GB"/>
        </w:rPr>
        <w:t xml:space="preserve">Shape </w:t>
      </w:r>
    </w:p>
    <w:p xmlns:wp14="http://schemas.microsoft.com/office/word/2010/wordml" w:rsidP="5B47F224" wp14:paraId="6A96DE8F" wp14:textId="31FB05EC">
      <w:pPr>
        <w:spacing w:before="0" w:beforeAutospacing="off" w:after="160" w:afterAutospacing="off" w:line="276" w:lineRule="auto"/>
      </w:pPr>
      <w:r w:rsidRPr="5B47F224" w:rsidR="0892C5D9">
        <w:rPr>
          <w:rFonts w:ascii="Aptos" w:hAnsi="Aptos" w:eastAsia="Aptos" w:cs="Aptos"/>
          <w:noProof w:val="0"/>
          <w:color w:val="000000" w:themeColor="text1" w:themeTint="FF" w:themeShade="FF"/>
          <w:sz w:val="24"/>
          <w:szCs w:val="24"/>
          <w:lang w:val="en-GB"/>
        </w:rPr>
        <w:t>The wrist-guard will be ergonomically designed (</w:t>
      </w:r>
      <w:r w:rsidRPr="5B47F224" w:rsidR="0892C5D9">
        <w:rPr>
          <w:rFonts w:ascii="Aptos" w:hAnsi="Aptos" w:eastAsia="Aptos" w:cs="Aptos"/>
          <w:noProof w:val="0"/>
          <w:color w:val="000000" w:themeColor="text1" w:themeTint="FF" w:themeShade="FF"/>
          <w:sz w:val="24"/>
          <w:szCs w:val="24"/>
          <w:vertAlign w:val="superscript"/>
          <w:lang w:val="en-GB"/>
        </w:rPr>
        <w:t>8</w:t>
      </w:r>
      <w:r w:rsidRPr="5B47F224" w:rsidR="0892C5D9">
        <w:rPr>
          <w:rFonts w:ascii="Aptos" w:hAnsi="Aptos" w:eastAsia="Aptos" w:cs="Aptos"/>
          <w:noProof w:val="0"/>
          <w:color w:val="000000" w:themeColor="text1" w:themeTint="FF" w:themeShade="FF"/>
          <w:sz w:val="24"/>
          <w:szCs w:val="24"/>
          <w:lang w:val="en-GB"/>
        </w:rPr>
        <w:t>) to fit securely around the wrist without restricting the range of motion, while ensuring comfort for the gymnast during their skills. The shape will be based off the tiger paw wrist-guard as it provides support while also leaving the thumb and fingers free (</w:t>
      </w:r>
      <w:r w:rsidRPr="5B47F224" w:rsidR="0892C5D9">
        <w:rPr>
          <w:rFonts w:ascii="Aptos" w:hAnsi="Aptos" w:eastAsia="Aptos" w:cs="Aptos"/>
          <w:noProof w:val="0"/>
          <w:color w:val="000000" w:themeColor="text1" w:themeTint="FF" w:themeShade="FF"/>
          <w:sz w:val="24"/>
          <w:szCs w:val="24"/>
          <w:vertAlign w:val="superscript"/>
          <w:lang w:val="en-GB"/>
        </w:rPr>
        <w:t>8</w:t>
      </w:r>
      <w:r w:rsidRPr="5B47F224" w:rsidR="0892C5D9">
        <w:rPr>
          <w:rFonts w:ascii="Aptos" w:hAnsi="Aptos" w:eastAsia="Aptos" w:cs="Aptos"/>
          <w:noProof w:val="0"/>
          <w:color w:val="000000" w:themeColor="text1" w:themeTint="FF" w:themeShade="FF"/>
          <w:sz w:val="24"/>
          <w:szCs w:val="24"/>
          <w:lang w:val="en-GB"/>
        </w:rPr>
        <w:t>). The material used will allow for flexibility in the wrist to not interfere with tumbling but will also provide support to distribute the force evenly across the wrist (</w:t>
      </w:r>
      <w:r w:rsidRPr="5B47F224" w:rsidR="0892C5D9">
        <w:rPr>
          <w:rFonts w:ascii="Aptos" w:hAnsi="Aptos" w:eastAsia="Aptos" w:cs="Aptos"/>
          <w:noProof w:val="0"/>
          <w:color w:val="000000" w:themeColor="text1" w:themeTint="FF" w:themeShade="FF"/>
          <w:sz w:val="24"/>
          <w:szCs w:val="24"/>
          <w:vertAlign w:val="superscript"/>
          <w:lang w:val="en-GB"/>
        </w:rPr>
        <w:t>33</w:t>
      </w:r>
      <w:r w:rsidRPr="5B47F224" w:rsidR="0892C5D9">
        <w:rPr>
          <w:rFonts w:ascii="Aptos" w:hAnsi="Aptos" w:eastAsia="Aptos" w:cs="Aptos"/>
          <w:noProof w:val="0"/>
          <w:color w:val="000000" w:themeColor="text1" w:themeTint="FF" w:themeShade="FF"/>
          <w:sz w:val="24"/>
          <w:szCs w:val="24"/>
          <w:lang w:val="en-GB"/>
        </w:rPr>
        <w:t>).</w:t>
      </w:r>
    </w:p>
    <w:p xmlns:wp14="http://schemas.microsoft.com/office/word/2010/wordml" w:rsidP="5B47F224" wp14:paraId="18D3C37F" wp14:textId="5DF8712C">
      <w:pPr>
        <w:pStyle w:val="Heading5"/>
        <w:spacing w:before="80" w:beforeAutospacing="off" w:after="40" w:afterAutospacing="off" w:line="276" w:lineRule="auto"/>
      </w:pPr>
      <w:r w:rsidRPr="5B47F224" w:rsidR="0892C5D9">
        <w:rPr>
          <w:rFonts w:ascii="Aptos" w:hAnsi="Aptos" w:eastAsia="Aptos" w:cs="Aptos"/>
          <w:b w:val="0"/>
          <w:bCs w:val="0"/>
          <w:noProof w:val="0"/>
          <w:color w:val="0F4761" w:themeColor="accent1" w:themeTint="FF" w:themeShade="BF"/>
          <w:sz w:val="24"/>
          <w:szCs w:val="24"/>
          <w:lang w:val="en-GB"/>
        </w:rPr>
        <w:t>Material</w:t>
      </w:r>
    </w:p>
    <w:p xmlns:wp14="http://schemas.microsoft.com/office/word/2010/wordml" w:rsidP="5B47F224" wp14:paraId="63C72A4B" wp14:textId="0824FE2C">
      <w:pPr>
        <w:spacing w:before="0" w:beforeAutospacing="off" w:after="160" w:afterAutospacing="off" w:line="276" w:lineRule="auto"/>
      </w:pPr>
      <w:r w:rsidRPr="5B47F224" w:rsidR="0892C5D9">
        <w:rPr>
          <w:rFonts w:ascii="Aptos" w:hAnsi="Aptos" w:eastAsia="Aptos" w:cs="Aptos"/>
          <w:noProof w:val="0"/>
          <w:color w:val="000000" w:themeColor="text1" w:themeTint="FF" w:themeShade="FF"/>
          <w:sz w:val="24"/>
          <w:szCs w:val="24"/>
          <w:lang w:val="en-GB"/>
        </w:rPr>
        <w:t>The force sensors, EMGs and IMUs will be textile-based, allowing them to be seamlessly embedded into the material while remaining lightweight and non-bulky. This integration ensures that measurements can be collected in real-world training environments (</w:t>
      </w:r>
      <w:r w:rsidRPr="5B47F224" w:rsidR="0892C5D9">
        <w:rPr>
          <w:rFonts w:ascii="Aptos" w:hAnsi="Aptos" w:eastAsia="Aptos" w:cs="Aptos"/>
          <w:noProof w:val="0"/>
          <w:color w:val="000000" w:themeColor="text1" w:themeTint="FF" w:themeShade="FF"/>
          <w:sz w:val="24"/>
          <w:szCs w:val="24"/>
          <w:vertAlign w:val="superscript"/>
          <w:lang w:val="en-GB"/>
        </w:rPr>
        <w:t>35</w:t>
      </w:r>
      <w:r w:rsidRPr="5B47F224" w:rsidR="0892C5D9">
        <w:rPr>
          <w:rFonts w:ascii="Aptos" w:hAnsi="Aptos" w:eastAsia="Aptos" w:cs="Aptos"/>
          <w:noProof w:val="0"/>
          <w:color w:val="000000" w:themeColor="text1" w:themeTint="FF" w:themeShade="FF"/>
          <w:sz w:val="24"/>
          <w:szCs w:val="24"/>
          <w:lang w:val="en-GB"/>
        </w:rPr>
        <w:t>). Since the sensor sheet is composed of textile-based materials, it is mechanically flexible and provides a soft touch (</w:t>
      </w:r>
      <w:r w:rsidRPr="5B47F224" w:rsidR="0892C5D9">
        <w:rPr>
          <w:rFonts w:ascii="Aptos" w:hAnsi="Aptos" w:eastAsia="Aptos" w:cs="Aptos"/>
          <w:noProof w:val="0"/>
          <w:color w:val="000000" w:themeColor="text1" w:themeTint="FF" w:themeShade="FF"/>
          <w:sz w:val="24"/>
          <w:szCs w:val="24"/>
          <w:vertAlign w:val="superscript"/>
          <w:lang w:val="en-GB"/>
        </w:rPr>
        <w:t>33</w:t>
      </w:r>
      <w:r w:rsidRPr="5B47F224" w:rsidR="0892C5D9">
        <w:rPr>
          <w:rFonts w:ascii="Aptos" w:hAnsi="Aptos" w:eastAsia="Aptos" w:cs="Aptos"/>
          <w:noProof w:val="0"/>
          <w:color w:val="000000" w:themeColor="text1" w:themeTint="FF" w:themeShade="FF"/>
          <w:sz w:val="24"/>
          <w:szCs w:val="24"/>
          <w:lang w:val="en-GB"/>
        </w:rPr>
        <w:t>). Adding textile electrodes into clothing eliminates the need for exact sensor or wire placement, allowing for unrestricted movement and daily use outside of a lab (</w:t>
      </w:r>
      <w:r w:rsidRPr="5B47F224" w:rsidR="0892C5D9">
        <w:rPr>
          <w:rFonts w:ascii="Aptos" w:hAnsi="Aptos" w:eastAsia="Aptos" w:cs="Aptos"/>
          <w:noProof w:val="0"/>
          <w:color w:val="000000" w:themeColor="text1" w:themeTint="FF" w:themeShade="FF"/>
          <w:sz w:val="24"/>
          <w:szCs w:val="24"/>
          <w:vertAlign w:val="superscript"/>
          <w:lang w:val="en-GB"/>
        </w:rPr>
        <w:t>35</w:t>
      </w:r>
      <w:r w:rsidRPr="5B47F224" w:rsidR="0892C5D9">
        <w:rPr>
          <w:rFonts w:ascii="Aptos" w:hAnsi="Aptos" w:eastAsia="Aptos" w:cs="Aptos"/>
          <w:noProof w:val="0"/>
          <w:color w:val="000000" w:themeColor="text1" w:themeTint="FF" w:themeShade="FF"/>
          <w:sz w:val="24"/>
          <w:szCs w:val="24"/>
          <w:lang w:val="en-GB"/>
        </w:rPr>
        <w:t>). The sensors will be embedded using Ag-coated conductive thread sewn in a zig-zag pattern between textile layers, with Velcro strap connectors enabling stable electrical connections (</w:t>
      </w:r>
      <w:r w:rsidRPr="5B47F224" w:rsidR="0892C5D9">
        <w:rPr>
          <w:rFonts w:ascii="Aptos" w:hAnsi="Aptos" w:eastAsia="Aptos" w:cs="Aptos"/>
          <w:noProof w:val="0"/>
          <w:color w:val="000000" w:themeColor="text1" w:themeTint="FF" w:themeShade="FF"/>
          <w:sz w:val="24"/>
          <w:szCs w:val="24"/>
          <w:vertAlign w:val="superscript"/>
          <w:lang w:val="en-GB"/>
        </w:rPr>
        <w:t>33</w:t>
      </w:r>
      <w:r w:rsidRPr="5B47F224" w:rsidR="0892C5D9">
        <w:rPr>
          <w:rFonts w:ascii="Aptos" w:hAnsi="Aptos" w:eastAsia="Aptos" w:cs="Aptos"/>
          <w:b w:val="1"/>
          <w:bCs w:val="1"/>
          <w:noProof w:val="0"/>
          <w:color w:val="000000" w:themeColor="text1" w:themeTint="FF" w:themeShade="FF"/>
          <w:sz w:val="24"/>
          <w:szCs w:val="24"/>
          <w:lang w:val="en-GB"/>
        </w:rPr>
        <w:t xml:space="preserve">, </w:t>
      </w:r>
      <w:r w:rsidRPr="5B47F224" w:rsidR="0892C5D9">
        <w:rPr>
          <w:rFonts w:ascii="Aptos" w:hAnsi="Aptos" w:eastAsia="Aptos" w:cs="Aptos"/>
          <w:noProof w:val="0"/>
          <w:color w:val="000000" w:themeColor="text1" w:themeTint="FF" w:themeShade="FF"/>
          <w:sz w:val="24"/>
          <w:szCs w:val="24"/>
          <w:vertAlign w:val="superscript"/>
          <w:lang w:val="en-GB"/>
        </w:rPr>
        <w:t>36</w:t>
      </w:r>
      <w:r w:rsidRPr="5B47F224" w:rsidR="0892C5D9">
        <w:rPr>
          <w:rFonts w:ascii="Aptos" w:hAnsi="Aptos" w:eastAsia="Aptos" w:cs="Aptos"/>
          <w:noProof w:val="0"/>
          <w:color w:val="000000" w:themeColor="text1" w:themeTint="FF" w:themeShade="FF"/>
          <w:sz w:val="24"/>
          <w:szCs w:val="24"/>
          <w:lang w:val="en-GB"/>
        </w:rPr>
        <w:t>). This method also provides long-term reliability and stability. Additionally, the connector offers water resistance, protecting the measurement systems from sweat damage (</w:t>
      </w:r>
      <w:r w:rsidRPr="5B47F224" w:rsidR="0892C5D9">
        <w:rPr>
          <w:rFonts w:ascii="Aptos" w:hAnsi="Aptos" w:eastAsia="Aptos" w:cs="Aptos"/>
          <w:noProof w:val="0"/>
          <w:color w:val="000000" w:themeColor="text1" w:themeTint="FF" w:themeShade="FF"/>
          <w:sz w:val="24"/>
          <w:szCs w:val="24"/>
          <w:vertAlign w:val="superscript"/>
          <w:lang w:val="en-GB"/>
        </w:rPr>
        <w:t>33</w:t>
      </w:r>
      <w:r w:rsidRPr="5B47F224" w:rsidR="0892C5D9">
        <w:rPr>
          <w:rFonts w:ascii="Aptos" w:hAnsi="Aptos" w:eastAsia="Aptos" w:cs="Aptos"/>
          <w:noProof w:val="0"/>
          <w:color w:val="000000" w:themeColor="text1" w:themeTint="FF" w:themeShade="FF"/>
          <w:sz w:val="24"/>
          <w:szCs w:val="24"/>
          <w:lang w:val="en-GB"/>
        </w:rPr>
        <w:t>).</w:t>
      </w:r>
    </w:p>
    <w:p xmlns:wp14="http://schemas.microsoft.com/office/word/2010/wordml" w:rsidP="5B47F224" wp14:paraId="5B5A32CF" wp14:textId="2CDB388F">
      <w:pPr>
        <w:spacing w:before="0" w:beforeAutospacing="off" w:after="160" w:afterAutospacing="off" w:line="276" w:lineRule="auto"/>
      </w:pPr>
      <w:r w:rsidRPr="5B47F224" w:rsidR="0892C5D9">
        <w:rPr>
          <w:rFonts w:ascii="Aptos" w:hAnsi="Aptos" w:eastAsia="Aptos" w:cs="Aptos"/>
          <w:b w:val="1"/>
          <w:bCs w:val="1"/>
          <w:noProof w:val="0"/>
          <w:color w:val="000000" w:themeColor="text1" w:themeTint="FF" w:themeShade="FF"/>
          <w:sz w:val="24"/>
          <w:szCs w:val="24"/>
          <w:lang w:val="en-GB"/>
        </w:rPr>
        <w:t>Figure 14</w:t>
      </w:r>
      <w:r w:rsidRPr="5B47F224" w:rsidR="0892C5D9">
        <w:rPr>
          <w:rFonts w:ascii="Aptos" w:hAnsi="Aptos" w:eastAsia="Aptos" w:cs="Aptos"/>
          <w:noProof w:val="0"/>
          <w:color w:val="000000" w:themeColor="text1" w:themeTint="FF" w:themeShade="FF"/>
          <w:sz w:val="24"/>
          <w:szCs w:val="24"/>
          <w:lang w:val="en-GB"/>
        </w:rPr>
        <w:t xml:space="preserve">. </w:t>
      </w:r>
      <w:r w:rsidRPr="5B47F224" w:rsidR="0892C5D9">
        <w:rPr>
          <w:rFonts w:ascii="Aptos" w:hAnsi="Aptos" w:eastAsia="Aptos" w:cs="Aptos"/>
          <w:b w:val="1"/>
          <w:bCs w:val="1"/>
          <w:noProof w:val="0"/>
          <w:color w:val="1B1B1B"/>
          <w:sz w:val="24"/>
          <w:szCs w:val="24"/>
          <w:lang w:val="en-GB"/>
        </w:rPr>
        <w:t xml:space="preserve">Average rectified EMG across one excitation burst (mean ± SD) measured using traditional surface electromyography (black bars) and textile electrodes (white bars). Image from </w:t>
      </w:r>
      <w:r w:rsidRPr="5B47F224" w:rsidR="0892C5D9">
        <w:rPr>
          <w:rFonts w:ascii="Aptos" w:hAnsi="Aptos" w:eastAsia="Aptos" w:cs="Aptos"/>
          <w:noProof w:val="0"/>
          <w:color w:val="000000" w:themeColor="text1" w:themeTint="FF" w:themeShade="FF"/>
          <w:sz w:val="24"/>
          <w:szCs w:val="24"/>
          <w:lang w:val="en-GB"/>
        </w:rPr>
        <w:t>(</w:t>
      </w:r>
      <w:r w:rsidRPr="5B47F224" w:rsidR="0892C5D9">
        <w:rPr>
          <w:rFonts w:ascii="Aptos" w:hAnsi="Aptos" w:eastAsia="Aptos" w:cs="Aptos"/>
          <w:noProof w:val="0"/>
          <w:color w:val="000000" w:themeColor="text1" w:themeTint="FF" w:themeShade="FF"/>
          <w:sz w:val="24"/>
          <w:szCs w:val="24"/>
          <w:vertAlign w:val="superscript"/>
          <w:lang w:val="en-GB"/>
        </w:rPr>
        <w:t>35</w:t>
      </w:r>
      <w:r w:rsidRPr="5B47F224" w:rsidR="0892C5D9">
        <w:rPr>
          <w:rFonts w:ascii="Aptos" w:hAnsi="Aptos" w:eastAsia="Aptos" w:cs="Aptos"/>
          <w:noProof w:val="0"/>
          <w:color w:val="000000" w:themeColor="text1" w:themeTint="FF" w:themeShade="FF"/>
          <w:sz w:val="24"/>
          <w:szCs w:val="24"/>
          <w:lang w:val="en-GB"/>
        </w:rPr>
        <w:t>).</w:t>
      </w:r>
    </w:p>
    <w:p xmlns:wp14="http://schemas.microsoft.com/office/word/2010/wordml" w:rsidP="5B47F224" wp14:paraId="2FB42D5E" wp14:textId="37E37ADB">
      <w:pPr>
        <w:spacing w:before="0" w:beforeAutospacing="off" w:after="160" w:afterAutospacing="off" w:line="276" w:lineRule="auto"/>
      </w:pPr>
      <w:r w:rsidRPr="5B47F224" w:rsidR="0892C5D9">
        <w:rPr>
          <w:rFonts w:ascii="Aptos" w:hAnsi="Aptos" w:eastAsia="Aptos" w:cs="Aptos"/>
          <w:b w:val="1"/>
          <w:bCs w:val="1"/>
          <w:noProof w:val="0"/>
          <w:color w:val="000000" w:themeColor="text1" w:themeTint="FF" w:themeShade="FF"/>
          <w:sz w:val="24"/>
          <w:szCs w:val="24"/>
          <w:lang w:val="en-GB"/>
        </w:rPr>
        <w:t>The wrist-guard will be made of shock-absorbing materials, such as ethyl vinyl acetate (EVA) to decrease shock forces through the wrists (</w:t>
      </w:r>
      <w:r w:rsidRPr="5B47F224" w:rsidR="0892C5D9">
        <w:rPr>
          <w:rFonts w:ascii="Aptos" w:hAnsi="Aptos" w:eastAsia="Aptos" w:cs="Aptos"/>
          <w:b w:val="1"/>
          <w:bCs w:val="1"/>
          <w:noProof w:val="0"/>
          <w:color w:val="000000" w:themeColor="text1" w:themeTint="FF" w:themeShade="FF"/>
          <w:sz w:val="24"/>
          <w:szCs w:val="24"/>
          <w:vertAlign w:val="superscript"/>
          <w:lang w:val="en-GB"/>
        </w:rPr>
        <w:t>44</w:t>
      </w:r>
      <w:r w:rsidRPr="5B47F224" w:rsidR="0892C5D9">
        <w:rPr>
          <w:rFonts w:ascii="Aptos" w:hAnsi="Aptos" w:eastAsia="Aptos" w:cs="Aptos"/>
          <w:b w:val="1"/>
          <w:bCs w:val="1"/>
          <w:noProof w:val="0"/>
          <w:color w:val="000000" w:themeColor="text1" w:themeTint="FF" w:themeShade="FF"/>
          <w:sz w:val="24"/>
          <w:szCs w:val="24"/>
          <w:lang w:val="en-GB"/>
        </w:rPr>
        <w:t>). Additionally, the external layer will be made of poly(acrylamide), which is a hydrophilic polymer that enhances fabric breathability when chemically integrated (</w:t>
      </w:r>
      <w:r w:rsidRPr="5B47F224" w:rsidR="0892C5D9">
        <w:rPr>
          <w:rFonts w:ascii="Aptos" w:hAnsi="Aptos" w:eastAsia="Aptos" w:cs="Aptos"/>
          <w:b w:val="1"/>
          <w:bCs w:val="1"/>
          <w:noProof w:val="0"/>
          <w:color w:val="000000" w:themeColor="text1" w:themeTint="FF" w:themeShade="FF"/>
          <w:sz w:val="24"/>
          <w:szCs w:val="24"/>
          <w:vertAlign w:val="superscript"/>
          <w:lang w:val="en-GB"/>
        </w:rPr>
        <w:t>45</w:t>
      </w:r>
      <w:r w:rsidRPr="5B47F224" w:rsidR="0892C5D9">
        <w:rPr>
          <w:rFonts w:ascii="Aptos" w:hAnsi="Aptos" w:eastAsia="Aptos" w:cs="Aptos"/>
          <w:b w:val="1"/>
          <w:bCs w:val="1"/>
          <w:noProof w:val="0"/>
          <w:color w:val="000000" w:themeColor="text1" w:themeTint="FF" w:themeShade="FF"/>
          <w:sz w:val="24"/>
          <w:szCs w:val="24"/>
          <w:lang w:val="en-GB"/>
        </w:rPr>
        <w:t>). The dorsal side of the brace will contain a plastic insert to provide support (</w:t>
      </w:r>
      <w:r w:rsidRPr="5B47F224" w:rsidR="0892C5D9">
        <w:rPr>
          <w:rFonts w:ascii="Aptos" w:hAnsi="Aptos" w:eastAsia="Aptos" w:cs="Aptos"/>
          <w:b w:val="1"/>
          <w:bCs w:val="1"/>
          <w:noProof w:val="0"/>
          <w:color w:val="000000" w:themeColor="text1" w:themeTint="FF" w:themeShade="FF"/>
          <w:sz w:val="24"/>
          <w:szCs w:val="24"/>
          <w:vertAlign w:val="superscript"/>
          <w:lang w:val="en-GB"/>
        </w:rPr>
        <w:t>8</w:t>
      </w:r>
      <w:r w:rsidRPr="5B47F224" w:rsidR="0892C5D9">
        <w:rPr>
          <w:rFonts w:ascii="Aptos" w:hAnsi="Aptos" w:eastAsia="Aptos" w:cs="Aptos"/>
          <w:b w:val="1"/>
          <w:bCs w:val="1"/>
          <w:noProof w:val="0"/>
          <w:color w:val="000000" w:themeColor="text1" w:themeTint="FF" w:themeShade="FF"/>
          <w:sz w:val="24"/>
          <w:szCs w:val="24"/>
          <w:lang w:val="en-GB"/>
        </w:rPr>
        <w:t>).</w:t>
      </w:r>
    </w:p>
    <w:p xmlns:wp14="http://schemas.microsoft.com/office/word/2010/wordml" w:rsidP="5B47F224" wp14:paraId="221CF98F" wp14:textId="2C433C10">
      <w:pPr>
        <w:pStyle w:val="Heading5"/>
        <w:spacing w:before="80" w:beforeAutospacing="off" w:after="40" w:afterAutospacing="off" w:line="276" w:lineRule="auto"/>
      </w:pPr>
      <w:r w:rsidRPr="5B47F224" w:rsidR="0892C5D9">
        <w:rPr>
          <w:rFonts w:ascii="Aptos" w:hAnsi="Aptos" w:eastAsia="Aptos" w:cs="Aptos"/>
          <w:b w:val="0"/>
          <w:bCs w:val="0"/>
          <w:noProof w:val="0"/>
          <w:color w:val="0F4761" w:themeColor="accent1" w:themeTint="FF" w:themeShade="BF"/>
          <w:sz w:val="24"/>
          <w:szCs w:val="24"/>
          <w:lang w:val="en-GB"/>
        </w:rPr>
        <w:t>IoT</w:t>
      </w:r>
    </w:p>
    <w:p xmlns:wp14="http://schemas.microsoft.com/office/word/2010/wordml" w:rsidP="5B47F224" wp14:paraId="16025C1A" wp14:textId="140E0577">
      <w:pPr>
        <w:spacing w:before="0" w:beforeAutospacing="off" w:after="160" w:afterAutospacing="off" w:line="276" w:lineRule="auto"/>
      </w:pPr>
      <w:r w:rsidRPr="5B47F224" w:rsidR="0892C5D9">
        <w:rPr>
          <w:rFonts w:ascii="Aptos" w:hAnsi="Aptos" w:eastAsia="Aptos" w:cs="Aptos"/>
          <w:noProof w:val="0"/>
          <w:color w:val="000000" w:themeColor="text1" w:themeTint="FF" w:themeShade="FF"/>
          <w:sz w:val="24"/>
          <w:szCs w:val="24"/>
          <w:lang w:val="en-GB"/>
        </w:rPr>
        <w:t>The wrist-guard will use wireless communication through Bluetooth LE (low energy) to connect with the mobile app, allowing real-time feedback without requiring physical connectors (</w:t>
      </w:r>
      <w:r w:rsidRPr="5B47F224" w:rsidR="0892C5D9">
        <w:rPr>
          <w:rFonts w:ascii="Aptos" w:hAnsi="Aptos" w:eastAsia="Aptos" w:cs="Aptos"/>
          <w:noProof w:val="0"/>
          <w:color w:val="000000" w:themeColor="text1" w:themeTint="FF" w:themeShade="FF"/>
          <w:sz w:val="24"/>
          <w:szCs w:val="24"/>
          <w:vertAlign w:val="superscript"/>
          <w:lang w:val="en-GB"/>
        </w:rPr>
        <w:t>46</w:t>
      </w:r>
      <w:r w:rsidRPr="5B47F224" w:rsidR="0892C5D9">
        <w:rPr>
          <w:rFonts w:ascii="Aptos" w:hAnsi="Aptos" w:eastAsia="Aptos" w:cs="Aptos"/>
          <w:noProof w:val="0"/>
          <w:color w:val="000000" w:themeColor="text1" w:themeTint="FF" w:themeShade="FF"/>
          <w:sz w:val="24"/>
          <w:szCs w:val="24"/>
          <w:lang w:val="en-GB"/>
        </w:rPr>
        <w:t>).</w:t>
      </w:r>
    </w:p>
    <w:p xmlns:wp14="http://schemas.microsoft.com/office/word/2010/wordml" w:rsidP="5B47F224" wp14:paraId="7633EC71" wp14:textId="071F663D">
      <w:pPr>
        <w:pStyle w:val="Heading3"/>
        <w:spacing w:before="160" w:beforeAutospacing="off" w:after="80" w:afterAutospacing="off" w:line="276" w:lineRule="auto"/>
      </w:pPr>
      <w:r w:rsidRPr="5B47F224" w:rsidR="0892C5D9">
        <w:rPr>
          <w:rFonts w:ascii="Aptos" w:hAnsi="Aptos" w:eastAsia="Aptos" w:cs="Aptos"/>
          <w:b w:val="0"/>
          <w:bCs w:val="0"/>
          <w:noProof w:val="0"/>
          <w:color w:val="0F4761" w:themeColor="accent1" w:themeTint="FF" w:themeShade="BF"/>
          <w:sz w:val="28"/>
          <w:szCs w:val="28"/>
          <w:lang w:val="en-GB"/>
        </w:rPr>
        <w:t>Error considerations:</w:t>
      </w:r>
    </w:p>
    <w:p xmlns:wp14="http://schemas.microsoft.com/office/word/2010/wordml" w:rsidP="5B47F224" wp14:paraId="3B22BF07" wp14:textId="056DA2D3">
      <w:pPr>
        <w:spacing w:before="0" w:beforeAutospacing="off" w:after="160" w:afterAutospacing="off" w:line="276" w:lineRule="auto"/>
      </w:pPr>
      <w:r w:rsidRPr="5B47F224" w:rsidR="0892C5D9">
        <w:rPr>
          <w:rFonts w:ascii="Aptos" w:hAnsi="Aptos" w:eastAsia="Aptos" w:cs="Aptos"/>
          <w:noProof w:val="0"/>
          <w:sz w:val="24"/>
          <w:szCs w:val="24"/>
          <w:lang w:val="en-GB"/>
        </w:rPr>
        <w:t>Systematic errors may result from sensor calibration issues, affecting the accuracy of the measurements (</w:t>
      </w:r>
      <w:r w:rsidRPr="5B47F224" w:rsidR="0892C5D9">
        <w:rPr>
          <w:rFonts w:ascii="Aptos" w:hAnsi="Aptos" w:eastAsia="Aptos" w:cs="Aptos"/>
          <w:noProof w:val="0"/>
          <w:color w:val="000000" w:themeColor="text1" w:themeTint="FF" w:themeShade="FF"/>
          <w:sz w:val="24"/>
          <w:szCs w:val="24"/>
          <w:vertAlign w:val="superscript"/>
          <w:lang w:val="en-GB"/>
        </w:rPr>
        <w:t>47</w:t>
      </w:r>
      <w:r w:rsidRPr="5B47F224" w:rsidR="0892C5D9">
        <w:rPr>
          <w:rFonts w:ascii="Aptos" w:hAnsi="Aptos" w:eastAsia="Aptos" w:cs="Aptos"/>
          <w:noProof w:val="0"/>
          <w:sz w:val="24"/>
          <w:szCs w:val="24"/>
          <w:lang w:val="en-GB"/>
        </w:rPr>
        <w:t>). For example, incorrect tactile force sensor placement may result in consistent underestimated or overestimated force levels. Regular and proper calibration protocols pre-use, ensuring correct positioning on the gymnasts’ wrist will help to decrease this issue (</w:t>
      </w:r>
      <w:r w:rsidRPr="5B47F224" w:rsidR="0892C5D9">
        <w:rPr>
          <w:rFonts w:ascii="Aptos" w:hAnsi="Aptos" w:eastAsia="Aptos" w:cs="Aptos"/>
          <w:noProof w:val="0"/>
          <w:color w:val="000000" w:themeColor="text1" w:themeTint="FF" w:themeShade="FF"/>
          <w:sz w:val="24"/>
          <w:szCs w:val="24"/>
          <w:vertAlign w:val="superscript"/>
          <w:lang w:val="en-GB"/>
        </w:rPr>
        <w:t>47</w:t>
      </w:r>
      <w:r w:rsidRPr="5B47F224" w:rsidR="0892C5D9">
        <w:rPr>
          <w:rFonts w:ascii="Aptos" w:hAnsi="Aptos" w:eastAsia="Aptos" w:cs="Aptos"/>
          <w:noProof w:val="0"/>
          <w:sz w:val="24"/>
          <w:szCs w:val="24"/>
          <w:lang w:val="en-GB"/>
        </w:rPr>
        <w:t xml:space="preserve">). </w:t>
      </w:r>
    </w:p>
    <w:p xmlns:wp14="http://schemas.microsoft.com/office/word/2010/wordml" w:rsidP="5B47F224" wp14:paraId="0F687B0D" wp14:textId="6C13D063">
      <w:pPr>
        <w:spacing w:before="0" w:beforeAutospacing="off" w:after="160" w:afterAutospacing="off" w:line="276" w:lineRule="auto"/>
      </w:pPr>
      <w:r w:rsidRPr="5B47F224" w:rsidR="0892C5D9">
        <w:rPr>
          <w:rFonts w:ascii="Aptos" w:hAnsi="Aptos" w:eastAsia="Aptos" w:cs="Aptos"/>
          <w:noProof w:val="0"/>
          <w:sz w:val="24"/>
          <w:szCs w:val="24"/>
          <w:lang w:val="en-GB"/>
        </w:rPr>
        <w:t>Random errors are unpredictable variations in measurements (</w:t>
      </w:r>
      <w:r w:rsidRPr="5B47F224" w:rsidR="0892C5D9">
        <w:rPr>
          <w:rFonts w:ascii="Aptos" w:hAnsi="Aptos" w:eastAsia="Aptos" w:cs="Aptos"/>
          <w:noProof w:val="0"/>
          <w:color w:val="000000" w:themeColor="text1" w:themeTint="FF" w:themeShade="FF"/>
          <w:sz w:val="24"/>
          <w:szCs w:val="24"/>
          <w:vertAlign w:val="superscript"/>
          <w:lang w:val="en-GB"/>
        </w:rPr>
        <w:t>47</w:t>
      </w:r>
      <w:r w:rsidRPr="5B47F224" w:rsidR="0892C5D9">
        <w:rPr>
          <w:rFonts w:ascii="Aptos" w:hAnsi="Aptos" w:eastAsia="Aptos" w:cs="Aptos"/>
          <w:noProof w:val="0"/>
          <w:sz w:val="24"/>
          <w:szCs w:val="24"/>
          <w:lang w:val="en-GB"/>
        </w:rPr>
        <w:t>). They may occur from external factors such as signal interference, where nearby electronic devices disrupt wireless communication leading to inconsistent sensor readings. To minimise random errors from equipment, it is recommended to use precise measurement protocols, increase the number of measurements, and calculate the average of the results. (</w:t>
      </w:r>
      <w:r w:rsidRPr="5B47F224" w:rsidR="0892C5D9">
        <w:rPr>
          <w:rFonts w:ascii="Aptos" w:hAnsi="Aptos" w:eastAsia="Aptos" w:cs="Aptos"/>
          <w:noProof w:val="0"/>
          <w:color w:val="000000" w:themeColor="text1" w:themeTint="FF" w:themeShade="FF"/>
          <w:sz w:val="24"/>
          <w:szCs w:val="24"/>
          <w:vertAlign w:val="superscript"/>
          <w:lang w:val="en-GB"/>
        </w:rPr>
        <w:t>48</w:t>
      </w:r>
      <w:r w:rsidRPr="5B47F224" w:rsidR="0892C5D9">
        <w:rPr>
          <w:rFonts w:ascii="Aptos" w:hAnsi="Aptos" w:eastAsia="Aptos" w:cs="Aptos"/>
          <w:noProof w:val="0"/>
          <w:sz w:val="24"/>
          <w:szCs w:val="24"/>
          <w:lang w:val="en-GB"/>
        </w:rPr>
        <w:t xml:space="preserve">). </w:t>
      </w:r>
    </w:p>
    <w:p xmlns:wp14="http://schemas.microsoft.com/office/word/2010/wordml" w:rsidP="5B47F224" wp14:paraId="01B2CC95" wp14:textId="3F184154">
      <w:pPr>
        <w:spacing w:before="0" w:beforeAutospacing="off" w:after="160" w:afterAutospacing="off" w:line="276" w:lineRule="auto"/>
      </w:pPr>
      <w:r w:rsidRPr="5B47F224" w:rsidR="0892C5D9">
        <w:rPr>
          <w:rFonts w:ascii="Aptos" w:hAnsi="Aptos" w:eastAsia="Aptos" w:cs="Aptos"/>
          <w:noProof w:val="0"/>
          <w:sz w:val="24"/>
          <w:szCs w:val="24"/>
          <w:lang w:val="en-GB"/>
        </w:rPr>
        <w:t>Common errors often develop in similar devices due to various factors. For instance, with IMUs, incorrect sensor location can lead to inaccurate readings, causing systematic errors in data collection (</w:t>
      </w:r>
      <w:r w:rsidRPr="5B47F224" w:rsidR="0892C5D9">
        <w:rPr>
          <w:rFonts w:ascii="Aptos" w:hAnsi="Aptos" w:eastAsia="Aptos" w:cs="Aptos"/>
          <w:noProof w:val="0"/>
          <w:color w:val="000000" w:themeColor="text1" w:themeTint="FF" w:themeShade="FF"/>
          <w:sz w:val="24"/>
          <w:szCs w:val="24"/>
          <w:vertAlign w:val="superscript"/>
          <w:lang w:val="en-GB"/>
        </w:rPr>
        <w:t>49</w:t>
      </w:r>
      <w:r w:rsidRPr="5B47F224" w:rsidR="0892C5D9">
        <w:rPr>
          <w:rFonts w:ascii="Aptos" w:hAnsi="Aptos" w:eastAsia="Aptos" w:cs="Aptos"/>
          <w:noProof w:val="0"/>
          <w:sz w:val="24"/>
          <w:szCs w:val="24"/>
          <w:lang w:val="en-GB"/>
        </w:rPr>
        <w:t>). Bluetooth devices, such as smartwatches, may suffer from signal delays or interference from other devices, affecting their performance (</w:t>
      </w:r>
      <w:r w:rsidRPr="5B47F224" w:rsidR="0892C5D9">
        <w:rPr>
          <w:rFonts w:ascii="Aptos" w:hAnsi="Aptos" w:eastAsia="Aptos" w:cs="Aptos"/>
          <w:noProof w:val="0"/>
          <w:color w:val="000000" w:themeColor="text1" w:themeTint="FF" w:themeShade="FF"/>
          <w:sz w:val="24"/>
          <w:szCs w:val="24"/>
          <w:vertAlign w:val="superscript"/>
          <w:lang w:val="en-GB"/>
        </w:rPr>
        <w:t>50</w:t>
      </w:r>
      <w:r w:rsidRPr="5B47F224" w:rsidR="0892C5D9">
        <w:rPr>
          <w:rFonts w:ascii="Aptos" w:hAnsi="Aptos" w:eastAsia="Aptos" w:cs="Aptos"/>
          <w:noProof w:val="0"/>
          <w:sz w:val="24"/>
          <w:szCs w:val="24"/>
          <w:lang w:val="en-GB"/>
        </w:rPr>
        <w:t>). Additionally, wearable activity trackers often face errors as around 70% of users reported a decline in their functionality as the battery life decreased (</w:t>
      </w:r>
      <w:r w:rsidRPr="5B47F224" w:rsidR="0892C5D9">
        <w:rPr>
          <w:rFonts w:ascii="Aptos" w:hAnsi="Aptos" w:eastAsia="Aptos" w:cs="Aptos"/>
          <w:noProof w:val="0"/>
          <w:color w:val="000000" w:themeColor="text1" w:themeTint="FF" w:themeShade="FF"/>
          <w:sz w:val="24"/>
          <w:szCs w:val="24"/>
          <w:vertAlign w:val="superscript"/>
          <w:lang w:val="en-GB"/>
        </w:rPr>
        <w:t>51</w:t>
      </w:r>
      <w:r w:rsidRPr="5B47F224" w:rsidR="0892C5D9">
        <w:rPr>
          <w:rFonts w:ascii="Aptos" w:hAnsi="Aptos" w:eastAsia="Aptos" w:cs="Aptos"/>
          <w:noProof w:val="0"/>
          <w:sz w:val="24"/>
          <w:szCs w:val="24"/>
          <w:lang w:val="en-GB"/>
        </w:rPr>
        <w:t>).</w:t>
      </w:r>
    </w:p>
    <w:p xmlns:wp14="http://schemas.microsoft.com/office/word/2010/wordml" w:rsidP="5B47F224" wp14:paraId="2FC47ADC" wp14:textId="04B3C53C">
      <w:pPr>
        <w:pStyle w:val="Heading1"/>
        <w:spacing w:before="360" w:beforeAutospacing="off" w:after="80" w:afterAutospacing="off" w:line="276" w:lineRule="auto"/>
      </w:pPr>
      <w:r w:rsidRPr="5B47F224" w:rsidR="0892C5D9">
        <w:rPr>
          <w:rFonts w:ascii="Aptos Display" w:hAnsi="Aptos Display" w:eastAsia="Aptos Display" w:cs="Aptos Display"/>
          <w:b w:val="1"/>
          <w:bCs w:val="1"/>
          <w:noProof w:val="0"/>
          <w:color w:val="0F4761" w:themeColor="accent1" w:themeTint="FF" w:themeShade="BF"/>
          <w:sz w:val="40"/>
          <w:szCs w:val="40"/>
          <w:lang w:val="en-GB"/>
        </w:rPr>
        <w:t>Future directions</w:t>
      </w:r>
      <w:r w:rsidRPr="5B47F224" w:rsidR="0892C5D9">
        <w:rPr>
          <w:rFonts w:ascii="Aptos Display" w:hAnsi="Aptos Display" w:eastAsia="Aptos Display" w:cs="Aptos Display"/>
          <w:b w:val="0"/>
          <w:bCs w:val="0"/>
          <w:noProof w:val="0"/>
          <w:color w:val="0F4761" w:themeColor="accent1" w:themeTint="FF" w:themeShade="BF"/>
          <w:sz w:val="40"/>
          <w:szCs w:val="40"/>
          <w:lang w:val="en-GB"/>
        </w:rPr>
        <w:t xml:space="preserve"> </w:t>
      </w:r>
    </w:p>
    <w:p xmlns:wp14="http://schemas.microsoft.com/office/word/2010/wordml" w:rsidP="5B47F224" wp14:paraId="615174DE" wp14:textId="4D63DF92">
      <w:pPr>
        <w:spacing w:before="0" w:beforeAutospacing="off" w:after="160" w:afterAutospacing="off" w:line="276" w:lineRule="auto"/>
      </w:pPr>
      <w:r w:rsidRPr="5B47F224" w:rsidR="0892C5D9">
        <w:rPr>
          <w:rFonts w:ascii="Aptos" w:hAnsi="Aptos" w:eastAsia="Aptos" w:cs="Aptos"/>
          <w:noProof w:val="0"/>
          <w:sz w:val="24"/>
          <w:szCs w:val="24"/>
          <w:lang w:val="en-GB"/>
        </w:rPr>
        <w:t xml:space="preserve">Future design considerations include developing a customisable fit to enhance comfort for individuals with different wrist sizes. Including materials in a range of skin tones will improve inclusivity and ensure the wrist-guard can be worn in competition. </w:t>
      </w:r>
    </w:p>
    <w:p xmlns:wp14="http://schemas.microsoft.com/office/word/2010/wordml" w:rsidP="5B47F224" wp14:paraId="350B7BE4" wp14:textId="5846FFAB">
      <w:pPr>
        <w:spacing w:before="0" w:beforeAutospacing="off" w:after="160" w:afterAutospacing="off" w:line="276" w:lineRule="auto"/>
      </w:pPr>
      <w:r w:rsidRPr="5B47F224" w:rsidR="0892C5D9">
        <w:rPr>
          <w:rFonts w:ascii="Aptos" w:hAnsi="Aptos" w:eastAsia="Aptos" w:cs="Aptos"/>
          <w:noProof w:val="0"/>
          <w:sz w:val="24"/>
          <w:szCs w:val="24"/>
          <w:lang w:val="en-GB"/>
        </w:rPr>
        <w:t>Future developments could include similar worn product for other high risk body areas such as ankle, knee and elbow, where there is potential to develop the app further to monitor more of a gymnasts’ body movements in sync. However, a potential pitfall is too much reliance on the technology.</w:t>
      </w:r>
    </w:p>
    <w:p xmlns:wp14="http://schemas.microsoft.com/office/word/2010/wordml" w:rsidP="5B47F224" wp14:paraId="14CF0DC0" wp14:textId="0EE046A0">
      <w:pPr>
        <w:spacing w:before="0" w:beforeAutospacing="off" w:after="160" w:afterAutospacing="off" w:line="276" w:lineRule="auto"/>
      </w:pPr>
      <w:r w:rsidRPr="5B47F224" w:rsidR="0892C5D9">
        <w:rPr>
          <w:rFonts w:ascii="Aptos" w:hAnsi="Aptos" w:eastAsia="Aptos" w:cs="Aptos"/>
          <w:noProof w:val="0"/>
          <w:sz w:val="24"/>
          <w:szCs w:val="24"/>
          <w:lang w:val="en-GB"/>
        </w:rPr>
        <w:t>As the wrist-guard will sync to a mobile app, data protection is an important consideration for the user. The app will follow the EU-GDPR regulations to ensure ethical use of user data (</w:t>
      </w:r>
      <w:r w:rsidRPr="5B47F224" w:rsidR="0892C5D9">
        <w:rPr>
          <w:rFonts w:ascii="Aptos" w:hAnsi="Aptos" w:eastAsia="Aptos" w:cs="Aptos"/>
          <w:noProof w:val="0"/>
          <w:color w:val="000000" w:themeColor="text1" w:themeTint="FF" w:themeShade="FF"/>
          <w:sz w:val="24"/>
          <w:szCs w:val="24"/>
          <w:vertAlign w:val="superscript"/>
          <w:lang w:val="en-GB"/>
        </w:rPr>
        <w:t>52</w:t>
      </w:r>
      <w:r w:rsidRPr="5B47F224" w:rsidR="0892C5D9">
        <w:rPr>
          <w:rFonts w:ascii="Aptos" w:hAnsi="Aptos" w:eastAsia="Aptos" w:cs="Aptos"/>
          <w:noProof w:val="0"/>
          <w:sz w:val="24"/>
          <w:szCs w:val="24"/>
          <w:lang w:val="en-GB"/>
        </w:rPr>
        <w:t>). Individuals will be clearly informed about how their data is processed and provided with detailed consent options for greater control (</w:t>
      </w:r>
      <w:r w:rsidRPr="5B47F224" w:rsidR="0892C5D9">
        <w:rPr>
          <w:rFonts w:ascii="Aptos" w:hAnsi="Aptos" w:eastAsia="Aptos" w:cs="Aptos"/>
          <w:noProof w:val="0"/>
          <w:color w:val="000000" w:themeColor="text1" w:themeTint="FF" w:themeShade="FF"/>
          <w:sz w:val="24"/>
          <w:szCs w:val="24"/>
          <w:vertAlign w:val="superscript"/>
          <w:lang w:val="en-GB"/>
        </w:rPr>
        <w:t>52</w:t>
      </w:r>
      <w:r w:rsidRPr="5B47F224" w:rsidR="0892C5D9">
        <w:rPr>
          <w:rFonts w:ascii="Aptos" w:hAnsi="Aptos" w:eastAsia="Aptos" w:cs="Aptos"/>
          <w:noProof w:val="0"/>
          <w:sz w:val="24"/>
          <w:szCs w:val="24"/>
          <w:lang w:val="en-GB"/>
        </w:rPr>
        <w:t>). Additionally, safeguards will be in place to prevent unauthorised third-party access to personal data (</w:t>
      </w:r>
      <w:r w:rsidRPr="5B47F224" w:rsidR="0892C5D9">
        <w:rPr>
          <w:rFonts w:ascii="Aptos" w:hAnsi="Aptos" w:eastAsia="Aptos" w:cs="Aptos"/>
          <w:noProof w:val="0"/>
          <w:color w:val="000000" w:themeColor="text1" w:themeTint="FF" w:themeShade="FF"/>
          <w:sz w:val="24"/>
          <w:szCs w:val="24"/>
          <w:vertAlign w:val="superscript"/>
          <w:lang w:val="en-GB"/>
        </w:rPr>
        <w:t>52</w:t>
      </w:r>
      <w:r w:rsidRPr="5B47F224" w:rsidR="0892C5D9">
        <w:rPr>
          <w:rFonts w:ascii="Aptos" w:hAnsi="Aptos" w:eastAsia="Aptos" w:cs="Aptos"/>
          <w:noProof w:val="0"/>
          <w:sz w:val="24"/>
          <w:szCs w:val="24"/>
          <w:lang w:val="en-GB"/>
        </w:rPr>
        <w:t>).</w:t>
      </w:r>
    </w:p>
    <w:p xmlns:wp14="http://schemas.microsoft.com/office/word/2010/wordml" w:rsidP="5B47F224" wp14:paraId="04BE1ED0" wp14:textId="35C70D6A">
      <w:pPr>
        <w:spacing w:before="0" w:beforeAutospacing="off" w:after="160" w:afterAutospacing="off" w:line="276" w:lineRule="auto"/>
      </w:pPr>
      <w:r w:rsidRPr="5B47F224" w:rsidR="0892C5D9">
        <w:rPr>
          <w:rFonts w:ascii="Aptos" w:hAnsi="Aptos" w:eastAsia="Aptos" w:cs="Aptos"/>
          <w:noProof w:val="0"/>
          <w:sz w:val="24"/>
          <w:szCs w:val="24"/>
          <w:lang w:val="en-GB"/>
        </w:rPr>
        <w:t xml:space="preserve"> </w:t>
      </w:r>
    </w:p>
    <w:p xmlns:wp14="http://schemas.microsoft.com/office/word/2010/wordml" w:rsidP="5B47F224" wp14:paraId="7EEFCF3A" wp14:textId="123444ED">
      <w:pPr>
        <w:pStyle w:val="Heading1"/>
        <w:spacing w:before="360" w:beforeAutospacing="off" w:after="80" w:afterAutospacing="off" w:line="276" w:lineRule="auto"/>
      </w:pPr>
      <w:r w:rsidRPr="5B47F224" w:rsidR="0892C5D9">
        <w:rPr>
          <w:rFonts w:ascii="Aptos Display" w:hAnsi="Aptos Display" w:eastAsia="Aptos Display" w:cs="Aptos Display"/>
          <w:b w:val="1"/>
          <w:bCs w:val="1"/>
          <w:noProof w:val="0"/>
          <w:color w:val="0F4761" w:themeColor="accent1" w:themeTint="FF" w:themeShade="BF"/>
          <w:sz w:val="40"/>
          <w:szCs w:val="40"/>
          <w:lang w:val="en-GB"/>
        </w:rPr>
        <w:t xml:space="preserve">References </w:t>
      </w:r>
    </w:p>
    <w:p xmlns:wp14="http://schemas.microsoft.com/office/word/2010/wordml" w:rsidP="5B47F224" wp14:paraId="23B397FD" wp14:textId="2D7D2FAC">
      <w:pPr>
        <w:spacing w:before="0" w:beforeAutospacing="off" w:after="160" w:afterAutospacing="off" w:line="276" w:lineRule="auto"/>
      </w:pPr>
      <w:r w:rsidRPr="5B47F224" w:rsidR="0892C5D9">
        <w:rPr>
          <w:rFonts w:ascii="Aptos" w:hAnsi="Aptos" w:eastAsia="Aptos" w:cs="Aptos"/>
          <w:noProof w:val="0"/>
          <w:sz w:val="22"/>
          <w:szCs w:val="22"/>
          <w:lang w:val="en-GB"/>
        </w:rPr>
        <w:t xml:space="preserve">1. Webb, B. G. &amp; Rettig, L. A. </w:t>
      </w:r>
      <w:r w:rsidRPr="5B47F224" w:rsidR="0892C5D9">
        <w:rPr>
          <w:rFonts w:ascii="Aptos" w:hAnsi="Aptos" w:eastAsia="Aptos" w:cs="Aptos"/>
          <w:i w:val="1"/>
          <w:iCs w:val="1"/>
          <w:noProof w:val="0"/>
          <w:sz w:val="22"/>
          <w:szCs w:val="22"/>
          <w:lang w:val="en-GB"/>
        </w:rPr>
        <w:t>Current Sports Medicine Reports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7</w:t>
      </w:r>
      <w:r w:rsidRPr="5B47F224" w:rsidR="0892C5D9">
        <w:rPr>
          <w:rFonts w:ascii="Aptos" w:hAnsi="Aptos" w:eastAsia="Aptos" w:cs="Aptos"/>
          <w:noProof w:val="0"/>
          <w:sz w:val="22"/>
          <w:szCs w:val="22"/>
          <w:lang w:val="en-GB"/>
        </w:rPr>
        <w:t>, 289–295 (2008)</w:t>
      </w:r>
    </w:p>
    <w:p xmlns:wp14="http://schemas.microsoft.com/office/word/2010/wordml" w:rsidP="5B47F224" wp14:paraId="4CD94A7C" wp14:textId="43F6FADA">
      <w:pPr>
        <w:spacing w:before="0" w:beforeAutospacing="off" w:after="160" w:afterAutospacing="off" w:line="276" w:lineRule="auto"/>
      </w:pPr>
      <w:r w:rsidRPr="5B47F224" w:rsidR="0892C5D9">
        <w:rPr>
          <w:rFonts w:ascii="Aptos" w:hAnsi="Aptos" w:eastAsia="Aptos" w:cs="Aptos"/>
          <w:noProof w:val="0"/>
          <w:sz w:val="22"/>
          <w:szCs w:val="22"/>
          <w:lang w:val="en-GB"/>
        </w:rPr>
        <w:t xml:space="preserve">2. Benjamin, H. J.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Current Sports Medicine Reports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16</w:t>
      </w:r>
      <w:r w:rsidRPr="5B47F224" w:rsidR="0892C5D9">
        <w:rPr>
          <w:rFonts w:ascii="Aptos" w:hAnsi="Aptos" w:eastAsia="Aptos" w:cs="Aptos"/>
          <w:noProof w:val="0"/>
          <w:sz w:val="22"/>
          <w:szCs w:val="22"/>
          <w:lang w:val="en-GB"/>
        </w:rPr>
        <w:t>, 322–329 (2017)</w:t>
      </w:r>
    </w:p>
    <w:p xmlns:wp14="http://schemas.microsoft.com/office/word/2010/wordml" w:rsidP="5B47F224" wp14:paraId="5659845B" wp14:textId="2CFBAB87">
      <w:pPr>
        <w:spacing w:before="0" w:beforeAutospacing="off" w:after="160" w:afterAutospacing="off" w:line="276" w:lineRule="auto"/>
      </w:pPr>
      <w:r w:rsidRPr="5B47F224" w:rsidR="0892C5D9">
        <w:rPr>
          <w:rFonts w:ascii="Aptos" w:hAnsi="Aptos" w:eastAsia="Aptos" w:cs="Aptos"/>
          <w:noProof w:val="0"/>
          <w:sz w:val="22"/>
          <w:szCs w:val="22"/>
          <w:lang w:val="en-GB"/>
        </w:rPr>
        <w:t xml:space="preserve">3. Gabel, G. T. </w:t>
      </w:r>
      <w:r w:rsidRPr="5B47F224" w:rsidR="0892C5D9">
        <w:rPr>
          <w:rFonts w:ascii="Aptos" w:hAnsi="Aptos" w:eastAsia="Aptos" w:cs="Aptos"/>
          <w:i w:val="1"/>
          <w:iCs w:val="1"/>
          <w:noProof w:val="0"/>
          <w:sz w:val="22"/>
          <w:szCs w:val="22"/>
          <w:lang w:val="en-GB"/>
        </w:rPr>
        <w:t>Clinics in Sports Medicine</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17</w:t>
      </w:r>
      <w:r w:rsidRPr="5B47F224" w:rsidR="0892C5D9">
        <w:rPr>
          <w:rFonts w:ascii="Aptos" w:hAnsi="Aptos" w:eastAsia="Aptos" w:cs="Aptos"/>
          <w:noProof w:val="0"/>
          <w:sz w:val="22"/>
          <w:szCs w:val="22"/>
          <w:lang w:val="en-GB"/>
        </w:rPr>
        <w:t>, 611–621 (1998)</w:t>
      </w:r>
    </w:p>
    <w:p xmlns:wp14="http://schemas.microsoft.com/office/word/2010/wordml" w:rsidP="5B47F224" wp14:paraId="0B134CD0" wp14:textId="1A463586">
      <w:pPr>
        <w:spacing w:before="0" w:beforeAutospacing="off" w:after="160" w:afterAutospacing="off" w:line="276" w:lineRule="auto"/>
      </w:pPr>
      <w:r w:rsidRPr="5B47F224" w:rsidR="0892C5D9">
        <w:rPr>
          <w:rFonts w:ascii="Aptos" w:hAnsi="Aptos" w:eastAsia="Aptos" w:cs="Aptos"/>
          <w:noProof w:val="0"/>
          <w:sz w:val="22"/>
          <w:szCs w:val="22"/>
          <w:lang w:val="en-GB"/>
        </w:rPr>
        <w:t xml:space="preserve">4. DiFiori, J. P.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The American Journal of Sports Medicine</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34</w:t>
      </w:r>
      <w:r w:rsidRPr="5B47F224" w:rsidR="0892C5D9">
        <w:rPr>
          <w:rFonts w:ascii="Aptos" w:hAnsi="Aptos" w:eastAsia="Aptos" w:cs="Aptos"/>
          <w:noProof w:val="0"/>
          <w:sz w:val="22"/>
          <w:szCs w:val="22"/>
          <w:lang w:val="en-GB"/>
        </w:rPr>
        <w:t>, 840–849 (2006)</w:t>
      </w:r>
    </w:p>
    <w:p xmlns:wp14="http://schemas.microsoft.com/office/word/2010/wordml" w:rsidP="5B47F224" wp14:paraId="4C65D1E7" wp14:textId="66F5B677">
      <w:pPr>
        <w:spacing w:before="0" w:beforeAutospacing="off" w:after="160" w:afterAutospacing="off" w:line="276" w:lineRule="auto"/>
      </w:pPr>
      <w:r w:rsidRPr="5B47F224" w:rsidR="0892C5D9">
        <w:rPr>
          <w:rFonts w:ascii="Aptos" w:hAnsi="Aptos" w:eastAsia="Aptos" w:cs="Aptos"/>
          <w:noProof w:val="0"/>
          <w:sz w:val="22"/>
          <w:szCs w:val="22"/>
          <w:lang w:val="en-GB"/>
        </w:rPr>
        <w:t xml:space="preserve">5. Nakamoto, J. C.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Case Reports in Orthopedics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2011</w:t>
      </w:r>
      <w:r w:rsidRPr="5B47F224" w:rsidR="0892C5D9">
        <w:rPr>
          <w:rFonts w:ascii="Aptos" w:hAnsi="Aptos" w:eastAsia="Aptos" w:cs="Aptos"/>
          <w:noProof w:val="0"/>
          <w:sz w:val="22"/>
          <w:szCs w:val="22"/>
          <w:lang w:val="en-GB"/>
        </w:rPr>
        <w:t>, 1–3 (2011)</w:t>
      </w:r>
    </w:p>
    <w:p xmlns:wp14="http://schemas.microsoft.com/office/word/2010/wordml" w:rsidP="5B47F224" wp14:paraId="2E080DEC" wp14:textId="6BC893F3">
      <w:pPr>
        <w:spacing w:before="0" w:beforeAutospacing="off" w:after="160" w:afterAutospacing="off" w:line="276" w:lineRule="auto"/>
      </w:pPr>
      <w:r w:rsidRPr="5B47F224" w:rsidR="0892C5D9">
        <w:rPr>
          <w:rFonts w:ascii="Aptos" w:hAnsi="Aptos" w:eastAsia="Aptos" w:cs="Aptos"/>
          <w:noProof w:val="0"/>
          <w:sz w:val="22"/>
          <w:szCs w:val="22"/>
          <w:lang w:val="en-GB"/>
        </w:rPr>
        <w:t xml:space="preserve">6. Snider, M. G.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Canadian Journal of Surgery</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49</w:t>
      </w:r>
      <w:r w:rsidRPr="5B47F224" w:rsidR="0892C5D9">
        <w:rPr>
          <w:rFonts w:ascii="Aptos" w:hAnsi="Aptos" w:eastAsia="Aptos" w:cs="Aptos"/>
          <w:noProof w:val="0"/>
          <w:sz w:val="22"/>
          <w:szCs w:val="22"/>
          <w:lang w:val="en-GB"/>
        </w:rPr>
        <w:t>, 290–1 (2006)</w:t>
      </w:r>
    </w:p>
    <w:p xmlns:wp14="http://schemas.microsoft.com/office/word/2010/wordml" w:rsidP="5B47F224" wp14:paraId="5B2BFF67" wp14:textId="2C14761C">
      <w:pPr>
        <w:spacing w:before="0" w:beforeAutospacing="off" w:after="160" w:afterAutospacing="off" w:line="276" w:lineRule="auto"/>
      </w:pPr>
      <w:r w:rsidRPr="5B47F224" w:rsidR="0892C5D9">
        <w:rPr>
          <w:rFonts w:ascii="Aptos" w:hAnsi="Aptos" w:eastAsia="Aptos" w:cs="Aptos"/>
          <w:noProof w:val="0"/>
          <w:sz w:val="22"/>
          <w:szCs w:val="22"/>
          <w:lang w:val="en-GB"/>
        </w:rPr>
        <w:t xml:space="preserve">7. Kox, L. S.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British Journal of Sports Medicine</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49</w:t>
      </w:r>
      <w:r w:rsidRPr="5B47F224" w:rsidR="0892C5D9">
        <w:rPr>
          <w:rFonts w:ascii="Aptos" w:hAnsi="Aptos" w:eastAsia="Aptos" w:cs="Aptos"/>
          <w:noProof w:val="0"/>
          <w:sz w:val="22"/>
          <w:szCs w:val="22"/>
          <w:lang w:val="en-GB"/>
        </w:rPr>
        <w:t>, 1189–1196 (2015)</w:t>
      </w:r>
    </w:p>
    <w:p xmlns:wp14="http://schemas.microsoft.com/office/word/2010/wordml" w:rsidP="5B47F224" wp14:paraId="55DEC336" wp14:textId="32734443">
      <w:pPr>
        <w:spacing w:before="0" w:beforeAutospacing="off" w:after="160" w:afterAutospacing="off" w:line="276" w:lineRule="auto"/>
      </w:pPr>
      <w:r w:rsidRPr="5B47F224" w:rsidR="0892C5D9">
        <w:rPr>
          <w:rFonts w:ascii="Aptos" w:hAnsi="Aptos" w:eastAsia="Aptos" w:cs="Aptos"/>
          <w:noProof w:val="0"/>
          <w:sz w:val="22"/>
          <w:szCs w:val="22"/>
          <w:lang w:val="en-GB"/>
        </w:rPr>
        <w:t xml:space="preserve">8. Halliday, S. </w:t>
      </w:r>
      <w:r w:rsidRPr="5B47F224" w:rsidR="0892C5D9">
        <w:rPr>
          <w:rFonts w:ascii="Aptos" w:hAnsi="Aptos" w:eastAsia="Aptos" w:cs="Aptos"/>
          <w:i w:val="1"/>
          <w:iCs w:val="1"/>
          <w:noProof w:val="0"/>
          <w:sz w:val="22"/>
          <w:szCs w:val="22"/>
          <w:lang w:val="en-GB"/>
        </w:rPr>
        <w:t>ProQuest Dissertation &amp; Theses Global</w:t>
      </w:r>
      <w:r w:rsidRPr="5B47F224" w:rsidR="0892C5D9">
        <w:rPr>
          <w:rFonts w:ascii="Aptos" w:hAnsi="Aptos" w:eastAsia="Aptos" w:cs="Aptos"/>
          <w:noProof w:val="0"/>
          <w:sz w:val="22"/>
          <w:szCs w:val="22"/>
          <w:lang w:val="en-GB"/>
        </w:rPr>
        <w:t xml:space="preserve"> (2013)</w:t>
      </w:r>
    </w:p>
    <w:p xmlns:wp14="http://schemas.microsoft.com/office/word/2010/wordml" w:rsidP="5B47F224" wp14:paraId="103CA0D5" wp14:textId="75015D31">
      <w:pPr>
        <w:spacing w:before="0" w:beforeAutospacing="off" w:after="160" w:afterAutospacing="off" w:line="276" w:lineRule="auto"/>
      </w:pPr>
      <w:r w:rsidRPr="5B47F224" w:rsidR="0892C5D9">
        <w:rPr>
          <w:rFonts w:ascii="Aptos" w:hAnsi="Aptos" w:eastAsia="Aptos" w:cs="Aptos"/>
          <w:noProof w:val="0"/>
          <w:sz w:val="22"/>
          <w:szCs w:val="22"/>
          <w:lang w:val="en-GB"/>
        </w:rPr>
        <w:t xml:space="preserve">9. Kim, K.-J.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Shock Attenuation of Various Protective Devices for Prevention of Fall-Related Injuries of the Forearm/Hand Complex. </w:t>
      </w:r>
      <w:r w:rsidRPr="5B47F224" w:rsidR="0892C5D9">
        <w:rPr>
          <w:rFonts w:ascii="Aptos" w:hAnsi="Aptos" w:eastAsia="Aptos" w:cs="Aptos"/>
          <w:b w:val="1"/>
          <w:bCs w:val="1"/>
          <w:noProof w:val="0"/>
          <w:sz w:val="22"/>
          <w:szCs w:val="22"/>
          <w:lang w:val="en-GB"/>
        </w:rPr>
        <w:t>34</w:t>
      </w:r>
      <w:r w:rsidRPr="5B47F224" w:rsidR="0892C5D9">
        <w:rPr>
          <w:rFonts w:ascii="Aptos" w:hAnsi="Aptos" w:eastAsia="Aptos" w:cs="Aptos"/>
          <w:noProof w:val="0"/>
          <w:sz w:val="22"/>
          <w:szCs w:val="22"/>
          <w:lang w:val="en-GB"/>
        </w:rPr>
        <w:t>, 637–643 (2006)</w:t>
      </w:r>
    </w:p>
    <w:p xmlns:wp14="http://schemas.microsoft.com/office/word/2010/wordml" w:rsidP="5B47F224" wp14:paraId="7FA2B303" wp14:textId="67065C07">
      <w:pPr>
        <w:spacing w:before="0" w:beforeAutospacing="off" w:after="160" w:afterAutospacing="off" w:line="276" w:lineRule="auto"/>
      </w:pPr>
      <w:r w:rsidRPr="5B47F224" w:rsidR="0892C5D9">
        <w:rPr>
          <w:rFonts w:ascii="Aptos" w:hAnsi="Aptos" w:eastAsia="Aptos" w:cs="Aptos"/>
          <w:noProof w:val="0"/>
          <w:sz w:val="22"/>
          <w:szCs w:val="22"/>
          <w:lang w:val="en-GB"/>
        </w:rPr>
        <w:t xml:space="preserve">10. Farana, R.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Journal of Sports Sciences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35</w:t>
      </w:r>
      <w:r w:rsidRPr="5B47F224" w:rsidR="0892C5D9">
        <w:rPr>
          <w:rFonts w:ascii="Aptos" w:hAnsi="Aptos" w:eastAsia="Aptos" w:cs="Aptos"/>
          <w:noProof w:val="0"/>
          <w:sz w:val="22"/>
          <w:szCs w:val="22"/>
          <w:lang w:val="en-GB"/>
        </w:rPr>
        <w:t>, 124–129 (2016)</w:t>
      </w:r>
    </w:p>
    <w:p xmlns:wp14="http://schemas.microsoft.com/office/word/2010/wordml" w:rsidP="5B47F224" wp14:paraId="24EF8344" wp14:textId="2E4BAF37">
      <w:pPr>
        <w:spacing w:before="0" w:beforeAutospacing="off" w:after="160" w:afterAutospacing="off" w:line="276" w:lineRule="auto"/>
      </w:pPr>
      <w:r w:rsidRPr="5B47F224" w:rsidR="0892C5D9">
        <w:rPr>
          <w:rFonts w:ascii="Aptos" w:hAnsi="Aptos" w:eastAsia="Aptos" w:cs="Aptos"/>
          <w:noProof w:val="0"/>
          <w:sz w:val="22"/>
          <w:szCs w:val="22"/>
          <w:lang w:val="en-GB"/>
        </w:rPr>
        <w:t xml:space="preserve">11. Grant-Ford, M.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American Orthopaedic Society for Sports Medicine</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31</w:t>
      </w:r>
      <w:r w:rsidRPr="5B47F224" w:rsidR="0892C5D9">
        <w:rPr>
          <w:rFonts w:ascii="Aptos" w:hAnsi="Aptos" w:eastAsia="Aptos" w:cs="Aptos"/>
          <w:noProof w:val="0"/>
          <w:sz w:val="22"/>
          <w:szCs w:val="22"/>
          <w:lang w:val="en-GB"/>
        </w:rPr>
        <w:t>, 736–743 (2003)</w:t>
      </w:r>
    </w:p>
    <w:p xmlns:wp14="http://schemas.microsoft.com/office/word/2010/wordml" w:rsidP="5B47F224" wp14:paraId="13C8CD75" wp14:textId="445644C7">
      <w:pPr>
        <w:spacing w:before="0" w:beforeAutospacing="off" w:after="160" w:afterAutospacing="off" w:line="276" w:lineRule="auto"/>
      </w:pPr>
      <w:r w:rsidRPr="5B47F224" w:rsidR="0892C5D9">
        <w:rPr>
          <w:rFonts w:ascii="Aptos" w:hAnsi="Aptos" w:eastAsia="Aptos" w:cs="Aptos"/>
          <w:noProof w:val="0"/>
          <w:sz w:val="22"/>
          <w:szCs w:val="22"/>
          <w:lang w:val="en-GB"/>
        </w:rPr>
        <w:t xml:space="preserve">12. Perrin, D. H. Taping and Bracing - second edition. </w:t>
      </w:r>
      <w:r w:rsidRPr="5B47F224" w:rsidR="0892C5D9">
        <w:rPr>
          <w:rFonts w:ascii="Aptos" w:hAnsi="Aptos" w:eastAsia="Aptos" w:cs="Aptos"/>
          <w:i w:val="1"/>
          <w:iCs w:val="1"/>
          <w:noProof w:val="0"/>
          <w:sz w:val="22"/>
          <w:szCs w:val="22"/>
          <w:lang w:val="en-GB"/>
        </w:rPr>
        <w:t>Human Kinetics Publisher</w:t>
      </w:r>
      <w:r w:rsidRPr="5B47F224" w:rsidR="0892C5D9">
        <w:rPr>
          <w:rFonts w:ascii="Aptos" w:hAnsi="Aptos" w:eastAsia="Aptos" w:cs="Aptos"/>
          <w:noProof w:val="0"/>
          <w:sz w:val="22"/>
          <w:szCs w:val="22"/>
          <w:lang w:val="en-GB"/>
        </w:rPr>
        <w:t xml:space="preserve"> (2005)</w:t>
      </w:r>
    </w:p>
    <w:p xmlns:wp14="http://schemas.microsoft.com/office/word/2010/wordml" w:rsidP="5B47F224" wp14:paraId="1AEE8BA2" wp14:textId="02BDF216">
      <w:pPr>
        <w:spacing w:before="0" w:beforeAutospacing="off" w:after="160" w:afterAutospacing="off" w:line="276" w:lineRule="auto"/>
      </w:pPr>
      <w:r w:rsidRPr="5B47F224" w:rsidR="0892C5D9">
        <w:rPr>
          <w:rFonts w:ascii="Aptos" w:hAnsi="Aptos" w:eastAsia="Aptos" w:cs="Aptos"/>
          <w:noProof w:val="0"/>
          <w:sz w:val="22"/>
          <w:szCs w:val="22"/>
          <w:lang w:val="en-GB"/>
        </w:rPr>
        <w:t xml:space="preserve">13. Mills, K. R. </w:t>
      </w:r>
      <w:r w:rsidRPr="5B47F224" w:rsidR="0892C5D9">
        <w:rPr>
          <w:rFonts w:ascii="Aptos" w:hAnsi="Aptos" w:eastAsia="Aptos" w:cs="Aptos"/>
          <w:i w:val="1"/>
          <w:iCs w:val="1"/>
          <w:noProof w:val="0"/>
          <w:sz w:val="22"/>
          <w:szCs w:val="22"/>
          <w:lang w:val="en-GB"/>
        </w:rPr>
        <w:t>Journal of Neurology, Neurosurgery &amp; Psychiatry</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76</w:t>
      </w:r>
      <w:r w:rsidRPr="5B47F224" w:rsidR="0892C5D9">
        <w:rPr>
          <w:rFonts w:ascii="Aptos" w:hAnsi="Aptos" w:eastAsia="Aptos" w:cs="Aptos"/>
          <w:noProof w:val="0"/>
          <w:sz w:val="22"/>
          <w:szCs w:val="22"/>
          <w:lang w:val="en-GB"/>
        </w:rPr>
        <w:t>, ii32–ii35 (2005)</w:t>
      </w:r>
    </w:p>
    <w:p xmlns:wp14="http://schemas.microsoft.com/office/word/2010/wordml" w:rsidP="5B47F224" wp14:paraId="6CAA1B1F" wp14:textId="64F64298">
      <w:pPr>
        <w:spacing w:before="0" w:beforeAutospacing="off" w:after="160" w:afterAutospacing="off" w:line="276" w:lineRule="auto"/>
      </w:pPr>
      <w:r w:rsidRPr="5B47F224" w:rsidR="0892C5D9">
        <w:rPr>
          <w:rFonts w:ascii="Aptos" w:hAnsi="Aptos" w:eastAsia="Aptos" w:cs="Aptos"/>
          <w:noProof w:val="0"/>
          <w:sz w:val="22"/>
          <w:szCs w:val="22"/>
          <w:lang w:val="en-GB"/>
        </w:rPr>
        <w:t xml:space="preserve">14. Chowdhury, R.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Sensors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13</w:t>
      </w:r>
      <w:r w:rsidRPr="5B47F224" w:rsidR="0892C5D9">
        <w:rPr>
          <w:rFonts w:ascii="Aptos" w:hAnsi="Aptos" w:eastAsia="Aptos" w:cs="Aptos"/>
          <w:noProof w:val="0"/>
          <w:sz w:val="22"/>
          <w:szCs w:val="22"/>
          <w:lang w:val="en-GB"/>
        </w:rPr>
        <w:t>, 12431–12466 (2013)</w:t>
      </w:r>
    </w:p>
    <w:p xmlns:wp14="http://schemas.microsoft.com/office/word/2010/wordml" w:rsidP="5B47F224" wp14:paraId="0FD49FFC" wp14:textId="06ADA56D">
      <w:pPr>
        <w:spacing w:before="0" w:beforeAutospacing="off" w:after="160" w:afterAutospacing="off" w:line="276" w:lineRule="auto"/>
      </w:pPr>
      <w:r w:rsidRPr="5B47F224" w:rsidR="0892C5D9">
        <w:rPr>
          <w:rFonts w:ascii="Aptos" w:hAnsi="Aptos" w:eastAsia="Aptos" w:cs="Aptos"/>
          <w:noProof w:val="0"/>
          <w:sz w:val="22"/>
          <w:szCs w:val="22"/>
          <w:lang w:val="en-GB"/>
        </w:rPr>
        <w:t xml:space="preserve">15. De Luca, C. Electromyography. </w:t>
      </w:r>
      <w:r w:rsidRPr="5B47F224" w:rsidR="0892C5D9">
        <w:rPr>
          <w:rFonts w:ascii="Aptos" w:hAnsi="Aptos" w:eastAsia="Aptos" w:cs="Aptos"/>
          <w:i w:val="1"/>
          <w:iCs w:val="1"/>
          <w:noProof w:val="0"/>
          <w:sz w:val="22"/>
          <w:szCs w:val="22"/>
          <w:lang w:val="en-GB"/>
        </w:rPr>
        <w:t>Encyclopedia of Medical Devices and Instrumentation</w:t>
      </w:r>
      <w:r w:rsidRPr="5B47F224" w:rsidR="0892C5D9">
        <w:rPr>
          <w:rFonts w:ascii="Aptos" w:hAnsi="Aptos" w:eastAsia="Aptos" w:cs="Aptos"/>
          <w:noProof w:val="0"/>
          <w:sz w:val="22"/>
          <w:szCs w:val="22"/>
          <w:lang w:val="en-GB"/>
        </w:rPr>
        <w:t xml:space="preserve"> (2006) </w:t>
      </w:r>
    </w:p>
    <w:p xmlns:wp14="http://schemas.microsoft.com/office/word/2010/wordml" w:rsidP="5B47F224" wp14:paraId="59E44D8A" wp14:textId="4D24F63C">
      <w:pPr>
        <w:spacing w:before="0" w:beforeAutospacing="off" w:after="160" w:afterAutospacing="off" w:line="276" w:lineRule="auto"/>
      </w:pPr>
      <w:r w:rsidRPr="5B47F224" w:rsidR="0892C5D9">
        <w:rPr>
          <w:rFonts w:ascii="Aptos" w:hAnsi="Aptos" w:eastAsia="Aptos" w:cs="Aptos"/>
          <w:noProof w:val="0"/>
          <w:sz w:val="22"/>
          <w:szCs w:val="22"/>
          <w:lang w:val="en-GB"/>
        </w:rPr>
        <w:t xml:space="preserve">16. Molina-Molina, A.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Frontiers in Physiology</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11</w:t>
      </w:r>
      <w:r w:rsidRPr="5B47F224" w:rsidR="0892C5D9">
        <w:rPr>
          <w:rFonts w:ascii="Aptos" w:hAnsi="Aptos" w:eastAsia="Aptos" w:cs="Aptos"/>
          <w:noProof w:val="0"/>
          <w:sz w:val="22"/>
          <w:szCs w:val="22"/>
          <w:lang w:val="en-GB"/>
        </w:rPr>
        <w:t>, (2020)</w:t>
      </w:r>
    </w:p>
    <w:p xmlns:wp14="http://schemas.microsoft.com/office/word/2010/wordml" w:rsidP="5B47F224" wp14:paraId="1E1089BC" wp14:textId="25504EDD">
      <w:pPr>
        <w:spacing w:before="0" w:beforeAutospacing="off" w:after="160" w:afterAutospacing="off" w:line="276" w:lineRule="auto"/>
      </w:pPr>
      <w:r w:rsidRPr="5B47F224" w:rsidR="0892C5D9">
        <w:rPr>
          <w:rFonts w:ascii="Aptos" w:hAnsi="Aptos" w:eastAsia="Aptos" w:cs="Aptos"/>
          <w:noProof w:val="0"/>
          <w:sz w:val="22"/>
          <w:szCs w:val="22"/>
          <w:lang w:val="en-GB"/>
        </w:rPr>
        <w:t xml:space="preserve">17. Liu, T., Inoue, Y. &amp; Shibata, K. </w:t>
      </w:r>
      <w:r w:rsidRPr="5B47F224" w:rsidR="0892C5D9">
        <w:rPr>
          <w:rFonts w:ascii="Aptos" w:hAnsi="Aptos" w:eastAsia="Aptos" w:cs="Aptos"/>
          <w:i w:val="1"/>
          <w:iCs w:val="1"/>
          <w:noProof w:val="0"/>
          <w:sz w:val="22"/>
          <w:szCs w:val="22"/>
          <w:lang w:val="en-GB"/>
        </w:rPr>
        <w:t>Measurement</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40</w:t>
      </w:r>
      <w:r w:rsidRPr="5B47F224" w:rsidR="0892C5D9">
        <w:rPr>
          <w:rFonts w:ascii="Aptos" w:hAnsi="Aptos" w:eastAsia="Aptos" w:cs="Aptos"/>
          <w:noProof w:val="0"/>
          <w:sz w:val="22"/>
          <w:szCs w:val="22"/>
          <w:lang w:val="en-GB"/>
        </w:rPr>
        <w:t>, 644–653 (2007)</w:t>
      </w:r>
    </w:p>
    <w:p xmlns:wp14="http://schemas.microsoft.com/office/word/2010/wordml" w:rsidP="5B47F224" wp14:paraId="56B06820" wp14:textId="24B40C33">
      <w:pPr>
        <w:spacing w:before="0" w:beforeAutospacing="off" w:after="160" w:afterAutospacing="off" w:line="276" w:lineRule="auto"/>
      </w:pPr>
      <w:r w:rsidRPr="5B47F224" w:rsidR="0892C5D9">
        <w:rPr>
          <w:rFonts w:ascii="Aptos" w:hAnsi="Aptos" w:eastAsia="Aptos" w:cs="Aptos"/>
          <w:noProof w:val="0"/>
          <w:sz w:val="22"/>
          <w:szCs w:val="22"/>
          <w:lang w:val="en-GB"/>
        </w:rPr>
        <w:t xml:space="preserve">18. Giovanelli, D. &amp; Farella, E. </w:t>
      </w:r>
      <w:r w:rsidRPr="5B47F224" w:rsidR="0892C5D9">
        <w:rPr>
          <w:rFonts w:ascii="Aptos" w:hAnsi="Aptos" w:eastAsia="Aptos" w:cs="Aptos"/>
          <w:i w:val="1"/>
          <w:iCs w:val="1"/>
          <w:noProof w:val="0"/>
          <w:sz w:val="22"/>
          <w:szCs w:val="22"/>
          <w:lang w:val="en-GB"/>
        </w:rPr>
        <w:t>Journal of Sensors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2016</w:t>
      </w:r>
      <w:r w:rsidRPr="5B47F224" w:rsidR="0892C5D9">
        <w:rPr>
          <w:rFonts w:ascii="Aptos" w:hAnsi="Aptos" w:eastAsia="Aptos" w:cs="Aptos"/>
          <w:noProof w:val="0"/>
          <w:sz w:val="22"/>
          <w:szCs w:val="22"/>
          <w:lang w:val="en-GB"/>
        </w:rPr>
        <w:t>, 1–13 (2016)</w:t>
      </w:r>
    </w:p>
    <w:p xmlns:wp14="http://schemas.microsoft.com/office/word/2010/wordml" w:rsidP="5B47F224" wp14:paraId="6612BE95" wp14:textId="167A3270">
      <w:pPr>
        <w:spacing w:before="0" w:beforeAutospacing="off" w:after="160" w:afterAutospacing="off" w:line="276" w:lineRule="auto"/>
      </w:pPr>
      <w:r w:rsidRPr="5B47F224" w:rsidR="0892C5D9">
        <w:rPr>
          <w:rFonts w:ascii="Aptos" w:hAnsi="Aptos" w:eastAsia="Aptos" w:cs="Aptos"/>
          <w:noProof w:val="0"/>
          <w:sz w:val="22"/>
          <w:szCs w:val="22"/>
          <w:lang w:val="en-GB"/>
        </w:rPr>
        <w:t xml:space="preserve">19. Jung, J.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Applied Sciences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14</w:t>
      </w:r>
      <w:r w:rsidRPr="5B47F224" w:rsidR="0892C5D9">
        <w:rPr>
          <w:rFonts w:ascii="Aptos" w:hAnsi="Aptos" w:eastAsia="Aptos" w:cs="Aptos"/>
          <w:noProof w:val="0"/>
          <w:sz w:val="22"/>
          <w:szCs w:val="22"/>
          <w:lang w:val="en-GB"/>
        </w:rPr>
        <w:t>, 7774 (2024)</w:t>
      </w:r>
    </w:p>
    <w:p xmlns:wp14="http://schemas.microsoft.com/office/word/2010/wordml" w:rsidP="5B47F224" wp14:paraId="22687970" wp14:textId="1A9E5C5B">
      <w:pPr>
        <w:spacing w:before="0" w:beforeAutospacing="off" w:after="160" w:afterAutospacing="off" w:line="276" w:lineRule="auto"/>
      </w:pPr>
      <w:r w:rsidRPr="5B47F224" w:rsidR="0892C5D9">
        <w:rPr>
          <w:rFonts w:ascii="Aptos" w:hAnsi="Aptos" w:eastAsia="Aptos" w:cs="Aptos"/>
          <w:noProof w:val="0"/>
          <w:sz w:val="22"/>
          <w:szCs w:val="22"/>
          <w:lang w:val="en-GB"/>
        </w:rPr>
        <w:t xml:space="preserve">20. Lin, B.-S.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IEEE Sensors Journal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20</w:t>
      </w:r>
      <w:r w:rsidRPr="5B47F224" w:rsidR="0892C5D9">
        <w:rPr>
          <w:rFonts w:ascii="Aptos" w:hAnsi="Aptos" w:eastAsia="Aptos" w:cs="Aptos"/>
          <w:noProof w:val="0"/>
          <w:sz w:val="22"/>
          <w:szCs w:val="22"/>
          <w:lang w:val="en-GB"/>
        </w:rPr>
        <w:t>, 3379–3389 (2020)</w:t>
      </w:r>
    </w:p>
    <w:p xmlns:wp14="http://schemas.microsoft.com/office/word/2010/wordml" w:rsidP="5B47F224" wp14:paraId="372A3008" wp14:textId="5B60B92A">
      <w:pPr>
        <w:spacing w:before="0" w:beforeAutospacing="off" w:after="160" w:afterAutospacing="off" w:line="276" w:lineRule="auto"/>
      </w:pPr>
      <w:r w:rsidRPr="5B47F224" w:rsidR="0892C5D9">
        <w:rPr>
          <w:rFonts w:ascii="Aptos" w:hAnsi="Aptos" w:eastAsia="Aptos" w:cs="Aptos"/>
          <w:noProof w:val="0"/>
          <w:sz w:val="22"/>
          <w:szCs w:val="22"/>
          <w:lang w:val="en-GB"/>
        </w:rPr>
        <w:t xml:space="preserve">21. Ahmad, N.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International Journal of Signal Processing Systems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w:t>
      </w:r>
      <w:r w:rsidRPr="5B47F224" w:rsidR="0892C5D9">
        <w:rPr>
          <w:rFonts w:ascii="Aptos" w:hAnsi="Aptos" w:eastAsia="Aptos" w:cs="Aptos"/>
          <w:noProof w:val="0"/>
          <w:sz w:val="22"/>
          <w:szCs w:val="22"/>
          <w:lang w:val="en-GB"/>
        </w:rPr>
        <w:t>, 256–262 (2013)</w:t>
      </w:r>
    </w:p>
    <w:p xmlns:wp14="http://schemas.microsoft.com/office/word/2010/wordml" w:rsidP="5B47F224" wp14:paraId="579D426D" wp14:textId="37F1DA97">
      <w:pPr>
        <w:spacing w:before="0" w:beforeAutospacing="off" w:after="160" w:afterAutospacing="off" w:line="276" w:lineRule="auto"/>
      </w:pPr>
      <w:r w:rsidRPr="5B47F224" w:rsidR="0892C5D9">
        <w:rPr>
          <w:rFonts w:ascii="Aptos" w:hAnsi="Aptos" w:eastAsia="Aptos" w:cs="Aptos"/>
          <w:noProof w:val="0"/>
          <w:sz w:val="22"/>
          <w:szCs w:val="22"/>
          <w:lang w:val="en-GB"/>
        </w:rPr>
        <w:t xml:space="preserve">22. Inc, I. E. FSR Sensor, Force Sensing Resistor | Interlink Electronics. </w:t>
      </w:r>
    </w:p>
    <w:p xmlns:wp14="http://schemas.microsoft.com/office/word/2010/wordml" w:rsidP="5B47F224" wp14:paraId="6373E6D4" wp14:textId="406A034F">
      <w:pPr>
        <w:spacing w:before="0" w:beforeAutospacing="off" w:after="160" w:afterAutospacing="off" w:line="276" w:lineRule="auto"/>
      </w:pPr>
      <w:r w:rsidRPr="5B47F224" w:rsidR="0892C5D9">
        <w:rPr>
          <w:rFonts w:ascii="Aptos" w:hAnsi="Aptos" w:eastAsia="Aptos" w:cs="Aptos"/>
          <w:noProof w:val="0"/>
          <w:sz w:val="22"/>
          <w:szCs w:val="22"/>
          <w:lang w:val="en-GB"/>
        </w:rPr>
        <w:t xml:space="preserve">23. Hart, E.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The American Journal of Sports Medicine</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51</w:t>
      </w:r>
      <w:r w:rsidRPr="5B47F224" w:rsidR="0892C5D9">
        <w:rPr>
          <w:rFonts w:ascii="Aptos" w:hAnsi="Aptos" w:eastAsia="Aptos" w:cs="Aptos"/>
          <w:noProof w:val="0"/>
          <w:sz w:val="22"/>
          <w:szCs w:val="22"/>
          <w:lang w:val="en-GB"/>
        </w:rPr>
        <w:t>, 3426–3433 (2023)</w:t>
      </w:r>
    </w:p>
    <w:p xmlns:wp14="http://schemas.microsoft.com/office/word/2010/wordml" w:rsidP="5B47F224" wp14:paraId="4B689139" wp14:textId="3F8ECD4C">
      <w:pPr>
        <w:spacing w:before="0" w:beforeAutospacing="off" w:after="160" w:afterAutospacing="off" w:line="276" w:lineRule="auto"/>
      </w:pPr>
      <w:r w:rsidRPr="5B47F224" w:rsidR="0892C5D9">
        <w:rPr>
          <w:rFonts w:ascii="Aptos" w:hAnsi="Aptos" w:eastAsia="Aptos" w:cs="Aptos"/>
          <w:noProof w:val="0"/>
          <w:sz w:val="22"/>
          <w:szCs w:val="22"/>
          <w:lang w:val="en-GB"/>
        </w:rPr>
        <w:t xml:space="preserve">24. Karagiannopoulos, C.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Journal of Hand Therapy</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33</w:t>
      </w:r>
      <w:r w:rsidRPr="5B47F224" w:rsidR="0892C5D9">
        <w:rPr>
          <w:rFonts w:ascii="Aptos" w:hAnsi="Aptos" w:eastAsia="Aptos" w:cs="Aptos"/>
          <w:noProof w:val="0"/>
          <w:sz w:val="22"/>
          <w:szCs w:val="22"/>
          <w:lang w:val="en-GB"/>
        </w:rPr>
        <w:t>, (2019)</w:t>
      </w:r>
    </w:p>
    <w:p xmlns:wp14="http://schemas.microsoft.com/office/word/2010/wordml" w:rsidP="5B47F224" wp14:paraId="3ECA4F25" wp14:textId="1024D032">
      <w:pPr>
        <w:spacing w:before="0" w:beforeAutospacing="off" w:after="160" w:afterAutospacing="off" w:line="276" w:lineRule="auto"/>
      </w:pPr>
      <w:r w:rsidRPr="5B47F224" w:rsidR="0892C5D9">
        <w:rPr>
          <w:rFonts w:ascii="Aptos" w:hAnsi="Aptos" w:eastAsia="Aptos" w:cs="Aptos"/>
          <w:noProof w:val="0"/>
          <w:sz w:val="22"/>
          <w:szCs w:val="22"/>
          <w:lang w:val="en-GB"/>
        </w:rPr>
        <w:t xml:space="preserve">25. Voight, M. L.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The Journal of orthopaedic and sports physical therapy</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23</w:t>
      </w:r>
      <w:r w:rsidRPr="5B47F224" w:rsidR="0892C5D9">
        <w:rPr>
          <w:rFonts w:ascii="Aptos" w:hAnsi="Aptos" w:eastAsia="Aptos" w:cs="Aptos"/>
          <w:noProof w:val="0"/>
          <w:sz w:val="22"/>
          <w:szCs w:val="22"/>
          <w:lang w:val="en-GB"/>
        </w:rPr>
        <w:t>, 348–52 (1996)</w:t>
      </w:r>
    </w:p>
    <w:p xmlns:wp14="http://schemas.microsoft.com/office/word/2010/wordml" w:rsidP="5B47F224" wp14:paraId="08145340" wp14:textId="4EA84AFB">
      <w:pPr>
        <w:spacing w:before="0" w:beforeAutospacing="off" w:after="160" w:afterAutospacing="off" w:line="276" w:lineRule="auto"/>
      </w:pPr>
      <w:r w:rsidRPr="5B47F224" w:rsidR="0892C5D9">
        <w:rPr>
          <w:rFonts w:ascii="Aptos" w:hAnsi="Aptos" w:eastAsia="Aptos" w:cs="Aptos"/>
          <w:noProof w:val="0"/>
          <w:sz w:val="22"/>
          <w:szCs w:val="22"/>
          <w:lang w:val="en-GB"/>
        </w:rPr>
        <w:t xml:space="preserve">26. Skinner, H. B.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Journal of Orthopaedic Research</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4</w:t>
      </w:r>
      <w:r w:rsidRPr="5B47F224" w:rsidR="0892C5D9">
        <w:rPr>
          <w:rFonts w:ascii="Aptos" w:hAnsi="Aptos" w:eastAsia="Aptos" w:cs="Aptos"/>
          <w:noProof w:val="0"/>
          <w:sz w:val="22"/>
          <w:szCs w:val="22"/>
          <w:lang w:val="en-GB"/>
        </w:rPr>
        <w:t>, 112–118 (1986)</w:t>
      </w:r>
    </w:p>
    <w:p xmlns:wp14="http://schemas.microsoft.com/office/word/2010/wordml" w:rsidP="5B47F224" wp14:paraId="47BABB29" wp14:textId="131C7C9B">
      <w:pPr>
        <w:spacing w:before="0" w:beforeAutospacing="off" w:after="160" w:afterAutospacing="off" w:line="276" w:lineRule="auto"/>
      </w:pPr>
      <w:r w:rsidRPr="5B47F224" w:rsidR="0892C5D9">
        <w:rPr>
          <w:rFonts w:ascii="Aptos" w:hAnsi="Aptos" w:eastAsia="Aptos" w:cs="Aptos"/>
          <w:noProof w:val="0"/>
          <w:sz w:val="22"/>
          <w:szCs w:val="22"/>
          <w:lang w:val="en-GB"/>
        </w:rPr>
        <w:t xml:space="preserve">27. Forestier, N.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Med. Sci. Sports Exercise</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34</w:t>
      </w:r>
      <w:r w:rsidRPr="5B47F224" w:rsidR="0892C5D9">
        <w:rPr>
          <w:rFonts w:ascii="Aptos" w:hAnsi="Aptos" w:eastAsia="Aptos" w:cs="Aptos"/>
          <w:noProof w:val="0"/>
          <w:sz w:val="22"/>
          <w:szCs w:val="22"/>
          <w:lang w:val="en-GB"/>
        </w:rPr>
        <w:t>, 117–122 (2002)</w:t>
      </w:r>
    </w:p>
    <w:p xmlns:wp14="http://schemas.microsoft.com/office/word/2010/wordml" w:rsidP="5B47F224" wp14:paraId="2F4F76E0" wp14:textId="1A103EB3">
      <w:pPr>
        <w:spacing w:before="0" w:beforeAutospacing="off" w:after="160" w:afterAutospacing="off" w:line="276" w:lineRule="auto"/>
      </w:pPr>
      <w:r w:rsidRPr="5B47F224" w:rsidR="0892C5D9">
        <w:rPr>
          <w:rFonts w:ascii="Aptos" w:hAnsi="Aptos" w:eastAsia="Aptos" w:cs="Aptos"/>
          <w:noProof w:val="0"/>
          <w:sz w:val="22"/>
          <w:szCs w:val="22"/>
          <w:lang w:val="en-GB"/>
        </w:rPr>
        <w:t xml:space="preserve">28. Allen, T. J.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The Journal of Physiology</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580</w:t>
      </w:r>
      <w:r w:rsidRPr="5B47F224" w:rsidR="0892C5D9">
        <w:rPr>
          <w:rFonts w:ascii="Aptos" w:hAnsi="Aptos" w:eastAsia="Aptos" w:cs="Aptos"/>
          <w:noProof w:val="0"/>
          <w:sz w:val="22"/>
          <w:szCs w:val="22"/>
          <w:lang w:val="en-GB"/>
        </w:rPr>
        <w:t>, 423–434 (2007)</w:t>
      </w:r>
    </w:p>
    <w:p xmlns:wp14="http://schemas.microsoft.com/office/word/2010/wordml" w:rsidP="5B47F224" wp14:paraId="4D31011E" wp14:textId="40E0EBE1">
      <w:pPr>
        <w:spacing w:before="0" w:beforeAutospacing="off" w:after="160" w:afterAutospacing="off" w:line="276" w:lineRule="auto"/>
      </w:pPr>
      <w:r w:rsidRPr="5B47F224" w:rsidR="0892C5D9">
        <w:rPr>
          <w:rFonts w:ascii="Aptos" w:hAnsi="Aptos" w:eastAsia="Aptos" w:cs="Aptos"/>
          <w:noProof w:val="0"/>
          <w:sz w:val="22"/>
          <w:szCs w:val="22"/>
          <w:lang w:val="en-GB"/>
        </w:rPr>
        <w:t xml:space="preserve">29. Givoni, N. J.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The Journal of Physiology</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584</w:t>
      </w:r>
      <w:r w:rsidRPr="5B47F224" w:rsidR="0892C5D9">
        <w:rPr>
          <w:rFonts w:ascii="Aptos" w:hAnsi="Aptos" w:eastAsia="Aptos" w:cs="Aptos"/>
          <w:noProof w:val="0"/>
          <w:sz w:val="22"/>
          <w:szCs w:val="22"/>
          <w:lang w:val="en-GB"/>
        </w:rPr>
        <w:t>, 111–119 (2007)</w:t>
      </w:r>
    </w:p>
    <w:p xmlns:wp14="http://schemas.microsoft.com/office/word/2010/wordml" w:rsidP="5B47F224" wp14:paraId="5FB212B9" wp14:textId="6D660ECA">
      <w:pPr>
        <w:spacing w:before="0" w:beforeAutospacing="off" w:after="160" w:afterAutospacing="off" w:line="276" w:lineRule="auto"/>
      </w:pPr>
      <w:r w:rsidRPr="5B47F224" w:rsidR="0892C5D9">
        <w:rPr>
          <w:rFonts w:ascii="Aptos" w:hAnsi="Aptos" w:eastAsia="Aptos" w:cs="Aptos"/>
          <w:noProof w:val="0"/>
          <w:sz w:val="22"/>
          <w:szCs w:val="22"/>
          <w:lang w:val="en-GB"/>
        </w:rPr>
        <w:t xml:space="preserve">30. Sandrey, M. A. &amp; Kent, T. E. </w:t>
      </w:r>
      <w:r w:rsidRPr="5B47F224" w:rsidR="0892C5D9">
        <w:rPr>
          <w:rFonts w:ascii="Aptos" w:hAnsi="Aptos" w:eastAsia="Aptos" w:cs="Aptos"/>
          <w:i w:val="1"/>
          <w:iCs w:val="1"/>
          <w:noProof w:val="0"/>
          <w:sz w:val="22"/>
          <w:szCs w:val="22"/>
          <w:lang w:val="en-GB"/>
        </w:rPr>
        <w:t>Journal of Sport Rehabilitation</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17</w:t>
      </w:r>
      <w:r w:rsidRPr="5B47F224" w:rsidR="0892C5D9">
        <w:rPr>
          <w:rFonts w:ascii="Aptos" w:hAnsi="Aptos" w:eastAsia="Aptos" w:cs="Aptos"/>
          <w:noProof w:val="0"/>
          <w:sz w:val="22"/>
          <w:szCs w:val="22"/>
          <w:lang w:val="en-GB"/>
        </w:rPr>
        <w:t>, 257–268 (2008)</w:t>
      </w:r>
    </w:p>
    <w:p xmlns:wp14="http://schemas.microsoft.com/office/word/2010/wordml" w:rsidP="5B47F224" wp14:paraId="31BE1576" wp14:textId="75868FB9">
      <w:pPr>
        <w:spacing w:before="0" w:beforeAutospacing="off" w:after="160" w:afterAutospacing="off" w:line="276" w:lineRule="auto"/>
      </w:pPr>
      <w:r w:rsidRPr="5B47F224" w:rsidR="0892C5D9">
        <w:rPr>
          <w:rFonts w:ascii="Aptos" w:hAnsi="Aptos" w:eastAsia="Aptos" w:cs="Aptos"/>
          <w:noProof w:val="0"/>
          <w:sz w:val="22"/>
          <w:szCs w:val="22"/>
          <w:lang w:val="en-GB"/>
        </w:rPr>
        <w:t xml:space="preserve">31. Mohammadi, F. &amp; Roozdar, A. </w:t>
      </w:r>
      <w:r w:rsidRPr="5B47F224" w:rsidR="0892C5D9">
        <w:rPr>
          <w:rFonts w:ascii="Aptos" w:hAnsi="Aptos" w:eastAsia="Aptos" w:cs="Aptos"/>
          <w:i w:val="1"/>
          <w:iCs w:val="1"/>
          <w:noProof w:val="0"/>
          <w:sz w:val="22"/>
          <w:szCs w:val="22"/>
          <w:lang w:val="en-GB"/>
        </w:rPr>
        <w:t>The American Journal of Sports Medicine</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38</w:t>
      </w:r>
      <w:r w:rsidRPr="5B47F224" w:rsidR="0892C5D9">
        <w:rPr>
          <w:rFonts w:ascii="Aptos" w:hAnsi="Aptos" w:eastAsia="Aptos" w:cs="Aptos"/>
          <w:noProof w:val="0"/>
          <w:sz w:val="22"/>
          <w:szCs w:val="22"/>
          <w:lang w:val="en-GB"/>
        </w:rPr>
        <w:t>, 824–828 (2010)</w:t>
      </w:r>
    </w:p>
    <w:p xmlns:wp14="http://schemas.microsoft.com/office/word/2010/wordml" w:rsidP="5B47F224" wp14:paraId="0E42DD06" wp14:textId="7B05CF5A">
      <w:pPr>
        <w:spacing w:before="0" w:beforeAutospacing="off" w:after="160" w:afterAutospacing="off" w:line="276" w:lineRule="auto"/>
      </w:pPr>
      <w:r w:rsidRPr="5B47F224" w:rsidR="0892C5D9">
        <w:rPr>
          <w:rFonts w:ascii="Aptos" w:hAnsi="Aptos" w:eastAsia="Aptos" w:cs="Aptos"/>
          <w:noProof w:val="0"/>
          <w:sz w:val="22"/>
          <w:szCs w:val="22"/>
          <w:lang w:val="en-GB"/>
        </w:rPr>
        <w:t xml:space="preserve">32. Ahmaniemi, T. </w:t>
      </w:r>
      <w:r w:rsidRPr="5B47F224" w:rsidR="0892C5D9">
        <w:rPr>
          <w:rFonts w:ascii="Aptos" w:hAnsi="Aptos" w:eastAsia="Aptos" w:cs="Aptos"/>
          <w:i w:val="1"/>
          <w:iCs w:val="1"/>
          <w:noProof w:val="0"/>
          <w:sz w:val="22"/>
          <w:szCs w:val="22"/>
          <w:lang w:val="en-GB"/>
        </w:rPr>
        <w:t>IEEE Transactions on Haptics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6</w:t>
      </w:r>
      <w:r w:rsidRPr="5B47F224" w:rsidR="0892C5D9">
        <w:rPr>
          <w:rFonts w:ascii="Aptos" w:hAnsi="Aptos" w:eastAsia="Aptos" w:cs="Aptos"/>
          <w:noProof w:val="0"/>
          <w:sz w:val="22"/>
          <w:szCs w:val="22"/>
          <w:lang w:val="en-GB"/>
        </w:rPr>
        <w:t>, 376–380 (2013)</w:t>
      </w:r>
    </w:p>
    <w:p xmlns:wp14="http://schemas.microsoft.com/office/word/2010/wordml" w:rsidP="5B47F224" wp14:paraId="03C7316A" wp14:textId="45672B82">
      <w:pPr>
        <w:spacing w:before="0" w:beforeAutospacing="off" w:after="160" w:afterAutospacing="off" w:line="276" w:lineRule="auto"/>
      </w:pPr>
      <w:r w:rsidRPr="5B47F224" w:rsidR="0892C5D9">
        <w:rPr>
          <w:rFonts w:ascii="Aptos" w:hAnsi="Aptos" w:eastAsia="Aptos" w:cs="Aptos"/>
          <w:noProof w:val="0"/>
          <w:sz w:val="22"/>
          <w:szCs w:val="22"/>
          <w:lang w:val="en-GB"/>
        </w:rPr>
        <w:t xml:space="preserve">33. Honda, S.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Advanced Functional Materials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29</w:t>
      </w:r>
      <w:r w:rsidRPr="5B47F224" w:rsidR="0892C5D9">
        <w:rPr>
          <w:rFonts w:ascii="Aptos" w:hAnsi="Aptos" w:eastAsia="Aptos" w:cs="Aptos"/>
          <w:noProof w:val="0"/>
          <w:sz w:val="22"/>
          <w:szCs w:val="22"/>
          <w:lang w:val="en-GB"/>
        </w:rPr>
        <w:t>, 1807957 (2019)</w:t>
      </w:r>
    </w:p>
    <w:p xmlns:wp14="http://schemas.microsoft.com/office/word/2010/wordml" w:rsidP="5B47F224" wp14:paraId="687324E2" wp14:textId="2CB015F8">
      <w:pPr>
        <w:spacing w:before="0" w:beforeAutospacing="off" w:after="160" w:afterAutospacing="off" w:line="276" w:lineRule="auto"/>
      </w:pPr>
      <w:r w:rsidRPr="5B47F224" w:rsidR="0892C5D9">
        <w:rPr>
          <w:rFonts w:ascii="Aptos" w:hAnsi="Aptos" w:eastAsia="Aptos" w:cs="Aptos"/>
          <w:noProof w:val="0"/>
          <w:sz w:val="22"/>
          <w:szCs w:val="22"/>
          <w:lang w:val="en-GB"/>
        </w:rPr>
        <w:t xml:space="preserve">34. Chew, J. Z. Z.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The Journal of Physiology</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586</w:t>
      </w:r>
      <w:r w:rsidRPr="5B47F224" w:rsidR="0892C5D9">
        <w:rPr>
          <w:rFonts w:ascii="Aptos" w:hAnsi="Aptos" w:eastAsia="Aptos" w:cs="Aptos"/>
          <w:noProof w:val="0"/>
          <w:sz w:val="22"/>
          <w:szCs w:val="22"/>
          <w:lang w:val="en-GB"/>
        </w:rPr>
        <w:t>, 1265–1275 (2008)</w:t>
      </w:r>
    </w:p>
    <w:p xmlns:wp14="http://schemas.microsoft.com/office/word/2010/wordml" w:rsidP="5B47F224" wp14:paraId="27EC4F99" wp14:textId="5B6FC901">
      <w:pPr>
        <w:spacing w:before="0" w:beforeAutospacing="off" w:after="160" w:afterAutospacing="off" w:line="276" w:lineRule="auto"/>
      </w:pPr>
      <w:r w:rsidRPr="5B47F224" w:rsidR="0892C5D9">
        <w:rPr>
          <w:rFonts w:ascii="Aptos" w:hAnsi="Aptos" w:eastAsia="Aptos" w:cs="Aptos"/>
          <w:noProof w:val="0"/>
          <w:sz w:val="22"/>
          <w:szCs w:val="22"/>
          <w:lang w:val="en-GB"/>
        </w:rPr>
        <w:t xml:space="preserve">35. Colyer, S. L. &amp; McGuigan, P. M. </w:t>
      </w:r>
      <w:r w:rsidRPr="5B47F224" w:rsidR="0892C5D9">
        <w:rPr>
          <w:rFonts w:ascii="Aptos" w:hAnsi="Aptos" w:eastAsia="Aptos" w:cs="Aptos"/>
          <w:i w:val="1"/>
          <w:iCs w:val="1"/>
          <w:noProof w:val="0"/>
          <w:sz w:val="22"/>
          <w:szCs w:val="22"/>
          <w:lang w:val="en-GB"/>
        </w:rPr>
        <w:t>PubMed</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17</w:t>
      </w:r>
      <w:r w:rsidRPr="5B47F224" w:rsidR="0892C5D9">
        <w:rPr>
          <w:rFonts w:ascii="Aptos" w:hAnsi="Aptos" w:eastAsia="Aptos" w:cs="Aptos"/>
          <w:noProof w:val="0"/>
          <w:sz w:val="22"/>
          <w:szCs w:val="22"/>
          <w:lang w:val="en-GB"/>
        </w:rPr>
        <w:t>, 101–109 (2018)</w:t>
      </w:r>
    </w:p>
    <w:p xmlns:wp14="http://schemas.microsoft.com/office/word/2010/wordml" w:rsidP="5B47F224" wp14:paraId="4D82A8AC" wp14:textId="481D9273">
      <w:pPr>
        <w:spacing w:before="0" w:beforeAutospacing="off" w:after="160" w:afterAutospacing="off" w:line="276" w:lineRule="auto"/>
      </w:pPr>
      <w:r w:rsidRPr="5B47F224" w:rsidR="0892C5D9">
        <w:rPr>
          <w:rFonts w:ascii="Aptos" w:hAnsi="Aptos" w:eastAsia="Aptos" w:cs="Aptos"/>
          <w:noProof w:val="0"/>
          <w:sz w:val="22"/>
          <w:szCs w:val="22"/>
          <w:lang w:val="en-GB"/>
        </w:rPr>
        <w:t xml:space="preserve">36. Kang, S.-W.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Sensors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17</w:t>
      </w:r>
      <w:r w:rsidRPr="5B47F224" w:rsidR="0892C5D9">
        <w:rPr>
          <w:rFonts w:ascii="Aptos" w:hAnsi="Aptos" w:eastAsia="Aptos" w:cs="Aptos"/>
          <w:noProof w:val="0"/>
          <w:sz w:val="22"/>
          <w:szCs w:val="22"/>
          <w:lang w:val="en-GB"/>
        </w:rPr>
        <w:t>, 2560 (2017)</w:t>
      </w:r>
    </w:p>
    <w:p xmlns:wp14="http://schemas.microsoft.com/office/word/2010/wordml" w:rsidP="5B47F224" wp14:paraId="3EFB318C" wp14:textId="5514F148">
      <w:pPr>
        <w:spacing w:before="0" w:beforeAutospacing="off" w:after="160" w:afterAutospacing="off" w:line="276" w:lineRule="auto"/>
      </w:pPr>
      <w:r w:rsidRPr="5B47F224" w:rsidR="0892C5D9">
        <w:rPr>
          <w:rFonts w:ascii="Aptos" w:hAnsi="Aptos" w:eastAsia="Aptos" w:cs="Aptos"/>
          <w:noProof w:val="0"/>
          <w:sz w:val="22"/>
          <w:szCs w:val="22"/>
          <w:lang w:val="en-GB"/>
        </w:rPr>
        <w:t xml:space="preserve">37. Farana, R.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Sports Biomechanics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13</w:t>
      </w:r>
      <w:r w:rsidRPr="5B47F224" w:rsidR="0892C5D9">
        <w:rPr>
          <w:rFonts w:ascii="Aptos" w:hAnsi="Aptos" w:eastAsia="Aptos" w:cs="Aptos"/>
          <w:noProof w:val="0"/>
          <w:sz w:val="22"/>
          <w:szCs w:val="22"/>
          <w:lang w:val="en-GB"/>
        </w:rPr>
        <w:t>, 123–134 (2014)</w:t>
      </w:r>
    </w:p>
    <w:p xmlns:wp14="http://schemas.microsoft.com/office/word/2010/wordml" w:rsidP="5B47F224" wp14:paraId="758CE72C" wp14:textId="7BFAFB74">
      <w:pPr>
        <w:spacing w:before="0" w:beforeAutospacing="off" w:after="160" w:afterAutospacing="off" w:line="276" w:lineRule="auto"/>
      </w:pPr>
      <w:r w:rsidRPr="5B47F224" w:rsidR="0892C5D9">
        <w:rPr>
          <w:rFonts w:ascii="Aptos" w:hAnsi="Aptos" w:eastAsia="Aptos" w:cs="Aptos"/>
          <w:noProof w:val="0"/>
          <w:sz w:val="22"/>
          <w:szCs w:val="22"/>
          <w:lang w:val="en-GB"/>
        </w:rPr>
        <w:t>38. Lang, S. W. &amp; Wilkerson, J. R. Accuracy vs. validity, consistency vs. reliability, and fairness vs. absence of bias: a call for quality. 23 (2008)</w:t>
      </w:r>
    </w:p>
    <w:p xmlns:wp14="http://schemas.microsoft.com/office/word/2010/wordml" w:rsidP="5B47F224" wp14:paraId="66CD3437" wp14:textId="3C943C4E">
      <w:pPr>
        <w:spacing w:before="0" w:beforeAutospacing="off" w:after="160" w:afterAutospacing="off" w:line="276" w:lineRule="auto"/>
      </w:pPr>
      <w:r w:rsidRPr="5B47F224" w:rsidR="0892C5D9">
        <w:rPr>
          <w:rFonts w:ascii="Aptos" w:hAnsi="Aptos" w:eastAsia="Aptos" w:cs="Aptos"/>
          <w:noProof w:val="0"/>
          <w:sz w:val="22"/>
          <w:szCs w:val="22"/>
          <w:lang w:val="en-GB"/>
        </w:rPr>
        <w:t xml:space="preserve">39. Schaffer, C. </w:t>
      </w:r>
      <w:r w:rsidRPr="5B47F224" w:rsidR="0892C5D9">
        <w:rPr>
          <w:rFonts w:ascii="Aptos" w:hAnsi="Aptos" w:eastAsia="Aptos" w:cs="Aptos"/>
          <w:i w:val="1"/>
          <w:iCs w:val="1"/>
          <w:noProof w:val="0"/>
          <w:sz w:val="22"/>
          <w:szCs w:val="22"/>
          <w:lang w:val="en-GB"/>
        </w:rPr>
        <w:t>Machine Learning</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13</w:t>
      </w:r>
      <w:r w:rsidRPr="5B47F224" w:rsidR="0892C5D9">
        <w:rPr>
          <w:rFonts w:ascii="Aptos" w:hAnsi="Aptos" w:eastAsia="Aptos" w:cs="Aptos"/>
          <w:noProof w:val="0"/>
          <w:sz w:val="22"/>
          <w:szCs w:val="22"/>
          <w:lang w:val="en-GB"/>
        </w:rPr>
        <w:t>, 135–143 (1993).</w:t>
      </w:r>
    </w:p>
    <w:p xmlns:wp14="http://schemas.microsoft.com/office/word/2010/wordml" w:rsidP="5B47F224" wp14:paraId="5FF363FA" wp14:textId="168E4DE2">
      <w:pPr>
        <w:spacing w:before="0" w:beforeAutospacing="off" w:after="160" w:afterAutospacing="off" w:line="276" w:lineRule="auto"/>
      </w:pPr>
      <w:r w:rsidRPr="5B47F224" w:rsidR="0892C5D9">
        <w:rPr>
          <w:rFonts w:ascii="Aptos" w:hAnsi="Aptos" w:eastAsia="Aptos" w:cs="Aptos"/>
          <w:noProof w:val="0"/>
          <w:sz w:val="22"/>
          <w:szCs w:val="22"/>
          <w:lang w:val="en-GB"/>
        </w:rPr>
        <w:t xml:space="preserve">40. GLINER, J. A. &amp; MORGAN, G. A. </w:t>
      </w:r>
      <w:r w:rsidRPr="5B47F224" w:rsidR="0892C5D9">
        <w:rPr>
          <w:rFonts w:ascii="Aptos" w:hAnsi="Aptos" w:eastAsia="Aptos" w:cs="Aptos"/>
          <w:i w:val="1"/>
          <w:iCs w:val="1"/>
          <w:noProof w:val="0"/>
          <w:sz w:val="22"/>
          <w:szCs w:val="22"/>
          <w:lang w:val="en-GB"/>
        </w:rPr>
        <w:t>Journal of the American Academy of Child &amp; Adolescent Psychiatry</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40</w:t>
      </w:r>
      <w:r w:rsidRPr="5B47F224" w:rsidR="0892C5D9">
        <w:rPr>
          <w:rFonts w:ascii="Aptos" w:hAnsi="Aptos" w:eastAsia="Aptos" w:cs="Aptos"/>
          <w:noProof w:val="0"/>
          <w:sz w:val="22"/>
          <w:szCs w:val="22"/>
          <w:lang w:val="en-GB"/>
        </w:rPr>
        <w:t>, 486–488 (2001)</w:t>
      </w:r>
    </w:p>
    <w:p xmlns:wp14="http://schemas.microsoft.com/office/word/2010/wordml" w:rsidP="5B47F224" wp14:paraId="7C793B8E" wp14:textId="560FDF80">
      <w:pPr>
        <w:spacing w:before="0" w:beforeAutospacing="off" w:after="160" w:afterAutospacing="off" w:line="276" w:lineRule="auto"/>
      </w:pPr>
      <w:r w:rsidRPr="5B47F224" w:rsidR="0892C5D9">
        <w:rPr>
          <w:rFonts w:ascii="Aptos" w:hAnsi="Aptos" w:eastAsia="Aptos" w:cs="Aptos"/>
          <w:noProof w:val="0"/>
          <w:sz w:val="22"/>
          <w:szCs w:val="22"/>
          <w:lang w:val="en-GB"/>
        </w:rPr>
        <w:t xml:space="preserve">41. Polit, D. F. </w:t>
      </w:r>
      <w:r w:rsidRPr="5B47F224" w:rsidR="0892C5D9">
        <w:rPr>
          <w:rFonts w:ascii="Aptos" w:hAnsi="Aptos" w:eastAsia="Aptos" w:cs="Aptos"/>
          <w:i w:val="1"/>
          <w:iCs w:val="1"/>
          <w:noProof w:val="0"/>
          <w:sz w:val="22"/>
          <w:szCs w:val="22"/>
          <w:lang w:val="en-GB"/>
        </w:rPr>
        <w:t>Quality of Life Research</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23</w:t>
      </w:r>
      <w:r w:rsidRPr="5B47F224" w:rsidR="0892C5D9">
        <w:rPr>
          <w:rFonts w:ascii="Aptos" w:hAnsi="Aptos" w:eastAsia="Aptos" w:cs="Aptos"/>
          <w:noProof w:val="0"/>
          <w:sz w:val="22"/>
          <w:szCs w:val="22"/>
          <w:lang w:val="en-GB"/>
        </w:rPr>
        <w:t>, 1713–1720 (2014)</w:t>
      </w:r>
    </w:p>
    <w:p xmlns:wp14="http://schemas.microsoft.com/office/word/2010/wordml" w:rsidP="5B47F224" wp14:paraId="1E4AB39C" wp14:textId="03F1FE25">
      <w:pPr>
        <w:spacing w:before="0" w:beforeAutospacing="off" w:after="160" w:afterAutospacing="off" w:line="276" w:lineRule="auto"/>
      </w:pPr>
      <w:r w:rsidRPr="5B47F224" w:rsidR="0892C5D9">
        <w:rPr>
          <w:rFonts w:ascii="Aptos" w:hAnsi="Aptos" w:eastAsia="Aptos" w:cs="Aptos"/>
          <w:noProof w:val="0"/>
          <w:sz w:val="22"/>
          <w:szCs w:val="22"/>
          <w:lang w:val="en-GB"/>
        </w:rPr>
        <w:t xml:space="preserve">42. Lange, R. T. </w:t>
      </w:r>
      <w:r w:rsidRPr="5B47F224" w:rsidR="0892C5D9">
        <w:rPr>
          <w:rFonts w:ascii="Aptos" w:hAnsi="Aptos" w:eastAsia="Aptos" w:cs="Aptos"/>
          <w:i w:val="1"/>
          <w:iCs w:val="1"/>
          <w:noProof w:val="0"/>
          <w:sz w:val="22"/>
          <w:szCs w:val="22"/>
          <w:lang w:val="en-GB"/>
        </w:rPr>
        <w:t>Encyclopedia of Clinical Neuropsychology</w:t>
      </w:r>
      <w:r w:rsidRPr="5B47F224" w:rsidR="0892C5D9">
        <w:rPr>
          <w:rFonts w:ascii="Aptos" w:hAnsi="Aptos" w:eastAsia="Aptos" w:cs="Aptos"/>
          <w:noProof w:val="0"/>
          <w:sz w:val="22"/>
          <w:szCs w:val="22"/>
          <w:lang w:val="en-GB"/>
        </w:rPr>
        <w:t xml:space="preserve"> 1348–1348 (2011)</w:t>
      </w:r>
    </w:p>
    <w:p xmlns:wp14="http://schemas.microsoft.com/office/word/2010/wordml" w:rsidP="5B47F224" wp14:paraId="119FABAC" wp14:textId="0525F2FC">
      <w:pPr>
        <w:spacing w:before="0" w:beforeAutospacing="off" w:after="160" w:afterAutospacing="off" w:line="276" w:lineRule="auto"/>
      </w:pPr>
      <w:r w:rsidRPr="5B47F224" w:rsidR="0892C5D9">
        <w:rPr>
          <w:rFonts w:ascii="Aptos" w:hAnsi="Aptos" w:eastAsia="Aptos" w:cs="Aptos"/>
          <w:noProof w:val="0"/>
          <w:sz w:val="22"/>
          <w:szCs w:val="22"/>
          <w:lang w:val="en-GB"/>
        </w:rPr>
        <w:t xml:space="preserve">43. BASSETT, D. R.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Medicine &amp; Science in Sports &amp; Exercise</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44</w:t>
      </w:r>
      <w:r w:rsidRPr="5B47F224" w:rsidR="0892C5D9">
        <w:rPr>
          <w:rFonts w:ascii="Aptos" w:hAnsi="Aptos" w:eastAsia="Aptos" w:cs="Aptos"/>
          <w:noProof w:val="0"/>
          <w:sz w:val="22"/>
          <w:szCs w:val="22"/>
          <w:lang w:val="en-GB"/>
        </w:rPr>
        <w:t>, S32–S38 (2012)</w:t>
      </w:r>
    </w:p>
    <w:p xmlns:wp14="http://schemas.microsoft.com/office/word/2010/wordml" w:rsidP="5B47F224" wp14:paraId="201EA30C" wp14:textId="30425E10">
      <w:pPr>
        <w:spacing w:before="0" w:beforeAutospacing="off" w:after="160" w:afterAutospacing="off" w:line="276" w:lineRule="auto"/>
      </w:pPr>
      <w:r w:rsidRPr="5B47F224" w:rsidR="0892C5D9">
        <w:rPr>
          <w:rFonts w:ascii="Aptos" w:hAnsi="Aptos" w:eastAsia="Aptos" w:cs="Aptos"/>
          <w:noProof w:val="0"/>
          <w:sz w:val="22"/>
          <w:szCs w:val="22"/>
          <w:lang w:val="en-GB"/>
        </w:rPr>
        <w:t xml:space="preserve">44. F. Bierling-sørensen,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Prosthetics and Orthotics International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14</w:t>
      </w:r>
      <w:r w:rsidRPr="5B47F224" w:rsidR="0892C5D9">
        <w:rPr>
          <w:rFonts w:ascii="Aptos" w:hAnsi="Aptos" w:eastAsia="Aptos" w:cs="Aptos"/>
          <w:noProof w:val="0"/>
          <w:sz w:val="22"/>
          <w:szCs w:val="22"/>
          <w:lang w:val="en-GB"/>
        </w:rPr>
        <w:t>, 27–32 (1990)</w:t>
      </w:r>
    </w:p>
    <w:p xmlns:wp14="http://schemas.microsoft.com/office/word/2010/wordml" w:rsidP="5B47F224" wp14:paraId="592BF11C" wp14:textId="0A2C4E94">
      <w:pPr>
        <w:spacing w:before="0" w:beforeAutospacing="off" w:after="160" w:afterAutospacing="off" w:line="276" w:lineRule="auto"/>
      </w:pPr>
      <w:r w:rsidRPr="5B47F224" w:rsidR="0892C5D9">
        <w:rPr>
          <w:rFonts w:ascii="Aptos" w:hAnsi="Aptos" w:eastAsia="Aptos" w:cs="Aptos"/>
          <w:noProof w:val="0"/>
          <w:sz w:val="22"/>
          <w:szCs w:val="22"/>
          <w:lang w:val="en-GB"/>
        </w:rPr>
        <w:t xml:space="preserve">45. Save, N. S.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Journal of Industrial Textiles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34</w:t>
      </w:r>
      <w:r w:rsidRPr="5B47F224" w:rsidR="0892C5D9">
        <w:rPr>
          <w:rFonts w:ascii="Aptos" w:hAnsi="Aptos" w:eastAsia="Aptos" w:cs="Aptos"/>
          <w:noProof w:val="0"/>
          <w:sz w:val="22"/>
          <w:szCs w:val="22"/>
          <w:lang w:val="en-GB"/>
        </w:rPr>
        <w:t>, 139–155 (2005)</w:t>
      </w:r>
    </w:p>
    <w:p xmlns:wp14="http://schemas.microsoft.com/office/word/2010/wordml" w:rsidP="5B47F224" wp14:paraId="79A405B8" wp14:textId="33209B6D">
      <w:pPr>
        <w:spacing w:before="0" w:beforeAutospacing="off" w:after="160" w:afterAutospacing="off" w:line="276" w:lineRule="auto"/>
      </w:pPr>
      <w:r w:rsidRPr="5B47F224" w:rsidR="0892C5D9">
        <w:rPr>
          <w:rFonts w:ascii="Aptos" w:hAnsi="Aptos" w:eastAsia="Aptos" w:cs="Aptos"/>
          <w:noProof w:val="0"/>
          <w:sz w:val="22"/>
          <w:szCs w:val="22"/>
          <w:lang w:val="en-GB"/>
        </w:rPr>
        <w:t xml:space="preserve">46. Tosi, J.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Sensors</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17</w:t>
      </w:r>
      <w:r w:rsidRPr="5B47F224" w:rsidR="0892C5D9">
        <w:rPr>
          <w:rFonts w:ascii="Aptos" w:hAnsi="Aptos" w:eastAsia="Aptos" w:cs="Aptos"/>
          <w:noProof w:val="0"/>
          <w:sz w:val="22"/>
          <w:szCs w:val="22"/>
          <w:lang w:val="en-GB"/>
        </w:rPr>
        <w:t>, 2898 (2017)</w:t>
      </w:r>
    </w:p>
    <w:p xmlns:wp14="http://schemas.microsoft.com/office/word/2010/wordml" w:rsidP="5B47F224" wp14:paraId="55768E79" wp14:textId="1A2B5174">
      <w:pPr>
        <w:spacing w:before="0" w:beforeAutospacing="off" w:after="160" w:afterAutospacing="off" w:line="276" w:lineRule="auto"/>
      </w:pPr>
      <w:r w:rsidRPr="5B47F224" w:rsidR="0892C5D9">
        <w:rPr>
          <w:rFonts w:ascii="Aptos" w:hAnsi="Aptos" w:eastAsia="Aptos" w:cs="Aptos"/>
          <w:noProof w:val="0"/>
          <w:sz w:val="22"/>
          <w:szCs w:val="22"/>
          <w:lang w:val="en-GB"/>
        </w:rPr>
        <w:t xml:space="preserve">47. O’Connor, M. How to identify and minimise systematic and random error in experimental research. </w:t>
      </w:r>
      <w:r w:rsidRPr="5B47F224" w:rsidR="0892C5D9">
        <w:rPr>
          <w:rFonts w:ascii="Aptos" w:hAnsi="Aptos" w:eastAsia="Aptos" w:cs="Aptos"/>
          <w:i w:val="1"/>
          <w:iCs w:val="1"/>
          <w:noProof w:val="0"/>
          <w:sz w:val="22"/>
          <w:szCs w:val="22"/>
          <w:lang w:val="en-GB"/>
        </w:rPr>
        <w:t>OPTIMAX</w:t>
      </w:r>
      <w:r w:rsidRPr="5B47F224" w:rsidR="0892C5D9">
        <w:rPr>
          <w:rFonts w:ascii="Aptos" w:hAnsi="Aptos" w:eastAsia="Aptos" w:cs="Aptos"/>
          <w:noProof w:val="0"/>
          <w:sz w:val="22"/>
          <w:szCs w:val="22"/>
          <w:lang w:val="en-GB"/>
        </w:rPr>
        <w:t xml:space="preserve"> 31 (2017)</w:t>
      </w:r>
    </w:p>
    <w:p xmlns:wp14="http://schemas.microsoft.com/office/word/2010/wordml" w:rsidP="5B47F224" wp14:paraId="48E85BE3" wp14:textId="7FF0A025">
      <w:pPr>
        <w:spacing w:before="0" w:beforeAutospacing="off" w:after="160" w:afterAutospacing="off" w:line="276" w:lineRule="auto"/>
      </w:pPr>
      <w:r w:rsidRPr="5B47F224" w:rsidR="0892C5D9">
        <w:rPr>
          <w:rFonts w:ascii="Aptos" w:hAnsi="Aptos" w:eastAsia="Aptos" w:cs="Aptos"/>
          <w:noProof w:val="0"/>
          <w:sz w:val="22"/>
          <w:szCs w:val="22"/>
          <w:lang w:val="en-GB"/>
        </w:rPr>
        <w:t xml:space="preserve">48. Lequin, R. M. </w:t>
      </w:r>
      <w:r w:rsidRPr="5B47F224" w:rsidR="0892C5D9">
        <w:rPr>
          <w:rFonts w:ascii="Aptos" w:hAnsi="Aptos" w:eastAsia="Aptos" w:cs="Aptos"/>
          <w:i w:val="1"/>
          <w:iCs w:val="1"/>
          <w:noProof w:val="0"/>
          <w:sz w:val="22"/>
          <w:szCs w:val="22"/>
          <w:lang w:val="en-GB"/>
        </w:rPr>
        <w:t>Clinical Chemistry</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50</w:t>
      </w:r>
      <w:r w:rsidRPr="5B47F224" w:rsidR="0892C5D9">
        <w:rPr>
          <w:rFonts w:ascii="Aptos" w:hAnsi="Aptos" w:eastAsia="Aptos" w:cs="Aptos"/>
          <w:noProof w:val="0"/>
          <w:sz w:val="22"/>
          <w:szCs w:val="22"/>
          <w:lang w:val="en-GB"/>
        </w:rPr>
        <w:t>, 977–978 (2004)</w:t>
      </w:r>
    </w:p>
    <w:p xmlns:wp14="http://schemas.microsoft.com/office/word/2010/wordml" w:rsidP="5B47F224" wp14:paraId="496B0A78" wp14:textId="0CD6C86E">
      <w:pPr>
        <w:spacing w:before="0" w:beforeAutospacing="off" w:after="160" w:afterAutospacing="off" w:line="276" w:lineRule="auto"/>
      </w:pPr>
      <w:r w:rsidRPr="5B47F224" w:rsidR="0892C5D9">
        <w:rPr>
          <w:rFonts w:ascii="Aptos" w:hAnsi="Aptos" w:eastAsia="Aptos" w:cs="Aptos"/>
          <w:noProof w:val="0"/>
          <w:sz w:val="22"/>
          <w:szCs w:val="22"/>
          <w:lang w:val="en-GB"/>
        </w:rPr>
        <w:t xml:space="preserve">49. Lele, M. A. &amp; Gu, J. </w:t>
      </w:r>
      <w:r w:rsidRPr="5B47F224" w:rsidR="0892C5D9">
        <w:rPr>
          <w:rFonts w:ascii="Aptos" w:hAnsi="Aptos" w:eastAsia="Aptos" w:cs="Aptos"/>
          <w:i w:val="1"/>
          <w:iCs w:val="1"/>
          <w:noProof w:val="0"/>
          <w:sz w:val="22"/>
          <w:szCs w:val="22"/>
          <w:lang w:val="en-GB"/>
        </w:rPr>
        <w:t>Library and Archives Canada (Government of Canada)</w:t>
      </w:r>
      <w:r w:rsidRPr="5B47F224" w:rsidR="0892C5D9">
        <w:rPr>
          <w:rFonts w:ascii="Aptos" w:hAnsi="Aptos" w:eastAsia="Aptos" w:cs="Aptos"/>
          <w:noProof w:val="0"/>
          <w:sz w:val="22"/>
          <w:szCs w:val="22"/>
          <w:lang w:val="en-GB"/>
        </w:rPr>
        <w:t xml:space="preserve"> 959–964 (2011) </w:t>
      </w:r>
    </w:p>
    <w:p xmlns:wp14="http://schemas.microsoft.com/office/word/2010/wordml" w:rsidP="5B47F224" wp14:paraId="7A6E4D19" wp14:textId="327E960E">
      <w:pPr>
        <w:spacing w:before="0" w:beforeAutospacing="off" w:after="160" w:afterAutospacing="off" w:line="276" w:lineRule="auto"/>
      </w:pPr>
      <w:r w:rsidRPr="5B47F224" w:rsidR="0892C5D9">
        <w:rPr>
          <w:rFonts w:ascii="Aptos" w:hAnsi="Aptos" w:eastAsia="Aptos" w:cs="Aptos"/>
          <w:noProof w:val="0"/>
          <w:sz w:val="22"/>
          <w:szCs w:val="22"/>
          <w:lang w:val="en-GB"/>
        </w:rPr>
        <w:t xml:space="preserve">50. Flueratoru, L.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IEEE Sensors Journal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22</w:t>
      </w:r>
      <w:r w:rsidRPr="5B47F224" w:rsidR="0892C5D9">
        <w:rPr>
          <w:rFonts w:ascii="Aptos" w:hAnsi="Aptos" w:eastAsia="Aptos" w:cs="Aptos"/>
          <w:noProof w:val="0"/>
          <w:sz w:val="22"/>
          <w:szCs w:val="22"/>
          <w:lang w:val="en-GB"/>
        </w:rPr>
        <w:t>, 5086–5100 (2021)</w:t>
      </w:r>
    </w:p>
    <w:p xmlns:wp14="http://schemas.microsoft.com/office/word/2010/wordml" w:rsidP="5B47F224" wp14:paraId="33BD4B46" wp14:textId="44526FF4">
      <w:pPr>
        <w:spacing w:before="0" w:beforeAutospacing="off" w:after="160" w:afterAutospacing="off" w:line="276" w:lineRule="auto"/>
      </w:pPr>
      <w:r w:rsidRPr="5B47F224" w:rsidR="0892C5D9">
        <w:rPr>
          <w:rFonts w:ascii="Aptos" w:hAnsi="Aptos" w:eastAsia="Aptos" w:cs="Aptos"/>
          <w:noProof w:val="0"/>
          <w:sz w:val="22"/>
          <w:szCs w:val="22"/>
          <w:lang w:val="en-GB"/>
        </w:rPr>
        <w:t xml:space="preserve">51. Maher, C. </w:t>
      </w:r>
      <w:r w:rsidRPr="5B47F224" w:rsidR="0892C5D9">
        <w:rPr>
          <w:rFonts w:ascii="Aptos" w:hAnsi="Aptos" w:eastAsia="Aptos" w:cs="Aptos"/>
          <w:i w:val="1"/>
          <w:iCs w:val="1"/>
          <w:noProof w:val="0"/>
          <w:sz w:val="22"/>
          <w:szCs w:val="22"/>
          <w:lang w:val="en-GB"/>
        </w:rPr>
        <w:t>et al</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i w:val="1"/>
          <w:iCs w:val="1"/>
          <w:noProof w:val="0"/>
          <w:sz w:val="22"/>
          <w:szCs w:val="22"/>
          <w:lang w:val="en-GB"/>
        </w:rPr>
        <w:t>BMC Public Health</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17</w:t>
      </w:r>
      <w:r w:rsidRPr="5B47F224" w:rsidR="0892C5D9">
        <w:rPr>
          <w:rFonts w:ascii="Aptos" w:hAnsi="Aptos" w:eastAsia="Aptos" w:cs="Aptos"/>
          <w:noProof w:val="0"/>
          <w:sz w:val="22"/>
          <w:szCs w:val="22"/>
          <w:lang w:val="en-GB"/>
        </w:rPr>
        <w:t>, (2017).</w:t>
      </w:r>
    </w:p>
    <w:p xmlns:wp14="http://schemas.microsoft.com/office/word/2010/wordml" w:rsidP="5B47F224" wp14:paraId="313DC003" wp14:textId="2B5E46E8">
      <w:pPr>
        <w:spacing w:before="0" w:beforeAutospacing="off" w:after="160" w:afterAutospacing="off" w:line="276" w:lineRule="auto"/>
      </w:pPr>
      <w:r w:rsidRPr="5B47F224" w:rsidR="0892C5D9">
        <w:rPr>
          <w:rFonts w:ascii="Aptos" w:hAnsi="Aptos" w:eastAsia="Aptos" w:cs="Aptos"/>
          <w:noProof w:val="0"/>
          <w:sz w:val="22"/>
          <w:szCs w:val="22"/>
          <w:lang w:val="en-GB"/>
        </w:rPr>
        <w:t xml:space="preserve">52. Labadie, C. &amp; Legner, C. </w:t>
      </w:r>
      <w:r w:rsidRPr="5B47F224" w:rsidR="0892C5D9">
        <w:rPr>
          <w:rFonts w:ascii="Aptos" w:hAnsi="Aptos" w:eastAsia="Aptos" w:cs="Aptos"/>
          <w:i w:val="1"/>
          <w:iCs w:val="1"/>
          <w:noProof w:val="0"/>
          <w:sz w:val="22"/>
          <w:szCs w:val="22"/>
          <w:lang w:val="en-GB"/>
        </w:rPr>
        <w:t>Journal of Information Technology</w:t>
      </w:r>
      <w:r w:rsidRPr="5B47F224" w:rsidR="0892C5D9">
        <w:rPr>
          <w:rFonts w:ascii="Aptos" w:hAnsi="Aptos" w:eastAsia="Aptos" w:cs="Aptos"/>
          <w:noProof w:val="0"/>
          <w:sz w:val="22"/>
          <w:szCs w:val="22"/>
          <w:lang w:val="en-GB"/>
        </w:rPr>
        <w:t xml:space="preserve"> </w:t>
      </w:r>
      <w:r w:rsidRPr="5B47F224" w:rsidR="0892C5D9">
        <w:rPr>
          <w:rFonts w:ascii="Aptos" w:hAnsi="Aptos" w:eastAsia="Aptos" w:cs="Aptos"/>
          <w:b w:val="1"/>
          <w:bCs w:val="1"/>
          <w:noProof w:val="0"/>
          <w:sz w:val="22"/>
          <w:szCs w:val="22"/>
          <w:lang w:val="en-GB"/>
        </w:rPr>
        <w:t>38</w:t>
      </w:r>
      <w:r w:rsidRPr="5B47F224" w:rsidR="0892C5D9">
        <w:rPr>
          <w:rFonts w:ascii="Aptos" w:hAnsi="Aptos" w:eastAsia="Aptos" w:cs="Aptos"/>
          <w:noProof w:val="0"/>
          <w:sz w:val="22"/>
          <w:szCs w:val="22"/>
          <w:lang w:val="en-GB"/>
        </w:rPr>
        <w:t>, 16–44 (2022).</w:t>
      </w:r>
    </w:p>
    <w:p xmlns:wp14="http://schemas.microsoft.com/office/word/2010/wordml" w:rsidP="5B47F224" wp14:paraId="43437BF5" wp14:textId="08B2E12D">
      <w:pPr>
        <w:spacing w:before="0" w:beforeAutospacing="off" w:after="160" w:afterAutospacing="off" w:line="276" w:lineRule="auto"/>
        <w:rPr>
          <w:rFonts w:ascii="Aptos" w:hAnsi="Aptos" w:eastAsia="Aptos" w:cs="Aptos"/>
          <w:noProof w:val="0"/>
          <w:sz w:val="24"/>
          <w:szCs w:val="24"/>
          <w:lang w:val="en-GB"/>
        </w:rPr>
      </w:pPr>
    </w:p>
    <w:p xmlns:wp14="http://schemas.microsoft.com/office/word/2010/wordml" wp14:paraId="5E5787A5" wp14:textId="1CC3A7C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0F17AC"/>
    <w:rsid w:val="01B9EF66"/>
    <w:rsid w:val="0892C5D9"/>
    <w:rsid w:val="1B0F17AC"/>
    <w:rsid w:val="472DE52D"/>
    <w:rsid w:val="5B47F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F17AC"/>
  <w15:chartTrackingRefBased/>
  <w15:docId w15:val="{617BF215-0D78-4D88-BC14-8ED4F6D332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B47F22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devices.io/products/umyo-wearable-emg-sensor" TargetMode="External" Id="R077666b7c1464406" /><Relationship Type="http://schemas.openxmlformats.org/officeDocument/2006/relationships/hyperlink" Target="https://www.linkedin.com/redir/redirect?url=https%3A%2F%2Fwww%2Eericcointernational%2Ecom%2Finertial-measurement-units&amp;urlhash=38_n&amp;trk=article-ssr-frontend-pulse_little-text-block" TargetMode="External" Id="R8cdcbe3ab8bc4a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Jane Davies</dc:creator>
  <keywords/>
  <dc:description/>
  <lastModifiedBy>Jane Davies</lastModifiedBy>
  <revision>2</revision>
  <dcterms:created xsi:type="dcterms:W3CDTF">2025-03-21T14:36:55.2411495Z</dcterms:created>
  <dcterms:modified xsi:type="dcterms:W3CDTF">2025-03-21T14:39:32.1287045Z</dcterms:modified>
</coreProperties>
</file>